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header7.xml" ContentType="application/vnd.openxmlformats-officedocument.wordprocessingml.header+xml"/>
  <Override PartName="/word/footer6.xml" ContentType="application/vnd.openxmlformats-officedocument.wordprocessingml.footer+xml"/>
  <Override PartName="/word/footer7.xml" ContentType="application/vnd.openxmlformats-officedocument.wordprocessingml.footer+xml"/>
  <Override PartName="/word/header8.xml" ContentType="application/vnd.openxmlformats-officedocument.wordprocessingml.header+xml"/>
  <Override PartName="/word/footer8.xml" ContentType="application/vnd.openxmlformats-officedocument.wordprocessingml.footer+xml"/>
  <Override PartName="/word/header9.xml" ContentType="application/vnd.openxmlformats-officedocument.wordprocessingml.header+xml"/>
  <Override PartName="/word/header10.xml" ContentType="application/vnd.openxmlformats-officedocument.wordprocessingml.header+xml"/>
  <Override PartName="/word/footer9.xml" ContentType="application/vnd.openxmlformats-officedocument.wordprocessingml.footer+xml"/>
  <Override PartName="/word/footer10.xml" ContentType="application/vnd.openxmlformats-officedocument.wordprocessingml.footer+xml"/>
  <Override PartName="/word/header11.xml" ContentType="application/vnd.openxmlformats-officedocument.wordprocessingml.header+xml"/>
  <Override PartName="/word/header12.xml" ContentType="application/vnd.openxmlformats-officedocument.wordprocessingml.header+xml"/>
  <Override PartName="/word/footer11.xml" ContentType="application/vnd.openxmlformats-officedocument.wordprocessingml.footer+xml"/>
  <Override PartName="/word/footer12.xml" ContentType="application/vnd.openxmlformats-officedocument.wordprocessingml.footer+xml"/>
  <Override PartName="/word/header13.xml" ContentType="application/vnd.openxmlformats-officedocument.wordprocessingml.header+xml"/>
  <Override PartName="/word/header14.xml" ContentType="application/vnd.openxmlformats-officedocument.wordprocessingml.header+xml"/>
  <Override PartName="/word/footer13.xml" ContentType="application/vnd.openxmlformats-officedocument.wordprocessingml.footer+xml"/>
  <Override PartName="/word/footer14.xml" ContentType="application/vnd.openxmlformats-officedocument.wordprocessingml.footer+xml"/>
  <Override PartName="/word/header15.xml" ContentType="application/vnd.openxmlformats-officedocument.wordprocessingml.header+xml"/>
  <Override PartName="/word/footer15.xml" ContentType="application/vnd.openxmlformats-officedocument.wordprocessingml.footer+xml"/>
  <Override PartName="/word/header16.xml" ContentType="application/vnd.openxmlformats-officedocument.wordprocessingml.header+xml"/>
  <Override PartName="/word/header17.xml" ContentType="application/vnd.openxmlformats-officedocument.wordprocessingml.header+xml"/>
  <Override PartName="/word/footer16.xml" ContentType="application/vnd.openxmlformats-officedocument.wordprocessingml.footer+xml"/>
  <Override PartName="/word/footer17.xml" ContentType="application/vnd.openxmlformats-officedocument.wordprocessingml.footer+xml"/>
  <Override PartName="/word/header18.xml" ContentType="application/vnd.openxmlformats-officedocument.wordprocessingml.header+xml"/>
  <Override PartName="/word/header19.xml" ContentType="application/vnd.openxmlformats-officedocument.wordprocessingml.header+xml"/>
  <Override PartName="/word/footer18.xml" ContentType="application/vnd.openxmlformats-officedocument.wordprocessingml.footer+xml"/>
  <Override PartName="/word/footer19.xml" ContentType="application/vnd.openxmlformats-officedocument.wordprocessingml.footer+xml"/>
  <Override PartName="/word/header20.xml" ContentType="application/vnd.openxmlformats-officedocument.wordprocessingml.header+xml"/>
  <Override PartName="/word/footer20.xml" ContentType="application/vnd.openxmlformats-officedocument.wordprocessingml.footer+xml"/>
  <Override PartName="/word/header21.xml" ContentType="application/vnd.openxmlformats-officedocument.wordprocessingml.header+xml"/>
  <Override PartName="/word/header22.xml" ContentType="application/vnd.openxmlformats-officedocument.wordprocessingml.header+xml"/>
  <Override PartName="/word/footer21.xml" ContentType="application/vnd.openxmlformats-officedocument.wordprocessingml.footer+xml"/>
  <Override PartName="/word/footer22.xml" ContentType="application/vnd.openxmlformats-officedocument.wordprocessingml.footer+xml"/>
  <Override PartName="/word/header23.xml" ContentType="application/vnd.openxmlformats-officedocument.wordprocessingml.header+xml"/>
  <Override PartName="/word/header24.xml" ContentType="application/vnd.openxmlformats-officedocument.wordprocessingml.header+xml"/>
  <Override PartName="/word/footer23.xml" ContentType="application/vnd.openxmlformats-officedocument.wordprocessingml.footer+xml"/>
  <Override PartName="/word/footer24.xml" ContentType="application/vnd.openxmlformats-officedocument.wordprocessingml.footer+xml"/>
  <Override PartName="/word/header25.xml" ContentType="application/vnd.openxmlformats-officedocument.wordprocessingml.header+xml"/>
  <Override PartName="/word/footer25.xml" ContentType="application/vnd.openxmlformats-officedocument.wordprocessingml.footer+xml"/>
  <Override PartName="/word/header26.xml" ContentType="application/vnd.openxmlformats-officedocument.wordprocessingml.header+xml"/>
  <Override PartName="/word/header27.xml" ContentType="application/vnd.openxmlformats-officedocument.wordprocessingml.header+xml"/>
  <Override PartName="/word/footer26.xml" ContentType="application/vnd.openxmlformats-officedocument.wordprocessingml.footer+xml"/>
  <Override PartName="/word/footer27.xml" ContentType="application/vnd.openxmlformats-officedocument.wordprocessingml.footer+xml"/>
  <Override PartName="/word/header28.xml" ContentType="application/vnd.openxmlformats-officedocument.wordprocessingml.header+xml"/>
  <Override PartName="/word/footer28.xml" ContentType="application/vnd.openxmlformats-officedocument.wordprocessingml.footer+xml"/>
  <Override PartName="/word/header29.xml" ContentType="application/vnd.openxmlformats-officedocument.wordprocessingml.header+xml"/>
  <Override PartName="/word/header30.xml" ContentType="application/vnd.openxmlformats-officedocument.wordprocessingml.header+xml"/>
  <Override PartName="/word/footer29.xml" ContentType="application/vnd.openxmlformats-officedocument.wordprocessingml.footer+xml"/>
  <Override PartName="/word/footer30.xml" ContentType="application/vnd.openxmlformats-officedocument.wordprocessingml.footer+xml"/>
  <Override PartName="/word/header31.xml" ContentType="application/vnd.openxmlformats-officedocument.wordprocessingml.header+xml"/>
  <Override PartName="/word/header32.xml" ContentType="application/vnd.openxmlformats-officedocument.wordprocessingml.header+xml"/>
  <Override PartName="/word/footer31.xml" ContentType="application/vnd.openxmlformats-officedocument.wordprocessingml.footer+xml"/>
  <Override PartName="/word/footer32.xml" ContentType="application/vnd.openxmlformats-officedocument.wordprocessingml.footer+xml"/>
  <Override PartName="/word/header33.xml" ContentType="application/vnd.openxmlformats-officedocument.wordprocessingml.header+xml"/>
  <Override PartName="/word/footer33.xml" ContentType="application/vnd.openxmlformats-officedocument.wordprocessingml.footer+xml"/>
  <Override PartName="/word/header34.xml" ContentType="application/vnd.openxmlformats-officedocument.wordprocessingml.header+xml"/>
  <Override PartName="/word/header35.xml" ContentType="application/vnd.openxmlformats-officedocument.wordprocessingml.header+xml"/>
  <Override PartName="/word/footer34.xml" ContentType="application/vnd.openxmlformats-officedocument.wordprocessingml.footer+xml"/>
  <Override PartName="/word/footer35.xml" ContentType="application/vnd.openxmlformats-officedocument.wordprocessingml.footer+xml"/>
  <Override PartName="/word/header36.xml" ContentType="application/vnd.openxmlformats-officedocument.wordprocessingml.header+xml"/>
  <Override PartName="/word/header37.xml" ContentType="application/vnd.openxmlformats-officedocument.wordprocessingml.header+xml"/>
  <Override PartName="/word/footer36.xml" ContentType="application/vnd.openxmlformats-officedocument.wordprocessingml.footer+xml"/>
  <Override PartName="/word/footer37.xml" ContentType="application/vnd.openxmlformats-officedocument.wordprocessingml.footer+xml"/>
  <Override PartName="/word/header38.xml" ContentType="application/vnd.openxmlformats-officedocument.wordprocessingml.header+xml"/>
  <Override PartName="/word/header39.xml" ContentType="application/vnd.openxmlformats-officedocument.wordprocessingml.header+xml"/>
  <Override PartName="/word/footer38.xml" ContentType="application/vnd.openxmlformats-officedocument.wordprocessingml.footer+xml"/>
  <Override PartName="/word/footer39.xml" ContentType="application/vnd.openxmlformats-officedocument.wordprocessingml.footer+xml"/>
  <Override PartName="/word/header40.xml" ContentType="application/vnd.openxmlformats-officedocument.wordprocessingml.header+xml"/>
  <Override PartName="/word/footer40.xml" ContentType="application/vnd.openxmlformats-officedocument.wordprocessingml.footer+xml"/>
  <Override PartName="/word/header41.xml" ContentType="application/vnd.openxmlformats-officedocument.wordprocessingml.header+xml"/>
  <Override PartName="/word/header42.xml" ContentType="application/vnd.openxmlformats-officedocument.wordprocessingml.header+xml"/>
  <Override PartName="/word/footer41.xml" ContentType="application/vnd.openxmlformats-officedocument.wordprocessingml.footer+xml"/>
  <Override PartName="/word/footer42.xml" ContentType="application/vnd.openxmlformats-officedocument.wordprocessingml.footer+xml"/>
  <Override PartName="/word/header43.xml" ContentType="application/vnd.openxmlformats-officedocument.wordprocessingml.header+xml"/>
  <Override PartName="/word/footer43.xml" ContentType="application/vnd.openxmlformats-officedocument.wordprocessingml.footer+xml"/>
  <Override PartName="/word/header44.xml" ContentType="application/vnd.openxmlformats-officedocument.wordprocessingml.header+xml"/>
  <Override PartName="/word/header45.xml" ContentType="application/vnd.openxmlformats-officedocument.wordprocessingml.header+xml"/>
  <Override PartName="/word/footer44.xml" ContentType="application/vnd.openxmlformats-officedocument.wordprocessingml.footer+xml"/>
  <Override PartName="/word/footer45.xml" ContentType="application/vnd.openxmlformats-officedocument.wordprocessingml.footer+xml"/>
  <Override PartName="/word/header46.xml" ContentType="application/vnd.openxmlformats-officedocument.wordprocessingml.header+xml"/>
  <Override PartName="/word/footer46.xml" ContentType="application/vnd.openxmlformats-officedocument.wordprocessingml.footer+xml"/>
  <Override PartName="/word/header47.xml" ContentType="application/vnd.openxmlformats-officedocument.wordprocessingml.header+xml"/>
  <Override PartName="/word/header48.xml" ContentType="application/vnd.openxmlformats-officedocument.wordprocessingml.header+xml"/>
  <Override PartName="/word/footer47.xml" ContentType="application/vnd.openxmlformats-officedocument.wordprocessingml.footer+xml"/>
  <Override PartName="/word/footer48.xml" ContentType="application/vnd.openxmlformats-officedocument.wordprocessingml.footer+xml"/>
  <Override PartName="/word/header49.xml" ContentType="application/vnd.openxmlformats-officedocument.wordprocessingml.header+xml"/>
  <Override PartName="/word/footer49.xml" ContentType="application/vnd.openxmlformats-officedocument.wordprocessingml.footer+xml"/>
  <Override PartName="/word/header50.xml" ContentType="application/vnd.openxmlformats-officedocument.wordprocessingml.header+xml"/>
  <Override PartName="/word/header51.xml" ContentType="application/vnd.openxmlformats-officedocument.wordprocessingml.header+xml"/>
  <Override PartName="/word/footer50.xml" ContentType="application/vnd.openxmlformats-officedocument.wordprocessingml.footer+xml"/>
  <Override PartName="/word/footer51.xml" ContentType="application/vnd.openxmlformats-officedocument.wordprocessingml.footer+xml"/>
  <Override PartName="/word/header52.xml" ContentType="application/vnd.openxmlformats-officedocument.wordprocessingml.header+xml"/>
  <Override PartName="/word/footer52.xml" ContentType="application/vnd.openxmlformats-officedocument.wordprocessingml.footer+xml"/>
  <Override PartName="/word/header53.xml" ContentType="application/vnd.openxmlformats-officedocument.wordprocessingml.header+xml"/>
  <Override PartName="/word/header54.xml" ContentType="application/vnd.openxmlformats-officedocument.wordprocessingml.header+xml"/>
  <Override PartName="/word/footer53.xml" ContentType="application/vnd.openxmlformats-officedocument.wordprocessingml.footer+xml"/>
  <Override PartName="/word/footer54.xml" ContentType="application/vnd.openxmlformats-officedocument.wordprocessingml.footer+xml"/>
  <Override PartName="/word/header55.xml" ContentType="application/vnd.openxmlformats-officedocument.wordprocessingml.header+xml"/>
  <Override PartName="/word/header56.xml" ContentType="application/vnd.openxmlformats-officedocument.wordprocessingml.header+xml"/>
  <Override PartName="/word/footer55.xml" ContentType="application/vnd.openxmlformats-officedocument.wordprocessingml.footer+xml"/>
  <Override PartName="/word/footer56.xml" ContentType="application/vnd.openxmlformats-officedocument.wordprocessingml.footer+xml"/>
  <Override PartName="/word/header57.xml" ContentType="application/vnd.openxmlformats-officedocument.wordprocessingml.header+xml"/>
  <Override PartName="/word/header58.xml" ContentType="application/vnd.openxmlformats-officedocument.wordprocessingml.header+xml"/>
  <Override PartName="/word/footer57.xml" ContentType="application/vnd.openxmlformats-officedocument.wordprocessingml.footer+xml"/>
  <Override PartName="/word/footer58.xml" ContentType="application/vnd.openxmlformats-officedocument.wordprocessingml.footer+xml"/>
  <Override PartName="/word/header59.xml" ContentType="application/vnd.openxmlformats-officedocument.wordprocessingml.header+xml"/>
  <Override PartName="/word/header60.xml" ContentType="application/vnd.openxmlformats-officedocument.wordprocessingml.header+xml"/>
  <Override PartName="/word/footer59.xml" ContentType="application/vnd.openxmlformats-officedocument.wordprocessingml.footer+xml"/>
  <Override PartName="/word/footer60.xml" ContentType="application/vnd.openxmlformats-officedocument.wordprocessingml.footer+xml"/>
  <Override PartName="/word/header61.xml" ContentType="application/vnd.openxmlformats-officedocument.wordprocessingml.header+xml"/>
  <Override PartName="/word/header62.xml" ContentType="application/vnd.openxmlformats-officedocument.wordprocessingml.header+xml"/>
  <Override PartName="/word/footer61.xml" ContentType="application/vnd.openxmlformats-officedocument.wordprocessingml.footer+xml"/>
  <Override PartName="/word/footer62.xml" ContentType="application/vnd.openxmlformats-officedocument.wordprocessingml.footer+xml"/>
  <Override PartName="/word/header63.xml" ContentType="application/vnd.openxmlformats-officedocument.wordprocessingml.header+xml"/>
  <Override PartName="/word/header64.xml" ContentType="application/vnd.openxmlformats-officedocument.wordprocessingml.header+xml"/>
  <Override PartName="/word/footer63.xml" ContentType="application/vnd.openxmlformats-officedocument.wordprocessingml.footer+xml"/>
  <Override PartName="/word/footer64.xml" ContentType="application/vnd.openxmlformats-officedocument.wordprocessingml.footer+xml"/>
  <Override PartName="/word/header65.xml" ContentType="application/vnd.openxmlformats-officedocument.wordprocessingml.header+xml"/>
  <Override PartName="/word/header66.xml" ContentType="application/vnd.openxmlformats-officedocument.wordprocessingml.header+xml"/>
  <Override PartName="/word/footer65.xml" ContentType="application/vnd.openxmlformats-officedocument.wordprocessingml.footer+xml"/>
  <Override PartName="/word/footer66.xml" ContentType="application/vnd.openxmlformats-officedocument.wordprocessingml.footer+xml"/>
  <Override PartName="/word/header67.xml" ContentType="application/vnd.openxmlformats-officedocument.wordprocessingml.header+xml"/>
  <Override PartName="/word/header68.xml" ContentType="application/vnd.openxmlformats-officedocument.wordprocessingml.header+xml"/>
  <Override PartName="/word/footer67.xml" ContentType="application/vnd.openxmlformats-officedocument.wordprocessingml.footer+xml"/>
  <Override PartName="/word/footer68.xml" ContentType="application/vnd.openxmlformats-officedocument.wordprocessingml.footer+xml"/>
  <Override PartName="/word/header69.xml" ContentType="application/vnd.openxmlformats-officedocument.wordprocessingml.header+xml"/>
  <Override PartName="/word/footer69.xml" ContentType="application/vnd.openxmlformats-officedocument.wordprocessingml.footer+xml"/>
  <Override PartName="/word/header70.xml" ContentType="application/vnd.openxmlformats-officedocument.wordprocessingml.header+xml"/>
  <Override PartName="/word/header71.xml" ContentType="application/vnd.openxmlformats-officedocument.wordprocessingml.header+xml"/>
  <Override PartName="/word/footer70.xml" ContentType="application/vnd.openxmlformats-officedocument.wordprocessingml.footer+xml"/>
  <Override PartName="/word/footer71.xml" ContentType="application/vnd.openxmlformats-officedocument.wordprocessingml.footer+xml"/>
  <Override PartName="/word/header72.xml" ContentType="application/vnd.openxmlformats-officedocument.wordprocessingml.header+xml"/>
  <Override PartName="/word/footer72.xml" ContentType="application/vnd.openxmlformats-officedocument.wordprocessingml.footer+xml"/>
  <Override PartName="/word/header73.xml" ContentType="application/vnd.openxmlformats-officedocument.wordprocessingml.header+xml"/>
  <Override PartName="/word/header74.xml" ContentType="application/vnd.openxmlformats-officedocument.wordprocessingml.header+xml"/>
  <Override PartName="/word/footer73.xml" ContentType="application/vnd.openxmlformats-officedocument.wordprocessingml.footer+xml"/>
  <Override PartName="/word/footer74.xml" ContentType="application/vnd.openxmlformats-officedocument.wordprocessingml.footer+xml"/>
  <Override PartName="/word/header75.xml" ContentType="application/vnd.openxmlformats-officedocument.wordprocessingml.header+xml"/>
  <Override PartName="/word/footer75.xml" ContentType="application/vnd.openxmlformats-officedocument.wordprocessingml.footer+xml"/>
  <Override PartName="/word/header76.xml" ContentType="application/vnd.openxmlformats-officedocument.wordprocessingml.header+xml"/>
  <Override PartName="/word/header77.xml" ContentType="application/vnd.openxmlformats-officedocument.wordprocessingml.header+xml"/>
  <Override PartName="/word/footer76.xml" ContentType="application/vnd.openxmlformats-officedocument.wordprocessingml.footer+xml"/>
  <Override PartName="/word/footer77.xml" ContentType="application/vnd.openxmlformats-officedocument.wordprocessingml.footer+xml"/>
  <Override PartName="/word/header78.xml" ContentType="application/vnd.openxmlformats-officedocument.wordprocessingml.header+xml"/>
  <Override PartName="/word/header79.xml" ContentType="application/vnd.openxmlformats-officedocument.wordprocessingml.header+xml"/>
  <Override PartName="/word/footer78.xml" ContentType="application/vnd.openxmlformats-officedocument.wordprocessingml.footer+xml"/>
  <Override PartName="/word/footer79.xml" ContentType="application/vnd.openxmlformats-officedocument.wordprocessingml.footer+xml"/>
  <Override PartName="/word/header80.xml" ContentType="application/vnd.openxmlformats-officedocument.wordprocessingml.header+xml"/>
  <Override PartName="/word/footer80.xml" ContentType="application/vnd.openxmlformats-officedocument.wordprocessingml.footer+xml"/>
  <Override PartName="/word/header81.xml" ContentType="application/vnd.openxmlformats-officedocument.wordprocessingml.header+xml"/>
  <Override PartName="/word/header82.xml" ContentType="application/vnd.openxmlformats-officedocument.wordprocessingml.header+xml"/>
  <Override PartName="/word/footer81.xml" ContentType="application/vnd.openxmlformats-officedocument.wordprocessingml.footer+xml"/>
  <Override PartName="/word/footer82.xml" ContentType="application/vnd.openxmlformats-officedocument.wordprocessingml.footer+xml"/>
  <Override PartName="/word/header83.xml" ContentType="application/vnd.openxmlformats-officedocument.wordprocessingml.header+xml"/>
  <Override PartName="/word/footer83.xml" ContentType="application/vnd.openxmlformats-officedocument.wordprocessingml.footer+xml"/>
  <Override PartName="/word/header84.xml" ContentType="application/vnd.openxmlformats-officedocument.wordprocessingml.header+xml"/>
  <Override PartName="/word/header85.xml" ContentType="application/vnd.openxmlformats-officedocument.wordprocessingml.header+xml"/>
  <Override PartName="/word/footer84.xml" ContentType="application/vnd.openxmlformats-officedocument.wordprocessingml.footer+xml"/>
  <Override PartName="/word/footer85.xml" ContentType="application/vnd.openxmlformats-officedocument.wordprocessingml.footer+xml"/>
  <Override PartName="/word/header86.xml" ContentType="application/vnd.openxmlformats-officedocument.wordprocessingml.header+xml"/>
  <Override PartName="/word/header87.xml" ContentType="application/vnd.openxmlformats-officedocument.wordprocessingml.header+xml"/>
  <Override PartName="/word/footer86.xml" ContentType="application/vnd.openxmlformats-officedocument.wordprocessingml.footer+xml"/>
  <Override PartName="/word/footer87.xml" ContentType="application/vnd.openxmlformats-officedocument.wordprocessingml.footer+xml"/>
  <Override PartName="/word/header88.xml" ContentType="application/vnd.openxmlformats-officedocument.wordprocessingml.header+xml"/>
  <Override PartName="/word/header89.xml" ContentType="application/vnd.openxmlformats-officedocument.wordprocessingml.header+xml"/>
  <Override PartName="/word/footer88.xml" ContentType="application/vnd.openxmlformats-officedocument.wordprocessingml.footer+xml"/>
  <Override PartName="/word/footer89.xml" ContentType="application/vnd.openxmlformats-officedocument.wordprocessingml.footer+xml"/>
  <Override PartName="/word/header90.xml" ContentType="application/vnd.openxmlformats-officedocument.wordprocessingml.header+xml"/>
  <Override PartName="/word/header91.xml" ContentType="application/vnd.openxmlformats-officedocument.wordprocessingml.header+xml"/>
  <Override PartName="/word/footer90.xml" ContentType="application/vnd.openxmlformats-officedocument.wordprocessingml.footer+xml"/>
  <Override PartName="/word/footer91.xml" ContentType="application/vnd.openxmlformats-officedocument.wordprocessingml.footer+xml"/>
  <Override PartName="/word/header92.xml" ContentType="application/vnd.openxmlformats-officedocument.wordprocessingml.header+xml"/>
  <Override PartName="/word/header93.xml" ContentType="application/vnd.openxmlformats-officedocument.wordprocessingml.header+xml"/>
  <Override PartName="/word/footer92.xml" ContentType="application/vnd.openxmlformats-officedocument.wordprocessingml.footer+xml"/>
  <Override PartName="/word/footer93.xml" ContentType="application/vnd.openxmlformats-officedocument.wordprocessingml.footer+xml"/>
  <Override PartName="/word/header94.xml" ContentType="application/vnd.openxmlformats-officedocument.wordprocessingml.header+xml"/>
  <Override PartName="/word/header95.xml" ContentType="application/vnd.openxmlformats-officedocument.wordprocessingml.header+xml"/>
  <Override PartName="/word/footer94.xml" ContentType="application/vnd.openxmlformats-officedocument.wordprocessingml.footer+xml"/>
  <Override PartName="/word/footer95.xml" ContentType="application/vnd.openxmlformats-officedocument.wordprocessingml.footer+xml"/>
  <Override PartName="/word/header96.xml" ContentType="application/vnd.openxmlformats-officedocument.wordprocessingml.header+xml"/>
  <Override PartName="/word/footer96.xml" ContentType="application/vnd.openxmlformats-officedocument.wordprocessingml.footer+xml"/>
  <Override PartName="/word/header97.xml" ContentType="application/vnd.openxmlformats-officedocument.wordprocessingml.header+xml"/>
  <Override PartName="/word/header98.xml" ContentType="application/vnd.openxmlformats-officedocument.wordprocessingml.header+xml"/>
  <Override PartName="/word/footer97.xml" ContentType="application/vnd.openxmlformats-officedocument.wordprocessingml.footer+xml"/>
  <Override PartName="/word/footer98.xml" ContentType="application/vnd.openxmlformats-officedocument.wordprocessingml.footer+xml"/>
  <Override PartName="/word/header99.xml" ContentType="application/vnd.openxmlformats-officedocument.wordprocessingml.header+xml"/>
  <Override PartName="/word/header100.xml" ContentType="application/vnd.openxmlformats-officedocument.wordprocessingml.header+xml"/>
  <Override PartName="/word/footer99.xml" ContentType="application/vnd.openxmlformats-officedocument.wordprocessingml.footer+xml"/>
  <Override PartName="/word/footer100.xml" ContentType="application/vnd.openxmlformats-officedocument.wordprocessingml.footer+xml"/>
  <Override PartName="/word/header101.xml" ContentType="application/vnd.openxmlformats-officedocument.wordprocessingml.header+xml"/>
  <Override PartName="/word/header102.xml" ContentType="application/vnd.openxmlformats-officedocument.wordprocessingml.header+xml"/>
  <Override PartName="/word/footer101.xml" ContentType="application/vnd.openxmlformats-officedocument.wordprocessingml.footer+xml"/>
  <Override PartName="/word/footer102.xml" ContentType="application/vnd.openxmlformats-officedocument.wordprocessingml.footer+xml"/>
  <Override PartName="/word/header103.xml" ContentType="application/vnd.openxmlformats-officedocument.wordprocessingml.header+xml"/>
  <Override PartName="/word/header104.xml" ContentType="application/vnd.openxmlformats-officedocument.wordprocessingml.header+xml"/>
  <Override PartName="/word/footer103.xml" ContentType="application/vnd.openxmlformats-officedocument.wordprocessingml.footer+xml"/>
  <Override PartName="/word/footer104.xml" ContentType="application/vnd.openxmlformats-officedocument.wordprocessingml.footer+xml"/>
  <Override PartName="/word/header105.xml" ContentType="application/vnd.openxmlformats-officedocument.wordprocessingml.header+xml"/>
  <Override PartName="/word/header106.xml" ContentType="application/vnd.openxmlformats-officedocument.wordprocessingml.header+xml"/>
  <Override PartName="/word/footer105.xml" ContentType="application/vnd.openxmlformats-officedocument.wordprocessingml.footer+xml"/>
  <Override PartName="/word/footer106.xml" ContentType="application/vnd.openxmlformats-officedocument.wordprocessingml.footer+xml"/>
  <Override PartName="/word/header107.xml" ContentType="application/vnd.openxmlformats-officedocument.wordprocessingml.header+xml"/>
  <Override PartName="/word/header108.xml" ContentType="application/vnd.openxmlformats-officedocument.wordprocessingml.header+xml"/>
  <Override PartName="/word/footer107.xml" ContentType="application/vnd.openxmlformats-officedocument.wordprocessingml.footer+xml"/>
  <Override PartName="/word/footer108.xml" ContentType="application/vnd.openxmlformats-officedocument.wordprocessingml.footer+xml"/>
  <Override PartName="/word/header109.xml" ContentType="application/vnd.openxmlformats-officedocument.wordprocessingml.header+xml"/>
  <Override PartName="/word/footer109.xml" ContentType="application/vnd.openxmlformats-officedocument.wordprocessingml.footer+xml"/>
  <Override PartName="/word/header110.xml" ContentType="application/vnd.openxmlformats-officedocument.wordprocessingml.header+xml"/>
  <Override PartName="/word/header111.xml" ContentType="application/vnd.openxmlformats-officedocument.wordprocessingml.header+xml"/>
  <Override PartName="/word/footer110.xml" ContentType="application/vnd.openxmlformats-officedocument.wordprocessingml.footer+xml"/>
  <Override PartName="/word/footer111.xml" ContentType="application/vnd.openxmlformats-officedocument.wordprocessingml.footer+xml"/>
  <Override PartName="/word/header112.xml" ContentType="application/vnd.openxmlformats-officedocument.wordprocessingml.header+xml"/>
  <Override PartName="/word/footer112.xml" ContentType="application/vnd.openxmlformats-officedocument.wordprocessingml.footer+xml"/>
  <Override PartName="/word/header113.xml" ContentType="application/vnd.openxmlformats-officedocument.wordprocessingml.header+xml"/>
  <Override PartName="/word/header114.xml" ContentType="application/vnd.openxmlformats-officedocument.wordprocessingml.header+xml"/>
  <Override PartName="/word/footer113.xml" ContentType="application/vnd.openxmlformats-officedocument.wordprocessingml.footer+xml"/>
  <Override PartName="/word/footer114.xml" ContentType="application/vnd.openxmlformats-officedocument.wordprocessingml.footer+xml"/>
  <Override PartName="/word/header115.xml" ContentType="application/vnd.openxmlformats-officedocument.wordprocessingml.header+xml"/>
  <Override PartName="/word/header116.xml" ContentType="application/vnd.openxmlformats-officedocument.wordprocessingml.header+xml"/>
  <Override PartName="/word/footer115.xml" ContentType="application/vnd.openxmlformats-officedocument.wordprocessingml.footer+xml"/>
  <Override PartName="/word/footer116.xml" ContentType="application/vnd.openxmlformats-officedocument.wordprocessingml.footer+xml"/>
  <Override PartName="/word/header117.xml" ContentType="application/vnd.openxmlformats-officedocument.wordprocessingml.header+xml"/>
  <Override PartName="/word/header118.xml" ContentType="application/vnd.openxmlformats-officedocument.wordprocessingml.header+xml"/>
  <Override PartName="/word/footer117.xml" ContentType="application/vnd.openxmlformats-officedocument.wordprocessingml.footer+xml"/>
  <Override PartName="/word/footer118.xml" ContentType="application/vnd.openxmlformats-officedocument.wordprocessingml.footer+xml"/>
  <Override PartName="/word/header119.xml" ContentType="application/vnd.openxmlformats-officedocument.wordprocessingml.header+xml"/>
  <Override PartName="/word/header120.xml" ContentType="application/vnd.openxmlformats-officedocument.wordprocessingml.header+xml"/>
  <Override PartName="/word/footer119.xml" ContentType="application/vnd.openxmlformats-officedocument.wordprocessingml.footer+xml"/>
  <Override PartName="/word/footer120.xml" ContentType="application/vnd.openxmlformats-officedocument.wordprocessingml.footer+xml"/>
  <Override PartName="/word/header121.xml" ContentType="application/vnd.openxmlformats-officedocument.wordprocessingml.header+xml"/>
  <Override PartName="/word/header122.xml" ContentType="application/vnd.openxmlformats-officedocument.wordprocessingml.header+xml"/>
  <Override PartName="/word/footer121.xml" ContentType="application/vnd.openxmlformats-officedocument.wordprocessingml.footer+xml"/>
  <Override PartName="/word/footer122.xml" ContentType="application/vnd.openxmlformats-officedocument.wordprocessingml.footer+xml"/>
  <Override PartName="/word/header123.xml" ContentType="application/vnd.openxmlformats-officedocument.wordprocessingml.header+xml"/>
  <Override PartName="/word/header124.xml" ContentType="application/vnd.openxmlformats-officedocument.wordprocessingml.header+xml"/>
  <Override PartName="/word/footer123.xml" ContentType="application/vnd.openxmlformats-officedocument.wordprocessingml.footer+xml"/>
  <Override PartName="/word/footer124.xml" ContentType="application/vnd.openxmlformats-officedocument.wordprocessingml.footer+xml"/>
  <Override PartName="/word/header125.xml" ContentType="application/vnd.openxmlformats-officedocument.wordprocessingml.header+xml"/>
  <Override PartName="/word/header126.xml" ContentType="application/vnd.openxmlformats-officedocument.wordprocessingml.header+xml"/>
  <Override PartName="/word/footer125.xml" ContentType="application/vnd.openxmlformats-officedocument.wordprocessingml.footer+xml"/>
  <Override PartName="/word/footer126.xml" ContentType="application/vnd.openxmlformats-officedocument.wordprocessingml.footer+xml"/>
  <Override PartName="/word/header127.xml" ContentType="application/vnd.openxmlformats-officedocument.wordprocessingml.header+xml"/>
  <Override PartName="/word/header128.xml" ContentType="application/vnd.openxmlformats-officedocument.wordprocessingml.header+xml"/>
  <Override PartName="/word/footer127.xml" ContentType="application/vnd.openxmlformats-officedocument.wordprocessingml.footer+xml"/>
  <Override PartName="/word/footer128.xml" ContentType="application/vnd.openxmlformats-officedocument.wordprocessingml.footer+xml"/>
  <Override PartName="/word/header129.xml" ContentType="application/vnd.openxmlformats-officedocument.wordprocessingml.header+xml"/>
  <Override PartName="/word/header130.xml" ContentType="application/vnd.openxmlformats-officedocument.wordprocessingml.header+xml"/>
  <Override PartName="/word/footer129.xml" ContentType="application/vnd.openxmlformats-officedocument.wordprocessingml.footer+xml"/>
  <Override PartName="/word/footer130.xml" ContentType="application/vnd.openxmlformats-officedocument.wordprocessingml.footer+xml"/>
  <Override PartName="/word/header131.xml" ContentType="application/vnd.openxmlformats-officedocument.wordprocessingml.header+xml"/>
  <Override PartName="/word/footer131.xml" ContentType="application/vnd.openxmlformats-officedocument.wordprocessingml.footer+xml"/>
  <Override PartName="/word/header132.xml" ContentType="application/vnd.openxmlformats-officedocument.wordprocessingml.header+xml"/>
  <Override PartName="/word/header133.xml" ContentType="application/vnd.openxmlformats-officedocument.wordprocessingml.header+xml"/>
  <Override PartName="/word/footer132.xml" ContentType="application/vnd.openxmlformats-officedocument.wordprocessingml.footer+xml"/>
  <Override PartName="/word/footer133.xml" ContentType="application/vnd.openxmlformats-officedocument.wordprocessingml.footer+xml"/>
  <Override PartName="/word/header134.xml" ContentType="application/vnd.openxmlformats-officedocument.wordprocessingml.header+xml"/>
  <Override PartName="/word/footer134.xml" ContentType="application/vnd.openxmlformats-officedocument.wordprocessingml.footer+xml"/>
  <Override PartName="/word/header135.xml" ContentType="application/vnd.openxmlformats-officedocument.wordprocessingml.header+xml"/>
  <Override PartName="/word/header136.xml" ContentType="application/vnd.openxmlformats-officedocument.wordprocessingml.header+xml"/>
  <Override PartName="/word/footer135.xml" ContentType="application/vnd.openxmlformats-officedocument.wordprocessingml.footer+xml"/>
  <Override PartName="/word/footer136.xml" ContentType="application/vnd.openxmlformats-officedocument.wordprocessingml.footer+xml"/>
  <Override PartName="/word/header137.xml" ContentType="application/vnd.openxmlformats-officedocument.wordprocessingml.header+xml"/>
  <Override PartName="/word/header138.xml" ContentType="application/vnd.openxmlformats-officedocument.wordprocessingml.header+xml"/>
  <Override PartName="/word/footer137.xml" ContentType="application/vnd.openxmlformats-officedocument.wordprocessingml.footer+xml"/>
  <Override PartName="/word/footer138.xml" ContentType="application/vnd.openxmlformats-officedocument.wordprocessingml.footer+xml"/>
  <Override PartName="/word/header139.xml" ContentType="application/vnd.openxmlformats-officedocument.wordprocessingml.header+xml"/>
  <Override PartName="/word/header140.xml" ContentType="application/vnd.openxmlformats-officedocument.wordprocessingml.header+xml"/>
  <Override PartName="/word/footer139.xml" ContentType="application/vnd.openxmlformats-officedocument.wordprocessingml.footer+xml"/>
  <Override PartName="/word/footer140.xml" ContentType="application/vnd.openxmlformats-officedocument.wordprocessingml.footer+xml"/>
  <Override PartName="/word/header141.xml" ContentType="application/vnd.openxmlformats-officedocument.wordprocessingml.header+xml"/>
  <Override PartName="/word/header142.xml" ContentType="application/vnd.openxmlformats-officedocument.wordprocessingml.header+xml"/>
  <Override PartName="/word/footer141.xml" ContentType="application/vnd.openxmlformats-officedocument.wordprocessingml.footer+xml"/>
  <Override PartName="/word/footer142.xml" ContentType="application/vnd.openxmlformats-officedocument.wordprocessingml.footer+xml"/>
  <Override PartName="/word/header143.xml" ContentType="application/vnd.openxmlformats-officedocument.wordprocessingml.header+xml"/>
  <Override PartName="/word/header144.xml" ContentType="application/vnd.openxmlformats-officedocument.wordprocessingml.header+xml"/>
  <Override PartName="/word/footer143.xml" ContentType="application/vnd.openxmlformats-officedocument.wordprocessingml.footer+xml"/>
  <Override PartName="/word/footer144.xml" ContentType="application/vnd.openxmlformats-officedocument.wordprocessingml.footer+xml"/>
  <Override PartName="/word/header145.xml" ContentType="application/vnd.openxmlformats-officedocument.wordprocessingml.header+xml"/>
  <Override PartName="/word/header146.xml" ContentType="application/vnd.openxmlformats-officedocument.wordprocessingml.header+xml"/>
  <Override PartName="/word/footer145.xml" ContentType="application/vnd.openxmlformats-officedocument.wordprocessingml.footer+xml"/>
  <Override PartName="/word/footer146.xml" ContentType="application/vnd.openxmlformats-officedocument.wordprocessingml.footer+xml"/>
  <Override PartName="/word/header147.xml" ContentType="application/vnd.openxmlformats-officedocument.wordprocessingml.header+xml"/>
  <Override PartName="/word/header148.xml" ContentType="application/vnd.openxmlformats-officedocument.wordprocessingml.header+xml"/>
  <Override PartName="/word/footer147.xml" ContentType="application/vnd.openxmlformats-officedocument.wordprocessingml.footer+xml"/>
  <Override PartName="/word/footer148.xml" ContentType="application/vnd.openxmlformats-officedocument.wordprocessingml.footer+xml"/>
  <Override PartName="/word/header149.xml" ContentType="application/vnd.openxmlformats-officedocument.wordprocessingml.header+xml"/>
  <Override PartName="/word/header150.xml" ContentType="application/vnd.openxmlformats-officedocument.wordprocessingml.header+xml"/>
  <Override PartName="/word/footer149.xml" ContentType="application/vnd.openxmlformats-officedocument.wordprocessingml.footer+xml"/>
  <Override PartName="/word/footer150.xml" ContentType="application/vnd.openxmlformats-officedocument.wordprocessingml.footer+xml"/>
  <Override PartName="/word/header151.xml" ContentType="application/vnd.openxmlformats-officedocument.wordprocessingml.header+xml"/>
  <Override PartName="/word/header152.xml" ContentType="application/vnd.openxmlformats-officedocument.wordprocessingml.header+xml"/>
  <Override PartName="/word/footer151.xml" ContentType="application/vnd.openxmlformats-officedocument.wordprocessingml.footer+xml"/>
  <Override PartName="/word/footer152.xml" ContentType="application/vnd.openxmlformats-officedocument.wordprocessingml.footer+xml"/>
  <Override PartName="/word/header153.xml" ContentType="application/vnd.openxmlformats-officedocument.wordprocessingml.header+xml"/>
  <Override PartName="/word/header154.xml" ContentType="application/vnd.openxmlformats-officedocument.wordprocessingml.header+xml"/>
  <Override PartName="/word/footer153.xml" ContentType="application/vnd.openxmlformats-officedocument.wordprocessingml.footer+xml"/>
  <Override PartName="/word/footer154.xml" ContentType="application/vnd.openxmlformats-officedocument.wordprocessingml.footer+xml"/>
  <Override PartName="/word/header155.xml" ContentType="application/vnd.openxmlformats-officedocument.wordprocessingml.header+xml"/>
  <Override PartName="/word/header156.xml" ContentType="application/vnd.openxmlformats-officedocument.wordprocessingml.header+xml"/>
  <Override PartName="/word/footer155.xml" ContentType="application/vnd.openxmlformats-officedocument.wordprocessingml.footer+xml"/>
  <Override PartName="/word/footer156.xml" ContentType="application/vnd.openxmlformats-officedocument.wordprocessingml.footer+xml"/>
  <Override PartName="/word/header157.xml" ContentType="application/vnd.openxmlformats-officedocument.wordprocessingml.header+xml"/>
  <Override PartName="/word/header158.xml" ContentType="application/vnd.openxmlformats-officedocument.wordprocessingml.header+xml"/>
  <Override PartName="/word/footer157.xml" ContentType="application/vnd.openxmlformats-officedocument.wordprocessingml.footer+xml"/>
  <Override PartName="/word/footer158.xml" ContentType="application/vnd.openxmlformats-officedocument.wordprocessingml.footer+xml"/>
  <Override PartName="/word/header159.xml" ContentType="application/vnd.openxmlformats-officedocument.wordprocessingml.header+xml"/>
  <Override PartName="/word/header160.xml" ContentType="application/vnd.openxmlformats-officedocument.wordprocessingml.header+xml"/>
  <Override PartName="/word/footer159.xml" ContentType="application/vnd.openxmlformats-officedocument.wordprocessingml.footer+xml"/>
  <Override PartName="/word/footer160.xml" ContentType="application/vnd.openxmlformats-officedocument.wordprocessingml.footer+xml"/>
  <Override PartName="/word/header161.xml" ContentType="application/vnd.openxmlformats-officedocument.wordprocessingml.header+xml"/>
  <Override PartName="/word/header162.xml" ContentType="application/vnd.openxmlformats-officedocument.wordprocessingml.header+xml"/>
  <Override PartName="/word/footer161.xml" ContentType="application/vnd.openxmlformats-officedocument.wordprocessingml.footer+xml"/>
  <Override PartName="/word/footer162.xml" ContentType="application/vnd.openxmlformats-officedocument.wordprocessingml.footer+xml"/>
  <Override PartName="/word/header163.xml" ContentType="application/vnd.openxmlformats-officedocument.wordprocessingml.header+xml"/>
  <Override PartName="/word/header164.xml" ContentType="application/vnd.openxmlformats-officedocument.wordprocessingml.header+xml"/>
  <Override PartName="/word/footer163.xml" ContentType="application/vnd.openxmlformats-officedocument.wordprocessingml.footer+xml"/>
  <Override PartName="/word/footer164.xml" ContentType="application/vnd.openxmlformats-officedocument.wordprocessingml.footer+xml"/>
  <Override PartName="/word/header165.xml" ContentType="application/vnd.openxmlformats-officedocument.wordprocessingml.header+xml"/>
  <Override PartName="/word/header166.xml" ContentType="application/vnd.openxmlformats-officedocument.wordprocessingml.header+xml"/>
  <Override PartName="/word/footer165.xml" ContentType="application/vnd.openxmlformats-officedocument.wordprocessingml.footer+xml"/>
  <Override PartName="/word/footer166.xml" ContentType="application/vnd.openxmlformats-officedocument.wordprocessingml.footer+xml"/>
  <Override PartName="/word/header167.xml" ContentType="application/vnd.openxmlformats-officedocument.wordprocessingml.header+xml"/>
  <Override PartName="/word/header168.xml" ContentType="application/vnd.openxmlformats-officedocument.wordprocessingml.header+xml"/>
  <Override PartName="/word/footer167.xml" ContentType="application/vnd.openxmlformats-officedocument.wordprocessingml.footer+xml"/>
  <Override PartName="/word/footer168.xml" ContentType="application/vnd.openxmlformats-officedocument.wordprocessingml.footer+xml"/>
  <Override PartName="/word/header169.xml" ContentType="application/vnd.openxmlformats-officedocument.wordprocessingml.header+xml"/>
  <Override PartName="/word/header170.xml" ContentType="application/vnd.openxmlformats-officedocument.wordprocessingml.header+xml"/>
  <Override PartName="/word/footer169.xml" ContentType="application/vnd.openxmlformats-officedocument.wordprocessingml.footer+xml"/>
  <Override PartName="/word/footer170.xml" ContentType="application/vnd.openxmlformats-officedocument.wordprocessingml.footer+xml"/>
  <Override PartName="/word/header171.xml" ContentType="application/vnd.openxmlformats-officedocument.wordprocessingml.header+xml"/>
  <Override PartName="/word/header172.xml" ContentType="application/vnd.openxmlformats-officedocument.wordprocessingml.header+xml"/>
  <Override PartName="/word/footer171.xml" ContentType="application/vnd.openxmlformats-officedocument.wordprocessingml.footer+xml"/>
  <Override PartName="/word/footer172.xml" ContentType="application/vnd.openxmlformats-officedocument.wordprocessingml.footer+xml"/>
  <Override PartName="/word/header173.xml" ContentType="application/vnd.openxmlformats-officedocument.wordprocessingml.header+xml"/>
  <Override PartName="/word/header174.xml" ContentType="application/vnd.openxmlformats-officedocument.wordprocessingml.header+xml"/>
  <Override PartName="/word/footer173.xml" ContentType="application/vnd.openxmlformats-officedocument.wordprocessingml.footer+xml"/>
  <Override PartName="/word/footer174.xml" ContentType="application/vnd.openxmlformats-officedocument.wordprocessingml.footer+xml"/>
  <Override PartName="/word/header175.xml" ContentType="application/vnd.openxmlformats-officedocument.wordprocessingml.header+xml"/>
  <Override PartName="/word/header176.xml" ContentType="application/vnd.openxmlformats-officedocument.wordprocessingml.header+xml"/>
  <Override PartName="/word/footer175.xml" ContentType="application/vnd.openxmlformats-officedocument.wordprocessingml.footer+xml"/>
  <Override PartName="/word/footer176.xml" ContentType="application/vnd.openxmlformats-officedocument.wordprocessingml.footer+xml"/>
  <Override PartName="/word/header177.xml" ContentType="application/vnd.openxmlformats-officedocument.wordprocessingml.header+xml"/>
  <Override PartName="/word/header178.xml" ContentType="application/vnd.openxmlformats-officedocument.wordprocessingml.header+xml"/>
  <Override PartName="/word/footer177.xml" ContentType="application/vnd.openxmlformats-officedocument.wordprocessingml.footer+xml"/>
  <Override PartName="/word/footer178.xml" ContentType="application/vnd.openxmlformats-officedocument.wordprocessingml.footer+xml"/>
  <Override PartName="/word/header179.xml" ContentType="application/vnd.openxmlformats-officedocument.wordprocessingml.header+xml"/>
  <Override PartName="/word/footer179.xml" ContentType="application/vnd.openxmlformats-officedocument.wordprocessingml.footer+xml"/>
  <Override PartName="/word/header180.xml" ContentType="application/vnd.openxmlformats-officedocument.wordprocessingml.header+xml"/>
  <Override PartName="/word/header181.xml" ContentType="application/vnd.openxmlformats-officedocument.wordprocessingml.header+xml"/>
  <Override PartName="/word/footer180.xml" ContentType="application/vnd.openxmlformats-officedocument.wordprocessingml.footer+xml"/>
  <Override PartName="/word/footer181.xml" ContentType="application/vnd.openxmlformats-officedocument.wordprocessingml.footer+xml"/>
  <Override PartName="/word/header182.xml" ContentType="application/vnd.openxmlformats-officedocument.wordprocessingml.header+xml"/>
  <Override PartName="/word/header183.xml" ContentType="application/vnd.openxmlformats-officedocument.wordprocessingml.header+xml"/>
  <Override PartName="/word/footer182.xml" ContentType="application/vnd.openxmlformats-officedocument.wordprocessingml.footer+xml"/>
  <Override PartName="/word/footer183.xml" ContentType="application/vnd.openxmlformats-officedocument.wordprocessingml.footer+xml"/>
  <Override PartName="/word/header184.xml" ContentType="application/vnd.openxmlformats-officedocument.wordprocessingml.header+xml"/>
  <Override PartName="/word/header185.xml" ContentType="application/vnd.openxmlformats-officedocument.wordprocessingml.header+xml"/>
  <Override PartName="/word/footer184.xml" ContentType="application/vnd.openxmlformats-officedocument.wordprocessingml.footer+xml"/>
  <Override PartName="/word/footer185.xml" ContentType="application/vnd.openxmlformats-officedocument.wordprocessingml.footer+xml"/>
  <Override PartName="/word/header186.xml" ContentType="application/vnd.openxmlformats-officedocument.wordprocessingml.header+xml"/>
  <Override PartName="/word/header187.xml" ContentType="application/vnd.openxmlformats-officedocument.wordprocessingml.header+xml"/>
  <Override PartName="/word/footer186.xml" ContentType="application/vnd.openxmlformats-officedocument.wordprocessingml.footer+xml"/>
  <Override PartName="/word/footer187.xml" ContentType="application/vnd.openxmlformats-officedocument.wordprocessingml.footer+xml"/>
  <Override PartName="/word/header188.xml" ContentType="application/vnd.openxmlformats-officedocument.wordprocessingml.header+xml"/>
  <Override PartName="/word/header189.xml" ContentType="application/vnd.openxmlformats-officedocument.wordprocessingml.header+xml"/>
  <Override PartName="/word/footer188.xml" ContentType="application/vnd.openxmlformats-officedocument.wordprocessingml.footer+xml"/>
  <Override PartName="/word/footer189.xml" ContentType="application/vnd.openxmlformats-officedocument.wordprocessingml.footer+xml"/>
  <Override PartName="/word/header190.xml" ContentType="application/vnd.openxmlformats-officedocument.wordprocessingml.header+xml"/>
  <Override PartName="/word/header191.xml" ContentType="application/vnd.openxmlformats-officedocument.wordprocessingml.header+xml"/>
  <Override PartName="/word/footer190.xml" ContentType="application/vnd.openxmlformats-officedocument.wordprocessingml.footer+xml"/>
  <Override PartName="/word/footer191.xml" ContentType="application/vnd.openxmlformats-officedocument.wordprocessingml.footer+xml"/>
  <Override PartName="/word/header192.xml" ContentType="application/vnd.openxmlformats-officedocument.wordprocessingml.header+xml"/>
  <Override PartName="/word/header193.xml" ContentType="application/vnd.openxmlformats-officedocument.wordprocessingml.header+xml"/>
  <Override PartName="/word/footer192.xml" ContentType="application/vnd.openxmlformats-officedocument.wordprocessingml.footer+xml"/>
  <Override PartName="/word/footer193.xml" ContentType="application/vnd.openxmlformats-officedocument.wordprocessingml.footer+xml"/>
  <Override PartName="/word/header194.xml" ContentType="application/vnd.openxmlformats-officedocument.wordprocessingml.header+xml"/>
  <Override PartName="/word/header195.xml" ContentType="application/vnd.openxmlformats-officedocument.wordprocessingml.header+xml"/>
  <Override PartName="/word/footer194.xml" ContentType="application/vnd.openxmlformats-officedocument.wordprocessingml.footer+xml"/>
  <Override PartName="/word/footer195.xml" ContentType="application/vnd.openxmlformats-officedocument.wordprocessingml.footer+xml"/>
  <Override PartName="/word/header196.xml" ContentType="application/vnd.openxmlformats-officedocument.wordprocessingml.header+xml"/>
  <Override PartName="/word/header197.xml" ContentType="application/vnd.openxmlformats-officedocument.wordprocessingml.header+xml"/>
  <Override PartName="/word/footer196.xml" ContentType="application/vnd.openxmlformats-officedocument.wordprocessingml.footer+xml"/>
  <Override PartName="/word/footer197.xml" ContentType="application/vnd.openxmlformats-officedocument.wordprocessingml.footer+xml"/>
  <Override PartName="/word/header198.xml" ContentType="application/vnd.openxmlformats-officedocument.wordprocessingml.header+xml"/>
  <Override PartName="/word/header199.xml" ContentType="application/vnd.openxmlformats-officedocument.wordprocessingml.header+xml"/>
  <Override PartName="/word/footer198.xml" ContentType="application/vnd.openxmlformats-officedocument.wordprocessingml.footer+xml"/>
  <Override PartName="/word/footer199.xml" ContentType="application/vnd.openxmlformats-officedocument.wordprocessingml.footer+xml"/>
  <Override PartName="/word/header200.xml" ContentType="application/vnd.openxmlformats-officedocument.wordprocessingml.header+xml"/>
  <Override PartName="/word/header201.xml" ContentType="application/vnd.openxmlformats-officedocument.wordprocessingml.header+xml"/>
  <Override PartName="/word/footer200.xml" ContentType="application/vnd.openxmlformats-officedocument.wordprocessingml.footer+xml"/>
  <Override PartName="/word/footer201.xml" ContentType="application/vnd.openxmlformats-officedocument.wordprocessingml.footer+xml"/>
  <Override PartName="/word/header202.xml" ContentType="application/vnd.openxmlformats-officedocument.wordprocessingml.header+xml"/>
  <Override PartName="/word/header203.xml" ContentType="application/vnd.openxmlformats-officedocument.wordprocessingml.header+xml"/>
  <Override PartName="/word/footer202.xml" ContentType="application/vnd.openxmlformats-officedocument.wordprocessingml.footer+xml"/>
  <Override PartName="/word/footer203.xml" ContentType="application/vnd.openxmlformats-officedocument.wordprocessingml.footer+xml"/>
  <Override PartName="/word/header204.xml" ContentType="application/vnd.openxmlformats-officedocument.wordprocessingml.header+xml"/>
  <Override PartName="/word/header205.xml" ContentType="application/vnd.openxmlformats-officedocument.wordprocessingml.header+xml"/>
  <Override PartName="/word/footer204.xml" ContentType="application/vnd.openxmlformats-officedocument.wordprocessingml.footer+xml"/>
  <Override PartName="/word/footer205.xml" ContentType="application/vnd.openxmlformats-officedocument.wordprocessingml.footer+xml"/>
  <Override PartName="/word/header206.xml" ContentType="application/vnd.openxmlformats-officedocument.wordprocessingml.header+xml"/>
  <Override PartName="/word/header207.xml" ContentType="application/vnd.openxmlformats-officedocument.wordprocessingml.header+xml"/>
  <Override PartName="/word/footer206.xml" ContentType="application/vnd.openxmlformats-officedocument.wordprocessingml.footer+xml"/>
  <Override PartName="/word/footer207.xml" ContentType="application/vnd.openxmlformats-officedocument.wordprocessingml.footer+xml"/>
  <Override PartName="/word/header208.xml" ContentType="application/vnd.openxmlformats-officedocument.wordprocessingml.header+xml"/>
  <Override PartName="/word/header209.xml" ContentType="application/vnd.openxmlformats-officedocument.wordprocessingml.header+xml"/>
  <Override PartName="/word/footer208.xml" ContentType="application/vnd.openxmlformats-officedocument.wordprocessingml.footer+xml"/>
  <Override PartName="/word/footer209.xml" ContentType="application/vnd.openxmlformats-officedocument.wordprocessingml.footer+xml"/>
  <Override PartName="/word/header210.xml" ContentType="application/vnd.openxmlformats-officedocument.wordprocessingml.header+xml"/>
  <Override PartName="/word/header211.xml" ContentType="application/vnd.openxmlformats-officedocument.wordprocessingml.header+xml"/>
  <Override PartName="/word/footer210.xml" ContentType="application/vnd.openxmlformats-officedocument.wordprocessingml.footer+xml"/>
  <Override PartName="/word/footer211.xml" ContentType="application/vnd.openxmlformats-officedocument.wordprocessingml.footer+xml"/>
  <Override PartName="/word/header212.xml" ContentType="application/vnd.openxmlformats-officedocument.wordprocessingml.header+xml"/>
  <Override PartName="/word/header213.xml" ContentType="application/vnd.openxmlformats-officedocument.wordprocessingml.header+xml"/>
  <Override PartName="/word/footer212.xml" ContentType="application/vnd.openxmlformats-officedocument.wordprocessingml.footer+xml"/>
  <Override PartName="/word/footer213.xml" ContentType="application/vnd.openxmlformats-officedocument.wordprocessingml.footer+xml"/>
  <Override PartName="/word/header214.xml" ContentType="application/vnd.openxmlformats-officedocument.wordprocessingml.header+xml"/>
  <Override PartName="/word/header215.xml" ContentType="application/vnd.openxmlformats-officedocument.wordprocessingml.header+xml"/>
  <Override PartName="/word/footer214.xml" ContentType="application/vnd.openxmlformats-officedocument.wordprocessingml.footer+xml"/>
  <Override PartName="/word/footer215.xml" ContentType="application/vnd.openxmlformats-officedocument.wordprocessingml.footer+xml"/>
  <Override PartName="/word/header216.xml" ContentType="application/vnd.openxmlformats-officedocument.wordprocessingml.header+xml"/>
  <Override PartName="/word/header217.xml" ContentType="application/vnd.openxmlformats-officedocument.wordprocessingml.header+xml"/>
  <Override PartName="/word/footer216.xml" ContentType="application/vnd.openxmlformats-officedocument.wordprocessingml.footer+xml"/>
  <Override PartName="/word/footer217.xml" ContentType="application/vnd.openxmlformats-officedocument.wordprocessingml.footer+xml"/>
  <Override PartName="/word/header218.xml" ContentType="application/vnd.openxmlformats-officedocument.wordprocessingml.header+xml"/>
  <Override PartName="/word/header219.xml" ContentType="application/vnd.openxmlformats-officedocument.wordprocessingml.header+xml"/>
  <Override PartName="/word/footer218.xml" ContentType="application/vnd.openxmlformats-officedocument.wordprocessingml.footer+xml"/>
  <Override PartName="/word/footer219.xml" ContentType="application/vnd.openxmlformats-officedocument.wordprocessingml.footer+xml"/>
  <Override PartName="/word/header220.xml" ContentType="application/vnd.openxmlformats-officedocument.wordprocessingml.header+xml"/>
  <Override PartName="/word/header221.xml" ContentType="application/vnd.openxmlformats-officedocument.wordprocessingml.header+xml"/>
  <Override PartName="/word/footer220.xml" ContentType="application/vnd.openxmlformats-officedocument.wordprocessingml.footer+xml"/>
  <Override PartName="/word/footer221.xml" ContentType="application/vnd.openxmlformats-officedocument.wordprocessingml.footer+xml"/>
  <Override PartName="/word/header222.xml" ContentType="application/vnd.openxmlformats-officedocument.wordprocessingml.header+xml"/>
  <Override PartName="/word/header223.xml" ContentType="application/vnd.openxmlformats-officedocument.wordprocessingml.header+xml"/>
  <Override PartName="/word/footer222.xml" ContentType="application/vnd.openxmlformats-officedocument.wordprocessingml.footer+xml"/>
  <Override PartName="/word/footer223.xml" ContentType="application/vnd.openxmlformats-officedocument.wordprocessingml.footer+xml"/>
  <Override PartName="/word/header224.xml" ContentType="application/vnd.openxmlformats-officedocument.wordprocessingml.header+xml"/>
  <Override PartName="/word/header225.xml" ContentType="application/vnd.openxmlformats-officedocument.wordprocessingml.header+xml"/>
  <Override PartName="/word/footer224.xml" ContentType="application/vnd.openxmlformats-officedocument.wordprocessingml.footer+xml"/>
  <Override PartName="/word/footer225.xml" ContentType="application/vnd.openxmlformats-officedocument.wordprocessingml.footer+xml"/>
  <Override PartName="/word/header226.xml" ContentType="application/vnd.openxmlformats-officedocument.wordprocessingml.header+xml"/>
  <Override PartName="/word/header227.xml" ContentType="application/vnd.openxmlformats-officedocument.wordprocessingml.header+xml"/>
  <Override PartName="/word/footer226.xml" ContentType="application/vnd.openxmlformats-officedocument.wordprocessingml.footer+xml"/>
  <Override PartName="/word/footer227.xml" ContentType="application/vnd.openxmlformats-officedocument.wordprocessingml.footer+xml"/>
  <Override PartName="/word/header228.xml" ContentType="application/vnd.openxmlformats-officedocument.wordprocessingml.header+xml"/>
  <Override PartName="/word/header229.xml" ContentType="application/vnd.openxmlformats-officedocument.wordprocessingml.header+xml"/>
  <Override PartName="/word/footer228.xml" ContentType="application/vnd.openxmlformats-officedocument.wordprocessingml.footer+xml"/>
  <Override PartName="/word/footer229.xml" ContentType="application/vnd.openxmlformats-officedocument.wordprocessingml.footer+xml"/>
  <Override PartName="/word/header230.xml" ContentType="application/vnd.openxmlformats-officedocument.wordprocessingml.header+xml"/>
  <Override PartName="/word/header231.xml" ContentType="application/vnd.openxmlformats-officedocument.wordprocessingml.header+xml"/>
  <Override PartName="/word/footer230.xml" ContentType="application/vnd.openxmlformats-officedocument.wordprocessingml.footer+xml"/>
  <Override PartName="/word/footer23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ABD3D4" w14:textId="77777777" w:rsidR="00924992" w:rsidRDefault="00924992">
      <w:pPr>
        <w:pStyle w:val="BodyText"/>
        <w:spacing w:line="264" w:lineRule="auto"/>
        <w:ind w:firstLine="0"/>
      </w:pPr>
      <w:r>
        <w:t>probablemente protegerá a la madre susceptible de la exposición al virus natural de varicela-zoster.</w:t>
      </w:r>
    </w:p>
    <w:p w14:paraId="16EA4FD3" w14:textId="77777777" w:rsidR="00924992" w:rsidRDefault="00924992">
      <w:pPr>
        <w:pStyle w:val="BodyText"/>
        <w:ind w:firstLine="360"/>
      </w:pPr>
      <w:r>
        <w:t>El estudio de madres que amamantan a sus pequeños no ha aportado pruebas de excreción de la cepa vacunal en la leche materna o la transmisión a pequeños amamantados por sus madres. Debe administrarse la vacuna contra varicela a madres susceptibles que alimentan a su hijo al seno.</w:t>
      </w:r>
    </w:p>
    <w:p w14:paraId="36050308" w14:textId="77777777" w:rsidR="00924992" w:rsidRDefault="00924992">
      <w:pPr>
        <w:pStyle w:val="BodyText"/>
        <w:spacing w:line="276" w:lineRule="auto"/>
        <w:ind w:firstLine="360"/>
      </w:pPr>
      <w:r>
        <w:rPr>
          <w:rFonts w:ascii="Times New Roman" w:eastAsia="Times New Roman" w:hAnsi="Times New Roman" w:cs="Times New Roman"/>
          <w:b/>
          <w:bCs/>
          <w:i/>
          <w:iCs/>
          <w:sz w:val="16"/>
          <w:szCs w:val="16"/>
        </w:rPr>
        <w:t>Concentrados inmunoglobulínicos.</w:t>
      </w:r>
      <w:r>
        <w:t xml:space="preserve"> No se sabe si el concentrado inmunoglobulínico (IG) interfiere en la inmunidad inducida por la vacuna de varicela, aunque dicho concentrado interfiere en la inducción de tal estado por parte de la vacuna antisarampionosa. Mientras se cuenta con más datos será mejor no aplicar la vacuna contra la varicela en los mismos lapsos después de que el niño recibe cualquier forma de concentrado inmunoglobulínico o cualquier otro hemoderivado, igual que se sigue con la vacuna contra el sarampión (véase “Sarampión”, en esta sección). Por lo contrario, será mejor no utilizar el concentrado durante dos semanas, como mínimo, después de aplicar la vacuna contra varicela. Los anticuerpos contra VZV que recibe el producto por la placenta no interfieren en la inmunogenicidad de la vacuna contra la varicela aplicada a los 12 meses de vida o después.</w:t>
      </w:r>
    </w:p>
    <w:p w14:paraId="79521847" w14:textId="77777777" w:rsidR="00924992" w:rsidRDefault="00924992">
      <w:pPr>
        <w:pStyle w:val="BodyText"/>
        <w:spacing w:line="276" w:lineRule="auto"/>
        <w:ind w:firstLine="360"/>
      </w:pPr>
      <w:r>
        <w:rPr>
          <w:rFonts w:ascii="Times New Roman" w:eastAsia="Times New Roman" w:hAnsi="Times New Roman" w:cs="Times New Roman"/>
          <w:b/>
          <w:bCs/>
          <w:i/>
          <w:iCs/>
          <w:sz w:val="16"/>
          <w:szCs w:val="16"/>
        </w:rPr>
        <w:t>Salicilatos.</w:t>
      </w:r>
      <w:r>
        <w:t xml:space="preserve"> No se sabe si el síndrome de Reye es consecuencia de la administración de salicilatos después de vacunar contra la varicela a los niños. No se han publicado casos. Sin embargo, ante el vínculo entre el síndrome mencionado, la infección de varicela natural y los salicilatos, el fabricante de la vacuna recomienda no usar salicilatos durante seis semanas después de aplicar la vacuna. Los médicos deben comparar los riesgos teóricos de la aplicación de la vacuna, con los peligros sabidos que entraña la invasión por virus natural en niños que reciben por largo tiempo salicilatos.</w:t>
      </w:r>
    </w:p>
    <w:p w14:paraId="5D7A5BD8" w14:textId="77777777" w:rsidR="00924992" w:rsidRDefault="00924992">
      <w:pPr>
        <w:pStyle w:val="BodyText"/>
        <w:spacing w:after="120" w:line="276" w:lineRule="auto"/>
        <w:ind w:firstLine="360"/>
      </w:pPr>
      <w:r>
        <w:rPr>
          <w:rFonts w:ascii="Times New Roman" w:eastAsia="Times New Roman" w:hAnsi="Times New Roman" w:cs="Times New Roman"/>
          <w:b/>
          <w:bCs/>
          <w:i/>
          <w:iCs/>
          <w:sz w:val="16"/>
          <w:szCs w:val="16"/>
        </w:rPr>
        <w:t>Alergia a los componentes de la vacuna.</w:t>
      </w:r>
      <w:r>
        <w:t xml:space="preserve"> La vacuna contra varicela no debe administrarse a personas que han tenido una reacción de tipo anafiláctico a cualquier componente de ella, incluidos gelatina y neomicina. Muchas de las personas con alergia a dicho antibiótico muestran dermatitis por contacto como resultado, reacción que no constituye contraindicación para la vacunación. La vacuna no contiene conservadores ni proteínas de huevo.</w:t>
      </w:r>
    </w:p>
    <w:p w14:paraId="3A2257A5" w14:textId="77777777" w:rsidR="00924992" w:rsidRDefault="00924992">
      <w:pPr>
        <w:pStyle w:val="Bodytext70"/>
        <w:spacing w:after="0" w:line="194" w:lineRule="auto"/>
      </w:pPr>
      <w:r>
        <w:rPr>
          <w:shd w:val="clear" w:color="auto" w:fill="FFFFFF"/>
        </w:rPr>
        <w:t>Vermes planos, enfermedades (teniasis y cisticercosis)</w:t>
      </w:r>
    </w:p>
    <w:p w14:paraId="5289172D" w14:textId="77777777" w:rsidR="00924992" w:rsidRDefault="00924992">
      <w:pPr>
        <w:pStyle w:val="Other0"/>
        <w:spacing w:line="194" w:lineRule="auto"/>
        <w:ind w:firstLine="0"/>
        <w:rPr>
          <w:sz w:val="16"/>
          <w:szCs w:val="16"/>
        </w:rPr>
      </w:pPr>
      <w:r>
        <w:rPr>
          <w:b/>
          <w:bCs/>
          <w:smallCaps/>
          <w:sz w:val="20"/>
          <w:szCs w:val="20"/>
        </w:rPr>
        <w:t>M</w:t>
      </w:r>
      <w:r>
        <w:rPr>
          <w:b/>
          <w:bCs/>
          <w:smallCaps/>
          <w:sz w:val="16"/>
          <w:szCs w:val="16"/>
        </w:rPr>
        <w:t>anifestaciones clínicas</w:t>
      </w:r>
    </w:p>
    <w:p w14:paraId="704B0910" w14:textId="77777777" w:rsidR="00924992" w:rsidRDefault="00924992">
      <w:pPr>
        <w:pStyle w:val="BodyText"/>
        <w:spacing w:line="288" w:lineRule="auto"/>
        <w:ind w:firstLine="0"/>
      </w:pPr>
      <w:r>
        <w:rPr>
          <w:rFonts w:ascii="Arial" w:eastAsia="Arial" w:hAnsi="Arial" w:cs="Arial"/>
          <w:b/>
          <w:bCs/>
          <w:i/>
          <w:iCs/>
          <w:sz w:val="15"/>
          <w:szCs w:val="15"/>
        </w:rPr>
        <w:t>Teniasis.</w:t>
      </w:r>
      <w:r>
        <w:t xml:space="preserve"> La infección suele ser asintomática, aunque pueden surgir síntomas leves en vías gastrointestinales, náuseas, diarrea y dolor. Desde el ano o los excrementos se advierten a veces segmentos de los platelmintos.</w:t>
      </w:r>
    </w:p>
    <w:p w14:paraId="09A7A45A" w14:textId="77777777" w:rsidR="00924992" w:rsidRDefault="00924992">
      <w:pPr>
        <w:pStyle w:val="BodyText"/>
        <w:spacing w:after="60" w:line="276" w:lineRule="auto"/>
        <w:ind w:firstLine="360"/>
      </w:pPr>
      <w:r>
        <w:rPr>
          <w:rFonts w:ascii="Arial" w:eastAsia="Arial" w:hAnsi="Arial" w:cs="Arial"/>
          <w:b/>
          <w:bCs/>
          <w:i/>
          <w:iCs/>
          <w:sz w:val="15"/>
          <w:szCs w:val="15"/>
        </w:rPr>
        <w:t>Cisticercosis.</w:t>
      </w:r>
      <w:r>
        <w:t xml:space="preserve"> Las manifestaciones dependen del sitio y del número de cisticercos y de la respuesta del hospedador. Se pueden identificar quistes en cualquier sitio del cuerpo. Las manifestaciones más frecuentes y graves son las que surgen en el sistema nervioso central. Los quistes de </w:t>
      </w:r>
      <w:r>
        <w:rPr>
          <w:rFonts w:ascii="Times New Roman" w:eastAsia="Times New Roman" w:hAnsi="Times New Roman" w:cs="Times New Roman"/>
          <w:i/>
          <w:iCs/>
          <w:sz w:val="16"/>
          <w:szCs w:val="16"/>
        </w:rPr>
        <w:t>Taenia solium</w:t>
      </w:r>
      <w:r>
        <w:t xml:space="preserve"> en el encéfalo (neurocisticercosis) originan convulsiones, perturbaciones conductuales, hidrocefalia obstructiva y otros signos y síntomas neurológicos. El cuadro mencionado constituye la causa principal de epilepsia, según circunstancias epidemiológicas. La reacción del hospedador a los quistes en degeneración origina signos y síntomas de meningitis. Los quistes en la médula espinal pueden originar perturbaciones de la marcha, dolor o mielitis transversa; los que están en plano subcutáneo originan nódulos palpables, y el ataque de los ojos por parte de ellos puede originar perturbaciones de la vista.</w:t>
      </w:r>
    </w:p>
    <w:p w14:paraId="7F58B5C8" w14:textId="77777777" w:rsidR="00924992" w:rsidRDefault="00924992">
      <w:pPr>
        <w:pStyle w:val="BodyText"/>
        <w:ind w:firstLine="0"/>
      </w:pPr>
      <w:r>
        <w:rPr>
          <w:b/>
          <w:bCs/>
        </w:rPr>
        <w:t>C</w:t>
      </w:r>
      <w:r>
        <w:rPr>
          <w:b/>
          <w:bCs/>
          <w:sz w:val="13"/>
          <w:szCs w:val="13"/>
        </w:rPr>
        <w:t>AUSAS</w:t>
      </w:r>
      <w:r>
        <w:rPr>
          <w:b/>
          <w:bCs/>
        </w:rPr>
        <w:t xml:space="preserve">: </w:t>
      </w:r>
      <w:r>
        <w:t xml:space="preserve">La teniasis es causada por la infección intestinal con platelmintos adultos, como son </w:t>
      </w:r>
      <w:r>
        <w:rPr>
          <w:rFonts w:ascii="Times New Roman" w:eastAsia="Times New Roman" w:hAnsi="Times New Roman" w:cs="Times New Roman"/>
          <w:i/>
          <w:iCs/>
          <w:sz w:val="16"/>
          <w:szCs w:val="16"/>
        </w:rPr>
        <w:t>Taenia saginata</w:t>
      </w:r>
      <w:r>
        <w:t xml:space="preserve"> (tenia de res) o </w:t>
      </w:r>
      <w:r>
        <w:rPr>
          <w:rFonts w:ascii="Times New Roman" w:eastAsia="Times New Roman" w:hAnsi="Times New Roman" w:cs="Times New Roman"/>
          <w:i/>
          <w:iCs/>
          <w:sz w:val="16"/>
          <w:szCs w:val="16"/>
        </w:rPr>
        <w:t>T. solium</w:t>
      </w:r>
      <w:r>
        <w:t xml:space="preserve"> (tenia del cerdo). Por lo regular, sólo un verme adulto habita en los intestinos. La cisticercosis del ser humano es causada sólo por las larvas de </w:t>
      </w:r>
      <w:r>
        <w:rPr>
          <w:rFonts w:ascii="Times New Roman" w:eastAsia="Times New Roman" w:hAnsi="Times New Roman" w:cs="Times New Roman"/>
          <w:i/>
          <w:iCs/>
          <w:sz w:val="16"/>
          <w:szCs w:val="16"/>
        </w:rPr>
        <w:t>T solium (Cysticercus cellulosae)</w:t>
      </w:r>
      <w:r>
        <w:rPr>
          <w:i/>
          <w:iCs/>
        </w:rPr>
        <w:t>.</w:t>
      </w:r>
    </w:p>
    <w:p w14:paraId="0942B67E" w14:textId="77777777" w:rsidR="00924992" w:rsidRDefault="00924992">
      <w:pPr>
        <w:pStyle w:val="BodyText"/>
        <w:spacing w:line="276" w:lineRule="auto"/>
        <w:ind w:firstLine="0"/>
      </w:pPr>
      <w:r>
        <w:rPr>
          <w:b/>
          <w:bCs/>
        </w:rPr>
        <w:t>A</w:t>
      </w:r>
      <w:r>
        <w:rPr>
          <w:b/>
          <w:bCs/>
          <w:sz w:val="13"/>
          <w:szCs w:val="13"/>
        </w:rPr>
        <w:t>SPECTOS EPIDEMIOLÓGICOS</w:t>
      </w:r>
      <w:r>
        <w:rPr>
          <w:b/>
          <w:bCs/>
        </w:rPr>
        <w:t xml:space="preserve">: </w:t>
      </w:r>
      <w:r>
        <w:t xml:space="preserve">Las teniasis mencionadas muestran disminución mundial. Las cifras de prevalencia son grandes en zonas con deficiencias sanitarias y contaminación por heces humanas en áreas en que pasta ganado vacuno o se alimenta a los cerdos. Casi todos los casos de infección por </w:t>
      </w:r>
      <w:r>
        <w:rPr>
          <w:rFonts w:ascii="Times New Roman" w:eastAsia="Times New Roman" w:hAnsi="Times New Roman" w:cs="Times New Roman"/>
          <w:i/>
          <w:iCs/>
          <w:sz w:val="16"/>
          <w:szCs w:val="16"/>
        </w:rPr>
        <w:t>T solium</w:t>
      </w:r>
      <w:r>
        <w:t xml:space="preserve"> en Estados Unidos son importados de América Latina o Asia. También hay cifras altas de infección por </w:t>
      </w:r>
      <w:r>
        <w:rPr>
          <w:rFonts w:ascii="Times New Roman" w:eastAsia="Times New Roman" w:hAnsi="Times New Roman" w:cs="Times New Roman"/>
          <w:i/>
          <w:iCs/>
          <w:sz w:val="16"/>
          <w:szCs w:val="16"/>
        </w:rPr>
        <w:t>T. saginata</w:t>
      </w:r>
      <w:r>
        <w:t xml:space="preserve"> en México, Argentina, África (en particular Etiopía) y el centro de Europa. La teniasis se contagia por el consumo de carne mal cocida de res </w:t>
      </w:r>
      <w:r>
        <w:rPr>
          <w:rFonts w:ascii="Times New Roman" w:eastAsia="Times New Roman" w:hAnsi="Times New Roman" w:cs="Times New Roman"/>
          <w:i/>
          <w:iCs/>
          <w:sz w:val="16"/>
          <w:szCs w:val="16"/>
        </w:rPr>
        <w:t>(T. saginata)</w:t>
      </w:r>
      <w:r>
        <w:t xml:space="preserve"> o de cerdo </w:t>
      </w:r>
      <w:r>
        <w:rPr>
          <w:rFonts w:ascii="Times New Roman" w:eastAsia="Times New Roman" w:hAnsi="Times New Roman" w:cs="Times New Roman"/>
          <w:i/>
          <w:iCs/>
          <w:sz w:val="16"/>
          <w:szCs w:val="16"/>
        </w:rPr>
        <w:t>(T. solium)</w:t>
      </w:r>
      <w:r>
        <w:t xml:space="preserve"> que contiene larvas enquistadas. Suele ser asintomática en sus comienzos.</w:t>
      </w:r>
    </w:p>
    <w:p w14:paraId="5F5FA490" w14:textId="77777777" w:rsidR="00924992" w:rsidRDefault="00924992">
      <w:pPr>
        <w:pStyle w:val="BodyText"/>
        <w:ind w:firstLine="360"/>
      </w:pPr>
      <w:r>
        <w:t xml:space="preserve">La cisticercosis se contagia por ingestión de huevecillos de la tenia del cerdo, por heteroinfección a partir de un contacto que tiene el verme adulto o por autoinfección. Los huevecillos se excretan en las heces humanas únicamente porque el ser humano constituye el hospedador definitivo único. De los huevecillos se liberan oncosferas en el intestino y migran por la sangre y los linfáticos hasta tejidos de todo el cuerpo, incluido el sistema nervioso central, en el cual se forman quistes. A pesar de que muchos casos de cisticercosis en Estados Unidos han sido importados, también puede surgir por contagio en dicho país por los portadores de tenias que en fecha reciente migraron de un área endémica y que aún muestran la infección por </w:t>
      </w:r>
      <w:r>
        <w:rPr>
          <w:rFonts w:ascii="Times New Roman" w:eastAsia="Times New Roman" w:hAnsi="Times New Roman" w:cs="Times New Roman"/>
          <w:i/>
          <w:iCs/>
          <w:sz w:val="16"/>
          <w:szCs w:val="16"/>
        </w:rPr>
        <w:t>T. solium</w:t>
      </w:r>
      <w:r>
        <w:t xml:space="preserve"> en etapa intestinal.</w:t>
      </w:r>
    </w:p>
    <w:p w14:paraId="73390944" w14:textId="77777777" w:rsidR="00924992" w:rsidRDefault="00924992">
      <w:pPr>
        <w:pStyle w:val="BodyText"/>
        <w:ind w:firstLine="360"/>
      </w:pPr>
      <w:r>
        <w:t xml:space="preserve">El </w:t>
      </w:r>
      <w:r>
        <w:rPr>
          <w:b/>
          <w:bCs/>
        </w:rPr>
        <w:t xml:space="preserve">periodo de incubación </w:t>
      </w:r>
      <w:r>
        <w:t>de la teniasis, que es el lapso promedio desde que se ingieren las larvas hasta que el sujeto expulsa segmentos del verme en los excrementos, es de dos a tres meses. En el caso de la cisticercosis, el lapso que media desde la infección hasta el comienzo de los síntomas puede ser de varios años.</w:t>
      </w:r>
    </w:p>
    <w:p w14:paraId="6E25778D" w14:textId="77777777" w:rsidR="00924992" w:rsidRDefault="00924992">
      <w:pPr>
        <w:pStyle w:val="BodyText"/>
        <w:spacing w:line="276" w:lineRule="auto"/>
        <w:ind w:firstLine="0"/>
      </w:pPr>
      <w:r>
        <w:rPr>
          <w:b/>
          <w:bCs/>
        </w:rPr>
        <w:t>D</w:t>
      </w:r>
      <w:r>
        <w:rPr>
          <w:b/>
          <w:bCs/>
          <w:sz w:val="13"/>
          <w:szCs w:val="13"/>
        </w:rPr>
        <w:t>IAGNÓSTICO</w:t>
      </w:r>
      <w:r>
        <w:rPr>
          <w:b/>
          <w:bCs/>
        </w:rPr>
        <w:t xml:space="preserve">: </w:t>
      </w:r>
      <w:r>
        <w:t xml:space="preserve">El diagnóstico de teniasis (infección por tenia adulta) se basa en demostrar los proglótides o los huevecillos en los excrementos o en la región perianal. La identificación de la especie del parásito se basa en las estructuras diferentes de los segmentos grávidos terminales. El diagnóstico de neurocisticercosis se basa más bien en los datos de la tomografia computadorizada </w:t>
      </w:r>
      <w:r>
        <w:rPr>
          <w:i/>
          <w:iCs/>
        </w:rPr>
        <w:t>(</w:t>
      </w:r>
      <w:r>
        <w:rPr>
          <w:rFonts w:ascii="Times New Roman" w:eastAsia="Times New Roman" w:hAnsi="Times New Roman" w:cs="Times New Roman"/>
          <w:i/>
          <w:iCs/>
          <w:sz w:val="16"/>
          <w:szCs w:val="16"/>
        </w:rPr>
        <w:t>computed tomography</w:t>
      </w:r>
      <w:r>
        <w:rPr>
          <w:i/>
          <w:iCs/>
        </w:rPr>
        <w:t>,</w:t>
      </w:r>
      <w:r>
        <w:t xml:space="preserve"> CT) o de la resonancia magnética </w:t>
      </w:r>
      <w:r>
        <w:rPr>
          <w:i/>
          <w:iCs/>
        </w:rPr>
        <w:t>(</w:t>
      </w:r>
      <w:r>
        <w:rPr>
          <w:rFonts w:ascii="Times New Roman" w:eastAsia="Times New Roman" w:hAnsi="Times New Roman" w:cs="Times New Roman"/>
          <w:i/>
          <w:iCs/>
          <w:sz w:val="16"/>
          <w:szCs w:val="16"/>
        </w:rPr>
        <w:t>magnetic resonance imaging</w:t>
      </w:r>
      <w:r>
        <w:rPr>
          <w:i/>
          <w:iCs/>
        </w:rPr>
        <w:t>,</w:t>
      </w:r>
      <w:r>
        <w:t xml:space="preserve"> MRI) en el encéfalo o la médula espinal. El método inmunológico más adecuado es la enzimoinmunotransferencia que detecta anticuerpos contra </w:t>
      </w:r>
      <w:r>
        <w:rPr>
          <w:rFonts w:ascii="Times New Roman" w:eastAsia="Times New Roman" w:hAnsi="Times New Roman" w:cs="Times New Roman"/>
          <w:i/>
          <w:iCs/>
          <w:sz w:val="16"/>
          <w:szCs w:val="16"/>
        </w:rPr>
        <w:t>T. solium</w:t>
      </w:r>
      <w:r>
        <w:t xml:space="preserve"> en el suero y el líquido cefalorraquídeo (LCR). El método se practica en Estados Unidos en los </w:t>
      </w:r>
      <w:r>
        <w:rPr>
          <w:rFonts w:ascii="Times New Roman" w:eastAsia="Times New Roman" w:hAnsi="Times New Roman" w:cs="Times New Roman"/>
          <w:i/>
          <w:iCs/>
          <w:sz w:val="16"/>
          <w:szCs w:val="16"/>
        </w:rPr>
        <w:t>Centers for Disease Control and Prevention</w:t>
      </w:r>
      <w:r>
        <w:t xml:space="preserve"> y algunos laboratorios comerciales. Es más sensible en muestras de suero que en las de LCR. Los métodos de anticuerpos en suero suelen arrojar resultados negativos en niños con lesiones solitarias de parénquima, pero suelen ser positivos en personas con lesiones múltiples.</w:t>
      </w:r>
    </w:p>
    <w:p w14:paraId="2E68542F" w14:textId="77777777" w:rsidR="00924992" w:rsidRDefault="00924992">
      <w:pPr>
        <w:pStyle w:val="Other0"/>
        <w:spacing w:line="240" w:lineRule="auto"/>
        <w:ind w:firstLine="0"/>
      </w:pPr>
      <w:r>
        <w:rPr>
          <w:b/>
          <w:bCs/>
        </w:rPr>
        <w:t>T</w:t>
      </w:r>
      <w:r>
        <w:rPr>
          <w:b/>
          <w:bCs/>
          <w:sz w:val="13"/>
          <w:szCs w:val="13"/>
        </w:rPr>
        <w:t>RATAMIENTO</w:t>
      </w:r>
      <w:r>
        <w:rPr>
          <w:b/>
          <w:bCs/>
        </w:rPr>
        <w:t>:</w:t>
      </w:r>
    </w:p>
    <w:p w14:paraId="73726191" w14:textId="77777777" w:rsidR="00924992" w:rsidRDefault="00924992">
      <w:pPr>
        <w:pStyle w:val="BodyText"/>
        <w:spacing w:line="288" w:lineRule="auto"/>
        <w:ind w:firstLine="0"/>
      </w:pPr>
      <w:r>
        <w:rPr>
          <w:rFonts w:ascii="Arial" w:eastAsia="Arial" w:hAnsi="Arial" w:cs="Arial"/>
          <w:b/>
          <w:bCs/>
          <w:i/>
          <w:iCs/>
          <w:sz w:val="15"/>
          <w:szCs w:val="15"/>
        </w:rPr>
        <w:t>Teniasis.</w:t>
      </w:r>
      <w:r>
        <w:t xml:space="preserve"> El praziquantel es un fármaco muy eficaz para erradicar la infección de la tenia adulta, y la niclosamida es el producto alternativo (véase “Fármacos antiparasitarios”, sección 4).</w:t>
      </w:r>
    </w:p>
    <w:p w14:paraId="0615F75C" w14:textId="77777777" w:rsidR="00924992" w:rsidRDefault="00924992">
      <w:pPr>
        <w:pStyle w:val="BodyText"/>
        <w:spacing w:line="276" w:lineRule="auto"/>
        <w:ind w:firstLine="360"/>
        <w:sectPr w:rsidR="00924992" w:rsidSect="00924992">
          <w:headerReference w:type="even" r:id="rId7"/>
          <w:headerReference w:type="default" r:id="rId8"/>
          <w:footerReference w:type="even" r:id="rId9"/>
          <w:footerReference w:type="default" r:id="rId10"/>
          <w:headerReference w:type="first" r:id="rId11"/>
          <w:footerReference w:type="first" r:id="rId12"/>
          <w:pgSz w:w="8501" w:h="13022"/>
          <w:pgMar w:top="898" w:right="780" w:bottom="509" w:left="828" w:header="0" w:footer="3" w:gutter="0"/>
          <w:pgNumType w:start="790"/>
          <w:cols w:space="720"/>
          <w:noEndnote/>
          <w:titlePg/>
          <w:docGrid w:linePitch="360"/>
          <w15:footnoteColumns w:val="1"/>
        </w:sectPr>
      </w:pPr>
      <w:r>
        <w:rPr>
          <w:rFonts w:ascii="Arial" w:eastAsia="Arial" w:hAnsi="Arial" w:cs="Arial"/>
          <w:b/>
          <w:bCs/>
          <w:i/>
          <w:iCs/>
          <w:sz w:val="15"/>
          <w:szCs w:val="15"/>
        </w:rPr>
        <w:t>Cisticercosis.</w:t>
      </w:r>
      <w:r>
        <w:t xml:space="preserve"> El tratamiento de la neurocisticercosis debe individualizarse con base en el número y la viabilidad de cisticercos, tal como lo señalen los estudios neuroimagenológicos (MRI o CT), y el sitio en que se localizan. En el caso de haber sólo quistes no viables (únicamente calcificaciones en la tomografia), el tratamiento se orientará a los síntomas y debe incluir anticonvulsivos si existen convulsiones y colocación de derivaciones en casos de hidrocefalia. Se cuenta con dos antiparasitarios </w:t>
      </w:r>
    </w:p>
    <w:p w14:paraId="13BF2552" w14:textId="77777777" w:rsidR="00924992" w:rsidRDefault="00924992">
      <w:pPr>
        <w:pStyle w:val="BodyText"/>
        <w:spacing w:line="276" w:lineRule="auto"/>
        <w:ind w:firstLine="0"/>
      </w:pPr>
      <w:r>
        <w:t>que son el albendazol y el praziquantel. Ambos tienen capacidad cisticercida y aceleran la resolución radiológica de los quistes, pero muchos de los síntomas son consecuencia de la respuesta inflamatoria del hospedador y pudieran ser exacerbados por el tratamiento. En investigaciones en seres humanos los pacientes tratados con albendazol tuvieron respuestas radiológica y clínica mejores que aquellos tratados con dosis bajas de praziquantel. Sin embargo, en investigaciones comparativas ninguno de los dos ha sido mejor que el placebo. Algunos estudios han indicado que los niños con quistes únicos inflamados dentro del parénquima encefálico evolucionan satisfactoriamente sin los antiparasitarios, y muchos expertos no los recomiendan. Sin embargo, otros más recomiendan el tratamiento en niños con cisticercos múltiples o que en la resonancia magnética no poseen características de calcificación. La administración conjunta de corticosteroides en los primeros dos a tres días de tratamiento pudiera aplacar efectos adversos y se recomienda en quienes tienen quistes múltiples y también edema cerebral (encefalitis por cisticercos). Habría que diferir la terapia antiparasitaria hasta que haya cedido el edema cerebral, como mínimo.</w:t>
      </w:r>
    </w:p>
    <w:p w14:paraId="2707644D" w14:textId="77777777" w:rsidR="00924992" w:rsidRDefault="00924992">
      <w:pPr>
        <w:pStyle w:val="BodyText"/>
        <w:ind w:firstLine="360"/>
      </w:pPr>
      <w:r>
        <w:t>Las convulsiones pueden reaparecer durante varios meses. Se recomienda administrar anticonvulsivos hasta que existan pruebas neurorradiológicas de resolución y no hayan aparecido las convulsiones durante uno o dos años. La calcificación de los quistes obliga a veces a utilizar los anticonvulsivos por tiempo indefinido. Los quistes intraventriculares y la hidrocefalia por lo común obligan a operaciones quirúrgicas con colocación de derivaciones intraventriculares. La administración complementaria de antiparasitarios y corticosteroides pudiera disminuir la cifra de ineficacia ulterior de la derivación. La cisticercosis ocular se trata por extirpación quirúrgica de los quistes. Los quistes en ojos y médula espinal por lo común no son tratados con antihelmínticos porque exacerban la inflamación. Habrá que realizar un examen oftalmológico antes del tratamiento para descartar quistes intraoculares.</w:t>
      </w:r>
    </w:p>
    <w:p w14:paraId="619FA993" w14:textId="77777777" w:rsidR="00924992" w:rsidRDefault="00924992">
      <w:pPr>
        <w:pStyle w:val="BodyText"/>
        <w:spacing w:line="262" w:lineRule="auto"/>
        <w:ind w:firstLine="0"/>
      </w:pPr>
      <w:r>
        <w:rPr>
          <w:b/>
          <w:bCs/>
          <w:smallCaps/>
          <w:sz w:val="20"/>
          <w:szCs w:val="20"/>
        </w:rPr>
        <w:t>A</w:t>
      </w:r>
      <w:r>
        <w:rPr>
          <w:b/>
          <w:bCs/>
          <w:smallCaps/>
          <w:sz w:val="16"/>
          <w:szCs w:val="16"/>
        </w:rPr>
        <w:t>islamiento del paciente hospitalizado</w:t>
      </w:r>
      <w:r>
        <w:rPr>
          <w:b/>
          <w:bCs/>
          <w:smallCaps/>
          <w:sz w:val="20"/>
          <w:szCs w:val="20"/>
        </w:rPr>
        <w:t>:</w:t>
      </w:r>
      <w:r>
        <w:t xml:space="preserve"> Se recomienda seguir las precauciones estándar.</w:t>
      </w:r>
    </w:p>
    <w:p w14:paraId="453950CE" w14:textId="77777777" w:rsidR="00924992" w:rsidRDefault="00924992">
      <w:pPr>
        <w:pStyle w:val="BodyText"/>
        <w:ind w:firstLine="0"/>
      </w:pPr>
      <w:r>
        <w:rPr>
          <w:b/>
          <w:bCs/>
        </w:rPr>
        <w:t>M</w:t>
      </w:r>
      <w:r>
        <w:rPr>
          <w:b/>
          <w:bCs/>
          <w:sz w:val="13"/>
          <w:szCs w:val="13"/>
        </w:rPr>
        <w:t xml:space="preserve">EDIDAS </w:t>
      </w:r>
      <w:r>
        <w:rPr>
          <w:b/>
          <w:bCs/>
          <w:smallCaps/>
          <w:sz w:val="16"/>
          <w:szCs w:val="16"/>
        </w:rPr>
        <w:t>preventivas</w:t>
      </w:r>
      <w:r>
        <w:rPr>
          <w:b/>
          <w:bCs/>
          <w:smallCaps/>
          <w:sz w:val="20"/>
          <w:szCs w:val="20"/>
        </w:rPr>
        <w:t>:</w:t>
      </w:r>
      <w:r>
        <w:t xml:space="preserve"> Es posible abstenerse de ingerir carne de cerdo o res cruda o mal cocida. Se necesita el tratamiento inmediato de personas que sin duda alguna tienen la tenia </w:t>
      </w:r>
      <w:r>
        <w:rPr>
          <w:rFonts w:ascii="Times New Roman" w:eastAsia="Times New Roman" w:hAnsi="Times New Roman" w:cs="Times New Roman"/>
          <w:i/>
          <w:iCs/>
          <w:sz w:val="16"/>
          <w:szCs w:val="16"/>
        </w:rPr>
        <w:t>T. solium</w:t>
      </w:r>
      <w:r>
        <w:t xml:space="preserve"> adulta. También es importante prestar atención especial a la higiene de manos y la eliminación apropiada de material excrementicio.</w:t>
      </w:r>
    </w:p>
    <w:p w14:paraId="42DDD7F6" w14:textId="77777777" w:rsidR="00924992" w:rsidRDefault="00924992">
      <w:pPr>
        <w:pStyle w:val="BodyText"/>
        <w:spacing w:after="100"/>
        <w:ind w:firstLine="360"/>
      </w:pPr>
      <w:r>
        <w:t>Conviene estudiar muestras de excrementos obtenidas de manejadores de alimentos que hayan migrado en fecha reciente de países en que existe la cisticercosis endémica para detectar huevecillos y proglótides. Las personas que viajan a países en desarrollo con cifras endémicas altas de cisticercosis deben abstenerse de comer verduras y frutas crudas que no puedan ser peladas.</w:t>
      </w:r>
    </w:p>
    <w:p w14:paraId="53B2CC23" w14:textId="77777777" w:rsidR="00924992" w:rsidRDefault="00924992">
      <w:pPr>
        <w:pStyle w:val="Bodytext70"/>
        <w:spacing w:after="0"/>
      </w:pPr>
      <w:r>
        <w:t>Vermes planos, enfermedades por otros</w:t>
      </w:r>
    </w:p>
    <w:p w14:paraId="0D4E3768" w14:textId="77777777" w:rsidR="00924992" w:rsidRDefault="00924992">
      <w:pPr>
        <w:pStyle w:val="Other0"/>
        <w:spacing w:line="252" w:lineRule="auto"/>
        <w:ind w:firstLine="0"/>
        <w:rPr>
          <w:sz w:val="20"/>
          <w:szCs w:val="20"/>
        </w:rPr>
      </w:pPr>
      <w:r>
        <w:rPr>
          <w:rFonts w:ascii="Arial" w:eastAsia="Arial" w:hAnsi="Arial" w:cs="Arial"/>
          <w:b/>
          <w:bCs/>
          <w:w w:val="70"/>
          <w:sz w:val="20"/>
          <w:szCs w:val="20"/>
        </w:rPr>
        <w:t>(Incluida la enfermedad hidatídica)</w:t>
      </w:r>
    </w:p>
    <w:p w14:paraId="0CB03859" w14:textId="77777777" w:rsidR="00924992" w:rsidRDefault="00924992">
      <w:pPr>
        <w:pStyle w:val="BodyText"/>
        <w:ind w:firstLine="0"/>
      </w:pPr>
      <w:r>
        <w:t>La ingestión de algunos huevos de céstodos (tenias) o el contacto accidental con algunas formas larvarias puede culminar en infección tisular. Casi todas las infecciones son asintomáticas, pero se han observado en personas fuertemente infectadas náuseas, dolor abdominal y diarrea.</w:t>
      </w:r>
    </w:p>
    <w:p w14:paraId="5F6E5E36" w14:textId="77777777" w:rsidR="00924992" w:rsidRDefault="00924992">
      <w:pPr>
        <w:pStyle w:val="BodyText"/>
        <w:spacing w:line="264" w:lineRule="auto"/>
        <w:ind w:firstLine="360"/>
      </w:pPr>
      <w:r>
        <w:rPr>
          <w:rFonts w:ascii="Arial" w:eastAsia="Arial" w:hAnsi="Arial" w:cs="Arial"/>
          <w:b/>
          <w:bCs/>
          <w:w w:val="70"/>
          <w:sz w:val="20"/>
          <w:szCs w:val="20"/>
        </w:rPr>
        <w:t xml:space="preserve">Hymenolepis nana. </w:t>
      </w:r>
      <w:r>
        <w:t>La tenia en cuestión, también llamada enana porque es la menor de todos los vermes adultos de esta categoría, tiene un ciclo completo dentro de los seres humanos. Por tal razón, es posible la transmisión directa de una persona a otra. Una situación más problemática es la autoinfección que tiende a perpetuar la infección que son el albendazol y el praziquantel. Ambos tienen capacidad cisticercida y aceleran la resolución radiológica de los quistes, pero muchos de los síntomas son consecuencia de la respuesta inflamatoria del hospedador y pudieran ser exacerbados por el tratamiento. En investigaciones en seres humanos los pacientes tratados con albendazol tuvieron respuestas radiológica y clínica mejores que aquellos tratados con dosis bajas de praziquantel. Sin embargo, en investigaciones comparativas ninguno de los dos ha sido mejor que el placebo. Algunos estudios han indicado que los niños con quistes únicos inflamados dentro del parénquima encefálico evolucionan satisfactoriamente sin los antiparasitarios, y muchos expertos no los recomiendan. Sin embargo, otros más recomiendan el tratamiento en niños con cisticercos múltiples o que en la resonancia magnética no poseen características de calcificación. La administración conjunta de corticosteroides en los primeros dos a tres días de tratamiento pudiera aplacar efectos adversos y se recomienda en quienes tienen quistes múltiples y también edema cerebral (encefalitis por cisticercos). Habría que diferir la terapia antiparasitaria hasta que haya cedido el edema cerebral, como mínimo.</w:t>
      </w:r>
    </w:p>
    <w:p w14:paraId="28211A15" w14:textId="77777777" w:rsidR="00924992" w:rsidRDefault="00924992">
      <w:pPr>
        <w:pStyle w:val="BodyText"/>
        <w:ind w:firstLine="360"/>
      </w:pPr>
      <w:r>
        <w:t>Las convulsiones pueden reaparecer durante varios meses. Se recomienda administrar anticonvulsivos hasta que existan pruebas neurorradiológicas de resolución y no hayan aparecido las convulsiones durante uno o dos años. La calcificación de los quistes obliga a veces a utilizar los anticonvulsivos por tiempo indefinido. Los quistes intraventriculares y la hidrocefalia por lo común obligan a operaciones quirúrgicas con colocación de derivaciones intraventriculares. La administración complementaria de antiparasitarios y corticosteroides pudiera disminuir la cifra de ineficacia ulterior de la derivación. La cisticercosis ocular se trata por extirpación quirúrgica de los quistes. Los quistes en ojos y médula espinal por lo común no son tratados con antihelmínticos porque exacerban la inflamación. Habrá que realizar un examen oftalmológico antes del tratamiento para descartar quistes intraoculares.</w:t>
      </w:r>
    </w:p>
    <w:p w14:paraId="18F250A7" w14:textId="77777777" w:rsidR="00924992" w:rsidRDefault="00924992">
      <w:pPr>
        <w:pStyle w:val="BodyText"/>
        <w:spacing w:line="262" w:lineRule="auto"/>
        <w:ind w:firstLine="0"/>
      </w:pPr>
      <w:r>
        <w:rPr>
          <w:b/>
          <w:bCs/>
          <w:smallCaps/>
          <w:sz w:val="20"/>
          <w:szCs w:val="20"/>
        </w:rPr>
        <w:t>A</w:t>
      </w:r>
      <w:r>
        <w:rPr>
          <w:b/>
          <w:bCs/>
          <w:smallCaps/>
          <w:sz w:val="16"/>
          <w:szCs w:val="16"/>
        </w:rPr>
        <w:t>islamiento del paciente hospitalizado</w:t>
      </w:r>
      <w:r>
        <w:rPr>
          <w:b/>
          <w:bCs/>
          <w:smallCaps/>
          <w:sz w:val="20"/>
          <w:szCs w:val="20"/>
        </w:rPr>
        <w:t>:</w:t>
      </w:r>
      <w:r>
        <w:t xml:space="preserve"> Se recomienda seguir las precauciones estándar.</w:t>
      </w:r>
    </w:p>
    <w:p w14:paraId="230CD2EA" w14:textId="77777777" w:rsidR="00924992" w:rsidRDefault="00924992">
      <w:pPr>
        <w:pStyle w:val="BodyText"/>
        <w:ind w:firstLine="0"/>
      </w:pPr>
      <w:r>
        <w:rPr>
          <w:b/>
          <w:bCs/>
        </w:rPr>
        <w:t>M</w:t>
      </w:r>
      <w:r>
        <w:rPr>
          <w:b/>
          <w:bCs/>
          <w:sz w:val="13"/>
          <w:szCs w:val="13"/>
        </w:rPr>
        <w:t xml:space="preserve">EDIDAS </w:t>
      </w:r>
      <w:r>
        <w:rPr>
          <w:b/>
          <w:bCs/>
          <w:smallCaps/>
          <w:sz w:val="16"/>
          <w:szCs w:val="16"/>
        </w:rPr>
        <w:t>preventivas</w:t>
      </w:r>
      <w:r>
        <w:rPr>
          <w:b/>
          <w:bCs/>
          <w:smallCaps/>
          <w:sz w:val="20"/>
          <w:szCs w:val="20"/>
        </w:rPr>
        <w:t>:</w:t>
      </w:r>
      <w:r>
        <w:t xml:space="preserve"> Es posible abstenerse de ingerir carne de cerdo o res cruda o mal cocida. Se necesita el tratamiento inmediato de personas que sin duda alguna tienen la tenia </w:t>
      </w:r>
      <w:r>
        <w:rPr>
          <w:rFonts w:ascii="Times New Roman" w:eastAsia="Times New Roman" w:hAnsi="Times New Roman" w:cs="Times New Roman"/>
          <w:i/>
          <w:iCs/>
          <w:sz w:val="16"/>
          <w:szCs w:val="16"/>
        </w:rPr>
        <w:t>T. solium</w:t>
      </w:r>
      <w:r>
        <w:t xml:space="preserve"> adulta. También es importante prestar atención especial a la higiene de manos y la eliminación apropiada de material excrementicio.</w:t>
      </w:r>
    </w:p>
    <w:p w14:paraId="3E040FFC" w14:textId="77777777" w:rsidR="00924992" w:rsidRDefault="00924992">
      <w:pPr>
        <w:pStyle w:val="BodyText"/>
        <w:spacing w:after="100"/>
        <w:ind w:firstLine="360"/>
      </w:pPr>
      <w:r>
        <w:t>Conviene estudiar muestras de excrementos obtenidas de manejadores de alimentos que hayan migrado en fecha reciente de países en que existe la cisticercosis endémica para detectar huevecillos y proglótides. Las personas que viajan a países en desarrollo con cifras endémicas altas de cisticercosis deben abstenerse de comer verduras y frutas crudas que no puedan ser peladas.</w:t>
      </w:r>
    </w:p>
    <w:p w14:paraId="3CE5FA22" w14:textId="77777777" w:rsidR="00924992" w:rsidRDefault="00924992">
      <w:pPr>
        <w:pStyle w:val="Bodytext70"/>
        <w:spacing w:after="0"/>
      </w:pPr>
      <w:r>
        <w:t>Vermes planos, enfermedades por otros</w:t>
      </w:r>
    </w:p>
    <w:p w14:paraId="5DB9BE0C" w14:textId="77777777" w:rsidR="00924992" w:rsidRDefault="00924992">
      <w:pPr>
        <w:pStyle w:val="Other0"/>
        <w:spacing w:line="252" w:lineRule="auto"/>
        <w:ind w:firstLine="0"/>
        <w:rPr>
          <w:sz w:val="20"/>
          <w:szCs w:val="20"/>
        </w:rPr>
      </w:pPr>
      <w:r>
        <w:rPr>
          <w:rFonts w:ascii="Arial" w:eastAsia="Arial" w:hAnsi="Arial" w:cs="Arial"/>
          <w:b/>
          <w:bCs/>
          <w:w w:val="70"/>
          <w:sz w:val="20"/>
          <w:szCs w:val="20"/>
        </w:rPr>
        <w:t>(Incluida la enfermedad hidatídica)</w:t>
      </w:r>
    </w:p>
    <w:p w14:paraId="39BCA814" w14:textId="77777777" w:rsidR="00924992" w:rsidRDefault="00924992">
      <w:pPr>
        <w:pStyle w:val="BodyText"/>
        <w:ind w:firstLine="0"/>
      </w:pPr>
      <w:r>
        <w:t>La ingestión de algunos huevos de céstodos (tenias) o el contacto accidental con algunas formas larvarias puede culminar en infección tisular. Casi todas las infecciones son asintomáticas, pero se han observado en personas fuertemente infectadas náuseas, dolor abdominal y diarrea.</w:t>
      </w:r>
    </w:p>
    <w:p w14:paraId="1588D951" w14:textId="77777777" w:rsidR="00924992" w:rsidRDefault="00924992">
      <w:pPr>
        <w:pStyle w:val="BodyText"/>
        <w:spacing w:line="264" w:lineRule="auto"/>
        <w:ind w:firstLine="360"/>
        <w:sectPr w:rsidR="00924992" w:rsidSect="00924992">
          <w:headerReference w:type="even" r:id="rId13"/>
          <w:headerReference w:type="default" r:id="rId14"/>
          <w:footerReference w:type="even" r:id="rId15"/>
          <w:footerReference w:type="default" r:id="rId16"/>
          <w:type w:val="continuous"/>
          <w:pgSz w:w="8501" w:h="13022"/>
          <w:pgMar w:top="898" w:right="780" w:bottom="509" w:left="828" w:header="0" w:footer="81" w:gutter="0"/>
          <w:cols w:space="720"/>
          <w:noEndnote/>
          <w:docGrid w:linePitch="360"/>
          <w15:footnoteColumns w:val="1"/>
        </w:sectPr>
      </w:pPr>
      <w:r>
        <w:rPr>
          <w:rFonts w:ascii="Arial" w:eastAsia="Arial" w:hAnsi="Arial" w:cs="Arial"/>
          <w:b/>
          <w:bCs/>
          <w:w w:val="70"/>
          <w:sz w:val="20"/>
          <w:szCs w:val="20"/>
        </w:rPr>
        <w:t xml:space="preserve">Hymenolepis nana. </w:t>
      </w:r>
      <w:r>
        <w:t xml:space="preserve">La tenia en cuestión, también llamada enana porque es la menor de todos los vermes adultos de esta categoría, tiene un ciclo completo dentro de los seres humanos. Por tal razón, es posible la transmisión directa de una persona a otra. Una situación más problemática es la autoinfección que tiende a perpetuar la infección </w:t>
      </w:r>
    </w:p>
    <w:p w14:paraId="3E05A7EE" w14:textId="77777777" w:rsidR="00924992" w:rsidRDefault="00924992">
      <w:pPr>
        <w:pStyle w:val="BodyText"/>
        <w:spacing w:line="264" w:lineRule="auto"/>
        <w:ind w:firstLine="0"/>
      </w:pPr>
      <w:r>
        <w:t>en el hospedador porque los huevos pueden hacer eclosión dentro de los intestinos y reiniciar el ciclo y así surgen nuevos vermes y un gran número de ellos. El ciclo anterior dificulta la erradicación de la infección por medio de praziquantel. Si ella persiste después del tratamiento conviene repetirlo con el mismo fármaco.</w:t>
      </w:r>
    </w:p>
    <w:p w14:paraId="7A083571" w14:textId="77777777" w:rsidR="00924992" w:rsidRDefault="00924992">
      <w:pPr>
        <w:pStyle w:val="BodyText"/>
        <w:spacing w:line="266" w:lineRule="auto"/>
        <w:ind w:firstLine="360"/>
      </w:pPr>
      <w:r>
        <w:rPr>
          <w:rFonts w:ascii="Arial" w:eastAsia="Arial" w:hAnsi="Arial" w:cs="Arial"/>
          <w:b/>
          <w:bCs/>
          <w:w w:val="70"/>
          <w:sz w:val="20"/>
          <w:szCs w:val="20"/>
        </w:rPr>
        <w:t>Dipylidium caninum</w:t>
      </w:r>
      <w:r>
        <w:rPr>
          <w:rFonts w:ascii="Arial" w:eastAsia="Arial" w:hAnsi="Arial" w:cs="Arial"/>
          <w:b/>
          <w:bCs/>
          <w:i/>
          <w:iCs/>
          <w:sz w:val="15"/>
          <w:szCs w:val="15"/>
        </w:rPr>
        <w:t>.</w:t>
      </w:r>
      <w:r>
        <w:t xml:space="preserve"> El verme en cuestión es la tenia adulta más frecuente y más distribuida, de perros y gatos. </w:t>
      </w:r>
      <w:r>
        <w:rPr>
          <w:rFonts w:ascii="Times New Roman" w:eastAsia="Times New Roman" w:hAnsi="Times New Roman" w:cs="Times New Roman"/>
          <w:i/>
          <w:iCs/>
          <w:sz w:val="16"/>
          <w:szCs w:val="16"/>
        </w:rPr>
        <w:t>Dipylidium caninum</w:t>
      </w:r>
      <w:r>
        <w:t xml:space="preserve"> infecta niños que han deglutido inadvertidamente la pulga de gato o perro, la cual sirve de hospedador intermedio. El diagnóstico se confirma al detectar los huevecillos característicos o segmentos móviles de la tenia en los excrementos. Los segmentos del verme se semejan a granos de arroz aglutinados. La terapia con praziquantel es eficaz; otra opción terapéutica sería la niclosamida.</w:t>
      </w:r>
    </w:p>
    <w:p w14:paraId="27F7240B" w14:textId="77777777" w:rsidR="00924992" w:rsidRDefault="00924992">
      <w:pPr>
        <w:pStyle w:val="BodyText"/>
        <w:ind w:firstLine="360"/>
      </w:pPr>
      <w:r>
        <w:rPr>
          <w:rFonts w:ascii="Arial" w:eastAsia="Arial" w:hAnsi="Arial" w:cs="Arial"/>
          <w:b/>
          <w:bCs/>
          <w:w w:val="70"/>
          <w:sz w:val="20"/>
          <w:szCs w:val="20"/>
        </w:rPr>
        <w:t>Diphyllobothrium latum (</w:t>
      </w:r>
      <w:r>
        <w:rPr>
          <w:rFonts w:ascii="Arial" w:eastAsia="Arial" w:hAnsi="Arial" w:cs="Arial"/>
          <w:b/>
          <w:bCs/>
          <w:i/>
          <w:iCs/>
          <w:sz w:val="15"/>
          <w:szCs w:val="15"/>
        </w:rPr>
        <w:t>y especies similares</w:t>
      </w:r>
      <w:r>
        <w:rPr>
          <w:rFonts w:ascii="Arial" w:eastAsia="Arial" w:hAnsi="Arial" w:cs="Arial"/>
          <w:b/>
          <w:bCs/>
          <w:i/>
          <w:iCs/>
          <w:w w:val="70"/>
          <w:sz w:val="20"/>
          <w:szCs w:val="20"/>
        </w:rPr>
        <w:t>)</w:t>
      </w:r>
      <w:r>
        <w:rPr>
          <w:rFonts w:ascii="Arial" w:eastAsia="Arial" w:hAnsi="Arial" w:cs="Arial"/>
          <w:b/>
          <w:bCs/>
          <w:i/>
          <w:iCs/>
          <w:sz w:val="15"/>
          <w:szCs w:val="15"/>
        </w:rPr>
        <w:t>.</w:t>
      </w:r>
      <w:r>
        <w:t xml:space="preserve"> La tenia en cuestión, llamada de peces, tiene a estos animales como uno de sus hospedadores intermedios. El consumo de carne infectada y cruda de peces de agua dulce (incluido el salmón) ocasiona la infección. Se necesita el paso de tres a cinco semanas para que la tenia adulta madure y comience a depositar huevos. El verme a veces origina obstrucción mecánica de los intestinos o diarrea, dolor abdominal y en raras ocasiones anemia megaloblástica que es consecuencia de la deficiencia de vitamina B</w:t>
      </w:r>
      <w:r>
        <w:rPr>
          <w:rFonts w:ascii="Times New Roman" w:eastAsia="Times New Roman" w:hAnsi="Times New Roman" w:cs="Times New Roman"/>
          <w:sz w:val="11"/>
          <w:szCs w:val="11"/>
        </w:rPr>
        <w:t>12</w:t>
      </w:r>
      <w:r>
        <w:t>. El diagnóstico se hace al identificar los huevecillos y proglótides característicos, expulsados en los excrementos. La terapia con praziquantel es efica, y como otra posibilidad cabe usar niclosamida.</w:t>
      </w:r>
    </w:p>
    <w:p w14:paraId="4F2E745D" w14:textId="77777777" w:rsidR="00924992" w:rsidRDefault="00924992">
      <w:pPr>
        <w:pStyle w:val="BodyText"/>
        <w:spacing w:line="271" w:lineRule="auto"/>
        <w:ind w:firstLine="360"/>
      </w:pPr>
      <w:r>
        <w:rPr>
          <w:rFonts w:ascii="Arial" w:eastAsia="Arial" w:hAnsi="Arial" w:cs="Arial"/>
          <w:b/>
          <w:bCs/>
          <w:w w:val="70"/>
          <w:sz w:val="20"/>
          <w:szCs w:val="20"/>
        </w:rPr>
        <w:t xml:space="preserve">Echinococcus granulosus </w:t>
      </w:r>
      <w:r>
        <w:rPr>
          <w:rFonts w:ascii="Arial" w:eastAsia="Arial" w:hAnsi="Arial" w:cs="Arial"/>
          <w:b/>
          <w:bCs/>
          <w:i/>
          <w:iCs/>
          <w:sz w:val="15"/>
          <w:szCs w:val="15"/>
        </w:rPr>
        <w:t>y</w:t>
      </w:r>
      <w:r>
        <w:rPr>
          <w:rFonts w:ascii="Arial" w:eastAsia="Arial" w:hAnsi="Arial" w:cs="Arial"/>
          <w:b/>
          <w:bCs/>
          <w:w w:val="70"/>
          <w:sz w:val="20"/>
          <w:szCs w:val="20"/>
        </w:rPr>
        <w:t xml:space="preserve"> Echinococcus multilocularis. </w:t>
      </w:r>
      <w:r>
        <w:t xml:space="preserve">Las formas larvarias de estas tenias son las causas de enfermedad hidatídica. La distribución de </w:t>
      </w:r>
      <w:r>
        <w:rPr>
          <w:rFonts w:ascii="Times New Roman" w:eastAsia="Times New Roman" w:hAnsi="Times New Roman" w:cs="Times New Roman"/>
          <w:i/>
          <w:iCs/>
          <w:sz w:val="16"/>
          <w:szCs w:val="16"/>
        </w:rPr>
        <w:t>Echinococcus granulosus</w:t>
      </w:r>
      <w:r>
        <w:t xml:space="preserve"> guarda relación con las crías de ovinos o vacunos. Los países con la mayor prevalencia incluyen Argentina, China, Grecia, Italia, Líbano, Rumania, África del Sur, España, Siria, Turquía y los países de la antigua Unión Soviética. En Estados Unidos, existen pequeños focos endémicos en Arizona, California, Nuevo México y Utah, y se ha adaptado una cepa a lobos, renos y caribúes en Alaska y Canadá. Los perros, los coyotes, los lobos, los dingos y los chacales se han infectado al ingerir las protoscólices del parásito dentro de los quistes hidatídicos en los órganos de ovejas u otros hospedadores intermedios. Los perros expulsan huevos embrionados en sus excrementos y las ovejas se infectan al ingerir los huevecillos. En caso de que los seres humanos deglutan tales huevecillos se tornarán hospedadores intermedios inadvertidamente y pueden desarrollarse los quistes en algunos órganos como el hígado, los pulmones, los riñones y el bazo. Los quistes por lo común crecen lentamente (1 cm de diámetro al año), pero al final pueden contener varios litros de líquido. De romperse, surge una reacción anafiláctica y la distribución de múltiples quistes secundarios por “siembra” de protoscólices. Es difícil el diagnóstico clínico. Es útil el antecedente de contacto con perros en un área endémica. Por medio de radiografías, ultrasonografía o tomografía computadorizada de diversos órganos se demuestran las lesiones expansivas. Son útiles métodos serológicos que se practican en los </w:t>
      </w:r>
      <w:r>
        <w:rPr>
          <w:rFonts w:ascii="Times New Roman" w:eastAsia="Times New Roman" w:hAnsi="Times New Roman" w:cs="Times New Roman"/>
          <w:i/>
          <w:iCs/>
          <w:sz w:val="16"/>
          <w:szCs w:val="16"/>
        </w:rPr>
        <w:t xml:space="preserve">Centers for Disease Control and Prevention, </w:t>
      </w:r>
      <w:r>
        <w:t>pero surgen resultados falsamente negativos. El tratamiento quirúrgico está indicado en algunos niños y obliga a prestar atención muy meticulosa a diversas maniobras para evitar que se desparrame el contenido del quiste. La inyección de soluciones escolecidas en el interior del quiste antes de su extirpación pudiera llevar al mínimo el peligro de diseminación en caso de que se rompa y desparrame el contenido. El tratamiento con albendazol durante varios meses es beneficioso en muchos pacientes.</w:t>
      </w:r>
    </w:p>
    <w:p w14:paraId="443300BB" w14:textId="77777777" w:rsidR="00924992" w:rsidRDefault="00924992">
      <w:pPr>
        <w:pStyle w:val="BodyText"/>
        <w:spacing w:line="290" w:lineRule="auto"/>
        <w:ind w:firstLine="360"/>
      </w:pPr>
      <w:r>
        <w:rPr>
          <w:rFonts w:ascii="Times New Roman" w:eastAsia="Times New Roman" w:hAnsi="Times New Roman" w:cs="Times New Roman"/>
          <w:i/>
          <w:iCs/>
          <w:sz w:val="16"/>
          <w:szCs w:val="16"/>
        </w:rPr>
        <w:t>Echinococcus multilocularis</w:t>
      </w:r>
      <w:r>
        <w:t>, una especie en la cual el ciclo vital incluye zorros, perros y roedores, origina la forma alveolar de la enfermedad hidatídica que se caracteriza por la proliferación invasora de larvas en el hígado y a veces propagación metastàtica. La forma alveolar de la enfermedad hidatídica se limita al hemisferio septentrional y por lo común se diagnostica en personas de 50 años de edad o mayores. El tratamiento preferido es la extirpación quirúrgica de toda la masa larvaria. En casos no extirpables, la administración ininterrumpida de albendazol ha originado mejoría clínica.</w:t>
      </w:r>
    </w:p>
    <w:p w14:paraId="73AFE3D1" w14:textId="77777777" w:rsidR="00924992" w:rsidRDefault="00924992">
      <w:pPr>
        <w:pStyle w:val="BodyText"/>
        <w:spacing w:line="262" w:lineRule="auto"/>
        <w:ind w:firstLine="0"/>
      </w:pPr>
      <w:r>
        <w:rPr>
          <w:b/>
          <w:bCs/>
          <w:smallCaps/>
          <w:sz w:val="20"/>
          <w:szCs w:val="20"/>
        </w:rPr>
        <w:t>A</w:t>
      </w:r>
      <w:r>
        <w:rPr>
          <w:b/>
          <w:bCs/>
          <w:smallCaps/>
          <w:sz w:val="16"/>
          <w:szCs w:val="16"/>
        </w:rPr>
        <w:t>islamiento del paciente hospitalizado</w:t>
      </w:r>
      <w:r>
        <w:rPr>
          <w:b/>
          <w:bCs/>
          <w:smallCaps/>
          <w:sz w:val="20"/>
          <w:szCs w:val="20"/>
        </w:rPr>
        <w:t>:</w:t>
      </w:r>
      <w:r>
        <w:t xml:space="preserve"> Se recomienda seguir las precauciones estàndar.</w:t>
      </w:r>
    </w:p>
    <w:p w14:paraId="3DC3B99E" w14:textId="77777777" w:rsidR="00924992" w:rsidRDefault="00924992">
      <w:pPr>
        <w:pStyle w:val="BodyText"/>
        <w:ind w:firstLine="0"/>
      </w:pPr>
      <w:r>
        <w:rPr>
          <w:b/>
          <w:bCs/>
        </w:rPr>
        <w:t>M</w:t>
      </w:r>
      <w:r>
        <w:rPr>
          <w:b/>
          <w:bCs/>
          <w:sz w:val="13"/>
          <w:szCs w:val="13"/>
        </w:rPr>
        <w:t xml:space="preserve">EDIDAS </w:t>
      </w:r>
      <w:r>
        <w:rPr>
          <w:b/>
          <w:bCs/>
          <w:smallCaps/>
          <w:sz w:val="16"/>
          <w:szCs w:val="16"/>
        </w:rPr>
        <w:t>preventivas</w:t>
      </w:r>
      <w:r>
        <w:rPr>
          <w:b/>
          <w:bCs/>
          <w:smallCaps/>
          <w:sz w:val="20"/>
          <w:szCs w:val="20"/>
        </w:rPr>
        <w:t>:</w:t>
      </w:r>
      <w:r>
        <w:t xml:space="preserve"> Las medidas de este tipo con </w:t>
      </w:r>
      <w:r>
        <w:rPr>
          <w:rFonts w:ascii="Times New Roman" w:eastAsia="Times New Roman" w:hAnsi="Times New Roman" w:cs="Times New Roman"/>
          <w:i/>
          <w:iCs/>
          <w:sz w:val="16"/>
          <w:szCs w:val="16"/>
        </w:rPr>
        <w:t>H. nana</w:t>
      </w:r>
      <w:r>
        <w:t xml:space="preserve"> incluyen orientar al público en cuanto a aspectos de higiene personal y de eliminación sanitaria de las heces.</w:t>
      </w:r>
    </w:p>
    <w:p w14:paraId="18B4C36F" w14:textId="77777777" w:rsidR="00924992" w:rsidRDefault="00924992">
      <w:pPr>
        <w:pStyle w:val="BodyText"/>
        <w:ind w:firstLine="360"/>
      </w:pPr>
      <w:r>
        <w:t xml:space="preserve">La infección por </w:t>
      </w:r>
      <w:r>
        <w:rPr>
          <w:rFonts w:ascii="Times New Roman" w:eastAsia="Times New Roman" w:hAnsi="Times New Roman" w:cs="Times New Roman"/>
          <w:i/>
          <w:iCs/>
          <w:sz w:val="16"/>
          <w:szCs w:val="16"/>
        </w:rPr>
        <w:t>D. caninum</w:t>
      </w:r>
      <w:r>
        <w:t xml:space="preserve"> se evita al desparasitar a perros y gatos de pulgas y vermes. La protección contra </w:t>
      </w:r>
      <w:r>
        <w:rPr>
          <w:rFonts w:ascii="Times New Roman" w:eastAsia="Times New Roman" w:hAnsi="Times New Roman" w:cs="Times New Roman"/>
          <w:i/>
          <w:iCs/>
          <w:sz w:val="16"/>
          <w:szCs w:val="16"/>
        </w:rPr>
        <w:t>D. latum</w:t>
      </w:r>
      <w:r>
        <w:t xml:space="preserve"> se logra por la cocción perfecta (56°C durante 5 min), la congelación (-18°C durante 24 h) o la radiación de la carne de peces de agua dulce.</w:t>
      </w:r>
    </w:p>
    <w:p w14:paraId="69BA356A" w14:textId="77777777" w:rsidR="00924992" w:rsidRDefault="00924992">
      <w:pPr>
        <w:pStyle w:val="BodyText"/>
        <w:spacing w:after="100"/>
        <w:ind w:firstLine="360"/>
      </w:pPr>
      <w:r>
        <w:t xml:space="preserve">Las medidas de erradicación y prevención de </w:t>
      </w:r>
      <w:r>
        <w:rPr>
          <w:rFonts w:ascii="Times New Roman" w:eastAsia="Times New Roman" w:hAnsi="Times New Roman" w:cs="Times New Roman"/>
          <w:i/>
          <w:iCs/>
          <w:sz w:val="16"/>
          <w:szCs w:val="16"/>
        </w:rPr>
        <w:t>E. granulosus</w:t>
      </w:r>
      <w:r>
        <w:t xml:space="preserve"> y </w:t>
      </w:r>
      <w:r>
        <w:rPr>
          <w:rFonts w:ascii="Times New Roman" w:eastAsia="Times New Roman" w:hAnsi="Times New Roman" w:cs="Times New Roman"/>
          <w:i/>
          <w:iCs/>
          <w:sz w:val="16"/>
          <w:szCs w:val="16"/>
        </w:rPr>
        <w:t xml:space="preserve">E. multilocularis </w:t>
      </w:r>
      <w:r>
        <w:t>incluyen orientar a grandes masas en cuanto a la higiene satisfactoria de manos y no exponerse a los excrementos de perros. La prevención y el control de la infección en perros aminora el peligro.</w:t>
      </w:r>
    </w:p>
    <w:p w14:paraId="27A01746" w14:textId="77777777" w:rsidR="00924992" w:rsidRDefault="00924992">
      <w:pPr>
        <w:pStyle w:val="Other0"/>
        <w:spacing w:after="100" w:line="240" w:lineRule="auto"/>
        <w:ind w:firstLine="0"/>
        <w:rPr>
          <w:sz w:val="28"/>
          <w:szCs w:val="28"/>
        </w:rPr>
      </w:pPr>
      <w:r>
        <w:rPr>
          <w:rFonts w:ascii="Times New Roman" w:eastAsia="Times New Roman" w:hAnsi="Times New Roman" w:cs="Times New Roman"/>
          <w:b/>
          <w:bCs/>
          <w:smallCaps/>
          <w:sz w:val="32"/>
          <w:szCs w:val="32"/>
        </w:rPr>
        <w:t>V</w:t>
      </w:r>
      <w:r>
        <w:rPr>
          <w:rFonts w:ascii="Times New Roman" w:eastAsia="Times New Roman" w:hAnsi="Times New Roman" w:cs="Times New Roman"/>
          <w:b/>
          <w:bCs/>
          <w:smallCaps/>
          <w:sz w:val="28"/>
          <w:szCs w:val="28"/>
        </w:rPr>
        <w:t>ibriones</w:t>
      </w:r>
      <w:r>
        <w:rPr>
          <w:rFonts w:ascii="Times New Roman" w:eastAsia="Times New Roman" w:hAnsi="Times New Roman" w:cs="Times New Roman"/>
          <w:b/>
          <w:bCs/>
          <w:smallCaps/>
          <w:sz w:val="32"/>
          <w:szCs w:val="32"/>
        </w:rPr>
        <w:t xml:space="preserve">, </w:t>
      </w:r>
      <w:r>
        <w:rPr>
          <w:rFonts w:ascii="Times New Roman" w:eastAsia="Times New Roman" w:hAnsi="Times New Roman" w:cs="Times New Roman"/>
          <w:b/>
          <w:bCs/>
          <w:smallCaps/>
          <w:sz w:val="28"/>
          <w:szCs w:val="28"/>
        </w:rPr>
        <w:t>infecciones</w:t>
      </w:r>
    </w:p>
    <w:p w14:paraId="43A9A442" w14:textId="77777777" w:rsidR="00924992" w:rsidRDefault="00924992">
      <w:pPr>
        <w:pStyle w:val="Bodytext70"/>
        <w:spacing w:after="0"/>
      </w:pPr>
      <w:r>
        <w:t>Cólera</w:t>
      </w:r>
    </w:p>
    <w:p w14:paraId="5E0F4AEC" w14:textId="77777777" w:rsidR="00924992" w:rsidRDefault="00924992">
      <w:pPr>
        <w:pStyle w:val="Bodytext80"/>
        <w:rPr>
          <w:sz w:val="15"/>
          <w:szCs w:val="15"/>
        </w:rPr>
      </w:pPr>
      <w:r>
        <w:rPr>
          <w:b/>
          <w:bCs/>
          <w:i/>
          <w:iCs/>
          <w:sz w:val="15"/>
          <w:szCs w:val="15"/>
        </w:rPr>
        <w:t>(Vibrio cholerae)</w:t>
      </w:r>
    </w:p>
    <w:p w14:paraId="0BBA1C80" w14:textId="77777777" w:rsidR="00924992" w:rsidRDefault="00924992">
      <w:pPr>
        <w:pStyle w:val="BodyText"/>
        <w:ind w:firstLine="0"/>
      </w:pPr>
      <w:r>
        <w:rPr>
          <w:b/>
          <w:bCs/>
        </w:rPr>
        <w:t>M</w:t>
      </w:r>
      <w:r>
        <w:rPr>
          <w:b/>
          <w:bCs/>
          <w:sz w:val="13"/>
          <w:szCs w:val="13"/>
        </w:rPr>
        <w:t xml:space="preserve">ANIFESTACIONES </w:t>
      </w:r>
      <w:r>
        <w:rPr>
          <w:b/>
          <w:bCs/>
          <w:smallCaps/>
          <w:sz w:val="16"/>
          <w:szCs w:val="16"/>
        </w:rPr>
        <w:t>clínicas</w:t>
      </w:r>
      <w:r>
        <w:rPr>
          <w:b/>
          <w:bCs/>
          <w:smallCaps/>
          <w:sz w:val="20"/>
          <w:szCs w:val="20"/>
        </w:rPr>
        <w:t>:</w:t>
      </w:r>
      <w:r>
        <w:t xml:space="preserve"> El cólera se caracteriza por diarrea abundante e indolora sin cólicos abdominales ni fiebre. En 4 a 12 h pueden ocurrir fenómenos como deshidratación, hipocaliemia, acidosis metabólica y a veces choque hipovolémico si no se reponen los líquidos perdidos. También puede sobrevenir coma, convulsiones e hipoglucemia, particularmente en niños. Los excrementos son incoloros con pequeños rasgos de moco (“en agua de arroz”) y contienen concentraciones altas de sodio, potasio, cloruro y bicarbonato. Muchas personas infectadas por </w:t>
      </w:r>
      <w:r>
        <w:rPr>
          <w:rFonts w:ascii="Times New Roman" w:eastAsia="Times New Roman" w:hAnsi="Times New Roman" w:cs="Times New Roman"/>
          <w:i/>
          <w:iCs/>
          <w:sz w:val="16"/>
          <w:szCs w:val="16"/>
        </w:rPr>
        <w:t>Vibrio cholerae</w:t>
      </w:r>
      <w:r>
        <w:t xml:space="preserve"> O1 toxígeno no tienen síntomas y otros tienen sólo diarrea leve o moderada; menos de 5% presentan diarrea aguda y acuosa, vómitos y deshidratación </w:t>
      </w:r>
      <w:r>
        <w:rPr>
          <w:rFonts w:ascii="Times New Roman" w:eastAsia="Times New Roman" w:hAnsi="Times New Roman" w:cs="Times New Roman"/>
          <w:i/>
          <w:iCs/>
          <w:sz w:val="16"/>
          <w:szCs w:val="16"/>
        </w:rPr>
        <w:t>(cólera grave)</w:t>
      </w:r>
      <w:r>
        <w:rPr>
          <w:i/>
          <w:iCs/>
        </w:rPr>
        <w:t xml:space="preserve">. </w:t>
      </w:r>
      <w:r>
        <w:rPr>
          <w:b/>
          <w:bCs/>
        </w:rPr>
        <w:t>C</w:t>
      </w:r>
      <w:r>
        <w:rPr>
          <w:b/>
          <w:bCs/>
          <w:sz w:val="13"/>
          <w:szCs w:val="13"/>
        </w:rPr>
        <w:t>AUSAS</w:t>
      </w:r>
      <w:r>
        <w:rPr>
          <w:b/>
          <w:bCs/>
        </w:rPr>
        <w:t xml:space="preserve">: </w:t>
      </w:r>
      <w:r>
        <w:rPr>
          <w:rFonts w:ascii="Times New Roman" w:eastAsia="Times New Roman" w:hAnsi="Times New Roman" w:cs="Times New Roman"/>
          <w:i/>
          <w:iCs/>
          <w:sz w:val="16"/>
          <w:szCs w:val="16"/>
        </w:rPr>
        <w:t>Vibrio cholerae</w:t>
      </w:r>
      <w:r>
        <w:t xml:space="preserve"> es un bacilo móvil, curvo gramnegativo con muchos serogrupos. Hasta fecha reciente, sólo los microorganismos que producen enterotoxina, del serogrupo O1 han causado epidemia. </w:t>
      </w:r>
      <w:r>
        <w:rPr>
          <w:rFonts w:ascii="Times New Roman" w:eastAsia="Times New Roman" w:hAnsi="Times New Roman" w:cs="Times New Roman"/>
          <w:i/>
          <w:iCs/>
          <w:sz w:val="16"/>
          <w:szCs w:val="16"/>
        </w:rPr>
        <w:t>Vibrio cholerae</w:t>
      </w:r>
      <w:r>
        <w:t xml:space="preserve"> O1 se divide en dos serotipos, Inaba y Ogawa con dos biotipos, el clàsico y El Tor. El biotipo predominante es El Tor. En 1992, una epidemia de cólera atribuible al serogrupo O139 Bengala de </w:t>
      </w:r>
      <w:r>
        <w:rPr>
          <w:rFonts w:ascii="Times New Roman" w:eastAsia="Times New Roman" w:hAnsi="Times New Roman" w:cs="Times New Roman"/>
          <w:i/>
          <w:iCs/>
          <w:sz w:val="16"/>
          <w:szCs w:val="16"/>
        </w:rPr>
        <w:t xml:space="preserve">V. cholerae </w:t>
      </w:r>
      <w:r>
        <w:t xml:space="preserve">(una cepa no toxígena O1) originó una epidemia de cólera en el Continente Indio y el sudeste asiàtico; los casos de cólera causados por dicho serogrupo se limitaron al sudeste asiático desde 1993. Los serogrupos de </w:t>
      </w:r>
      <w:r>
        <w:rPr>
          <w:rFonts w:ascii="Times New Roman" w:eastAsia="Times New Roman" w:hAnsi="Times New Roman" w:cs="Times New Roman"/>
          <w:i/>
          <w:iCs/>
          <w:sz w:val="16"/>
          <w:szCs w:val="16"/>
        </w:rPr>
        <w:t>V cholerae</w:t>
      </w:r>
      <w:r>
        <w:t xml:space="preserve"> diferentes de O1 y O139 Bengala y cepas no toxígenas de </w:t>
      </w:r>
      <w:r>
        <w:rPr>
          <w:rFonts w:ascii="Times New Roman" w:eastAsia="Times New Roman" w:hAnsi="Times New Roman" w:cs="Times New Roman"/>
          <w:i/>
          <w:iCs/>
          <w:sz w:val="16"/>
          <w:szCs w:val="16"/>
        </w:rPr>
        <w:t>V. cholerae</w:t>
      </w:r>
      <w:r>
        <w:t xml:space="preserve"> O1 originan cuadros diarreicos esporàdicos, pero no causan epidemias.</w:t>
      </w:r>
    </w:p>
    <w:p w14:paraId="7DE40907" w14:textId="77777777" w:rsidR="00924992" w:rsidRDefault="00924992">
      <w:pPr>
        <w:pStyle w:val="BodyText"/>
        <w:ind w:firstLine="0"/>
        <w:sectPr w:rsidR="00924992" w:rsidSect="00924992">
          <w:headerReference w:type="even" r:id="rId17"/>
          <w:headerReference w:type="default" r:id="rId18"/>
          <w:footerReference w:type="even" r:id="rId19"/>
          <w:footerReference w:type="default" r:id="rId20"/>
          <w:headerReference w:type="first" r:id="rId21"/>
          <w:footerReference w:type="first" r:id="rId22"/>
          <w:pgSz w:w="8501" w:h="13022"/>
          <w:pgMar w:top="898" w:right="780" w:bottom="509" w:left="828" w:header="0" w:footer="3" w:gutter="0"/>
          <w:cols w:space="720"/>
          <w:noEndnote/>
          <w:titlePg/>
          <w:docGrid w:linePitch="360"/>
          <w15:footnoteColumns w:val="1"/>
        </w:sectPr>
      </w:pPr>
      <w:r>
        <w:rPr>
          <w:b/>
          <w:bCs/>
          <w:smallCaps/>
          <w:sz w:val="20"/>
          <w:szCs w:val="20"/>
        </w:rPr>
        <w:t>A</w:t>
      </w:r>
      <w:r>
        <w:rPr>
          <w:b/>
          <w:bCs/>
          <w:smallCaps/>
          <w:sz w:val="16"/>
          <w:szCs w:val="16"/>
        </w:rPr>
        <w:t>spectos epidemiológicos</w:t>
      </w:r>
      <w:r>
        <w:rPr>
          <w:b/>
          <w:bCs/>
          <w:smallCaps/>
          <w:sz w:val="20"/>
          <w:szCs w:val="20"/>
        </w:rPr>
        <w:t>:</w:t>
      </w:r>
      <w:r>
        <w:t xml:space="preserve"> En los últimos 40 años, </w:t>
      </w:r>
      <w:r>
        <w:rPr>
          <w:rFonts w:ascii="Times New Roman" w:eastAsia="Times New Roman" w:hAnsi="Times New Roman" w:cs="Times New Roman"/>
          <w:i/>
          <w:iCs/>
          <w:sz w:val="16"/>
          <w:szCs w:val="16"/>
        </w:rPr>
        <w:t>V. cholerae</w:t>
      </w:r>
      <w:r>
        <w:t xml:space="preserve"> O1, biotipo El Tor se ha diseminado desde la India y el sudeste asiático a África, el Oriente Cercano, la porción meridional de Europa y las islas de la zona occidental del Pacífico (Oceanía). En 1991, apareció en Perú una epidemia de cólera causada por </w:t>
      </w:r>
      <w:r>
        <w:rPr>
          <w:rFonts w:ascii="Times New Roman" w:eastAsia="Times New Roman" w:hAnsi="Times New Roman" w:cs="Times New Roman"/>
          <w:i/>
          <w:iCs/>
          <w:sz w:val="16"/>
          <w:szCs w:val="16"/>
        </w:rPr>
        <w:t>V. cholerae</w:t>
      </w:r>
      <w:r>
        <w:t xml:space="preserve"> O1 toxígeno, serotipo Inaba, biotipo El Tor y se propagó a muchos países de América del Sur y del Norte. En Estados Unidos, se han notificado casos que han sido consecuencia de viajes a América Latina o Asia y atribuibles a la ingestión de alimentos contaminados </w:t>
      </w:r>
    </w:p>
    <w:p w14:paraId="303B4A07" w14:textId="77777777" w:rsidR="00924992" w:rsidRDefault="00924992">
      <w:pPr>
        <w:pStyle w:val="BodyText"/>
        <w:ind w:firstLine="0"/>
      </w:pPr>
      <w:r>
        <w:t>pacientes vueltos a tratar deben someterse a planes recomendados para personas con sífilis que dure más de un año. En términos generales, conviene sólo un ciclo de repetición de la terapia. Habrá que pensar siempre en la posibilidad de reinfección o de infección por VIH coexistente cuando se trate de nuevo a personas con sífilis temprana.</w:t>
      </w:r>
    </w:p>
    <w:p w14:paraId="6D93CB60" w14:textId="77777777" w:rsidR="00924992" w:rsidRDefault="00924992">
      <w:pPr>
        <w:pStyle w:val="BodyText"/>
        <w:ind w:firstLine="360"/>
      </w:pPr>
      <w:r>
        <w:t>Los pacientes de neurosífilis deben ser sometidos periódicamente a estudios serológicos, a valoración clínica a intervalos semestrales y repetición de los estudios de LCR. Si no ha disminuido el número de células en dicho líquido después de seis meses o el líquido no se ha normalizado totalmente después de dos años, habrá que pensar en la repetición del tratamiento.</w:t>
      </w:r>
    </w:p>
    <w:p w14:paraId="59EE2419" w14:textId="77777777" w:rsidR="00924992" w:rsidRDefault="00924992">
      <w:pPr>
        <w:pStyle w:val="BodyText"/>
        <w:ind w:firstLine="0"/>
      </w:pPr>
      <w:r>
        <w:rPr>
          <w:b/>
          <w:bCs/>
          <w:smallCaps/>
          <w:sz w:val="20"/>
          <w:szCs w:val="20"/>
        </w:rPr>
        <w:t>A</w:t>
      </w:r>
      <w:r>
        <w:rPr>
          <w:b/>
          <w:bCs/>
          <w:smallCaps/>
          <w:sz w:val="16"/>
          <w:szCs w:val="16"/>
        </w:rPr>
        <w:t>islamiento del paciente hospitalizado</w:t>
      </w:r>
      <w:r>
        <w:rPr>
          <w:b/>
          <w:bCs/>
          <w:smallCaps/>
          <w:sz w:val="20"/>
          <w:szCs w:val="20"/>
        </w:rPr>
        <w:t>:</w:t>
      </w:r>
      <w:r>
        <w:t xml:space="preserve"> Se recomienda seguir las precauciones estándar en todos los pacientes, incluidos lactantes en quienes se sospecha sífilis congénita o se ha corroborado su presencia. Además, en los pequeños con sífilis congénita sospechada o corroborada, los padres, los visitantes, el personal nosocomial y los médicos deben usar guantes cuando los manipulen, hasta que se hayan completado 24 h después del tratamiento. Las lesiones abiertas húmedas, y quizá la sangre, son contagiosas en todos los sifilíticos, razón por la cual habrá que usar guantes al atender a quienes tienen sífilis primaria o secundaria, con lesiones cutáneas y de mucosas, hasta un lapso de 24 h de haber completado el tratamiento.</w:t>
      </w:r>
    </w:p>
    <w:p w14:paraId="1FEBC799" w14:textId="77777777" w:rsidR="00924992" w:rsidRDefault="00924992">
      <w:pPr>
        <w:pStyle w:val="Other0"/>
        <w:spacing w:line="257" w:lineRule="auto"/>
        <w:ind w:firstLine="0"/>
        <w:rPr>
          <w:sz w:val="20"/>
          <w:szCs w:val="20"/>
        </w:rPr>
      </w:pPr>
      <w:r>
        <w:rPr>
          <w:b/>
          <w:bCs/>
          <w:smallCaps/>
          <w:sz w:val="20"/>
          <w:szCs w:val="20"/>
        </w:rPr>
        <w:t>M</w:t>
      </w:r>
      <w:r>
        <w:rPr>
          <w:b/>
          <w:bCs/>
          <w:smallCaps/>
          <w:sz w:val="16"/>
          <w:szCs w:val="16"/>
        </w:rPr>
        <w:t>edidas preventivas</w:t>
      </w:r>
      <w:r>
        <w:rPr>
          <w:b/>
          <w:bCs/>
          <w:smallCaps/>
          <w:sz w:val="20"/>
          <w:szCs w:val="20"/>
        </w:rPr>
        <w:t>:</w:t>
      </w:r>
    </w:p>
    <w:p w14:paraId="3354FD5E" w14:textId="77777777" w:rsidR="00924992" w:rsidRDefault="00924992">
      <w:pPr>
        <w:pStyle w:val="BodyText"/>
        <w:numPr>
          <w:ilvl w:val="0"/>
          <w:numId w:val="105"/>
        </w:numPr>
        <w:tabs>
          <w:tab w:val="left" w:pos="341"/>
        </w:tabs>
        <w:ind w:left="360" w:hanging="360"/>
      </w:pPr>
      <w:bookmarkStart w:id="0" w:name="bookmark1455"/>
      <w:bookmarkEnd w:id="0"/>
      <w:r>
        <w:t>Habrá que practicar pruebas de detección sistemática de sífilis en toda mujer en los comienzos del embarazo, y de preferencia en el parto. Las que están expuestas a un gran riesgo de tener la enfermedad deben ser estudiadas de nuevo a las 28 semanas de gestación.</w:t>
      </w:r>
    </w:p>
    <w:p w14:paraId="5E88CF3F" w14:textId="77777777" w:rsidR="00924992" w:rsidRDefault="00924992">
      <w:pPr>
        <w:pStyle w:val="BodyText"/>
        <w:numPr>
          <w:ilvl w:val="0"/>
          <w:numId w:val="105"/>
        </w:numPr>
        <w:tabs>
          <w:tab w:val="left" w:pos="341"/>
        </w:tabs>
        <w:ind w:left="360" w:hanging="360"/>
      </w:pPr>
      <w:bookmarkStart w:id="1" w:name="bookmark1456"/>
      <w:bookmarkEnd w:id="1"/>
      <w:r>
        <w:t>Son convenientes medidas como instruir a los pacientes de las poblaciones en cuanto a enfermedades de transmisión sexual, tratamiento de contactos sexuales, notificación de cada caso a las autoridades sanitarias locales para investigar contactos y emprender vigilancia apropiada y también la detección de poblaciones de alto riesgo por medio de estudios serológicos.</w:t>
      </w:r>
    </w:p>
    <w:p w14:paraId="41838465" w14:textId="77777777" w:rsidR="00924992" w:rsidRDefault="00924992">
      <w:pPr>
        <w:pStyle w:val="BodyText"/>
        <w:numPr>
          <w:ilvl w:val="0"/>
          <w:numId w:val="105"/>
        </w:numPr>
        <w:tabs>
          <w:tab w:val="left" w:pos="341"/>
        </w:tabs>
        <w:ind w:left="360" w:hanging="360"/>
      </w:pPr>
      <w:bookmarkStart w:id="2" w:name="bookmark1457"/>
      <w:bookmarkEnd w:id="2"/>
      <w:r>
        <w:t>Se necesita identificar, estudiar, someter a pruebas serológicas y tratar de manera adecuada a todos los contactos sexuales recientes de una persona con sífilis adquirida. Los contactos sexuales en los últimos 90 días están expuestos a gran peligro de sífilis temprana y habrá que tratarlos como si tuvieran sífilis adquirida temprana, sean o no seropositivos. Se hará todo intento, incluida la exploración física y la práctica de estudios serológicos, para definir el diagnóstico en tales pacientes.</w:t>
      </w:r>
    </w:p>
    <w:p w14:paraId="6D7AEEBB" w14:textId="77777777" w:rsidR="00924992" w:rsidRDefault="00924992">
      <w:pPr>
        <w:pStyle w:val="BodyText"/>
        <w:numPr>
          <w:ilvl w:val="0"/>
          <w:numId w:val="105"/>
        </w:numPr>
        <w:tabs>
          <w:tab w:val="left" w:pos="341"/>
        </w:tabs>
        <w:spacing w:after="100"/>
        <w:ind w:left="360" w:hanging="360"/>
      </w:pPr>
      <w:bookmarkStart w:id="3" w:name="bookmark1458"/>
      <w:bookmarkEnd w:id="3"/>
      <w:r>
        <w:t>Debe someterse a examen clínico a todas las personas, incluido el personal nosocomial, que han tenido contacto muy cercano y no protegido con un pequeño con sífilis congénita temprana, antes de identificar la enfermedad o durante las primeras 24 h de tratamiento, en busca de lesiones dos a tres semanas después del contacto. Se practicarán métodos serológicos y se repetirán a los tres meses después del contacto, o antes en caso de surgir síntomas. Si se considera importante el grado de exposición, habrá que pensar en el tratamiento inmediato.</w:t>
      </w:r>
    </w:p>
    <w:p w14:paraId="2025662F" w14:textId="77777777" w:rsidR="00924992" w:rsidRDefault="00924992">
      <w:pPr>
        <w:pStyle w:val="Bodytext70"/>
        <w:spacing w:after="0"/>
      </w:pPr>
      <w:r>
        <w:t>Tétanos</w:t>
      </w:r>
    </w:p>
    <w:p w14:paraId="55CDE26E" w14:textId="77777777" w:rsidR="00924992" w:rsidRDefault="00924992">
      <w:pPr>
        <w:pStyle w:val="Other0"/>
        <w:spacing w:line="252" w:lineRule="auto"/>
        <w:ind w:firstLine="0"/>
        <w:rPr>
          <w:sz w:val="20"/>
          <w:szCs w:val="20"/>
        </w:rPr>
      </w:pPr>
      <w:r>
        <w:rPr>
          <w:rFonts w:ascii="Arial" w:eastAsia="Arial" w:hAnsi="Arial" w:cs="Arial"/>
          <w:b/>
          <w:bCs/>
          <w:w w:val="70"/>
          <w:sz w:val="20"/>
          <w:szCs w:val="20"/>
        </w:rPr>
        <w:t>(Trismo)</w:t>
      </w:r>
    </w:p>
    <w:p w14:paraId="56746921" w14:textId="77777777" w:rsidR="00924992" w:rsidRDefault="00924992">
      <w:pPr>
        <w:pStyle w:val="BodyText"/>
        <w:spacing w:line="264" w:lineRule="auto"/>
        <w:ind w:firstLine="0"/>
      </w:pPr>
      <w:r>
        <w:rPr>
          <w:b/>
          <w:bCs/>
          <w:smallCaps/>
          <w:sz w:val="20"/>
          <w:szCs w:val="20"/>
        </w:rPr>
        <w:t>M</w:t>
      </w:r>
      <w:r>
        <w:rPr>
          <w:b/>
          <w:bCs/>
          <w:smallCaps/>
          <w:sz w:val="16"/>
          <w:szCs w:val="16"/>
        </w:rPr>
        <w:t>anifestaciones clínicas</w:t>
      </w:r>
      <w:r>
        <w:rPr>
          <w:b/>
          <w:bCs/>
          <w:smallCaps/>
          <w:sz w:val="20"/>
          <w:szCs w:val="20"/>
        </w:rPr>
        <w:t>:</w:t>
      </w:r>
      <w:r>
        <w:t xml:space="preserve"> El tétanos generalizado (trismo) es un cuadro neurológico que incluye dicha manifestación (trismo) y espasmos musculares graves. Es causado por la neurotoxina producida por la bacteria anaerobia </w:t>
      </w:r>
      <w:r>
        <w:rPr>
          <w:rFonts w:ascii="Times New Roman" w:eastAsia="Times New Roman" w:hAnsi="Times New Roman" w:cs="Times New Roman"/>
          <w:i/>
          <w:iCs/>
          <w:sz w:val="16"/>
          <w:szCs w:val="16"/>
        </w:rPr>
        <w:t>Clostridium tetani</w:t>
      </w:r>
      <w:r>
        <w:t xml:space="preserve"> en una herida contaminada. Su comienzo es gradual y abarca uno a siete días, y los síntomas evolucionan hasta espasmos musculares generalizados muy intensos que suelen ser agravados por cualquier estímulo externo. Los espasmos graves persisten durante una semana o más, y en personas que se recuperan ceden en un periodo de semanas.</w:t>
      </w:r>
    </w:p>
    <w:p w14:paraId="4AF208A7" w14:textId="77777777" w:rsidR="00924992" w:rsidRDefault="00924992">
      <w:pPr>
        <w:pStyle w:val="BodyText"/>
        <w:ind w:firstLine="360"/>
      </w:pPr>
      <w:r>
        <w:t>El tétanos localizado se manifiesta en la forma de espasmos musculares locales en zonas vecinas a la herida. La variante cefálica es una disfunción de los pares craneales, que proviene de heridas infectadas en la cabeza y el cuello. Los dos trastornos preceden al tétanos generalizado.</w:t>
      </w:r>
    </w:p>
    <w:p w14:paraId="4242DD90" w14:textId="77777777" w:rsidR="00924992" w:rsidRDefault="00924992">
      <w:pPr>
        <w:pStyle w:val="BodyText"/>
        <w:ind w:firstLine="0"/>
      </w:pPr>
      <w:r>
        <w:rPr>
          <w:b/>
          <w:bCs/>
        </w:rPr>
        <w:t>C</w:t>
      </w:r>
      <w:r>
        <w:rPr>
          <w:b/>
          <w:bCs/>
          <w:sz w:val="13"/>
          <w:szCs w:val="13"/>
        </w:rPr>
        <w:t>AUSAS</w:t>
      </w:r>
      <w:r>
        <w:rPr>
          <w:b/>
          <w:bCs/>
        </w:rPr>
        <w:t xml:space="preserve">: </w:t>
      </w:r>
      <w:r>
        <w:rPr>
          <w:rFonts w:ascii="Times New Roman" w:eastAsia="Times New Roman" w:hAnsi="Times New Roman" w:cs="Times New Roman"/>
          <w:i/>
          <w:iCs/>
          <w:sz w:val="16"/>
          <w:szCs w:val="16"/>
        </w:rPr>
        <w:t>Clostridium tetani,</w:t>
      </w:r>
      <w:r>
        <w:t xml:space="preserve"> que es el bacilo del tétanos, es un bacilo esporógeno, anaerobio y grampositivo. Contamina heridas y no causa destrucción tisular ni una respuesta inflamatoria. La forma vegetativa produce una endotoxina potente codificada por plásmido (tetanospasmina) que se liga a gangliósidos en la unión mioneural del músculo de fibra estriada y a las membranas neuronales de la médula espinal, lo que bloquea los impulsos inhibitorios a las motoneuronas. No se ha corroborado con tanta exactitud la acción de la toxina tetánica en el encéfalo y el sistema nervioso simpático. </w:t>
      </w:r>
      <w:r>
        <w:rPr>
          <w:b/>
          <w:bCs/>
        </w:rPr>
        <w:t>A</w:t>
      </w:r>
      <w:r>
        <w:rPr>
          <w:b/>
          <w:bCs/>
          <w:sz w:val="13"/>
          <w:szCs w:val="13"/>
        </w:rPr>
        <w:t>SPECTOS EPIDEMIOLÓGICOS</w:t>
      </w:r>
      <w:r>
        <w:rPr>
          <w:b/>
          <w:bCs/>
        </w:rPr>
        <w:t xml:space="preserve">: </w:t>
      </w:r>
      <w:r>
        <w:t>El tétanos es una enfermedad de distribución mundial; es más frecuente en climas cálidos y en meses de verano, en parte por la mayor frecuencia de heridas contaminadas, vinculadas con tales sitios y estaciones. El microorganismo que habita normalmente en la tierra y los intestinos de animales y seres humanos tiene una distribución amplísima en el entorno, especialmente en sitios en que es frecuente la contaminación con las excretas. Las heridas, identificadas o no, son los sitios de multiplicación del microorganismo y su elaboración de toxina. Las expuestas a un mayor peligro son las contaminadas, en particular las que tienen tejidos desvitalizados y traumatismo profundos y puntiformes. El tétanos neonatal es frecuente en muchos países en desarrollo en que las mujeres no son vacunadas adecuadamente contra la enfermedad, y se siguen todavía prácticas antihigiénicas para el cuidado del cordón umbilical. La vacunación activa amplia contra el tétanos ha modificado los aspectos epidemiológicos de la enfermedad en Estados Unidos, país en el cual se han notificado desde 1995 menos de 50 casos al año. El tétanos no es transmisible de una persona a otra.</w:t>
      </w:r>
    </w:p>
    <w:p w14:paraId="1A3AB08F" w14:textId="77777777" w:rsidR="00924992" w:rsidRDefault="00924992">
      <w:pPr>
        <w:pStyle w:val="BodyText"/>
        <w:ind w:firstLine="360"/>
      </w:pPr>
      <w:r>
        <w:t xml:space="preserve">El </w:t>
      </w:r>
      <w:r>
        <w:rPr>
          <w:b/>
          <w:bCs/>
        </w:rPr>
        <w:t xml:space="preserve">periodo de incubación </w:t>
      </w:r>
      <w:r>
        <w:t>varía de dos días a meses, y casi todos los casos surgen en término de 14 días. En los neonatos, el periodo de incubación va de cinco a 14 días; lapsos más breves se han vinculado con heridas contaminadas más intensamente, con un cuadro más grave y un pronóstico peor.</w:t>
      </w:r>
    </w:p>
    <w:p w14:paraId="58943038" w14:textId="77777777" w:rsidR="00924992" w:rsidRDefault="00924992">
      <w:pPr>
        <w:pStyle w:val="BodyText"/>
        <w:ind w:firstLine="0"/>
      </w:pPr>
      <w:r>
        <w:rPr>
          <w:b/>
          <w:bCs/>
        </w:rPr>
        <w:t>M</w:t>
      </w:r>
      <w:r>
        <w:rPr>
          <w:b/>
          <w:bCs/>
          <w:sz w:val="13"/>
          <w:szCs w:val="13"/>
        </w:rPr>
        <w:t>ÉTODOS DIAGNÓSTICOS</w:t>
      </w:r>
      <w:r>
        <w:rPr>
          <w:b/>
          <w:bCs/>
        </w:rPr>
        <w:t xml:space="preserve">: </w:t>
      </w:r>
      <w:r>
        <w:t xml:space="preserve">El diagnóstico del tétanos se hace sobre bases clínicas al descartar otras causas de espasmos tetánicos, como sería la tetania hipocalcémica, reacciones por fenotiacinas, intoxicación por estricnina e histeria. Habrá que hacer intentos para identificar </w:t>
      </w:r>
      <w:r>
        <w:rPr>
          <w:rFonts w:ascii="Times New Roman" w:eastAsia="Times New Roman" w:hAnsi="Times New Roman" w:cs="Times New Roman"/>
          <w:i/>
          <w:iCs/>
          <w:sz w:val="16"/>
          <w:szCs w:val="16"/>
        </w:rPr>
        <w:t>C. tetani</w:t>
      </w:r>
      <w:r>
        <w:t xml:space="preserve"> en cultivos; sin embargo, el índice de confirmación diagnóstica es inadecuado y el hecho de que un cultivo sea negativo no descarta la presencia de la enfermedad. No debe utilizarse la concentración de antitoxina sérica protectora para descartar la posibilidad de tétanos.</w:t>
      </w:r>
    </w:p>
    <w:p w14:paraId="480ABF1E" w14:textId="77777777" w:rsidR="00924992" w:rsidRDefault="00924992">
      <w:pPr>
        <w:pStyle w:val="Other0"/>
        <w:spacing w:line="240" w:lineRule="auto"/>
        <w:ind w:firstLine="0"/>
      </w:pPr>
      <w:r>
        <w:rPr>
          <w:b/>
          <w:bCs/>
        </w:rPr>
        <w:t>T</w:t>
      </w:r>
      <w:r>
        <w:rPr>
          <w:b/>
          <w:bCs/>
          <w:sz w:val="13"/>
          <w:szCs w:val="13"/>
        </w:rPr>
        <w:t>RATAMIENTO</w:t>
      </w:r>
      <w:r>
        <w:rPr>
          <w:b/>
          <w:bCs/>
        </w:rPr>
        <w:t>:</w:t>
      </w:r>
    </w:p>
    <w:p w14:paraId="5F52B584" w14:textId="77777777" w:rsidR="00924992" w:rsidRDefault="00924992">
      <w:pPr>
        <w:pStyle w:val="BodyText"/>
        <w:tabs>
          <w:tab w:val="left" w:pos="317"/>
        </w:tabs>
        <w:ind w:firstLine="0"/>
      </w:pPr>
      <w:r>
        <w:t>•</w:t>
      </w:r>
      <w:r>
        <w:tab/>
        <w:t xml:space="preserve">El concentrado inmunoglobulínico antitetánico humano </w:t>
      </w:r>
      <w:r>
        <w:rPr>
          <w:i/>
          <w:iCs/>
        </w:rPr>
        <w:t>(</w:t>
      </w:r>
      <w:r>
        <w:rPr>
          <w:rFonts w:ascii="Times New Roman" w:eastAsia="Times New Roman" w:hAnsi="Times New Roman" w:cs="Times New Roman"/>
          <w:i/>
          <w:iCs/>
          <w:sz w:val="16"/>
          <w:szCs w:val="16"/>
        </w:rPr>
        <w:t>tetanus immune globulin</w:t>
      </w:r>
      <w:r>
        <w:rPr>
          <w:i/>
          <w:iCs/>
        </w:rPr>
        <w:t>,</w:t>
      </w:r>
    </w:p>
    <w:p w14:paraId="030A7E12" w14:textId="77777777" w:rsidR="00924992" w:rsidRDefault="00924992">
      <w:pPr>
        <w:pStyle w:val="BodyText"/>
        <w:ind w:left="360" w:firstLine="0"/>
      </w:pPr>
      <w:r>
        <w:t>TIG) se recomienda para tratar la enfermedad, en una sola dosis total de 3 000 a 6 000 U para niños y adultos. No se ha definido la dosis terapéutica óptima, y dosis incluso de 500 U han sido eficaces y han ocasionado menos molestias al paciente. Se pueden aplicar por vía intramuscular los preparados regulares. Algunas autoridades recomiendan infiltrar parte de la dosis en la zona alrededor de la herida a pesar de que no se ha demostrado la eficacia de esta estrategia. Son antagónicos los resultados de estudios de los beneficios de la administración intrarraquídea de TIG. El preparado que se usa en Estados Unidos no ha sido aprobado ni formulado para uso intrarraquídeo o intravenoso.</w:t>
      </w:r>
    </w:p>
    <w:p w14:paraId="44932858" w14:textId="77777777" w:rsidR="00924992" w:rsidRDefault="00924992">
      <w:pPr>
        <w:pStyle w:val="BodyText"/>
        <w:numPr>
          <w:ilvl w:val="0"/>
          <w:numId w:val="105"/>
        </w:numPr>
        <w:tabs>
          <w:tab w:val="left" w:pos="341"/>
        </w:tabs>
        <w:ind w:left="360" w:hanging="360"/>
      </w:pPr>
      <w:bookmarkStart w:id="4" w:name="bookmark1459"/>
      <w:bookmarkEnd w:id="4"/>
      <w:r>
        <w:t>En países en que no se distribuye TIG puede obtenerse antitoxina tetánica equina, producto que desde hace algún tiempo ha sido retirado del mercado en Estados Unidos. La antitoxina equina se administra después de practicar pruebas adecuadas de sensibilidad y emprender desensibilización si es necesario (véase “Pruebas de sensibilidad en reacciones a sueros de animales” y “Desensibilización a sueros de animales”, sección 1).</w:t>
      </w:r>
    </w:p>
    <w:p w14:paraId="5C7F8D76" w14:textId="77777777" w:rsidR="00924992" w:rsidRDefault="00924992">
      <w:pPr>
        <w:pStyle w:val="BodyText"/>
        <w:numPr>
          <w:ilvl w:val="0"/>
          <w:numId w:val="105"/>
        </w:numPr>
        <w:tabs>
          <w:tab w:val="left" w:pos="341"/>
        </w:tabs>
        <w:spacing w:line="276" w:lineRule="auto"/>
        <w:ind w:left="360" w:hanging="360"/>
      </w:pPr>
      <w:bookmarkStart w:id="5" w:name="bookmark1460"/>
      <w:bookmarkEnd w:id="5"/>
      <w:r>
        <w:t xml:space="preserve">El concentrado inmunoglobulínico intravenoso contiene anticuerpos contra el tétanos y cabe pensar en su uso si no se dispone de TIG. En Estados Unidos, la </w:t>
      </w:r>
      <w:r>
        <w:rPr>
          <w:rFonts w:ascii="Times New Roman" w:eastAsia="Times New Roman" w:hAnsi="Times New Roman" w:cs="Times New Roman"/>
          <w:i/>
          <w:iCs/>
          <w:sz w:val="16"/>
          <w:szCs w:val="16"/>
        </w:rPr>
        <w:t>Food and Drug Administration</w:t>
      </w:r>
      <w:r>
        <w:t xml:space="preserve"> no ha aprobado el uso de TIG para tal finalidad ni se ha precisado la dosis.</w:t>
      </w:r>
    </w:p>
    <w:p w14:paraId="2462E260" w14:textId="77777777" w:rsidR="00924992" w:rsidRDefault="00924992">
      <w:pPr>
        <w:pStyle w:val="BodyText"/>
        <w:numPr>
          <w:ilvl w:val="0"/>
          <w:numId w:val="105"/>
        </w:numPr>
        <w:tabs>
          <w:tab w:val="left" w:pos="341"/>
        </w:tabs>
        <w:ind w:left="360" w:hanging="360"/>
      </w:pPr>
      <w:bookmarkStart w:id="6" w:name="bookmark1461"/>
      <w:bookmarkEnd w:id="6"/>
      <w:r>
        <w:t>Es necesario limpiar y desbridar de manera apropiada todas las heridas, en particular si hay necrosis extensa. En el tétanos neonatal no conviene la extirpación amplia del muñón umbilical.</w:t>
      </w:r>
    </w:p>
    <w:p w14:paraId="0093560B" w14:textId="77777777" w:rsidR="00924992" w:rsidRDefault="00924992">
      <w:pPr>
        <w:pStyle w:val="BodyText"/>
        <w:numPr>
          <w:ilvl w:val="0"/>
          <w:numId w:val="105"/>
        </w:numPr>
        <w:tabs>
          <w:tab w:val="left" w:pos="341"/>
        </w:tabs>
        <w:ind w:left="360" w:hanging="360"/>
      </w:pPr>
      <w:bookmarkStart w:id="7" w:name="bookmark1462"/>
      <w:bookmarkEnd w:id="7"/>
      <w:r>
        <w:t>Son de gran importancia las medidas de apoyo y la farmacoterapia para erradicar los espasmos tetánicos.</w:t>
      </w:r>
    </w:p>
    <w:p w14:paraId="2F589D51" w14:textId="77777777" w:rsidR="00924992" w:rsidRDefault="00924992">
      <w:pPr>
        <w:pStyle w:val="BodyText"/>
        <w:numPr>
          <w:ilvl w:val="0"/>
          <w:numId w:val="105"/>
        </w:numPr>
        <w:tabs>
          <w:tab w:val="left" w:pos="341"/>
        </w:tabs>
        <w:ind w:left="360" w:hanging="360"/>
      </w:pPr>
      <w:bookmarkStart w:id="8" w:name="bookmark1463"/>
      <w:bookmarkEnd w:id="8"/>
      <w:r>
        <w:t xml:space="preserve">La administración oral o intravenosa de metronidazol (30 mg/kg al día a intervalos de 6 h; dosis máxima, 4 g/día) es eficaz para disminuir el número de formas vegetativas de </w:t>
      </w:r>
      <w:r>
        <w:rPr>
          <w:rFonts w:ascii="Times New Roman" w:eastAsia="Times New Roman" w:hAnsi="Times New Roman" w:cs="Times New Roman"/>
          <w:i/>
          <w:iCs/>
          <w:sz w:val="16"/>
          <w:szCs w:val="16"/>
        </w:rPr>
        <w:t>C. tetani</w:t>
      </w:r>
      <w:r>
        <w:t xml:space="preserve"> y es el antimicrobiano más indicado. Otra posibilidad sería usar penicilina G parenteral (100 000 U/kg al día a intervalos de 4 a 6 h; dosis máxima, 12 millones de unidades/día). Se recomienda un ciclo de 10 a 14 días.</w:t>
      </w:r>
    </w:p>
    <w:p w14:paraId="7598048A" w14:textId="77777777" w:rsidR="00924992" w:rsidRDefault="00924992">
      <w:pPr>
        <w:pStyle w:val="BodyText"/>
        <w:spacing w:line="262" w:lineRule="auto"/>
        <w:ind w:firstLine="0"/>
      </w:pPr>
      <w:r>
        <w:rPr>
          <w:b/>
          <w:bCs/>
          <w:smallCaps/>
          <w:sz w:val="20"/>
          <w:szCs w:val="20"/>
        </w:rPr>
        <w:t>A</w:t>
      </w:r>
      <w:r>
        <w:rPr>
          <w:b/>
          <w:bCs/>
          <w:smallCaps/>
          <w:sz w:val="16"/>
          <w:szCs w:val="16"/>
        </w:rPr>
        <w:t>islamiento del paciente hospitalizado</w:t>
      </w:r>
      <w:r>
        <w:rPr>
          <w:b/>
          <w:bCs/>
          <w:smallCaps/>
          <w:sz w:val="20"/>
          <w:szCs w:val="20"/>
        </w:rPr>
        <w:t>:</w:t>
      </w:r>
      <w:r>
        <w:t xml:space="preserve"> Se recomienda seguir las precauciones estándar.</w:t>
      </w:r>
    </w:p>
    <w:p w14:paraId="63F31ED9" w14:textId="77777777" w:rsidR="00924992" w:rsidRDefault="00924992">
      <w:pPr>
        <w:pStyle w:val="Other0"/>
        <w:spacing w:line="257" w:lineRule="auto"/>
        <w:ind w:firstLine="0"/>
        <w:rPr>
          <w:sz w:val="20"/>
          <w:szCs w:val="20"/>
        </w:rPr>
      </w:pPr>
      <w:r>
        <w:rPr>
          <w:b/>
          <w:bCs/>
          <w:smallCaps/>
          <w:sz w:val="20"/>
          <w:szCs w:val="20"/>
        </w:rPr>
        <w:t>M</w:t>
      </w:r>
      <w:r>
        <w:rPr>
          <w:b/>
          <w:bCs/>
          <w:smallCaps/>
          <w:sz w:val="16"/>
          <w:szCs w:val="16"/>
        </w:rPr>
        <w:t>edidas preventivas</w:t>
      </w:r>
      <w:r>
        <w:rPr>
          <w:b/>
          <w:bCs/>
          <w:smallCaps/>
          <w:sz w:val="20"/>
          <w:szCs w:val="20"/>
        </w:rPr>
        <w:t>:</w:t>
      </w:r>
    </w:p>
    <w:p w14:paraId="00F3650B" w14:textId="77777777" w:rsidR="00924992" w:rsidRDefault="00924992">
      <w:pPr>
        <w:pStyle w:val="BodyText"/>
        <w:spacing w:line="283" w:lineRule="auto"/>
        <w:ind w:firstLine="0"/>
      </w:pPr>
      <w:r>
        <w:rPr>
          <w:rFonts w:ascii="Arial" w:eastAsia="Arial" w:hAnsi="Arial" w:cs="Arial"/>
          <w:b/>
          <w:bCs/>
          <w:i/>
          <w:iCs/>
          <w:sz w:val="15"/>
          <w:szCs w:val="15"/>
        </w:rPr>
        <w:t>Atención de personas expuestas (cuadro 3-67).</w:t>
      </w:r>
      <w:r>
        <w:t xml:space="preserve"> Después de la inmunización primaria con toxoide tetánico, la antitoxina persiste en el organismo de casi todas las personas en concentraciones de protección durante unos 10 años como mínimo, y más tiempo después de la aplicación de una dosis de refuerzo.</w:t>
      </w:r>
    </w:p>
    <w:p w14:paraId="1478144A" w14:textId="77777777" w:rsidR="00924992" w:rsidRDefault="00924992">
      <w:pPr>
        <w:pStyle w:val="BodyText"/>
        <w:numPr>
          <w:ilvl w:val="0"/>
          <w:numId w:val="105"/>
        </w:numPr>
        <w:tabs>
          <w:tab w:val="left" w:pos="341"/>
        </w:tabs>
        <w:ind w:left="360" w:hanging="360"/>
      </w:pPr>
      <w:bookmarkStart w:id="9" w:name="bookmark1464"/>
      <w:bookmarkEnd w:id="9"/>
      <w:r>
        <w:t>El uso del toxoide tetánico y TIG o la antitoxina para el tratamiento de la herida depende de las características de la misma y el antecedente de inmunización con el toxoide como se describe en el cuadro 3-67.</w:t>
      </w:r>
    </w:p>
    <w:p w14:paraId="5DAF24B0" w14:textId="77777777" w:rsidR="00924992" w:rsidRDefault="00924992">
      <w:pPr>
        <w:pStyle w:val="BodyText"/>
        <w:numPr>
          <w:ilvl w:val="0"/>
          <w:numId w:val="105"/>
        </w:numPr>
        <w:tabs>
          <w:tab w:val="left" w:pos="341"/>
        </w:tabs>
        <w:ind w:left="360" w:hanging="360"/>
        <w:rPr>
          <w:sz w:val="16"/>
          <w:szCs w:val="16"/>
        </w:rPr>
      </w:pPr>
      <w:bookmarkStart w:id="10" w:name="bookmark1465"/>
      <w:bookmarkEnd w:id="10"/>
      <w:r>
        <w:t xml:space="preserve">Cualquier herida abierta es una fuente potencial de tétanos, pero existe un mayor peligro de contaminación en aquellas contaminadas con suciedad, excrementos, tierra o saliva. Las que contienen tejido desvitalizado que incluyen las necróticas o gangrenosas, el congelamiento, las lesiones por aplastamiento y avulsión y las quemaduras están predispuestas particularmente a la contaminación con </w:t>
      </w:r>
      <w:r>
        <w:rPr>
          <w:rFonts w:ascii="Times New Roman" w:eastAsia="Times New Roman" w:hAnsi="Times New Roman" w:cs="Times New Roman"/>
          <w:i/>
          <w:iCs/>
          <w:sz w:val="16"/>
          <w:szCs w:val="16"/>
        </w:rPr>
        <w:t>C. tetani.</w:t>
      </w:r>
    </w:p>
    <w:p w14:paraId="231F560F" w14:textId="77777777" w:rsidR="00924992" w:rsidRDefault="00924992">
      <w:pPr>
        <w:pStyle w:val="BodyText"/>
        <w:numPr>
          <w:ilvl w:val="0"/>
          <w:numId w:val="105"/>
        </w:numPr>
        <w:tabs>
          <w:tab w:val="left" w:pos="341"/>
        </w:tabs>
        <w:ind w:left="360" w:hanging="360"/>
      </w:pPr>
      <w:bookmarkStart w:id="11" w:name="bookmark1466"/>
      <w:bookmarkEnd w:id="11"/>
      <w:r>
        <w:t>Si la inmunización antitetánica es incompleta en el momento de tratar la herida, habrá que aplicar una dosis de la vacuna y completar la serie conforme al plan primario de vacunación. Debe administrarse concentrado inmunoglobulínico antitetánico en heridas en que puede ocurrir fácilmente tétanos en pacientes infectados del virus de inmunodeficiencia humana, sin importar sus antecedentes de inmunizaciones contra el tétanos.</w:t>
      </w:r>
    </w:p>
    <w:p w14:paraId="04353EA4" w14:textId="77777777" w:rsidR="00924992" w:rsidRDefault="00924992">
      <w:pPr>
        <w:pStyle w:val="BodyText"/>
        <w:numPr>
          <w:ilvl w:val="0"/>
          <w:numId w:val="105"/>
        </w:numPr>
        <w:tabs>
          <w:tab w:val="left" w:pos="341"/>
        </w:tabs>
        <w:ind w:left="360" w:hanging="360"/>
      </w:pPr>
      <w:bookmarkStart w:id="12" w:name="bookmark1467"/>
      <w:bookmarkEnd w:id="12"/>
      <w:r>
        <w:t>En la práctica habitual cuando se necesita el toxoide tetánico para profilaxia de heridas en niños de siete años o mayores, es conveniente utilizar los toxoides diftérico y tetánico (Td) de tipo adulto en vez del toxoide tetánico solo, de tal forma que como beneficio adicional se conserve la inmunidad a la difteria. Si</w:t>
      </w:r>
    </w:p>
    <w:p w14:paraId="09B0CE1B" w14:textId="77777777" w:rsidR="00924992" w:rsidRDefault="00924992">
      <w:pPr>
        <w:pStyle w:val="Heading31"/>
        <w:keepNext/>
        <w:keepLines/>
        <w:spacing w:after="40" w:line="216" w:lineRule="auto"/>
        <w:jc w:val="center"/>
      </w:pPr>
      <w:bookmarkStart w:id="13" w:name="bookmark1468"/>
      <w:bookmarkStart w:id="14" w:name="bookmark1469"/>
      <w:bookmarkStart w:id="15" w:name="bookmark1470"/>
      <w:r>
        <w:rPr>
          <w:b w:val="0"/>
          <w:bCs w:val="0"/>
        </w:rPr>
        <w:t xml:space="preserve">Cuadro 3-67. </w:t>
      </w:r>
      <w:r>
        <w:t>Guía para la profilaxia tetánica en la asistencia habitual</w:t>
      </w:r>
      <w:r>
        <w:br/>
        <w:t>de heridas</w:t>
      </w:r>
      <w:bookmarkEnd w:id="13"/>
      <w:bookmarkEnd w:id="14"/>
      <w:bookmarkEnd w:id="15"/>
    </w:p>
    <w:tbl>
      <w:tblPr>
        <w:tblOverlap w:val="never"/>
        <w:tblW w:w="0" w:type="auto"/>
        <w:jc w:val="center"/>
        <w:tblLayout w:type="fixed"/>
        <w:tblCellMar>
          <w:left w:w="10" w:type="dxa"/>
          <w:right w:w="10" w:type="dxa"/>
        </w:tblCellMar>
        <w:tblLook w:val="04A0" w:firstRow="1" w:lastRow="0" w:firstColumn="1" w:lastColumn="0" w:noHBand="0" w:noVBand="1"/>
      </w:tblPr>
      <w:tblGrid>
        <w:gridCol w:w="2237"/>
        <w:gridCol w:w="806"/>
        <w:gridCol w:w="1478"/>
        <w:gridCol w:w="763"/>
        <w:gridCol w:w="1517"/>
      </w:tblGrid>
      <w:tr w:rsidR="00924992" w14:paraId="01B8204C" w14:textId="77777777">
        <w:tblPrEx>
          <w:tblCellMar>
            <w:top w:w="0" w:type="dxa"/>
            <w:bottom w:w="0" w:type="dxa"/>
          </w:tblCellMar>
        </w:tblPrEx>
        <w:trPr>
          <w:trHeight w:hRule="exact" w:val="749"/>
          <w:jc w:val="center"/>
        </w:trPr>
        <w:tc>
          <w:tcPr>
            <w:tcW w:w="2237" w:type="dxa"/>
            <w:vMerge w:val="restart"/>
            <w:shd w:val="clear" w:color="auto" w:fill="231F20"/>
            <w:vAlign w:val="bottom"/>
          </w:tcPr>
          <w:p w14:paraId="5EDFA1F2" w14:textId="77777777" w:rsidR="00924992" w:rsidRDefault="00924992">
            <w:pPr>
              <w:pStyle w:val="Other0"/>
              <w:pBdr>
                <w:top w:val="single" w:sz="0" w:space="0" w:color="231F20"/>
                <w:left w:val="single" w:sz="0" w:space="0" w:color="231F20"/>
                <w:bottom w:val="single" w:sz="0" w:space="0" w:color="231F20"/>
                <w:right w:val="single" w:sz="0" w:space="0" w:color="231F20"/>
              </w:pBdr>
              <w:shd w:val="clear" w:color="auto" w:fill="231F20"/>
              <w:spacing w:line="214" w:lineRule="auto"/>
              <w:ind w:firstLine="0"/>
              <w:rPr>
                <w:sz w:val="24"/>
                <w:szCs w:val="24"/>
              </w:rPr>
            </w:pPr>
            <w:r>
              <w:rPr>
                <w:rFonts w:ascii="Arial" w:eastAsia="Arial" w:hAnsi="Arial" w:cs="Arial"/>
                <w:b/>
                <w:bCs/>
                <w:color w:val="FFFFFF"/>
                <w:w w:val="70"/>
                <w:sz w:val="24"/>
                <w:szCs w:val="24"/>
              </w:rPr>
              <w:t>Antecedente de aplicación de toxoide tetánico absorbido (dosis)</w:t>
            </w:r>
          </w:p>
        </w:tc>
        <w:tc>
          <w:tcPr>
            <w:tcW w:w="2284" w:type="dxa"/>
            <w:gridSpan w:val="2"/>
            <w:shd w:val="clear" w:color="auto" w:fill="231F20"/>
          </w:tcPr>
          <w:p w14:paraId="4454AD56" w14:textId="77777777" w:rsidR="00924992" w:rsidRDefault="00924992">
            <w:pPr>
              <w:pStyle w:val="Other0"/>
              <w:pBdr>
                <w:top w:val="single" w:sz="0" w:space="0" w:color="231F20"/>
                <w:left w:val="single" w:sz="0" w:space="0" w:color="231F20"/>
                <w:bottom w:val="single" w:sz="0" w:space="0" w:color="231F20"/>
                <w:right w:val="single" w:sz="0" w:space="0" w:color="231F20"/>
              </w:pBdr>
              <w:shd w:val="clear" w:color="auto" w:fill="231F20"/>
              <w:spacing w:line="240" w:lineRule="auto"/>
              <w:ind w:firstLine="0"/>
              <w:rPr>
                <w:sz w:val="24"/>
                <w:szCs w:val="24"/>
              </w:rPr>
            </w:pPr>
            <w:r>
              <w:rPr>
                <w:rFonts w:ascii="Arial" w:eastAsia="Arial" w:hAnsi="Arial" w:cs="Arial"/>
                <w:b/>
                <w:bCs/>
                <w:color w:val="FFFFFF"/>
                <w:w w:val="70"/>
                <w:sz w:val="24"/>
                <w:szCs w:val="24"/>
              </w:rPr>
              <w:t>Heridas pequeñas limpias</w:t>
            </w:r>
          </w:p>
        </w:tc>
        <w:tc>
          <w:tcPr>
            <w:tcW w:w="2280" w:type="dxa"/>
            <w:gridSpan w:val="2"/>
            <w:shd w:val="clear" w:color="auto" w:fill="231F20"/>
          </w:tcPr>
          <w:p w14:paraId="7F8A8FB5" w14:textId="77777777" w:rsidR="00924992" w:rsidRDefault="00924992">
            <w:pPr>
              <w:pStyle w:val="Other0"/>
              <w:pBdr>
                <w:top w:val="single" w:sz="0" w:space="0" w:color="231F20"/>
                <w:left w:val="single" w:sz="0" w:space="0" w:color="231F20"/>
                <w:bottom w:val="single" w:sz="0" w:space="0" w:color="231F20"/>
                <w:right w:val="single" w:sz="0" w:space="0" w:color="231F20"/>
              </w:pBdr>
              <w:shd w:val="clear" w:color="auto" w:fill="231F20"/>
              <w:spacing w:line="240" w:lineRule="auto"/>
              <w:ind w:firstLine="0"/>
              <w:jc w:val="center"/>
              <w:rPr>
                <w:sz w:val="8"/>
                <w:szCs w:val="8"/>
              </w:rPr>
            </w:pPr>
            <w:r>
              <w:rPr>
                <w:rFonts w:ascii="Arial" w:eastAsia="Arial" w:hAnsi="Arial" w:cs="Arial"/>
                <w:b/>
                <w:bCs/>
                <w:color w:val="FFFFFF"/>
                <w:w w:val="70"/>
                <w:sz w:val="24"/>
                <w:szCs w:val="24"/>
              </w:rPr>
              <w:t>Todas las demás heridas</w:t>
            </w:r>
            <w:r>
              <w:rPr>
                <w:rFonts w:ascii="Times New Roman" w:eastAsia="Times New Roman" w:hAnsi="Times New Roman" w:cs="Times New Roman"/>
                <w:color w:val="FFFFFF"/>
                <w:sz w:val="8"/>
                <w:szCs w:val="8"/>
                <w:vertAlign w:val="superscript"/>
              </w:rPr>
              <w:t>1</w:t>
            </w:r>
          </w:p>
        </w:tc>
      </w:tr>
      <w:tr w:rsidR="00924992" w14:paraId="4CD515D0" w14:textId="77777777">
        <w:tblPrEx>
          <w:tblCellMar>
            <w:top w:w="0" w:type="dxa"/>
            <w:bottom w:w="0" w:type="dxa"/>
          </w:tblCellMar>
        </w:tblPrEx>
        <w:trPr>
          <w:trHeight w:hRule="exact" w:val="413"/>
          <w:jc w:val="center"/>
        </w:trPr>
        <w:tc>
          <w:tcPr>
            <w:tcW w:w="2237" w:type="dxa"/>
            <w:vMerge/>
            <w:shd w:val="clear" w:color="auto" w:fill="231F20"/>
            <w:vAlign w:val="bottom"/>
          </w:tcPr>
          <w:p w14:paraId="0FBBBBBC" w14:textId="77777777" w:rsidR="00924992" w:rsidRDefault="00924992"/>
        </w:tc>
        <w:tc>
          <w:tcPr>
            <w:tcW w:w="806" w:type="dxa"/>
            <w:tcBorders>
              <w:top w:val="single" w:sz="4" w:space="0" w:color="auto"/>
            </w:tcBorders>
            <w:shd w:val="clear" w:color="auto" w:fill="231F20"/>
          </w:tcPr>
          <w:p w14:paraId="301DD0A6" w14:textId="77777777" w:rsidR="00924992" w:rsidRDefault="00924992">
            <w:pPr>
              <w:pStyle w:val="Other0"/>
              <w:pBdr>
                <w:top w:val="single" w:sz="0" w:space="0" w:color="231F20"/>
                <w:left w:val="single" w:sz="0" w:space="0" w:color="231F20"/>
                <w:bottom w:val="single" w:sz="0" w:space="0" w:color="231F20"/>
                <w:right w:val="single" w:sz="0" w:space="0" w:color="231F20"/>
              </w:pBdr>
              <w:shd w:val="clear" w:color="auto" w:fill="231F20"/>
              <w:spacing w:line="240" w:lineRule="auto"/>
              <w:ind w:firstLine="0"/>
              <w:rPr>
                <w:sz w:val="8"/>
                <w:szCs w:val="8"/>
              </w:rPr>
            </w:pPr>
            <w:r>
              <w:rPr>
                <w:rFonts w:ascii="Arial" w:eastAsia="Arial" w:hAnsi="Arial" w:cs="Arial"/>
                <w:b/>
                <w:bCs/>
                <w:color w:val="FFFFFF"/>
                <w:w w:val="70"/>
                <w:sz w:val="24"/>
                <w:szCs w:val="24"/>
              </w:rPr>
              <w:t>Td</w:t>
            </w:r>
            <w:r>
              <w:rPr>
                <w:rFonts w:ascii="Times New Roman" w:eastAsia="Times New Roman" w:hAnsi="Times New Roman" w:cs="Times New Roman"/>
                <w:color w:val="FFFFFF"/>
                <w:sz w:val="8"/>
                <w:szCs w:val="8"/>
                <w:vertAlign w:val="superscript"/>
              </w:rPr>
              <w:footnoteReference w:id="1"/>
            </w:r>
            <w:r>
              <w:rPr>
                <w:rFonts w:ascii="Times New Roman" w:eastAsia="Times New Roman" w:hAnsi="Times New Roman" w:cs="Times New Roman"/>
                <w:color w:val="FFFFFF"/>
                <w:sz w:val="8"/>
                <w:szCs w:val="8"/>
                <w:vertAlign w:val="superscript"/>
              </w:rPr>
              <w:t xml:space="preserve"> </w:t>
            </w:r>
            <w:r>
              <w:rPr>
                <w:rFonts w:ascii="Times New Roman" w:eastAsia="Times New Roman" w:hAnsi="Times New Roman" w:cs="Times New Roman"/>
                <w:color w:val="FFFFFF"/>
                <w:sz w:val="8"/>
                <w:szCs w:val="8"/>
                <w:vertAlign w:val="superscript"/>
              </w:rPr>
              <w:footnoteReference w:id="2"/>
            </w:r>
            <w:r>
              <w:rPr>
                <w:rFonts w:ascii="Times New Roman" w:eastAsia="Times New Roman" w:hAnsi="Times New Roman" w:cs="Times New Roman"/>
                <w:color w:val="FFFFFF"/>
                <w:sz w:val="8"/>
                <w:szCs w:val="8"/>
                <w:vertAlign w:val="superscript"/>
              </w:rPr>
              <w:t xml:space="preserve"> </w:t>
            </w:r>
            <w:r>
              <w:rPr>
                <w:rFonts w:ascii="Times New Roman" w:eastAsia="Times New Roman" w:hAnsi="Times New Roman" w:cs="Times New Roman"/>
                <w:color w:val="FFFFFF"/>
                <w:sz w:val="8"/>
                <w:szCs w:val="8"/>
                <w:vertAlign w:val="superscript"/>
              </w:rPr>
              <w:footnoteReference w:id="3"/>
            </w:r>
          </w:p>
        </w:tc>
        <w:tc>
          <w:tcPr>
            <w:tcW w:w="1478" w:type="dxa"/>
            <w:tcBorders>
              <w:top w:val="single" w:sz="4" w:space="0" w:color="auto"/>
            </w:tcBorders>
            <w:shd w:val="clear" w:color="auto" w:fill="231F20"/>
          </w:tcPr>
          <w:p w14:paraId="02DA4760" w14:textId="77777777" w:rsidR="00924992" w:rsidRDefault="00924992">
            <w:pPr>
              <w:pStyle w:val="Other0"/>
              <w:pBdr>
                <w:top w:val="single" w:sz="0" w:space="0" w:color="231F20"/>
                <w:left w:val="single" w:sz="0" w:space="0" w:color="231F20"/>
                <w:bottom w:val="single" w:sz="0" w:space="0" w:color="231F20"/>
                <w:right w:val="single" w:sz="0" w:space="0" w:color="231F20"/>
              </w:pBdr>
              <w:shd w:val="clear" w:color="auto" w:fill="231F20"/>
              <w:spacing w:line="240" w:lineRule="auto"/>
              <w:ind w:firstLine="460"/>
              <w:rPr>
                <w:sz w:val="8"/>
                <w:szCs w:val="8"/>
              </w:rPr>
            </w:pPr>
            <w:r>
              <w:rPr>
                <w:rFonts w:ascii="Arial" w:eastAsia="Arial" w:hAnsi="Arial" w:cs="Arial"/>
                <w:b/>
                <w:bCs/>
                <w:color w:val="FFFFFF"/>
                <w:w w:val="70"/>
                <w:sz w:val="24"/>
                <w:szCs w:val="24"/>
              </w:rPr>
              <w:t>TIG</w:t>
            </w:r>
            <w:r>
              <w:rPr>
                <w:rFonts w:ascii="Times New Roman" w:eastAsia="Times New Roman" w:hAnsi="Times New Roman" w:cs="Times New Roman"/>
                <w:color w:val="FFFFFF"/>
                <w:sz w:val="8"/>
                <w:szCs w:val="8"/>
                <w:vertAlign w:val="superscript"/>
              </w:rPr>
              <w:footnoteReference w:id="4"/>
            </w:r>
          </w:p>
        </w:tc>
        <w:tc>
          <w:tcPr>
            <w:tcW w:w="763" w:type="dxa"/>
            <w:tcBorders>
              <w:top w:val="single" w:sz="4" w:space="0" w:color="auto"/>
            </w:tcBorders>
            <w:shd w:val="clear" w:color="auto" w:fill="231F20"/>
          </w:tcPr>
          <w:p w14:paraId="0AF0E3E7" w14:textId="77777777" w:rsidR="00924992" w:rsidRDefault="00924992">
            <w:pPr>
              <w:pStyle w:val="Other0"/>
              <w:pBdr>
                <w:top w:val="single" w:sz="0" w:space="0" w:color="231F20"/>
                <w:left w:val="single" w:sz="0" w:space="0" w:color="231F20"/>
                <w:bottom w:val="single" w:sz="0" w:space="0" w:color="231F20"/>
                <w:right w:val="single" w:sz="0" w:space="0" w:color="231F20"/>
              </w:pBdr>
              <w:shd w:val="clear" w:color="auto" w:fill="231F20"/>
              <w:spacing w:line="240" w:lineRule="auto"/>
              <w:ind w:firstLine="0"/>
              <w:rPr>
                <w:sz w:val="8"/>
                <w:szCs w:val="8"/>
              </w:rPr>
            </w:pPr>
            <w:r>
              <w:rPr>
                <w:rFonts w:ascii="Arial" w:eastAsia="Arial" w:hAnsi="Arial" w:cs="Arial"/>
                <w:b/>
                <w:bCs/>
                <w:color w:val="FFFFFF"/>
                <w:w w:val="70"/>
                <w:sz w:val="24"/>
                <w:szCs w:val="24"/>
              </w:rPr>
              <w:t>Td</w:t>
            </w:r>
            <w:r>
              <w:rPr>
                <w:rFonts w:ascii="Times New Roman" w:eastAsia="Times New Roman" w:hAnsi="Times New Roman" w:cs="Times New Roman"/>
                <w:color w:val="FFFFFF"/>
                <w:sz w:val="8"/>
                <w:szCs w:val="8"/>
                <w:vertAlign w:val="superscript"/>
              </w:rPr>
              <w:t>2</w:t>
            </w:r>
          </w:p>
        </w:tc>
        <w:tc>
          <w:tcPr>
            <w:tcW w:w="1517" w:type="dxa"/>
            <w:tcBorders>
              <w:top w:val="single" w:sz="4" w:space="0" w:color="auto"/>
            </w:tcBorders>
            <w:shd w:val="clear" w:color="auto" w:fill="231F20"/>
          </w:tcPr>
          <w:p w14:paraId="5663C6F9" w14:textId="77777777" w:rsidR="00924992" w:rsidRDefault="00924992">
            <w:pPr>
              <w:pStyle w:val="Other0"/>
              <w:pBdr>
                <w:top w:val="single" w:sz="0" w:space="0" w:color="231F20"/>
                <w:left w:val="single" w:sz="0" w:space="0" w:color="231F20"/>
                <w:bottom w:val="single" w:sz="0" w:space="0" w:color="231F20"/>
                <w:right w:val="single" w:sz="0" w:space="0" w:color="231F20"/>
              </w:pBdr>
              <w:shd w:val="clear" w:color="auto" w:fill="231F20"/>
              <w:spacing w:line="240" w:lineRule="auto"/>
              <w:ind w:firstLine="380"/>
              <w:rPr>
                <w:sz w:val="8"/>
                <w:szCs w:val="8"/>
              </w:rPr>
            </w:pPr>
            <w:r>
              <w:rPr>
                <w:rFonts w:ascii="Arial" w:eastAsia="Arial" w:hAnsi="Arial" w:cs="Arial"/>
                <w:b/>
                <w:bCs/>
                <w:color w:val="FFFFFF"/>
                <w:w w:val="70"/>
                <w:sz w:val="24"/>
                <w:szCs w:val="24"/>
              </w:rPr>
              <w:t>TIG</w:t>
            </w:r>
            <w:r>
              <w:rPr>
                <w:rFonts w:ascii="Times New Roman" w:eastAsia="Times New Roman" w:hAnsi="Times New Roman" w:cs="Times New Roman"/>
                <w:color w:val="FFFFFF"/>
                <w:sz w:val="8"/>
                <w:szCs w:val="8"/>
                <w:vertAlign w:val="superscript"/>
              </w:rPr>
              <w:t>3</w:t>
            </w:r>
          </w:p>
        </w:tc>
      </w:tr>
      <w:tr w:rsidR="00924992" w14:paraId="57A67CED" w14:textId="77777777">
        <w:tblPrEx>
          <w:tblCellMar>
            <w:top w:w="0" w:type="dxa"/>
            <w:bottom w:w="0" w:type="dxa"/>
          </w:tblCellMar>
        </w:tblPrEx>
        <w:trPr>
          <w:trHeight w:hRule="exact" w:val="226"/>
          <w:jc w:val="center"/>
        </w:trPr>
        <w:tc>
          <w:tcPr>
            <w:tcW w:w="2237" w:type="dxa"/>
            <w:shd w:val="clear" w:color="auto" w:fill="FFFFFF"/>
            <w:vAlign w:val="bottom"/>
          </w:tcPr>
          <w:p w14:paraId="25B2B58A" w14:textId="77777777" w:rsidR="00924992" w:rsidRDefault="00924992">
            <w:pPr>
              <w:pStyle w:val="Other0"/>
              <w:spacing w:line="240" w:lineRule="auto"/>
              <w:ind w:firstLine="0"/>
              <w:rPr>
                <w:sz w:val="16"/>
                <w:szCs w:val="16"/>
              </w:rPr>
            </w:pPr>
            <w:r>
              <w:rPr>
                <w:rFonts w:ascii="Times New Roman" w:eastAsia="Times New Roman" w:hAnsi="Times New Roman" w:cs="Times New Roman"/>
                <w:sz w:val="16"/>
                <w:szCs w:val="16"/>
              </w:rPr>
              <w:t>&lt;3 o se desconoce</w:t>
            </w:r>
          </w:p>
        </w:tc>
        <w:tc>
          <w:tcPr>
            <w:tcW w:w="806" w:type="dxa"/>
            <w:shd w:val="clear" w:color="auto" w:fill="FFFFFF"/>
            <w:vAlign w:val="bottom"/>
          </w:tcPr>
          <w:p w14:paraId="53EB34F7" w14:textId="77777777" w:rsidR="00924992" w:rsidRDefault="00924992">
            <w:pPr>
              <w:pStyle w:val="Other0"/>
              <w:spacing w:line="240" w:lineRule="auto"/>
              <w:ind w:firstLine="0"/>
              <w:rPr>
                <w:sz w:val="16"/>
                <w:szCs w:val="16"/>
              </w:rPr>
            </w:pPr>
            <w:r>
              <w:rPr>
                <w:rFonts w:ascii="Times New Roman" w:eastAsia="Times New Roman" w:hAnsi="Times New Roman" w:cs="Times New Roman"/>
                <w:sz w:val="16"/>
                <w:szCs w:val="16"/>
              </w:rPr>
              <w:t>Sí</w:t>
            </w:r>
          </w:p>
        </w:tc>
        <w:tc>
          <w:tcPr>
            <w:tcW w:w="1478" w:type="dxa"/>
            <w:shd w:val="clear" w:color="auto" w:fill="FFFFFF"/>
            <w:vAlign w:val="bottom"/>
          </w:tcPr>
          <w:p w14:paraId="015BCCAA" w14:textId="77777777" w:rsidR="00924992" w:rsidRDefault="00924992">
            <w:pPr>
              <w:pStyle w:val="Other0"/>
              <w:spacing w:line="240" w:lineRule="auto"/>
              <w:ind w:firstLine="460"/>
              <w:rPr>
                <w:sz w:val="16"/>
                <w:szCs w:val="16"/>
              </w:rPr>
            </w:pPr>
            <w:r>
              <w:rPr>
                <w:rFonts w:ascii="Times New Roman" w:eastAsia="Times New Roman" w:hAnsi="Times New Roman" w:cs="Times New Roman"/>
                <w:sz w:val="16"/>
                <w:szCs w:val="16"/>
              </w:rPr>
              <w:t>No</w:t>
            </w:r>
          </w:p>
        </w:tc>
        <w:tc>
          <w:tcPr>
            <w:tcW w:w="763" w:type="dxa"/>
            <w:shd w:val="clear" w:color="auto" w:fill="FFFFFF"/>
            <w:vAlign w:val="bottom"/>
          </w:tcPr>
          <w:p w14:paraId="39C73C92" w14:textId="77777777" w:rsidR="00924992" w:rsidRDefault="00924992">
            <w:pPr>
              <w:pStyle w:val="Other0"/>
              <w:spacing w:line="240" w:lineRule="auto"/>
              <w:ind w:firstLine="0"/>
              <w:rPr>
                <w:sz w:val="16"/>
                <w:szCs w:val="16"/>
              </w:rPr>
            </w:pPr>
            <w:r>
              <w:rPr>
                <w:rFonts w:ascii="Times New Roman" w:eastAsia="Times New Roman" w:hAnsi="Times New Roman" w:cs="Times New Roman"/>
                <w:sz w:val="16"/>
                <w:szCs w:val="16"/>
              </w:rPr>
              <w:t>Sí</w:t>
            </w:r>
          </w:p>
        </w:tc>
        <w:tc>
          <w:tcPr>
            <w:tcW w:w="1517" w:type="dxa"/>
            <w:shd w:val="clear" w:color="auto" w:fill="FFFFFF"/>
            <w:vAlign w:val="bottom"/>
          </w:tcPr>
          <w:p w14:paraId="2B6B8A54" w14:textId="77777777" w:rsidR="00924992" w:rsidRDefault="00924992">
            <w:pPr>
              <w:pStyle w:val="Other0"/>
              <w:spacing w:line="240" w:lineRule="auto"/>
              <w:ind w:firstLine="380"/>
              <w:rPr>
                <w:sz w:val="16"/>
                <w:szCs w:val="16"/>
              </w:rPr>
            </w:pPr>
            <w:r>
              <w:rPr>
                <w:rFonts w:ascii="Times New Roman" w:eastAsia="Times New Roman" w:hAnsi="Times New Roman" w:cs="Times New Roman"/>
                <w:sz w:val="16"/>
                <w:szCs w:val="16"/>
              </w:rPr>
              <w:t>Sí</w:t>
            </w:r>
          </w:p>
        </w:tc>
      </w:tr>
      <w:tr w:rsidR="00924992" w14:paraId="1E1996F6" w14:textId="77777777">
        <w:tblPrEx>
          <w:tblCellMar>
            <w:top w:w="0" w:type="dxa"/>
            <w:bottom w:w="0" w:type="dxa"/>
          </w:tblCellMar>
        </w:tblPrEx>
        <w:trPr>
          <w:trHeight w:hRule="exact" w:val="173"/>
          <w:jc w:val="center"/>
        </w:trPr>
        <w:tc>
          <w:tcPr>
            <w:tcW w:w="2237" w:type="dxa"/>
            <w:shd w:val="clear" w:color="auto" w:fill="FFFFFF"/>
            <w:vAlign w:val="bottom"/>
          </w:tcPr>
          <w:p w14:paraId="291363B8" w14:textId="77777777" w:rsidR="00924992" w:rsidRDefault="00924992">
            <w:pPr>
              <w:pStyle w:val="Other0"/>
              <w:spacing w:line="240" w:lineRule="auto"/>
              <w:ind w:firstLine="0"/>
              <w:rPr>
                <w:sz w:val="16"/>
                <w:szCs w:val="16"/>
              </w:rPr>
            </w:pPr>
            <w:r>
              <w:rPr>
                <w:rFonts w:ascii="Times New Roman" w:eastAsia="Times New Roman" w:hAnsi="Times New Roman" w:cs="Times New Roman"/>
                <w:sz w:val="20"/>
                <w:szCs w:val="20"/>
              </w:rPr>
              <w:t>&amp;</w:t>
            </w:r>
            <w:r>
              <w:rPr>
                <w:rFonts w:ascii="Times New Roman" w:eastAsia="Times New Roman" w:hAnsi="Times New Roman" w:cs="Times New Roman"/>
                <w:sz w:val="16"/>
                <w:szCs w:val="16"/>
              </w:rPr>
              <w:t>3</w:t>
            </w:r>
            <w:r>
              <w:rPr>
                <w:rFonts w:ascii="Times New Roman" w:eastAsia="Times New Roman" w:hAnsi="Times New Roman" w:cs="Times New Roman"/>
                <w:sz w:val="16"/>
                <w:szCs w:val="16"/>
                <w:vertAlign w:val="superscript"/>
              </w:rPr>
              <w:footnoteReference w:id="5"/>
            </w:r>
          </w:p>
        </w:tc>
        <w:tc>
          <w:tcPr>
            <w:tcW w:w="806" w:type="dxa"/>
            <w:shd w:val="clear" w:color="auto" w:fill="FFFFFF"/>
            <w:vAlign w:val="bottom"/>
          </w:tcPr>
          <w:p w14:paraId="67E55897" w14:textId="77777777" w:rsidR="00924992" w:rsidRDefault="00924992">
            <w:pPr>
              <w:pStyle w:val="Other0"/>
              <w:spacing w:line="240" w:lineRule="auto"/>
              <w:ind w:firstLine="0"/>
              <w:rPr>
                <w:sz w:val="16"/>
                <w:szCs w:val="16"/>
              </w:rPr>
            </w:pPr>
            <w:r>
              <w:rPr>
                <w:rFonts w:ascii="Times New Roman" w:eastAsia="Times New Roman" w:hAnsi="Times New Roman" w:cs="Times New Roman"/>
                <w:sz w:val="16"/>
                <w:szCs w:val="16"/>
              </w:rPr>
              <w:t>No</w:t>
            </w:r>
            <w:r>
              <w:rPr>
                <w:rFonts w:ascii="Times New Roman" w:eastAsia="Times New Roman" w:hAnsi="Times New Roman" w:cs="Times New Roman"/>
                <w:sz w:val="16"/>
                <w:szCs w:val="16"/>
                <w:vertAlign w:val="superscript"/>
              </w:rPr>
              <w:footnoteReference w:id="6"/>
            </w:r>
          </w:p>
        </w:tc>
        <w:tc>
          <w:tcPr>
            <w:tcW w:w="1478" w:type="dxa"/>
            <w:shd w:val="clear" w:color="auto" w:fill="FFFFFF"/>
            <w:vAlign w:val="bottom"/>
          </w:tcPr>
          <w:p w14:paraId="64849562" w14:textId="77777777" w:rsidR="00924992" w:rsidRDefault="00924992">
            <w:pPr>
              <w:pStyle w:val="Other0"/>
              <w:spacing w:line="240" w:lineRule="auto"/>
              <w:ind w:firstLine="460"/>
              <w:rPr>
                <w:sz w:val="16"/>
                <w:szCs w:val="16"/>
              </w:rPr>
            </w:pPr>
            <w:r>
              <w:rPr>
                <w:rFonts w:ascii="Times New Roman" w:eastAsia="Times New Roman" w:hAnsi="Times New Roman" w:cs="Times New Roman"/>
                <w:sz w:val="16"/>
                <w:szCs w:val="16"/>
              </w:rPr>
              <w:t>No</w:t>
            </w:r>
          </w:p>
        </w:tc>
        <w:tc>
          <w:tcPr>
            <w:tcW w:w="763" w:type="dxa"/>
            <w:shd w:val="clear" w:color="auto" w:fill="FFFFFF"/>
            <w:vAlign w:val="bottom"/>
          </w:tcPr>
          <w:p w14:paraId="4D63CC75" w14:textId="77777777" w:rsidR="00924992" w:rsidRDefault="00924992">
            <w:pPr>
              <w:pStyle w:val="Other0"/>
              <w:spacing w:line="240" w:lineRule="auto"/>
              <w:ind w:firstLine="0"/>
              <w:rPr>
                <w:sz w:val="16"/>
                <w:szCs w:val="16"/>
              </w:rPr>
            </w:pPr>
            <w:r>
              <w:rPr>
                <w:rFonts w:ascii="Times New Roman" w:eastAsia="Times New Roman" w:hAnsi="Times New Roman" w:cs="Times New Roman"/>
                <w:sz w:val="16"/>
                <w:szCs w:val="16"/>
              </w:rPr>
              <w:t>No</w:t>
            </w:r>
            <w:r>
              <w:rPr>
                <w:rFonts w:ascii="Times New Roman" w:eastAsia="Times New Roman" w:hAnsi="Times New Roman" w:cs="Times New Roman"/>
                <w:sz w:val="16"/>
                <w:szCs w:val="16"/>
                <w:vertAlign w:val="superscript"/>
              </w:rPr>
              <w:footnoteReference w:id="7"/>
            </w:r>
          </w:p>
        </w:tc>
        <w:tc>
          <w:tcPr>
            <w:tcW w:w="1517" w:type="dxa"/>
            <w:shd w:val="clear" w:color="auto" w:fill="FFFFFF"/>
            <w:vAlign w:val="bottom"/>
          </w:tcPr>
          <w:p w14:paraId="08A78803" w14:textId="77777777" w:rsidR="00924992" w:rsidRDefault="00924992">
            <w:pPr>
              <w:pStyle w:val="Other0"/>
              <w:spacing w:line="240" w:lineRule="auto"/>
              <w:ind w:firstLine="380"/>
              <w:rPr>
                <w:sz w:val="16"/>
                <w:szCs w:val="16"/>
              </w:rPr>
            </w:pPr>
            <w:r>
              <w:rPr>
                <w:rFonts w:ascii="Times New Roman" w:eastAsia="Times New Roman" w:hAnsi="Times New Roman" w:cs="Times New Roman"/>
                <w:sz w:val="16"/>
                <w:szCs w:val="16"/>
              </w:rPr>
              <w:t>No</w:t>
            </w:r>
          </w:p>
        </w:tc>
      </w:tr>
    </w:tbl>
    <w:p w14:paraId="56C113DD" w14:textId="77777777" w:rsidR="00924992" w:rsidRDefault="00924992">
      <w:pPr>
        <w:pStyle w:val="BodyText"/>
        <w:ind w:firstLine="0"/>
      </w:pPr>
      <w:r>
        <w:t xml:space="preserve">medio de vacunas que contienen toxoide diftérico. La vacuna se aplica por vía intramuscular y puede utilizarse junto con otras (véase “Administración simultánea de múltiples vacunas”, sección 1). La vacunación con toxoide tetánico se sustituye con las vacunas del conjugado de </w:t>
      </w:r>
      <w:r>
        <w:rPr>
          <w:rFonts w:ascii="Times New Roman" w:eastAsia="Times New Roman" w:hAnsi="Times New Roman" w:cs="Times New Roman"/>
          <w:i/>
          <w:iCs/>
          <w:sz w:val="16"/>
          <w:szCs w:val="16"/>
        </w:rPr>
        <w:t>Haemophilus influenzae</w:t>
      </w:r>
      <w:r>
        <w:t xml:space="preserve"> de tipo b que contengan dicho toxoide (PRP-T). En la figura 1-1 y en el cuadro 1-6 se plantean las recomendaciones para utilizar las vacunas que contienen toxoides tetánico y diftérico y son las siguientes:</w:t>
      </w:r>
    </w:p>
    <w:p w14:paraId="4823DD7A" w14:textId="77777777" w:rsidR="00924992" w:rsidRDefault="00924992">
      <w:pPr>
        <w:pStyle w:val="BodyText"/>
        <w:numPr>
          <w:ilvl w:val="0"/>
          <w:numId w:val="105"/>
        </w:numPr>
        <w:tabs>
          <w:tab w:val="left" w:pos="341"/>
        </w:tabs>
        <w:ind w:left="360" w:hanging="360"/>
      </w:pPr>
      <w:bookmarkStart w:id="16" w:name="bookmark1471"/>
      <w:bookmarkEnd w:id="16"/>
      <w:r>
        <w:t>El plan de vacunación de niños de dos meses de edad hasta los siete años (fig. 1-1 y cuadro 1-6) debe incluir cinco dosis de vacuna que contenga toxoides tetánico y diftérico. Las tres primeras dosis serán de la vacuna triple (DTaP) aplicadas a intervalos de dos meses, desde los dos meses de vida, aproximadamente. Se recomienda aplicar una cuarta dosis seis a 12 meses después de la tercera, por lo común cuando el niño tiene 15 a 18 meses (véase “Tos ferina”, en esta sección). También se recomienda aplicar otra dosis más de la vacuna triple antes que el niño comience el ciclo escolar (kindergarten o escuela primaria) entre los cuatro y seis años de vida, salvo que la cuarta dosis se haya aplicado después de los cuatro años de edad. La vacuna triple se puede aplicar junto con otras más (véase “Administración simultánea de múltiples vacunas”, sección 1).</w:t>
      </w:r>
    </w:p>
    <w:p w14:paraId="22F46325" w14:textId="77777777" w:rsidR="00924992" w:rsidRDefault="00924992">
      <w:pPr>
        <w:pStyle w:val="BodyText"/>
        <w:ind w:firstLine="360"/>
      </w:pPr>
      <w:r>
        <w:t>El plan de vacunación contra el tétanos y la difteria en niños menores de siete años en quienes está contraindicada la vacuna contra la tos ferina (véase “Tos ferina”, en esta sección) debe incluir DT y no la vacuna triple (DTaP), de este modo:</w:t>
      </w:r>
    </w:p>
    <w:p w14:paraId="148C4368" w14:textId="77777777" w:rsidR="00924992" w:rsidRDefault="00924992">
      <w:pPr>
        <w:pStyle w:val="BodyText"/>
        <w:numPr>
          <w:ilvl w:val="0"/>
          <w:numId w:val="105"/>
        </w:numPr>
        <w:tabs>
          <w:tab w:val="left" w:pos="341"/>
        </w:tabs>
        <w:ind w:left="360" w:hanging="360"/>
      </w:pPr>
      <w:bookmarkStart w:id="17" w:name="bookmark1472"/>
      <w:bookmarkEnd w:id="17"/>
      <w:r>
        <w:t>En el caso de niños menores de un año de vida, se aplican tres dosis de DT a intervalos de dos meses; se aplicará una cuarta dosis seis a 12 meses después de la tercera, y la quinta se administrará antes de que el niño comience su ciclo escolar entre los cuatro y seis años de vida.</w:t>
      </w:r>
    </w:p>
    <w:p w14:paraId="6402B2C3" w14:textId="77777777" w:rsidR="00924992" w:rsidRDefault="00924992">
      <w:pPr>
        <w:pStyle w:val="BodyText"/>
        <w:numPr>
          <w:ilvl w:val="0"/>
          <w:numId w:val="105"/>
        </w:numPr>
        <w:tabs>
          <w:tab w:val="left" w:pos="341"/>
        </w:tabs>
        <w:ind w:left="360" w:hanging="360"/>
      </w:pPr>
      <w:bookmarkStart w:id="18" w:name="bookmark1473"/>
      <w:bookmarkEnd w:id="18"/>
      <w:r>
        <w:t xml:space="preserve">En los niños de uno a seis años que no han recibido previamente preparados como DT, DTaP y los toxoides diftérico y tetánico y la vacuna contra tos ferina </w:t>
      </w:r>
      <w:r>
        <w:rPr>
          <w:i/>
          <w:iCs/>
        </w:rPr>
        <w:t>(</w:t>
      </w:r>
      <w:r>
        <w:rPr>
          <w:rFonts w:ascii="Times New Roman" w:eastAsia="Times New Roman" w:hAnsi="Times New Roman" w:cs="Times New Roman"/>
          <w:i/>
          <w:iCs/>
          <w:sz w:val="16"/>
          <w:szCs w:val="16"/>
        </w:rPr>
        <w:t>diphtheria and tetanus toxoids and pertussis</w:t>
      </w:r>
      <w:r>
        <w:rPr>
          <w:i/>
          <w:iCs/>
        </w:rPr>
        <w:t>,</w:t>
      </w:r>
      <w:r>
        <w:t xml:space="preserve"> DTP), habrá que aplicar dos dosis</w:t>
      </w:r>
    </w:p>
    <w:p w14:paraId="5690D5B4" w14:textId="77777777" w:rsidR="00924992" w:rsidRDefault="00924992">
      <w:pPr>
        <w:pStyle w:val="BodyText"/>
        <w:ind w:left="360" w:firstLine="0"/>
      </w:pPr>
      <w:r>
        <w:t>de DT con una diferencia de dos meses en promedio, para seguir con una tercera dosis seis a 12 meses más tarde y completar la serie inicial. La vacuna DT puede aplicarse junto con otras más. Antes de que el niño comience a ir a la escuela, entre los cuatro y seis años de vida, se recomienda aplicar una dosis más, salvo que la dosis previa se haya aplicado después del cuarto año de edad.</w:t>
      </w:r>
    </w:p>
    <w:p w14:paraId="0D6345B1" w14:textId="77777777" w:rsidR="00924992" w:rsidRDefault="00924992">
      <w:pPr>
        <w:pStyle w:val="BodyText"/>
        <w:numPr>
          <w:ilvl w:val="0"/>
          <w:numId w:val="105"/>
        </w:numPr>
        <w:tabs>
          <w:tab w:val="left" w:pos="341"/>
        </w:tabs>
        <w:ind w:left="360" w:hanging="360"/>
      </w:pPr>
      <w:bookmarkStart w:id="19" w:name="bookmark1474"/>
      <w:bookmarkEnd w:id="19"/>
      <w:r>
        <w:t>En niños de uno a seis años de vida que han recibido una o dos dosis de DTaP, DTP o DT en el primer año de vida, y en quienes está contraindicada más dosis de vacuna contra tos ferina, habrá que administrar dosis adicionales de DT hasta que el niño reciba un total de cinco dosis de toxoides de difteria y tétanos para cuando comience su ciclo escolar. La cuarta dosis se administra seis a 12 meses después de la tercera. No se aplica la quinta dosis de la etapa preescolar si la cuarta se administró después de los cuatro años de vida.</w:t>
      </w:r>
    </w:p>
    <w:p w14:paraId="34754EF9" w14:textId="77777777" w:rsidR="00924992" w:rsidRDefault="00924992">
      <w:pPr>
        <w:pStyle w:val="BodyText"/>
        <w:numPr>
          <w:ilvl w:val="0"/>
          <w:numId w:val="105"/>
        </w:numPr>
        <w:tabs>
          <w:tab w:val="left" w:pos="341"/>
        </w:tabs>
        <w:ind w:left="360" w:hanging="360"/>
      </w:pPr>
      <w:bookmarkStart w:id="20" w:name="bookmark1475"/>
      <w:bookmarkEnd w:id="20"/>
      <w:r>
        <w:t>En caso de niños que han recibido un número de dosis menor de las recomendadas de vacuna contra tos ferina, pero que han recibido el número recomendado</w:t>
      </w:r>
    </w:p>
    <w:p w14:paraId="13637EBA" w14:textId="77777777" w:rsidR="00924992" w:rsidRDefault="00924992">
      <w:pPr>
        <w:pStyle w:val="BodyText"/>
        <w:ind w:left="360" w:firstLine="0"/>
      </w:pPr>
      <w:r>
        <w:t>de dosis de DT correspondiente a su edad (p. ej., aquellos en quienes el plan de vacunación se comenzó con DT y que recibieron después el DTaP [o DTP]), se administrarán dosis de vacuna triple para completar el plan de vacunación recomendado contra tos ferina (véase “Tos ferina”, en esta sección). Sin embargo, el número total de dosis de los toxoides de difteria y tétanos (en las formas de DT, DTaP o DTP) no debe exceder de seis antes de cumplir el niño siete años.</w:t>
      </w:r>
    </w:p>
    <w:p w14:paraId="6B0157FF" w14:textId="77777777" w:rsidR="00924992" w:rsidRDefault="00924992">
      <w:pPr>
        <w:pStyle w:val="BodyText"/>
        <w:ind w:firstLine="360"/>
      </w:pPr>
      <w:r>
        <w:t>Otras recomendaciones en la vacunación contra tétanos y difteria, que incluyen las correspondientes a niños de mayor edad, son las siguientes:</w:t>
      </w:r>
    </w:p>
    <w:p w14:paraId="2D99B4D8" w14:textId="77777777" w:rsidR="00924992" w:rsidRDefault="00924992">
      <w:pPr>
        <w:pStyle w:val="BodyText"/>
        <w:numPr>
          <w:ilvl w:val="0"/>
          <w:numId w:val="109"/>
        </w:numPr>
        <w:tabs>
          <w:tab w:val="left" w:pos="340"/>
        </w:tabs>
        <w:ind w:left="360" w:hanging="360"/>
      </w:pPr>
      <w:bookmarkStart w:id="21" w:name="bookmark1476"/>
      <w:bookmarkEnd w:id="21"/>
      <w:r>
        <w:t>Para niños que han cumplido siete años (cuadro 1-6) la vacunación antitetánica se hará con Td (es decir, los toxoides de difteria y tétanos para adultos). El preparado Td no contiene más de 2 Lf (unidades de floculación) de toxoide diftérico por dosis, en comparación con 6.7 a 25.0 Lf por dosis en la vacuna triple y el preparado DT para utilizar en lactantes y niños de corta edad. Ante el hecho de que la vacuna Td tenga una dosis menor del toxoide de difteria, habrá menor posibilidad de que las vacunas DTaP o DT produzcan reacciones adversas en niños de mayor edad y adultos. Se aplican dos dosis a intervalos de uno o dos meses, y se usa una tercera dosis seis a 12 meses después de la segunda.</w:t>
      </w:r>
    </w:p>
    <w:p w14:paraId="7CBB88D3" w14:textId="77777777" w:rsidR="00924992" w:rsidRDefault="00924992">
      <w:pPr>
        <w:pStyle w:val="BodyText"/>
        <w:numPr>
          <w:ilvl w:val="0"/>
          <w:numId w:val="109"/>
        </w:numPr>
        <w:tabs>
          <w:tab w:val="left" w:pos="340"/>
        </w:tabs>
        <w:ind w:left="360" w:hanging="360"/>
      </w:pPr>
      <w:bookmarkStart w:id="22" w:name="bookmark1477"/>
      <w:bookmarkEnd w:id="22"/>
      <w:r>
        <w:t>Una vez completada la serie inicial de vacuna a los cuatro a seis años de vida, se recomienda aplicar una dosis de refuerzo de los toxoides de difteria y tétanos (en presentación Td) entre los 11 y 12 años de vida, pero que no exceda de los 16 años, y a partir de esa fecha, cada 10 años. El periodo decenal se fija desde la fecha en que se aplicó la última dosis, independientemente de que se haya usado como parte de la vacunación habitual en la niñez o como elemento de la atención de heridas. Se ha comprobado que dura largo tiempo la inmunidad conferida por los preparados del toxoide tetánico adsorbidos, razón por la cual no conviene aplicar los refuerzos con una frecuencia menor de 10 años, y pudiera vincularse con una mayor incidencia e intensidad de reacciones adversas.</w:t>
      </w:r>
    </w:p>
    <w:p w14:paraId="417CF5FF" w14:textId="77777777" w:rsidR="00924992" w:rsidRDefault="00924992">
      <w:pPr>
        <w:pStyle w:val="BodyText"/>
        <w:numPr>
          <w:ilvl w:val="0"/>
          <w:numId w:val="109"/>
        </w:numPr>
        <w:tabs>
          <w:tab w:val="left" w:pos="340"/>
        </w:tabs>
        <w:ind w:left="360" w:hanging="360"/>
      </w:pPr>
      <w:bookmarkStart w:id="23" w:name="bookmark1478"/>
      <w:bookmarkEnd w:id="23"/>
      <w:r>
        <w:t>Si han transcurrido más de cinco años desde la última dosis, habrá que pensar en una dosis de refuerzo de Td para personas que participarán en expediciones a lugares selváticos en que quizá no se disponga fácilmente de las dosis de refuerzo contra el tétanos.</w:t>
      </w:r>
    </w:p>
    <w:p w14:paraId="71F60E7A" w14:textId="77777777" w:rsidR="00924992" w:rsidRDefault="00924992">
      <w:pPr>
        <w:pStyle w:val="BodyText"/>
        <w:numPr>
          <w:ilvl w:val="0"/>
          <w:numId w:val="109"/>
        </w:numPr>
        <w:tabs>
          <w:tab w:val="left" w:pos="340"/>
        </w:tabs>
        <w:ind w:left="360" w:hanging="360"/>
      </w:pPr>
      <w:bookmarkStart w:id="24" w:name="bookmark1479"/>
      <w:bookmarkEnd w:id="24"/>
      <w:r>
        <w:t>La prevención del tétanos neonatal se logra por la vacunación prenatal de una mujer que no había estado vacunada. Las embarazadas que no completaron su serie primaria deben ser sometidas a tal medida antes del parto, si el tiempo lo permite. Si no se cuenta con tiempo suficiente se aplicarán dos dosis de Td cuando menos con una diferencia de cuatro semanas, y la segunda dosis se aplicará como mínimo dos semanas antes del parto. No está contraindicado en el embarazo la aplicación de toxoide tetánico ni toxoides diftérico y tetánico.</w:t>
      </w:r>
    </w:p>
    <w:p w14:paraId="07964C2B" w14:textId="77777777" w:rsidR="00924992" w:rsidRDefault="00924992">
      <w:pPr>
        <w:pStyle w:val="BodyText"/>
        <w:numPr>
          <w:ilvl w:val="0"/>
          <w:numId w:val="109"/>
        </w:numPr>
        <w:tabs>
          <w:tab w:val="left" w:pos="340"/>
        </w:tabs>
        <w:ind w:left="360" w:hanging="360"/>
      </w:pPr>
      <w:bookmarkStart w:id="25" w:name="bookmark1480"/>
      <w:bookmarkEnd w:id="25"/>
      <w:r>
        <w:t>Siempre se emprenderá la vacunación activa contra el tétanos en la fase de convalecencia de la enfermedad, porque este cuadro mediado por una exotoxina por lo común no confiere inmunidad a ella.</w:t>
      </w:r>
    </w:p>
    <w:p w14:paraId="2BF4CC30" w14:textId="77777777" w:rsidR="00924992" w:rsidRDefault="00924992">
      <w:pPr>
        <w:pStyle w:val="BodyText"/>
        <w:spacing w:line="276" w:lineRule="auto"/>
        <w:ind w:left="360" w:firstLine="0"/>
      </w:pPr>
      <w:r>
        <w:rPr>
          <w:rFonts w:ascii="Times New Roman" w:eastAsia="Times New Roman" w:hAnsi="Times New Roman" w:cs="Times New Roman"/>
          <w:b/>
          <w:bCs/>
          <w:i/>
          <w:iCs/>
          <w:sz w:val="16"/>
          <w:szCs w:val="16"/>
        </w:rPr>
        <w:t>Reacciones adversas, precauciones y contraindicaciones.</w:t>
      </w:r>
      <w:r>
        <w:t xml:space="preserve"> Se han notificado casos de reacciones anafilácticas graves, síndrome de Guillain-Barré y neuritis braquial atribuibles al toxoide tetánico, pero son raras. No se ha observado un mayor peligro de que surja el síndrome mencionado con el empleo de la vacuna de DTaP en niños y por esa razón no se recomienda seguir precauciones especiales cuando se vacune a niños con el antecedente del síndrome comentado.</w:t>
      </w:r>
    </w:p>
    <w:p w14:paraId="694A1A9D" w14:textId="77777777" w:rsidR="00924992" w:rsidRDefault="00924992">
      <w:pPr>
        <w:pStyle w:val="BodyText"/>
        <w:ind w:left="360" w:firstLine="360"/>
        <w:sectPr w:rsidR="00924992" w:rsidSect="00924992">
          <w:headerReference w:type="even" r:id="rId23"/>
          <w:headerReference w:type="default" r:id="rId24"/>
          <w:footerReference w:type="even" r:id="rId25"/>
          <w:footerReference w:type="default" r:id="rId26"/>
          <w:pgSz w:w="8501" w:h="13022"/>
          <w:pgMar w:top="898" w:right="780" w:bottom="509" w:left="828" w:header="0" w:footer="3" w:gutter="0"/>
          <w:pgNumType w:start="626"/>
          <w:cols w:space="720"/>
          <w:noEndnote/>
          <w:docGrid w:linePitch="360"/>
          <w15:footnoteColumns w:val="1"/>
        </w:sectPr>
      </w:pPr>
      <w:r>
        <w:t>La reacción anafiláctica inmediata a la vacuna que contiene toxoides de tétanos y difteria (es decir, DTaP, DT o Td) constituye contraindicación para aplicar más dosis, salvo que el paciente se haya desensibilizado a tales toxoides (véase “Tos ferina”, en esta sección). Ante la incertidumbre sobre cuál componente de la vacuna (difteria, tétanos o tos ferina) es el causante de tal reacción y la importancia de la vacunación antitetánica, conviene que las personas que muestran reacciones anafilácticas sean enviadas a un alergólogo para su valoración y posible desensibilización.</w:t>
      </w:r>
    </w:p>
    <w:p w14:paraId="5AEBD652" w14:textId="77777777" w:rsidR="00924992" w:rsidRDefault="00924992">
      <w:pPr>
        <w:pStyle w:val="BodyText"/>
        <w:ind w:firstLine="360"/>
      </w:pPr>
      <w:r>
        <w:rPr>
          <w:rFonts w:ascii="Times New Roman" w:eastAsia="Times New Roman" w:hAnsi="Times New Roman" w:cs="Times New Roman"/>
          <w:b/>
          <w:bCs/>
          <w:i/>
          <w:iCs/>
          <w:sz w:val="16"/>
          <w:szCs w:val="16"/>
        </w:rPr>
        <w:t>Otras medidas preventivas.</w:t>
      </w:r>
      <w:r>
        <w:t xml:space="preserve"> La esterilización de los abastos de hospital evitará los casos raros de tétanos que a veces surgen en nosocomios por suturas, instrumentos o material de enyesado contaminados.</w:t>
      </w:r>
    </w:p>
    <w:p w14:paraId="2489E71A" w14:textId="77777777" w:rsidR="00924992" w:rsidRDefault="00924992">
      <w:pPr>
        <w:pStyle w:val="BodyText"/>
        <w:spacing w:after="100"/>
        <w:ind w:firstLine="360"/>
      </w:pPr>
      <w:r>
        <w:t>Para evitar el tétanos neonatal, las medidas preventivas (además de la vacunación materna) comprenden programas de vacunación en la comunidad para jóvenes adolescentes y mujeres en edad de procreación y el entrenamiento adecuado de las parteras en cuanto a recomendaciones para la vacunación y la práctica de una técnica estéril.</w:t>
      </w:r>
    </w:p>
    <w:p w14:paraId="597385B8" w14:textId="77777777" w:rsidR="00924992" w:rsidRDefault="00924992">
      <w:pPr>
        <w:pStyle w:val="Bodytext70"/>
        <w:spacing w:after="0"/>
      </w:pPr>
      <w:r>
        <w:t>Tifus endémico</w:t>
      </w:r>
    </w:p>
    <w:p w14:paraId="3FDDC34D" w14:textId="77777777" w:rsidR="00924992" w:rsidRDefault="00924992">
      <w:pPr>
        <w:pStyle w:val="Other0"/>
        <w:spacing w:line="252" w:lineRule="auto"/>
        <w:ind w:firstLine="0"/>
        <w:rPr>
          <w:sz w:val="20"/>
          <w:szCs w:val="20"/>
        </w:rPr>
      </w:pPr>
      <w:r>
        <w:rPr>
          <w:rFonts w:ascii="Arial" w:eastAsia="Arial" w:hAnsi="Arial" w:cs="Arial"/>
          <w:b/>
          <w:bCs/>
          <w:w w:val="70"/>
          <w:sz w:val="20"/>
          <w:szCs w:val="20"/>
        </w:rPr>
        <w:t>(Tifus por pulgas o murino)</w:t>
      </w:r>
    </w:p>
    <w:p w14:paraId="399A4A8C" w14:textId="77777777" w:rsidR="00924992" w:rsidRDefault="00924992">
      <w:pPr>
        <w:pStyle w:val="BodyText"/>
        <w:ind w:firstLine="0"/>
      </w:pPr>
      <w:r>
        <w:rPr>
          <w:b/>
          <w:bCs/>
          <w:smallCaps/>
          <w:sz w:val="20"/>
          <w:szCs w:val="20"/>
        </w:rPr>
        <w:t>M</w:t>
      </w:r>
      <w:r>
        <w:rPr>
          <w:b/>
          <w:bCs/>
          <w:smallCaps/>
          <w:sz w:val="16"/>
          <w:szCs w:val="16"/>
        </w:rPr>
        <w:t>anifestaciones clínicas</w:t>
      </w:r>
      <w:r>
        <w:rPr>
          <w:b/>
          <w:bCs/>
          <w:smallCaps/>
          <w:sz w:val="20"/>
          <w:szCs w:val="20"/>
        </w:rPr>
        <w:t>:</w:t>
      </w:r>
      <w:r>
        <w:t xml:space="preserve"> El tifus transmitido por pulgas se asemeja al epidémico (transmitido por piojos), pero suele ser menos grave, su comienzo es menos repentino y los síntomas sistémicos menos intensos. En niños de corta edad el cuadro es benigno. La fiebre se acompaña de cefalea y mialgias persistentes. En forma típica surge una erupción entre el cuarto y el séptimo día de la enfermedad, de tipo macular o maculopapular, dura cuatro a ocho días y tiende a permanecer circunscrita, con pocas lesiones y sin hemorragia. El trastorno rara vez dura más de dos semanas y pocas veces hay afección visceral.</w:t>
      </w:r>
    </w:p>
    <w:p w14:paraId="6F2AB413" w14:textId="77777777" w:rsidR="00924992" w:rsidRDefault="00924992">
      <w:pPr>
        <w:pStyle w:val="BodyText"/>
        <w:spacing w:line="290" w:lineRule="auto"/>
        <w:ind w:firstLine="0"/>
        <w:rPr>
          <w:sz w:val="16"/>
          <w:szCs w:val="16"/>
        </w:rPr>
      </w:pPr>
      <w:r>
        <w:rPr>
          <w:b/>
          <w:bCs/>
        </w:rPr>
        <w:t>C</w:t>
      </w:r>
      <w:r>
        <w:rPr>
          <w:b/>
          <w:bCs/>
          <w:sz w:val="13"/>
          <w:szCs w:val="13"/>
        </w:rPr>
        <w:t>AUSAS</w:t>
      </w:r>
      <w:r>
        <w:rPr>
          <w:b/>
          <w:bCs/>
        </w:rPr>
        <w:t xml:space="preserve">: </w:t>
      </w:r>
      <w:r>
        <w:t xml:space="preserve">El tifus transmitido por pulgas es causado por </w:t>
      </w:r>
      <w:r>
        <w:rPr>
          <w:rFonts w:ascii="Times New Roman" w:eastAsia="Times New Roman" w:hAnsi="Times New Roman" w:cs="Times New Roman"/>
          <w:i/>
          <w:iCs/>
          <w:sz w:val="16"/>
          <w:szCs w:val="16"/>
        </w:rPr>
        <w:t>Rickettsia typhi</w:t>
      </w:r>
      <w:r>
        <w:t xml:space="preserve"> (antes </w:t>
      </w:r>
      <w:r>
        <w:rPr>
          <w:rFonts w:ascii="Times New Roman" w:eastAsia="Times New Roman" w:hAnsi="Times New Roman" w:cs="Times New Roman"/>
          <w:i/>
          <w:iCs/>
          <w:sz w:val="16"/>
          <w:szCs w:val="16"/>
        </w:rPr>
        <w:t>Rickettsia mooseri)</w:t>
      </w:r>
      <w:r>
        <w:t xml:space="preserve"> y por </w:t>
      </w:r>
      <w:r>
        <w:rPr>
          <w:rFonts w:ascii="Times New Roman" w:eastAsia="Times New Roman" w:hAnsi="Times New Roman" w:cs="Times New Roman"/>
          <w:i/>
          <w:iCs/>
          <w:sz w:val="16"/>
          <w:szCs w:val="16"/>
        </w:rPr>
        <w:t>Rickettsia felis.</w:t>
      </w:r>
    </w:p>
    <w:p w14:paraId="544B273A" w14:textId="77777777" w:rsidR="00924992" w:rsidRDefault="00924992">
      <w:pPr>
        <w:pStyle w:val="BodyText"/>
        <w:ind w:firstLine="0"/>
      </w:pPr>
      <w:r>
        <w:rPr>
          <w:b/>
          <w:bCs/>
        </w:rPr>
        <w:t>A</w:t>
      </w:r>
      <w:r>
        <w:rPr>
          <w:b/>
          <w:bCs/>
          <w:sz w:val="13"/>
          <w:szCs w:val="13"/>
        </w:rPr>
        <w:t xml:space="preserve">SPECTOS </w:t>
      </w:r>
      <w:r>
        <w:rPr>
          <w:b/>
          <w:bCs/>
          <w:smallCaps/>
          <w:sz w:val="16"/>
          <w:szCs w:val="16"/>
        </w:rPr>
        <w:t>epidemiológicos</w:t>
      </w:r>
      <w:r>
        <w:rPr>
          <w:b/>
          <w:bCs/>
          <w:smallCaps/>
          <w:sz w:val="20"/>
          <w:szCs w:val="20"/>
        </w:rPr>
        <w:t>:</w:t>
      </w:r>
      <w:r>
        <w:t xml:space="preserve"> Las ratas son los reservorios naturales pues en ellas la infección no es manifiesta. También se pueden infectar las zarigüeyas y los gatos y perros domésticos, y servir de hospedadores. El vector para la transmisión entre las ratas y los seres humanos es la pulga de rata (por lo común </w:t>
      </w:r>
      <w:r>
        <w:rPr>
          <w:rFonts w:ascii="Times New Roman" w:eastAsia="Times New Roman" w:hAnsi="Times New Roman" w:cs="Times New Roman"/>
          <w:i/>
          <w:iCs/>
          <w:sz w:val="16"/>
          <w:szCs w:val="16"/>
        </w:rPr>
        <w:t>Xenopsylla cheopis</w:t>
      </w:r>
      <w:r>
        <w:rPr>
          <w:i/>
          <w:iCs/>
        </w:rPr>
        <w:t>).</w:t>
      </w:r>
      <w:r>
        <w:t xml:space="preserve"> El mecanismo consiste en la frotación de los excrementos infectados de pulga en la piel o las membranas mucosas no indemnes, o bien se le inhala en la forma de aerosol. La distribución de la enfermedad es mundial; tiende a surgir más a menudo en adultos y en los varones y más frecuentemente de abril a octubre. Es rara en Estados Unidos, y casi todos los casos aparecen en el sur de California y de Texas, la costa del golfo en su porción sureste y en Hawaii. El principal factor de peligro para contraer la infección es la exposición a las ratas y sus pulgas, aunque a menudo no se tiene el antecedente de tal situación. En algunas regiones, el ciclo clásico de rata-pulga-rata ha sido sustituido por otro peridoméstico en que participan gatos, perros y zarigüeyas y sus pulgas.</w:t>
      </w:r>
    </w:p>
    <w:p w14:paraId="622CAC51" w14:textId="77777777" w:rsidR="00924992" w:rsidRDefault="00924992">
      <w:pPr>
        <w:pStyle w:val="BodyText"/>
        <w:ind w:firstLine="360"/>
      </w:pPr>
      <w:r>
        <w:t xml:space="preserve">El </w:t>
      </w:r>
      <w:r>
        <w:rPr>
          <w:b/>
          <w:bCs/>
        </w:rPr>
        <w:t xml:space="preserve">periodo de incubación </w:t>
      </w:r>
      <w:r>
        <w:t>va de seis a 14 días.</w:t>
      </w:r>
    </w:p>
    <w:p w14:paraId="66DB8DDE" w14:textId="77777777" w:rsidR="00924992" w:rsidRDefault="00924992">
      <w:pPr>
        <w:pStyle w:val="BodyText"/>
        <w:ind w:firstLine="0"/>
      </w:pPr>
      <w:r>
        <w:rPr>
          <w:b/>
          <w:bCs/>
        </w:rPr>
        <w:t>M</w:t>
      </w:r>
      <w:r>
        <w:rPr>
          <w:b/>
          <w:bCs/>
          <w:sz w:val="13"/>
          <w:szCs w:val="13"/>
        </w:rPr>
        <w:t>ÉTODOS DIAGNÓSTICOS</w:t>
      </w:r>
      <w:r>
        <w:rPr>
          <w:b/>
          <w:bCs/>
        </w:rPr>
        <w:t xml:space="preserve">: </w:t>
      </w:r>
      <w:r>
        <w:t>Los títulos de anticuerpos medidos por la prueba de inmunofluorescencia indirecta, el inmunoanálisis enzimático, el método de aglutinación de látex o de fijación de complemento alcanza su máximo en cuatro semanas después de la infección. El diagnóstico se confirma con el incremento cuádruple de los títulos entre las muestras de suero de fase aguda y convalecencia, y un inmunoanálisis enzimático específico del anticuerpo IgM puede ser útil para confirmar el diagnóstico clínico. Sin embargo, por medio de los métodos serológicos es imposible diferenciar entre el tifus murino y el epidémico (por piojos), sin pruebas de absorción cruzada de anticuerpos, que no se practican en todos los laboratorios. El aislamiento del microorganismo en cultivo es posible, pero es peligroso y necesita la participación de laboratorios especializados.</w:t>
      </w:r>
    </w:p>
    <w:p w14:paraId="0FDE73D0" w14:textId="77777777" w:rsidR="00924992" w:rsidRDefault="00924992">
      <w:pPr>
        <w:pStyle w:val="BodyText"/>
        <w:spacing w:after="60"/>
        <w:ind w:firstLine="0"/>
        <w:sectPr w:rsidR="00924992" w:rsidSect="00924992">
          <w:headerReference w:type="even" r:id="rId27"/>
          <w:headerReference w:type="default" r:id="rId28"/>
          <w:footerReference w:type="even" r:id="rId29"/>
          <w:footerReference w:type="default" r:id="rId30"/>
          <w:type w:val="continuous"/>
          <w:pgSz w:w="8501" w:h="13022"/>
          <w:pgMar w:top="898" w:right="780" w:bottom="509" w:left="828" w:header="0" w:footer="81" w:gutter="0"/>
          <w:cols w:space="720"/>
          <w:noEndnote/>
          <w:docGrid w:linePitch="360"/>
          <w15:footnoteColumns w:val="1"/>
        </w:sectPr>
      </w:pPr>
      <w:r>
        <w:rPr>
          <w:b/>
          <w:bCs/>
        </w:rPr>
        <w:t>T</w:t>
      </w:r>
      <w:r>
        <w:rPr>
          <w:b/>
          <w:bCs/>
          <w:sz w:val="13"/>
          <w:szCs w:val="13"/>
        </w:rPr>
        <w:t>RATAMIENTO</w:t>
      </w:r>
      <w:r>
        <w:rPr>
          <w:b/>
          <w:bCs/>
        </w:rPr>
        <w:t xml:space="preserve">: </w:t>
      </w:r>
      <w:r>
        <w:t>La doxiciclina por vía intravenosa u oral es el fármaco más indicado (2.2 mg/kg cada 12 h; dosis máxima 300 mg/24 h). La terapia debe hacerse durante</w:t>
      </w:r>
    </w:p>
    <w:p w14:paraId="640DB732" w14:textId="77777777" w:rsidR="00924992" w:rsidRDefault="00924992">
      <w:pPr>
        <w:pStyle w:val="Bodytext70"/>
        <w:spacing w:after="0"/>
      </w:pPr>
      <w:r>
        <w:t>Tiña de la cabeza</w:t>
      </w:r>
    </w:p>
    <w:p w14:paraId="7D39E1B0" w14:textId="77777777" w:rsidR="00924992" w:rsidRDefault="00924992">
      <w:pPr>
        <w:pStyle w:val="BodyText"/>
        <w:ind w:firstLine="0"/>
      </w:pPr>
      <w:r>
        <w:rPr>
          <w:b/>
          <w:bCs/>
        </w:rPr>
        <w:t>M</w:t>
      </w:r>
      <w:r>
        <w:rPr>
          <w:b/>
          <w:bCs/>
          <w:sz w:val="13"/>
          <w:szCs w:val="13"/>
        </w:rPr>
        <w:t>ANIFESTACIONES CLÍNICAS</w:t>
      </w:r>
      <w:r>
        <w:rPr>
          <w:b/>
          <w:bCs/>
        </w:rPr>
        <w:t xml:space="preserve">: </w:t>
      </w:r>
      <w:r>
        <w:t>La micosis del cuero cabelludo se manifiesta por alguno de los síndromes clínicos particulares siguientes:</w:t>
      </w:r>
    </w:p>
    <w:p w14:paraId="309405B0" w14:textId="77777777" w:rsidR="00924992" w:rsidRDefault="00924992">
      <w:pPr>
        <w:pStyle w:val="BodyText"/>
        <w:numPr>
          <w:ilvl w:val="0"/>
          <w:numId w:val="109"/>
        </w:numPr>
        <w:tabs>
          <w:tab w:val="left" w:pos="338"/>
        </w:tabs>
        <w:ind w:left="360" w:hanging="360"/>
      </w:pPr>
      <w:bookmarkStart w:id="26" w:name="bookmark1481"/>
      <w:bookmarkEnd w:id="26"/>
      <w:r>
        <w:t>Zonas aisladas de exfoliación similar a la caspa con alopecia sutil o extensa, que se confunden fácilmente con caspa, dermatitis seborreica o atópica.</w:t>
      </w:r>
    </w:p>
    <w:p w14:paraId="39AB0861" w14:textId="77777777" w:rsidR="00924992" w:rsidRDefault="00924992">
      <w:pPr>
        <w:pStyle w:val="BodyText"/>
        <w:numPr>
          <w:ilvl w:val="0"/>
          <w:numId w:val="109"/>
        </w:numPr>
        <w:tabs>
          <w:tab w:val="left" w:pos="338"/>
        </w:tabs>
        <w:ind w:left="360" w:hanging="360"/>
      </w:pPr>
      <w:bookmarkStart w:id="27" w:name="bookmark1482"/>
      <w:bookmarkEnd w:id="27"/>
      <w:r>
        <w:t xml:space="preserve">Zonas circunscritas de alopecia, en que hay abundantes “restos” de cabellos rotos, cuadro al que se le conoce como tiña en grano de </w:t>
      </w:r>
      <w:r>
        <w:rPr>
          <w:rFonts w:ascii="Times New Roman" w:eastAsia="Times New Roman" w:hAnsi="Times New Roman" w:cs="Times New Roman"/>
          <w:i/>
          <w:iCs/>
          <w:sz w:val="16"/>
          <w:szCs w:val="16"/>
        </w:rPr>
        <w:t>pólvora o de puntos negros</w:t>
      </w:r>
      <w:r>
        <w:rPr>
          <w:i/>
          <w:iCs/>
        </w:rPr>
        <w:t>.</w:t>
      </w:r>
    </w:p>
    <w:p w14:paraId="716D4A1A" w14:textId="77777777" w:rsidR="00924992" w:rsidRDefault="00924992">
      <w:pPr>
        <w:pStyle w:val="BodyText"/>
        <w:numPr>
          <w:ilvl w:val="0"/>
          <w:numId w:val="109"/>
        </w:numPr>
        <w:tabs>
          <w:tab w:val="left" w:pos="338"/>
        </w:tabs>
        <w:ind w:left="360" w:hanging="360"/>
      </w:pPr>
      <w:bookmarkStart w:id="28" w:name="bookmark1483"/>
      <w:bookmarkEnd w:id="28"/>
      <w:r>
        <w:t>Innumerables pústulas o excoriaciones delimitadas con escasa alopecia o exfoliación.</w:t>
      </w:r>
    </w:p>
    <w:p w14:paraId="08C0B19F" w14:textId="77777777" w:rsidR="00924992" w:rsidRDefault="00924992">
      <w:pPr>
        <w:pStyle w:val="BodyText"/>
        <w:numPr>
          <w:ilvl w:val="0"/>
          <w:numId w:val="109"/>
        </w:numPr>
        <w:tabs>
          <w:tab w:val="left" w:pos="338"/>
        </w:tabs>
        <w:ind w:left="360" w:hanging="360"/>
      </w:pPr>
      <w:bookmarkStart w:id="29" w:name="bookmark1484"/>
      <w:bookmarkEnd w:id="29"/>
      <w:r>
        <w:t>Querión, una masa inflamatoria blanda rodeada de pústulas foliculares, es una reacción de hipersensibilidad a la infección micótica. El querión se acompaña a veces de fiebre y linfadenopatía local y se le diagnostica erróneamente como impétigo, celulitis o un absceso del cuero cabelludo.</w:t>
      </w:r>
    </w:p>
    <w:p w14:paraId="636AE312" w14:textId="77777777" w:rsidR="00924992" w:rsidRDefault="00924992">
      <w:pPr>
        <w:pStyle w:val="BodyText"/>
        <w:ind w:firstLine="360"/>
      </w:pPr>
      <w:r>
        <w:t>Las lesiones del cuero cabelludo se acompañan a veces de una erupción papulovesicular fina y pruriginosa (dermatofítide o reacción de ide) que abarca el tronco, las manos o la cara causada por una respuesta de hipersensibilidad al hongo patógeno.</w:t>
      </w:r>
    </w:p>
    <w:p w14:paraId="1696203A" w14:textId="77777777" w:rsidR="00924992" w:rsidRDefault="00924992">
      <w:pPr>
        <w:pStyle w:val="BodyText"/>
        <w:ind w:firstLine="360"/>
      </w:pPr>
      <w:r>
        <w:t>La tiña de la cabeza puede confundirse con otras enfermedades, como dermatitis seborreica o atópica, psoriasis, alopecia areata, tricotilomanía, foliculitis, impétigo y lupus eritematoso.</w:t>
      </w:r>
    </w:p>
    <w:p w14:paraId="185F201F" w14:textId="77777777" w:rsidR="00924992" w:rsidRDefault="00924992">
      <w:pPr>
        <w:pStyle w:val="BodyText"/>
        <w:ind w:firstLine="0"/>
      </w:pPr>
      <w:r>
        <w:rPr>
          <w:b/>
          <w:bCs/>
        </w:rPr>
        <w:t>C</w:t>
      </w:r>
      <w:r>
        <w:rPr>
          <w:b/>
          <w:bCs/>
          <w:sz w:val="13"/>
          <w:szCs w:val="13"/>
        </w:rPr>
        <w:t>AUSAS</w:t>
      </w:r>
      <w:r>
        <w:rPr>
          <w:b/>
          <w:bCs/>
        </w:rPr>
        <w:t xml:space="preserve">: </w:t>
      </w:r>
      <w:r>
        <w:rPr>
          <w:rFonts w:ascii="Times New Roman" w:eastAsia="Times New Roman" w:hAnsi="Times New Roman" w:cs="Times New Roman"/>
          <w:i/>
          <w:iCs/>
          <w:sz w:val="16"/>
          <w:szCs w:val="16"/>
        </w:rPr>
        <w:t>Trichophyton tonsurans</w:t>
      </w:r>
      <w:r>
        <w:t xml:space="preserve"> es la causa de la tiña de la cabeza en más de 90% de los casos en América del Norte y Central. Son menos frecuentes agentes como </w:t>
      </w:r>
      <w:r>
        <w:rPr>
          <w:rFonts w:ascii="Times New Roman" w:eastAsia="Times New Roman" w:hAnsi="Times New Roman" w:cs="Times New Roman"/>
          <w:i/>
          <w:iCs/>
          <w:sz w:val="16"/>
          <w:szCs w:val="16"/>
        </w:rPr>
        <w:t>Microsporum canis</w:t>
      </w:r>
      <w:r>
        <w:rPr>
          <w:i/>
          <w:iCs/>
        </w:rPr>
        <w:t xml:space="preserve">, </w:t>
      </w:r>
      <w:r>
        <w:rPr>
          <w:rFonts w:ascii="Times New Roman" w:eastAsia="Times New Roman" w:hAnsi="Times New Roman" w:cs="Times New Roman"/>
          <w:i/>
          <w:iCs/>
          <w:sz w:val="16"/>
          <w:szCs w:val="16"/>
        </w:rPr>
        <w:t>Microsporum audouinii</w:t>
      </w:r>
      <w:r>
        <w:t xml:space="preserve"> y </w:t>
      </w:r>
      <w:r>
        <w:rPr>
          <w:rFonts w:ascii="Times New Roman" w:eastAsia="Times New Roman" w:hAnsi="Times New Roman" w:cs="Times New Roman"/>
          <w:i/>
          <w:iCs/>
          <w:sz w:val="16"/>
          <w:szCs w:val="16"/>
        </w:rPr>
        <w:t>Trichophyton mentagrophytes</w:t>
      </w:r>
      <w:r>
        <w:rPr>
          <w:i/>
          <w:iCs/>
        </w:rPr>
        <w:t>.</w:t>
      </w:r>
      <w:r>
        <w:t xml:space="preserve"> Los agentes causales varían en distintas áreas geográficas.</w:t>
      </w:r>
    </w:p>
    <w:p w14:paraId="146010F1" w14:textId="77777777" w:rsidR="00924992" w:rsidRDefault="00924992">
      <w:pPr>
        <w:pStyle w:val="BodyText"/>
        <w:ind w:firstLine="0"/>
      </w:pPr>
      <w:r>
        <w:rPr>
          <w:b/>
          <w:bCs/>
        </w:rPr>
        <w:t>A</w:t>
      </w:r>
      <w:r>
        <w:rPr>
          <w:b/>
          <w:bCs/>
          <w:sz w:val="13"/>
          <w:szCs w:val="13"/>
        </w:rPr>
        <w:t>SPECTOS EPIDEMIOLÓGICOS</w:t>
      </w:r>
      <w:r>
        <w:rPr>
          <w:b/>
          <w:bCs/>
        </w:rPr>
        <w:t xml:space="preserve">: </w:t>
      </w:r>
      <w:r>
        <w:t xml:space="preserve">La infección del cuero cabelludo por </w:t>
      </w:r>
      <w:r>
        <w:rPr>
          <w:rFonts w:ascii="Times New Roman" w:eastAsia="Times New Roman" w:hAnsi="Times New Roman" w:cs="Times New Roman"/>
          <w:i/>
          <w:iCs/>
          <w:sz w:val="16"/>
          <w:szCs w:val="16"/>
        </w:rPr>
        <w:t>T tonsurans</w:t>
      </w:r>
      <w:r>
        <w:t xml:space="preserve"> es consecuencia del contagio de una persona a otra. A pesar de que el microorganismo permanece viable en peines, cepillos de cabello y otros objetos por largo tiempo, no se ha definido la importancia que tienen tales objetos en la transmisión. En ocasiones se cultiva </w:t>
      </w:r>
      <w:r>
        <w:rPr>
          <w:rFonts w:ascii="Times New Roman" w:eastAsia="Times New Roman" w:hAnsi="Times New Roman" w:cs="Times New Roman"/>
          <w:i/>
          <w:iCs/>
          <w:sz w:val="16"/>
          <w:szCs w:val="16"/>
        </w:rPr>
        <w:t>T. tonsurans</w:t>
      </w:r>
      <w:r>
        <w:t xml:space="preserve"> del cuero cabelludo de niños asintomáticos, y también en forma fácil parientes asintomáticos de personas infectadas. Según se piensa, las personas asintomáticas que albergan el microorganismo intervienen significativamente como reservorios de la infección y de la reinfección en las familias, escuelas y comunidades. La tiña de la cabeza atribuible a </w:t>
      </w:r>
      <w:r>
        <w:rPr>
          <w:rFonts w:ascii="Times New Roman" w:eastAsia="Times New Roman" w:hAnsi="Times New Roman" w:cs="Times New Roman"/>
          <w:i/>
          <w:iCs/>
          <w:sz w:val="16"/>
          <w:szCs w:val="16"/>
        </w:rPr>
        <w:t>T. tonsurans</w:t>
      </w:r>
      <w:r>
        <w:t xml:space="preserve"> aparece más a menudo en niños de tres a nueve años, y al parecer es más común en los menores de raza negra.</w:t>
      </w:r>
    </w:p>
    <w:p w14:paraId="4476B28F" w14:textId="77777777" w:rsidR="00924992" w:rsidRDefault="00924992">
      <w:pPr>
        <w:pStyle w:val="BodyText"/>
        <w:ind w:firstLine="360"/>
      </w:pPr>
      <w:r>
        <w:t xml:space="preserve">La infección por </w:t>
      </w:r>
      <w:r>
        <w:rPr>
          <w:rFonts w:ascii="Times New Roman" w:eastAsia="Times New Roman" w:hAnsi="Times New Roman" w:cs="Times New Roman"/>
          <w:i/>
          <w:iCs/>
          <w:sz w:val="16"/>
          <w:szCs w:val="16"/>
        </w:rPr>
        <w:t>Microsporum canis</w:t>
      </w:r>
      <w:r>
        <w:t xml:space="preserve"> es consecuencia de la transmisión de un animal a un ser humano. Suelen ser consecuencia del contacto con mascotas caseras.</w:t>
      </w:r>
    </w:p>
    <w:p w14:paraId="18ACFCF5" w14:textId="77777777" w:rsidR="00924992" w:rsidRDefault="00924992">
      <w:pPr>
        <w:pStyle w:val="BodyText"/>
        <w:ind w:firstLine="360"/>
      </w:pPr>
      <w:r>
        <w:t xml:space="preserve">Se desconoce el </w:t>
      </w:r>
      <w:r>
        <w:rPr>
          <w:b/>
          <w:bCs/>
        </w:rPr>
        <w:t>periodo de incubación</w:t>
      </w:r>
      <w:r>
        <w:t>.</w:t>
      </w:r>
    </w:p>
    <w:p w14:paraId="3F70F0C9" w14:textId="77777777" w:rsidR="00924992" w:rsidRDefault="00924992">
      <w:pPr>
        <w:pStyle w:val="BodyText"/>
        <w:ind w:firstLine="0"/>
      </w:pPr>
      <w:r>
        <w:rPr>
          <w:b/>
          <w:bCs/>
        </w:rPr>
        <w:t>M</w:t>
      </w:r>
      <w:r>
        <w:rPr>
          <w:b/>
          <w:bCs/>
          <w:sz w:val="13"/>
          <w:szCs w:val="13"/>
        </w:rPr>
        <w:t xml:space="preserve">ÉTODOS </w:t>
      </w:r>
      <w:r>
        <w:rPr>
          <w:b/>
          <w:bCs/>
          <w:smallCaps/>
          <w:sz w:val="20"/>
          <w:szCs w:val="20"/>
        </w:rPr>
        <w:t>D</w:t>
      </w:r>
      <w:r>
        <w:rPr>
          <w:b/>
          <w:bCs/>
          <w:smallCaps/>
          <w:sz w:val="16"/>
          <w:szCs w:val="16"/>
        </w:rPr>
        <w:t>iagnóstico</w:t>
      </w:r>
      <w:r>
        <w:rPr>
          <w:b/>
          <w:bCs/>
          <w:smallCaps/>
          <w:sz w:val="20"/>
          <w:szCs w:val="20"/>
        </w:rPr>
        <w:t>:</w:t>
      </w:r>
      <w:r>
        <w:t xml:space="preserve"> Es posible obtener muestras de cabello por el raspado suave de la zona humedecida en el cuero cabelludo, por medio de un bisturí romo, un cepillo dental o tenacillas para el estudio en una preparación húmeda a base de hidróxido de potasio, y cultivos. En la tiña “en grano de pólvora” habrá que obtener para el diagnóstico los cabellos rotos. En casos de infección por </w:t>
      </w:r>
      <w:r>
        <w:rPr>
          <w:rFonts w:ascii="Times New Roman" w:eastAsia="Times New Roman" w:hAnsi="Times New Roman" w:cs="Times New Roman"/>
          <w:i/>
          <w:iCs/>
          <w:sz w:val="16"/>
          <w:szCs w:val="16"/>
        </w:rPr>
        <w:t>T. tonsurans</w:t>
      </w:r>
      <w:r>
        <w:t xml:space="preserve">, en el estudio microscópico en una preparación húmeda con hidróxido de potasio se advertirán innumerables artroconidias dentro del tallo piloso. En la infección por </w:t>
      </w:r>
      <w:r>
        <w:rPr>
          <w:rFonts w:ascii="Times New Roman" w:eastAsia="Times New Roman" w:hAnsi="Times New Roman" w:cs="Times New Roman"/>
          <w:i/>
          <w:iCs/>
          <w:sz w:val="16"/>
          <w:szCs w:val="16"/>
        </w:rPr>
        <w:t>Microsporum</w:t>
      </w:r>
      <w:r>
        <w:t>, el tallo mencionado está rodeado de esporas. El empleo de un medio para identificar dermatofitos también es una forma sencilla, fiable y barata de diagnosticar tiña de la cabeza. Se inoculan directamente en el medio de cultivo y se incuban a la temperatura ambiente muestras obtenidas por raspado de la piel, cepillado o cabellos de las lesiones. Después de una a dos semanas, el rojo fenol presente como indicador en el agar, se tornará de amarillo a rojo en la zona que rodea a una colonia de dermatofitos. Cuando es necesario, el diagnóstico también se confirma por cultivo en agar-dextrosa de Sabouraud o por siembra directa en una placa o por aplicadores humedecidos, con punta de algodón, o los llamados culturetes (Becton Dickinson y Co., Franklin Lakes, NJ), que se transportarán a los laboratorios especializados.</w:t>
      </w:r>
    </w:p>
    <w:p w14:paraId="6AD2282F" w14:textId="77777777" w:rsidR="00924992" w:rsidRDefault="00924992">
      <w:pPr>
        <w:pStyle w:val="BodyText"/>
        <w:ind w:firstLine="360"/>
      </w:pPr>
      <w:r>
        <w:t xml:space="preserve">El estudio de cabellos de personas con infección por </w:t>
      </w:r>
      <w:r>
        <w:rPr>
          <w:rFonts w:ascii="Times New Roman" w:eastAsia="Times New Roman" w:hAnsi="Times New Roman" w:cs="Times New Roman"/>
          <w:i/>
          <w:iCs/>
          <w:sz w:val="16"/>
          <w:szCs w:val="16"/>
        </w:rPr>
        <w:t>Microsporum</w:t>
      </w:r>
      <w:r>
        <w:t xml:space="preserve"> con la luz de Wood genera una fluorescencia verde brillante. Sin embargo, dado que </w:t>
      </w:r>
      <w:r>
        <w:rPr>
          <w:rFonts w:ascii="Times New Roman" w:eastAsia="Times New Roman" w:hAnsi="Times New Roman" w:cs="Times New Roman"/>
          <w:i/>
          <w:iCs/>
          <w:sz w:val="16"/>
          <w:szCs w:val="16"/>
        </w:rPr>
        <w:t>T. tonsurans</w:t>
      </w:r>
      <w:r>
        <w:t xml:space="preserve"> no emite fluorescencia con la luz mencionada, este estudio diagnóstico no es útil en casi ninguno de los enfermos de tiña de la cabeza.</w:t>
      </w:r>
    </w:p>
    <w:p w14:paraId="1B5C72C3" w14:textId="77777777" w:rsidR="00924992" w:rsidRDefault="00924992">
      <w:pPr>
        <w:pStyle w:val="BodyText"/>
        <w:ind w:firstLine="0"/>
      </w:pPr>
      <w:r>
        <w:rPr>
          <w:b/>
          <w:bCs/>
        </w:rPr>
        <w:t>T</w:t>
      </w:r>
      <w:r>
        <w:rPr>
          <w:b/>
          <w:bCs/>
          <w:sz w:val="13"/>
          <w:szCs w:val="13"/>
        </w:rPr>
        <w:t>RATAMIENTO</w:t>
      </w:r>
      <w:r>
        <w:rPr>
          <w:b/>
          <w:bCs/>
        </w:rPr>
        <w:t xml:space="preserve">: </w:t>
      </w:r>
      <w:r>
        <w:t xml:space="preserve">Los antimicóticos tópicos no son eficaces para tratar la tiña de la cabeza; ésta requiere la administración de antimicóticos con acción sistémica. Se administra griseofulvina micronizada por vía oral a razón de 15 a 20 mg/kg de peso al día (máximo 1 g) una vez al día. La dosis de griseofulvina ultramicronizada es de 5 a 10 mg/kg de peso al día (máximo, 750 mg) una vez al día. En circunstancias óptimas, se administra la griseofulvina después de una comida con grasa (p. ej., crema de cacahuete o helado de crema). Por lo común se necesita tratamiento durante cuatro a seis semanas, y habría que continuarlo dos semanas después de la resolución clínica. Algunos niños pueden necesitar dosis mayores de griseofulvina micronizada (20 a 25 mg/kg de peso al día) o la presentación ultramicronizada para lograr la cura clínica. La ingestión de fármacos como itraconazol, clorhidrato de terbinafina o fluconazol también es eficaz contra la tiña de la cabeza, pero dichos productos no han sido aprobados por la </w:t>
      </w:r>
      <w:r>
        <w:rPr>
          <w:rFonts w:ascii="Times New Roman" w:eastAsia="Times New Roman" w:hAnsi="Times New Roman" w:cs="Times New Roman"/>
          <w:i/>
          <w:iCs/>
          <w:sz w:val="16"/>
          <w:szCs w:val="16"/>
        </w:rPr>
        <w:t>Food and Drug Administration</w:t>
      </w:r>
      <w:r>
        <w:t xml:space="preserve"> para tal indicación. El champú de sulfuro de selenio al 1 a 2.5% dos veces por semana disminuye la dispersión de los hongos y pudiera ser útil para frenar la propagación de la infección.</w:t>
      </w:r>
    </w:p>
    <w:p w14:paraId="44AB54AB" w14:textId="77777777" w:rsidR="00924992" w:rsidRDefault="00924992">
      <w:pPr>
        <w:pStyle w:val="BodyText"/>
        <w:ind w:firstLine="360"/>
      </w:pPr>
      <w:r>
        <w:t>El querión es tratado con griseofulvina. Además, se puede agregar la corticoterapia que consiste en la ingestión de prednisona o prednisolona en dosis de 1.5 a 2 mg/kg de peso al día (dosis máxima, 20 mg/día). La corticoterapia debe continuarse durante unas dos semanas, y al final de ella se disminuirán poco a poco las dosis. Por lo regular no son necesarios los antimicrobianos, excepto si se sospecha infección secundaria, y no está indicada la cirugía.</w:t>
      </w:r>
    </w:p>
    <w:p w14:paraId="7BDBF5F1" w14:textId="77777777" w:rsidR="00924992" w:rsidRDefault="00924992">
      <w:pPr>
        <w:pStyle w:val="BodyText"/>
        <w:spacing w:line="262" w:lineRule="auto"/>
        <w:ind w:firstLine="0"/>
      </w:pPr>
      <w:r>
        <w:rPr>
          <w:b/>
          <w:bCs/>
          <w:smallCaps/>
          <w:sz w:val="20"/>
          <w:szCs w:val="20"/>
        </w:rPr>
        <w:t>A</w:t>
      </w:r>
      <w:r>
        <w:rPr>
          <w:b/>
          <w:bCs/>
          <w:smallCaps/>
          <w:sz w:val="16"/>
          <w:szCs w:val="16"/>
        </w:rPr>
        <w:t>islamiento del paciente hospitalizado</w:t>
      </w:r>
      <w:r>
        <w:rPr>
          <w:b/>
          <w:bCs/>
          <w:smallCaps/>
          <w:sz w:val="20"/>
          <w:szCs w:val="20"/>
        </w:rPr>
        <w:t>:</w:t>
      </w:r>
      <w:r>
        <w:t xml:space="preserve"> Se recomienda seguir las precauciones estándar.</w:t>
      </w:r>
    </w:p>
    <w:p w14:paraId="407705E1" w14:textId="77777777" w:rsidR="00924992" w:rsidRDefault="00924992">
      <w:pPr>
        <w:pStyle w:val="BodyText"/>
        <w:ind w:firstLine="0"/>
      </w:pPr>
      <w:r>
        <w:rPr>
          <w:b/>
          <w:bCs/>
        </w:rPr>
        <w:t>M</w:t>
      </w:r>
      <w:r>
        <w:rPr>
          <w:b/>
          <w:bCs/>
          <w:sz w:val="13"/>
          <w:szCs w:val="13"/>
        </w:rPr>
        <w:t>EDIDAS PREVENTIVAS</w:t>
      </w:r>
      <w:r>
        <w:rPr>
          <w:b/>
          <w:bCs/>
        </w:rPr>
        <w:t xml:space="preserve">: </w:t>
      </w:r>
      <w:r>
        <w:t>Conviene el tratamiento temprano de personas infectadas y también el examen de los hermanos y otros contactos del círculo familiar en busca de signos de tiña de la cabeza. Es importante que las personas del círculo no compartan cintas, peines y cepillos de cabello.</w:t>
      </w:r>
    </w:p>
    <w:p w14:paraId="31294ECC" w14:textId="77777777" w:rsidR="00924992" w:rsidRDefault="00924992">
      <w:pPr>
        <w:pStyle w:val="BodyText"/>
        <w:spacing w:after="100"/>
        <w:ind w:firstLine="360"/>
      </w:pPr>
      <w:r>
        <w:t>Los niños sometidos a tratamiento de la tiña de la cabeza pueden acudir a la escuela si utilizan un preparado tópico como el champú de sulfuro de selenio para disminuir la dispersión de los hongos. No se necesita durante el tratamiento cortar el cabello, rasurarlo ni usar una cachucha.</w:t>
      </w:r>
    </w:p>
    <w:p w14:paraId="18C0BB95" w14:textId="77777777" w:rsidR="00924992" w:rsidRDefault="00924992">
      <w:pPr>
        <w:pStyle w:val="Bodytext70"/>
        <w:spacing w:after="0"/>
      </w:pPr>
      <w:r>
        <w:t>Tiña corporal</w:t>
      </w:r>
    </w:p>
    <w:p w14:paraId="34E903F1" w14:textId="77777777" w:rsidR="00924992" w:rsidRDefault="00924992">
      <w:pPr>
        <w:pStyle w:val="BodyText"/>
        <w:ind w:firstLine="0"/>
      </w:pPr>
      <w:r>
        <w:rPr>
          <w:b/>
          <w:bCs/>
        </w:rPr>
        <w:t>M</w:t>
      </w:r>
      <w:r>
        <w:rPr>
          <w:b/>
          <w:bCs/>
          <w:sz w:val="13"/>
          <w:szCs w:val="13"/>
        </w:rPr>
        <w:t>ANIFESTACIONES CLÍNICAS</w:t>
      </w:r>
      <w:r>
        <w:rPr>
          <w:b/>
          <w:bCs/>
        </w:rPr>
        <w:t xml:space="preserve">: </w:t>
      </w:r>
      <w:r>
        <w:t>Las tiñas superficiales de la piel no cabelluda o lampiña pueden abarcar la cara, el tronco o las extremidades, pero no el cuero cabelludo, la barba, las ingles, las manos o los pies. La lesión por lo común es circular, levemente incuban a la temperatura ambiente muestras obtenidas por raspado de la piel, cepillado o cabellos de las lesiones. Después de una a dos semanas, el rojo fenol presente como indicador en el agar, se tornará de amarillo a rojo en la zona que rodea a una colonia de dermatofitos. Cuando es necesario, el diagnóstico también se confirma por cultivo en agar-dextrosa de Sabouraud o por siembra directa en una placa o por aplicadores humedecidos, con punta de algodón, o los llamados culturetes (Becton Dickinson y Co., Franklin Lakes, NJ), que se transportarán a los laboratorios especializados.</w:t>
      </w:r>
    </w:p>
    <w:p w14:paraId="6A4912F5" w14:textId="77777777" w:rsidR="00924992" w:rsidRDefault="00924992">
      <w:pPr>
        <w:pStyle w:val="BodyText"/>
        <w:ind w:firstLine="360"/>
      </w:pPr>
      <w:r>
        <w:t xml:space="preserve">El estudio de cabellos de personas con infección por </w:t>
      </w:r>
      <w:r>
        <w:rPr>
          <w:rFonts w:ascii="Times New Roman" w:eastAsia="Times New Roman" w:hAnsi="Times New Roman" w:cs="Times New Roman"/>
          <w:i/>
          <w:iCs/>
          <w:sz w:val="16"/>
          <w:szCs w:val="16"/>
        </w:rPr>
        <w:t>Microsporum</w:t>
      </w:r>
      <w:r>
        <w:t xml:space="preserve"> con la luz de Wood genera una fluorescencia verde brillante. Sin embargo, dado que </w:t>
      </w:r>
      <w:r>
        <w:rPr>
          <w:rFonts w:ascii="Times New Roman" w:eastAsia="Times New Roman" w:hAnsi="Times New Roman" w:cs="Times New Roman"/>
          <w:i/>
          <w:iCs/>
          <w:sz w:val="16"/>
          <w:szCs w:val="16"/>
        </w:rPr>
        <w:t>T. tonsurans</w:t>
      </w:r>
      <w:r>
        <w:t xml:space="preserve"> no emite fluorescencia con la luz mencionada, este estudio diagnóstico no es útil en casi ninguno de los enfermos de tiña de la cabeza.</w:t>
      </w:r>
    </w:p>
    <w:p w14:paraId="10693C1D" w14:textId="77777777" w:rsidR="00924992" w:rsidRDefault="00924992">
      <w:pPr>
        <w:pStyle w:val="BodyText"/>
        <w:ind w:firstLine="0"/>
      </w:pPr>
      <w:r>
        <w:rPr>
          <w:b/>
          <w:bCs/>
        </w:rPr>
        <w:t>T</w:t>
      </w:r>
      <w:r>
        <w:rPr>
          <w:b/>
          <w:bCs/>
          <w:sz w:val="13"/>
          <w:szCs w:val="13"/>
        </w:rPr>
        <w:t>RATAMIENTO</w:t>
      </w:r>
      <w:r>
        <w:rPr>
          <w:b/>
          <w:bCs/>
        </w:rPr>
        <w:t xml:space="preserve">: </w:t>
      </w:r>
      <w:r>
        <w:t xml:space="preserve">Los antimicóticos tópicos no son eficaces para tratar la tiña de la cabeza; ésta requiere la administración de antimicóticos con acción sistémica. Se administra griseofulvina micronizada por vía oral a razón de 15 a 20 mg/kg de peso al día (máximo 1 g) una vez al día. La dosis de griseofulvina ultramicronizada es de 5 a 10 mg/kg de peso al día (máximo, 750 mg) una vez al día. En circunstancias óptimas, se administra la griseofulvina después de una comida con grasa (p. ej., crema de cacahuete o helado de crema). Por lo común se necesita tratamiento durante cuatro a seis semanas, y habría que continuarlo dos semanas después de la resolución clínica. Algunos niños pueden necesitar dosis mayores de griseofulvina micronizada (20 a 25 mg/kg de peso al día) o la presentación ultramicronizada para lograr la cura clínica. La ingestión de fármacos como itraconazol, clorhidrato de terbinafina o fluconazol también es eficaz contra la tiña de la cabeza, pero dichos productos no han sido aprobados por la </w:t>
      </w:r>
      <w:r>
        <w:rPr>
          <w:rFonts w:ascii="Times New Roman" w:eastAsia="Times New Roman" w:hAnsi="Times New Roman" w:cs="Times New Roman"/>
          <w:i/>
          <w:iCs/>
          <w:sz w:val="16"/>
          <w:szCs w:val="16"/>
        </w:rPr>
        <w:t>Food and Drug Administration</w:t>
      </w:r>
      <w:r>
        <w:t xml:space="preserve"> para tal indicación. El champú de sulfuro de selenio al 1 a 2.5% dos veces por semana disminuye la dispersión de los hongos y pudiera ser útil para frenar la propagación de la infección.</w:t>
      </w:r>
    </w:p>
    <w:p w14:paraId="3033E8B9" w14:textId="77777777" w:rsidR="00924992" w:rsidRDefault="00924992">
      <w:pPr>
        <w:pStyle w:val="BodyText"/>
        <w:ind w:firstLine="360"/>
      </w:pPr>
      <w:r>
        <w:t>El querión es tratado con griseofulvina. Además, se puede agregar la corticoterapia que consiste en la ingestión de prednisona o prednisolona en dosis de 1.5 a 2 mg/kg de peso al día (dosis máxima, 20 mg/día). La corticoterapia debe continuarse durante unas dos semanas, y al final de ella se disminuirán poco a poco las dosis. Por lo regular no son necesarios los antimicrobianos, excepto si se sospecha infección secundaria, y no está indicada la cirugía.</w:t>
      </w:r>
    </w:p>
    <w:p w14:paraId="5273BFEC" w14:textId="77777777" w:rsidR="00924992" w:rsidRDefault="00924992">
      <w:pPr>
        <w:pStyle w:val="BodyText"/>
        <w:spacing w:line="262" w:lineRule="auto"/>
        <w:ind w:firstLine="0"/>
      </w:pPr>
      <w:r>
        <w:rPr>
          <w:b/>
          <w:bCs/>
          <w:smallCaps/>
          <w:sz w:val="20"/>
          <w:szCs w:val="20"/>
        </w:rPr>
        <w:t>A</w:t>
      </w:r>
      <w:r>
        <w:rPr>
          <w:b/>
          <w:bCs/>
          <w:smallCaps/>
          <w:sz w:val="16"/>
          <w:szCs w:val="16"/>
        </w:rPr>
        <w:t>islamiento del paciente hospitalizado</w:t>
      </w:r>
      <w:r>
        <w:rPr>
          <w:b/>
          <w:bCs/>
          <w:smallCaps/>
          <w:sz w:val="20"/>
          <w:szCs w:val="20"/>
        </w:rPr>
        <w:t>:</w:t>
      </w:r>
      <w:r>
        <w:t xml:space="preserve"> Se recomienda seguir las precauciones estándar.</w:t>
      </w:r>
    </w:p>
    <w:p w14:paraId="3D969BD9" w14:textId="77777777" w:rsidR="00924992" w:rsidRDefault="00924992">
      <w:pPr>
        <w:pStyle w:val="BodyText"/>
        <w:ind w:firstLine="0"/>
      </w:pPr>
      <w:r>
        <w:rPr>
          <w:b/>
          <w:bCs/>
        </w:rPr>
        <w:t>M</w:t>
      </w:r>
      <w:r>
        <w:rPr>
          <w:b/>
          <w:bCs/>
          <w:sz w:val="13"/>
          <w:szCs w:val="13"/>
        </w:rPr>
        <w:t>EDIDAS PREVENTIVAS</w:t>
      </w:r>
      <w:r>
        <w:rPr>
          <w:b/>
          <w:bCs/>
        </w:rPr>
        <w:t xml:space="preserve">: </w:t>
      </w:r>
      <w:r>
        <w:t>Conviene el tratamiento temprano de personas infectadas y también el examen de los hermanos y otros contactos del círculo familiar en busca de signos de tiña de la cabeza. Es importante que las personas del círculo no compartan cintas, peines y cepillos de cabello.</w:t>
      </w:r>
    </w:p>
    <w:p w14:paraId="55E5A8E0" w14:textId="77777777" w:rsidR="00924992" w:rsidRDefault="00924992">
      <w:pPr>
        <w:pStyle w:val="BodyText"/>
        <w:spacing w:after="100"/>
        <w:ind w:firstLine="360"/>
      </w:pPr>
      <w:r>
        <w:t>Los niños sometidos a tratamiento de la tiña de la cabeza pueden acudir a la escuela si utilizan un preparado tópico como el champú de sulfuro de selenio para disminuir la dispersión de los hongos. No se necesita durante el tratamiento cortar el cabello, rasurarlo ni usar una cachucha.</w:t>
      </w:r>
    </w:p>
    <w:p w14:paraId="668C796E" w14:textId="77777777" w:rsidR="00924992" w:rsidRDefault="00924992">
      <w:pPr>
        <w:pStyle w:val="Bodytext70"/>
        <w:spacing w:after="0"/>
      </w:pPr>
      <w:r>
        <w:t>Tiña corporal</w:t>
      </w:r>
    </w:p>
    <w:p w14:paraId="361B6BEB" w14:textId="77777777" w:rsidR="00924992" w:rsidRDefault="00924992">
      <w:pPr>
        <w:pStyle w:val="BodyText"/>
        <w:ind w:firstLine="0"/>
        <w:sectPr w:rsidR="00924992" w:rsidSect="00924992">
          <w:headerReference w:type="even" r:id="rId31"/>
          <w:headerReference w:type="default" r:id="rId32"/>
          <w:footerReference w:type="even" r:id="rId33"/>
          <w:footerReference w:type="default" r:id="rId34"/>
          <w:headerReference w:type="first" r:id="rId35"/>
          <w:footerReference w:type="first" r:id="rId36"/>
          <w:pgSz w:w="8501" w:h="13022"/>
          <w:pgMar w:top="898" w:right="780" w:bottom="509" w:left="828" w:header="0" w:footer="3" w:gutter="0"/>
          <w:pgNumType w:start="803"/>
          <w:cols w:space="720"/>
          <w:noEndnote/>
          <w:titlePg/>
          <w:docGrid w:linePitch="360"/>
          <w15:footnoteColumns w:val="1"/>
        </w:sectPr>
      </w:pPr>
      <w:r>
        <w:rPr>
          <w:b/>
          <w:bCs/>
        </w:rPr>
        <w:t>M</w:t>
      </w:r>
      <w:r>
        <w:rPr>
          <w:b/>
          <w:bCs/>
          <w:sz w:val="13"/>
          <w:szCs w:val="13"/>
        </w:rPr>
        <w:t>ANIFESTACIONES CLÍNICAS</w:t>
      </w:r>
      <w:r>
        <w:rPr>
          <w:b/>
          <w:bCs/>
        </w:rPr>
        <w:t xml:space="preserve">: </w:t>
      </w:r>
      <w:r>
        <w:t xml:space="preserve">Las tiñas superficiales de la piel no cabelluda o lampiña pueden abarcar la cara, el tronco o las extremidades, pero no el cuero cabelludo, la barba, las ingles, las manos o los pies. La lesión por lo común es circular, levemente </w:t>
      </w:r>
    </w:p>
    <w:p w14:paraId="5507F2FB" w14:textId="77777777" w:rsidR="00924992" w:rsidRDefault="00924992">
      <w:pPr>
        <w:pStyle w:val="BodyText"/>
        <w:ind w:firstLine="0"/>
      </w:pPr>
      <w:r>
        <w:t xml:space="preserve">eritematosa y demarcada, con un borde exfoliativo, vesicular o pustuloso. Es frecuente el prurito. A menudo se califica erróneamente a las lesiones como dermatitis atópica, seborreica o por contacto. Una causa frecuente de confusión es la alteración del aspecto de las mismas, que es resultado de la aplicación de corticosteroides tópicos, situación llamada </w:t>
      </w:r>
      <w:r>
        <w:rPr>
          <w:rFonts w:ascii="Times New Roman" w:eastAsia="Times New Roman" w:hAnsi="Times New Roman" w:cs="Times New Roman"/>
          <w:i/>
          <w:iCs/>
          <w:sz w:val="16"/>
          <w:szCs w:val="16"/>
        </w:rPr>
        <w:t>tiña incógnita</w:t>
      </w:r>
      <w:r>
        <w:rPr>
          <w:i/>
          <w:iCs/>
        </w:rPr>
        <w:t>.</w:t>
      </w:r>
      <w:r>
        <w:t xml:space="preserve"> En individuos con disminución de la función de linfocitos T (como sería por infección por virus de inmunodeficiencia humana), la erupción puede surgir en la forma de pápulas o pústulas en grupos, no acompañadas de exfoliación ni eritema.</w:t>
      </w:r>
    </w:p>
    <w:p w14:paraId="2D017481" w14:textId="77777777" w:rsidR="00924992" w:rsidRDefault="00924992">
      <w:pPr>
        <w:pStyle w:val="BodyText"/>
        <w:ind w:firstLine="360"/>
      </w:pPr>
      <w:r>
        <w:t>La erupción puede acompañarse de otra papulovesicular fina y pruriginosa (reacción ide o dermatofítica) que abarca el tronco, las manos o la cara causada por una respuesta de hipersensibilidad al hongo patógeno.</w:t>
      </w:r>
    </w:p>
    <w:p w14:paraId="2BDF533A" w14:textId="77777777" w:rsidR="00924992" w:rsidRDefault="00924992">
      <w:pPr>
        <w:pStyle w:val="BodyText"/>
        <w:spacing w:line="283" w:lineRule="auto"/>
        <w:ind w:firstLine="0"/>
      </w:pPr>
      <w:r>
        <w:rPr>
          <w:b/>
          <w:bCs/>
        </w:rPr>
        <w:t>C</w:t>
      </w:r>
      <w:r>
        <w:rPr>
          <w:b/>
          <w:bCs/>
          <w:sz w:val="13"/>
          <w:szCs w:val="13"/>
        </w:rPr>
        <w:t>AUSAS</w:t>
      </w:r>
      <w:r>
        <w:rPr>
          <w:b/>
          <w:bCs/>
        </w:rPr>
        <w:t xml:space="preserve">: </w:t>
      </w:r>
      <w:r>
        <w:t xml:space="preserve">Las causas principales del cuadro son hongos de los géneros </w:t>
      </w:r>
      <w:r>
        <w:rPr>
          <w:rFonts w:ascii="Times New Roman" w:eastAsia="Times New Roman" w:hAnsi="Times New Roman" w:cs="Times New Roman"/>
          <w:i/>
          <w:iCs/>
          <w:sz w:val="16"/>
          <w:szCs w:val="16"/>
        </w:rPr>
        <w:t>Trichophyton</w:t>
      </w:r>
      <w:r>
        <w:rPr>
          <w:i/>
          <w:iCs/>
        </w:rPr>
        <w:t xml:space="preserve">, </w:t>
      </w:r>
      <w:r>
        <w:t xml:space="preserve">en particular </w:t>
      </w:r>
      <w:r>
        <w:rPr>
          <w:rFonts w:ascii="Times New Roman" w:eastAsia="Times New Roman" w:hAnsi="Times New Roman" w:cs="Times New Roman"/>
          <w:i/>
          <w:iCs/>
          <w:sz w:val="16"/>
          <w:szCs w:val="16"/>
        </w:rPr>
        <w:t>Trichophyton rubrum</w:t>
      </w:r>
      <w:r>
        <w:rPr>
          <w:i/>
          <w:iCs/>
        </w:rPr>
        <w:t xml:space="preserve">, </w:t>
      </w:r>
      <w:r>
        <w:rPr>
          <w:rFonts w:ascii="Times New Roman" w:eastAsia="Times New Roman" w:hAnsi="Times New Roman" w:cs="Times New Roman"/>
          <w:i/>
          <w:iCs/>
          <w:sz w:val="16"/>
          <w:szCs w:val="16"/>
        </w:rPr>
        <w:t>T. mentagrophytes</w:t>
      </w:r>
      <w:r>
        <w:t xml:space="preserve"> y </w:t>
      </w:r>
      <w:r>
        <w:rPr>
          <w:rFonts w:ascii="Times New Roman" w:eastAsia="Times New Roman" w:hAnsi="Times New Roman" w:cs="Times New Roman"/>
          <w:i/>
          <w:iCs/>
          <w:sz w:val="16"/>
          <w:szCs w:val="16"/>
        </w:rPr>
        <w:t>T. tonsurans</w:t>
      </w:r>
      <w:r>
        <w:rPr>
          <w:i/>
          <w:iCs/>
        </w:rPr>
        <w:t>;</w:t>
      </w:r>
      <w:r>
        <w:t xml:space="preserve"> el género </w:t>
      </w:r>
      <w:r>
        <w:rPr>
          <w:rFonts w:ascii="Times New Roman" w:eastAsia="Times New Roman" w:hAnsi="Times New Roman" w:cs="Times New Roman"/>
          <w:i/>
          <w:iCs/>
          <w:sz w:val="16"/>
          <w:szCs w:val="16"/>
        </w:rPr>
        <w:t>Microsporum</w:t>
      </w:r>
      <w:r>
        <w:rPr>
          <w:i/>
          <w:iCs/>
        </w:rPr>
        <w:t>,</w:t>
      </w:r>
      <w:r>
        <w:t xml:space="preserve"> en particular </w:t>
      </w:r>
      <w:r>
        <w:rPr>
          <w:rFonts w:ascii="Times New Roman" w:eastAsia="Times New Roman" w:hAnsi="Times New Roman" w:cs="Times New Roman"/>
          <w:i/>
          <w:iCs/>
          <w:sz w:val="16"/>
          <w:szCs w:val="16"/>
        </w:rPr>
        <w:t>M. canis</w:t>
      </w:r>
      <w:r>
        <w:rPr>
          <w:i/>
          <w:iCs/>
        </w:rPr>
        <w:t>,</w:t>
      </w:r>
      <w:r>
        <w:t xml:space="preserve"> y </w:t>
      </w:r>
      <w:r>
        <w:rPr>
          <w:rFonts w:ascii="Times New Roman" w:eastAsia="Times New Roman" w:hAnsi="Times New Roman" w:cs="Times New Roman"/>
          <w:i/>
          <w:iCs/>
          <w:sz w:val="16"/>
          <w:szCs w:val="16"/>
        </w:rPr>
        <w:t>Epidermophyton floccosum</w:t>
      </w:r>
      <w:r>
        <w:rPr>
          <w:i/>
          <w:iCs/>
        </w:rPr>
        <w:t>.</w:t>
      </w:r>
    </w:p>
    <w:p w14:paraId="3188B429" w14:textId="77777777" w:rsidR="00924992" w:rsidRDefault="00924992">
      <w:pPr>
        <w:pStyle w:val="BodyText"/>
        <w:ind w:firstLine="0"/>
      </w:pPr>
      <w:r>
        <w:rPr>
          <w:b/>
          <w:bCs/>
        </w:rPr>
        <w:t>A</w:t>
      </w:r>
      <w:r>
        <w:rPr>
          <w:b/>
          <w:bCs/>
          <w:sz w:val="13"/>
          <w:szCs w:val="13"/>
        </w:rPr>
        <w:t>SPECTOS EPIDEMIOLÓGICOS</w:t>
      </w:r>
      <w:r>
        <w:rPr>
          <w:b/>
          <w:bCs/>
        </w:rPr>
        <w:t xml:space="preserve">: </w:t>
      </w:r>
      <w:r>
        <w:t>Los hongos patógenos de esta categoría aparecen a nivel mundial y son transmisibles por contacto directo con seres humanos, animales u objetos infectados. Los hongos en las lesiones son transmisibles.</w:t>
      </w:r>
    </w:p>
    <w:p w14:paraId="6474456F" w14:textId="77777777" w:rsidR="00924992" w:rsidRDefault="00924992">
      <w:pPr>
        <w:pStyle w:val="BodyText"/>
        <w:ind w:firstLine="360"/>
      </w:pPr>
      <w:r>
        <w:t xml:space="preserve">Se desconoce el </w:t>
      </w:r>
      <w:r>
        <w:rPr>
          <w:b/>
          <w:bCs/>
        </w:rPr>
        <w:t>periodo de incubación</w:t>
      </w:r>
      <w:r>
        <w:t>.</w:t>
      </w:r>
    </w:p>
    <w:p w14:paraId="5B98AA89" w14:textId="77777777" w:rsidR="00924992" w:rsidRDefault="00924992">
      <w:pPr>
        <w:pStyle w:val="BodyText"/>
        <w:ind w:firstLine="0"/>
      </w:pPr>
      <w:r>
        <w:rPr>
          <w:b/>
          <w:bCs/>
        </w:rPr>
        <w:t>D</w:t>
      </w:r>
      <w:r>
        <w:rPr>
          <w:b/>
          <w:bCs/>
          <w:sz w:val="13"/>
          <w:szCs w:val="13"/>
        </w:rPr>
        <w:t>IAGNÓSTICO</w:t>
      </w:r>
      <w:r>
        <w:rPr>
          <w:b/>
          <w:bCs/>
        </w:rPr>
        <w:t xml:space="preserve">: </w:t>
      </w:r>
      <w:r>
        <w:t xml:space="preserve">El hongo que ocasiona la tiña corporal puede detectarse por estudio microscópico de un preparado húmedo con hidróxido de potasio, hecho con muestras de piel obtenidas por raspado. Otro método sencillo, fiable y barato de diagnóstico es emplear el medio para dermatofitos. Los fragmentos de piel obtenidos por raspado de las lesiones se inoculan directamente en el medio de cultivo y se incuban a temperatura ambiente. Después de una a dos semanas, el indicador de rojo fenol en el agar cambiará su color de amarillo a rojo en la zona que rodea la colonia de dermatofitos. Si es necesario, el diagnóstico se confirma también por cultivo en medio de dextrosa-agar de Sabouraud. </w:t>
      </w:r>
      <w:r>
        <w:rPr>
          <w:b/>
          <w:bCs/>
        </w:rPr>
        <w:t>T</w:t>
      </w:r>
      <w:r>
        <w:rPr>
          <w:b/>
          <w:bCs/>
          <w:sz w:val="13"/>
          <w:szCs w:val="13"/>
        </w:rPr>
        <w:t>RATAMIENTO</w:t>
      </w:r>
      <w:r>
        <w:rPr>
          <w:b/>
          <w:bCs/>
        </w:rPr>
        <w:t xml:space="preserve">: </w:t>
      </w:r>
      <w:r>
        <w:t>Se recomienda la aplicación de productos como nitrato de miconazol, clotrimazol, terbinafina, tolnaftato, clorhidrato de naftifina o un preparado de ciclopirox olamina dos veces al día, o bien ketoconazol, nitratos de econazol u oxiconazol, clorhidrato de butenafina o un preparado de nitrato de sulconazol (véase “Productos tópicos contra micosis superficiales”, sección 4). Es posible que en término de dos semanas de la terapia se advierta resolución clínica, pero por lo común conviene que el tratamiento dure cuatro semanas, como mínimo. Es mejor no mezclar los antimicóticos tópicos con corticosteroides de alta potencia porque estos últimos pueden originar estrías y atrofias de la piel.</w:t>
      </w:r>
    </w:p>
    <w:p w14:paraId="0AD3233D" w14:textId="77777777" w:rsidR="00924992" w:rsidRDefault="00924992">
      <w:pPr>
        <w:pStyle w:val="BodyText"/>
        <w:ind w:firstLine="360"/>
      </w:pPr>
      <w:r>
        <w:t xml:space="preserve">Si las lesiones son extensas o no mejoran con los productos tópicos se administra griseofulvina por vía oral durante cuatro semanas (véase “Tiña de la cabeza”, en esta sección). Otros fármacos eficaces a los que cabe recurrir contra la tiña del cuerpo son el itraconazol, el fluconazol y la terbinafina ingeridos, pero en Estados Unidos no han sido aprobados por la </w:t>
      </w:r>
      <w:r>
        <w:rPr>
          <w:rFonts w:ascii="Times New Roman" w:eastAsia="Times New Roman" w:hAnsi="Times New Roman" w:cs="Times New Roman"/>
          <w:i/>
          <w:iCs/>
          <w:sz w:val="16"/>
          <w:szCs w:val="16"/>
        </w:rPr>
        <w:t>Food and Drug Administration</w:t>
      </w:r>
      <w:r>
        <w:t xml:space="preserve"> para tal indicación.</w:t>
      </w:r>
    </w:p>
    <w:p w14:paraId="60FB89FD" w14:textId="77777777" w:rsidR="00924992" w:rsidRDefault="00924992">
      <w:pPr>
        <w:pStyle w:val="BodyText"/>
        <w:spacing w:after="100"/>
        <w:ind w:firstLine="0"/>
      </w:pPr>
      <w:r>
        <w:rPr>
          <w:b/>
          <w:bCs/>
        </w:rPr>
        <w:t>A</w:t>
      </w:r>
      <w:r>
        <w:rPr>
          <w:b/>
          <w:bCs/>
          <w:sz w:val="13"/>
          <w:szCs w:val="13"/>
        </w:rPr>
        <w:t>ISLAMIENTO DEL PACIENTE HOSPITALIZADO</w:t>
      </w:r>
      <w:r>
        <w:rPr>
          <w:b/>
          <w:bCs/>
        </w:rPr>
        <w:t xml:space="preserve">: </w:t>
      </w:r>
      <w:r>
        <w:t xml:space="preserve">Se recomiendan las precauciones estándar. </w:t>
      </w:r>
      <w:r>
        <w:rPr>
          <w:b/>
          <w:bCs/>
        </w:rPr>
        <w:t>M</w:t>
      </w:r>
      <w:r>
        <w:rPr>
          <w:b/>
          <w:bCs/>
          <w:sz w:val="13"/>
          <w:szCs w:val="13"/>
        </w:rPr>
        <w:t>EDIDAS PREVENTIVAS</w:t>
      </w:r>
      <w:r>
        <w:rPr>
          <w:b/>
          <w:bCs/>
        </w:rPr>
        <w:t xml:space="preserve">: </w:t>
      </w:r>
      <w:r>
        <w:t>Es importante evitar el contacto directo con los puntos sabidos o sospechados de infección. También se recomienda la inspección periódica de los contactos en busca de lesiones tempranas y la terapia inmediata.</w:t>
      </w:r>
    </w:p>
    <w:p w14:paraId="2CE99CE8" w14:textId="77777777" w:rsidR="00924992" w:rsidRDefault="00924992">
      <w:pPr>
        <w:pStyle w:val="Bodytext70"/>
        <w:spacing w:after="0"/>
      </w:pPr>
      <w:r>
        <w:t>Tiña inguinal</w:t>
      </w:r>
    </w:p>
    <w:p w14:paraId="19353CA3" w14:textId="77777777" w:rsidR="00924992" w:rsidRDefault="00924992">
      <w:pPr>
        <w:pStyle w:val="BodyText"/>
        <w:spacing w:line="262" w:lineRule="auto"/>
        <w:ind w:firstLine="0"/>
        <w:sectPr w:rsidR="00924992" w:rsidSect="00924992">
          <w:headerReference w:type="even" r:id="rId37"/>
          <w:headerReference w:type="default" r:id="rId38"/>
          <w:footerReference w:type="even" r:id="rId39"/>
          <w:footerReference w:type="default" r:id="rId40"/>
          <w:type w:val="continuous"/>
          <w:pgSz w:w="8501" w:h="13022"/>
          <w:pgMar w:top="898" w:right="780" w:bottom="509" w:left="828" w:header="0" w:footer="81" w:gutter="0"/>
          <w:cols w:space="720"/>
          <w:noEndnote/>
          <w:docGrid w:linePitch="360"/>
          <w15:footnoteColumns w:val="1"/>
        </w:sectPr>
      </w:pPr>
      <w:r>
        <w:rPr>
          <w:b/>
          <w:bCs/>
          <w:smallCaps/>
          <w:sz w:val="20"/>
          <w:szCs w:val="20"/>
        </w:rPr>
        <w:t>M</w:t>
      </w:r>
      <w:r>
        <w:rPr>
          <w:b/>
          <w:bCs/>
          <w:smallCaps/>
          <w:sz w:val="16"/>
          <w:szCs w:val="16"/>
        </w:rPr>
        <w:t>anifestaciones clínicas</w:t>
      </w:r>
      <w:r>
        <w:rPr>
          <w:b/>
          <w:bCs/>
          <w:smallCaps/>
          <w:sz w:val="20"/>
          <w:szCs w:val="20"/>
        </w:rPr>
        <w:t>:</w:t>
      </w:r>
      <w:r>
        <w:t xml:space="preserve"> La tiña inguinal (crural) es una micosis superficial frecuente en la ingle y mitad superior de los muslos. La erupción tiene un margen </w:t>
      </w:r>
    </w:p>
    <w:p w14:paraId="2A63F037" w14:textId="77777777" w:rsidR="00924992" w:rsidRDefault="00924992">
      <w:pPr>
        <w:pStyle w:val="BodyText"/>
        <w:spacing w:line="262" w:lineRule="auto"/>
        <w:ind w:firstLine="0"/>
      </w:pPr>
      <w:r>
        <w:t xml:space="preserve">eritematosa y demarcada, con un borde exfoliativo, vesicular o pustuloso. Es frecuente el prurito. A menudo se califica erróneamente a las lesiones como dermatitis atópica, seborreica o por contacto. Una causa frecuente de confusión es la alteración del aspecto de las mismas, que es resultado de la aplicación de corticosteroides tópicos, situación llamada </w:t>
      </w:r>
      <w:r>
        <w:rPr>
          <w:rFonts w:ascii="Times New Roman" w:eastAsia="Times New Roman" w:hAnsi="Times New Roman" w:cs="Times New Roman"/>
          <w:i/>
          <w:iCs/>
          <w:sz w:val="16"/>
          <w:szCs w:val="16"/>
        </w:rPr>
        <w:t>tiña incógnita</w:t>
      </w:r>
      <w:r>
        <w:rPr>
          <w:i/>
          <w:iCs/>
        </w:rPr>
        <w:t>.</w:t>
      </w:r>
      <w:r>
        <w:t xml:space="preserve"> En individuos con disminución de la función de linfocitos T (como sería por infección por virus de inmunodeficiencia humana), la erupción puede surgir en la forma de pápulas o pústulas en grupos, no acompañadas de exfoliación ni eritema.</w:t>
      </w:r>
    </w:p>
    <w:p w14:paraId="57032DE5" w14:textId="77777777" w:rsidR="00924992" w:rsidRDefault="00924992">
      <w:pPr>
        <w:pStyle w:val="BodyText"/>
        <w:ind w:firstLine="360"/>
      </w:pPr>
      <w:r>
        <w:t>La erupción puede acompañarse de otra papulovesicular fina y pruriginosa (reacción ide o dermatofítica) que abarca el tronco, las manos o la cara causada por una respuesta de hipersensibilidad al hongo patógeno.</w:t>
      </w:r>
    </w:p>
    <w:p w14:paraId="300481B5" w14:textId="77777777" w:rsidR="00924992" w:rsidRDefault="00924992">
      <w:pPr>
        <w:pStyle w:val="BodyText"/>
        <w:spacing w:line="283" w:lineRule="auto"/>
        <w:ind w:firstLine="0"/>
      </w:pPr>
      <w:r>
        <w:rPr>
          <w:b/>
          <w:bCs/>
        </w:rPr>
        <w:t>C</w:t>
      </w:r>
      <w:r>
        <w:rPr>
          <w:b/>
          <w:bCs/>
          <w:sz w:val="13"/>
          <w:szCs w:val="13"/>
        </w:rPr>
        <w:t>AUSAS</w:t>
      </w:r>
      <w:r>
        <w:rPr>
          <w:b/>
          <w:bCs/>
        </w:rPr>
        <w:t xml:space="preserve">: </w:t>
      </w:r>
      <w:r>
        <w:t xml:space="preserve">Las causas principales del cuadro son hongos de los géneros </w:t>
      </w:r>
      <w:r>
        <w:rPr>
          <w:rFonts w:ascii="Times New Roman" w:eastAsia="Times New Roman" w:hAnsi="Times New Roman" w:cs="Times New Roman"/>
          <w:i/>
          <w:iCs/>
          <w:sz w:val="16"/>
          <w:szCs w:val="16"/>
        </w:rPr>
        <w:t>Trichophyton</w:t>
      </w:r>
      <w:r>
        <w:rPr>
          <w:i/>
          <w:iCs/>
        </w:rPr>
        <w:t xml:space="preserve">, </w:t>
      </w:r>
      <w:r>
        <w:t xml:space="preserve">en particular </w:t>
      </w:r>
      <w:r>
        <w:rPr>
          <w:rFonts w:ascii="Times New Roman" w:eastAsia="Times New Roman" w:hAnsi="Times New Roman" w:cs="Times New Roman"/>
          <w:i/>
          <w:iCs/>
          <w:sz w:val="16"/>
          <w:szCs w:val="16"/>
        </w:rPr>
        <w:t>Trichophyton rubrum</w:t>
      </w:r>
      <w:r>
        <w:rPr>
          <w:i/>
          <w:iCs/>
        </w:rPr>
        <w:t xml:space="preserve">, </w:t>
      </w:r>
      <w:r>
        <w:rPr>
          <w:rFonts w:ascii="Times New Roman" w:eastAsia="Times New Roman" w:hAnsi="Times New Roman" w:cs="Times New Roman"/>
          <w:i/>
          <w:iCs/>
          <w:sz w:val="16"/>
          <w:szCs w:val="16"/>
        </w:rPr>
        <w:t>T. mentagrophytes</w:t>
      </w:r>
      <w:r>
        <w:t xml:space="preserve"> y </w:t>
      </w:r>
      <w:r>
        <w:rPr>
          <w:rFonts w:ascii="Times New Roman" w:eastAsia="Times New Roman" w:hAnsi="Times New Roman" w:cs="Times New Roman"/>
          <w:i/>
          <w:iCs/>
          <w:sz w:val="16"/>
          <w:szCs w:val="16"/>
        </w:rPr>
        <w:t>T. tonsurans</w:t>
      </w:r>
      <w:r>
        <w:rPr>
          <w:i/>
          <w:iCs/>
        </w:rPr>
        <w:t>;</w:t>
      </w:r>
      <w:r>
        <w:t xml:space="preserve"> el género </w:t>
      </w:r>
      <w:r>
        <w:rPr>
          <w:rFonts w:ascii="Times New Roman" w:eastAsia="Times New Roman" w:hAnsi="Times New Roman" w:cs="Times New Roman"/>
          <w:i/>
          <w:iCs/>
          <w:sz w:val="16"/>
          <w:szCs w:val="16"/>
        </w:rPr>
        <w:t>Microsporum</w:t>
      </w:r>
      <w:r>
        <w:rPr>
          <w:i/>
          <w:iCs/>
        </w:rPr>
        <w:t>,</w:t>
      </w:r>
      <w:r>
        <w:t xml:space="preserve"> en particular </w:t>
      </w:r>
      <w:r>
        <w:rPr>
          <w:rFonts w:ascii="Times New Roman" w:eastAsia="Times New Roman" w:hAnsi="Times New Roman" w:cs="Times New Roman"/>
          <w:i/>
          <w:iCs/>
          <w:sz w:val="16"/>
          <w:szCs w:val="16"/>
        </w:rPr>
        <w:t>M. canis</w:t>
      </w:r>
      <w:r>
        <w:rPr>
          <w:i/>
          <w:iCs/>
        </w:rPr>
        <w:t>,</w:t>
      </w:r>
      <w:r>
        <w:t xml:space="preserve"> y </w:t>
      </w:r>
      <w:r>
        <w:rPr>
          <w:rFonts w:ascii="Times New Roman" w:eastAsia="Times New Roman" w:hAnsi="Times New Roman" w:cs="Times New Roman"/>
          <w:i/>
          <w:iCs/>
          <w:sz w:val="16"/>
          <w:szCs w:val="16"/>
        </w:rPr>
        <w:t>Epidermophyton floccosum</w:t>
      </w:r>
      <w:r>
        <w:rPr>
          <w:i/>
          <w:iCs/>
        </w:rPr>
        <w:t>.</w:t>
      </w:r>
    </w:p>
    <w:p w14:paraId="37F0DC97" w14:textId="77777777" w:rsidR="00924992" w:rsidRDefault="00924992">
      <w:pPr>
        <w:pStyle w:val="BodyText"/>
        <w:ind w:firstLine="0"/>
      </w:pPr>
      <w:r>
        <w:rPr>
          <w:b/>
          <w:bCs/>
        </w:rPr>
        <w:t>A</w:t>
      </w:r>
      <w:r>
        <w:rPr>
          <w:b/>
          <w:bCs/>
          <w:sz w:val="13"/>
          <w:szCs w:val="13"/>
        </w:rPr>
        <w:t>SPECTOS EPIDEMIOLÓGICOS</w:t>
      </w:r>
      <w:r>
        <w:rPr>
          <w:b/>
          <w:bCs/>
        </w:rPr>
        <w:t xml:space="preserve">: </w:t>
      </w:r>
      <w:r>
        <w:t>Los hongos patógenos de esta categoría aparecen a nivel mundial y son transmisibles por contacto directo con seres humanos, animales u objetos infectados. Los hongos en las lesiones son transmisibles.</w:t>
      </w:r>
    </w:p>
    <w:p w14:paraId="2E4B4C8C" w14:textId="77777777" w:rsidR="00924992" w:rsidRDefault="00924992">
      <w:pPr>
        <w:pStyle w:val="BodyText"/>
        <w:ind w:firstLine="360"/>
      </w:pPr>
      <w:r>
        <w:t xml:space="preserve">Se desconoce el </w:t>
      </w:r>
      <w:r>
        <w:rPr>
          <w:b/>
          <w:bCs/>
        </w:rPr>
        <w:t>periodo de incubación</w:t>
      </w:r>
      <w:r>
        <w:t>.</w:t>
      </w:r>
    </w:p>
    <w:p w14:paraId="19C45979" w14:textId="77777777" w:rsidR="00924992" w:rsidRDefault="00924992">
      <w:pPr>
        <w:pStyle w:val="BodyText"/>
        <w:ind w:firstLine="0"/>
      </w:pPr>
      <w:r>
        <w:rPr>
          <w:b/>
          <w:bCs/>
        </w:rPr>
        <w:t>D</w:t>
      </w:r>
      <w:r>
        <w:rPr>
          <w:b/>
          <w:bCs/>
          <w:sz w:val="13"/>
          <w:szCs w:val="13"/>
        </w:rPr>
        <w:t>IAGNÓSTICO</w:t>
      </w:r>
      <w:r>
        <w:rPr>
          <w:b/>
          <w:bCs/>
        </w:rPr>
        <w:t xml:space="preserve">: </w:t>
      </w:r>
      <w:r>
        <w:t xml:space="preserve">El hongo que ocasiona la tiña corporal puede detectarse por estudio microscópico de un preparado húmedo con hidróxido de potasio, hecho con muestras de piel obtenidas por raspado. Otro método sencillo, fiable y barato de diagnóstico es emplear el medio para dermatofitos. Los fragmentos de piel obtenidos por raspado de las lesiones se inoculan directamente en el medio de cultivo y se incuban a temperatura ambiente. Después de una a dos semanas, el indicador de rojo fenol en el agar cambiará su color de amarillo a rojo en la zona que rodea la colonia de dermatofitos. Si es necesario, el diagnóstico se confirma también por cultivo en medio de dextrosa-agar de Sabouraud. </w:t>
      </w:r>
      <w:r>
        <w:rPr>
          <w:b/>
          <w:bCs/>
        </w:rPr>
        <w:t>T</w:t>
      </w:r>
      <w:r>
        <w:rPr>
          <w:b/>
          <w:bCs/>
          <w:sz w:val="13"/>
          <w:szCs w:val="13"/>
        </w:rPr>
        <w:t>RATAMIENTO</w:t>
      </w:r>
      <w:r>
        <w:rPr>
          <w:b/>
          <w:bCs/>
        </w:rPr>
        <w:t xml:space="preserve">: </w:t>
      </w:r>
      <w:r>
        <w:t>Se recomienda la aplicación de productos como nitrato de miconazol, clotrimazol, terbinafina, tolnaftato, clorhidrato de naftifina o un preparado de ciclopirox olamina dos veces al día, o bien ketoconazol, nitratos de econazol u oxiconazol, clorhidrato de butenafina o un preparado de nitrato de sulconazol (véase “Productos tópicos contra micosis superficiales”, sección 4). Es posible que en término de dos semanas de la terapia se advierta resolución clínica, pero por lo común conviene que el tratamiento dure cuatro semanas, como mínimo. Es mejor no mezclar los antimicóticos tópicos con corticosteroides de alta potencia porque estos últimos pueden originar estrías y atrofias de la piel.</w:t>
      </w:r>
    </w:p>
    <w:p w14:paraId="1CA93CCB" w14:textId="77777777" w:rsidR="00924992" w:rsidRDefault="00924992">
      <w:pPr>
        <w:pStyle w:val="BodyText"/>
        <w:ind w:firstLine="360"/>
      </w:pPr>
      <w:r>
        <w:t xml:space="preserve">Si las lesiones son extensas o no mejoran con los productos tópicos se administra griseofulvina por vía oral durante cuatro semanas (véase “Tiña de la cabeza”, en esta sección). Otros fármacos eficaces a los que cabe recurrir contra la tiña del cuerpo son el itraconazol, el fluconazol y la terbinafina ingeridos, pero en Estados Unidos no han sido aprobados por la </w:t>
      </w:r>
      <w:r>
        <w:rPr>
          <w:rFonts w:ascii="Times New Roman" w:eastAsia="Times New Roman" w:hAnsi="Times New Roman" w:cs="Times New Roman"/>
          <w:i/>
          <w:iCs/>
          <w:sz w:val="16"/>
          <w:szCs w:val="16"/>
        </w:rPr>
        <w:t>Food and Drug Administration</w:t>
      </w:r>
      <w:r>
        <w:t xml:space="preserve"> para tal indicación.</w:t>
      </w:r>
    </w:p>
    <w:p w14:paraId="238DF650" w14:textId="77777777" w:rsidR="00924992" w:rsidRDefault="00924992">
      <w:pPr>
        <w:pStyle w:val="BodyText"/>
        <w:spacing w:after="100"/>
        <w:ind w:firstLine="0"/>
      </w:pPr>
      <w:r>
        <w:rPr>
          <w:b/>
          <w:bCs/>
        </w:rPr>
        <w:t>A</w:t>
      </w:r>
      <w:r>
        <w:rPr>
          <w:b/>
          <w:bCs/>
          <w:sz w:val="13"/>
          <w:szCs w:val="13"/>
        </w:rPr>
        <w:t>ISLAMIENTO DEL PACIENTE HOSPITALIZADO</w:t>
      </w:r>
      <w:r>
        <w:rPr>
          <w:b/>
          <w:bCs/>
        </w:rPr>
        <w:t xml:space="preserve">: </w:t>
      </w:r>
      <w:r>
        <w:t xml:space="preserve">Se recomiendan las precauciones estándar. </w:t>
      </w:r>
      <w:r>
        <w:rPr>
          <w:b/>
          <w:bCs/>
        </w:rPr>
        <w:t>M</w:t>
      </w:r>
      <w:r>
        <w:rPr>
          <w:b/>
          <w:bCs/>
          <w:sz w:val="13"/>
          <w:szCs w:val="13"/>
        </w:rPr>
        <w:t>EDIDAS PREVENTIVAS</w:t>
      </w:r>
      <w:r>
        <w:rPr>
          <w:b/>
          <w:bCs/>
        </w:rPr>
        <w:t xml:space="preserve">: </w:t>
      </w:r>
      <w:r>
        <w:t>Es importante evitar el contacto directo con los puntos sabidos o sospechados de infección. También se recomienda la inspección periódica de los contactos en busca de lesiones tempranas y la terapia inmediata.</w:t>
      </w:r>
    </w:p>
    <w:p w14:paraId="182F283E" w14:textId="77777777" w:rsidR="00924992" w:rsidRDefault="00924992">
      <w:pPr>
        <w:pStyle w:val="Bodytext70"/>
        <w:spacing w:after="0"/>
      </w:pPr>
      <w:r>
        <w:t>Tiña inguinal</w:t>
      </w:r>
    </w:p>
    <w:p w14:paraId="64278972" w14:textId="77777777" w:rsidR="00924992" w:rsidRDefault="00924992">
      <w:pPr>
        <w:pStyle w:val="BodyText"/>
        <w:spacing w:line="262" w:lineRule="auto"/>
        <w:ind w:firstLine="0"/>
        <w:rPr>
          <w:sz w:val="16"/>
          <w:szCs w:val="16"/>
        </w:rPr>
      </w:pPr>
      <w:r>
        <w:rPr>
          <w:b/>
          <w:bCs/>
          <w:smallCaps/>
          <w:sz w:val="20"/>
          <w:szCs w:val="20"/>
        </w:rPr>
        <w:t>M</w:t>
      </w:r>
      <w:r>
        <w:rPr>
          <w:b/>
          <w:bCs/>
          <w:smallCaps/>
          <w:sz w:val="16"/>
          <w:szCs w:val="16"/>
        </w:rPr>
        <w:t>anifestaciones clínicas</w:t>
      </w:r>
      <w:r>
        <w:rPr>
          <w:b/>
          <w:bCs/>
          <w:smallCaps/>
          <w:sz w:val="20"/>
          <w:szCs w:val="20"/>
        </w:rPr>
        <w:t>:</w:t>
      </w:r>
      <w:r>
        <w:t xml:space="preserve"> La tiña inguinal (crural) es una micosis superficial frecuente en la ingle y mitad superior de los muslos. La erupción tiene un margen perfectamente delimitado y por lo regular es simétrica en ambos lados. La piel afectada es eritematosa y exfoliativa y varía de roja a parda; a veces la erupción se acompaña de una zona clara central y un borde vesiculopapular. En las infecciones crónicas el borde puede ser sutil y puede haber liquenificación. Las lesiones de la tiña de la ingle pueden ser muy pruriginosas. Es necesario diferenciarlas de las del intertrigo, la dermatitis seborreica, la psoriasis, dermatitis por irritantes primarios, dermatitis alérgica por contacto (causada a menudo por agentes terapéuticos aplicados a la zona) o el eritrasma, que es la infección superficial de la piel causada por la bacteria </w:t>
      </w:r>
      <w:r>
        <w:rPr>
          <w:rFonts w:ascii="Times New Roman" w:eastAsia="Times New Roman" w:hAnsi="Times New Roman" w:cs="Times New Roman"/>
          <w:i/>
          <w:iCs/>
          <w:sz w:val="16"/>
          <w:szCs w:val="16"/>
        </w:rPr>
        <w:t>Corynebacterium minutissimum.</w:t>
      </w:r>
    </w:p>
    <w:p w14:paraId="5BD0B9B9" w14:textId="77777777" w:rsidR="00924992" w:rsidRDefault="00924992">
      <w:pPr>
        <w:pStyle w:val="Bodytext20"/>
        <w:spacing w:line="290" w:lineRule="auto"/>
        <w:rPr>
          <w:sz w:val="19"/>
          <w:szCs w:val="19"/>
        </w:rPr>
      </w:pPr>
      <w:r>
        <w:rPr>
          <w:rFonts w:ascii="Garamond" w:eastAsia="Garamond" w:hAnsi="Garamond" w:cs="Garamond"/>
          <w:b/>
          <w:bCs/>
          <w:sz w:val="19"/>
          <w:szCs w:val="19"/>
        </w:rPr>
        <w:t>C</w:t>
      </w:r>
      <w:r>
        <w:rPr>
          <w:rFonts w:ascii="Garamond" w:eastAsia="Garamond" w:hAnsi="Garamond" w:cs="Garamond"/>
          <w:b/>
          <w:bCs/>
          <w:sz w:val="13"/>
          <w:szCs w:val="13"/>
        </w:rPr>
        <w:t>AUSAS</w:t>
      </w:r>
      <w:r>
        <w:rPr>
          <w:rFonts w:ascii="Garamond" w:eastAsia="Garamond" w:hAnsi="Garamond" w:cs="Garamond"/>
          <w:b/>
          <w:bCs/>
          <w:sz w:val="19"/>
          <w:szCs w:val="19"/>
        </w:rPr>
        <w:t xml:space="preserve">: </w:t>
      </w:r>
      <w:r>
        <w:rPr>
          <w:rFonts w:ascii="Garamond" w:eastAsia="Garamond" w:hAnsi="Garamond" w:cs="Garamond"/>
          <w:sz w:val="19"/>
          <w:szCs w:val="19"/>
        </w:rPr>
        <w:t xml:space="preserve">Las más frecuentes son los hongos </w:t>
      </w:r>
      <w:r>
        <w:rPr>
          <w:i/>
          <w:iCs/>
        </w:rPr>
        <w:t>Epidermophyton floccosum</w:t>
      </w:r>
      <w:r>
        <w:rPr>
          <w:rFonts w:ascii="Garamond" w:eastAsia="Garamond" w:hAnsi="Garamond" w:cs="Garamond"/>
          <w:i/>
          <w:iCs/>
          <w:sz w:val="19"/>
          <w:szCs w:val="19"/>
        </w:rPr>
        <w:t xml:space="preserve">, </w:t>
      </w:r>
      <w:r>
        <w:rPr>
          <w:i/>
          <w:iCs/>
        </w:rPr>
        <w:t>Trichophyton rubrum</w:t>
      </w:r>
      <w:r>
        <w:rPr>
          <w:rFonts w:ascii="Garamond" w:eastAsia="Garamond" w:hAnsi="Garamond" w:cs="Garamond"/>
          <w:sz w:val="19"/>
          <w:szCs w:val="19"/>
        </w:rPr>
        <w:t xml:space="preserve"> y </w:t>
      </w:r>
      <w:r>
        <w:rPr>
          <w:i/>
          <w:iCs/>
        </w:rPr>
        <w:t>Trichophyton mentagrophytes</w:t>
      </w:r>
      <w:r>
        <w:rPr>
          <w:rFonts w:ascii="Garamond" w:eastAsia="Garamond" w:hAnsi="Garamond" w:cs="Garamond"/>
          <w:i/>
          <w:iCs/>
          <w:sz w:val="19"/>
          <w:szCs w:val="19"/>
        </w:rPr>
        <w:t>.</w:t>
      </w:r>
    </w:p>
    <w:p w14:paraId="7171C9D7" w14:textId="77777777" w:rsidR="00924992" w:rsidRDefault="00924992">
      <w:pPr>
        <w:pStyle w:val="BodyText"/>
        <w:ind w:firstLine="0"/>
      </w:pPr>
      <w:r>
        <w:rPr>
          <w:b/>
          <w:bCs/>
        </w:rPr>
        <w:t>A</w:t>
      </w:r>
      <w:r>
        <w:rPr>
          <w:b/>
          <w:bCs/>
          <w:sz w:val="13"/>
          <w:szCs w:val="13"/>
        </w:rPr>
        <w:t>SPECTOS EPIDEMIOLÓGICOS</w:t>
      </w:r>
      <w:r>
        <w:rPr>
          <w:b/>
          <w:bCs/>
        </w:rPr>
        <w:t xml:space="preserve">: </w:t>
      </w:r>
      <w:r>
        <w:t>La tiña de la ingle afecta más bien a adolescentes y adultos varones, más bien por contacto indirecto a partir del epitelio descamado o cabello. Los factores predisponentes son humedad, ropas muy ajustadas, fricción y obesidad. Puede haber transmisión directa o indirecta de una persona a otra. La infección suele coexistir con la tiña de los pies.</w:t>
      </w:r>
    </w:p>
    <w:p w14:paraId="355942EE" w14:textId="77777777" w:rsidR="00924992" w:rsidRDefault="00924992">
      <w:pPr>
        <w:pStyle w:val="BodyText"/>
        <w:ind w:firstLine="360"/>
      </w:pPr>
      <w:r>
        <w:t xml:space="preserve">Se desconoce el </w:t>
      </w:r>
      <w:r>
        <w:rPr>
          <w:b/>
          <w:bCs/>
        </w:rPr>
        <w:t>periodo de incubación</w:t>
      </w:r>
      <w:r>
        <w:t>.</w:t>
      </w:r>
    </w:p>
    <w:p w14:paraId="3C6967D2" w14:textId="77777777" w:rsidR="00924992" w:rsidRDefault="00924992">
      <w:pPr>
        <w:pStyle w:val="BodyText"/>
        <w:ind w:firstLine="0"/>
      </w:pPr>
      <w:r>
        <w:rPr>
          <w:b/>
          <w:bCs/>
        </w:rPr>
        <w:t>M</w:t>
      </w:r>
      <w:r>
        <w:rPr>
          <w:b/>
          <w:bCs/>
          <w:sz w:val="13"/>
          <w:szCs w:val="13"/>
        </w:rPr>
        <w:t>ÉTODOS DIAGNÓSTICOS</w:t>
      </w:r>
      <w:r>
        <w:rPr>
          <w:b/>
          <w:bCs/>
        </w:rPr>
        <w:t xml:space="preserve">: </w:t>
      </w:r>
      <w:r>
        <w:t>Los hongos que causan la tiña de la ingle se detectan por estudio microscópico en un preparado húmedo de las escamas, con hidróxido de potasio. El empleo del medio para dermatofitos también es una forma sencilla, fiable y barata de diagnosticar la tiña en cuestión. Se hace una inoculación directa de raspaduras cutáneas de las lesiones en el medio de cultivo y se incuban a temperatura ambiente. Después de una a dos semanas, el indicador rojo fenol en el agar cambiará su color de amarillo a rojo en la zona vecina a la colonia de dermatofitos. Cuando es necesario, el diagnóstico también se confirma por cultivo en dextrosa-agar de Sabouraud. El característico color rojo coral fluorescente con la luz de Wood permite identificar la presencia de eritrasma y así se descarta la existencia de tiña de la ingle.</w:t>
      </w:r>
    </w:p>
    <w:p w14:paraId="32C0C872" w14:textId="77777777" w:rsidR="00924992" w:rsidRDefault="00924992">
      <w:pPr>
        <w:pStyle w:val="BodyText"/>
        <w:ind w:firstLine="0"/>
      </w:pPr>
      <w:r>
        <w:rPr>
          <w:b/>
          <w:bCs/>
        </w:rPr>
        <w:t>T</w:t>
      </w:r>
      <w:r>
        <w:rPr>
          <w:b/>
          <w:bCs/>
          <w:sz w:val="13"/>
          <w:szCs w:val="13"/>
        </w:rPr>
        <w:t>RATAMIENTO</w:t>
      </w:r>
      <w:r>
        <w:rPr>
          <w:b/>
          <w:bCs/>
        </w:rPr>
        <w:t xml:space="preserve">: </w:t>
      </w:r>
      <w:r>
        <w:t>Entre las medidas eficaces está la aplicación local durante cuatro a seis semanas, de clotrimazol, haloprogin, nitrato de miconazol, terbinafina, tolnaftato o el preparado de ciclopirox olamina en forma suave en las zonas afectadas y piel vecina dos veces al día o usar preparados tópicos de nitrato de econazol, ketoconazol, clorhidrato de naftifina, nitrato de oxiconazol, butenafina o un preparado de nitrato de sulconazol una vez al día (véase “Productos tópicos contra micosis superficiales”, sección 4). La tiña de los pies, en caso de aparecer, debe ser tratada concomitantemente (véase “Tiña del pie”, en esta sección).</w:t>
      </w:r>
    </w:p>
    <w:p w14:paraId="28D67922" w14:textId="77777777" w:rsidR="00924992" w:rsidRDefault="00924992">
      <w:pPr>
        <w:pStyle w:val="BodyText"/>
        <w:ind w:firstLine="360"/>
      </w:pPr>
      <w:r>
        <w:t xml:space="preserve">Es mejor no mezclar los antimicóticos tópicos con corticosteroides de alta potencia porque estos últimos originarán estrías y atrofia de la piel. El uso de ropa interior laxa, de algodón y lavada para disminuir la excoriación y también la aplicación de un talco adsorbente hemoliente son complementos útiles del tratamiento. A veces se logran buenos resultados con la ingestión de griseofulvina durante dos a seis semanas en casos que no mejoran con los otros fármacos (véase “Tiña de la cabeza”, en esta sección). Otra posibilidad sería ingerir fármacos como itraconazol, fluconazol o terbinafina, aunque tales productos no han sido aprobados por la </w:t>
      </w:r>
      <w:r>
        <w:rPr>
          <w:rFonts w:ascii="Times New Roman" w:eastAsia="Times New Roman" w:hAnsi="Times New Roman" w:cs="Times New Roman"/>
          <w:i/>
          <w:iCs/>
          <w:sz w:val="16"/>
          <w:szCs w:val="16"/>
        </w:rPr>
        <w:t xml:space="preserve">Food and Drug Administration </w:t>
      </w:r>
      <w:r>
        <w:t>para tratar la tiña de la ingle y por lo común no son necesarios. Muchos cuadros remedan la tiña de la ingle y por ello si son ineficaces los tratamientos primarios hay que modificar el diagnóstico diferencial.</w:t>
      </w:r>
    </w:p>
    <w:p w14:paraId="46F1DE46" w14:textId="77777777" w:rsidR="00924992" w:rsidRDefault="00924992">
      <w:pPr>
        <w:pStyle w:val="BodyText"/>
        <w:spacing w:after="100"/>
        <w:ind w:firstLine="0"/>
        <w:sectPr w:rsidR="00924992" w:rsidSect="00924992">
          <w:headerReference w:type="even" r:id="rId41"/>
          <w:headerReference w:type="default" r:id="rId42"/>
          <w:footerReference w:type="even" r:id="rId43"/>
          <w:footerReference w:type="default" r:id="rId44"/>
          <w:headerReference w:type="first" r:id="rId45"/>
          <w:footerReference w:type="first" r:id="rId46"/>
          <w:pgSz w:w="8501" w:h="13022"/>
          <w:pgMar w:top="898" w:right="780" w:bottom="509" w:left="828" w:header="0" w:footer="3" w:gutter="0"/>
          <w:pgNumType w:start="637"/>
          <w:cols w:space="720"/>
          <w:noEndnote/>
          <w:titlePg/>
          <w:docGrid w:linePitch="360"/>
          <w15:footnoteColumns w:val="1"/>
        </w:sectPr>
      </w:pPr>
      <w:r>
        <w:rPr>
          <w:b/>
          <w:bCs/>
        </w:rPr>
        <w:t>A</w:t>
      </w:r>
      <w:r>
        <w:rPr>
          <w:b/>
          <w:bCs/>
          <w:sz w:val="13"/>
          <w:szCs w:val="13"/>
        </w:rPr>
        <w:t>ISLAMIENTO DEL PACIENTE HOSPITALIZADO</w:t>
      </w:r>
      <w:r>
        <w:rPr>
          <w:b/>
          <w:bCs/>
        </w:rPr>
        <w:t xml:space="preserve">: </w:t>
      </w:r>
      <w:r>
        <w:t xml:space="preserve">Se recomiendan precauciones estándar. </w:t>
      </w:r>
      <w:r>
        <w:rPr>
          <w:b/>
          <w:bCs/>
        </w:rPr>
        <w:t>M</w:t>
      </w:r>
      <w:r>
        <w:rPr>
          <w:b/>
          <w:bCs/>
          <w:sz w:val="13"/>
          <w:szCs w:val="13"/>
        </w:rPr>
        <w:t>EDIDAS PREVENTIVAS</w:t>
      </w:r>
      <w:r>
        <w:rPr>
          <w:b/>
          <w:bCs/>
        </w:rPr>
        <w:t xml:space="preserve">: </w:t>
      </w:r>
      <w:r>
        <w:t xml:space="preserve">Las infecciones deben ser tratadas a breve plazo. Es necesario que estén secas las zonas que pueden estar afectadas y se recomienda que la ropa </w:t>
      </w:r>
    </w:p>
    <w:p w14:paraId="47E903DD" w14:textId="77777777" w:rsidR="00924992" w:rsidRDefault="00924992">
      <w:pPr>
        <w:pStyle w:val="BodyText"/>
        <w:spacing w:after="100"/>
        <w:ind w:firstLine="0"/>
      </w:pPr>
      <w:r>
        <w:t>interior sea laxa. También habrá que orientar a la persona para que seque la zona de la ingle antes de secarse los pies para no inocular dermatófitos de la tiña de los pies, en la zona inguinal.</w:t>
      </w:r>
    </w:p>
    <w:p w14:paraId="5146065B" w14:textId="77777777" w:rsidR="00924992" w:rsidRDefault="00924992">
      <w:pPr>
        <w:pStyle w:val="Bodytext70"/>
        <w:spacing w:after="0"/>
      </w:pPr>
      <w:r>
        <w:t>Tiña del pie</w:t>
      </w:r>
    </w:p>
    <w:p w14:paraId="066EBF6F" w14:textId="77777777" w:rsidR="00924992" w:rsidRDefault="00924992">
      <w:pPr>
        <w:pStyle w:val="Other0"/>
        <w:spacing w:line="252" w:lineRule="auto"/>
        <w:ind w:firstLine="0"/>
        <w:rPr>
          <w:sz w:val="20"/>
          <w:szCs w:val="20"/>
        </w:rPr>
      </w:pPr>
      <w:r>
        <w:rPr>
          <w:rFonts w:ascii="Arial" w:eastAsia="Arial" w:hAnsi="Arial" w:cs="Arial"/>
          <w:b/>
          <w:bCs/>
          <w:w w:val="70"/>
          <w:sz w:val="20"/>
          <w:szCs w:val="20"/>
        </w:rPr>
        <w:t>(Pie de atleta, dermatosis)</w:t>
      </w:r>
    </w:p>
    <w:p w14:paraId="61B2A7CA" w14:textId="77777777" w:rsidR="00924992" w:rsidRDefault="00924992">
      <w:pPr>
        <w:pStyle w:val="BodyText"/>
        <w:spacing w:line="276" w:lineRule="auto"/>
        <w:ind w:firstLine="0"/>
      </w:pPr>
      <w:r>
        <w:rPr>
          <w:b/>
          <w:bCs/>
        </w:rPr>
        <w:t>M</w:t>
      </w:r>
      <w:r>
        <w:rPr>
          <w:b/>
          <w:bCs/>
          <w:sz w:val="13"/>
          <w:szCs w:val="13"/>
        </w:rPr>
        <w:t>ANIFESTACIONES CLÍNICAS</w:t>
      </w:r>
      <w:r>
        <w:rPr>
          <w:b/>
          <w:bCs/>
        </w:rPr>
        <w:t xml:space="preserve">: </w:t>
      </w:r>
      <w:r>
        <w:t xml:space="preserve">La tiña de los pies incluye lesiones vesiculopustulosas finas o exfoliativas, muy a menudo pruriginosas. Pueden afectar cualquiera de las áreas del pie, pero por lo común su distribución es irregular y muestra predisposición por los pliegues interdigitales, en particular el tercero y el cuarto. Puede haber infección de la uñas y también distrofia (tiña de las uñas). Es importante diferenciar la tiña de los pies del eccema dishidrótico, de las dermatitis atópica o de contacto, de la dermatosis plantar juvenil y el eritrasma (infección bacteriana superficial causada por </w:t>
      </w:r>
      <w:r>
        <w:rPr>
          <w:rFonts w:ascii="Times New Roman" w:eastAsia="Times New Roman" w:hAnsi="Times New Roman" w:cs="Times New Roman"/>
          <w:i/>
          <w:iCs/>
          <w:sz w:val="16"/>
          <w:szCs w:val="16"/>
        </w:rPr>
        <w:t>Corynebacterium minutissimum</w:t>
      </w:r>
      <w:r>
        <w:rPr>
          <w:i/>
          <w:iCs/>
        </w:rPr>
        <w:t>).</w:t>
      </w:r>
      <w:r>
        <w:t xml:space="preserve"> La tiña de los pies muy a menudo se acompaña de tiña de la ingle.</w:t>
      </w:r>
    </w:p>
    <w:p w14:paraId="1DDBDF81" w14:textId="77777777" w:rsidR="00924992" w:rsidRDefault="00924992">
      <w:pPr>
        <w:pStyle w:val="BodyText"/>
        <w:spacing w:line="276" w:lineRule="auto"/>
        <w:ind w:firstLine="360"/>
      </w:pPr>
      <w:r>
        <w:t xml:space="preserve">La tiña de los pies y otras micosis pueden acompañarse de una reacción de hipersensibilidad a los hongos (la reacción dermatofítide o de ide) y como resultado pueden surgir erupciones vesiculosas en palmas y lados de los dedos; a veces se acompaña de una erupción vesiculosa eritematosa en las extremidades y el tronco. </w:t>
      </w:r>
      <w:r>
        <w:rPr>
          <w:b/>
          <w:bCs/>
        </w:rPr>
        <w:t>C</w:t>
      </w:r>
      <w:r>
        <w:rPr>
          <w:b/>
          <w:bCs/>
          <w:sz w:val="13"/>
          <w:szCs w:val="13"/>
        </w:rPr>
        <w:t>AUSAS</w:t>
      </w:r>
      <w:r>
        <w:rPr>
          <w:b/>
          <w:bCs/>
        </w:rPr>
        <w:t xml:space="preserve">: </w:t>
      </w:r>
      <w:r>
        <w:t xml:space="preserve">Las causas más frecuentes son los hongos </w:t>
      </w:r>
      <w:r>
        <w:rPr>
          <w:rFonts w:ascii="Times New Roman" w:eastAsia="Times New Roman" w:hAnsi="Times New Roman" w:cs="Times New Roman"/>
          <w:i/>
          <w:iCs/>
          <w:sz w:val="16"/>
          <w:szCs w:val="16"/>
        </w:rPr>
        <w:t>Trichophyton rubrum</w:t>
      </w:r>
      <w:r>
        <w:rPr>
          <w:i/>
          <w:iCs/>
        </w:rPr>
        <w:t xml:space="preserve">, </w:t>
      </w:r>
      <w:r>
        <w:rPr>
          <w:rFonts w:ascii="Times New Roman" w:eastAsia="Times New Roman" w:hAnsi="Times New Roman" w:cs="Times New Roman"/>
          <w:i/>
          <w:iCs/>
          <w:sz w:val="16"/>
          <w:szCs w:val="16"/>
        </w:rPr>
        <w:t>Trichophyton mentagrophytes</w:t>
      </w:r>
      <w:r>
        <w:t xml:space="preserve"> y </w:t>
      </w:r>
      <w:r>
        <w:rPr>
          <w:rFonts w:ascii="Times New Roman" w:eastAsia="Times New Roman" w:hAnsi="Times New Roman" w:cs="Times New Roman"/>
          <w:i/>
          <w:iCs/>
          <w:sz w:val="16"/>
          <w:szCs w:val="16"/>
        </w:rPr>
        <w:t>Epidermophyton floccosum</w:t>
      </w:r>
      <w:r>
        <w:rPr>
          <w:i/>
          <w:iCs/>
        </w:rPr>
        <w:t>.</w:t>
      </w:r>
    </w:p>
    <w:p w14:paraId="171A19A7" w14:textId="77777777" w:rsidR="00924992" w:rsidRDefault="00924992">
      <w:pPr>
        <w:pStyle w:val="BodyText"/>
        <w:ind w:firstLine="0"/>
      </w:pPr>
      <w:r>
        <w:rPr>
          <w:b/>
          <w:bCs/>
        </w:rPr>
        <w:t>A</w:t>
      </w:r>
      <w:r>
        <w:rPr>
          <w:b/>
          <w:bCs/>
          <w:sz w:val="13"/>
          <w:szCs w:val="13"/>
        </w:rPr>
        <w:t>SPECTOS EPIDEMIOLÓGICOS</w:t>
      </w:r>
      <w:r>
        <w:rPr>
          <w:b/>
          <w:bCs/>
        </w:rPr>
        <w:t xml:space="preserve">: </w:t>
      </w:r>
      <w:r>
        <w:t>La tiña de los pies es una afección muy frecuente en adolescentes y adultos de todo el mundo, pero es relativamente rara en niños de corta edad. Los hongos se transmiten por contacto con escamas cutáneas que los contienen o con hongos en zonas húmedas como piscinas, salas de gabinetes o de regaderas. La tiña de los pies tiende a difundirse en todo el entorno hogareño entre los miembros del círculo familiar. Es transmisible durante todo el tiempo en que esté presente la infección.</w:t>
      </w:r>
    </w:p>
    <w:p w14:paraId="5F56E193" w14:textId="77777777" w:rsidR="00924992" w:rsidRDefault="00924992">
      <w:pPr>
        <w:pStyle w:val="BodyText"/>
        <w:ind w:firstLine="360"/>
      </w:pPr>
      <w:r>
        <w:t xml:space="preserve">Se desconoce el </w:t>
      </w:r>
      <w:r>
        <w:rPr>
          <w:b/>
          <w:bCs/>
        </w:rPr>
        <w:t>periodo de incubación</w:t>
      </w:r>
      <w:r>
        <w:t>.</w:t>
      </w:r>
    </w:p>
    <w:p w14:paraId="2318B04D" w14:textId="77777777" w:rsidR="00924992" w:rsidRDefault="00924992">
      <w:pPr>
        <w:pStyle w:val="BodyText"/>
        <w:ind w:firstLine="0"/>
      </w:pPr>
      <w:r>
        <w:rPr>
          <w:b/>
          <w:bCs/>
        </w:rPr>
        <w:t>D</w:t>
      </w:r>
      <w:r>
        <w:rPr>
          <w:b/>
          <w:bCs/>
          <w:sz w:val="13"/>
          <w:szCs w:val="13"/>
        </w:rPr>
        <w:t>IAGNÓSTICO</w:t>
      </w:r>
      <w:r>
        <w:rPr>
          <w:b/>
          <w:bCs/>
        </w:rPr>
        <w:t xml:space="preserve">: </w:t>
      </w:r>
      <w:r>
        <w:t>La tiña de los pies por lo común se diagnostica por medio de sus manifestaciones clínicas, y su presencia se confirma con el examen microscópico de material cutáneo obtenido por raspado y en la preparación húmeda con hidróxido de potasio. El empleo del medio para dermatofitos es un procedimiento fiable, sencillo y barato para el diagnóstico en casos complicados o que no mejoran. El material obtenido por raspado se inocula directamente en el medio de cultivo y se incuba a temperatura ambiente. Después de una a dos semanas, el indicador rojo fenol en el agar cambiará su color de amarillo a rojo en la zona que rodea la colonia de dermatofitos. Si es necesario, también se confirma el diagnóstico por cultivo en dextrosa-agar de Sabouraud. La infección de la uña se corrobora por examen microscópico directo y cultivo del material subungueal descamado (para hongos).</w:t>
      </w:r>
    </w:p>
    <w:p w14:paraId="05304308" w14:textId="77777777" w:rsidR="00924992" w:rsidRDefault="00924992">
      <w:pPr>
        <w:pStyle w:val="BodyText"/>
        <w:ind w:firstLine="0"/>
      </w:pPr>
      <w:r>
        <w:rPr>
          <w:b/>
          <w:bCs/>
        </w:rPr>
        <w:t>T</w:t>
      </w:r>
      <w:r>
        <w:rPr>
          <w:b/>
          <w:bCs/>
          <w:sz w:val="13"/>
          <w:szCs w:val="13"/>
        </w:rPr>
        <w:t>RATAMIENTO</w:t>
      </w:r>
      <w:r>
        <w:rPr>
          <w:b/>
          <w:bCs/>
        </w:rPr>
        <w:t xml:space="preserve">: </w:t>
      </w:r>
      <w:r>
        <w:t>Cabe utilizar contra infecciones activas (véase “Productos tópicos contra micosis superficiales”, sección 4) la aplicación de nitrato de miconazol, haloprogin, clotrimazol, ciclopirox olamina, terbinafina, butenafina o un preparado de tolnaftato dos veces al día, o ketoconazol, nitrato de econazol, clorhidrato de naftifina, nitrato de oxiconazol o un preparado de nitrato de sulconazol una vez al día durante dos a tres semanas. Las lesiones vesiculosas agudas pueden ser tratadas con el uso intermitente de compresas húmedas no cubiertas (p. ej., con solución de Burrow, 1:80). También hay que tratar conjuntamente la tiña de la ingle en caso de haberla (véase “Tiña inguinal”, en esta sección).</w:t>
      </w:r>
    </w:p>
    <w:p w14:paraId="27884135" w14:textId="77777777" w:rsidR="00924992" w:rsidRDefault="00924992">
      <w:pPr>
        <w:pStyle w:val="BodyText"/>
        <w:spacing w:after="100"/>
        <w:ind w:firstLine="360"/>
        <w:sectPr w:rsidR="00924992" w:rsidSect="00924992">
          <w:headerReference w:type="even" r:id="rId47"/>
          <w:headerReference w:type="default" r:id="rId48"/>
          <w:footerReference w:type="even" r:id="rId49"/>
          <w:footerReference w:type="default" r:id="rId50"/>
          <w:type w:val="continuous"/>
          <w:pgSz w:w="8501" w:h="13022"/>
          <w:pgMar w:top="898" w:right="780" w:bottom="509" w:left="828" w:header="0" w:footer="81" w:gutter="0"/>
          <w:cols w:space="720"/>
          <w:noEndnote/>
          <w:docGrid w:linePitch="360"/>
          <w15:footnoteColumns w:val="1"/>
        </w:sectPr>
      </w:pPr>
      <w:r>
        <w:t xml:space="preserve">A veces se necesita la ingestión de griseofulvina durante seis a ocho semanas para tratar la tiña grave, crónica o recalcitrante de los pies. También otros fármacos eficaces </w:t>
      </w:r>
    </w:p>
    <w:p w14:paraId="313A43AE" w14:textId="77777777" w:rsidR="00924992" w:rsidRDefault="00924992">
      <w:pPr>
        <w:pStyle w:val="BodyText"/>
        <w:spacing w:after="100"/>
        <w:ind w:firstLine="0"/>
      </w:pPr>
      <w:r>
        <w:t>interior sea laxa. También habrá que orientar a la persona para que seque la zona de la ingle antes de secarse los pies para no inocular dermatófitos de la tiña de los pies, en la zona inguinal.</w:t>
      </w:r>
    </w:p>
    <w:p w14:paraId="2343313F" w14:textId="77777777" w:rsidR="00924992" w:rsidRDefault="00924992">
      <w:pPr>
        <w:pStyle w:val="Bodytext70"/>
        <w:spacing w:after="0"/>
      </w:pPr>
      <w:r>
        <w:t>Tiña del pie</w:t>
      </w:r>
    </w:p>
    <w:p w14:paraId="63C4F8DA" w14:textId="77777777" w:rsidR="00924992" w:rsidRDefault="00924992">
      <w:pPr>
        <w:pStyle w:val="Other0"/>
        <w:spacing w:line="252" w:lineRule="auto"/>
        <w:ind w:firstLine="0"/>
        <w:rPr>
          <w:sz w:val="20"/>
          <w:szCs w:val="20"/>
        </w:rPr>
      </w:pPr>
      <w:r>
        <w:rPr>
          <w:rFonts w:ascii="Arial" w:eastAsia="Arial" w:hAnsi="Arial" w:cs="Arial"/>
          <w:b/>
          <w:bCs/>
          <w:w w:val="70"/>
          <w:sz w:val="20"/>
          <w:szCs w:val="20"/>
        </w:rPr>
        <w:t>(Pie de atleta, dermatosis)</w:t>
      </w:r>
    </w:p>
    <w:p w14:paraId="168BC187" w14:textId="77777777" w:rsidR="00924992" w:rsidRDefault="00924992">
      <w:pPr>
        <w:pStyle w:val="BodyText"/>
        <w:spacing w:line="276" w:lineRule="auto"/>
        <w:ind w:firstLine="0"/>
      </w:pPr>
      <w:r>
        <w:rPr>
          <w:b/>
          <w:bCs/>
        </w:rPr>
        <w:t>M</w:t>
      </w:r>
      <w:r>
        <w:rPr>
          <w:b/>
          <w:bCs/>
          <w:sz w:val="13"/>
          <w:szCs w:val="13"/>
        </w:rPr>
        <w:t>ANIFESTACIONES CLÍNICAS</w:t>
      </w:r>
      <w:r>
        <w:rPr>
          <w:b/>
          <w:bCs/>
        </w:rPr>
        <w:t xml:space="preserve">: </w:t>
      </w:r>
      <w:r>
        <w:t xml:space="preserve">La tiña de los pies incluye lesiones vesiculopustulosas finas o exfoliativas, muy a menudo pruriginosas. Pueden afectar cualquiera de las áreas del pie, pero por lo común su distribución es irregular y muestra predisposición por los pliegues interdigitales, en particular el tercero y el cuarto. Puede haber infección de la uñas y también distrofia (tiña de las uñas). Es importante diferenciar la tiña de los pies del eccema dishidrótico, de las dermatitis atópica o de contacto, de la dermatosis plantar juvenil y el eritrasma (infección bacteriana superficial causada por </w:t>
      </w:r>
      <w:r>
        <w:rPr>
          <w:rFonts w:ascii="Times New Roman" w:eastAsia="Times New Roman" w:hAnsi="Times New Roman" w:cs="Times New Roman"/>
          <w:i/>
          <w:iCs/>
          <w:sz w:val="16"/>
          <w:szCs w:val="16"/>
        </w:rPr>
        <w:t>Corynebacterium minutissimum</w:t>
      </w:r>
      <w:r>
        <w:rPr>
          <w:i/>
          <w:iCs/>
        </w:rPr>
        <w:t>).</w:t>
      </w:r>
      <w:r>
        <w:t xml:space="preserve"> La tiña de los pies muy a menudo se acompaña de tiña de la ingle.</w:t>
      </w:r>
    </w:p>
    <w:p w14:paraId="0A8C14F7" w14:textId="77777777" w:rsidR="00924992" w:rsidRDefault="00924992">
      <w:pPr>
        <w:pStyle w:val="BodyText"/>
        <w:spacing w:line="276" w:lineRule="auto"/>
        <w:ind w:firstLine="360"/>
      </w:pPr>
      <w:r>
        <w:t xml:space="preserve">La tiña de los pies y otras micosis pueden acompañarse de una reacción de hipersensibilidad a los hongos (la reacción dermatofítide o de ide) y como resultado pueden surgir erupciones vesiculosas en palmas y lados de los dedos; a veces se acompaña de una erupción vesiculosa eritematosa en las extremidades y el tronco. </w:t>
      </w:r>
      <w:r>
        <w:rPr>
          <w:b/>
          <w:bCs/>
        </w:rPr>
        <w:t>C</w:t>
      </w:r>
      <w:r>
        <w:rPr>
          <w:b/>
          <w:bCs/>
          <w:sz w:val="13"/>
          <w:szCs w:val="13"/>
        </w:rPr>
        <w:t>AUSAS</w:t>
      </w:r>
      <w:r>
        <w:rPr>
          <w:b/>
          <w:bCs/>
        </w:rPr>
        <w:t xml:space="preserve">: </w:t>
      </w:r>
      <w:r>
        <w:t xml:space="preserve">Las causas más frecuentes son los hongos </w:t>
      </w:r>
      <w:r>
        <w:rPr>
          <w:rFonts w:ascii="Times New Roman" w:eastAsia="Times New Roman" w:hAnsi="Times New Roman" w:cs="Times New Roman"/>
          <w:i/>
          <w:iCs/>
          <w:sz w:val="16"/>
          <w:szCs w:val="16"/>
        </w:rPr>
        <w:t>Trichophyton rubrum</w:t>
      </w:r>
      <w:r>
        <w:rPr>
          <w:i/>
          <w:iCs/>
        </w:rPr>
        <w:t xml:space="preserve">, </w:t>
      </w:r>
      <w:r>
        <w:rPr>
          <w:rFonts w:ascii="Times New Roman" w:eastAsia="Times New Roman" w:hAnsi="Times New Roman" w:cs="Times New Roman"/>
          <w:i/>
          <w:iCs/>
          <w:sz w:val="16"/>
          <w:szCs w:val="16"/>
        </w:rPr>
        <w:t>Trichophyton mentagrophytes</w:t>
      </w:r>
      <w:r>
        <w:t xml:space="preserve"> y </w:t>
      </w:r>
      <w:r>
        <w:rPr>
          <w:rFonts w:ascii="Times New Roman" w:eastAsia="Times New Roman" w:hAnsi="Times New Roman" w:cs="Times New Roman"/>
          <w:i/>
          <w:iCs/>
          <w:sz w:val="16"/>
          <w:szCs w:val="16"/>
        </w:rPr>
        <w:t>Epidermophyton floccosum</w:t>
      </w:r>
      <w:r>
        <w:rPr>
          <w:i/>
          <w:iCs/>
        </w:rPr>
        <w:t>.</w:t>
      </w:r>
    </w:p>
    <w:p w14:paraId="3B0CEEB2" w14:textId="77777777" w:rsidR="00924992" w:rsidRDefault="00924992">
      <w:pPr>
        <w:pStyle w:val="BodyText"/>
        <w:ind w:firstLine="0"/>
      </w:pPr>
      <w:r>
        <w:rPr>
          <w:b/>
          <w:bCs/>
        </w:rPr>
        <w:t>A</w:t>
      </w:r>
      <w:r>
        <w:rPr>
          <w:b/>
          <w:bCs/>
          <w:sz w:val="13"/>
          <w:szCs w:val="13"/>
        </w:rPr>
        <w:t>SPECTOS EPIDEMIOLÓGICOS</w:t>
      </w:r>
      <w:r>
        <w:rPr>
          <w:b/>
          <w:bCs/>
        </w:rPr>
        <w:t xml:space="preserve">: </w:t>
      </w:r>
      <w:r>
        <w:t>La tiña de los pies es una afección muy frecuente en adolescentes y adultos de todo el mundo, pero es relativamente rara en niños de corta edad. Los hongos se transmiten por contacto con escamas cutáneas que los contienen o con hongos en zonas húmedas como piscinas, salas de gabinetes o de regaderas. La tiña de los pies tiende a difundirse en todo el entorno hogareño entre los miembros del círculo familiar. Es transmisible durante todo el tiempo en que esté presente la infección.</w:t>
      </w:r>
    </w:p>
    <w:p w14:paraId="7A2DE785" w14:textId="77777777" w:rsidR="00924992" w:rsidRDefault="00924992">
      <w:pPr>
        <w:pStyle w:val="BodyText"/>
        <w:ind w:firstLine="360"/>
      </w:pPr>
      <w:r>
        <w:t xml:space="preserve">Se desconoce el </w:t>
      </w:r>
      <w:r>
        <w:rPr>
          <w:b/>
          <w:bCs/>
        </w:rPr>
        <w:t>periodo de incubación</w:t>
      </w:r>
      <w:r>
        <w:t>.</w:t>
      </w:r>
    </w:p>
    <w:p w14:paraId="4E17D6BF" w14:textId="77777777" w:rsidR="00924992" w:rsidRDefault="00924992">
      <w:pPr>
        <w:pStyle w:val="BodyText"/>
        <w:ind w:firstLine="0"/>
      </w:pPr>
      <w:r>
        <w:rPr>
          <w:b/>
          <w:bCs/>
        </w:rPr>
        <w:t>D</w:t>
      </w:r>
      <w:r>
        <w:rPr>
          <w:b/>
          <w:bCs/>
          <w:sz w:val="13"/>
          <w:szCs w:val="13"/>
        </w:rPr>
        <w:t>IAGNÓSTICO</w:t>
      </w:r>
      <w:r>
        <w:rPr>
          <w:b/>
          <w:bCs/>
        </w:rPr>
        <w:t xml:space="preserve">: </w:t>
      </w:r>
      <w:r>
        <w:t>La tiña de los pies por lo común se diagnostica por medio de sus manifestaciones clínicas, y su presencia se confirma con el examen microscópico de material cutáneo obtenido por raspado y en la preparación húmeda con hidróxido de potasio. El empleo del medio para dermatofitos es un procedimiento fiable, sencillo y barato para el diagnóstico en casos complicados o que no mejoran. El material obtenido por raspado se inocula directamente en el medio de cultivo y se incuba a temperatura ambiente. Después de una a dos semanas, el indicador rojo fenol en el agar cambiará su color de amarillo a rojo en la zona que rodea la colonia de dermatofitos. Si es necesario, también se confirma el diagnóstico por cultivo en dextrosa-agar de Sabouraud. La infección de la uña se corrobora por examen microscópico directo y cultivo del material subungueal descamado (para hongos).</w:t>
      </w:r>
    </w:p>
    <w:p w14:paraId="039639ED" w14:textId="77777777" w:rsidR="00924992" w:rsidRDefault="00924992">
      <w:pPr>
        <w:pStyle w:val="BodyText"/>
        <w:ind w:firstLine="0"/>
      </w:pPr>
      <w:r>
        <w:rPr>
          <w:b/>
          <w:bCs/>
        </w:rPr>
        <w:t>T</w:t>
      </w:r>
      <w:r>
        <w:rPr>
          <w:b/>
          <w:bCs/>
          <w:sz w:val="13"/>
          <w:szCs w:val="13"/>
        </w:rPr>
        <w:t>RATAMIENTO</w:t>
      </w:r>
      <w:r>
        <w:rPr>
          <w:b/>
          <w:bCs/>
        </w:rPr>
        <w:t xml:space="preserve">: </w:t>
      </w:r>
      <w:r>
        <w:t>Cabe utilizar contra infecciones activas (véase “Productos tópicos contra micosis superficiales”, sección 4) la aplicación de nitrato de miconazol, haloprogin, clotrimazol, ciclopirox olamina, terbinafina, butenafina o un preparado de tolnaftato dos veces al día, o ketoconazol, nitrato de econazol, clorhidrato de naftifina, nitrato de oxiconazol o un preparado de nitrato de sulconazol una vez al día durante dos a tres semanas. Las lesiones vesiculosas agudas pueden ser tratadas con el uso intermitente de compresas húmedas no cubiertas (p. ej., con solución de Burrow, 1:80). También hay que tratar conjuntamente la tiña de la ingle en caso de haberla (véase “Tiña inguinal”, en esta sección).</w:t>
      </w:r>
    </w:p>
    <w:p w14:paraId="3538F916" w14:textId="77777777" w:rsidR="00924992" w:rsidRDefault="00924992">
      <w:pPr>
        <w:pStyle w:val="BodyText"/>
        <w:ind w:firstLine="360"/>
      </w:pPr>
      <w:r>
        <w:t xml:space="preserve">A veces se necesita la ingestión de griseofulvina durante seis a ocho semanas para tratar la tiña grave, crónica o recalcitrante de los pies. También otros fármacos eficaces contra esa forma de tiña que no mejora con medicamentos tópicos sería el itraconazol o la terbinafina ingeribles, pero en Estados Unidos la </w:t>
      </w:r>
      <w:r>
        <w:rPr>
          <w:rFonts w:ascii="Times New Roman" w:eastAsia="Times New Roman" w:hAnsi="Times New Roman" w:cs="Times New Roman"/>
          <w:i/>
          <w:iCs/>
          <w:sz w:val="16"/>
          <w:szCs w:val="16"/>
        </w:rPr>
        <w:t>Food and Drug Administration</w:t>
      </w:r>
      <w:r>
        <w:t xml:space="preserve"> no ha aprobado su uso para tal indicación. Las reacciones de ide (de respuesta de hipersensibilidad) son tratadas por medio de compresas húmedas, corticosteroides tópicos y a veces de acción sistémica y erradicación del punto primario de origen de la infección.</w:t>
      </w:r>
    </w:p>
    <w:p w14:paraId="65B89F7A" w14:textId="77777777" w:rsidR="00924992" w:rsidRDefault="00924992">
      <w:pPr>
        <w:pStyle w:val="BodyText"/>
        <w:ind w:firstLine="360"/>
      </w:pPr>
      <w:r>
        <w:t>La recidiva se evita por medio de higiene adecuada de los pies que incluye hacer que estén secos y fríos, la limpieza suave, secar los surcos interdigitales, el empleo de talco antimicótico absorbente, ventilación frecuente de zonas afectadas y evitar el uso de calzado oclusivo y calcetines de nylon u otras telas que no permiten la disipación de la humedad.</w:t>
      </w:r>
    </w:p>
    <w:p w14:paraId="76CAE708" w14:textId="77777777" w:rsidR="00924992" w:rsidRDefault="00924992">
      <w:pPr>
        <w:pStyle w:val="BodyText"/>
        <w:spacing w:after="100"/>
        <w:ind w:firstLine="360"/>
      </w:pPr>
      <w:r>
        <w:t xml:space="preserve">En lo pasado, casi todas las infecciones ungueales, en particular las de los dedos del pie, eran muy resistentes a la griseofulvina ingerible. Estudios en adultos han demostrado una cifra pequeña de cura después de la ingestión de itraconazol, terbinafina o fluconazol. Sería recomendable practicar más estudios sobre la inocuidad y eficacia de tales fármacos en niños, antes de usarlos. Las recidivas son frecuentes. La eliminación de la lámina ungueal, seguida del uso de la terapia con productos ingeribles en el lapso en que crece de nuevo tal estructura es útil a veces para curar casos resistentes. </w:t>
      </w:r>
      <w:r>
        <w:rPr>
          <w:b/>
          <w:bCs/>
        </w:rPr>
        <w:t>A</w:t>
      </w:r>
      <w:r>
        <w:rPr>
          <w:b/>
          <w:bCs/>
          <w:sz w:val="13"/>
          <w:szCs w:val="13"/>
        </w:rPr>
        <w:t xml:space="preserve">ISLAMIENTO </w:t>
      </w:r>
      <w:r>
        <w:rPr>
          <w:b/>
          <w:bCs/>
          <w:smallCaps/>
          <w:sz w:val="16"/>
          <w:szCs w:val="16"/>
        </w:rPr>
        <w:t>del</w:t>
      </w:r>
      <w:r>
        <w:rPr>
          <w:b/>
          <w:bCs/>
          <w:sz w:val="13"/>
          <w:szCs w:val="13"/>
        </w:rPr>
        <w:t xml:space="preserve"> PACIENTE HOSPITALIZADO</w:t>
      </w:r>
      <w:r>
        <w:rPr>
          <w:b/>
          <w:bCs/>
        </w:rPr>
        <w:t xml:space="preserve">: </w:t>
      </w:r>
      <w:r>
        <w:t xml:space="preserve">Se recomienda seguir las precauciones estándar. </w:t>
      </w:r>
      <w:r>
        <w:rPr>
          <w:b/>
          <w:bCs/>
        </w:rPr>
        <w:t>M</w:t>
      </w:r>
      <w:r>
        <w:rPr>
          <w:b/>
          <w:bCs/>
          <w:sz w:val="13"/>
          <w:szCs w:val="13"/>
        </w:rPr>
        <w:t>EDIDAS PREVENTIVAS</w:t>
      </w:r>
      <w:r>
        <w:rPr>
          <w:b/>
          <w:bCs/>
        </w:rPr>
        <w:t xml:space="preserve">: </w:t>
      </w:r>
      <w:r>
        <w:t>El tratamiento de personas con infecciones activas debe disminuir la transmisión. Será mejor que los niños con infección activa no usen zonas públicas en que fácilmente ocurre la transmisión (como tinas). Los “baños” de pies con sustancias químicas no son útiles y facilitan la propagación de la enfermedad. La recidiva después del tratamiento es frecuente, por lo que es importante la higiene apropiada de los pies (como se describe en la sección de “Tratamiento”, párrafos anteriores en este resumen). Se recomendará a los pacientes que se sequen la zona de la ingle antes de secar los pies para no inocular dermatofitos de la tiña de los pies en la zona comentada.</w:t>
      </w:r>
    </w:p>
    <w:p w14:paraId="610E0455" w14:textId="77777777" w:rsidR="00924992" w:rsidRDefault="00924992">
      <w:pPr>
        <w:pStyle w:val="Bodytext70"/>
        <w:spacing w:after="0"/>
      </w:pPr>
      <w:r>
        <w:t>Tiña versicolor</w:t>
      </w:r>
    </w:p>
    <w:p w14:paraId="71C91667" w14:textId="77777777" w:rsidR="00924992" w:rsidRDefault="00924992">
      <w:pPr>
        <w:pStyle w:val="Other0"/>
        <w:spacing w:line="252" w:lineRule="auto"/>
        <w:ind w:firstLine="0"/>
        <w:rPr>
          <w:sz w:val="20"/>
          <w:szCs w:val="20"/>
        </w:rPr>
      </w:pPr>
      <w:r>
        <w:rPr>
          <w:rFonts w:ascii="Arial" w:eastAsia="Arial" w:hAnsi="Arial" w:cs="Arial"/>
          <w:b/>
          <w:bCs/>
          <w:w w:val="70"/>
          <w:sz w:val="20"/>
          <w:szCs w:val="20"/>
        </w:rPr>
        <w:t>(pitiriasis versicolor)</w:t>
      </w:r>
    </w:p>
    <w:p w14:paraId="4A6D7257" w14:textId="77777777" w:rsidR="00924992" w:rsidRDefault="00924992">
      <w:pPr>
        <w:pStyle w:val="BodyText"/>
        <w:ind w:firstLine="0"/>
      </w:pPr>
      <w:r>
        <w:rPr>
          <w:b/>
          <w:bCs/>
        </w:rPr>
        <w:t>M</w:t>
      </w:r>
      <w:r>
        <w:rPr>
          <w:b/>
          <w:bCs/>
          <w:sz w:val="13"/>
          <w:szCs w:val="13"/>
        </w:rPr>
        <w:t>ANIFESTACIONES CLÍNICAS</w:t>
      </w:r>
      <w:r>
        <w:rPr>
          <w:b/>
          <w:bCs/>
        </w:rPr>
        <w:t xml:space="preserve">: </w:t>
      </w:r>
      <w:r>
        <w:t xml:space="preserve">La pitiriasis versicolor (llamada antes tiña versicolor) es una infección superficial frecuente por levaduras; aparece en la piel y se caracteriza por múltiples lesiones maculares irregulares, ovales y exfoliativas distribuidas a menudo en la mitad superior del tronco, zonas proximales de los brazos y cuello. El ataque de la cara es particularmente frecuente en niños. Las lesiones pueden ser hipopigmentadas o hiperpigmentadas (de color marrón claro o pardo). Las lesiones no se “broncean” en el verano, y en el invierno son relativamente más oscuras, razón por la cual se les ha dado el nombre de </w:t>
      </w:r>
      <w:r>
        <w:rPr>
          <w:rFonts w:ascii="Times New Roman" w:eastAsia="Times New Roman" w:hAnsi="Times New Roman" w:cs="Times New Roman"/>
          <w:i/>
          <w:iCs/>
          <w:sz w:val="16"/>
          <w:szCs w:val="16"/>
        </w:rPr>
        <w:t>versicolor.</w:t>
      </w:r>
      <w:r>
        <w:t xml:space="preserve"> Los cuadros comunes que a menudo se confunden con la tiña en cuestión incluyen pitiriasis alba, hipopigmentación posinflamatoria, vitiligo, melasma, dermatitis seborreica, pitiriasis rósea y sífilis secundaria.</w:t>
      </w:r>
    </w:p>
    <w:p w14:paraId="63C8566F" w14:textId="77777777" w:rsidR="00924992" w:rsidRDefault="00924992">
      <w:pPr>
        <w:pStyle w:val="BodyText"/>
        <w:ind w:firstLine="0"/>
      </w:pPr>
      <w:r>
        <w:rPr>
          <w:b/>
          <w:bCs/>
        </w:rPr>
        <w:t>C</w:t>
      </w:r>
      <w:r>
        <w:rPr>
          <w:b/>
          <w:bCs/>
          <w:sz w:val="13"/>
          <w:szCs w:val="13"/>
        </w:rPr>
        <w:t>AUSAS</w:t>
      </w:r>
      <w:r>
        <w:rPr>
          <w:b/>
          <w:bCs/>
        </w:rPr>
        <w:t xml:space="preserve">: </w:t>
      </w:r>
      <w:r>
        <w:t xml:space="preserve">La causa de la pitiriasis versicolor es </w:t>
      </w:r>
      <w:r>
        <w:rPr>
          <w:rFonts w:ascii="Times New Roman" w:eastAsia="Times New Roman" w:hAnsi="Times New Roman" w:cs="Times New Roman"/>
          <w:i/>
          <w:iCs/>
          <w:sz w:val="16"/>
          <w:szCs w:val="16"/>
        </w:rPr>
        <w:t>Malassezia furfUr</w:t>
      </w:r>
      <w:r>
        <w:rPr>
          <w:i/>
          <w:iCs/>
        </w:rPr>
        <w:t>,</w:t>
      </w:r>
      <w:r>
        <w:t xml:space="preserve"> una levadura dimórfica que depende de lípidos y que existe en la piel sana en la fase mencionada, pero que origina lesiones clínicas sólo cuando hay una proliferación intensa de hifas. El calor húmedo y las secreciones sebáceas que tienen lípidos estimulan la proliferación rápida y excesiva.</w:t>
      </w:r>
    </w:p>
    <w:p w14:paraId="17A8D092" w14:textId="77777777" w:rsidR="00924992" w:rsidRDefault="00924992">
      <w:pPr>
        <w:pStyle w:val="BodyText"/>
        <w:ind w:firstLine="0"/>
        <w:sectPr w:rsidR="00924992" w:rsidSect="00924992">
          <w:headerReference w:type="even" r:id="rId51"/>
          <w:headerReference w:type="default" r:id="rId52"/>
          <w:footerReference w:type="even" r:id="rId53"/>
          <w:footerReference w:type="default" r:id="rId54"/>
          <w:headerReference w:type="first" r:id="rId55"/>
          <w:footerReference w:type="first" r:id="rId56"/>
          <w:pgSz w:w="8501" w:h="13022"/>
          <w:pgMar w:top="898" w:right="780" w:bottom="509" w:left="828" w:header="0" w:footer="3" w:gutter="0"/>
          <w:pgNumType w:start="639"/>
          <w:cols w:space="720"/>
          <w:noEndnote/>
          <w:titlePg/>
          <w:docGrid w:linePitch="360"/>
          <w15:footnoteColumns w:val="1"/>
        </w:sectPr>
      </w:pPr>
      <w:r>
        <w:rPr>
          <w:b/>
          <w:bCs/>
        </w:rPr>
        <w:t>A</w:t>
      </w:r>
      <w:r>
        <w:rPr>
          <w:b/>
          <w:bCs/>
          <w:sz w:val="13"/>
          <w:szCs w:val="13"/>
        </w:rPr>
        <w:t>SPECTOS EPIDEMIOLÓGICOS</w:t>
      </w:r>
      <w:r>
        <w:rPr>
          <w:b/>
          <w:bCs/>
        </w:rPr>
        <w:t xml:space="preserve">: </w:t>
      </w:r>
      <w:r>
        <w:t xml:space="preserve">La pitiriasis versicolor aparece a nivel mundial, pero lo hace con mayor frecuencia en áreas tropicales y subtropicales. Básicamente es un </w:t>
      </w:r>
    </w:p>
    <w:p w14:paraId="42562843" w14:textId="77777777" w:rsidR="00924992" w:rsidRDefault="00924992">
      <w:pPr>
        <w:pStyle w:val="BodyText"/>
        <w:ind w:firstLine="0"/>
      </w:pPr>
      <w:r>
        <w:t xml:space="preserve">contra esa forma de tiña que no mejora con medicamentos tópicos sería el itraconazol o la terbinafina ingeribles, pero en Estados Unidos la </w:t>
      </w:r>
      <w:r>
        <w:rPr>
          <w:rFonts w:ascii="Times New Roman" w:eastAsia="Times New Roman" w:hAnsi="Times New Roman" w:cs="Times New Roman"/>
          <w:i/>
          <w:iCs/>
          <w:sz w:val="16"/>
          <w:szCs w:val="16"/>
        </w:rPr>
        <w:t>Food and Drug Administration</w:t>
      </w:r>
      <w:r>
        <w:t xml:space="preserve"> no ha aprobado su uso para tal indicación. Las reacciones de ide (de respuesta de hipersensibilidad) son tratadas por medio de compresas húmedas, corticosteroides tópicos y a veces de acción sistémica y erradicación del punto primario de origen de la infección.</w:t>
      </w:r>
    </w:p>
    <w:p w14:paraId="7E536728" w14:textId="77777777" w:rsidR="00924992" w:rsidRDefault="00924992">
      <w:pPr>
        <w:pStyle w:val="BodyText"/>
        <w:ind w:firstLine="360"/>
      </w:pPr>
      <w:r>
        <w:t>La recidiva se evita por medio de higiene adecuada de los pies que incluye hacer que estén secos y fríos, la limpieza suave, secar los surcos interdigitales, el empleo de talco antimicótico absorbente, ventilación frecuente de zonas afectadas y evitar el uso de calzado oclusivo y calcetines de nylon u otras telas que no permiten la disipación de la humedad.</w:t>
      </w:r>
    </w:p>
    <w:p w14:paraId="60A95B0C" w14:textId="77777777" w:rsidR="00924992" w:rsidRDefault="00924992">
      <w:pPr>
        <w:pStyle w:val="BodyText"/>
        <w:spacing w:after="100"/>
        <w:ind w:firstLine="360"/>
      </w:pPr>
      <w:r>
        <w:t xml:space="preserve">En lo pasado, casi todas las infecciones ungueales, en particular las de los dedos del pie, eran muy resistentes a la griseofulvina ingerible. Estudios en adultos han demostrado una cifra pequeña de cura después de la ingestión de itraconazol, terbinafina o fluconazol. Sería recomendable practicar más estudios sobre la inocuidad y eficacia de tales fármacos en niños, antes de usarlos. Las recidivas son frecuentes. La eliminación de la lámina ungueal, seguida del uso de la terapia con productos ingeribles en el lapso en que crece de nuevo tal estructura es útil a veces para curar casos resistentes. </w:t>
      </w:r>
      <w:r>
        <w:rPr>
          <w:b/>
          <w:bCs/>
        </w:rPr>
        <w:t>A</w:t>
      </w:r>
      <w:r>
        <w:rPr>
          <w:b/>
          <w:bCs/>
          <w:sz w:val="13"/>
          <w:szCs w:val="13"/>
        </w:rPr>
        <w:t xml:space="preserve">ISLAMIENTO </w:t>
      </w:r>
      <w:r>
        <w:rPr>
          <w:b/>
          <w:bCs/>
          <w:smallCaps/>
          <w:sz w:val="16"/>
          <w:szCs w:val="16"/>
        </w:rPr>
        <w:t>del</w:t>
      </w:r>
      <w:r>
        <w:rPr>
          <w:b/>
          <w:bCs/>
          <w:sz w:val="13"/>
          <w:szCs w:val="13"/>
        </w:rPr>
        <w:t xml:space="preserve"> PACIENTE HOSPITALIZADO</w:t>
      </w:r>
      <w:r>
        <w:rPr>
          <w:b/>
          <w:bCs/>
        </w:rPr>
        <w:t xml:space="preserve">: </w:t>
      </w:r>
      <w:r>
        <w:t xml:space="preserve">Se recomienda seguir las precauciones estándar. </w:t>
      </w:r>
      <w:r>
        <w:rPr>
          <w:b/>
          <w:bCs/>
        </w:rPr>
        <w:t>M</w:t>
      </w:r>
      <w:r>
        <w:rPr>
          <w:b/>
          <w:bCs/>
          <w:sz w:val="13"/>
          <w:szCs w:val="13"/>
        </w:rPr>
        <w:t>EDIDAS PREVENTIVAS</w:t>
      </w:r>
      <w:r>
        <w:rPr>
          <w:b/>
          <w:bCs/>
        </w:rPr>
        <w:t xml:space="preserve">: </w:t>
      </w:r>
      <w:r>
        <w:t>El tratamiento de personas con infecciones activas debe disminuir la transmisión. Será mejor que los niños con infección activa no usen zonas públicas en que fácilmente ocurre la transmisión (como tinas). Los “baños” de pies con sustancias químicas no son útiles y facilitan la propagación de la enfermedad. La recidiva después del tratamiento es frecuente, por lo que es importante la higiene apropiada de los pies (como se describe en la sección de “Tratamiento”, párrafos anteriores en este resumen). Se recomendará a los pacientes que se sequen la zona de la ingle antes de secar los pies para no inocular dermatofitos de la tiña de los pies en la zona comentada.</w:t>
      </w:r>
    </w:p>
    <w:p w14:paraId="5C16BC64" w14:textId="77777777" w:rsidR="00924992" w:rsidRDefault="00924992">
      <w:pPr>
        <w:pStyle w:val="Bodytext70"/>
        <w:spacing w:after="0"/>
      </w:pPr>
      <w:r>
        <w:t>Tiña versicolor</w:t>
      </w:r>
    </w:p>
    <w:p w14:paraId="6F462AC8" w14:textId="77777777" w:rsidR="00924992" w:rsidRDefault="00924992">
      <w:pPr>
        <w:pStyle w:val="Other0"/>
        <w:spacing w:line="252" w:lineRule="auto"/>
        <w:ind w:firstLine="0"/>
        <w:rPr>
          <w:sz w:val="20"/>
          <w:szCs w:val="20"/>
        </w:rPr>
      </w:pPr>
      <w:r>
        <w:rPr>
          <w:rFonts w:ascii="Arial" w:eastAsia="Arial" w:hAnsi="Arial" w:cs="Arial"/>
          <w:b/>
          <w:bCs/>
          <w:w w:val="70"/>
          <w:sz w:val="20"/>
          <w:szCs w:val="20"/>
        </w:rPr>
        <w:t>(pitiriasis versicolor)</w:t>
      </w:r>
    </w:p>
    <w:p w14:paraId="71E42E6B" w14:textId="77777777" w:rsidR="00924992" w:rsidRDefault="00924992">
      <w:pPr>
        <w:pStyle w:val="BodyText"/>
        <w:ind w:firstLine="0"/>
      </w:pPr>
      <w:r>
        <w:rPr>
          <w:b/>
          <w:bCs/>
        </w:rPr>
        <w:t>M</w:t>
      </w:r>
      <w:r>
        <w:rPr>
          <w:b/>
          <w:bCs/>
          <w:sz w:val="13"/>
          <w:szCs w:val="13"/>
        </w:rPr>
        <w:t>ANIFESTACIONES CLÍNICAS</w:t>
      </w:r>
      <w:r>
        <w:rPr>
          <w:b/>
          <w:bCs/>
        </w:rPr>
        <w:t xml:space="preserve">: </w:t>
      </w:r>
      <w:r>
        <w:t xml:space="preserve">La pitiriasis versicolor (llamada antes tiña versicolor) es una infección superficial frecuente por levaduras; aparece en la piel y se caracteriza por múltiples lesiones maculares irregulares, ovales y exfoliativas distribuidas a menudo en la mitad superior del tronco, zonas proximales de los brazos y cuello. El ataque de la cara es particularmente frecuente en niños. Las lesiones pueden ser hipopigmentadas o hiperpigmentadas (de color marrón claro o pardo). Las lesiones no se “broncean” en el verano, y en el invierno son relativamente más oscuras, razón por la cual se les ha dado el nombre de </w:t>
      </w:r>
      <w:r>
        <w:rPr>
          <w:rFonts w:ascii="Times New Roman" w:eastAsia="Times New Roman" w:hAnsi="Times New Roman" w:cs="Times New Roman"/>
          <w:i/>
          <w:iCs/>
          <w:sz w:val="16"/>
          <w:szCs w:val="16"/>
        </w:rPr>
        <w:t>versicolor.</w:t>
      </w:r>
      <w:r>
        <w:t xml:space="preserve"> Los cuadros comunes que a menudo se confunden con la tiña en cuestión incluyen pitiriasis alba, hipopigmentación posinflamatoria, vitiligo, melasma, dermatitis seborreica, pitiriasis rósea y sífilis secundaria.</w:t>
      </w:r>
    </w:p>
    <w:p w14:paraId="59D5B123" w14:textId="77777777" w:rsidR="00924992" w:rsidRDefault="00924992">
      <w:pPr>
        <w:pStyle w:val="BodyText"/>
        <w:ind w:firstLine="0"/>
      </w:pPr>
      <w:r>
        <w:rPr>
          <w:b/>
          <w:bCs/>
        </w:rPr>
        <w:t>C</w:t>
      </w:r>
      <w:r>
        <w:rPr>
          <w:b/>
          <w:bCs/>
          <w:sz w:val="13"/>
          <w:szCs w:val="13"/>
        </w:rPr>
        <w:t>AUSAS</w:t>
      </w:r>
      <w:r>
        <w:rPr>
          <w:b/>
          <w:bCs/>
        </w:rPr>
        <w:t xml:space="preserve">: </w:t>
      </w:r>
      <w:r>
        <w:t xml:space="preserve">La causa de la pitiriasis versicolor es </w:t>
      </w:r>
      <w:r>
        <w:rPr>
          <w:rFonts w:ascii="Times New Roman" w:eastAsia="Times New Roman" w:hAnsi="Times New Roman" w:cs="Times New Roman"/>
          <w:i/>
          <w:iCs/>
          <w:sz w:val="16"/>
          <w:szCs w:val="16"/>
        </w:rPr>
        <w:t>Malassezia furfUr</w:t>
      </w:r>
      <w:r>
        <w:rPr>
          <w:i/>
          <w:iCs/>
        </w:rPr>
        <w:t>,</w:t>
      </w:r>
      <w:r>
        <w:t xml:space="preserve"> una levadura dimórfica que depende de lípidos y que existe en la piel sana en la fase mencionada, pero que origina lesiones clínicas sólo cuando hay una proliferación intensa de hifas. El calor húmedo y las secreciones sebáceas que tienen lípidos estimulan la proliferación rápida y excesiva.</w:t>
      </w:r>
    </w:p>
    <w:p w14:paraId="75F965B3" w14:textId="77777777" w:rsidR="00924992" w:rsidRDefault="00924992">
      <w:pPr>
        <w:pStyle w:val="BodyText"/>
        <w:ind w:firstLine="0"/>
      </w:pPr>
      <w:r>
        <w:rPr>
          <w:b/>
          <w:bCs/>
        </w:rPr>
        <w:t>A</w:t>
      </w:r>
      <w:r>
        <w:rPr>
          <w:b/>
          <w:bCs/>
          <w:sz w:val="13"/>
          <w:szCs w:val="13"/>
        </w:rPr>
        <w:t>SPECTOS EPIDEMIOLÓGICOS</w:t>
      </w:r>
      <w:r>
        <w:rPr>
          <w:b/>
          <w:bCs/>
        </w:rPr>
        <w:t xml:space="preserve">: </w:t>
      </w:r>
      <w:r>
        <w:t>La pitiriasis versicolor aparece a nivel mundial, pero lo hace con mayor frecuencia en áreas tropicales y subtropicales. Básicamente es un trastorno de adolescentes y adultos jóvenes, pero también ataca niños prepúberes y lactantes. La levadura se transmite por contacto personal en periodos de exfoliación.</w:t>
      </w:r>
    </w:p>
    <w:p w14:paraId="7BBF89FF" w14:textId="77777777" w:rsidR="00924992" w:rsidRDefault="00924992">
      <w:pPr>
        <w:pStyle w:val="BodyText"/>
        <w:ind w:firstLine="360"/>
      </w:pPr>
      <w:r>
        <w:t xml:space="preserve">Se desconoce el </w:t>
      </w:r>
      <w:r>
        <w:rPr>
          <w:b/>
          <w:bCs/>
        </w:rPr>
        <w:t>periodo de incubación</w:t>
      </w:r>
      <w:r>
        <w:t>.</w:t>
      </w:r>
    </w:p>
    <w:p w14:paraId="7E1DF325" w14:textId="77777777" w:rsidR="00924992" w:rsidRDefault="00924992">
      <w:pPr>
        <w:pStyle w:val="BodyText"/>
        <w:ind w:firstLine="0"/>
      </w:pPr>
      <w:r>
        <w:rPr>
          <w:b/>
          <w:bCs/>
        </w:rPr>
        <w:t>D</w:t>
      </w:r>
      <w:r>
        <w:rPr>
          <w:b/>
          <w:bCs/>
          <w:sz w:val="13"/>
          <w:szCs w:val="13"/>
        </w:rPr>
        <w:t>IAGNÓSTICO</w:t>
      </w:r>
      <w:r>
        <w:rPr>
          <w:b/>
          <w:bCs/>
        </w:rPr>
        <w:t xml:space="preserve">: </w:t>
      </w:r>
      <w:r>
        <w:t xml:space="preserve">El aspecto clínico de las lesiones por lo común permite el diagnóstico. Las zonas afectadas muestran un color amarillo fluorescente cuando se les examina con luz de Wood. El examen microscópico de raspadura de la piel en una preparación húmeda con hidróxido de potasio o teñida con azul de metileno o tinción de May-Grünwald-Giemsa permiten identificar los cúmulos patognomónicos de células de levadura e hifas (“imagen de espagueti y albondiquetas”). La proliferación de la levadura en cultivo obliga a contar con un sustrato de ácidos grasos de cadena larga, lo cual se obtiene la colocar aceites de oliva sobre el medio de dextrosa-agar de Sabouraud. </w:t>
      </w:r>
      <w:r>
        <w:rPr>
          <w:b/>
          <w:bCs/>
        </w:rPr>
        <w:t>T</w:t>
      </w:r>
      <w:r>
        <w:rPr>
          <w:b/>
          <w:bCs/>
          <w:sz w:val="13"/>
          <w:szCs w:val="13"/>
        </w:rPr>
        <w:t>RATAMIENTO</w:t>
      </w:r>
      <w:r>
        <w:rPr>
          <w:b/>
          <w:bCs/>
        </w:rPr>
        <w:t xml:space="preserve">: </w:t>
      </w:r>
      <w:r>
        <w:t xml:space="preserve">El tratamiento tradicional más usado ha sido la aplicación de sulfuro de selenio en la forma de loción a 2.5% o champú a 1%. Los preparados mencionados se aplican en una capa fina que cubre la superficie corporal de la cara a las rodillas todos los días durante 30 min, durante una semana, a la que seguirán aplicaciones mensuales durante tres meses para evitar las recidivas. El champú de ketoconazol a 2% en una sola aplicación diaria durante uno a tres días también es otro método eficaz. Otros preparados tópicos con eficacia terapéutica incluyen el hiposulfito o el tiosulfato de sodio en concentraciones de 15 a 25% (como sería la loción Tinver) aplicada dos veces al día durante dos a cuatro semanas. Los pequeños focos de infección pueden ser tratados con antimicóticos tópicos como ciclopirox olamina, clotrimazol, nitrato de econazol, haloprogin, ketoconazol, nitrato de miconazol o clorhidrato de naftifina (véase “Productos tópicos contra micosis superficiales”, sección 4). </w:t>
      </w:r>
      <w:r>
        <w:rPr>
          <w:rFonts w:ascii="Times New Roman" w:eastAsia="Times New Roman" w:hAnsi="Times New Roman" w:cs="Times New Roman"/>
          <w:i/>
          <w:iCs/>
          <w:sz w:val="16"/>
          <w:szCs w:val="16"/>
        </w:rPr>
        <w:t>M. furfur</w:t>
      </w:r>
      <w:r>
        <w:t xml:space="preserve"> es parte de la flora normal y por ello las recaídas son frecuentes. A veces se necesitan innumerables tratamientos tópicos.</w:t>
      </w:r>
    </w:p>
    <w:p w14:paraId="5E05C7DA" w14:textId="77777777" w:rsidR="00924992" w:rsidRDefault="00924992">
      <w:pPr>
        <w:pStyle w:val="BodyText"/>
        <w:spacing w:after="100" w:line="271" w:lineRule="auto"/>
        <w:ind w:firstLine="360"/>
      </w:pPr>
      <w:r>
        <w:t xml:space="preserve">El uso de antimicóticos ingeribles conlleva algunas ventajas en relación con los tratamientos tópicos, que incluyen facilidad de administración y duración más breve de la terapia, pero los productos orales son más caros y se acompañan de un mayor peligro de reacciones adversas. En adultos ha sido eficaz una sola dosis de ketoconazol (400 mg ingeridos) o fluconazol (400 mg ingeridos) o un ciclo de 200 mg de itraconazol ingeridos, una vez al día durante cinco días. Algunos expertos recomiendan que los niños reciban ketoconazol durante tres días y no una sola dosis que se da a los adultos. En el caso de las recomendaciones posológicas para niños respecto a ketoconazol, fluconazol e itraconazol consúltese: “Dosis recomendadas de antimicóticos parenterales e ingeribles”, sección 4. Los fármacos en cuestión no han sido estudiados ampliamente en niños en esta enfermedad y no han recibido la aprobación de la </w:t>
      </w:r>
      <w:r>
        <w:rPr>
          <w:rFonts w:ascii="Times New Roman" w:eastAsia="Times New Roman" w:hAnsi="Times New Roman" w:cs="Times New Roman"/>
          <w:i/>
          <w:iCs/>
          <w:sz w:val="16"/>
          <w:szCs w:val="16"/>
        </w:rPr>
        <w:t>Food and Drug Administration</w:t>
      </w:r>
      <w:r>
        <w:t xml:space="preserve"> para tal indicación. El ejercicio para incrementar la sudación y las concentraciones del medicamento en la piel pueden mejorar la eficacia de la terapia sistémica. Hay que notificar a los pacientes que a veces la reaparición de la pigmentación se demora varios meses después de haber terminado el tratamiento satisfactorio. </w:t>
      </w:r>
      <w:r>
        <w:rPr>
          <w:b/>
          <w:bCs/>
        </w:rPr>
        <w:t>A</w:t>
      </w:r>
      <w:r>
        <w:rPr>
          <w:b/>
          <w:bCs/>
          <w:sz w:val="13"/>
          <w:szCs w:val="13"/>
        </w:rPr>
        <w:t xml:space="preserve">ISLAMIENTO </w:t>
      </w:r>
      <w:r>
        <w:rPr>
          <w:b/>
          <w:bCs/>
          <w:smallCaps/>
          <w:sz w:val="16"/>
          <w:szCs w:val="16"/>
        </w:rPr>
        <w:t>del</w:t>
      </w:r>
      <w:r>
        <w:rPr>
          <w:b/>
          <w:bCs/>
          <w:sz w:val="13"/>
          <w:szCs w:val="13"/>
        </w:rPr>
        <w:t xml:space="preserve"> PACIENTE HOSPITALIZADO</w:t>
      </w:r>
      <w:r>
        <w:rPr>
          <w:b/>
          <w:bCs/>
        </w:rPr>
        <w:t xml:space="preserve">: </w:t>
      </w:r>
      <w:r>
        <w:t xml:space="preserve">Se recomiendan precauciones estándar. </w:t>
      </w:r>
      <w:r>
        <w:rPr>
          <w:b/>
          <w:bCs/>
        </w:rPr>
        <w:t>M</w:t>
      </w:r>
      <w:r>
        <w:rPr>
          <w:b/>
          <w:bCs/>
          <w:sz w:val="13"/>
          <w:szCs w:val="13"/>
        </w:rPr>
        <w:t>EDIDAS PREVENTIVAS</w:t>
      </w:r>
      <w:r>
        <w:rPr>
          <w:b/>
          <w:bCs/>
        </w:rPr>
        <w:t xml:space="preserve">: </w:t>
      </w:r>
      <w:r>
        <w:t>Es necesario tratar a personas infectadas.</w:t>
      </w:r>
    </w:p>
    <w:p w14:paraId="1ED0E850" w14:textId="77777777" w:rsidR="00924992" w:rsidRDefault="00924992">
      <w:pPr>
        <w:pStyle w:val="Bodytext70"/>
        <w:spacing w:after="0"/>
      </w:pPr>
      <w:r>
        <w:t>Tos ferina</w:t>
      </w:r>
    </w:p>
    <w:p w14:paraId="4F6D110A" w14:textId="77777777" w:rsidR="00924992" w:rsidRDefault="00924992">
      <w:pPr>
        <w:pStyle w:val="Other0"/>
        <w:spacing w:line="252" w:lineRule="auto"/>
        <w:ind w:firstLine="0"/>
        <w:rPr>
          <w:sz w:val="20"/>
          <w:szCs w:val="20"/>
        </w:rPr>
      </w:pPr>
      <w:r>
        <w:rPr>
          <w:rFonts w:ascii="Arial" w:eastAsia="Arial" w:hAnsi="Arial" w:cs="Arial"/>
          <w:b/>
          <w:bCs/>
          <w:w w:val="70"/>
          <w:sz w:val="20"/>
          <w:szCs w:val="20"/>
        </w:rPr>
        <w:t>(Pertusis)</w:t>
      </w:r>
    </w:p>
    <w:p w14:paraId="26338D84" w14:textId="77777777" w:rsidR="00924992" w:rsidRDefault="00924992">
      <w:pPr>
        <w:pStyle w:val="BodyText"/>
        <w:ind w:firstLine="0"/>
        <w:sectPr w:rsidR="00924992" w:rsidSect="00924992">
          <w:headerReference w:type="even" r:id="rId57"/>
          <w:headerReference w:type="default" r:id="rId58"/>
          <w:footerReference w:type="even" r:id="rId59"/>
          <w:footerReference w:type="default" r:id="rId60"/>
          <w:headerReference w:type="first" r:id="rId61"/>
          <w:footerReference w:type="first" r:id="rId62"/>
          <w:pgSz w:w="8501" w:h="13022"/>
          <w:pgMar w:top="898" w:right="780" w:bottom="509" w:left="828" w:header="0" w:footer="3" w:gutter="0"/>
          <w:pgNumType w:start="812"/>
          <w:cols w:space="720"/>
          <w:noEndnote/>
          <w:titlePg/>
          <w:docGrid w:linePitch="360"/>
          <w15:footnoteColumns w:val="1"/>
        </w:sectPr>
      </w:pPr>
      <w:r>
        <w:rPr>
          <w:b/>
          <w:bCs/>
        </w:rPr>
        <w:t>M</w:t>
      </w:r>
      <w:r>
        <w:rPr>
          <w:b/>
          <w:bCs/>
          <w:sz w:val="13"/>
          <w:szCs w:val="13"/>
        </w:rPr>
        <w:t>ANIFESTACIONES CLÍNICAS</w:t>
      </w:r>
      <w:r>
        <w:rPr>
          <w:b/>
          <w:bCs/>
        </w:rPr>
        <w:t xml:space="preserve">: </w:t>
      </w:r>
      <w:r>
        <w:t xml:space="preserve">La tos ferina comienza con síntomas leves de la porción superior de vías respiratorias (fase catarral) para seguir con tos que suele ser paroxística (fase paroxística), a menudo con el característico estridor inspiratorio y seguida de </w:t>
      </w:r>
    </w:p>
    <w:p w14:paraId="22C8D579" w14:textId="77777777" w:rsidR="00924992" w:rsidRDefault="00924992">
      <w:pPr>
        <w:pStyle w:val="BodyText"/>
        <w:ind w:firstLine="0"/>
      </w:pPr>
      <w:r>
        <w:t>es un factor de peligro de infección por VIH y también un elemento que estimula la transmisión de dicho virus; por tal razón si los primeros estudios en busca de dicho virus o de sífilis arrojan resultados negativos, habrá que repetirlos tres meses después de corroborado el diagnóstico de chancroide. Es importante examinar y tratar a toda persona que ha tenido contacto sexual con sujetos con chancroide, en término de 10 días anteriores al comienzo de los síntomas, incluso si para ese momento no han aparecido manifestaciones clínicas.</w:t>
      </w:r>
    </w:p>
    <w:p w14:paraId="0DB2589A" w14:textId="77777777" w:rsidR="00924992" w:rsidRDefault="00924992">
      <w:pPr>
        <w:pStyle w:val="BodyText"/>
        <w:spacing w:after="100"/>
        <w:ind w:firstLine="0"/>
      </w:pPr>
      <w:r>
        <w:rPr>
          <w:b/>
          <w:bCs/>
        </w:rPr>
        <w:t>A</w:t>
      </w:r>
      <w:r>
        <w:rPr>
          <w:b/>
          <w:bCs/>
          <w:sz w:val="13"/>
          <w:szCs w:val="13"/>
        </w:rPr>
        <w:t xml:space="preserve">ISLAMIENTO </w:t>
      </w:r>
      <w:r>
        <w:rPr>
          <w:b/>
          <w:bCs/>
          <w:smallCaps/>
          <w:sz w:val="16"/>
          <w:szCs w:val="16"/>
        </w:rPr>
        <w:t>del</w:t>
      </w:r>
      <w:r>
        <w:rPr>
          <w:b/>
          <w:bCs/>
          <w:sz w:val="13"/>
          <w:szCs w:val="13"/>
        </w:rPr>
        <w:t xml:space="preserve"> PACIENTE HOSPITALIZADO</w:t>
      </w:r>
      <w:r>
        <w:rPr>
          <w:b/>
          <w:bCs/>
        </w:rPr>
        <w:t xml:space="preserve">: </w:t>
      </w:r>
      <w:r>
        <w:t xml:space="preserve">Se recomienda seguir las precauciones estándar. </w:t>
      </w:r>
      <w:r>
        <w:rPr>
          <w:b/>
          <w:bCs/>
        </w:rPr>
        <w:t>M</w:t>
      </w:r>
      <w:r>
        <w:rPr>
          <w:b/>
          <w:bCs/>
          <w:sz w:val="13"/>
          <w:szCs w:val="13"/>
        </w:rPr>
        <w:t>EDIDAS PREVENTIVAS</w:t>
      </w:r>
      <w:r>
        <w:rPr>
          <w:b/>
          <w:bCs/>
        </w:rPr>
        <w:t xml:space="preserve">: </w:t>
      </w:r>
      <w:r>
        <w:t>Entre las medidas importantes de este tipo están la revisión y el tratamiento de los compañeros sexuales de pacientes de chancroide. Se ha utilizado cada vez más la “notificación del compañero” para identificar a un reservorio de casos de chancroide durante brotes, por lo común entre prostitutas. El proceso anterior puede culminar en la erradicación de epidemias. El empleo habitual del condón puede disminuir la transmisión.</w:t>
      </w:r>
    </w:p>
    <w:p w14:paraId="0DFDD707" w14:textId="77777777" w:rsidR="00924992" w:rsidRDefault="00924992">
      <w:pPr>
        <w:pStyle w:val="Bodytext70"/>
        <w:spacing w:after="0"/>
      </w:pPr>
      <w:r>
        <w:t>Choque tóxico, síndrome</w:t>
      </w:r>
    </w:p>
    <w:p w14:paraId="5E2EDB2B" w14:textId="77777777" w:rsidR="00924992" w:rsidRDefault="00924992">
      <w:pPr>
        <w:pStyle w:val="BodyText"/>
        <w:ind w:firstLine="0"/>
      </w:pPr>
      <w:r>
        <w:t xml:space="preserve">Manifestaciones clínicas: El síndrome de choque tóxico </w:t>
      </w:r>
      <w:r>
        <w:rPr>
          <w:i/>
          <w:iCs/>
        </w:rPr>
        <w:t>(</w:t>
      </w:r>
      <w:r>
        <w:rPr>
          <w:rFonts w:ascii="Times New Roman" w:eastAsia="Times New Roman" w:hAnsi="Times New Roman" w:cs="Times New Roman"/>
          <w:i/>
          <w:iCs/>
          <w:sz w:val="16"/>
          <w:szCs w:val="16"/>
        </w:rPr>
        <w:t>toxic shock syndrome</w:t>
      </w:r>
      <w:r>
        <w:rPr>
          <w:i/>
          <w:iCs/>
        </w:rPr>
        <w:t>,</w:t>
      </w:r>
      <w:r>
        <w:t xml:space="preserve"> TSS) puede ser causado por </w:t>
      </w:r>
      <w:r>
        <w:rPr>
          <w:rFonts w:ascii="Times New Roman" w:eastAsia="Times New Roman" w:hAnsi="Times New Roman" w:cs="Times New Roman"/>
          <w:i/>
          <w:iCs/>
          <w:sz w:val="16"/>
          <w:szCs w:val="16"/>
        </w:rPr>
        <w:t>Staphylococcus aureus</w:t>
      </w:r>
      <w:r>
        <w:t xml:space="preserve"> o </w:t>
      </w:r>
      <w:r>
        <w:rPr>
          <w:rFonts w:ascii="Times New Roman" w:eastAsia="Times New Roman" w:hAnsi="Times New Roman" w:cs="Times New Roman"/>
          <w:i/>
          <w:iCs/>
          <w:sz w:val="16"/>
          <w:szCs w:val="16"/>
        </w:rPr>
        <w:t>Streptococcus pyogenes</w:t>
      </w:r>
      <w:r>
        <w:t xml:space="preserve"> (estreptococos del grupo A) toxígenos. Los dos microorganismos ocasionan un cuadro agudo caracterizado por fiebre, hipotensión de comienzo rápido, insuficiencia renal acelerada y ataque de múltiples órganos y sistemas (cuadros 3-4 y 3-5). En el caso de TSS mediada por </w:t>
      </w:r>
      <w:r>
        <w:rPr>
          <w:rFonts w:ascii="Times New Roman" w:eastAsia="Times New Roman" w:hAnsi="Times New Roman" w:cs="Times New Roman"/>
          <w:i/>
          <w:iCs/>
          <w:sz w:val="16"/>
          <w:szCs w:val="16"/>
        </w:rPr>
        <w:t xml:space="preserve">S. aureus, </w:t>
      </w:r>
      <w:r>
        <w:t xml:space="preserve">por lo común hay diarrea acuosa y profusa, vómitos, eritrodermia generalizada, hiperemia conjuntival y mialgias intensas aunque tales signos no son tan frecuentes en el síndrome mediado por </w:t>
      </w:r>
      <w:r>
        <w:rPr>
          <w:rFonts w:ascii="Times New Roman" w:eastAsia="Times New Roman" w:hAnsi="Times New Roman" w:cs="Times New Roman"/>
          <w:i/>
          <w:iCs/>
          <w:sz w:val="16"/>
          <w:szCs w:val="16"/>
        </w:rPr>
        <w:t>S. pyogenes.</w:t>
      </w:r>
      <w:r>
        <w:t xml:space="preserve"> En el caso de TSS mediado por </w:t>
      </w:r>
      <w:r>
        <w:rPr>
          <w:rFonts w:ascii="Times New Roman" w:eastAsia="Times New Roman" w:hAnsi="Times New Roman" w:cs="Times New Roman"/>
          <w:i/>
          <w:iCs/>
          <w:sz w:val="16"/>
          <w:szCs w:val="16"/>
        </w:rPr>
        <w:t>S. pyogenes,</w:t>
      </w:r>
      <w:r>
        <w:t xml:space="preserve"> son comunes los signos de infección local de partes blandas (celulitis, abscesos, miositis o fasciítis necrosante) que se acompañan de dolor cada vez más intenso, situación que no se observa en el síndrome mediado por </w:t>
      </w:r>
      <w:r>
        <w:rPr>
          <w:rFonts w:ascii="Times New Roman" w:eastAsia="Times New Roman" w:hAnsi="Times New Roman" w:cs="Times New Roman"/>
          <w:i/>
          <w:iCs/>
          <w:sz w:val="16"/>
          <w:szCs w:val="16"/>
        </w:rPr>
        <w:t>S. aureus.</w:t>
      </w:r>
      <w:r>
        <w:t xml:space="preserve"> La presencia de un cuerpo extraño en el sitio de la infección es frecuente en el síndrome mediado por </w:t>
      </w:r>
      <w:r>
        <w:rPr>
          <w:rFonts w:ascii="Times New Roman" w:eastAsia="Times New Roman" w:hAnsi="Times New Roman" w:cs="Times New Roman"/>
          <w:i/>
          <w:iCs/>
          <w:sz w:val="16"/>
          <w:szCs w:val="16"/>
        </w:rPr>
        <w:t>S. aureus</w:t>
      </w:r>
      <w:r>
        <w:t xml:space="preserve"> y no en el causado por </w:t>
      </w:r>
      <w:r>
        <w:rPr>
          <w:rFonts w:ascii="Times New Roman" w:eastAsia="Times New Roman" w:hAnsi="Times New Roman" w:cs="Times New Roman"/>
          <w:i/>
          <w:iCs/>
          <w:sz w:val="16"/>
          <w:szCs w:val="16"/>
        </w:rPr>
        <w:t>S. pyogenes.</w:t>
      </w:r>
      <w:r>
        <w:t xml:space="preserve"> Las dos formas de TSS pueden surgir sin un foco fácilmente identificable de infección. Ambas formas del síndrome pueden vincularse con infecciones invasoras como neumonía, osteomielitis, bacteriemia y artrosis o endocarditis. Las personas con el síndrome mediado por </w:t>
      </w:r>
      <w:r>
        <w:rPr>
          <w:rFonts w:ascii="Times New Roman" w:eastAsia="Times New Roman" w:hAnsi="Times New Roman" w:cs="Times New Roman"/>
          <w:i/>
          <w:iCs/>
          <w:sz w:val="16"/>
          <w:szCs w:val="16"/>
        </w:rPr>
        <w:t>S. aureus,</w:t>
      </w:r>
      <w:r>
        <w:t xml:space="preserve"> en particular si son mujeres en menstruación, están en peligro de un episodio recurrente del mismo. No se han señalado episodios recurrentes en el caso del síndrome mediado por </w:t>
      </w:r>
      <w:r>
        <w:rPr>
          <w:rFonts w:ascii="Times New Roman" w:eastAsia="Times New Roman" w:hAnsi="Times New Roman" w:cs="Times New Roman"/>
          <w:i/>
          <w:iCs/>
          <w:sz w:val="16"/>
          <w:szCs w:val="16"/>
        </w:rPr>
        <w:t>S. pyogenes.</w:t>
      </w:r>
      <w:r>
        <w:t xml:space="preserve"> El choque tóxico puede ser confundido con innumerables infecciones y cuadros no infecciosos de fiebre con manifestaciones mucocutáneas.</w:t>
      </w:r>
    </w:p>
    <w:p w14:paraId="469AE03B" w14:textId="77777777" w:rsidR="00924992" w:rsidRDefault="00924992">
      <w:pPr>
        <w:pStyle w:val="BodyText"/>
        <w:spacing w:after="220"/>
        <w:ind w:firstLine="0"/>
      </w:pPr>
      <w:r>
        <w:rPr>
          <w:b/>
          <w:bCs/>
        </w:rPr>
        <w:t>C</w:t>
      </w:r>
      <w:r>
        <w:rPr>
          <w:b/>
          <w:bCs/>
          <w:sz w:val="13"/>
          <w:szCs w:val="13"/>
        </w:rPr>
        <w:t>AUSAS</w:t>
      </w:r>
      <w:r>
        <w:rPr>
          <w:b/>
          <w:bCs/>
        </w:rPr>
        <w:t xml:space="preserve">: </w:t>
      </w:r>
      <w:r>
        <w:t xml:space="preserve">TSS mediado por </w:t>
      </w:r>
      <w:r>
        <w:rPr>
          <w:rFonts w:ascii="Times New Roman" w:eastAsia="Times New Roman" w:hAnsi="Times New Roman" w:cs="Times New Roman"/>
          <w:i/>
          <w:iCs/>
          <w:sz w:val="16"/>
          <w:szCs w:val="16"/>
        </w:rPr>
        <w:t>Staphylococcus aureus</w:t>
      </w:r>
      <w:r>
        <w:t xml:space="preserve"> por lo común es producido por cepas que generan la toxina-1 del síndrome </w:t>
      </w:r>
      <w:r>
        <w:rPr>
          <w:i/>
          <w:iCs/>
        </w:rPr>
        <w:t>(</w:t>
      </w:r>
      <w:r>
        <w:rPr>
          <w:rFonts w:ascii="Times New Roman" w:eastAsia="Times New Roman" w:hAnsi="Times New Roman" w:cs="Times New Roman"/>
          <w:i/>
          <w:iCs/>
          <w:sz w:val="16"/>
          <w:szCs w:val="16"/>
        </w:rPr>
        <w:t>toxic shock syndrome toxin-1</w:t>
      </w:r>
      <w:r>
        <w:rPr>
          <w:i/>
          <w:iCs/>
        </w:rPr>
        <w:t>,</w:t>
      </w:r>
      <w:r>
        <w:t xml:space="preserve"> TSST-1). Muchas de estas cepas también producen como mínimo una de las enterotoxinas estafilocócicas. Se ha dicho que algunas cepas sin TSST-1 intervienen en los casos de TSS “no menstruales”. Casi todos los casos del síndrome mediado por </w:t>
      </w:r>
      <w:r>
        <w:rPr>
          <w:rFonts w:ascii="Times New Roman" w:eastAsia="Times New Roman" w:hAnsi="Times New Roman" w:cs="Times New Roman"/>
          <w:i/>
          <w:iCs/>
          <w:sz w:val="16"/>
          <w:szCs w:val="16"/>
        </w:rPr>
        <w:t>S. pyogenes</w:t>
      </w:r>
      <w:r>
        <w:t xml:space="preserve"> son causados por cepas que generan como mínimo una de varias exotoxinas superantigénicas proteínicas: exotoxinas pirógenas estreptocócicas A, B o C; factor mitógeno o superantígeno estreptocócico.</w:t>
      </w:r>
    </w:p>
    <w:p w14:paraId="3E990895" w14:textId="77777777" w:rsidR="00924992" w:rsidRDefault="00924992">
      <w:pPr>
        <w:pStyle w:val="Other0"/>
        <w:spacing w:line="257" w:lineRule="auto"/>
        <w:ind w:firstLine="0"/>
        <w:rPr>
          <w:sz w:val="20"/>
          <w:szCs w:val="20"/>
        </w:rPr>
      </w:pPr>
      <w:r>
        <w:rPr>
          <w:b/>
          <w:bCs/>
          <w:smallCaps/>
          <w:sz w:val="20"/>
          <w:szCs w:val="20"/>
        </w:rPr>
        <w:t>A</w:t>
      </w:r>
      <w:r>
        <w:rPr>
          <w:b/>
          <w:bCs/>
          <w:smallCaps/>
          <w:sz w:val="16"/>
          <w:szCs w:val="16"/>
        </w:rPr>
        <w:t>spectos epidemiológicos</w:t>
      </w:r>
      <w:r>
        <w:rPr>
          <w:b/>
          <w:bCs/>
          <w:smallCaps/>
          <w:sz w:val="20"/>
          <w:szCs w:val="20"/>
        </w:rPr>
        <w:t>:</w:t>
      </w:r>
    </w:p>
    <w:p w14:paraId="0FEB0B1B" w14:textId="77777777" w:rsidR="00924992" w:rsidRDefault="00924992">
      <w:pPr>
        <w:pStyle w:val="BodyText"/>
        <w:spacing w:after="160" w:line="288" w:lineRule="auto"/>
        <w:ind w:firstLine="0"/>
      </w:pPr>
      <w:r>
        <w:rPr>
          <w:rFonts w:ascii="Arial" w:eastAsia="Arial" w:hAnsi="Arial" w:cs="Arial"/>
          <w:b/>
          <w:bCs/>
          <w:i/>
          <w:iCs/>
          <w:sz w:val="15"/>
          <w:szCs w:val="15"/>
        </w:rPr>
        <w:t>TSS mediado por</w:t>
      </w:r>
      <w:r>
        <w:rPr>
          <w:rFonts w:ascii="Arial" w:eastAsia="Arial" w:hAnsi="Arial" w:cs="Arial"/>
          <w:b/>
          <w:bCs/>
          <w:w w:val="70"/>
          <w:sz w:val="20"/>
          <w:szCs w:val="20"/>
        </w:rPr>
        <w:t xml:space="preserve"> Staphylococcus aureus</w:t>
      </w:r>
      <w:r>
        <w:rPr>
          <w:rFonts w:ascii="Arial" w:eastAsia="Arial" w:hAnsi="Arial" w:cs="Arial"/>
          <w:b/>
          <w:bCs/>
          <w:i/>
          <w:iCs/>
          <w:sz w:val="15"/>
          <w:szCs w:val="15"/>
        </w:rPr>
        <w:t>.</w:t>
      </w:r>
      <w:r>
        <w:t xml:space="preserve"> El síndrome en cuestión fue identificado originalmente en 1978, y afecta niños y adultos de uno y otro géneros; muchos casos tempranos a menudo se vincularon con el empleo de tapones en mujeres que</w:t>
      </w:r>
    </w:p>
    <w:p w14:paraId="4715CF85" w14:textId="77777777" w:rsidR="00924992" w:rsidRDefault="00924992">
      <w:pPr>
        <w:pStyle w:val="Heading31"/>
        <w:keepNext/>
        <w:keepLines/>
        <w:pBdr>
          <w:bottom w:val="single" w:sz="4" w:space="0" w:color="auto"/>
        </w:pBdr>
        <w:spacing w:after="380" w:line="211" w:lineRule="auto"/>
        <w:jc w:val="center"/>
      </w:pPr>
      <w:bookmarkStart w:id="30" w:name="bookmark1485"/>
      <w:bookmarkStart w:id="31" w:name="bookmark1486"/>
      <w:bookmarkStart w:id="32" w:name="bookmark1487"/>
      <w:r>
        <w:rPr>
          <w:b w:val="0"/>
          <w:bCs w:val="0"/>
        </w:rPr>
        <w:t xml:space="preserve">Cuadro 3-4. </w:t>
      </w:r>
      <w:r>
        <w:t>Síndrome de choque tóxico por estafilococos:</w:t>
      </w:r>
      <w:r>
        <w:br/>
        <w:t>definición de casos clínicos</w:t>
      </w:r>
      <w:r>
        <w:rPr>
          <w:vertAlign w:val="superscript"/>
        </w:rPr>
        <w:footnoteReference w:id="8"/>
      </w:r>
      <w:bookmarkEnd w:id="30"/>
      <w:bookmarkEnd w:id="31"/>
      <w:bookmarkEnd w:id="32"/>
    </w:p>
    <w:p w14:paraId="2AC6EA73" w14:textId="77777777" w:rsidR="00924992" w:rsidRDefault="00924992">
      <w:pPr>
        <w:pStyle w:val="Bodytext20"/>
        <w:numPr>
          <w:ilvl w:val="0"/>
          <w:numId w:val="109"/>
        </w:numPr>
        <w:tabs>
          <w:tab w:val="left" w:pos="238"/>
        </w:tabs>
        <w:spacing w:line="226" w:lineRule="auto"/>
      </w:pPr>
      <w:bookmarkStart w:id="33" w:name="bookmark1488"/>
      <w:bookmarkEnd w:id="33"/>
      <w:r>
        <w:t xml:space="preserve">Fiebre: temperatura </w:t>
      </w:r>
      <w:r>
        <w:rPr>
          <w:sz w:val="20"/>
          <w:szCs w:val="20"/>
        </w:rPr>
        <w:t>&gt;</w:t>
      </w:r>
      <w:r>
        <w:t>38.9°C</w:t>
      </w:r>
    </w:p>
    <w:p w14:paraId="2C1CFC0B" w14:textId="77777777" w:rsidR="00924992" w:rsidRDefault="00924992">
      <w:pPr>
        <w:pStyle w:val="Bodytext20"/>
        <w:numPr>
          <w:ilvl w:val="0"/>
          <w:numId w:val="109"/>
        </w:numPr>
        <w:tabs>
          <w:tab w:val="left" w:pos="238"/>
        </w:tabs>
      </w:pPr>
      <w:bookmarkStart w:id="34" w:name="bookmark1489"/>
      <w:bookmarkEnd w:id="34"/>
      <w:r>
        <w:t>Erupción: eritrodermia macular difusa</w:t>
      </w:r>
    </w:p>
    <w:p w14:paraId="6EFE09A9" w14:textId="77777777" w:rsidR="00924992" w:rsidRDefault="00924992">
      <w:pPr>
        <w:pStyle w:val="Bodytext20"/>
        <w:numPr>
          <w:ilvl w:val="0"/>
          <w:numId w:val="109"/>
        </w:numPr>
        <w:tabs>
          <w:tab w:val="left" w:pos="238"/>
        </w:tabs>
        <w:ind w:left="240" w:hanging="240"/>
      </w:pPr>
      <w:bookmarkStart w:id="35" w:name="bookmark1490"/>
      <w:bookmarkEnd w:id="35"/>
      <w:r>
        <w:t>Descamación: una a dos semanas después del comienzo, particularmente en palmas, plantas, dedos de manos y pies</w:t>
      </w:r>
    </w:p>
    <w:p w14:paraId="22C5862B" w14:textId="77777777" w:rsidR="00924992" w:rsidRDefault="00924992">
      <w:pPr>
        <w:pStyle w:val="Bodytext20"/>
        <w:numPr>
          <w:ilvl w:val="0"/>
          <w:numId w:val="109"/>
        </w:numPr>
        <w:tabs>
          <w:tab w:val="left" w:pos="238"/>
        </w:tabs>
        <w:ind w:left="240" w:hanging="240"/>
      </w:pPr>
      <w:bookmarkStart w:id="36" w:name="bookmark1491"/>
      <w:bookmarkEnd w:id="36"/>
      <w:r>
        <w:t xml:space="preserve">Hipotensión: presión sistólica &lt;90 mmHg en adultos; en el caso de niños menores de 16 años, la cifra es menor del quinto porcentil correspondiente a la edad; al pasar el niño del decúbito a la posición sedente hay una disminución ortostática en la presión diastólica que es de </w:t>
      </w:r>
      <w:r>
        <w:rPr>
          <w:sz w:val="20"/>
          <w:szCs w:val="20"/>
        </w:rPr>
        <w:t>&gt;</w:t>
      </w:r>
      <w:r>
        <w:t>15 mmHg; síncope o mareo por ortostatismo</w:t>
      </w:r>
    </w:p>
    <w:p w14:paraId="0EB8D725" w14:textId="77777777" w:rsidR="00924992" w:rsidRDefault="00924992">
      <w:pPr>
        <w:pStyle w:val="Bodytext20"/>
        <w:numPr>
          <w:ilvl w:val="0"/>
          <w:numId w:val="109"/>
        </w:numPr>
        <w:tabs>
          <w:tab w:val="left" w:pos="238"/>
        </w:tabs>
      </w:pPr>
      <w:bookmarkStart w:id="37" w:name="bookmark1492"/>
      <w:bookmarkEnd w:id="37"/>
      <w:r>
        <w:t>Ataque de múltiples órganos y sistemas: afección de tres o más de los siguientes:</w:t>
      </w:r>
    </w:p>
    <w:p w14:paraId="642270C5" w14:textId="77777777" w:rsidR="00924992" w:rsidRDefault="00924992">
      <w:pPr>
        <w:pStyle w:val="Bodytext20"/>
        <w:numPr>
          <w:ilvl w:val="0"/>
          <w:numId w:val="110"/>
        </w:numPr>
        <w:tabs>
          <w:tab w:val="left" w:pos="483"/>
        </w:tabs>
        <w:ind w:firstLine="240"/>
      </w:pPr>
      <w:bookmarkStart w:id="38" w:name="bookmark1493"/>
      <w:bookmarkEnd w:id="38"/>
      <w:r>
        <w:t>Vías gastrointestinales: vómitos o diarrea al comenzar la enfermedad</w:t>
      </w:r>
    </w:p>
    <w:p w14:paraId="184D169A" w14:textId="77777777" w:rsidR="00924992" w:rsidRDefault="00924992">
      <w:pPr>
        <w:pStyle w:val="Bodytext20"/>
        <w:numPr>
          <w:ilvl w:val="0"/>
          <w:numId w:val="110"/>
        </w:numPr>
        <w:tabs>
          <w:tab w:val="left" w:pos="503"/>
        </w:tabs>
        <w:ind w:left="420" w:hanging="160"/>
      </w:pPr>
      <w:bookmarkStart w:id="39" w:name="bookmark1494"/>
      <w:bookmarkEnd w:id="39"/>
      <w:r>
        <w:t>Sistema musculoesquelético: mialgias intensas o concentración de creatinfosfocinasa mayor del doble del límite superior de lo normal</w:t>
      </w:r>
    </w:p>
    <w:p w14:paraId="6068CE09" w14:textId="77777777" w:rsidR="00924992" w:rsidRDefault="00924992">
      <w:pPr>
        <w:pStyle w:val="Bodytext20"/>
        <w:numPr>
          <w:ilvl w:val="0"/>
          <w:numId w:val="110"/>
        </w:numPr>
        <w:tabs>
          <w:tab w:val="left" w:pos="483"/>
        </w:tabs>
        <w:ind w:firstLine="240"/>
      </w:pPr>
      <w:bookmarkStart w:id="40" w:name="bookmark1495"/>
      <w:bookmarkEnd w:id="40"/>
      <w:r>
        <w:t>Membranas mucosas: hiperemia vaginal, bucofaríngea o conjuntival</w:t>
      </w:r>
    </w:p>
    <w:p w14:paraId="2FB52309" w14:textId="77777777" w:rsidR="00924992" w:rsidRDefault="00924992">
      <w:pPr>
        <w:pStyle w:val="Bodytext20"/>
        <w:numPr>
          <w:ilvl w:val="0"/>
          <w:numId w:val="110"/>
        </w:numPr>
        <w:tabs>
          <w:tab w:val="left" w:pos="503"/>
        </w:tabs>
        <w:ind w:left="420" w:hanging="160"/>
      </w:pPr>
      <w:bookmarkStart w:id="41" w:name="bookmark1496"/>
      <w:bookmarkEnd w:id="41"/>
      <w:r>
        <w:t>Riñones: concentración de nitrógeno ureico en suero o creatinina mayor del doble del límite superior de lo normal o sedimento urinario que tiene cinco leucocitos o más por campo de alto poder sin que exista infección de vías urinarias</w:t>
      </w:r>
    </w:p>
    <w:p w14:paraId="530DDC19" w14:textId="77777777" w:rsidR="00924992" w:rsidRDefault="00924992">
      <w:pPr>
        <w:pStyle w:val="Bodytext20"/>
        <w:numPr>
          <w:ilvl w:val="0"/>
          <w:numId w:val="110"/>
        </w:numPr>
        <w:tabs>
          <w:tab w:val="left" w:pos="503"/>
        </w:tabs>
        <w:ind w:left="420" w:hanging="160"/>
      </w:pPr>
      <w:bookmarkStart w:id="42" w:name="bookmark1497"/>
      <w:bookmarkEnd w:id="42"/>
      <w:r>
        <w:t>Hígado: bilirrubina total, concentración de transaminasa de aspartato o transaminasa de alanina mayor del doble del límite superior de lo normal</w:t>
      </w:r>
    </w:p>
    <w:p w14:paraId="55C17E07" w14:textId="77777777" w:rsidR="00924992" w:rsidRDefault="00924992">
      <w:pPr>
        <w:pStyle w:val="Bodytext20"/>
        <w:numPr>
          <w:ilvl w:val="0"/>
          <w:numId w:val="110"/>
        </w:numPr>
        <w:tabs>
          <w:tab w:val="left" w:pos="483"/>
        </w:tabs>
        <w:ind w:firstLine="240"/>
      </w:pPr>
      <w:bookmarkStart w:id="43" w:name="bookmark1498"/>
      <w:bookmarkEnd w:id="43"/>
      <w:r>
        <w:t xml:space="preserve">Sangre: recuento plaquetario </w:t>
      </w:r>
      <w:r>
        <w:rPr>
          <w:sz w:val="20"/>
          <w:szCs w:val="20"/>
        </w:rPr>
        <w:t>&lt;</w:t>
      </w:r>
      <w:r>
        <w:t xml:space="preserve">100 </w:t>
      </w:r>
      <w:r>
        <w:rPr>
          <w:rFonts w:ascii="Garamond" w:eastAsia="Garamond" w:hAnsi="Garamond" w:cs="Garamond"/>
          <w:sz w:val="19"/>
          <w:szCs w:val="19"/>
        </w:rPr>
        <w:t xml:space="preserve">x </w:t>
      </w:r>
      <w:r>
        <w:t>10</w:t>
      </w:r>
      <w:r>
        <w:rPr>
          <w:vertAlign w:val="superscript"/>
        </w:rPr>
        <w:t>9</w:t>
      </w:r>
      <w:r>
        <w:t>/L (</w:t>
      </w:r>
      <w:r>
        <w:rPr>
          <w:sz w:val="20"/>
          <w:szCs w:val="20"/>
        </w:rPr>
        <w:t>&lt;</w:t>
      </w:r>
      <w:r>
        <w:t xml:space="preserve">100 </w:t>
      </w:r>
      <w:r>
        <w:rPr>
          <w:rFonts w:ascii="Garamond" w:eastAsia="Garamond" w:hAnsi="Garamond" w:cs="Garamond"/>
          <w:sz w:val="19"/>
          <w:szCs w:val="19"/>
        </w:rPr>
        <w:t xml:space="preserve">x </w:t>
      </w:r>
      <w:r>
        <w:t>10</w:t>
      </w:r>
      <w:r>
        <w:rPr>
          <w:vertAlign w:val="superscript"/>
        </w:rPr>
        <w:t>3</w:t>
      </w:r>
      <w:r>
        <w:t>/pl)</w:t>
      </w:r>
    </w:p>
    <w:p w14:paraId="7B0CAF4D" w14:textId="77777777" w:rsidR="00924992" w:rsidRDefault="00924992">
      <w:pPr>
        <w:pStyle w:val="Bodytext20"/>
        <w:numPr>
          <w:ilvl w:val="0"/>
          <w:numId w:val="110"/>
        </w:numPr>
        <w:tabs>
          <w:tab w:val="left" w:pos="503"/>
        </w:tabs>
        <w:ind w:left="420" w:hanging="160"/>
      </w:pPr>
      <w:bookmarkStart w:id="44" w:name="bookmark1499"/>
      <w:bookmarkEnd w:id="44"/>
      <w:r>
        <w:t>Sistema nervioso central: desorientación o alteraciones en la conciencia sin signos neurológicos focales en caso de no haber fiebre e hipotensión</w:t>
      </w:r>
    </w:p>
    <w:p w14:paraId="30AE183B" w14:textId="77777777" w:rsidR="00924992" w:rsidRDefault="00924992">
      <w:pPr>
        <w:pStyle w:val="Bodytext20"/>
        <w:numPr>
          <w:ilvl w:val="0"/>
          <w:numId w:val="109"/>
        </w:numPr>
        <w:tabs>
          <w:tab w:val="left" w:pos="238"/>
        </w:tabs>
      </w:pPr>
      <w:bookmarkStart w:id="45" w:name="bookmark1500"/>
      <w:bookmarkEnd w:id="45"/>
      <w:r>
        <w:t>Resultados negativos en las pruebas siguientes, si se practican:</w:t>
      </w:r>
    </w:p>
    <w:p w14:paraId="21E461A2" w14:textId="77777777" w:rsidR="00924992" w:rsidRDefault="00924992">
      <w:pPr>
        <w:pStyle w:val="Bodytext20"/>
        <w:numPr>
          <w:ilvl w:val="0"/>
          <w:numId w:val="110"/>
        </w:numPr>
        <w:tabs>
          <w:tab w:val="left" w:pos="503"/>
        </w:tabs>
        <w:ind w:left="420" w:hanging="160"/>
      </w:pPr>
      <w:bookmarkStart w:id="46" w:name="bookmark1501"/>
      <w:bookmarkEnd w:id="46"/>
      <w:r>
        <w:t xml:space="preserve">Cultivos de sangre, exudado faríngeo o líquido cefalorraquídeo; cultivo de sangre con identificación de </w:t>
      </w:r>
      <w:r>
        <w:rPr>
          <w:i/>
          <w:iCs/>
        </w:rPr>
        <w:t>Staphylococcus aureus</w:t>
      </w:r>
    </w:p>
    <w:p w14:paraId="5182414B" w14:textId="77777777" w:rsidR="00924992" w:rsidRDefault="00924992">
      <w:pPr>
        <w:pStyle w:val="Bodytext20"/>
        <w:numPr>
          <w:ilvl w:val="0"/>
          <w:numId w:val="110"/>
        </w:numPr>
        <w:tabs>
          <w:tab w:val="left" w:pos="503"/>
        </w:tabs>
        <w:ind w:left="420" w:hanging="160"/>
      </w:pPr>
      <w:bookmarkStart w:id="47" w:name="bookmark1502"/>
      <w:bookmarkEnd w:id="47"/>
      <w:r>
        <w:t>Métodos serológicos para detectar fiebre maculada de las Montañas Rocosas, leptospirosis o sarampión</w:t>
      </w:r>
    </w:p>
    <w:p w14:paraId="0D0FB1FE" w14:textId="77777777" w:rsidR="00924992" w:rsidRDefault="00924992">
      <w:pPr>
        <w:pStyle w:val="Bodytext20"/>
      </w:pPr>
      <w:r>
        <w:rPr>
          <w:b/>
          <w:bCs/>
        </w:rPr>
        <w:t>Clasificación de casos</w:t>
      </w:r>
    </w:p>
    <w:p w14:paraId="2E2C0549" w14:textId="77777777" w:rsidR="00924992" w:rsidRDefault="00924992">
      <w:pPr>
        <w:pStyle w:val="Bodytext20"/>
        <w:tabs>
          <w:tab w:val="left" w:pos="1135"/>
        </w:tabs>
        <w:spacing w:line="266" w:lineRule="auto"/>
      </w:pPr>
      <w:r>
        <w:rPr>
          <w:b/>
          <w:bCs/>
          <w:i/>
          <w:iCs/>
          <w:sz w:val="17"/>
          <w:szCs w:val="17"/>
        </w:rPr>
        <w:t>Probable:</w:t>
      </w:r>
      <w:r>
        <w:tab/>
        <w:t>paciente con cinco de los seis signos clínicos mencionados</w:t>
      </w:r>
    </w:p>
    <w:p w14:paraId="69D39B35" w14:textId="77777777" w:rsidR="00924992" w:rsidRDefault="00924992">
      <w:pPr>
        <w:pStyle w:val="Bodytext20"/>
        <w:tabs>
          <w:tab w:val="left" w:pos="1135"/>
        </w:tabs>
        <w:spacing w:line="266" w:lineRule="auto"/>
      </w:pPr>
      <w:r>
        <w:rPr>
          <w:b/>
          <w:bCs/>
          <w:i/>
          <w:iCs/>
          <w:sz w:val="17"/>
          <w:szCs w:val="17"/>
        </w:rPr>
        <w:t>Confirmado:</w:t>
      </w:r>
      <w:r>
        <w:tab/>
        <w:t>paciente con los seis signos clínicos, incluida la descamación. Si el niño fallece</w:t>
      </w:r>
    </w:p>
    <w:p w14:paraId="75F62A59" w14:textId="77777777" w:rsidR="00924992" w:rsidRDefault="00924992">
      <w:pPr>
        <w:pStyle w:val="Bodytext20"/>
        <w:pBdr>
          <w:bottom w:val="single" w:sz="4" w:space="0" w:color="auto"/>
        </w:pBdr>
        <w:ind w:left="1260"/>
      </w:pPr>
      <w:r>
        <w:t>antes de que se produzca la descamación, los otros cinco criterios constituyen un caso definitivo</w:t>
      </w:r>
    </w:p>
    <w:p w14:paraId="7FC3A053" w14:textId="77777777" w:rsidR="00924992" w:rsidRDefault="00924992">
      <w:pPr>
        <w:pStyle w:val="Heading31"/>
        <w:keepNext/>
        <w:keepLines/>
        <w:pBdr>
          <w:bottom w:val="single" w:sz="4" w:space="0" w:color="auto"/>
        </w:pBdr>
        <w:spacing w:after="400" w:line="211" w:lineRule="auto"/>
        <w:jc w:val="center"/>
      </w:pPr>
      <w:bookmarkStart w:id="48" w:name="bookmark1503"/>
      <w:bookmarkStart w:id="49" w:name="bookmark1504"/>
      <w:bookmarkStart w:id="50" w:name="bookmark1505"/>
      <w:r>
        <w:rPr>
          <w:b w:val="0"/>
          <w:bCs w:val="0"/>
        </w:rPr>
        <w:t xml:space="preserve">Cuadro 3-5. </w:t>
      </w:r>
      <w:r>
        <w:t>Síndrome de choque tóxico por estreptococos:</w:t>
      </w:r>
      <w:r>
        <w:br/>
        <w:t>definición de casos clínicos</w:t>
      </w:r>
      <w:r>
        <w:rPr>
          <w:vertAlign w:val="superscript"/>
        </w:rPr>
        <w:footnoteReference w:id="9"/>
      </w:r>
      <w:bookmarkEnd w:id="48"/>
      <w:bookmarkEnd w:id="49"/>
      <w:bookmarkEnd w:id="50"/>
    </w:p>
    <w:p w14:paraId="0EEA8412" w14:textId="77777777" w:rsidR="00924992" w:rsidRDefault="00924992">
      <w:pPr>
        <w:pStyle w:val="Bodytext20"/>
        <w:numPr>
          <w:ilvl w:val="0"/>
          <w:numId w:val="111"/>
        </w:numPr>
        <w:tabs>
          <w:tab w:val="left" w:pos="370"/>
        </w:tabs>
      </w:pPr>
      <w:bookmarkStart w:id="51" w:name="bookmark1506"/>
      <w:bookmarkEnd w:id="51"/>
      <w:r>
        <w:t xml:space="preserve">Aislamiento de los estreptococos hemolíticos beta grupo A </w:t>
      </w:r>
      <w:r>
        <w:rPr>
          <w:i/>
          <w:iCs/>
        </w:rPr>
        <w:t>(Streptococcus pyogenes)</w:t>
      </w:r>
    </w:p>
    <w:p w14:paraId="55D95A04" w14:textId="77777777" w:rsidR="00924992" w:rsidRDefault="00924992">
      <w:pPr>
        <w:pStyle w:val="Bodytext20"/>
        <w:numPr>
          <w:ilvl w:val="0"/>
          <w:numId w:val="112"/>
        </w:numPr>
        <w:tabs>
          <w:tab w:val="left" w:pos="629"/>
        </w:tabs>
        <w:ind w:left="420" w:hanging="140"/>
      </w:pPr>
      <w:bookmarkStart w:id="52" w:name="bookmark1507"/>
      <w:bookmarkEnd w:id="52"/>
      <w:r>
        <w:t>De un sitio normalmente estéril (sangre, líquidos cefalorraquídeo y peritoneal o una muestra de tejido para biopsia)</w:t>
      </w:r>
    </w:p>
    <w:p w14:paraId="0E5F1D21" w14:textId="77777777" w:rsidR="00924992" w:rsidRDefault="00924992">
      <w:pPr>
        <w:pStyle w:val="Bodytext20"/>
        <w:numPr>
          <w:ilvl w:val="0"/>
          <w:numId w:val="112"/>
        </w:numPr>
        <w:tabs>
          <w:tab w:val="left" w:pos="629"/>
        </w:tabs>
        <w:ind w:left="420" w:hanging="140"/>
      </w:pPr>
      <w:bookmarkStart w:id="53" w:name="bookmark1508"/>
      <w:bookmarkEnd w:id="53"/>
      <w:r>
        <w:t>De un sitio no estéril (como faringe, esputo, vagina, herida quirúrgica o lesión cutánea superficial)</w:t>
      </w:r>
    </w:p>
    <w:p w14:paraId="71ED2E03" w14:textId="77777777" w:rsidR="00924992" w:rsidRDefault="00924992">
      <w:pPr>
        <w:pStyle w:val="Bodytext20"/>
        <w:numPr>
          <w:ilvl w:val="0"/>
          <w:numId w:val="111"/>
        </w:numPr>
        <w:tabs>
          <w:tab w:val="left" w:pos="370"/>
        </w:tabs>
      </w:pPr>
      <w:bookmarkStart w:id="54" w:name="bookmark1509"/>
      <w:bookmarkEnd w:id="54"/>
      <w:r>
        <w:t>Signos clínicos de intensidad</w:t>
      </w:r>
    </w:p>
    <w:p w14:paraId="330B1DAE" w14:textId="77777777" w:rsidR="00924992" w:rsidRDefault="00924992">
      <w:pPr>
        <w:pStyle w:val="Bodytext20"/>
        <w:numPr>
          <w:ilvl w:val="0"/>
          <w:numId w:val="113"/>
        </w:numPr>
        <w:tabs>
          <w:tab w:val="left" w:pos="629"/>
        </w:tabs>
        <w:ind w:left="420" w:hanging="140"/>
      </w:pPr>
      <w:bookmarkStart w:id="55" w:name="bookmark1510"/>
      <w:bookmarkEnd w:id="55"/>
      <w:r>
        <w:t xml:space="preserve">Hipotensión: presión sistólica </w:t>
      </w:r>
      <w:r>
        <w:rPr>
          <w:sz w:val="20"/>
          <w:szCs w:val="20"/>
        </w:rPr>
        <w:t>&lt;</w:t>
      </w:r>
      <w:r>
        <w:t>90 mmHg en adultos o menos del quinto porcentil correspondiente a la edad en niños</w:t>
      </w:r>
    </w:p>
    <w:p w14:paraId="4C7E67F7" w14:textId="77777777" w:rsidR="00924992" w:rsidRDefault="00924992">
      <w:pPr>
        <w:pStyle w:val="Bodytext20"/>
        <w:jc w:val="center"/>
      </w:pPr>
      <w:r>
        <w:rPr>
          <w:b/>
          <w:bCs/>
        </w:rPr>
        <w:t>Y</w:t>
      </w:r>
    </w:p>
    <w:p w14:paraId="28673AB6" w14:textId="77777777" w:rsidR="00924992" w:rsidRDefault="00924992">
      <w:pPr>
        <w:pStyle w:val="Bodytext20"/>
        <w:numPr>
          <w:ilvl w:val="0"/>
          <w:numId w:val="113"/>
        </w:numPr>
        <w:tabs>
          <w:tab w:val="left" w:pos="589"/>
        </w:tabs>
        <w:ind w:firstLine="240"/>
      </w:pPr>
      <w:bookmarkStart w:id="56" w:name="bookmark1511"/>
      <w:bookmarkEnd w:id="56"/>
      <w:r>
        <w:t>Dos o más de los signos siguientes:</w:t>
      </w:r>
    </w:p>
    <w:p w14:paraId="1B4412A4" w14:textId="77777777" w:rsidR="00924992" w:rsidRDefault="00924992">
      <w:pPr>
        <w:pStyle w:val="Bodytext20"/>
        <w:numPr>
          <w:ilvl w:val="0"/>
          <w:numId w:val="109"/>
        </w:numPr>
        <w:tabs>
          <w:tab w:val="left" w:pos="688"/>
        </w:tabs>
        <w:ind w:left="580" w:hanging="140"/>
      </w:pPr>
      <w:bookmarkStart w:id="57" w:name="bookmark1512"/>
      <w:bookmarkEnd w:id="57"/>
      <w:r>
        <w:t xml:space="preserve">Deficiencia renal: concentración de creatinina </w:t>
      </w:r>
      <w:r>
        <w:rPr>
          <w:sz w:val="20"/>
          <w:szCs w:val="20"/>
        </w:rPr>
        <w:t>&gt;</w:t>
      </w:r>
      <w:r>
        <w:t>177 pmol/L (</w:t>
      </w:r>
      <w:r>
        <w:rPr>
          <w:sz w:val="20"/>
          <w:szCs w:val="20"/>
        </w:rPr>
        <w:t>&gt;</w:t>
      </w:r>
      <w:r>
        <w:t>2 mg/100 ml) en adultos o dos veces o más el límite superior de lo normal correspondiente a la edad</w:t>
      </w:r>
    </w:p>
    <w:p w14:paraId="1D8BCBBD" w14:textId="77777777" w:rsidR="00924992" w:rsidRDefault="00924992">
      <w:pPr>
        <w:pStyle w:val="Bodytext20"/>
        <w:numPr>
          <w:ilvl w:val="0"/>
          <w:numId w:val="109"/>
        </w:numPr>
        <w:tabs>
          <w:tab w:val="left" w:pos="688"/>
        </w:tabs>
        <w:ind w:left="580" w:hanging="140"/>
      </w:pPr>
      <w:bookmarkStart w:id="58" w:name="bookmark1513"/>
      <w:bookmarkEnd w:id="58"/>
      <w:r>
        <w:t xml:space="preserve">Coagulopatía: recuento de plaquetas </w:t>
      </w:r>
      <w:r>
        <w:rPr>
          <w:sz w:val="20"/>
          <w:szCs w:val="20"/>
        </w:rPr>
        <w:t>&lt;</w:t>
      </w:r>
      <w:r>
        <w:t xml:space="preserve">100 </w:t>
      </w:r>
      <w:r>
        <w:rPr>
          <w:rFonts w:ascii="Garamond" w:eastAsia="Garamond" w:hAnsi="Garamond" w:cs="Garamond"/>
          <w:sz w:val="19"/>
          <w:szCs w:val="19"/>
        </w:rPr>
        <w:t xml:space="preserve">x </w:t>
      </w:r>
      <w:r>
        <w:t>10</w:t>
      </w:r>
      <w:r>
        <w:rPr>
          <w:rFonts w:ascii="Garamond" w:eastAsia="Garamond" w:hAnsi="Garamond" w:cs="Garamond"/>
          <w:sz w:val="19"/>
          <w:szCs w:val="19"/>
        </w:rPr>
        <w:t>9</w:t>
      </w:r>
      <w:r>
        <w:t>/L (</w:t>
      </w:r>
      <w:r>
        <w:rPr>
          <w:sz w:val="20"/>
          <w:szCs w:val="20"/>
        </w:rPr>
        <w:t>&lt;</w:t>
      </w:r>
      <w:r>
        <w:t xml:space="preserve">100 </w:t>
      </w:r>
      <w:r>
        <w:rPr>
          <w:rFonts w:ascii="Garamond" w:eastAsia="Garamond" w:hAnsi="Garamond" w:cs="Garamond"/>
          <w:sz w:val="19"/>
          <w:szCs w:val="19"/>
        </w:rPr>
        <w:t xml:space="preserve">x </w:t>
      </w:r>
      <w:r>
        <w:t>10</w:t>
      </w:r>
      <w:r>
        <w:rPr>
          <w:vertAlign w:val="superscript"/>
        </w:rPr>
        <w:t>3</w:t>
      </w:r>
      <w:r>
        <w:t>/pl) o coagulación intravascular diseminada</w:t>
      </w:r>
    </w:p>
    <w:p w14:paraId="1713C0F1" w14:textId="77777777" w:rsidR="00924992" w:rsidRDefault="00924992">
      <w:pPr>
        <w:pStyle w:val="Bodytext20"/>
        <w:numPr>
          <w:ilvl w:val="0"/>
          <w:numId w:val="109"/>
        </w:numPr>
        <w:tabs>
          <w:tab w:val="left" w:pos="688"/>
        </w:tabs>
        <w:ind w:left="580" w:hanging="140"/>
      </w:pPr>
      <w:bookmarkStart w:id="59" w:name="bookmark1514"/>
      <w:bookmarkEnd w:id="59"/>
      <w:r>
        <w:t>Afección del hígado: transaminasas de alanina o aspartato o concentraciones de bilirrubina total dos veces o más el límite superior de lo normal correspondiente a la edad</w:t>
      </w:r>
    </w:p>
    <w:p w14:paraId="6BDDA8A0" w14:textId="77777777" w:rsidR="00924992" w:rsidRDefault="00924992">
      <w:pPr>
        <w:pStyle w:val="Bodytext20"/>
        <w:numPr>
          <w:ilvl w:val="0"/>
          <w:numId w:val="109"/>
        </w:numPr>
        <w:tabs>
          <w:tab w:val="left" w:pos="668"/>
        </w:tabs>
        <w:ind w:firstLine="420"/>
      </w:pPr>
      <w:bookmarkStart w:id="60" w:name="bookmark1515"/>
      <w:bookmarkEnd w:id="60"/>
      <w:r>
        <w:t>Síndrome disneico del adulto</w:t>
      </w:r>
    </w:p>
    <w:p w14:paraId="319B027A" w14:textId="77777777" w:rsidR="00924992" w:rsidRDefault="00924992">
      <w:pPr>
        <w:pStyle w:val="Bodytext20"/>
        <w:numPr>
          <w:ilvl w:val="0"/>
          <w:numId w:val="109"/>
        </w:numPr>
        <w:tabs>
          <w:tab w:val="left" w:pos="668"/>
        </w:tabs>
        <w:ind w:firstLine="420"/>
      </w:pPr>
      <w:bookmarkStart w:id="61" w:name="bookmark1516"/>
      <w:bookmarkEnd w:id="61"/>
      <w:r>
        <w:t>Máculas eritematosas generalizadas que pueden descamarse</w:t>
      </w:r>
    </w:p>
    <w:p w14:paraId="22BAE201" w14:textId="77777777" w:rsidR="00924992" w:rsidRDefault="00924992">
      <w:pPr>
        <w:pStyle w:val="Bodytext20"/>
        <w:numPr>
          <w:ilvl w:val="0"/>
          <w:numId w:val="109"/>
        </w:numPr>
        <w:pBdr>
          <w:bottom w:val="single" w:sz="4" w:space="0" w:color="auto"/>
        </w:pBdr>
        <w:tabs>
          <w:tab w:val="left" w:pos="668"/>
        </w:tabs>
        <w:ind w:firstLine="420"/>
      </w:pPr>
      <w:bookmarkStart w:id="62" w:name="bookmark1517"/>
      <w:bookmarkEnd w:id="62"/>
      <w:r>
        <w:t>Necrosis de partes blandas que incluyen fasciítis necrosante o miositis o gangrena</w:t>
      </w:r>
      <w:r>
        <w:br w:type="page"/>
      </w:r>
    </w:p>
    <w:p w14:paraId="767D187A" w14:textId="77777777" w:rsidR="00924992" w:rsidRDefault="00924992">
      <w:pPr>
        <w:pStyle w:val="Heading31"/>
        <w:keepNext/>
        <w:keepLines/>
        <w:pBdr>
          <w:bottom w:val="single" w:sz="4" w:space="0" w:color="auto"/>
        </w:pBdr>
        <w:spacing w:after="340" w:line="211" w:lineRule="auto"/>
        <w:jc w:val="center"/>
      </w:pPr>
      <w:bookmarkStart w:id="63" w:name="bookmark1518"/>
      <w:bookmarkStart w:id="64" w:name="bookmark1519"/>
      <w:bookmarkStart w:id="65" w:name="bookmark1520"/>
      <w:r>
        <w:rPr>
          <w:b w:val="0"/>
          <w:bCs w:val="0"/>
        </w:rPr>
        <w:t xml:space="preserve">Cuadro 3-6. </w:t>
      </w:r>
      <w:r>
        <w:t>Factores de riesgo del síndrome de choque tóxico</w:t>
      </w:r>
      <w:r>
        <w:br/>
        <w:t>estafilocócico no menstrual</w:t>
      </w:r>
      <w:bookmarkEnd w:id="63"/>
      <w:bookmarkEnd w:id="64"/>
      <w:bookmarkEnd w:id="65"/>
    </w:p>
    <w:p w14:paraId="3820F18A" w14:textId="77777777" w:rsidR="00924992" w:rsidRDefault="00924992">
      <w:pPr>
        <w:pStyle w:val="Tablecaption0"/>
        <w:spacing w:line="283" w:lineRule="auto"/>
        <w:ind w:left="0"/>
        <w:jc w:val="both"/>
        <w:rPr>
          <w:sz w:val="16"/>
          <w:szCs w:val="16"/>
        </w:rPr>
      </w:pPr>
      <w:r>
        <w:rPr>
          <w:sz w:val="16"/>
          <w:szCs w:val="16"/>
        </w:rPr>
        <w:t>I. Colonización por Staphylococcus aureus toxígeno o introducción del germen II. Ausencia de anticuerpo antitoxínico protector</w:t>
      </w:r>
    </w:p>
    <w:p w14:paraId="62DF004A" w14:textId="77777777" w:rsidR="00924992" w:rsidRDefault="00924992">
      <w:pPr>
        <w:pStyle w:val="Tablecaption0"/>
        <w:spacing w:line="283" w:lineRule="auto"/>
        <w:ind w:left="0"/>
        <w:rPr>
          <w:sz w:val="16"/>
          <w:szCs w:val="16"/>
        </w:rPr>
      </w:pPr>
      <w:r>
        <w:rPr>
          <w:sz w:val="16"/>
          <w:szCs w:val="16"/>
        </w:rPr>
        <w:t>III. Sitio infectado</w:t>
      </w:r>
    </w:p>
    <w:p w14:paraId="201B09D3" w14:textId="77777777" w:rsidR="00924992" w:rsidRDefault="00924992">
      <w:pPr>
        <w:pStyle w:val="Tablecaption0"/>
        <w:spacing w:line="283" w:lineRule="auto"/>
        <w:ind w:left="0"/>
        <w:rPr>
          <w:sz w:val="16"/>
          <w:szCs w:val="16"/>
        </w:rPr>
      </w:pPr>
      <w:r>
        <w:rPr>
          <w:sz w:val="16"/>
          <w:szCs w:val="16"/>
        </w:rPr>
        <w:t xml:space="preserve">• Infección primaria por </w:t>
      </w:r>
      <w:r>
        <w:rPr>
          <w:i/>
          <w:iCs/>
          <w:sz w:val="16"/>
          <w:szCs w:val="16"/>
        </w:rPr>
        <w:t>S. aureus</w:t>
      </w:r>
    </w:p>
    <w:tbl>
      <w:tblPr>
        <w:tblOverlap w:val="never"/>
        <w:tblW w:w="0" w:type="auto"/>
        <w:jc w:val="center"/>
        <w:tblLayout w:type="fixed"/>
        <w:tblCellMar>
          <w:left w:w="10" w:type="dxa"/>
          <w:right w:w="10" w:type="dxa"/>
        </w:tblCellMar>
        <w:tblLook w:val="04A0" w:firstRow="1" w:lastRow="0" w:firstColumn="1" w:lastColumn="0" w:noHBand="0" w:noVBand="1"/>
      </w:tblPr>
      <w:tblGrid>
        <w:gridCol w:w="1315"/>
        <w:gridCol w:w="1546"/>
        <w:gridCol w:w="1968"/>
        <w:gridCol w:w="1123"/>
      </w:tblGrid>
      <w:tr w:rsidR="00924992" w14:paraId="33A719CE" w14:textId="77777777">
        <w:tblPrEx>
          <w:tblCellMar>
            <w:top w:w="0" w:type="dxa"/>
            <w:bottom w:w="0" w:type="dxa"/>
          </w:tblCellMar>
        </w:tblPrEx>
        <w:trPr>
          <w:trHeight w:hRule="exact" w:val="221"/>
          <w:jc w:val="center"/>
        </w:trPr>
        <w:tc>
          <w:tcPr>
            <w:tcW w:w="1315" w:type="dxa"/>
            <w:shd w:val="clear" w:color="auto" w:fill="FFFFFF"/>
            <w:vAlign w:val="bottom"/>
          </w:tcPr>
          <w:p w14:paraId="4854AF8E" w14:textId="77777777" w:rsidR="00924992" w:rsidRDefault="00924992">
            <w:pPr>
              <w:pStyle w:val="Other0"/>
              <w:spacing w:line="240" w:lineRule="auto"/>
              <w:ind w:firstLine="0"/>
              <w:rPr>
                <w:sz w:val="16"/>
                <w:szCs w:val="16"/>
              </w:rPr>
            </w:pPr>
            <w:r>
              <w:rPr>
                <w:rFonts w:ascii="Times New Roman" w:eastAsia="Times New Roman" w:hAnsi="Times New Roman" w:cs="Times New Roman"/>
                <w:sz w:val="16"/>
                <w:szCs w:val="16"/>
              </w:rPr>
              <w:t>Ántrax</w:t>
            </w:r>
          </w:p>
        </w:tc>
        <w:tc>
          <w:tcPr>
            <w:tcW w:w="1546" w:type="dxa"/>
            <w:shd w:val="clear" w:color="auto" w:fill="FFFFFF"/>
            <w:vAlign w:val="bottom"/>
          </w:tcPr>
          <w:p w14:paraId="73DFB47F" w14:textId="77777777" w:rsidR="00924992" w:rsidRDefault="00924992">
            <w:pPr>
              <w:pStyle w:val="Other0"/>
              <w:spacing w:line="240" w:lineRule="auto"/>
              <w:ind w:firstLine="0"/>
              <w:rPr>
                <w:sz w:val="16"/>
                <w:szCs w:val="16"/>
              </w:rPr>
            </w:pPr>
            <w:r>
              <w:rPr>
                <w:rFonts w:ascii="Times New Roman" w:eastAsia="Times New Roman" w:hAnsi="Times New Roman" w:cs="Times New Roman"/>
                <w:sz w:val="16"/>
                <w:szCs w:val="16"/>
              </w:rPr>
              <w:t>Endocarditis</w:t>
            </w:r>
          </w:p>
        </w:tc>
        <w:tc>
          <w:tcPr>
            <w:tcW w:w="1968" w:type="dxa"/>
            <w:shd w:val="clear" w:color="auto" w:fill="FFFFFF"/>
            <w:vAlign w:val="bottom"/>
          </w:tcPr>
          <w:p w14:paraId="681C6B23" w14:textId="77777777" w:rsidR="00924992" w:rsidRDefault="00924992">
            <w:pPr>
              <w:pStyle w:val="Other0"/>
              <w:spacing w:line="240" w:lineRule="auto"/>
              <w:ind w:firstLine="140"/>
              <w:rPr>
                <w:sz w:val="16"/>
                <w:szCs w:val="16"/>
              </w:rPr>
            </w:pPr>
            <w:r>
              <w:rPr>
                <w:rFonts w:ascii="Times New Roman" w:eastAsia="Times New Roman" w:hAnsi="Times New Roman" w:cs="Times New Roman"/>
                <w:sz w:val="16"/>
                <w:szCs w:val="16"/>
              </w:rPr>
              <w:t>Osteomielitis</w:t>
            </w:r>
          </w:p>
        </w:tc>
        <w:tc>
          <w:tcPr>
            <w:tcW w:w="1123" w:type="dxa"/>
            <w:shd w:val="clear" w:color="auto" w:fill="FFFFFF"/>
            <w:vAlign w:val="bottom"/>
          </w:tcPr>
          <w:p w14:paraId="2547196C" w14:textId="77777777" w:rsidR="00924992" w:rsidRDefault="00924992">
            <w:pPr>
              <w:pStyle w:val="Other0"/>
              <w:spacing w:line="240" w:lineRule="auto"/>
              <w:ind w:firstLine="180"/>
              <w:rPr>
                <w:sz w:val="16"/>
                <w:szCs w:val="16"/>
              </w:rPr>
            </w:pPr>
            <w:r>
              <w:rPr>
                <w:rFonts w:ascii="Times New Roman" w:eastAsia="Times New Roman" w:hAnsi="Times New Roman" w:cs="Times New Roman"/>
                <w:sz w:val="16"/>
                <w:szCs w:val="16"/>
              </w:rPr>
              <w:t>Piomiositis</w:t>
            </w:r>
          </w:p>
        </w:tc>
      </w:tr>
      <w:tr w:rsidR="00924992" w14:paraId="0E4DDAEE" w14:textId="77777777">
        <w:tblPrEx>
          <w:tblCellMar>
            <w:top w:w="0" w:type="dxa"/>
            <w:bottom w:w="0" w:type="dxa"/>
          </w:tblCellMar>
        </w:tblPrEx>
        <w:trPr>
          <w:trHeight w:hRule="exact" w:val="230"/>
          <w:jc w:val="center"/>
        </w:trPr>
        <w:tc>
          <w:tcPr>
            <w:tcW w:w="1315" w:type="dxa"/>
            <w:shd w:val="clear" w:color="auto" w:fill="FFFFFF"/>
            <w:vAlign w:val="bottom"/>
          </w:tcPr>
          <w:p w14:paraId="2C95B7F3" w14:textId="77777777" w:rsidR="00924992" w:rsidRDefault="00924992">
            <w:pPr>
              <w:pStyle w:val="Other0"/>
              <w:spacing w:line="240" w:lineRule="auto"/>
              <w:ind w:firstLine="0"/>
              <w:rPr>
                <w:sz w:val="16"/>
                <w:szCs w:val="16"/>
              </w:rPr>
            </w:pPr>
            <w:r>
              <w:rPr>
                <w:rFonts w:ascii="Times New Roman" w:eastAsia="Times New Roman" w:hAnsi="Times New Roman" w:cs="Times New Roman"/>
                <w:sz w:val="16"/>
                <w:szCs w:val="16"/>
              </w:rPr>
              <w:t>Celulitis</w:t>
            </w:r>
          </w:p>
        </w:tc>
        <w:tc>
          <w:tcPr>
            <w:tcW w:w="1546" w:type="dxa"/>
            <w:shd w:val="clear" w:color="auto" w:fill="FFFFFF"/>
            <w:vAlign w:val="bottom"/>
          </w:tcPr>
          <w:p w14:paraId="06BE9D07" w14:textId="77777777" w:rsidR="00924992" w:rsidRDefault="00924992">
            <w:pPr>
              <w:pStyle w:val="Other0"/>
              <w:spacing w:line="240" w:lineRule="auto"/>
              <w:ind w:firstLine="0"/>
              <w:rPr>
                <w:sz w:val="16"/>
                <w:szCs w:val="16"/>
              </w:rPr>
            </w:pPr>
            <w:r>
              <w:rPr>
                <w:rFonts w:ascii="Times New Roman" w:eastAsia="Times New Roman" w:hAnsi="Times New Roman" w:cs="Times New Roman"/>
                <w:sz w:val="16"/>
                <w:szCs w:val="16"/>
              </w:rPr>
              <w:t>Foliculitis</w:t>
            </w:r>
          </w:p>
        </w:tc>
        <w:tc>
          <w:tcPr>
            <w:tcW w:w="1968" w:type="dxa"/>
            <w:shd w:val="clear" w:color="auto" w:fill="FFFFFF"/>
            <w:vAlign w:val="bottom"/>
          </w:tcPr>
          <w:p w14:paraId="599ACE6A" w14:textId="77777777" w:rsidR="00924992" w:rsidRDefault="00924992">
            <w:pPr>
              <w:pStyle w:val="Other0"/>
              <w:spacing w:line="240" w:lineRule="auto"/>
              <w:ind w:firstLine="140"/>
              <w:rPr>
                <w:sz w:val="16"/>
                <w:szCs w:val="16"/>
              </w:rPr>
            </w:pPr>
            <w:r>
              <w:rPr>
                <w:rFonts w:ascii="Times New Roman" w:eastAsia="Times New Roman" w:hAnsi="Times New Roman" w:cs="Times New Roman"/>
                <w:sz w:val="16"/>
                <w:szCs w:val="16"/>
              </w:rPr>
              <w:t>Periamigdalino, absceso</w:t>
            </w:r>
          </w:p>
        </w:tc>
        <w:tc>
          <w:tcPr>
            <w:tcW w:w="1123" w:type="dxa"/>
            <w:shd w:val="clear" w:color="auto" w:fill="FFFFFF"/>
            <w:vAlign w:val="bottom"/>
          </w:tcPr>
          <w:p w14:paraId="22ED8D2E" w14:textId="77777777" w:rsidR="00924992" w:rsidRDefault="00924992">
            <w:pPr>
              <w:pStyle w:val="Other0"/>
              <w:spacing w:line="240" w:lineRule="auto"/>
              <w:ind w:firstLine="180"/>
              <w:rPr>
                <w:sz w:val="16"/>
                <w:szCs w:val="16"/>
              </w:rPr>
            </w:pPr>
            <w:r>
              <w:rPr>
                <w:rFonts w:ascii="Times New Roman" w:eastAsia="Times New Roman" w:hAnsi="Times New Roman" w:cs="Times New Roman"/>
                <w:sz w:val="16"/>
                <w:szCs w:val="16"/>
              </w:rPr>
              <w:t>Sinusitis</w:t>
            </w:r>
          </w:p>
        </w:tc>
      </w:tr>
      <w:tr w:rsidR="00924992" w14:paraId="6393D847" w14:textId="77777777">
        <w:tblPrEx>
          <w:tblCellMar>
            <w:top w:w="0" w:type="dxa"/>
            <w:bottom w:w="0" w:type="dxa"/>
          </w:tblCellMar>
        </w:tblPrEx>
        <w:trPr>
          <w:trHeight w:hRule="exact" w:val="206"/>
          <w:jc w:val="center"/>
        </w:trPr>
        <w:tc>
          <w:tcPr>
            <w:tcW w:w="1315" w:type="dxa"/>
            <w:shd w:val="clear" w:color="auto" w:fill="FFFFFF"/>
            <w:vAlign w:val="bottom"/>
          </w:tcPr>
          <w:p w14:paraId="5BD49F4C" w14:textId="77777777" w:rsidR="00924992" w:rsidRDefault="00924992">
            <w:pPr>
              <w:pStyle w:val="Other0"/>
              <w:spacing w:line="240" w:lineRule="auto"/>
              <w:ind w:firstLine="0"/>
              <w:rPr>
                <w:sz w:val="16"/>
                <w:szCs w:val="16"/>
              </w:rPr>
            </w:pPr>
            <w:r>
              <w:rPr>
                <w:rFonts w:ascii="Times New Roman" w:eastAsia="Times New Roman" w:hAnsi="Times New Roman" w:cs="Times New Roman"/>
                <w:sz w:val="16"/>
                <w:szCs w:val="16"/>
              </w:rPr>
              <w:t>Dental, absceso</w:t>
            </w:r>
          </w:p>
        </w:tc>
        <w:tc>
          <w:tcPr>
            <w:tcW w:w="1546" w:type="dxa"/>
            <w:shd w:val="clear" w:color="auto" w:fill="FFFFFF"/>
            <w:vAlign w:val="bottom"/>
          </w:tcPr>
          <w:p w14:paraId="06F0015A" w14:textId="77777777" w:rsidR="00924992" w:rsidRDefault="00924992">
            <w:pPr>
              <w:pStyle w:val="Other0"/>
              <w:spacing w:line="240" w:lineRule="auto"/>
              <w:ind w:firstLine="0"/>
              <w:rPr>
                <w:sz w:val="16"/>
                <w:szCs w:val="16"/>
              </w:rPr>
            </w:pPr>
            <w:r>
              <w:rPr>
                <w:rFonts w:ascii="Times New Roman" w:eastAsia="Times New Roman" w:hAnsi="Times New Roman" w:cs="Times New Roman"/>
                <w:sz w:val="16"/>
                <w:szCs w:val="16"/>
              </w:rPr>
              <w:t>Mastitis</w:t>
            </w:r>
          </w:p>
        </w:tc>
        <w:tc>
          <w:tcPr>
            <w:tcW w:w="1968" w:type="dxa"/>
            <w:shd w:val="clear" w:color="auto" w:fill="FFFFFF"/>
            <w:vAlign w:val="bottom"/>
          </w:tcPr>
          <w:p w14:paraId="40708BE6" w14:textId="77777777" w:rsidR="00924992" w:rsidRDefault="00924992">
            <w:pPr>
              <w:pStyle w:val="Other0"/>
              <w:spacing w:line="240" w:lineRule="auto"/>
              <w:ind w:firstLine="140"/>
              <w:rPr>
                <w:sz w:val="16"/>
                <w:szCs w:val="16"/>
              </w:rPr>
            </w:pPr>
            <w:r>
              <w:rPr>
                <w:rFonts w:ascii="Times New Roman" w:eastAsia="Times New Roman" w:hAnsi="Times New Roman" w:cs="Times New Roman"/>
                <w:sz w:val="16"/>
                <w:szCs w:val="16"/>
              </w:rPr>
              <w:t>Peritonitis</w:t>
            </w:r>
          </w:p>
        </w:tc>
        <w:tc>
          <w:tcPr>
            <w:tcW w:w="1123" w:type="dxa"/>
            <w:shd w:val="clear" w:color="auto" w:fill="FFFFFF"/>
            <w:vAlign w:val="bottom"/>
          </w:tcPr>
          <w:p w14:paraId="38B3C4DB" w14:textId="77777777" w:rsidR="00924992" w:rsidRDefault="00924992">
            <w:pPr>
              <w:pStyle w:val="Other0"/>
              <w:spacing w:line="240" w:lineRule="auto"/>
              <w:ind w:firstLine="180"/>
              <w:rPr>
                <w:sz w:val="16"/>
                <w:szCs w:val="16"/>
              </w:rPr>
            </w:pPr>
            <w:r>
              <w:rPr>
                <w:rFonts w:ascii="Times New Roman" w:eastAsia="Times New Roman" w:hAnsi="Times New Roman" w:cs="Times New Roman"/>
                <w:sz w:val="16"/>
                <w:szCs w:val="16"/>
              </w:rPr>
              <w:t>Traqueítis</w:t>
            </w:r>
          </w:p>
        </w:tc>
      </w:tr>
      <w:tr w:rsidR="00924992" w14:paraId="04B4BA46" w14:textId="77777777">
        <w:tblPrEx>
          <w:tblCellMar>
            <w:top w:w="0" w:type="dxa"/>
            <w:bottom w:w="0" w:type="dxa"/>
          </w:tblCellMar>
        </w:tblPrEx>
        <w:trPr>
          <w:trHeight w:hRule="exact" w:val="336"/>
          <w:jc w:val="center"/>
        </w:trPr>
        <w:tc>
          <w:tcPr>
            <w:tcW w:w="1315" w:type="dxa"/>
            <w:shd w:val="clear" w:color="auto" w:fill="FFFFFF"/>
          </w:tcPr>
          <w:p w14:paraId="39DD0A03" w14:textId="77777777" w:rsidR="00924992" w:rsidRDefault="00924992">
            <w:pPr>
              <w:pStyle w:val="Other0"/>
              <w:spacing w:line="240" w:lineRule="auto"/>
              <w:ind w:firstLine="0"/>
              <w:rPr>
                <w:sz w:val="16"/>
                <w:szCs w:val="16"/>
              </w:rPr>
            </w:pPr>
            <w:r>
              <w:rPr>
                <w:rFonts w:ascii="Times New Roman" w:eastAsia="Times New Roman" w:hAnsi="Times New Roman" w:cs="Times New Roman"/>
                <w:sz w:val="16"/>
                <w:szCs w:val="16"/>
              </w:rPr>
              <w:t>Empiema</w:t>
            </w:r>
          </w:p>
        </w:tc>
        <w:tc>
          <w:tcPr>
            <w:tcW w:w="1546" w:type="dxa"/>
            <w:shd w:val="clear" w:color="auto" w:fill="FFFFFF"/>
          </w:tcPr>
          <w:p w14:paraId="6FD5F658" w14:textId="77777777" w:rsidR="00924992" w:rsidRDefault="00924992">
            <w:pPr>
              <w:pStyle w:val="Other0"/>
              <w:spacing w:line="240" w:lineRule="auto"/>
              <w:ind w:firstLine="0"/>
              <w:rPr>
                <w:sz w:val="16"/>
                <w:szCs w:val="16"/>
              </w:rPr>
            </w:pPr>
            <w:r>
              <w:rPr>
                <w:rFonts w:ascii="Times New Roman" w:eastAsia="Times New Roman" w:hAnsi="Times New Roman" w:cs="Times New Roman"/>
                <w:sz w:val="16"/>
                <w:szCs w:val="16"/>
              </w:rPr>
              <w:t>Neumonía</w:t>
            </w:r>
          </w:p>
        </w:tc>
        <w:tc>
          <w:tcPr>
            <w:tcW w:w="1968" w:type="dxa"/>
            <w:shd w:val="clear" w:color="auto" w:fill="FFFFFF"/>
          </w:tcPr>
          <w:p w14:paraId="7E588553" w14:textId="77777777" w:rsidR="00924992" w:rsidRDefault="00924992">
            <w:pPr>
              <w:pStyle w:val="Other0"/>
              <w:spacing w:line="240" w:lineRule="auto"/>
              <w:ind w:firstLine="140"/>
              <w:rPr>
                <w:sz w:val="16"/>
                <w:szCs w:val="16"/>
              </w:rPr>
            </w:pPr>
            <w:r>
              <w:rPr>
                <w:rFonts w:ascii="Times New Roman" w:eastAsia="Times New Roman" w:hAnsi="Times New Roman" w:cs="Times New Roman"/>
                <w:sz w:val="16"/>
                <w:szCs w:val="16"/>
              </w:rPr>
              <w:t>Piartrosis</w:t>
            </w:r>
          </w:p>
        </w:tc>
        <w:tc>
          <w:tcPr>
            <w:tcW w:w="1123" w:type="dxa"/>
            <w:shd w:val="clear" w:color="auto" w:fill="FFFFFF"/>
          </w:tcPr>
          <w:p w14:paraId="24FFCEFE" w14:textId="77777777" w:rsidR="00924992" w:rsidRDefault="00924992">
            <w:pPr>
              <w:rPr>
                <w:sz w:val="10"/>
                <w:szCs w:val="10"/>
              </w:rPr>
            </w:pPr>
          </w:p>
        </w:tc>
      </w:tr>
      <w:tr w:rsidR="00924992" w14:paraId="764F3297" w14:textId="77777777">
        <w:tblPrEx>
          <w:tblCellMar>
            <w:top w:w="0" w:type="dxa"/>
            <w:bottom w:w="0" w:type="dxa"/>
          </w:tblCellMar>
        </w:tblPrEx>
        <w:trPr>
          <w:trHeight w:hRule="exact" w:val="326"/>
          <w:jc w:val="center"/>
        </w:trPr>
        <w:tc>
          <w:tcPr>
            <w:tcW w:w="2861" w:type="dxa"/>
            <w:gridSpan w:val="2"/>
            <w:shd w:val="clear" w:color="auto" w:fill="FFFFFF"/>
            <w:vAlign w:val="bottom"/>
          </w:tcPr>
          <w:p w14:paraId="245AB44C" w14:textId="77777777" w:rsidR="00924992" w:rsidRDefault="00924992">
            <w:pPr>
              <w:pStyle w:val="Other0"/>
              <w:spacing w:line="240" w:lineRule="auto"/>
              <w:ind w:firstLine="0"/>
              <w:rPr>
                <w:sz w:val="16"/>
                <w:szCs w:val="16"/>
              </w:rPr>
            </w:pPr>
            <w:r>
              <w:rPr>
                <w:rFonts w:ascii="Times New Roman" w:eastAsia="Times New Roman" w:hAnsi="Times New Roman" w:cs="Times New Roman"/>
                <w:sz w:val="16"/>
                <w:szCs w:val="16"/>
              </w:rPr>
              <w:t>• Infección posoperatoria de heridas</w:t>
            </w:r>
          </w:p>
        </w:tc>
        <w:tc>
          <w:tcPr>
            <w:tcW w:w="1968" w:type="dxa"/>
            <w:shd w:val="clear" w:color="auto" w:fill="FFFFFF"/>
          </w:tcPr>
          <w:p w14:paraId="46C3892C" w14:textId="77777777" w:rsidR="00924992" w:rsidRDefault="00924992">
            <w:pPr>
              <w:rPr>
                <w:sz w:val="10"/>
                <w:szCs w:val="10"/>
              </w:rPr>
            </w:pPr>
          </w:p>
        </w:tc>
        <w:tc>
          <w:tcPr>
            <w:tcW w:w="1123" w:type="dxa"/>
            <w:shd w:val="clear" w:color="auto" w:fill="FFFFFF"/>
          </w:tcPr>
          <w:p w14:paraId="5672345A" w14:textId="77777777" w:rsidR="00924992" w:rsidRDefault="00924992">
            <w:pPr>
              <w:rPr>
                <w:sz w:val="10"/>
                <w:szCs w:val="10"/>
              </w:rPr>
            </w:pPr>
          </w:p>
        </w:tc>
      </w:tr>
      <w:tr w:rsidR="00924992" w14:paraId="2B780DC1" w14:textId="77777777">
        <w:tblPrEx>
          <w:tblCellMar>
            <w:top w:w="0" w:type="dxa"/>
            <w:bottom w:w="0" w:type="dxa"/>
          </w:tblCellMar>
        </w:tblPrEx>
        <w:trPr>
          <w:trHeight w:hRule="exact" w:val="211"/>
          <w:jc w:val="center"/>
        </w:trPr>
        <w:tc>
          <w:tcPr>
            <w:tcW w:w="1315" w:type="dxa"/>
            <w:shd w:val="clear" w:color="auto" w:fill="FFFFFF"/>
          </w:tcPr>
          <w:p w14:paraId="5754B926" w14:textId="77777777" w:rsidR="00924992" w:rsidRDefault="00924992">
            <w:pPr>
              <w:pStyle w:val="Other0"/>
              <w:spacing w:line="240" w:lineRule="auto"/>
              <w:ind w:firstLine="0"/>
              <w:rPr>
                <w:sz w:val="16"/>
                <w:szCs w:val="16"/>
              </w:rPr>
            </w:pPr>
            <w:r>
              <w:rPr>
                <w:rFonts w:ascii="Times New Roman" w:eastAsia="Times New Roman" w:hAnsi="Times New Roman" w:cs="Times New Roman"/>
                <w:sz w:val="16"/>
                <w:szCs w:val="16"/>
              </w:rPr>
              <w:t>Abdominal</w:t>
            </w:r>
          </w:p>
        </w:tc>
        <w:tc>
          <w:tcPr>
            <w:tcW w:w="1546" w:type="dxa"/>
            <w:shd w:val="clear" w:color="auto" w:fill="FFFFFF"/>
          </w:tcPr>
          <w:p w14:paraId="684FCF07" w14:textId="77777777" w:rsidR="00924992" w:rsidRDefault="00924992">
            <w:pPr>
              <w:pStyle w:val="Other0"/>
              <w:spacing w:line="240" w:lineRule="auto"/>
              <w:ind w:firstLine="0"/>
              <w:rPr>
                <w:sz w:val="16"/>
                <w:szCs w:val="16"/>
              </w:rPr>
            </w:pPr>
            <w:r>
              <w:rPr>
                <w:rFonts w:ascii="Times New Roman" w:eastAsia="Times New Roman" w:hAnsi="Times New Roman" w:cs="Times New Roman"/>
                <w:sz w:val="16"/>
                <w:szCs w:val="16"/>
              </w:rPr>
              <w:t>Oídos, vías nasales</w:t>
            </w:r>
          </w:p>
        </w:tc>
        <w:tc>
          <w:tcPr>
            <w:tcW w:w="1968" w:type="dxa"/>
            <w:shd w:val="clear" w:color="auto" w:fill="FFFFFF"/>
          </w:tcPr>
          <w:p w14:paraId="58C632C8" w14:textId="77777777" w:rsidR="00924992" w:rsidRDefault="00924992">
            <w:pPr>
              <w:pStyle w:val="Other0"/>
              <w:spacing w:line="240" w:lineRule="auto"/>
              <w:ind w:firstLine="140"/>
              <w:rPr>
                <w:sz w:val="16"/>
                <w:szCs w:val="16"/>
              </w:rPr>
            </w:pPr>
            <w:r>
              <w:rPr>
                <w:rFonts w:ascii="Times New Roman" w:eastAsia="Times New Roman" w:hAnsi="Times New Roman" w:cs="Times New Roman"/>
                <w:sz w:val="16"/>
                <w:szCs w:val="16"/>
              </w:rPr>
              <w:t>Cesárea</w:t>
            </w:r>
          </w:p>
        </w:tc>
        <w:tc>
          <w:tcPr>
            <w:tcW w:w="1123" w:type="dxa"/>
            <w:shd w:val="clear" w:color="auto" w:fill="FFFFFF"/>
          </w:tcPr>
          <w:p w14:paraId="46970A6F" w14:textId="77777777" w:rsidR="00924992" w:rsidRDefault="00924992">
            <w:pPr>
              <w:pStyle w:val="Other0"/>
              <w:spacing w:line="240" w:lineRule="auto"/>
              <w:ind w:firstLine="180"/>
              <w:rPr>
                <w:sz w:val="16"/>
                <w:szCs w:val="16"/>
              </w:rPr>
            </w:pPr>
            <w:r>
              <w:rPr>
                <w:rFonts w:ascii="Times New Roman" w:eastAsia="Times New Roman" w:hAnsi="Times New Roman" w:cs="Times New Roman"/>
                <w:sz w:val="16"/>
                <w:szCs w:val="16"/>
              </w:rPr>
              <w:t>Neurocirugía</w:t>
            </w:r>
          </w:p>
        </w:tc>
      </w:tr>
      <w:tr w:rsidR="00924992" w14:paraId="5C21B885" w14:textId="77777777">
        <w:tblPrEx>
          <w:tblCellMar>
            <w:top w:w="0" w:type="dxa"/>
            <w:bottom w:w="0" w:type="dxa"/>
          </w:tblCellMar>
        </w:tblPrEx>
        <w:trPr>
          <w:trHeight w:hRule="exact" w:val="437"/>
          <w:jc w:val="center"/>
        </w:trPr>
        <w:tc>
          <w:tcPr>
            <w:tcW w:w="1315" w:type="dxa"/>
            <w:shd w:val="clear" w:color="auto" w:fill="FFFFFF"/>
          </w:tcPr>
          <w:p w14:paraId="37B47F41" w14:textId="77777777" w:rsidR="00924992" w:rsidRDefault="00924992">
            <w:pPr>
              <w:pStyle w:val="Other0"/>
              <w:spacing w:line="240" w:lineRule="auto"/>
              <w:ind w:firstLine="0"/>
              <w:rPr>
                <w:sz w:val="16"/>
                <w:szCs w:val="16"/>
              </w:rPr>
            </w:pPr>
            <w:r>
              <w:rPr>
                <w:rFonts w:ascii="Times New Roman" w:eastAsia="Times New Roman" w:hAnsi="Times New Roman" w:cs="Times New Roman"/>
                <w:sz w:val="16"/>
                <w:szCs w:val="16"/>
              </w:rPr>
              <w:t>Mamaria</w:t>
            </w:r>
          </w:p>
        </w:tc>
        <w:tc>
          <w:tcPr>
            <w:tcW w:w="1546" w:type="dxa"/>
            <w:shd w:val="clear" w:color="auto" w:fill="FFFFFF"/>
            <w:vAlign w:val="bottom"/>
          </w:tcPr>
          <w:p w14:paraId="2282A7CC" w14:textId="77777777" w:rsidR="00924992" w:rsidRDefault="00924992">
            <w:pPr>
              <w:pStyle w:val="Other0"/>
              <w:spacing w:line="240" w:lineRule="auto"/>
              <w:ind w:firstLine="220"/>
              <w:rPr>
                <w:sz w:val="16"/>
                <w:szCs w:val="16"/>
              </w:rPr>
            </w:pPr>
            <w:r>
              <w:rPr>
                <w:rFonts w:ascii="Times New Roman" w:eastAsia="Times New Roman" w:hAnsi="Times New Roman" w:cs="Times New Roman"/>
                <w:sz w:val="16"/>
                <w:szCs w:val="16"/>
              </w:rPr>
              <w:t>y faringe</w:t>
            </w:r>
          </w:p>
          <w:p w14:paraId="096C0605" w14:textId="77777777" w:rsidR="00924992" w:rsidRDefault="00924992">
            <w:pPr>
              <w:pStyle w:val="Other0"/>
              <w:spacing w:line="240" w:lineRule="auto"/>
              <w:ind w:firstLine="0"/>
              <w:rPr>
                <w:sz w:val="16"/>
                <w:szCs w:val="16"/>
              </w:rPr>
            </w:pPr>
            <w:r>
              <w:rPr>
                <w:rFonts w:ascii="Times New Roman" w:eastAsia="Times New Roman" w:hAnsi="Times New Roman" w:cs="Times New Roman"/>
                <w:sz w:val="16"/>
                <w:szCs w:val="16"/>
              </w:rPr>
              <w:t>Vías genitourinarias</w:t>
            </w:r>
          </w:p>
        </w:tc>
        <w:tc>
          <w:tcPr>
            <w:tcW w:w="1968" w:type="dxa"/>
            <w:shd w:val="clear" w:color="auto" w:fill="FFFFFF"/>
          </w:tcPr>
          <w:p w14:paraId="102F972E" w14:textId="77777777" w:rsidR="00924992" w:rsidRDefault="00924992">
            <w:pPr>
              <w:pStyle w:val="Other0"/>
              <w:spacing w:line="240" w:lineRule="auto"/>
              <w:ind w:firstLine="140"/>
              <w:rPr>
                <w:sz w:val="16"/>
                <w:szCs w:val="16"/>
              </w:rPr>
            </w:pPr>
            <w:r>
              <w:rPr>
                <w:rFonts w:ascii="Times New Roman" w:eastAsia="Times New Roman" w:hAnsi="Times New Roman" w:cs="Times New Roman"/>
                <w:sz w:val="16"/>
                <w:szCs w:val="16"/>
              </w:rPr>
              <w:t>Piel</w:t>
            </w:r>
          </w:p>
        </w:tc>
        <w:tc>
          <w:tcPr>
            <w:tcW w:w="1123" w:type="dxa"/>
            <w:shd w:val="clear" w:color="auto" w:fill="FFFFFF"/>
          </w:tcPr>
          <w:p w14:paraId="0CC77D61" w14:textId="77777777" w:rsidR="00924992" w:rsidRDefault="00924992">
            <w:pPr>
              <w:pStyle w:val="Other0"/>
              <w:spacing w:line="240" w:lineRule="auto"/>
              <w:ind w:firstLine="180"/>
              <w:rPr>
                <w:sz w:val="16"/>
                <w:szCs w:val="16"/>
              </w:rPr>
            </w:pPr>
            <w:r>
              <w:rPr>
                <w:rFonts w:ascii="Times New Roman" w:eastAsia="Times New Roman" w:hAnsi="Times New Roman" w:cs="Times New Roman"/>
                <w:sz w:val="16"/>
                <w:szCs w:val="16"/>
              </w:rPr>
              <w:t>Ortopedia</w:t>
            </w:r>
          </w:p>
        </w:tc>
      </w:tr>
      <w:tr w:rsidR="00924992" w14:paraId="1B8C63B8" w14:textId="77777777">
        <w:tblPrEx>
          <w:tblCellMar>
            <w:top w:w="0" w:type="dxa"/>
            <w:bottom w:w="0" w:type="dxa"/>
          </w:tblCellMar>
        </w:tblPrEx>
        <w:trPr>
          <w:trHeight w:hRule="exact" w:val="230"/>
          <w:jc w:val="center"/>
        </w:trPr>
        <w:tc>
          <w:tcPr>
            <w:tcW w:w="2861" w:type="dxa"/>
            <w:gridSpan w:val="2"/>
            <w:shd w:val="clear" w:color="auto" w:fill="FFFFFF"/>
          </w:tcPr>
          <w:p w14:paraId="14B0AEB2" w14:textId="77777777" w:rsidR="00924992" w:rsidRDefault="00924992">
            <w:pPr>
              <w:pStyle w:val="Other0"/>
              <w:spacing w:line="240" w:lineRule="auto"/>
              <w:ind w:firstLine="0"/>
              <w:rPr>
                <w:sz w:val="16"/>
                <w:szCs w:val="16"/>
              </w:rPr>
            </w:pPr>
            <w:r>
              <w:rPr>
                <w:rFonts w:ascii="Times New Roman" w:eastAsia="Times New Roman" w:hAnsi="Times New Roman" w:cs="Times New Roman"/>
                <w:sz w:val="16"/>
                <w:szCs w:val="16"/>
              </w:rPr>
              <w:t>• Pérdida de continuidad de la piel o las</w:t>
            </w:r>
          </w:p>
        </w:tc>
        <w:tc>
          <w:tcPr>
            <w:tcW w:w="1968" w:type="dxa"/>
            <w:shd w:val="clear" w:color="auto" w:fill="FFFFFF"/>
          </w:tcPr>
          <w:p w14:paraId="592A971D" w14:textId="77777777" w:rsidR="00924992" w:rsidRDefault="00924992">
            <w:pPr>
              <w:pStyle w:val="Other0"/>
              <w:spacing w:line="240" w:lineRule="auto"/>
              <w:ind w:firstLine="0"/>
              <w:rPr>
                <w:sz w:val="16"/>
                <w:szCs w:val="16"/>
              </w:rPr>
            </w:pPr>
            <w:r>
              <w:rPr>
                <w:rFonts w:ascii="Times New Roman" w:eastAsia="Times New Roman" w:hAnsi="Times New Roman" w:cs="Times New Roman"/>
                <w:sz w:val="16"/>
                <w:szCs w:val="16"/>
              </w:rPr>
              <w:t>mucosas</w:t>
            </w:r>
          </w:p>
        </w:tc>
        <w:tc>
          <w:tcPr>
            <w:tcW w:w="1123" w:type="dxa"/>
            <w:shd w:val="clear" w:color="auto" w:fill="FFFFFF"/>
          </w:tcPr>
          <w:p w14:paraId="51F41311" w14:textId="77777777" w:rsidR="00924992" w:rsidRDefault="00924992">
            <w:pPr>
              <w:rPr>
                <w:sz w:val="10"/>
                <w:szCs w:val="10"/>
              </w:rPr>
            </w:pPr>
          </w:p>
        </w:tc>
      </w:tr>
    </w:tbl>
    <w:p w14:paraId="73DA5CF0" w14:textId="77777777" w:rsidR="00924992" w:rsidRDefault="00924992">
      <w:pPr>
        <w:pStyle w:val="Tablecaption0"/>
        <w:tabs>
          <w:tab w:val="left" w:pos="2885"/>
        </w:tabs>
        <w:spacing w:line="240" w:lineRule="auto"/>
        <w:ind w:left="0"/>
        <w:rPr>
          <w:sz w:val="16"/>
          <w:szCs w:val="16"/>
        </w:rPr>
      </w:pPr>
      <w:r>
        <w:rPr>
          <w:sz w:val="16"/>
          <w:szCs w:val="16"/>
        </w:rPr>
        <w:t>Dermatitis</w:t>
      </w:r>
      <w:r>
        <w:rPr>
          <w:sz w:val="16"/>
          <w:szCs w:val="16"/>
        </w:rPr>
        <w:tab/>
        <w:t>Superficial o penetrante, traumatismo</w:t>
      </w:r>
    </w:p>
    <w:p w14:paraId="1B2C4DE3" w14:textId="77777777" w:rsidR="00924992" w:rsidRDefault="00924992">
      <w:pPr>
        <w:pStyle w:val="Tablecaption0"/>
        <w:tabs>
          <w:tab w:val="left" w:pos="2981"/>
        </w:tabs>
        <w:spacing w:line="240" w:lineRule="auto"/>
        <w:ind w:left="0"/>
        <w:rPr>
          <w:sz w:val="16"/>
          <w:szCs w:val="16"/>
        </w:rPr>
      </w:pPr>
      <w:r>
        <w:rPr>
          <w:sz w:val="16"/>
          <w:szCs w:val="16"/>
        </w:rPr>
        <w:t>Posparto (parto vaginal)</w:t>
      </w:r>
      <w:r>
        <w:rPr>
          <w:sz w:val="16"/>
          <w:szCs w:val="16"/>
        </w:rPr>
        <w:tab/>
        <w:t>(como picaduras de insectos o pinchazo</w:t>
      </w:r>
    </w:p>
    <w:p w14:paraId="0DB4CA1F" w14:textId="77777777" w:rsidR="00924992" w:rsidRDefault="00924992">
      <w:pPr>
        <w:pStyle w:val="Tablecaption0"/>
        <w:tabs>
          <w:tab w:val="left" w:pos="2976"/>
        </w:tabs>
        <w:spacing w:line="240" w:lineRule="auto"/>
        <w:ind w:left="0"/>
        <w:rPr>
          <w:sz w:val="16"/>
          <w:szCs w:val="16"/>
        </w:rPr>
      </w:pPr>
      <w:r>
        <w:rPr>
          <w:sz w:val="16"/>
          <w:szCs w:val="16"/>
        </w:rPr>
        <w:t>Quemaduras (por sustancias</w:t>
      </w:r>
      <w:r>
        <w:rPr>
          <w:sz w:val="16"/>
          <w:szCs w:val="16"/>
        </w:rPr>
        <w:tab/>
        <w:t>de aguja)</w:t>
      </w:r>
    </w:p>
    <w:p w14:paraId="6BBAB3C4" w14:textId="77777777" w:rsidR="00924992" w:rsidRDefault="00924992">
      <w:pPr>
        <w:pStyle w:val="Tablecaption0"/>
        <w:spacing w:line="240" w:lineRule="auto"/>
        <w:ind w:left="0"/>
        <w:rPr>
          <w:sz w:val="16"/>
          <w:szCs w:val="16"/>
        </w:rPr>
      </w:pPr>
      <w:r>
        <w:rPr>
          <w:sz w:val="16"/>
          <w:szCs w:val="16"/>
        </w:rPr>
        <w:t>químicas o calor)</w:t>
      </w:r>
    </w:p>
    <w:p w14:paraId="748F625B" w14:textId="77777777" w:rsidR="00924992" w:rsidRDefault="00924992">
      <w:pPr>
        <w:pStyle w:val="Tablecaption0"/>
        <w:numPr>
          <w:ilvl w:val="0"/>
          <w:numId w:val="114"/>
        </w:numPr>
        <w:tabs>
          <w:tab w:val="left" w:pos="115"/>
        </w:tabs>
        <w:spacing w:line="240" w:lineRule="auto"/>
        <w:ind w:left="0"/>
        <w:rPr>
          <w:sz w:val="16"/>
          <w:szCs w:val="16"/>
        </w:rPr>
      </w:pPr>
      <w:r>
        <w:rPr>
          <w:sz w:val="16"/>
          <w:szCs w:val="16"/>
        </w:rPr>
        <w:t>Colocación quirúrgica o introducción no quirúrgica de cuerpo extraño</w:t>
      </w:r>
    </w:p>
    <w:p w14:paraId="3BBD3C83" w14:textId="77777777" w:rsidR="00924992" w:rsidRDefault="00924992">
      <w:pPr>
        <w:pStyle w:val="Tablecaption0"/>
        <w:tabs>
          <w:tab w:val="left" w:pos="2894"/>
        </w:tabs>
        <w:spacing w:line="240" w:lineRule="auto"/>
        <w:ind w:left="0"/>
        <w:rPr>
          <w:sz w:val="16"/>
          <w:szCs w:val="16"/>
        </w:rPr>
      </w:pPr>
      <w:r>
        <w:rPr>
          <w:sz w:val="16"/>
          <w:szCs w:val="16"/>
        </w:rPr>
        <w:t>Aumento, mamoplastia por</w:t>
      </w:r>
      <w:r>
        <w:rPr>
          <w:sz w:val="16"/>
          <w:szCs w:val="16"/>
        </w:rPr>
        <w:tab/>
        <w:t>Quirúrgicas, prótesis, endoprótesis,</w:t>
      </w:r>
    </w:p>
    <w:p w14:paraId="65C74661" w14:textId="77777777" w:rsidR="00924992" w:rsidRDefault="00924992">
      <w:pPr>
        <w:pStyle w:val="Tablecaption0"/>
        <w:tabs>
          <w:tab w:val="left" w:pos="2851"/>
        </w:tabs>
        <w:spacing w:line="240" w:lineRule="auto"/>
        <w:ind w:left="0"/>
        <w:rPr>
          <w:sz w:val="16"/>
          <w:szCs w:val="16"/>
        </w:rPr>
      </w:pPr>
      <w:r>
        <w:rPr>
          <w:sz w:val="16"/>
          <w:szCs w:val="16"/>
        </w:rPr>
        <w:t>Catéteres</w:t>
      </w:r>
      <w:r>
        <w:rPr>
          <w:sz w:val="16"/>
          <w:szCs w:val="16"/>
        </w:rPr>
        <w:tab/>
        <w:t>material de taponamiento o suturas</w:t>
      </w:r>
    </w:p>
    <w:p w14:paraId="28E3DA72" w14:textId="77777777" w:rsidR="00924992" w:rsidRDefault="00924992">
      <w:pPr>
        <w:pStyle w:val="Tablecaption0"/>
        <w:tabs>
          <w:tab w:val="left" w:pos="2856"/>
        </w:tabs>
        <w:spacing w:line="240" w:lineRule="auto"/>
        <w:ind w:left="0"/>
        <w:rPr>
          <w:sz w:val="16"/>
          <w:szCs w:val="16"/>
        </w:rPr>
      </w:pPr>
      <w:r>
        <w:rPr>
          <w:sz w:val="16"/>
          <w:szCs w:val="16"/>
        </w:rPr>
        <w:t>Diafragma (anticonceptivo)</w:t>
      </w:r>
      <w:r>
        <w:rPr>
          <w:sz w:val="16"/>
          <w:szCs w:val="16"/>
        </w:rPr>
        <w:tab/>
        <w:t>Tampones</w:t>
      </w:r>
    </w:p>
    <w:p w14:paraId="48400DC6" w14:textId="77777777" w:rsidR="00924992" w:rsidRDefault="00924992">
      <w:pPr>
        <w:pStyle w:val="Tablecaption0"/>
        <w:spacing w:line="240" w:lineRule="auto"/>
        <w:ind w:left="0"/>
        <w:rPr>
          <w:sz w:val="16"/>
          <w:szCs w:val="16"/>
        </w:rPr>
      </w:pPr>
      <w:r>
        <w:rPr>
          <w:sz w:val="16"/>
          <w:szCs w:val="16"/>
        </w:rPr>
        <w:t>Esponja (anticonceptiva)</w:t>
      </w:r>
    </w:p>
    <w:p w14:paraId="5C5D2DE9" w14:textId="77777777" w:rsidR="00924992" w:rsidRDefault="00924992">
      <w:pPr>
        <w:pStyle w:val="Tablecaption0"/>
        <w:numPr>
          <w:ilvl w:val="0"/>
          <w:numId w:val="114"/>
        </w:numPr>
        <w:tabs>
          <w:tab w:val="left" w:pos="106"/>
        </w:tabs>
        <w:spacing w:line="240" w:lineRule="auto"/>
        <w:ind w:left="0"/>
        <w:rPr>
          <w:sz w:val="16"/>
          <w:szCs w:val="16"/>
        </w:rPr>
      </w:pPr>
      <w:r>
        <w:rPr>
          <w:sz w:val="16"/>
          <w:szCs w:val="16"/>
        </w:rPr>
        <w:t>Ningún foco obvio de infección (a menudo sinusitis, absceso oculto o bacteriemia)</w:t>
      </w:r>
    </w:p>
    <w:p w14:paraId="7DB71A55" w14:textId="77777777" w:rsidR="00924992" w:rsidRDefault="00924992">
      <w:pPr>
        <w:pStyle w:val="BodyText"/>
        <w:ind w:firstLine="380"/>
      </w:pPr>
      <w:r>
        <w:t xml:space="preserve">TSS mediada por </w:t>
      </w:r>
      <w:r>
        <w:rPr>
          <w:rFonts w:ascii="Times New Roman" w:eastAsia="Times New Roman" w:hAnsi="Times New Roman" w:cs="Times New Roman"/>
          <w:i/>
          <w:iCs/>
          <w:sz w:val="16"/>
          <w:szCs w:val="16"/>
        </w:rPr>
        <w:t>Streptococcus pyogenes.</w:t>
      </w:r>
      <w:r>
        <w:t xml:space="preserve"> Los resultados de cultivos de sangre muestran la presencia de </w:t>
      </w:r>
      <w:r>
        <w:rPr>
          <w:rFonts w:ascii="Times New Roman" w:eastAsia="Times New Roman" w:hAnsi="Times New Roman" w:cs="Times New Roman"/>
          <w:i/>
          <w:iCs/>
          <w:sz w:val="16"/>
          <w:szCs w:val="16"/>
        </w:rPr>
        <w:t>S. pyogenes</w:t>
      </w:r>
      <w:r>
        <w:t xml:space="preserve"> en más de la mitad de individuos con TSS mediada por dicho germen. Los resultados de cultivos del material del sitio de la infección casi siempre son positivos, y pueden seguir siéndolo varios días después de haber emprendido el uso de los antimicrobianos apropiados. Uniformemente </w:t>
      </w:r>
      <w:r>
        <w:rPr>
          <w:rFonts w:ascii="Times New Roman" w:eastAsia="Times New Roman" w:hAnsi="Times New Roman" w:cs="Times New Roman"/>
          <w:i/>
          <w:iCs/>
          <w:sz w:val="16"/>
          <w:szCs w:val="16"/>
        </w:rPr>
        <w:t>Streptococcus pyogenes</w:t>
      </w:r>
      <w:r>
        <w:t xml:space="preserve"> es susceptible a antimicrobianos lactámicos beta. La susceptibilidad a antimicrobianos debe identificarse sólo para agentes antimicrobianos que no son lactámicos beta, como clindamicina y eritromicina, a los cuales pudiera ser resistente </w:t>
      </w:r>
      <w:r>
        <w:rPr>
          <w:rFonts w:ascii="Times New Roman" w:eastAsia="Times New Roman" w:hAnsi="Times New Roman" w:cs="Times New Roman"/>
          <w:i/>
          <w:iCs/>
          <w:sz w:val="16"/>
          <w:szCs w:val="16"/>
        </w:rPr>
        <w:t>S. pyogenes.</w:t>
      </w:r>
      <w:r>
        <w:t xml:space="preserve"> El incremento significativo de los títulos de anticuerpo a antiestreptolisina O, antidesoxirribonucleasa B u otros productos extracelulares estreptocócicos cuatro a seis semanas después de la infección, permitirá confirmar el diagnóstico en caso de que los resultados de los cultivos sean negativos.</w:t>
      </w:r>
    </w:p>
    <w:p w14:paraId="747A3526" w14:textId="77777777" w:rsidR="00924992" w:rsidRDefault="00924992">
      <w:pPr>
        <w:pStyle w:val="BodyText"/>
        <w:spacing w:after="120"/>
        <w:ind w:firstLine="380"/>
      </w:pPr>
      <w:r>
        <w:t xml:space="preserve">En las dos formas de TSS, los datos de estudios de laboratorio pueden denotar ataque de múltiples órganos y sistemas y coagulación intravascular diseminada. </w:t>
      </w:r>
      <w:r>
        <w:rPr>
          <w:b/>
          <w:bCs/>
        </w:rPr>
        <w:t>T</w:t>
      </w:r>
      <w:r>
        <w:rPr>
          <w:b/>
          <w:bCs/>
          <w:sz w:val="13"/>
          <w:szCs w:val="13"/>
        </w:rPr>
        <w:t>RATAMIENTO</w:t>
      </w:r>
      <w:r>
        <w:rPr>
          <w:b/>
          <w:bCs/>
        </w:rPr>
        <w:t xml:space="preserve">: </w:t>
      </w:r>
      <w:r>
        <w:t xml:space="preserve">Como se señala en los cuadros 3-7 y 3-8, muchos de los aspectos del tratamiento son válidos en ambas formas de TSS, es decir la causada por </w:t>
      </w:r>
      <w:r>
        <w:rPr>
          <w:rFonts w:ascii="Times New Roman" w:eastAsia="Times New Roman" w:hAnsi="Times New Roman" w:cs="Times New Roman"/>
          <w:i/>
          <w:iCs/>
          <w:sz w:val="16"/>
          <w:szCs w:val="16"/>
        </w:rPr>
        <w:t>S. aureus</w:t>
      </w:r>
      <w:r>
        <w:t xml:space="preserve"> y por </w:t>
      </w:r>
      <w:r>
        <w:rPr>
          <w:rFonts w:ascii="Times New Roman" w:eastAsia="Times New Roman" w:hAnsi="Times New Roman" w:cs="Times New Roman"/>
          <w:i/>
          <w:iCs/>
          <w:sz w:val="16"/>
          <w:szCs w:val="16"/>
        </w:rPr>
        <w:t>S. pyogenes.</w:t>
      </w:r>
      <w:r>
        <w:t xml:space="preserve"> La prioridad primera es la fluidoterapia intensiva, así como el tratamiento de insuficiencias respiratorias o cardiacas, o de arritmias si las hay. Dado que quizá no se pueda diferenciar entre las dos formas de TSS, el tratamiento inicial con antimicrobianos sobre bases empíricas puede incluir un antiestafilocócico resistente a lactamasa beta y otro antimicrobiano que inhiba la síntesis de proteína como la clindamicina. Ambos deben ser administrados por vía parenteral en dosis máximas correspondientes a la edad. En los ratones, la clindamicina es más eficaz que la penicilina para combatir infecciones establecidas por </w:t>
      </w:r>
      <w:r>
        <w:rPr>
          <w:rFonts w:ascii="Times New Roman" w:eastAsia="Times New Roman" w:hAnsi="Times New Roman" w:cs="Times New Roman"/>
          <w:i/>
          <w:iCs/>
          <w:sz w:val="16"/>
          <w:szCs w:val="16"/>
        </w:rPr>
        <w:t>S. pyogenes,</w:t>
      </w:r>
      <w:r>
        <w:t xml:space="preserve"> porque la actividad antimicrobiana de dicho antibiótico no es modificada por el tamaño del inóculo, posee un efecto largo posantimicrobiano y actúa en las bacterias al inhibir la síntesis de proteína. La inhibición de la síntesis mencionada hace que quede suprimida la generación de la proteína M antifagocítica de </w:t>
      </w:r>
      <w:r>
        <w:rPr>
          <w:rFonts w:ascii="Times New Roman" w:eastAsia="Times New Roman" w:hAnsi="Times New Roman" w:cs="Times New Roman"/>
          <w:i/>
          <w:iCs/>
          <w:sz w:val="16"/>
          <w:szCs w:val="16"/>
        </w:rPr>
        <w:t>S. pyogenes</w:t>
      </w:r>
      <w:r>
        <w:t xml:space="preserve"> y toxinas bacterianas. Es importante no utilizar la clindamicina sola como terapia empírica inicial porque en Estados Unidos se sabe que 1 a 2% de las cepas de </w:t>
      </w:r>
      <w:r>
        <w:rPr>
          <w:rFonts w:ascii="Times New Roman" w:eastAsia="Times New Roman" w:hAnsi="Times New Roman" w:cs="Times New Roman"/>
          <w:i/>
          <w:iCs/>
          <w:sz w:val="16"/>
          <w:szCs w:val="16"/>
        </w:rPr>
        <w:t>S. pyogenes</w:t>
      </w:r>
      <w:r>
        <w:t xml:space="preserve"> son resistentes a ella. Las cepas de </w:t>
      </w:r>
      <w:r>
        <w:rPr>
          <w:rFonts w:ascii="Times New Roman" w:eastAsia="Times New Roman" w:hAnsi="Times New Roman" w:cs="Times New Roman"/>
          <w:i/>
          <w:iCs/>
          <w:sz w:val="16"/>
          <w:szCs w:val="16"/>
        </w:rPr>
        <w:t>S. aureus</w:t>
      </w:r>
      <w:r>
        <w:t xml:space="preserve"> resistentes a meticilina han originado menos de 1% de los casos de TSS, y es mejor no utilizar sistemáticamente el clorhidrato de vancomicina como fármaco inicial sobre bases empíricas.</w:t>
      </w:r>
    </w:p>
    <w:p w14:paraId="0F55DFD4" w14:textId="77777777" w:rsidR="00924992" w:rsidRDefault="00924992">
      <w:pPr>
        <w:pStyle w:val="Heading31"/>
        <w:keepNext/>
        <w:keepLines/>
        <w:pBdr>
          <w:bottom w:val="single" w:sz="4" w:space="0" w:color="auto"/>
        </w:pBdr>
        <w:spacing w:line="211" w:lineRule="auto"/>
        <w:jc w:val="center"/>
      </w:pPr>
      <w:bookmarkStart w:id="66" w:name="bookmark1521"/>
      <w:bookmarkStart w:id="67" w:name="bookmark1522"/>
      <w:bookmarkStart w:id="68" w:name="bookmark1523"/>
      <w:r>
        <w:rPr>
          <w:b w:val="0"/>
          <w:bCs w:val="0"/>
        </w:rPr>
        <w:t xml:space="preserve">Cuadro 3-7. </w:t>
      </w:r>
      <w:r>
        <w:t>Tratamiento del síndrome de choque tóxico</w:t>
      </w:r>
      <w:r>
        <w:br/>
        <w:t>por estafilococos o estreptococos sin fasciitis necrosante</w:t>
      </w:r>
      <w:bookmarkEnd w:id="66"/>
      <w:bookmarkEnd w:id="67"/>
      <w:bookmarkEnd w:id="68"/>
    </w:p>
    <w:p w14:paraId="6C788694" w14:textId="77777777" w:rsidR="00924992" w:rsidRDefault="00924992">
      <w:pPr>
        <w:pStyle w:val="Heading31"/>
        <w:keepNext/>
        <w:keepLines/>
        <w:pBdr>
          <w:bottom w:val="single" w:sz="4" w:space="0" w:color="auto"/>
        </w:pBdr>
        <w:spacing w:after="400" w:line="211" w:lineRule="auto"/>
        <w:jc w:val="center"/>
      </w:pPr>
      <w:bookmarkStart w:id="69" w:name="bookmark1524"/>
      <w:bookmarkStart w:id="70" w:name="bookmark1525"/>
      <w:bookmarkStart w:id="71" w:name="bookmark1526"/>
      <w:r>
        <w:rPr>
          <w:b w:val="0"/>
          <w:bCs w:val="0"/>
        </w:rPr>
        <w:t xml:space="preserve">Cuadro 3-8. </w:t>
      </w:r>
      <w:r>
        <w:t>Tratamiento del síndrome de choque tóxico</w:t>
      </w:r>
      <w:r>
        <w:br/>
        <w:t xml:space="preserve">por estreptococos </w:t>
      </w:r>
      <w:r>
        <w:rPr>
          <w:i/>
          <w:iCs/>
        </w:rPr>
        <w:t>con</w:t>
      </w:r>
      <w:r>
        <w:t xml:space="preserve"> fasciitis necrosante</w:t>
      </w:r>
      <w:bookmarkEnd w:id="69"/>
      <w:bookmarkEnd w:id="70"/>
      <w:bookmarkEnd w:id="71"/>
    </w:p>
    <w:p w14:paraId="66CFCF4E" w14:textId="77777777" w:rsidR="00924992" w:rsidRDefault="00924992">
      <w:pPr>
        <w:pStyle w:val="Bodytext20"/>
        <w:numPr>
          <w:ilvl w:val="0"/>
          <w:numId w:val="109"/>
        </w:numPr>
        <w:tabs>
          <w:tab w:val="left" w:pos="248"/>
        </w:tabs>
      </w:pPr>
      <w:bookmarkStart w:id="72" w:name="bookmark1527"/>
      <w:bookmarkEnd w:id="72"/>
      <w:r>
        <w:t>Principios señalados en el cuadro 3-7</w:t>
      </w:r>
    </w:p>
    <w:p w14:paraId="4D50C0C5" w14:textId="77777777" w:rsidR="00924992" w:rsidRDefault="00924992">
      <w:pPr>
        <w:pStyle w:val="Bodytext20"/>
        <w:numPr>
          <w:ilvl w:val="0"/>
          <w:numId w:val="109"/>
        </w:numPr>
        <w:tabs>
          <w:tab w:val="left" w:pos="248"/>
        </w:tabs>
      </w:pPr>
      <w:bookmarkStart w:id="73" w:name="bookmark1528"/>
      <w:bookmarkEnd w:id="73"/>
      <w:r>
        <w:t>Valoración quirúrgica inmediata</w:t>
      </w:r>
    </w:p>
    <w:p w14:paraId="2E0032D0" w14:textId="77777777" w:rsidR="00924992" w:rsidRDefault="00924992">
      <w:pPr>
        <w:pStyle w:val="Bodytext20"/>
        <w:numPr>
          <w:ilvl w:val="0"/>
          <w:numId w:val="109"/>
        </w:numPr>
        <w:tabs>
          <w:tab w:val="left" w:pos="488"/>
        </w:tabs>
        <w:ind w:firstLine="240"/>
      </w:pPr>
      <w:bookmarkStart w:id="74" w:name="bookmark1529"/>
      <w:bookmarkEnd w:id="74"/>
      <w:r>
        <w:t>Exploración o incisión y biopsia para el diagnóstico y el cultivo</w:t>
      </w:r>
    </w:p>
    <w:p w14:paraId="58AA28F5" w14:textId="77777777" w:rsidR="00924992" w:rsidRDefault="00924992">
      <w:pPr>
        <w:pStyle w:val="Bodytext20"/>
        <w:numPr>
          <w:ilvl w:val="0"/>
          <w:numId w:val="109"/>
        </w:numPr>
        <w:tabs>
          <w:tab w:val="left" w:pos="488"/>
        </w:tabs>
        <w:ind w:firstLine="240"/>
      </w:pPr>
      <w:bookmarkStart w:id="75" w:name="bookmark1530"/>
      <w:bookmarkEnd w:id="75"/>
      <w:r>
        <w:t>Extirpación de todo el tejido necrótico</w:t>
      </w:r>
    </w:p>
    <w:p w14:paraId="12F21F37" w14:textId="77777777" w:rsidR="00924992" w:rsidRDefault="00924992">
      <w:pPr>
        <w:pStyle w:val="Bodytext20"/>
        <w:numPr>
          <w:ilvl w:val="0"/>
          <w:numId w:val="109"/>
        </w:numPr>
        <w:pBdr>
          <w:bottom w:val="single" w:sz="4" w:space="0" w:color="auto"/>
        </w:pBdr>
        <w:tabs>
          <w:tab w:val="left" w:pos="248"/>
        </w:tabs>
        <w:ind w:left="240" w:hanging="240"/>
        <w:sectPr w:rsidR="00924992" w:rsidSect="00924992">
          <w:headerReference w:type="even" r:id="rId63"/>
          <w:headerReference w:type="default" r:id="rId64"/>
          <w:footerReference w:type="even" r:id="rId65"/>
          <w:footerReference w:type="default" r:id="rId66"/>
          <w:type w:val="continuous"/>
          <w:pgSz w:w="8501" w:h="13022"/>
          <w:pgMar w:top="898" w:right="780" w:bottom="509" w:left="828" w:header="0" w:footer="3" w:gutter="0"/>
          <w:cols w:space="720"/>
          <w:noEndnote/>
          <w:docGrid w:linePitch="360"/>
          <w15:footnoteColumns w:val="1"/>
        </w:sectPr>
      </w:pPr>
      <w:bookmarkStart w:id="76" w:name="bookmark1531"/>
      <w:bookmarkEnd w:id="76"/>
      <w:r>
        <w:t>Repetir la extirpación del tejido, medida que se necesita a veces si persiste o evoluciona la infección</w:t>
      </w:r>
    </w:p>
    <w:p w14:paraId="6DA43D25" w14:textId="77777777" w:rsidR="00924992" w:rsidRDefault="00924992">
      <w:pPr>
        <w:pStyle w:val="BodyText"/>
        <w:spacing w:line="266" w:lineRule="auto"/>
        <w:ind w:firstLine="0"/>
      </w:pPr>
      <w:r>
        <w:rPr>
          <w:b/>
          <w:bCs/>
          <w:smallCaps/>
          <w:sz w:val="20"/>
          <w:szCs w:val="20"/>
        </w:rPr>
        <w:t>A</w:t>
      </w:r>
      <w:r>
        <w:rPr>
          <w:b/>
          <w:bCs/>
          <w:smallCaps/>
          <w:sz w:val="16"/>
          <w:szCs w:val="16"/>
        </w:rPr>
        <w:t>islamiento del paciente hospitalizado</w:t>
      </w:r>
      <w:r>
        <w:rPr>
          <w:b/>
          <w:bCs/>
          <w:smallCaps/>
          <w:sz w:val="20"/>
          <w:szCs w:val="20"/>
        </w:rPr>
        <w:t>:</w:t>
      </w:r>
      <w:r>
        <w:t xml:space="preserve"> En todos los pacientes de TSS atribuible a </w:t>
      </w:r>
      <w:r>
        <w:rPr>
          <w:rFonts w:ascii="Times New Roman" w:eastAsia="Times New Roman" w:hAnsi="Times New Roman" w:cs="Times New Roman"/>
          <w:i/>
          <w:iCs/>
          <w:sz w:val="16"/>
          <w:szCs w:val="16"/>
        </w:rPr>
        <w:t>S, pyogenes</w:t>
      </w:r>
      <w:r>
        <w:t xml:space="preserve"> se recomienda seguir las precauciones estándar, así como las que evitan la transmisión por gotículas y contactos. La transmisión directa de </w:t>
      </w:r>
      <w:r>
        <w:rPr>
          <w:rFonts w:ascii="Times New Roman" w:eastAsia="Times New Roman" w:hAnsi="Times New Roman" w:cs="Times New Roman"/>
          <w:i/>
          <w:iCs/>
          <w:sz w:val="16"/>
          <w:szCs w:val="16"/>
        </w:rPr>
        <w:t>S, aureus</w:t>
      </w:r>
      <w:r>
        <w:t xml:space="preserve"> en TSS es poco común, por lo que se necesitan sólo las precauciones estándar.</w:t>
      </w:r>
    </w:p>
    <w:p w14:paraId="50CAAF2C" w14:textId="77777777" w:rsidR="00924992" w:rsidRDefault="00924992">
      <w:pPr>
        <w:pStyle w:val="BodyText"/>
        <w:ind w:firstLine="0"/>
      </w:pPr>
      <w:r>
        <w:rPr>
          <w:b/>
          <w:bCs/>
        </w:rPr>
        <w:t>M</w:t>
      </w:r>
      <w:r>
        <w:rPr>
          <w:b/>
          <w:bCs/>
          <w:sz w:val="13"/>
          <w:szCs w:val="13"/>
        </w:rPr>
        <w:t xml:space="preserve">EDIDAS </w:t>
      </w:r>
      <w:r>
        <w:rPr>
          <w:b/>
          <w:bCs/>
          <w:smallCaps/>
          <w:sz w:val="16"/>
          <w:szCs w:val="16"/>
        </w:rPr>
        <w:t>preventivas</w:t>
      </w:r>
      <w:r>
        <w:rPr>
          <w:b/>
          <w:bCs/>
          <w:smallCaps/>
          <w:sz w:val="20"/>
          <w:szCs w:val="20"/>
        </w:rPr>
        <w:t>:</w:t>
      </w:r>
      <w:r>
        <w:t xml:space="preserve"> Las medidas preventivas de TSS mediada por </w:t>
      </w:r>
      <w:r>
        <w:rPr>
          <w:rFonts w:ascii="Times New Roman" w:eastAsia="Times New Roman" w:hAnsi="Times New Roman" w:cs="Times New Roman"/>
          <w:i/>
          <w:iCs/>
          <w:sz w:val="16"/>
          <w:szCs w:val="16"/>
        </w:rPr>
        <w:t>S, pyogenes</w:t>
      </w:r>
      <w:r>
        <w:t xml:space="preserve"> son iguales a las que se siguen en otras formas de infecciones estreptocócicas del grupo A invasoras y graves (véase “Estreptococos del grupo A, infecciones”, en esta sección).</w:t>
      </w:r>
    </w:p>
    <w:p w14:paraId="0AAF1935" w14:textId="77777777" w:rsidR="00924992" w:rsidRDefault="00924992">
      <w:pPr>
        <w:pStyle w:val="BodyText"/>
        <w:spacing w:after="100"/>
        <w:ind w:firstLine="360"/>
      </w:pPr>
      <w:r>
        <w:t xml:space="preserve">En el caso de TSS mediada por </w:t>
      </w:r>
      <w:r>
        <w:rPr>
          <w:rFonts w:ascii="Times New Roman" w:eastAsia="Times New Roman" w:hAnsi="Times New Roman" w:cs="Times New Roman"/>
          <w:i/>
          <w:iCs/>
          <w:sz w:val="16"/>
          <w:szCs w:val="16"/>
        </w:rPr>
        <w:t>S, aureus,</w:t>
      </w:r>
      <w:r>
        <w:t xml:space="preserve"> las medidas preventivas son iguales a las que se siguen en otras formas de enfermedades graves por estafilococos (véase “Estafilococos, infecciones”, en esta sección).</w:t>
      </w:r>
    </w:p>
    <w:p w14:paraId="7A66C125" w14:textId="77777777" w:rsidR="00924992" w:rsidRDefault="00924992">
      <w:pPr>
        <w:pStyle w:val="Bodytext70"/>
        <w:spacing w:after="0"/>
      </w:pPr>
      <w:r>
        <w:t>Citomegálico, virus, infecciones</w:t>
      </w:r>
    </w:p>
    <w:p w14:paraId="530C9FCD" w14:textId="77777777" w:rsidR="00924992" w:rsidRDefault="00924992">
      <w:pPr>
        <w:pStyle w:val="BodyText"/>
        <w:ind w:firstLine="0"/>
      </w:pPr>
      <w:r>
        <w:rPr>
          <w:b/>
          <w:bCs/>
        </w:rPr>
        <w:t>M</w:t>
      </w:r>
      <w:r>
        <w:rPr>
          <w:b/>
          <w:bCs/>
          <w:sz w:val="13"/>
          <w:szCs w:val="13"/>
        </w:rPr>
        <w:t xml:space="preserve">ANIFESTACIONES </w:t>
      </w:r>
      <w:r>
        <w:rPr>
          <w:b/>
          <w:bCs/>
          <w:smallCaps/>
          <w:sz w:val="16"/>
          <w:szCs w:val="16"/>
        </w:rPr>
        <w:t>clínicas</w:t>
      </w:r>
      <w:r>
        <w:rPr>
          <w:b/>
          <w:bCs/>
          <w:smallCaps/>
          <w:sz w:val="20"/>
          <w:szCs w:val="20"/>
        </w:rPr>
        <w:t>:</w:t>
      </w:r>
      <w:r>
        <w:t xml:space="preserve"> Las manifestaciones de la infección por dicho virus varían con la edad del hospedador y su estado de inmunocompetencia. Los cuadros asintomáticos son los más frecuentes, particularmente en niños. En adolescentes y adultos surge un síndrome similar al de la mononucleosis infecciosa, que comprende fiebre duradera y hepatitis mínima, en ausencia de producción de anticuerpos heterófilos. Se observan neumonía, colitis y retinitis en hospedadores inmunodeficientes (particularmente entre quienes son tratados contra cánceres), en personas infectadas del virus de inmunodeficiencia humana (VIH) y en pacientes que reciben inmunosupresores por algún trasplante de órganos.</w:t>
      </w:r>
    </w:p>
    <w:p w14:paraId="265B62F3" w14:textId="77777777" w:rsidR="00924992" w:rsidRDefault="00924992">
      <w:pPr>
        <w:pStyle w:val="BodyText"/>
        <w:ind w:firstLine="360"/>
      </w:pPr>
      <w:r>
        <w:t>La infección congénita tiene manifestaciones muy diversas, aunque por lo común no origina síntomas. Se observa que algunos productos infectados en forma congénita que no muestran síntomas al nacer más tarde tienen hipoacusia o discapacidades del aprendizaje. En promedio, 10% de los pequeños con infección congénita tienen ataque profundo que se manifiesta ya desde el nacimiento, con signos que incluyen retardo del crecimiento intrauterino, ictericia, púrpura, hepatosplenomegalia, microcefalia, calcificaciones intracerebrales y retinitis.</w:t>
      </w:r>
    </w:p>
    <w:p w14:paraId="1AEFD833" w14:textId="77777777" w:rsidR="00924992" w:rsidRDefault="00924992">
      <w:pPr>
        <w:pStyle w:val="BodyText"/>
        <w:ind w:firstLine="360"/>
      </w:pPr>
      <w:r>
        <w:t>La infección adquirida al nacer el producto o poco después, por las secreciones cervicouterinas de la gestante o de la leche materna, generalmente no se acompaña de enfermedad clínica. La infección que es consecuencia de transfusión de sangre o hemoderivados de donantes seropositivos (que tienen virus citomegálico) a pequeños pretérmino, ha ocasionado síntomas sistémicos, incluida la enfermedad de la porción baja de las vías respiratorias.</w:t>
      </w:r>
    </w:p>
    <w:p w14:paraId="7E45E0C9" w14:textId="77777777" w:rsidR="00924992" w:rsidRDefault="00924992">
      <w:pPr>
        <w:pStyle w:val="BodyText"/>
        <w:ind w:firstLine="0"/>
      </w:pPr>
      <w:r>
        <w:rPr>
          <w:b/>
          <w:bCs/>
        </w:rPr>
        <w:t>C</w:t>
      </w:r>
      <w:r>
        <w:rPr>
          <w:b/>
          <w:bCs/>
          <w:sz w:val="13"/>
          <w:szCs w:val="13"/>
        </w:rPr>
        <w:t>AUSA</w:t>
      </w:r>
      <w:r>
        <w:rPr>
          <w:b/>
          <w:bCs/>
        </w:rPr>
        <w:t xml:space="preserve">: </w:t>
      </w:r>
      <w:r>
        <w:t>Virus citomegálico humano, que posee DNA y es miembro del grupo de virus herpéticos.</w:t>
      </w:r>
    </w:p>
    <w:p w14:paraId="59CD6B11" w14:textId="77777777" w:rsidR="00924992" w:rsidRDefault="00924992">
      <w:pPr>
        <w:pStyle w:val="BodyText"/>
        <w:ind w:firstLine="0"/>
      </w:pPr>
      <w:r>
        <w:rPr>
          <w:b/>
          <w:bCs/>
        </w:rPr>
        <w:t>A</w:t>
      </w:r>
      <w:r>
        <w:rPr>
          <w:b/>
          <w:bCs/>
          <w:sz w:val="13"/>
          <w:szCs w:val="13"/>
        </w:rPr>
        <w:t>SPECTOS EPIDEMIOLÓGICOS</w:t>
      </w:r>
      <w:r>
        <w:rPr>
          <w:b/>
          <w:bCs/>
        </w:rPr>
        <w:t xml:space="preserve">: </w:t>
      </w:r>
      <w:r>
        <w:t>El virus citomegálico muestra enorme especificidad de especie y se sabe que sólo las cepas humanas producen enfermedad clínica. La partícula está distribuida ampliamente y muestra transmisión horizontal (contacto directo de persona a persona con secreciones que contienen el virus); en sentido vertical (de la madre al producto antes del parto, durante él o después de ocurrido) y por transfusiones de sangre, plaquetas y leucocitos provenientes de personas infectadas (véase “Aspectos de seguridad en el uso de sangre y hemoderivados: disminución del riesgo de infecciones transmitidas en transfusiones”, sección 2). Las infecciones no tienen predilección por estaciones del año. El virus persiste en forma latente después de una infección primaria, y años después puede reactivarse, particularmente en casos de inmunosupresión.</w:t>
      </w:r>
    </w:p>
    <w:p w14:paraId="38914251" w14:textId="77777777" w:rsidR="00924992" w:rsidRDefault="00924992">
      <w:pPr>
        <w:pStyle w:val="BodyText"/>
        <w:ind w:firstLine="360"/>
      </w:pPr>
      <w:r>
        <w:t>La transmisión horizontal probablemente es resultado de contaminación por saliva, pero también pudiera intervenir el contacto con orina infectada. Se ha corroborado la con base en el plan o calendario recomendado (véase “Difteria”, “Tétanos”, o ambas enfermedades, en esta sección).</w:t>
      </w:r>
    </w:p>
    <w:p w14:paraId="37AA00C8" w14:textId="77777777" w:rsidR="00924992" w:rsidRDefault="00924992">
      <w:pPr>
        <w:pStyle w:val="BodyText"/>
        <w:spacing w:line="276" w:lineRule="auto"/>
        <w:ind w:firstLine="360"/>
      </w:pPr>
      <w:r>
        <w:rPr>
          <w:rFonts w:ascii="Arial" w:eastAsia="Arial" w:hAnsi="Arial" w:cs="Arial"/>
          <w:b/>
          <w:bCs/>
          <w:i/>
          <w:iCs/>
          <w:sz w:val="15"/>
          <w:szCs w:val="15"/>
        </w:rPr>
        <w:t>Niños con el antecedente familiar de convulsiones</w:t>
      </w:r>
      <w:r>
        <w:t xml:space="preserve"> (véase también “Niños con el antecedente personal o familiar de convulsiones”, sección 1). El antecedente de un cuadro convulsivo o de reacciones adversas después de la aplicación de la vacuna que contenga la fracción contra la tos ferina en el miembro de una familia, no es contraindicación para la aplicación de la vacuna contra la tos ferina. El peligro de que surjan convulsiones después de aplicar DTP en niños con el antecedente familiar de convulsiones aumenta, pero tales convulsiones por lo común provienen de un cuadro febril y generalmente tienen un pronóstico benigno. Además, el peligro de fiebre es menor después de aplicar DTaP y cualquier riesgo de una convulsión de origen febril resultante es superado notablemente por el peligro incesante de tos ferina en Estados Unidos. Se recomienda aplicar DTaP ante el número importante de niños con el antecedente familiar de convulsiones que, de no ser vacunados, persistirían en una situación susceptible a la tos ferina.</w:t>
      </w:r>
    </w:p>
    <w:p w14:paraId="0FECCCF4" w14:textId="77777777" w:rsidR="00924992" w:rsidRDefault="00924992">
      <w:pPr>
        <w:pStyle w:val="BodyText"/>
        <w:spacing w:after="100" w:line="276" w:lineRule="auto"/>
        <w:ind w:firstLine="360"/>
      </w:pPr>
      <w:r>
        <w:rPr>
          <w:rFonts w:ascii="Arial" w:eastAsia="Arial" w:hAnsi="Arial" w:cs="Arial"/>
          <w:b/>
          <w:bCs/>
          <w:i/>
          <w:iCs/>
          <w:sz w:val="15"/>
          <w:szCs w:val="15"/>
        </w:rPr>
        <w:t xml:space="preserve">Orientación a padres de niños que están expuestos a un mayor peligro de convulsiones. </w:t>
      </w:r>
      <w:r>
        <w:t>Los progenitores de niños como los que tienen antecedentes personales o familiares de convulsiones y que pudieran estar expuestos a un mayor peligro de presentarlas después de recibir la vacuna contra la tos ferina, deben recibir información de los peligros y beneficios de la vacunación contra dicha enfermedad en tales circunstancias. Es necesario dar consejo en cuanto a la fiebre y las medidas antipiréticas (véase “Profilaxia antipirética”, páginas anteriores en este mismo resumen) y las medidas médicas apropiadas en caso de que surja remotamente una convulsión.</w:t>
      </w:r>
    </w:p>
    <w:p w14:paraId="0A7F6D62" w14:textId="77777777" w:rsidR="00924992" w:rsidRDefault="00924992">
      <w:pPr>
        <w:pStyle w:val="Bodytext70"/>
        <w:spacing w:after="0"/>
      </w:pPr>
      <w:r>
        <w:t>Toxocariasis</w:t>
      </w:r>
    </w:p>
    <w:p w14:paraId="5593F9AE" w14:textId="77777777" w:rsidR="00924992" w:rsidRDefault="00924992">
      <w:pPr>
        <w:pStyle w:val="Other0"/>
        <w:spacing w:line="252" w:lineRule="auto"/>
        <w:ind w:firstLine="0"/>
        <w:rPr>
          <w:sz w:val="20"/>
          <w:szCs w:val="20"/>
        </w:rPr>
      </w:pPr>
      <w:r>
        <w:rPr>
          <w:rFonts w:ascii="Arial" w:eastAsia="Arial" w:hAnsi="Arial" w:cs="Arial"/>
          <w:b/>
          <w:bCs/>
          <w:w w:val="70"/>
          <w:sz w:val="20"/>
          <w:szCs w:val="20"/>
        </w:rPr>
        <w:t>(Larva migrans visceral, larva migrans ocular)</w:t>
      </w:r>
    </w:p>
    <w:p w14:paraId="28DE6114" w14:textId="77777777" w:rsidR="00924992" w:rsidRDefault="00924992">
      <w:pPr>
        <w:pStyle w:val="BodyText"/>
        <w:ind w:firstLine="0"/>
      </w:pPr>
      <w:r>
        <w:rPr>
          <w:b/>
          <w:bCs/>
        </w:rPr>
        <w:t>M</w:t>
      </w:r>
      <w:r>
        <w:rPr>
          <w:b/>
          <w:bCs/>
          <w:sz w:val="13"/>
          <w:szCs w:val="13"/>
        </w:rPr>
        <w:t>ANIFESTACIONES CLÍNICAS</w:t>
      </w:r>
      <w:r>
        <w:rPr>
          <w:b/>
          <w:bCs/>
        </w:rPr>
        <w:t xml:space="preserve">: </w:t>
      </w:r>
      <w:r>
        <w:t>La gravedad de los síntomas depende del número de larvas ingeridas y el grado de respuesta alérgica. Muchas personas con infección leve están asintomáticas. En forma típica la larva migrans visceral ataca a niños de uno a cuatro años de edad con antecedentes de pica, pero puede afectar a niños de mayor edad y adultos. Las manifestaciones características incluyen fiebre, leucocitosis, eosinofilia, hipergammaglobulinemia y hepatomegalia. Otras más incluyen malestar generalizado, anemia, tos y en casos raros, neumonía, miocarditis y encefalitis. Si surge la invasión ocular (endoftalmitis o granuloma retiniano) por lo común no existen otras manifestaciones de la infección, lo cual sugiere que las manifestaciones viscerales y las oculares son síndromes diferentes. Entre los signos atípicos están erupción hemorrágica y convulsiones. En algunos casos, la llamada toxocariasis “cubierta” se manifiesta sólo por eosinofilia asintomática o sibilancias pulmonares.</w:t>
      </w:r>
    </w:p>
    <w:p w14:paraId="763F0013" w14:textId="77777777" w:rsidR="00924992" w:rsidRDefault="00924992">
      <w:pPr>
        <w:pStyle w:val="BodyText"/>
        <w:ind w:firstLine="0"/>
      </w:pPr>
      <w:r>
        <w:rPr>
          <w:b/>
          <w:bCs/>
        </w:rPr>
        <w:t>C</w:t>
      </w:r>
      <w:r>
        <w:rPr>
          <w:b/>
          <w:bCs/>
          <w:sz w:val="13"/>
          <w:szCs w:val="13"/>
        </w:rPr>
        <w:t>AUSAS</w:t>
      </w:r>
      <w:r>
        <w:rPr>
          <w:b/>
          <w:bCs/>
        </w:rPr>
        <w:t xml:space="preserve">: </w:t>
      </w:r>
      <w:r>
        <w:t xml:space="preserve">La toxocariasis (toxocariosis) es causada por especies de </w:t>
      </w:r>
      <w:r>
        <w:rPr>
          <w:rFonts w:ascii="Times New Roman" w:eastAsia="Times New Roman" w:hAnsi="Times New Roman" w:cs="Times New Roman"/>
          <w:i/>
          <w:iCs/>
          <w:sz w:val="16"/>
          <w:szCs w:val="16"/>
        </w:rPr>
        <w:t>Toxocara</w:t>
      </w:r>
      <w:r>
        <w:t xml:space="preserve"> que son vermes redondos comunes de perros y gatos (en particular cachorritos de ambas especies), específicamente </w:t>
      </w:r>
      <w:r>
        <w:rPr>
          <w:rFonts w:ascii="Times New Roman" w:eastAsia="Times New Roman" w:hAnsi="Times New Roman" w:cs="Times New Roman"/>
          <w:i/>
          <w:iCs/>
          <w:sz w:val="16"/>
          <w:szCs w:val="16"/>
        </w:rPr>
        <w:t>Toxocara</w:t>
      </w:r>
      <w:r>
        <w:t xml:space="preserve"> canis y </w:t>
      </w:r>
      <w:r>
        <w:rPr>
          <w:rFonts w:ascii="Times New Roman" w:eastAsia="Times New Roman" w:hAnsi="Times New Roman" w:cs="Times New Roman"/>
          <w:i/>
          <w:iCs/>
          <w:sz w:val="16"/>
          <w:szCs w:val="16"/>
        </w:rPr>
        <w:t>Toxocara cati</w:t>
      </w:r>
      <w:r>
        <w:t xml:space="preserve"> en Estados Unidos; casi todos los casos son causados por la primera especie. Otros nematodos de animales originan también el síndrome, aunque en raras ocasiones.</w:t>
      </w:r>
    </w:p>
    <w:p w14:paraId="69F2C180" w14:textId="77777777" w:rsidR="00924992" w:rsidRDefault="00924992">
      <w:pPr>
        <w:pStyle w:val="BodyText"/>
        <w:ind w:firstLine="0"/>
        <w:sectPr w:rsidR="00924992" w:rsidSect="00924992">
          <w:headerReference w:type="even" r:id="rId67"/>
          <w:headerReference w:type="default" r:id="rId68"/>
          <w:footerReference w:type="even" r:id="rId69"/>
          <w:footerReference w:type="default" r:id="rId70"/>
          <w:headerReference w:type="first" r:id="rId71"/>
          <w:footerReference w:type="first" r:id="rId72"/>
          <w:pgSz w:w="8501" w:h="13022"/>
          <w:pgMar w:top="898" w:right="780" w:bottom="509" w:left="828" w:header="0" w:footer="3" w:gutter="0"/>
          <w:cols w:space="720"/>
          <w:noEndnote/>
          <w:titlePg/>
          <w:docGrid w:linePitch="360"/>
          <w15:footnoteColumns w:val="1"/>
        </w:sectPr>
      </w:pPr>
      <w:r>
        <w:rPr>
          <w:b/>
          <w:bCs/>
        </w:rPr>
        <w:t>A</w:t>
      </w:r>
      <w:r>
        <w:rPr>
          <w:b/>
          <w:bCs/>
          <w:sz w:val="13"/>
          <w:szCs w:val="13"/>
        </w:rPr>
        <w:t>SPECTOS EPIDEMIOLÓGICOS</w:t>
      </w:r>
      <w:r>
        <w:rPr>
          <w:b/>
          <w:bCs/>
        </w:rPr>
        <w:t xml:space="preserve">: </w:t>
      </w:r>
      <w:r>
        <w:t xml:space="preserve">Los seres humanos se infectan al ingerir tierra que contiene huevecillos infectantes del parásito. Es frecuente el antecedente de pica, en particular la ingestión de tierra. El contacto directo con perros asume importancia secundaria porque los huevos no son infectantes inmediatamente cuando son expulsados al exterior con las heces. Casi todos los casos publicados incluyen niños. La toxocariasis es endémica en Puerto Rico y las zonas vecinas de Estados Unidos. La </w:t>
      </w:r>
    </w:p>
    <w:p w14:paraId="20F63B38" w14:textId="77777777" w:rsidR="00924992" w:rsidRDefault="00924992">
      <w:pPr>
        <w:pStyle w:val="BodyText"/>
        <w:ind w:firstLine="0"/>
      </w:pPr>
      <w:r>
        <w:t>infección es endémica en muchas zonas urbanas con deficiencias de servicios sanitarios.</w:t>
      </w:r>
    </w:p>
    <w:p w14:paraId="214AA684" w14:textId="77777777" w:rsidR="00924992" w:rsidRDefault="00924992">
      <w:pPr>
        <w:pStyle w:val="BodyText"/>
        <w:ind w:firstLine="0"/>
      </w:pPr>
      <w:r>
        <w:t>Pueden identificarse huevos en los sitios en que defequen perros y gatos.</w:t>
      </w:r>
    </w:p>
    <w:p w14:paraId="47E2E142" w14:textId="77777777" w:rsidR="00924992" w:rsidRDefault="00924992">
      <w:pPr>
        <w:pStyle w:val="BodyText"/>
        <w:ind w:firstLine="360"/>
      </w:pPr>
      <w:r>
        <w:t xml:space="preserve">Se desconoce el </w:t>
      </w:r>
      <w:r>
        <w:rPr>
          <w:b/>
          <w:bCs/>
        </w:rPr>
        <w:t>periodo de incubación</w:t>
      </w:r>
      <w:r>
        <w:t>.</w:t>
      </w:r>
    </w:p>
    <w:p w14:paraId="65E86981" w14:textId="77777777" w:rsidR="00924992" w:rsidRDefault="00924992">
      <w:pPr>
        <w:pStyle w:val="BodyText"/>
        <w:spacing w:line="276" w:lineRule="auto"/>
        <w:ind w:firstLine="0"/>
      </w:pPr>
      <w:r>
        <w:rPr>
          <w:b/>
          <w:bCs/>
        </w:rPr>
        <w:t>M</w:t>
      </w:r>
      <w:r>
        <w:rPr>
          <w:b/>
          <w:bCs/>
          <w:sz w:val="13"/>
          <w:szCs w:val="13"/>
        </w:rPr>
        <w:t>ÉTODOS DIAGNÓSTICOS</w:t>
      </w:r>
      <w:r>
        <w:rPr>
          <w:b/>
          <w:bCs/>
        </w:rPr>
        <w:t xml:space="preserve">: </w:t>
      </w:r>
      <w:r>
        <w:t xml:space="preserve">Los signos provisionales de infección incluyen hipereosinofilia e hipergammaglobulinemia acompañada de títulos cada vez más altos de isohemaglutinina a los antígenos de grupos A y B sanguíneos. Un dato que confirma el diagnóstico es la identificación microscópica de las larvas en un fragmento de hígado para biopsia, pero tal situación es rara. Por lo anterior, si en la biopsia de hígado no se identifican larvas ello no descarta el diagnóstico. Se pueden obtener pruebas provisionales de toxocariosis por medio de un inmunoanálisis enzimático para detectar anticuerpos contra </w:t>
      </w:r>
      <w:r>
        <w:rPr>
          <w:rFonts w:ascii="Times New Roman" w:eastAsia="Times New Roman" w:hAnsi="Times New Roman" w:cs="Times New Roman"/>
          <w:i/>
          <w:iCs/>
          <w:sz w:val="16"/>
          <w:szCs w:val="16"/>
        </w:rPr>
        <w:t>Toxocara</w:t>
      </w:r>
      <w:r>
        <w:t xml:space="preserve"> en el suero que practican los </w:t>
      </w:r>
      <w:r>
        <w:rPr>
          <w:rFonts w:ascii="Times New Roman" w:eastAsia="Times New Roman" w:hAnsi="Times New Roman" w:cs="Times New Roman"/>
          <w:i/>
          <w:iCs/>
          <w:sz w:val="16"/>
          <w:szCs w:val="16"/>
        </w:rPr>
        <w:t>Centers for Disease Control and Prevention</w:t>
      </w:r>
      <w:r>
        <w:t xml:space="preserve"> y algunos laboratorios comerciales. El método anterior es específico y sensible para el diagnóstico de larva migrans visceral, pero no lo es para el diagnóstico de larva migrans ocular.</w:t>
      </w:r>
    </w:p>
    <w:p w14:paraId="20247379" w14:textId="77777777" w:rsidR="00924992" w:rsidRDefault="00924992">
      <w:pPr>
        <w:pStyle w:val="BodyText"/>
        <w:ind w:firstLine="0"/>
      </w:pPr>
      <w:r>
        <w:rPr>
          <w:b/>
          <w:bCs/>
        </w:rPr>
        <w:t>T</w:t>
      </w:r>
      <w:r>
        <w:rPr>
          <w:b/>
          <w:bCs/>
          <w:sz w:val="13"/>
          <w:szCs w:val="13"/>
        </w:rPr>
        <w:t>RATAMIENTO</w:t>
      </w:r>
      <w:r>
        <w:rPr>
          <w:b/>
          <w:bCs/>
        </w:rPr>
        <w:t xml:space="preserve">: </w:t>
      </w:r>
      <w:r>
        <w:t xml:space="preserve">Los fármacos recomendados para tratar la toxocariosis son albendazol o mebendazol, y ambos han sido aprobados por la </w:t>
      </w:r>
      <w:r>
        <w:rPr>
          <w:rFonts w:ascii="Times New Roman" w:eastAsia="Times New Roman" w:hAnsi="Times New Roman" w:cs="Times New Roman"/>
          <w:i/>
          <w:iCs/>
          <w:sz w:val="16"/>
          <w:szCs w:val="16"/>
        </w:rPr>
        <w:t>Food and Drug Administration</w:t>
      </w:r>
      <w:r>
        <w:rPr>
          <w:i/>
          <w:iCs/>
        </w:rPr>
        <w:t xml:space="preserve">, </w:t>
      </w:r>
      <w:r>
        <w:t>pero no para tal indicación. En casos graves con miocarditis o afección del sistema nervioso central está indicada la corticoterapia. La corrección de las causas primarias de la pica permite evitar la reinfección.</w:t>
      </w:r>
    </w:p>
    <w:p w14:paraId="316EBB3B" w14:textId="77777777" w:rsidR="00924992" w:rsidRDefault="00924992">
      <w:pPr>
        <w:pStyle w:val="BodyText"/>
        <w:ind w:firstLine="360"/>
      </w:pPr>
      <w:r>
        <w:t>El tratamiento de larva migrans ocular quizá no sea eficaz. La inflamación puede ser aplacada con la inyección de corticosteroides, y el daño secundario puede mejorar con alguna intervención operatoria.</w:t>
      </w:r>
    </w:p>
    <w:p w14:paraId="00118AD9" w14:textId="77777777" w:rsidR="00924992" w:rsidRDefault="00924992">
      <w:pPr>
        <w:pStyle w:val="BodyText"/>
        <w:ind w:firstLine="0"/>
      </w:pPr>
      <w:r>
        <w:rPr>
          <w:b/>
          <w:bCs/>
        </w:rPr>
        <w:t>A</w:t>
      </w:r>
      <w:r>
        <w:rPr>
          <w:b/>
          <w:bCs/>
          <w:sz w:val="13"/>
          <w:szCs w:val="13"/>
        </w:rPr>
        <w:t>ISLAMIENTO DEL PACIENTE HOSPITALIZADO</w:t>
      </w:r>
      <w:r>
        <w:rPr>
          <w:b/>
          <w:bCs/>
        </w:rPr>
        <w:t xml:space="preserve">: </w:t>
      </w:r>
      <w:r>
        <w:t>Se recomienda seguir las precauciones estándar.</w:t>
      </w:r>
    </w:p>
    <w:p w14:paraId="3C085417" w14:textId="77777777" w:rsidR="00924992" w:rsidRDefault="00924992">
      <w:pPr>
        <w:pStyle w:val="BodyText"/>
        <w:spacing w:after="100"/>
        <w:ind w:firstLine="0"/>
      </w:pPr>
      <w:r>
        <w:rPr>
          <w:b/>
          <w:bCs/>
        </w:rPr>
        <w:t>M</w:t>
      </w:r>
      <w:r>
        <w:rPr>
          <w:b/>
          <w:bCs/>
          <w:sz w:val="13"/>
          <w:szCs w:val="13"/>
        </w:rPr>
        <w:t>EDIDAS PREVENTIVAS</w:t>
      </w:r>
      <w:r>
        <w:rPr>
          <w:b/>
          <w:bCs/>
        </w:rPr>
        <w:t xml:space="preserve">: </w:t>
      </w:r>
      <w:r>
        <w:t>Es esencial la eliminación apropiada de los excrementos de gatos y perros. El tratamiento de cachorritos de ambas especies con antihelmínticos a las dos, cuatro, seis y ocho semanas de vida evita que los vermes adquiridos por vía transplacentaria por la leche de la madre excreten huevecillos. Una medida útil es cubrir las cajas con arena cuando no se las use. No se recomienda algún tratamiento específico de personas expuestas.</w:t>
      </w:r>
    </w:p>
    <w:p w14:paraId="268EC51C" w14:textId="77777777" w:rsidR="00924992" w:rsidRDefault="00924992">
      <w:pPr>
        <w:pStyle w:val="Bodytext70"/>
        <w:spacing w:after="0"/>
      </w:pPr>
      <w:r>
        <w:rPr>
          <w:i/>
          <w:iCs/>
        </w:rPr>
        <w:t>Toxoplasma gondii</w:t>
      </w:r>
      <w:r>
        <w:rPr>
          <w:i/>
          <w:iCs/>
          <w:w w:val="100"/>
        </w:rPr>
        <w:t>,</w:t>
      </w:r>
      <w:r>
        <w:t xml:space="preserve"> infecciones</w:t>
      </w:r>
    </w:p>
    <w:p w14:paraId="4E2C809D" w14:textId="77777777" w:rsidR="00924992" w:rsidRDefault="00924992">
      <w:pPr>
        <w:pStyle w:val="Other0"/>
        <w:spacing w:line="252" w:lineRule="auto"/>
        <w:ind w:firstLine="0"/>
        <w:rPr>
          <w:sz w:val="20"/>
          <w:szCs w:val="20"/>
        </w:rPr>
      </w:pPr>
      <w:r>
        <w:rPr>
          <w:rFonts w:ascii="Arial" w:eastAsia="Arial" w:hAnsi="Arial" w:cs="Arial"/>
          <w:b/>
          <w:bCs/>
          <w:w w:val="70"/>
          <w:sz w:val="20"/>
          <w:szCs w:val="20"/>
        </w:rPr>
        <w:t>(Toxoplasmosis)</w:t>
      </w:r>
    </w:p>
    <w:p w14:paraId="1C4EDEC7" w14:textId="77777777" w:rsidR="00924992" w:rsidRDefault="00924992">
      <w:pPr>
        <w:pStyle w:val="BodyText"/>
        <w:ind w:firstLine="0"/>
      </w:pPr>
      <w:r>
        <w:rPr>
          <w:b/>
          <w:bCs/>
        </w:rPr>
        <w:t>M</w:t>
      </w:r>
      <w:r>
        <w:rPr>
          <w:b/>
          <w:bCs/>
          <w:sz w:val="13"/>
          <w:szCs w:val="13"/>
        </w:rPr>
        <w:t>ANIFESTACIONES CLÍNICAS</w:t>
      </w:r>
      <w:r>
        <w:rPr>
          <w:b/>
          <w:bCs/>
        </w:rPr>
        <w:t xml:space="preserve">: </w:t>
      </w:r>
      <w:r>
        <w:t>Los lactantes con infección congénita están asintomáticos al nacer en 70 a 90% de los casos, aunque en una gran proporción de niños meses o años después surgirán deficiencias visuales y de aprendizaje o retardo psíquico. Los signos de toxoplasmosis congénita al nacer el pequeño incluyen erupción maculopapular, linfadenopatía generalizada, hepatomegalia, esplenomegalia, ictericia y trombocitopenia. Como consecuencia de meningoencefalitis intrauterina, pueden surgir anormalidades de líquido cefalorraquídeo (LCR), hidrocefalia, microcefalia, coriorretinitis, convulsiones y sordera. Algunos de los productos muy afectados fallecen en el útero o lo hacen a los pocos días de nacer. Pueden demostrarse calcificaciones cerebrales por medio de radiografías, ultrasonografías o tomografía computadorizada de la cabeza.</w:t>
      </w:r>
    </w:p>
    <w:p w14:paraId="18C546AC" w14:textId="77777777" w:rsidR="00924992" w:rsidRDefault="00924992">
      <w:pPr>
        <w:pStyle w:val="BodyText"/>
        <w:ind w:firstLine="360"/>
      </w:pPr>
      <w:r>
        <w:t xml:space="preserve">La infección por </w:t>
      </w:r>
      <w:r>
        <w:rPr>
          <w:rFonts w:ascii="Times New Roman" w:eastAsia="Times New Roman" w:hAnsi="Times New Roman" w:cs="Times New Roman"/>
          <w:i/>
          <w:iCs/>
          <w:sz w:val="16"/>
          <w:szCs w:val="16"/>
        </w:rPr>
        <w:t>Toxoplasma gondii</w:t>
      </w:r>
      <w:r>
        <w:t xml:space="preserve"> que se adquiere después del nacimiento suele ser asintomática. Al surgir, los síntomas son inespecíficos e incluyen malestar general, fiebre, faringitis y mialgia. El signo más común es la linfadenopatía, a menudo en la región cervical. A veces los pacientes tienen un cuadro similar al de la mononucleosis que se acompaña de erupción macular y hepatosplenomegalia. La evolución clínica por infección es endémica en muchas zonas urbanas con deficiencias de servicios sanitarios.</w:t>
      </w:r>
    </w:p>
    <w:p w14:paraId="6334E7CF" w14:textId="77777777" w:rsidR="00924992" w:rsidRDefault="00924992">
      <w:pPr>
        <w:pStyle w:val="BodyText"/>
        <w:ind w:firstLine="0"/>
      </w:pPr>
      <w:r>
        <w:t>Pueden identificarse huevos en los sitios en que defequen perros y gatos.</w:t>
      </w:r>
    </w:p>
    <w:p w14:paraId="7FADDA4B" w14:textId="77777777" w:rsidR="00924992" w:rsidRDefault="00924992">
      <w:pPr>
        <w:pStyle w:val="BodyText"/>
        <w:ind w:firstLine="360"/>
      </w:pPr>
      <w:r>
        <w:t xml:space="preserve">Se desconoce el </w:t>
      </w:r>
      <w:r>
        <w:rPr>
          <w:b/>
          <w:bCs/>
        </w:rPr>
        <w:t>periodo de incubación</w:t>
      </w:r>
      <w:r>
        <w:t>.</w:t>
      </w:r>
    </w:p>
    <w:p w14:paraId="4B9C773E" w14:textId="77777777" w:rsidR="00924992" w:rsidRDefault="00924992">
      <w:pPr>
        <w:pStyle w:val="BodyText"/>
        <w:spacing w:line="276" w:lineRule="auto"/>
        <w:ind w:firstLine="0"/>
      </w:pPr>
      <w:r>
        <w:rPr>
          <w:b/>
          <w:bCs/>
        </w:rPr>
        <w:t>M</w:t>
      </w:r>
      <w:r>
        <w:rPr>
          <w:b/>
          <w:bCs/>
          <w:sz w:val="13"/>
          <w:szCs w:val="13"/>
        </w:rPr>
        <w:t>ÉTODOS DIAGNÓSTICOS</w:t>
      </w:r>
      <w:r>
        <w:rPr>
          <w:b/>
          <w:bCs/>
        </w:rPr>
        <w:t xml:space="preserve">: </w:t>
      </w:r>
      <w:r>
        <w:t xml:space="preserve">Los signos provisionales de infección incluyen hipereosinofilia e hipergammaglobulinemia acompañada de títulos cada vez más altos de isohemaglutinina a los antígenos de grupos A y B sanguíneos. Un dato que confirma el diagnóstico es la identificación microscópica de las larvas en un fragmento de hígado para biopsia, pero tal situación es rara. Por lo anterior, si en la biopsia de hígado no se identifican larvas ello no descarta el diagnóstico. Se pueden obtener pruebas provisionales de toxocariosis por medio de un inmunoanálisis enzimático para detectar anticuerpos contra </w:t>
      </w:r>
      <w:r>
        <w:rPr>
          <w:rFonts w:ascii="Times New Roman" w:eastAsia="Times New Roman" w:hAnsi="Times New Roman" w:cs="Times New Roman"/>
          <w:i/>
          <w:iCs/>
          <w:sz w:val="16"/>
          <w:szCs w:val="16"/>
        </w:rPr>
        <w:t>Toxocara</w:t>
      </w:r>
      <w:r>
        <w:t xml:space="preserve"> en el suero que practican los </w:t>
      </w:r>
      <w:r>
        <w:rPr>
          <w:rFonts w:ascii="Times New Roman" w:eastAsia="Times New Roman" w:hAnsi="Times New Roman" w:cs="Times New Roman"/>
          <w:i/>
          <w:iCs/>
          <w:sz w:val="16"/>
          <w:szCs w:val="16"/>
        </w:rPr>
        <w:t>Centers for Disease Control and Prevention</w:t>
      </w:r>
      <w:r>
        <w:t xml:space="preserve"> y algunos laboratorios comerciales. El método anterior es específico y sensible para el diagnóstico de larva migrans visceral, pero no lo es para el diagnóstico de larva migrans ocular.</w:t>
      </w:r>
    </w:p>
    <w:p w14:paraId="4C975313" w14:textId="77777777" w:rsidR="00924992" w:rsidRDefault="00924992">
      <w:pPr>
        <w:pStyle w:val="BodyText"/>
        <w:ind w:firstLine="0"/>
      </w:pPr>
      <w:r>
        <w:rPr>
          <w:b/>
          <w:bCs/>
        </w:rPr>
        <w:t>T</w:t>
      </w:r>
      <w:r>
        <w:rPr>
          <w:b/>
          <w:bCs/>
          <w:sz w:val="13"/>
          <w:szCs w:val="13"/>
        </w:rPr>
        <w:t>RATAMIENTO</w:t>
      </w:r>
      <w:r>
        <w:rPr>
          <w:b/>
          <w:bCs/>
        </w:rPr>
        <w:t xml:space="preserve">: </w:t>
      </w:r>
      <w:r>
        <w:t xml:space="preserve">Los fármacos recomendados para tratar la toxocariosis son albendazol o mebendazol, y ambos han sido aprobados por la </w:t>
      </w:r>
      <w:r>
        <w:rPr>
          <w:rFonts w:ascii="Times New Roman" w:eastAsia="Times New Roman" w:hAnsi="Times New Roman" w:cs="Times New Roman"/>
          <w:i/>
          <w:iCs/>
          <w:sz w:val="16"/>
          <w:szCs w:val="16"/>
        </w:rPr>
        <w:t>Food and Drug Administration</w:t>
      </w:r>
      <w:r>
        <w:rPr>
          <w:i/>
          <w:iCs/>
        </w:rPr>
        <w:t xml:space="preserve">, </w:t>
      </w:r>
      <w:r>
        <w:t>pero no para tal indicación. En casos graves con miocarditis o afección del sistema nervioso central está indicada la corticoterapia. La corrección de las causas primarias de la pica permite evitar la reinfección.</w:t>
      </w:r>
    </w:p>
    <w:p w14:paraId="645AD9AA" w14:textId="77777777" w:rsidR="00924992" w:rsidRDefault="00924992">
      <w:pPr>
        <w:pStyle w:val="BodyText"/>
        <w:ind w:firstLine="360"/>
      </w:pPr>
      <w:r>
        <w:t>El tratamiento de larva migrans ocular quizá no sea eficaz. La inflamación puede ser aplacada con la inyección de corticosteroides, y el daño secundario puede mejorar con alguna intervención operatoria.</w:t>
      </w:r>
    </w:p>
    <w:p w14:paraId="0C5D3FD4" w14:textId="77777777" w:rsidR="00924992" w:rsidRDefault="00924992">
      <w:pPr>
        <w:pStyle w:val="BodyText"/>
        <w:ind w:firstLine="0"/>
      </w:pPr>
      <w:r>
        <w:rPr>
          <w:b/>
          <w:bCs/>
        </w:rPr>
        <w:t>A</w:t>
      </w:r>
      <w:r>
        <w:rPr>
          <w:b/>
          <w:bCs/>
          <w:sz w:val="13"/>
          <w:szCs w:val="13"/>
        </w:rPr>
        <w:t>ISLAMIENTO DEL PACIENTE HOSPITALIZADO</w:t>
      </w:r>
      <w:r>
        <w:rPr>
          <w:b/>
          <w:bCs/>
        </w:rPr>
        <w:t xml:space="preserve">: </w:t>
      </w:r>
      <w:r>
        <w:t>Se recomienda seguir las precauciones estándar.</w:t>
      </w:r>
    </w:p>
    <w:p w14:paraId="70665F29" w14:textId="77777777" w:rsidR="00924992" w:rsidRDefault="00924992">
      <w:pPr>
        <w:pStyle w:val="BodyText"/>
        <w:spacing w:after="100"/>
        <w:ind w:firstLine="0"/>
      </w:pPr>
      <w:r>
        <w:rPr>
          <w:b/>
          <w:bCs/>
        </w:rPr>
        <w:t>M</w:t>
      </w:r>
      <w:r>
        <w:rPr>
          <w:b/>
          <w:bCs/>
          <w:sz w:val="13"/>
          <w:szCs w:val="13"/>
        </w:rPr>
        <w:t>EDIDAS PREVENTIVAS</w:t>
      </w:r>
      <w:r>
        <w:rPr>
          <w:b/>
          <w:bCs/>
        </w:rPr>
        <w:t xml:space="preserve">: </w:t>
      </w:r>
      <w:r>
        <w:t>Es esencial la eliminación apropiada de los excrementos de gatos y perros. El tratamiento de cachorritos de ambas especies con antihelmínticos a las dos, cuatro, seis y ocho semanas de vida evita que los vermes adquiridos por vía transplacentaria por la leche de la madre excreten huevecillos. Una medida útil es cubrir las cajas con arena cuando no se las use. No se recomienda algún tratamiento específico de personas expuestas.</w:t>
      </w:r>
    </w:p>
    <w:p w14:paraId="225D9C1C" w14:textId="77777777" w:rsidR="00924992" w:rsidRDefault="00924992">
      <w:pPr>
        <w:pStyle w:val="Bodytext70"/>
        <w:spacing w:after="0"/>
      </w:pPr>
      <w:r>
        <w:rPr>
          <w:i/>
          <w:iCs/>
        </w:rPr>
        <w:t>Toxoplasma gondii</w:t>
      </w:r>
      <w:r>
        <w:rPr>
          <w:i/>
          <w:iCs/>
          <w:w w:val="100"/>
        </w:rPr>
        <w:t>,</w:t>
      </w:r>
      <w:r>
        <w:t xml:space="preserve"> infecciones</w:t>
      </w:r>
    </w:p>
    <w:p w14:paraId="7C3AAD85" w14:textId="77777777" w:rsidR="00924992" w:rsidRDefault="00924992">
      <w:pPr>
        <w:pStyle w:val="Other0"/>
        <w:spacing w:line="252" w:lineRule="auto"/>
        <w:ind w:firstLine="0"/>
        <w:rPr>
          <w:sz w:val="20"/>
          <w:szCs w:val="20"/>
        </w:rPr>
      </w:pPr>
      <w:r>
        <w:rPr>
          <w:rFonts w:ascii="Arial" w:eastAsia="Arial" w:hAnsi="Arial" w:cs="Arial"/>
          <w:b/>
          <w:bCs/>
          <w:w w:val="70"/>
          <w:sz w:val="20"/>
          <w:szCs w:val="20"/>
        </w:rPr>
        <w:t>(Toxoplasmosis)</w:t>
      </w:r>
    </w:p>
    <w:p w14:paraId="721FAEDD" w14:textId="77777777" w:rsidR="00924992" w:rsidRDefault="00924992">
      <w:pPr>
        <w:pStyle w:val="BodyText"/>
        <w:ind w:firstLine="0"/>
      </w:pPr>
      <w:r>
        <w:rPr>
          <w:b/>
          <w:bCs/>
        </w:rPr>
        <w:t>M</w:t>
      </w:r>
      <w:r>
        <w:rPr>
          <w:b/>
          <w:bCs/>
          <w:sz w:val="13"/>
          <w:szCs w:val="13"/>
        </w:rPr>
        <w:t>ANIFESTACIONES CLÍNICAS</w:t>
      </w:r>
      <w:r>
        <w:rPr>
          <w:b/>
          <w:bCs/>
        </w:rPr>
        <w:t xml:space="preserve">: </w:t>
      </w:r>
      <w:r>
        <w:t>Los lactantes con infección congénita están asintomáticos al nacer en 70 a 90% de los casos, aunque en una gran proporción de niños meses o años después surgirán deficiencias visuales y de aprendizaje o retardo psíquico. Los signos de toxoplasmosis congénita al nacer el pequeño incluyen erupción maculopapular, linfadenopatía generalizada, hepatomegalia, esplenomegalia, ictericia y trombocitopenia. Como consecuencia de meningoencefalitis intrauterina, pueden surgir anormalidades de líquido cefalorraquídeo (LCR), hidrocefalia, microcefalia, coriorretinitis, convulsiones y sordera. Algunos de los productos muy afectados fallecen en el útero o lo hacen a los pocos días de nacer. Pueden demostrarse calcificaciones cerebrales por medio de radiografías, ultrasonografías o tomografía computadorizada de la cabeza.</w:t>
      </w:r>
    </w:p>
    <w:p w14:paraId="448455B0" w14:textId="77777777" w:rsidR="00924992" w:rsidRDefault="00924992">
      <w:pPr>
        <w:pStyle w:val="BodyText"/>
        <w:ind w:firstLine="360"/>
        <w:sectPr w:rsidR="00924992" w:rsidSect="00924992">
          <w:headerReference w:type="even" r:id="rId73"/>
          <w:headerReference w:type="default" r:id="rId74"/>
          <w:footerReference w:type="even" r:id="rId75"/>
          <w:footerReference w:type="default" r:id="rId76"/>
          <w:type w:val="continuous"/>
          <w:pgSz w:w="8501" w:h="13022"/>
          <w:pgMar w:top="898" w:right="780" w:bottom="509" w:left="828" w:header="0" w:footer="81" w:gutter="0"/>
          <w:cols w:space="720"/>
          <w:noEndnote/>
          <w:docGrid w:linePitch="360"/>
          <w15:footnoteColumns w:val="1"/>
        </w:sectPr>
      </w:pPr>
      <w:r>
        <w:t xml:space="preserve">La infección por </w:t>
      </w:r>
      <w:r>
        <w:rPr>
          <w:rFonts w:ascii="Times New Roman" w:eastAsia="Times New Roman" w:hAnsi="Times New Roman" w:cs="Times New Roman"/>
          <w:i/>
          <w:iCs/>
          <w:sz w:val="16"/>
          <w:szCs w:val="16"/>
        </w:rPr>
        <w:t>Toxoplasma gondii</w:t>
      </w:r>
      <w:r>
        <w:t xml:space="preserve"> que se adquiere después del nacimiento suele ser asintomática. Al surgir, los síntomas son inespecíficos e incluyen malestar general, fiebre, faringitis y mialgia. El signo más común es la linfadenopatía, a menudo en la región cervical. A veces los pacientes tienen un cuadro similar al de la mononucleosis que se acompaña de erupción macular y hepatosplenomegalia. La evolución clínica por </w:t>
      </w:r>
    </w:p>
    <w:p w14:paraId="23D80F17" w14:textId="77777777" w:rsidR="00924992" w:rsidRDefault="00924992">
      <w:pPr>
        <w:pStyle w:val="BodyText"/>
        <w:ind w:firstLine="0"/>
      </w:pPr>
      <w:r>
        <w:t>lo común es benigna y autorremitente. Entre las complicaciones raras están miocarditis, pericarditis y neumonitis.</w:t>
      </w:r>
    </w:p>
    <w:p w14:paraId="32C7AA24" w14:textId="77777777" w:rsidR="00924992" w:rsidRDefault="00924992">
      <w:pPr>
        <w:pStyle w:val="BodyText"/>
        <w:ind w:firstLine="360"/>
      </w:pPr>
      <w:r>
        <w:t>La toxoplasmosis ocular aislada muy a menudo es consecuencia de infección congénita, pero también surge en un pequeño porcentaje de personas con infección adquirida. La afección ocular aguda se manifiesta por visión borrosa, y los característicos infiltrados retinianos aparecen incluso en 85% de adultos jóvenes después de infección congénita. La oculopatía puede reactivarse años después de la infección inicial en personas sanas y en las inmunodeficientes.</w:t>
      </w:r>
    </w:p>
    <w:p w14:paraId="30D6F72D" w14:textId="77777777" w:rsidR="00924992" w:rsidRDefault="00924992">
      <w:pPr>
        <w:pStyle w:val="BodyText"/>
        <w:spacing w:line="276" w:lineRule="auto"/>
        <w:ind w:firstLine="360"/>
      </w:pPr>
      <w:r>
        <w:t xml:space="preserve">En personas con inmunodeficiencia e infección crónica, incluidos aquellos con infección por virus de inmunodeficiencia humana (VIH), la reactivación de la infección puede ocasionar encefalitis, neumonitis o con menor frecuencia toxoplasmosis sistémica. En raras ocasiones los productos hijos de madres infectadas o de mujeres que muestran inmunodeficiencia de otro origen y que tienen infección crónica por </w:t>
      </w:r>
      <w:r>
        <w:rPr>
          <w:rFonts w:ascii="Times New Roman" w:eastAsia="Times New Roman" w:hAnsi="Times New Roman" w:cs="Times New Roman"/>
          <w:i/>
          <w:iCs/>
          <w:sz w:val="16"/>
          <w:szCs w:val="16"/>
        </w:rPr>
        <w:t>T gondii</w:t>
      </w:r>
      <w:r>
        <w:t xml:space="preserve"> pueden mostrar toxoplasmosis congénita adquirida </w:t>
      </w:r>
      <w:r>
        <w:rPr>
          <w:rFonts w:ascii="Times New Roman" w:eastAsia="Times New Roman" w:hAnsi="Times New Roman" w:cs="Times New Roman"/>
          <w:i/>
          <w:iCs/>
          <w:sz w:val="16"/>
          <w:szCs w:val="16"/>
        </w:rPr>
        <w:t>in utero</w:t>
      </w:r>
      <w:r>
        <w:t xml:space="preserve"> como resultado de la reactivación de la parasitemia de la gestante.</w:t>
      </w:r>
    </w:p>
    <w:p w14:paraId="41D559DB" w14:textId="77777777" w:rsidR="00924992" w:rsidRDefault="00924992">
      <w:pPr>
        <w:pStyle w:val="BodyText"/>
        <w:spacing w:line="290" w:lineRule="auto"/>
        <w:ind w:firstLine="0"/>
      </w:pPr>
      <w:r>
        <w:rPr>
          <w:b/>
          <w:bCs/>
        </w:rPr>
        <w:t>C</w:t>
      </w:r>
      <w:r>
        <w:rPr>
          <w:b/>
          <w:bCs/>
          <w:sz w:val="13"/>
          <w:szCs w:val="13"/>
        </w:rPr>
        <w:t>AUSAS</w:t>
      </w:r>
      <w:r>
        <w:rPr>
          <w:b/>
          <w:bCs/>
        </w:rPr>
        <w:t xml:space="preserve">: </w:t>
      </w:r>
      <w:r>
        <w:rPr>
          <w:rFonts w:ascii="Times New Roman" w:eastAsia="Times New Roman" w:hAnsi="Times New Roman" w:cs="Times New Roman"/>
          <w:i/>
          <w:iCs/>
          <w:sz w:val="16"/>
          <w:szCs w:val="16"/>
        </w:rPr>
        <w:t>Toxoplasma gondii,</w:t>
      </w:r>
      <w:r>
        <w:t xml:space="preserve"> un protozoo parásito, es la única especie conocida de </w:t>
      </w:r>
      <w:r>
        <w:rPr>
          <w:rFonts w:ascii="Times New Roman" w:eastAsia="Times New Roman" w:hAnsi="Times New Roman" w:cs="Times New Roman"/>
          <w:i/>
          <w:iCs/>
          <w:sz w:val="16"/>
          <w:szCs w:val="16"/>
        </w:rPr>
        <w:t>Toxoplasma</w:t>
      </w:r>
      <w:r>
        <w:rPr>
          <w:i/>
          <w:iCs/>
        </w:rPr>
        <w:t>.</w:t>
      </w:r>
    </w:p>
    <w:p w14:paraId="30E4FE9A" w14:textId="77777777" w:rsidR="00924992" w:rsidRDefault="00924992">
      <w:pPr>
        <w:pStyle w:val="BodyText"/>
        <w:ind w:firstLine="0"/>
      </w:pPr>
      <w:r>
        <w:rPr>
          <w:b/>
          <w:bCs/>
        </w:rPr>
        <w:t>A</w:t>
      </w:r>
      <w:r>
        <w:rPr>
          <w:b/>
          <w:bCs/>
          <w:sz w:val="13"/>
          <w:szCs w:val="13"/>
        </w:rPr>
        <w:t>SPECTOS EPIDEMIOLÓGICOS</w:t>
      </w:r>
      <w:r>
        <w:rPr>
          <w:b/>
          <w:bCs/>
        </w:rPr>
        <w:t xml:space="preserve">: </w:t>
      </w:r>
      <w:r>
        <w:t xml:space="preserve">La distribución de </w:t>
      </w:r>
      <w:r>
        <w:rPr>
          <w:rFonts w:ascii="Times New Roman" w:eastAsia="Times New Roman" w:hAnsi="Times New Roman" w:cs="Times New Roman"/>
          <w:i/>
          <w:iCs/>
          <w:sz w:val="16"/>
          <w:szCs w:val="16"/>
        </w:rPr>
        <w:t>Toxoplasma gondii</w:t>
      </w:r>
      <w:r>
        <w:t xml:space="preserve"> es mundial e infecta casi todas las especies de animales de sangre caliente. Los hospedadores definitivos son los miembros de la familia de los gatos. Tales animales por lo común se contagian de la infección al comer animales infectados como ratones o carne casera cruda. El parásito muestra réplica sexual en el intestino delgado del felino. Los gatos pueden comenzar a excretar oocistos en sus excrementos tres a 30 días después de la infección primaria y pueden “dispersar” dichas estructuras durante siete a 14 días. Después de la excreción, los oocistos necesitan pasar por una fase de maduración (esporulación) de 24 a 48 h en climas templados antes que puedan ser infectantes por la vía oral. Los hospedadores intermedios como ovejas, cerdos y reses pueden tener quistes tisulares en el encéfalo, miocardio, músculo de fibra estriada y otros órganos, quistes que permanecen viables permanentemente en el hospedador. Los seres humanos por lo común se infectan al consumir carne cruda o mal cocida que contenga quistes o por la ingestión accidental de oocistos esporulados en la tierra o en alimentos contaminados. Se ha sabido de un gran brote vinculado epidemiológicamente con contaminación y abastos de agua municipales. Se ha corroborado que la transmisión de </w:t>
      </w:r>
      <w:r>
        <w:rPr>
          <w:rFonts w:ascii="Times New Roman" w:eastAsia="Times New Roman" w:hAnsi="Times New Roman" w:cs="Times New Roman"/>
          <w:i/>
          <w:iCs/>
          <w:sz w:val="16"/>
          <w:szCs w:val="16"/>
        </w:rPr>
        <w:t>T. gondii</w:t>
      </w:r>
      <w:r>
        <w:t xml:space="preserve"> es resultado de la transfusión de sangre o hemoderivados o el trasplante de órganos (como corazón) o médula ósea de un donante seropositivo con infección latente. En raras ocasiones se ha sabido de infección como consecuencia de un accidente de laboratorio. En casi todos los casos, la transmisión congénita es consecuencia de la infección primaria de la mujer durante la gestación. Se ha calculado que la incidencia de toxoplasmosis congénita en Estados Unidos es de un caso en 1 000 a un caso en 10 000 neonatos vivos.</w:t>
      </w:r>
    </w:p>
    <w:p w14:paraId="5C081DD4" w14:textId="77777777" w:rsidR="00924992" w:rsidRDefault="00924992">
      <w:pPr>
        <w:pStyle w:val="BodyText"/>
        <w:ind w:firstLine="360"/>
      </w:pPr>
      <w:r>
        <w:t xml:space="preserve">Se ha calculado que el </w:t>
      </w:r>
      <w:r>
        <w:rPr>
          <w:b/>
          <w:bCs/>
        </w:rPr>
        <w:t xml:space="preserve">periodo de incubación </w:t>
      </w:r>
      <w:r>
        <w:t xml:space="preserve">de la infección adquirida, con base en un brote perfectamente estudiado, es de unos siete días con límites de cuatro a 21 días. </w:t>
      </w:r>
      <w:r>
        <w:rPr>
          <w:b/>
          <w:bCs/>
        </w:rPr>
        <w:t>M</w:t>
      </w:r>
      <w:r>
        <w:rPr>
          <w:b/>
          <w:bCs/>
          <w:sz w:val="13"/>
          <w:szCs w:val="13"/>
        </w:rPr>
        <w:t>ÉTODOS DIAGNÓSTICOS</w:t>
      </w:r>
      <w:r>
        <w:rPr>
          <w:b/>
          <w:bCs/>
        </w:rPr>
        <w:t xml:space="preserve">: </w:t>
      </w:r>
      <w:r>
        <w:t xml:space="preserve">Los métodos serológicos son los elementos primarios para el diagnóstico, pero hay que interpretar con gran cautela los resultados. Para el médico es particularmente útil contar con laboratorios que tengan experiencia especial en los métodos serológicos en toxoplasmosis y su interpretación. Los anticuerpos de IgG (medidos por inmunofluorescencia indirecta o inmunoanálisis enzimático) alcanzan su concentración máxima uno a dos meses después de la infección y pueden permanecer positivos, es decir, no desaparecer, indefinidamente. En el caso de personas con seroconversion o con un incremento al cuádruple del título de anticuerpos IgG, un laboratorio especializado tendrá que hacer valoraciones específicas de anticuerpos IgM para confirmar la presencia de infección aguda. La presencia de anticuerpos IgM específicos de </w:t>
      </w:r>
      <w:r>
        <w:rPr>
          <w:rFonts w:ascii="Times New Roman" w:eastAsia="Times New Roman" w:hAnsi="Times New Roman" w:cs="Times New Roman"/>
          <w:i/>
          <w:iCs/>
          <w:sz w:val="16"/>
          <w:szCs w:val="16"/>
        </w:rPr>
        <w:t>T gondii</w:t>
      </w:r>
      <w:r>
        <w:t xml:space="preserve"> puede indicar que existe una infección aguda o reciente. Los inmunoanálisis enzimáticos son los métodos más sensibles para detectar IgM, y los menos sensibles para ese fin son los métodos de anticuerpos por fluorescencia indirecta. Es posible detectar dos semanas después de la infección los anticuerpos específicos IgM, que alcanzan su concentración máxima en un mes para después disminuir, y por lo general no se detectan en término de seis a nueve meses, pero pocas veces persisten incluso dos años, de manera que se confunde la diferenciación de las infecciones agudas y remotas. Los métodos para detectar anticuerpos IgA e IgE que disminuyen hasta concentraciones no detectables en una fecha más anterior que lo hacen los anticuerpos IgM, son útiles para el diagnóstico de infecciones congénitas e infecciones en otros pacientes, como las embarazadas en quienes se necesita información más exacta en cuanto a la duración de la infección. Se cuenta en el comercio con métodos para detectar anticuerpos específicos IgA e IgE de </w:t>
      </w:r>
      <w:r>
        <w:rPr>
          <w:rFonts w:ascii="Times New Roman" w:eastAsia="Times New Roman" w:hAnsi="Times New Roman" w:cs="Times New Roman"/>
          <w:i/>
          <w:iCs/>
          <w:sz w:val="16"/>
          <w:szCs w:val="16"/>
        </w:rPr>
        <w:t>Toxoplasma gondii,</w:t>
      </w:r>
      <w:r>
        <w:t xml:space="preserve"> pero no se utilizan comúnmente en los laboratorios habituales.</w:t>
      </w:r>
    </w:p>
    <w:p w14:paraId="3E6D3D96" w14:textId="77777777" w:rsidR="00924992" w:rsidRDefault="00924992">
      <w:pPr>
        <w:pStyle w:val="Bodytext80"/>
        <w:rPr>
          <w:sz w:val="15"/>
          <w:szCs w:val="15"/>
        </w:rPr>
      </w:pPr>
      <w:r>
        <w:rPr>
          <w:b/>
          <w:bCs/>
          <w:i/>
          <w:iCs/>
          <w:sz w:val="15"/>
          <w:szCs w:val="15"/>
        </w:rPr>
        <w:t>Situaciones especiales</w:t>
      </w:r>
    </w:p>
    <w:p w14:paraId="7FE068B9" w14:textId="77777777" w:rsidR="00924992" w:rsidRDefault="00924992">
      <w:pPr>
        <w:pStyle w:val="BodyText"/>
        <w:spacing w:line="276" w:lineRule="auto"/>
        <w:ind w:firstLine="0"/>
      </w:pPr>
      <w:r>
        <w:rPr>
          <w:rFonts w:ascii="Times New Roman" w:eastAsia="Times New Roman" w:hAnsi="Times New Roman" w:cs="Times New Roman"/>
          <w:b/>
          <w:bCs/>
          <w:i/>
          <w:iCs/>
          <w:sz w:val="16"/>
          <w:szCs w:val="16"/>
        </w:rPr>
        <w:t>Fase prenatal.</w:t>
      </w:r>
      <w:r>
        <w:t xml:space="preserve"> El diagnóstico definitivo de toxoplasmosis congénita se puede hacer en fase prenatal al detectar al parásito en sangre fetal o líquido amniótico o corroborar la presencia de anticuerpos IgM o IgA contra </w:t>
      </w:r>
      <w:r>
        <w:rPr>
          <w:rFonts w:ascii="Times New Roman" w:eastAsia="Times New Roman" w:hAnsi="Times New Roman" w:cs="Times New Roman"/>
          <w:i/>
          <w:iCs/>
          <w:sz w:val="16"/>
          <w:szCs w:val="16"/>
        </w:rPr>
        <w:t>T gondii</w:t>
      </w:r>
      <w:r>
        <w:t xml:space="preserve"> en sangre del feto. Rara vez se aísla el parásito por inoculación en ratones. La detección del DNA de </w:t>
      </w:r>
      <w:r>
        <w:rPr>
          <w:rFonts w:ascii="Times New Roman" w:eastAsia="Times New Roman" w:hAnsi="Times New Roman" w:cs="Times New Roman"/>
          <w:i/>
          <w:iCs/>
          <w:sz w:val="16"/>
          <w:szCs w:val="16"/>
        </w:rPr>
        <w:t>T gondii</w:t>
      </w:r>
      <w:r>
        <w:t xml:space="preserve"> en líquido amniótico por reacción en cadena de polimerasa en laboratorios especializados es una forma segura y precisa de diagnóstico. Es necesario realizar estudios ultrasonográficos fetales seriados en casos de sospechar infección congénita para detectar cualquier incremento en el tamaño de los ventrículos laterales del sistema nervioso central y otros signos de infección fetal.</w:t>
      </w:r>
    </w:p>
    <w:p w14:paraId="5F1E7B1D" w14:textId="77777777" w:rsidR="00924992" w:rsidRDefault="00924992">
      <w:pPr>
        <w:pStyle w:val="BodyText"/>
        <w:spacing w:line="276" w:lineRule="auto"/>
        <w:ind w:firstLine="360"/>
      </w:pPr>
      <w:r>
        <w:rPr>
          <w:rFonts w:ascii="Times New Roman" w:eastAsia="Times New Roman" w:hAnsi="Times New Roman" w:cs="Times New Roman"/>
          <w:b/>
          <w:bCs/>
          <w:i/>
          <w:iCs/>
          <w:sz w:val="16"/>
          <w:szCs w:val="16"/>
        </w:rPr>
        <w:t>Fase posnatal.</w:t>
      </w:r>
      <w:r>
        <w:t xml:space="preserve"> Los hijos de mujeres que tienen manifestaciones de infección primaria por </w:t>
      </w:r>
      <w:r>
        <w:rPr>
          <w:rFonts w:ascii="Times New Roman" w:eastAsia="Times New Roman" w:hAnsi="Times New Roman" w:cs="Times New Roman"/>
          <w:i/>
          <w:iCs/>
          <w:sz w:val="16"/>
          <w:szCs w:val="16"/>
        </w:rPr>
        <w:t>T gondii</w:t>
      </w:r>
      <w:r>
        <w:t xml:space="preserve"> durante la gestación o aquellas infectadas por VIH y con signos serológicos de infecciones pasadas por </w:t>
      </w:r>
      <w:r>
        <w:rPr>
          <w:rFonts w:ascii="Times New Roman" w:eastAsia="Times New Roman" w:hAnsi="Times New Roman" w:cs="Times New Roman"/>
          <w:i/>
          <w:iCs/>
          <w:sz w:val="16"/>
          <w:szCs w:val="16"/>
        </w:rPr>
        <w:t>T gondii</w:t>
      </w:r>
      <w:r>
        <w:t xml:space="preserve"> deben ser estudiados en busca de toxoplasmosis congénita.</w:t>
      </w:r>
    </w:p>
    <w:p w14:paraId="2F65F5C2" w14:textId="77777777" w:rsidR="00924992" w:rsidRDefault="00924992">
      <w:pPr>
        <w:pStyle w:val="BodyText"/>
        <w:ind w:firstLine="360"/>
      </w:pPr>
      <w:r>
        <w:t xml:space="preserve">Si el diagnóstico de un pequeño no es claro en el momento de nacer, la valoración de él debe incluir estudios oftalmológicos, auditivos y neurológicos, punción lumbar y tomografia computadorizada de la cabeza. Se intentará aislar </w:t>
      </w:r>
      <w:r>
        <w:rPr>
          <w:rFonts w:ascii="Times New Roman" w:eastAsia="Times New Roman" w:hAnsi="Times New Roman" w:cs="Times New Roman"/>
          <w:i/>
          <w:iCs/>
          <w:sz w:val="16"/>
          <w:szCs w:val="16"/>
        </w:rPr>
        <w:t>T. gondii</w:t>
      </w:r>
      <w:r>
        <w:t xml:space="preserve"> de la placenta, cordón umbilical o muestra de sangre del pequeño, por inoculación en ratón. Como otra posibilidad hay que buscar </w:t>
      </w:r>
      <w:r>
        <w:rPr>
          <w:rFonts w:ascii="Times New Roman" w:eastAsia="Times New Roman" w:hAnsi="Times New Roman" w:cs="Times New Roman"/>
          <w:i/>
          <w:iCs/>
          <w:sz w:val="16"/>
          <w:szCs w:val="16"/>
        </w:rPr>
        <w:t>T. gondii</w:t>
      </w:r>
      <w:r>
        <w:t xml:space="preserve"> por medio de una reacción en cadena de polimerasa practicada en un laboratorio especializado, en leucocitos de sangre periférica, líquido cefalorraquídeo (LCR) y muestras de líquido amniótico.</w:t>
      </w:r>
    </w:p>
    <w:p w14:paraId="7591CE5E" w14:textId="77777777" w:rsidR="00924992" w:rsidRDefault="00924992">
      <w:pPr>
        <w:pStyle w:val="BodyText"/>
        <w:ind w:firstLine="360"/>
      </w:pPr>
      <w:r>
        <w:t xml:space="preserve">La infección congénita se puede confirmar serológicamente con base en la presencia de inmunoglobulinas M o A en los primeros seis meses de vida o bien con la positividad persistente de títulos de IgG después de los primeros 12 meses de edad. La sensibilidad de IgM específico de </w:t>
      </w:r>
      <w:r>
        <w:rPr>
          <w:rFonts w:ascii="Times New Roman" w:eastAsia="Times New Roman" w:hAnsi="Times New Roman" w:cs="Times New Roman"/>
          <w:i/>
          <w:iCs/>
          <w:sz w:val="16"/>
          <w:szCs w:val="16"/>
        </w:rPr>
        <w:t>T. gondii</w:t>
      </w:r>
      <w:r>
        <w:t xml:space="preserve"> por la técnica de inmunoanálisis enzimático de doble capa o de inmunosorbente es de 75 a 80%. Es mejor no utilizar el método de fluorescencia indirecta para IgM en el diagnóstico de infección congénita. En un lactante no infectado, puede haber disminución continua del título de IgG sin IgM ni IgA. Entre los seis y los 12 meses no se detectan ya el anticuerpo IgG transmitido por vía transplacentaria.</w:t>
      </w:r>
    </w:p>
    <w:p w14:paraId="75A6E382" w14:textId="77777777" w:rsidR="00924992" w:rsidRDefault="00924992">
      <w:pPr>
        <w:pStyle w:val="BodyText"/>
        <w:ind w:firstLine="360"/>
      </w:pPr>
      <w:r>
        <w:rPr>
          <w:rFonts w:ascii="Times New Roman" w:eastAsia="Times New Roman" w:hAnsi="Times New Roman" w:cs="Times New Roman"/>
          <w:b/>
          <w:bCs/>
          <w:i/>
          <w:iCs/>
          <w:sz w:val="16"/>
          <w:szCs w:val="16"/>
        </w:rPr>
        <w:t>Infección por VIH.</w:t>
      </w:r>
      <w:r>
        <w:t xml:space="preserve"> Los niños con infección por VIH con otra infección latente por </w:t>
      </w:r>
      <w:r>
        <w:rPr>
          <w:rFonts w:ascii="Times New Roman" w:eastAsia="Times New Roman" w:hAnsi="Times New Roman" w:cs="Times New Roman"/>
          <w:i/>
          <w:iCs/>
          <w:sz w:val="16"/>
          <w:szCs w:val="16"/>
        </w:rPr>
        <w:t>T gondii</w:t>
      </w:r>
      <w:r>
        <w:t xml:space="preserve"> tienen títulos variables de anticuerpo IgG contra este último microorganismo, pero rara vez tienen anticuerpos de tipo IgM. Se observan a veces seroconversión e incrementos de cuatro tantos en los títulos de anticuerpos de tipo IgG, pero la inmunosupresión anula la posibilidad de diagnosticar enfermedad activa en niños con el síndrome de inmunodeficiencia adquirida. En pacientes infectados con VIH con seropositividad de IgG contra </w:t>
      </w:r>
      <w:r>
        <w:rPr>
          <w:rFonts w:ascii="Times New Roman" w:eastAsia="Times New Roman" w:hAnsi="Times New Roman" w:cs="Times New Roman"/>
          <w:i/>
          <w:iCs/>
          <w:sz w:val="16"/>
          <w:szCs w:val="16"/>
        </w:rPr>
        <w:t>T. gondii</w:t>
      </w:r>
      <w:r>
        <w:t xml:space="preserve"> (presencia de dicho anticuerpo) se diagnostica en forma provisional la encefalitis por el microorganismo con base en la presencia de los signos clínicos o radiográficos característicos. Si la infección no mejora con un lapso de prueba empírico con fármacos contra </w:t>
      </w:r>
      <w:r>
        <w:rPr>
          <w:rFonts w:ascii="Times New Roman" w:eastAsia="Times New Roman" w:hAnsi="Times New Roman" w:cs="Times New Roman"/>
          <w:i/>
          <w:iCs/>
          <w:sz w:val="16"/>
          <w:szCs w:val="16"/>
        </w:rPr>
        <w:t>T. gondii,</w:t>
      </w:r>
      <w:r>
        <w:t xml:space="preserve"> puede ser necesario demostrar la presencia del microorganismo, su antígeno o DNA en tejido de biopsia, sangre o líquido cefalorraquídeo.</w:t>
      </w:r>
    </w:p>
    <w:p w14:paraId="1E72D9B4" w14:textId="77777777" w:rsidR="00924992" w:rsidRDefault="00924992">
      <w:pPr>
        <w:pStyle w:val="BodyText"/>
        <w:ind w:firstLine="360"/>
      </w:pPr>
      <w:r>
        <w:t xml:space="preserve">Los hijos de mujeres que muestran infección simultánea por VIH y </w:t>
      </w:r>
      <w:r>
        <w:rPr>
          <w:rFonts w:ascii="Times New Roman" w:eastAsia="Times New Roman" w:hAnsi="Times New Roman" w:cs="Times New Roman"/>
          <w:i/>
          <w:iCs/>
          <w:sz w:val="16"/>
          <w:szCs w:val="16"/>
        </w:rPr>
        <w:t>T gondii</w:t>
      </w:r>
      <w:r>
        <w:t xml:space="preserve"> deben ser valorados en busca de toxoplasmosis congénita por una mayor posibilidad de que surja reactivación en la gestante y transmisión congénita.</w:t>
      </w:r>
    </w:p>
    <w:p w14:paraId="3716A263" w14:textId="77777777" w:rsidR="00924992" w:rsidRDefault="00924992">
      <w:pPr>
        <w:pStyle w:val="BodyText"/>
        <w:ind w:firstLine="360"/>
      </w:pPr>
      <w:r>
        <w:t xml:space="preserve">La toxoplasmosis ocular se diagnostica con base en la observación de las lesiones retinales características junto con la presencia de anticuerpos de tipo IgM o IgG específicos contra </w:t>
      </w:r>
      <w:r>
        <w:rPr>
          <w:rFonts w:ascii="Times New Roman" w:eastAsia="Times New Roman" w:hAnsi="Times New Roman" w:cs="Times New Roman"/>
          <w:i/>
          <w:iCs/>
          <w:sz w:val="16"/>
          <w:szCs w:val="16"/>
        </w:rPr>
        <w:t>T. gondii</w:t>
      </w:r>
      <w:r>
        <w:t xml:space="preserve"> en suero.</w:t>
      </w:r>
    </w:p>
    <w:p w14:paraId="7A607B31" w14:textId="77777777" w:rsidR="00924992" w:rsidRDefault="00924992">
      <w:pPr>
        <w:pStyle w:val="BodyText"/>
        <w:ind w:firstLine="0"/>
      </w:pPr>
      <w:r>
        <w:rPr>
          <w:b/>
          <w:bCs/>
        </w:rPr>
        <w:t>T</w:t>
      </w:r>
      <w:r>
        <w:rPr>
          <w:b/>
          <w:bCs/>
          <w:sz w:val="13"/>
          <w:szCs w:val="13"/>
        </w:rPr>
        <w:t>RATAMIENTO</w:t>
      </w:r>
      <w:r>
        <w:rPr>
          <w:b/>
          <w:bCs/>
        </w:rPr>
        <w:t xml:space="preserve">: </w:t>
      </w:r>
      <w:r>
        <w:t>Muchos casos de infección adquirida en un hospedador inmunocompetente no necesitan de antimicrobianos específicos. Cuando así conviene (como sería la coriorretinitis o daño notable de órgano), el régimen más aceptado en niños y adultos con un cuadro sintomático agudo es la combinación de pirimetamina y sulfadiazina</w:t>
      </w:r>
      <w:r>
        <w:footnoteReference w:id="10"/>
      </w:r>
      <w:r>
        <w:t xml:space="preserve"> que tiene acción sinèrgica contra </w:t>
      </w:r>
      <w:r>
        <w:rPr>
          <w:rFonts w:ascii="Times New Roman" w:eastAsia="Times New Roman" w:hAnsi="Times New Roman" w:cs="Times New Roman"/>
          <w:i/>
          <w:iCs/>
          <w:sz w:val="16"/>
          <w:szCs w:val="16"/>
        </w:rPr>
        <w:t>T gondii</w:t>
      </w:r>
      <w:r>
        <w:t xml:space="preserve"> (véase “Fármacos antiparasitarios”, sección 4). Como otra posibilidad se puede utilizar pirimetamina en combinación con clindamicina si la persona no tolera la sulfadiazina. Los corticosteroides al parecer son útiles en el tratamiento de complicaciones oculares y ataque del sistema nervioso central en algunos niños.</w:t>
      </w:r>
    </w:p>
    <w:p w14:paraId="6262EEB9" w14:textId="77777777" w:rsidR="00924992" w:rsidRDefault="00924992">
      <w:pPr>
        <w:pStyle w:val="BodyText"/>
        <w:ind w:firstLine="360"/>
      </w:pPr>
      <w:r>
        <w:t>Los pacientes infectados con VIH que han tenido encefalitis por toxoplasma deben recibir terapia supresora permanentemente para evitar la recidiva. Los regímenes de tratamiento primario también son eficaces para la terapia supresora.</w:t>
      </w:r>
    </w:p>
    <w:p w14:paraId="086D2D04" w14:textId="77777777" w:rsidR="00924992" w:rsidRDefault="00924992">
      <w:pPr>
        <w:pStyle w:val="BodyText"/>
        <w:spacing w:line="276" w:lineRule="auto"/>
        <w:ind w:firstLine="360"/>
        <w:sectPr w:rsidR="00924992" w:rsidSect="00924992">
          <w:headerReference w:type="even" r:id="rId77"/>
          <w:headerReference w:type="default" r:id="rId78"/>
          <w:footerReference w:type="even" r:id="rId79"/>
          <w:footerReference w:type="default" r:id="rId80"/>
          <w:type w:val="continuous"/>
          <w:pgSz w:w="8501" w:h="13022"/>
          <w:pgMar w:top="898" w:right="780" w:bottom="509" w:left="828" w:header="0" w:footer="3" w:gutter="0"/>
          <w:cols w:space="720"/>
          <w:noEndnote/>
          <w:docGrid w:linePitch="360"/>
          <w15:footnoteColumns w:val="1"/>
        </w:sectPr>
      </w:pPr>
      <w:r>
        <w:t xml:space="preserve">En el caso de adultos infectados con VIH en Estados Unidos, el </w:t>
      </w:r>
      <w:r>
        <w:rPr>
          <w:rFonts w:ascii="Times New Roman" w:eastAsia="Times New Roman" w:hAnsi="Times New Roman" w:cs="Times New Roman"/>
          <w:i/>
          <w:iCs/>
          <w:sz w:val="16"/>
          <w:szCs w:val="16"/>
        </w:rPr>
        <w:t>Prevention of Opportunistic Infections Working Group de la Public Health Services and Infectious Diseases Society of America</w:t>
      </w:r>
      <w:r>
        <w:rPr>
          <w:i/>
          <w:iCs/>
        </w:rPr>
        <w:t>t</w:t>
      </w:r>
      <w:r>
        <w:t xml:space="preserve"> recomienda usar la quimioprofilaxia primaria a base de trimetoprim-sulfametoxazol contra la toxoplasmosis, en personas que tienen </w:t>
      </w:r>
      <w:r>
        <w:rPr>
          <w:rFonts w:ascii="Times New Roman" w:eastAsia="Times New Roman" w:hAnsi="Times New Roman" w:cs="Times New Roman"/>
          <w:i/>
          <w:iCs/>
          <w:sz w:val="16"/>
          <w:szCs w:val="16"/>
        </w:rPr>
        <w:t xml:space="preserve">T. gondii </w:t>
      </w:r>
      <w:r>
        <w:t>(seropositivos) y recuentos de linfocitos T CD4+ menores de 100 x 10</w:t>
      </w:r>
      <w:r>
        <w:rPr>
          <w:rFonts w:ascii="Times New Roman" w:eastAsia="Times New Roman" w:hAnsi="Times New Roman" w:cs="Times New Roman"/>
          <w:sz w:val="11"/>
          <w:szCs w:val="11"/>
        </w:rPr>
        <w:t>6</w:t>
      </w:r>
      <w:r>
        <w:t xml:space="preserve">/L (&lt;100/pl). Los datos actuales no son suficientes para plantear pautas específicas para niños; hay que pensar en la quimioprofilaxia, que es recomendable según algunos expertos. Con el trimetoprim-sulfametoxazol administrado para profilaxia de la neumonía por </w:t>
      </w:r>
      <w:r>
        <w:rPr>
          <w:rFonts w:ascii="Times New Roman" w:eastAsia="Times New Roman" w:hAnsi="Times New Roman" w:cs="Times New Roman"/>
          <w:i/>
          <w:iCs/>
          <w:sz w:val="16"/>
          <w:szCs w:val="16"/>
        </w:rPr>
        <w:t>Pneumocystis</w:t>
      </w:r>
      <w:r>
        <w:t xml:space="preserve"> se puede obtener una acción similar contra la toxoplasmosis. Los niños profundamente inmunosuprimidos que no reciben trimetoprim-sulfametoxazol ni atovacuona y en quienes se observa seropositividad de especies de Toxoplasma deben ser sometidos a profilaxia (como sería dapsona y además pirimetamina) contra la neumonía por </w:t>
      </w:r>
      <w:r>
        <w:rPr>
          <w:rFonts w:ascii="Times New Roman" w:eastAsia="Times New Roman" w:hAnsi="Times New Roman" w:cs="Times New Roman"/>
          <w:i/>
          <w:iCs/>
          <w:sz w:val="16"/>
          <w:szCs w:val="16"/>
        </w:rPr>
        <w:t>Pneumocystis</w:t>
      </w:r>
      <w:r>
        <w:t xml:space="preserve"> y la toxoplasmosis.</w:t>
      </w:r>
    </w:p>
    <w:p w14:paraId="5F64A4F4" w14:textId="77777777" w:rsidR="00924992" w:rsidRDefault="00924992">
      <w:pPr>
        <w:pStyle w:val="BodyText"/>
        <w:ind w:firstLine="360"/>
      </w:pPr>
      <w:r>
        <w:t>En infecciones congénitas sintomáticas y asintomáticas se recomienda como terapia inicial la combinación de pirimetamina y sulfadiazina (suplementada con ácido folínico). El tratamiento es prolongado y dura a menudo un año. Sin embargo, no se han definido con exactitud la dosis y la duración óptimas, y será necesario determinarlas en consulta con infectólogos adecuados.</w:t>
      </w:r>
    </w:p>
    <w:p w14:paraId="33190ED1" w14:textId="77777777" w:rsidR="00924992" w:rsidRDefault="00924992">
      <w:pPr>
        <w:pStyle w:val="BodyText"/>
        <w:spacing w:line="276" w:lineRule="auto"/>
        <w:ind w:firstLine="360"/>
      </w:pPr>
      <w:r>
        <w:t xml:space="preserve">Se recomienda tratar la infección primaria por </w:t>
      </w:r>
      <w:r>
        <w:rPr>
          <w:rFonts w:ascii="Times New Roman" w:eastAsia="Times New Roman" w:hAnsi="Times New Roman" w:cs="Times New Roman"/>
          <w:i/>
          <w:iCs/>
          <w:sz w:val="16"/>
          <w:szCs w:val="16"/>
        </w:rPr>
        <w:t>T. gondii</w:t>
      </w:r>
      <w:r>
        <w:t xml:space="preserve"> en embarazadas, incluidas las que tienen infección por VIH. Es necesario consultar para el tratamiento a los especialistas apropiados. Se recurre a la administración de espiramicina contra la infección primaria durante la gestación, en un intento de disminuir la transmisión de </w:t>
      </w:r>
      <w:r>
        <w:rPr>
          <w:rFonts w:ascii="Times New Roman" w:eastAsia="Times New Roman" w:hAnsi="Times New Roman" w:cs="Times New Roman"/>
          <w:i/>
          <w:iCs/>
          <w:sz w:val="16"/>
          <w:szCs w:val="16"/>
        </w:rPr>
        <w:t>T. gondii</w:t>
      </w:r>
      <w:r>
        <w:t xml:space="preserve"> de la madre al feto. El tratamiento de la madre puede disminuir la intensidad de las secuelas en el feto una vez que ha surgido la toxoplasmosis congénita. La espiramicina se obtiene sólo como fármaco de investigación en Estados Unidos; también se le puede conseguir del fabricante si se tiene la autorización de la </w:t>
      </w:r>
      <w:r>
        <w:rPr>
          <w:rFonts w:ascii="Times New Roman" w:eastAsia="Times New Roman" w:hAnsi="Times New Roman" w:cs="Times New Roman"/>
          <w:i/>
          <w:iCs/>
          <w:sz w:val="16"/>
          <w:szCs w:val="16"/>
        </w:rPr>
        <w:t>Food and Drug Administration</w:t>
      </w:r>
      <w:r>
        <w:rPr>
          <w:i/>
          <w:iCs/>
        </w:rPr>
        <w:t>.</w:t>
      </w:r>
      <w:r>
        <w:rPr>
          <w:i/>
          <w:iCs/>
        </w:rPr>
        <w:footnoteReference w:id="11"/>
      </w:r>
      <w:r>
        <w:t xml:space="preserve"> Si se confirma la presencia de infección del feto después de 17 semanas de gestación o si la mujer se infecta en el tercer trimestre, habrá que valorar la posibilidad de iniciar el tratamiento con pirimetamina y sulfadiazina. </w:t>
      </w:r>
      <w:r>
        <w:rPr>
          <w:b/>
          <w:bCs/>
        </w:rPr>
        <w:t>A</w:t>
      </w:r>
      <w:r>
        <w:rPr>
          <w:b/>
          <w:bCs/>
          <w:sz w:val="13"/>
          <w:szCs w:val="13"/>
        </w:rPr>
        <w:t xml:space="preserve">ISLAMIENTO </w:t>
      </w:r>
      <w:r>
        <w:rPr>
          <w:b/>
          <w:bCs/>
          <w:smallCaps/>
          <w:sz w:val="16"/>
          <w:szCs w:val="16"/>
        </w:rPr>
        <w:t>del</w:t>
      </w:r>
      <w:r>
        <w:rPr>
          <w:b/>
          <w:bCs/>
          <w:sz w:val="13"/>
          <w:szCs w:val="13"/>
        </w:rPr>
        <w:t xml:space="preserve"> PACIENTE HOSPITALIZADO</w:t>
      </w:r>
      <w:r>
        <w:rPr>
          <w:b/>
          <w:bCs/>
        </w:rPr>
        <w:t xml:space="preserve">: </w:t>
      </w:r>
      <w:r>
        <w:t xml:space="preserve">Se recomienda seguir las precauciones estándar. </w:t>
      </w:r>
      <w:r>
        <w:rPr>
          <w:b/>
          <w:bCs/>
        </w:rPr>
        <w:t>M</w:t>
      </w:r>
      <w:r>
        <w:rPr>
          <w:b/>
          <w:bCs/>
          <w:sz w:val="13"/>
          <w:szCs w:val="13"/>
        </w:rPr>
        <w:t>EDIDAS PREVENTIVAS</w:t>
      </w:r>
      <w:r>
        <w:rPr>
          <w:b/>
          <w:bCs/>
        </w:rPr>
        <w:t xml:space="preserve">: </w:t>
      </w:r>
      <w:r>
        <w:t xml:space="preserve">Las embarazadas cuyo estado serológico respecto a </w:t>
      </w:r>
      <w:r>
        <w:rPr>
          <w:rFonts w:ascii="Times New Roman" w:eastAsia="Times New Roman" w:hAnsi="Times New Roman" w:cs="Times New Roman"/>
          <w:i/>
          <w:iCs/>
          <w:sz w:val="16"/>
          <w:szCs w:val="16"/>
        </w:rPr>
        <w:t>T gondii</w:t>
      </w:r>
      <w:r>
        <w:t xml:space="preserve"> es negativo o se desconoce no emprenderán actividades que pudieran exponerla al contacto con excrementos de gato (como cambiar las jaulas con camadas de animales, jardinería y actividades al aire libre) o deben utilizar guantes y lavarse las manos si es imperioso que las practiquen. El cambio diario de las jaulas de los gatos disminuirá las posibilidades de infección porque los oocistos no son infectantes en las primeras 24 a 48 h después de haber sido expulsados. Los gatos domésticos se pueden proteger de la infección si se les suministra alimento comercial para ellos y se impide que coman restos de carne cruda y cacen roedores salvajes.</w:t>
      </w:r>
    </w:p>
    <w:p w14:paraId="635A2A29" w14:textId="77777777" w:rsidR="00924992" w:rsidRDefault="00924992">
      <w:pPr>
        <w:pStyle w:val="BodyText"/>
        <w:spacing w:after="100"/>
        <w:ind w:firstLine="360"/>
      </w:pPr>
      <w:r>
        <w:t xml:space="preserve">Se puede evitar la ingestión de </w:t>
      </w:r>
      <w:r>
        <w:rPr>
          <w:rFonts w:ascii="Times New Roman" w:eastAsia="Times New Roman" w:hAnsi="Times New Roman" w:cs="Times New Roman"/>
          <w:i/>
          <w:iCs/>
          <w:sz w:val="16"/>
          <w:szCs w:val="16"/>
        </w:rPr>
        <w:t>T. gondii</w:t>
      </w:r>
      <w:r>
        <w:t xml:space="preserve"> con las medidas siguientes: 1) cocer la carne y en particular cerdo, cordero y venado, hasta alcanzar una temperatura interna de 65.5 a 76.6°C (cuando deja de estar color rosa) antes de su consumo (se consideran como seguras las carnes ahumadas y las curadas en salmuera); 2) lavar frutas y verduras; 3) lavarse las manos y limpiar las superficies de la cocina después de manipular frutas, verduras y carne cruda; 4) lavarse las manos después de tareas de jardinería o de otros contactos con la tierra y 5) evitar la contaminación de alimentos con carne cruda o mal cocida o tierra. Habrá que aconsejar y señalar las diversas fuentes de infección por Toxoplasma a las personas infectadas por VIH y a las embarazadas.</w:t>
      </w:r>
    </w:p>
    <w:p w14:paraId="1510569E" w14:textId="77777777" w:rsidR="00924992" w:rsidRDefault="00924992">
      <w:pPr>
        <w:pStyle w:val="Bodytext70"/>
        <w:spacing w:after="0"/>
      </w:pPr>
      <w:r>
        <w:rPr>
          <w:i/>
          <w:iCs/>
        </w:rPr>
        <w:t>Trichomonas vaginalis</w:t>
      </w:r>
      <w:r>
        <w:rPr>
          <w:i/>
          <w:iCs/>
          <w:w w:val="100"/>
        </w:rPr>
        <w:t>,</w:t>
      </w:r>
      <w:r>
        <w:t xml:space="preserve"> infecciones</w:t>
      </w:r>
    </w:p>
    <w:p w14:paraId="2ED79835" w14:textId="77777777" w:rsidR="00924992" w:rsidRDefault="00924992">
      <w:pPr>
        <w:pStyle w:val="Other0"/>
        <w:spacing w:line="252" w:lineRule="auto"/>
        <w:ind w:firstLine="0"/>
        <w:rPr>
          <w:sz w:val="20"/>
          <w:szCs w:val="20"/>
        </w:rPr>
      </w:pPr>
      <w:r>
        <w:rPr>
          <w:rFonts w:ascii="Arial" w:eastAsia="Arial" w:hAnsi="Arial" w:cs="Arial"/>
          <w:b/>
          <w:bCs/>
          <w:w w:val="70"/>
          <w:sz w:val="20"/>
          <w:szCs w:val="20"/>
        </w:rPr>
        <w:t>(Tricomoniasis)</w:t>
      </w:r>
    </w:p>
    <w:p w14:paraId="1FF6F48F" w14:textId="77777777" w:rsidR="00924992" w:rsidRDefault="00924992">
      <w:pPr>
        <w:pStyle w:val="BodyText"/>
        <w:spacing w:after="60"/>
        <w:ind w:firstLine="0"/>
      </w:pPr>
      <w:r>
        <w:rPr>
          <w:b/>
          <w:bCs/>
        </w:rPr>
        <w:t>M</w:t>
      </w:r>
      <w:r>
        <w:rPr>
          <w:b/>
          <w:bCs/>
          <w:sz w:val="13"/>
          <w:szCs w:val="13"/>
        </w:rPr>
        <w:t xml:space="preserve">ANIFESTACIONES </w:t>
      </w:r>
      <w:r>
        <w:rPr>
          <w:b/>
          <w:bCs/>
          <w:smallCaps/>
          <w:sz w:val="16"/>
          <w:szCs w:val="16"/>
        </w:rPr>
        <w:t>clínicas</w:t>
      </w:r>
      <w:r>
        <w:rPr>
          <w:b/>
          <w:bCs/>
          <w:smallCaps/>
          <w:sz w:val="20"/>
          <w:szCs w:val="20"/>
        </w:rPr>
        <w:t>:</w:t>
      </w:r>
      <w:r>
        <w:t xml:space="preserve"> La infección por </w:t>
      </w:r>
      <w:r>
        <w:rPr>
          <w:rFonts w:ascii="Times New Roman" w:eastAsia="Times New Roman" w:hAnsi="Times New Roman" w:cs="Times New Roman"/>
          <w:i/>
          <w:iCs/>
          <w:sz w:val="16"/>
          <w:szCs w:val="16"/>
        </w:rPr>
        <w:t>Trichomonas vaginalis</w:t>
      </w:r>
      <w:r>
        <w:t xml:space="preserve"> por lo común es asintomática, y los signos clínicos habituales en las mujeres posmenárquicas sintomáticas incluyen una secreción vaginal espumosa y prurito vulvovaginal leve. En raras ocasiones hay disuria y dolor en la mitad baja del vientre. La secreción vaginal por lo común es amarilla pálida o verde grisácea y tiene un olor rancio. Los síntomas a menudo son más intensos antes y después de la menstruación. La mucosa vaginal suele estar fuertemente eritematosa, y el cuello uterino friable y con inflamación difusa y a veces cubierto de</w:t>
      </w:r>
    </w:p>
    <w:p w14:paraId="6010DA7A" w14:textId="77777777" w:rsidR="00924992" w:rsidRDefault="00924992">
      <w:pPr>
        <w:pStyle w:val="BodyText"/>
        <w:ind w:firstLine="0"/>
      </w:pPr>
      <w:r>
        <w:rPr>
          <w:b/>
          <w:bCs/>
        </w:rPr>
        <w:t>T</w:t>
      </w:r>
      <w:r>
        <w:rPr>
          <w:b/>
          <w:bCs/>
          <w:sz w:val="13"/>
          <w:szCs w:val="13"/>
        </w:rPr>
        <w:t>RATAMIENTO</w:t>
      </w:r>
      <w:r>
        <w:rPr>
          <w:b/>
          <w:bCs/>
        </w:rPr>
        <w:t xml:space="preserve">: </w:t>
      </w:r>
      <w:r>
        <w:t>La fase aguda de la enfermedad de Chagas se trata con benznidazol o nifurtimox (véase “Fármacos antiparasitarios”, sección 4). El tratamiento de niños en las fases latente y crónica de la infección es una medida sistemática en algunos países latinoamericanos, pero no se ha definido la eficacia de tal estrategia.</w:t>
      </w:r>
    </w:p>
    <w:p w14:paraId="019A73EF" w14:textId="77777777" w:rsidR="00924992" w:rsidRDefault="00924992">
      <w:pPr>
        <w:pStyle w:val="BodyText"/>
        <w:spacing w:line="262" w:lineRule="auto"/>
        <w:ind w:firstLine="0"/>
      </w:pPr>
      <w:r>
        <w:rPr>
          <w:b/>
          <w:bCs/>
          <w:smallCaps/>
          <w:sz w:val="20"/>
          <w:szCs w:val="20"/>
        </w:rPr>
        <w:t>A</w:t>
      </w:r>
      <w:r>
        <w:rPr>
          <w:b/>
          <w:bCs/>
          <w:smallCaps/>
          <w:sz w:val="16"/>
          <w:szCs w:val="16"/>
        </w:rPr>
        <w:t>islamiento del paciente hospitalizado</w:t>
      </w:r>
      <w:r>
        <w:rPr>
          <w:b/>
          <w:bCs/>
          <w:smallCaps/>
          <w:sz w:val="20"/>
          <w:szCs w:val="20"/>
        </w:rPr>
        <w:t>:</w:t>
      </w:r>
      <w:r>
        <w:t xml:space="preserve"> Es necesario seguir las precauciones estándar.</w:t>
      </w:r>
    </w:p>
    <w:p w14:paraId="1D5E43BC" w14:textId="77777777" w:rsidR="00924992" w:rsidRDefault="00924992">
      <w:pPr>
        <w:pStyle w:val="BodyText"/>
        <w:ind w:firstLine="0"/>
      </w:pPr>
      <w:r>
        <w:rPr>
          <w:b/>
          <w:bCs/>
        </w:rPr>
        <w:t>M</w:t>
      </w:r>
      <w:r>
        <w:rPr>
          <w:b/>
          <w:bCs/>
          <w:sz w:val="13"/>
          <w:szCs w:val="13"/>
        </w:rPr>
        <w:t>EDIDAS PREVENTIVAS</w:t>
      </w:r>
      <w:r>
        <w:rPr>
          <w:b/>
          <w:bCs/>
        </w:rPr>
        <w:t xml:space="preserve">: </w:t>
      </w:r>
      <w:r>
        <w:t>Las personas que viajen a zonas endémicas deben evitar el contacto con insectos redúvidos al no pernoctar en construcciones que carezcan de elementos de erradicación de tales insectos, en particular las edificaciones hechas en arcilla, techo de palma o de adobes, y en particular las que tienen grietas en las paredes o el techo. También puede ser útil el empleo de mosquiteros impregnados de insecticida. No es recomendable acampar o dormir al aire libre en zonas altamente endémicas. Habrá que hacer estudios de sangre y serológicos en miembros del círculo familiar que incluya un paciente infectado, si han estado expuestos al vector en forma semejante a como lo estuvo el paciente. Habrá que pensar en la práctica de métodos serológicos antes de viajar y después de hacerlo, cuando es inevitable la exposición al vector por haber residido en albergues infestados por redúvidos en zonas altamente endémicas.</w:t>
      </w:r>
    </w:p>
    <w:p w14:paraId="445947B5" w14:textId="77777777" w:rsidR="00924992" w:rsidRDefault="00924992">
      <w:pPr>
        <w:pStyle w:val="BodyText"/>
        <w:ind w:firstLine="360"/>
      </w:pPr>
      <w:r>
        <w:t>Es importante en las áreas endémicas la enseñanza sobre el mecanismo de propagación y los métodos de evitarla. Conviene revisar los hogares en busca de los vectores y si se les detecta, se emprenderán medidas para eliminarlos.</w:t>
      </w:r>
    </w:p>
    <w:p w14:paraId="3020C9E0" w14:textId="77777777" w:rsidR="00924992" w:rsidRDefault="00924992">
      <w:pPr>
        <w:pStyle w:val="BodyText"/>
        <w:spacing w:after="100"/>
        <w:ind w:firstLine="360"/>
      </w:pPr>
      <w:r>
        <w:t>En caso de donación de sangre en áreas endémicas habrá que practicar métodos serológicos por anticipado (véase “Aspectos de seguridad en el uso de sangre y hemoderivados”, sección 2), y los pacientes infectados no deben donar dicho líquido. Puede protegerse a las personas que reciben sangre en áreas endémicas, si se trata al líquido donado con violeta de genciana en dilución de 1:4 000.</w:t>
      </w:r>
    </w:p>
    <w:p w14:paraId="74ED73BC" w14:textId="77777777" w:rsidR="00924992" w:rsidRDefault="00924992">
      <w:pPr>
        <w:pStyle w:val="Bodytext70"/>
        <w:spacing w:after="0"/>
      </w:pPr>
      <w:r>
        <w:t>Triquinosis</w:t>
      </w:r>
    </w:p>
    <w:p w14:paraId="547DD993" w14:textId="77777777" w:rsidR="00924992" w:rsidRDefault="00924992">
      <w:pPr>
        <w:pStyle w:val="Bodytext80"/>
        <w:rPr>
          <w:sz w:val="15"/>
          <w:szCs w:val="15"/>
        </w:rPr>
      </w:pPr>
      <w:r>
        <w:rPr>
          <w:b/>
          <w:bCs/>
          <w:i/>
          <w:iCs/>
          <w:sz w:val="15"/>
          <w:szCs w:val="15"/>
        </w:rPr>
        <w:t>(Trichinella spiralis)</w:t>
      </w:r>
    </w:p>
    <w:p w14:paraId="7B10B3FE" w14:textId="77777777" w:rsidR="00924992" w:rsidRDefault="00924992">
      <w:pPr>
        <w:pStyle w:val="BodyText"/>
        <w:ind w:firstLine="0"/>
      </w:pPr>
      <w:r>
        <w:rPr>
          <w:b/>
          <w:bCs/>
          <w:smallCaps/>
          <w:sz w:val="20"/>
          <w:szCs w:val="20"/>
        </w:rPr>
        <w:t>M</w:t>
      </w:r>
      <w:r>
        <w:rPr>
          <w:b/>
          <w:bCs/>
          <w:smallCaps/>
          <w:sz w:val="16"/>
          <w:szCs w:val="16"/>
        </w:rPr>
        <w:t>anifestaciones clínicas</w:t>
      </w:r>
      <w:r>
        <w:rPr>
          <w:b/>
          <w:bCs/>
          <w:smallCaps/>
          <w:sz w:val="20"/>
          <w:szCs w:val="20"/>
        </w:rPr>
        <w:t>:</w:t>
      </w:r>
      <w:r>
        <w:t xml:space="preserve"> La infección muestra un espectro clínico amplio que va desde un cuadro asintomático hasta una enfermedad fulminante o letal, pero muchas de las infecciones no son manifiestas. La gravedad de la enfermedad es proporcional al número de microorganismos infectantes (inóculo). Después de la primera semana de haber ingerido carne infectada la persona puede estar asintomática o sentir molestias abdominales, náuseas, vómitos, diarrea o combinaciones de estas últimas. Dos a ocho semanas más tarde, al migrar las larvas a los tejidos, puede surgir fiebre, mialgias, edema periorbitario, una erupción urticariana y hemorragias conjuntivales y subungueales. Las larvas pueden permanecer viables en tejidos durante varios años; en término de seis a 24 meses por lo regular se calcifican algunas larvas en el músculo de fibra estriada y pueden ser detectadas en las radiografías. En caso de infecciones graves, en cuestión de uno a dos meses pueden surgir miocarditis, ataque del sistema nervioso y neumonitis. </w:t>
      </w:r>
      <w:r>
        <w:rPr>
          <w:b/>
          <w:bCs/>
        </w:rPr>
        <w:t>C</w:t>
      </w:r>
      <w:r>
        <w:rPr>
          <w:b/>
          <w:bCs/>
          <w:sz w:val="13"/>
          <w:szCs w:val="13"/>
        </w:rPr>
        <w:t>AUSAS</w:t>
      </w:r>
      <w:r>
        <w:rPr>
          <w:b/>
          <w:bCs/>
        </w:rPr>
        <w:t xml:space="preserve">: </w:t>
      </w:r>
      <w:r>
        <w:t xml:space="preserve">La infección es causada por nematodos (vermes redondos) del género </w:t>
      </w:r>
      <w:r>
        <w:rPr>
          <w:rFonts w:ascii="Times New Roman" w:eastAsia="Times New Roman" w:hAnsi="Times New Roman" w:cs="Times New Roman"/>
          <w:i/>
          <w:iCs/>
          <w:sz w:val="16"/>
          <w:szCs w:val="16"/>
        </w:rPr>
        <w:t xml:space="preserve">Trichinella. </w:t>
      </w:r>
      <w:r>
        <w:t xml:space="preserve">Se han identificado como mínimo cinco especies que pueden infectar sólo a animales de sangre caliente. A nivel mundial </w:t>
      </w:r>
      <w:r>
        <w:rPr>
          <w:rFonts w:ascii="Times New Roman" w:eastAsia="Times New Roman" w:hAnsi="Times New Roman" w:cs="Times New Roman"/>
          <w:i/>
          <w:iCs/>
          <w:sz w:val="16"/>
          <w:szCs w:val="16"/>
        </w:rPr>
        <w:t>Trichinella spiralis</w:t>
      </w:r>
      <w:r>
        <w:t xml:space="preserve"> es la causa más común de infección en seres humanos.</w:t>
      </w:r>
    </w:p>
    <w:p w14:paraId="4AD5FE13" w14:textId="77777777" w:rsidR="00924992" w:rsidRDefault="00924992">
      <w:pPr>
        <w:pStyle w:val="BodyText"/>
        <w:ind w:firstLine="0"/>
        <w:sectPr w:rsidR="00924992" w:rsidSect="00924992">
          <w:headerReference w:type="even" r:id="rId81"/>
          <w:headerReference w:type="default" r:id="rId82"/>
          <w:footerReference w:type="even" r:id="rId83"/>
          <w:footerReference w:type="default" r:id="rId84"/>
          <w:headerReference w:type="first" r:id="rId85"/>
          <w:footerReference w:type="first" r:id="rId86"/>
          <w:pgSz w:w="8501" w:h="13022"/>
          <w:pgMar w:top="898" w:right="780" w:bottom="509" w:left="828" w:header="0" w:footer="3" w:gutter="0"/>
          <w:cols w:space="720"/>
          <w:noEndnote/>
          <w:titlePg/>
          <w:docGrid w:linePitch="360"/>
          <w15:footnoteColumns w:val="1"/>
        </w:sectPr>
      </w:pPr>
      <w:r>
        <w:rPr>
          <w:b/>
          <w:bCs/>
        </w:rPr>
        <w:t>A</w:t>
      </w:r>
      <w:r>
        <w:rPr>
          <w:b/>
          <w:bCs/>
          <w:sz w:val="13"/>
          <w:szCs w:val="13"/>
        </w:rPr>
        <w:t>SPECTOS EPIDEMIOLÓGICOS</w:t>
      </w:r>
      <w:r>
        <w:rPr>
          <w:b/>
          <w:bCs/>
        </w:rPr>
        <w:t xml:space="preserve">: </w:t>
      </w:r>
      <w:r>
        <w:t xml:space="preserve">La infección es una enzootica a nivel mundial en muchos carnívoros, en especial los carroñeros. La infección surge como consecuencia de la ingestión de carne cruda o mal cocida que contiene larvas enquistadas de </w:t>
      </w:r>
      <w:r>
        <w:rPr>
          <w:rFonts w:ascii="Times New Roman" w:eastAsia="Times New Roman" w:hAnsi="Times New Roman" w:cs="Times New Roman"/>
          <w:i/>
          <w:iCs/>
          <w:sz w:val="16"/>
          <w:szCs w:val="16"/>
        </w:rPr>
        <w:t>T. spiralis</w:t>
      </w:r>
      <w:r>
        <w:t xml:space="preserve">. El cerdo es la fuente usual de infecciones de seres humanos, pero también pueden serlo la </w:t>
      </w:r>
    </w:p>
    <w:p w14:paraId="0E8100D6" w14:textId="77777777" w:rsidR="00924992" w:rsidRDefault="00924992">
      <w:pPr>
        <w:pStyle w:val="BodyText"/>
        <w:ind w:firstLine="0"/>
      </w:pPr>
      <w:r>
        <w:t>carne de caballo y carnívoros salvajes como osos, focas y morsas en el hemisferio septentrional. Alimentar a los cerdos con desperdicios crudos perpetúa el ciclo de la infección. En Estados Unidos la incidencia de la infección en seres humanos ha disminuido considerablemente, pero surge a veces de manera esporádica, dentro de un núcleo familiar o un grupo de amigos que han preparado salchichas mal cocidas, de carne de cerdo fresca. La enfermedad no se transmite de una persona a otra.</w:t>
      </w:r>
    </w:p>
    <w:p w14:paraId="0609D4BB" w14:textId="77777777" w:rsidR="00924992" w:rsidRDefault="00924992">
      <w:pPr>
        <w:pStyle w:val="BodyText"/>
        <w:ind w:firstLine="360"/>
      </w:pPr>
      <w:r>
        <w:t xml:space="preserve">El </w:t>
      </w:r>
      <w:r>
        <w:rPr>
          <w:b/>
          <w:bCs/>
        </w:rPr>
        <w:t xml:space="preserve">periodo de incubación </w:t>
      </w:r>
      <w:r>
        <w:t>es de una a dos semanas.</w:t>
      </w:r>
    </w:p>
    <w:p w14:paraId="4232CC3F" w14:textId="77777777" w:rsidR="00924992" w:rsidRDefault="00924992">
      <w:pPr>
        <w:pStyle w:val="BodyText"/>
        <w:ind w:firstLine="0"/>
      </w:pPr>
      <w:r>
        <w:rPr>
          <w:b/>
          <w:bCs/>
        </w:rPr>
        <w:t>M</w:t>
      </w:r>
      <w:r>
        <w:rPr>
          <w:b/>
          <w:bCs/>
          <w:sz w:val="13"/>
          <w:szCs w:val="13"/>
        </w:rPr>
        <w:t>ÉTODOS DIAGNÓSTICOS</w:t>
      </w:r>
      <w:r>
        <w:rPr>
          <w:b/>
          <w:bCs/>
        </w:rPr>
        <w:t xml:space="preserve">: </w:t>
      </w:r>
      <w:r>
        <w:t xml:space="preserve">La eosinofilia que se acerca a 70% junto con síntomas compatibles de antecedentes alimentarios sugiere el diagnóstico. También aumentan las concentraciones de enzimas musculares como la creatinfosfocinasa y la deshidrogenasa láctica. Es posible identificar microscópicamente las larvas encapsuladas en un fragmento de músculo de fibra estriada para biopsia (particularmente el deltoides y los gemelos) desde unos 14 días después de la infección. También hay que analizar tejido recién obtenido, comprimido entre dos laminillas microscópicas. Un método más sensible es digerir el tejido muscular en jugo gástrico artificial, y después revisar el sedimento en busca de larvas. La identificación de larvas en la carne sospechosa puede ser el procedimiento más rápido de obtención de datos diagnósticos. Se pueden practicar métodos serológicos en algunos laboratorios privados y estatales y también en Estados Unidos en los </w:t>
      </w:r>
      <w:r>
        <w:rPr>
          <w:rFonts w:ascii="Times New Roman" w:eastAsia="Times New Roman" w:hAnsi="Times New Roman" w:cs="Times New Roman"/>
          <w:i/>
          <w:iCs/>
          <w:sz w:val="16"/>
          <w:szCs w:val="16"/>
        </w:rPr>
        <w:t>Centers for Disease Control and Prevention</w:t>
      </w:r>
      <w:r>
        <w:rPr>
          <w:i/>
          <w:iCs/>
        </w:rPr>
        <w:t>.</w:t>
      </w:r>
      <w:r>
        <w:t xml:space="preserve"> En raras ocasiones los títulos de anticuerpos séricos se tornan positivos antes de la segunda semana de la enfermedad. Por lo común se confirma el diagnóstico al estudiar pares de muestras séricas (obtenidas en la fase aguda y la de convalecencia).</w:t>
      </w:r>
    </w:p>
    <w:p w14:paraId="31D25D36" w14:textId="77777777" w:rsidR="00924992" w:rsidRDefault="00924992">
      <w:pPr>
        <w:pStyle w:val="BodyText"/>
        <w:ind w:firstLine="0"/>
      </w:pPr>
      <w:r>
        <w:rPr>
          <w:b/>
          <w:bCs/>
        </w:rPr>
        <w:t>T</w:t>
      </w:r>
      <w:r>
        <w:rPr>
          <w:b/>
          <w:bCs/>
          <w:sz w:val="13"/>
          <w:szCs w:val="13"/>
        </w:rPr>
        <w:t>RATAMIENTO</w:t>
      </w:r>
      <w:r>
        <w:rPr>
          <w:b/>
          <w:bCs/>
        </w:rPr>
        <w:t xml:space="preserve">: </w:t>
      </w:r>
      <w:r>
        <w:t xml:space="preserve">El mebendazol y el albendazol tienen eficacia similar para tratar la triquinosis (véase “Fármacos antiparasitarios”, sección 4). Ninguno de los dos es muy eficaz contra larvas de </w:t>
      </w:r>
      <w:r>
        <w:rPr>
          <w:rFonts w:ascii="Times New Roman" w:eastAsia="Times New Roman" w:hAnsi="Times New Roman" w:cs="Times New Roman"/>
          <w:i/>
          <w:iCs/>
          <w:sz w:val="16"/>
          <w:szCs w:val="16"/>
        </w:rPr>
        <w:t>Trichinella</w:t>
      </w:r>
      <w:r>
        <w:t xml:space="preserve"> que estén presentes en los músculos. Si los síntomas son graves se recomienda administrar concomitantemente corticosteroides, con el mebendazol o el albendazol; dichos fármacos aplacarán los síntomas en la reacción inflamatoria y pueden salvar la vida en caso de ataque del sistema nervioso central o el corazón.</w:t>
      </w:r>
    </w:p>
    <w:p w14:paraId="6E4EAFAA" w14:textId="77777777" w:rsidR="00924992" w:rsidRDefault="00924992">
      <w:pPr>
        <w:pStyle w:val="BodyText"/>
        <w:ind w:firstLine="0"/>
      </w:pPr>
      <w:r>
        <w:rPr>
          <w:b/>
          <w:bCs/>
        </w:rPr>
        <w:t>A</w:t>
      </w:r>
      <w:r>
        <w:rPr>
          <w:b/>
          <w:bCs/>
          <w:sz w:val="13"/>
          <w:szCs w:val="13"/>
        </w:rPr>
        <w:t>ISLAMIENTO DEL PACIENTE HOSPITALIZADO</w:t>
      </w:r>
      <w:r>
        <w:rPr>
          <w:b/>
          <w:bCs/>
        </w:rPr>
        <w:t xml:space="preserve">: </w:t>
      </w:r>
      <w:r>
        <w:t>Se recomienda seguir las precauciones estándar.</w:t>
      </w:r>
    </w:p>
    <w:p w14:paraId="5BB5FECC" w14:textId="77777777" w:rsidR="00924992" w:rsidRDefault="00924992">
      <w:pPr>
        <w:pStyle w:val="BodyText"/>
        <w:spacing w:after="340"/>
        <w:ind w:firstLine="0"/>
      </w:pPr>
      <w:r>
        <w:rPr>
          <w:b/>
          <w:bCs/>
        </w:rPr>
        <w:t>M</w:t>
      </w:r>
      <w:r>
        <w:rPr>
          <w:b/>
          <w:bCs/>
          <w:sz w:val="13"/>
          <w:szCs w:val="13"/>
        </w:rPr>
        <w:t>EDIDAS PREVENTIVAS</w:t>
      </w:r>
      <w:r>
        <w:rPr>
          <w:b/>
          <w:bCs/>
        </w:rPr>
        <w:t xml:space="preserve">: </w:t>
      </w:r>
      <w:r>
        <w:t xml:space="preserve">Es posible disminuir la transmisión a los cerdos si no se les alimenta con desperdicios crudos y también si se emprende la desratización eficaz. El público debe ser orientado en cuanto a la necesidad de cocinar perfectamente la carne de cerdo (hasta que está totalmente blanca). El congelamiento de la carne del cerdo a —23°C durante 10 días destruye las larvas. Sin embargo, a pesar de usar dicho método sobreviven algunas </w:t>
      </w:r>
      <w:r>
        <w:rPr>
          <w:rFonts w:ascii="Times New Roman" w:eastAsia="Times New Roman" w:hAnsi="Times New Roman" w:cs="Times New Roman"/>
          <w:i/>
          <w:iCs/>
          <w:sz w:val="16"/>
          <w:szCs w:val="16"/>
        </w:rPr>
        <w:t>Trichinella</w:t>
      </w:r>
      <w:r>
        <w:t xml:space="preserve"> en animales salvajes del Ártico. Las personas que han ingerido recientemente carne contaminada deben ser tratados con mebendazol (o albendazol).</w:t>
      </w:r>
    </w:p>
    <w:p w14:paraId="6FFCC3A1" w14:textId="77777777" w:rsidR="00924992" w:rsidRDefault="00924992">
      <w:pPr>
        <w:pStyle w:val="Bodytext70"/>
        <w:spacing w:after="0"/>
      </w:pPr>
      <w:r>
        <w:t>Tuberculosis</w:t>
      </w:r>
    </w:p>
    <w:p w14:paraId="4EE9EA6D" w14:textId="77777777" w:rsidR="00924992" w:rsidRDefault="00924992">
      <w:pPr>
        <w:pStyle w:val="BodyText"/>
        <w:ind w:firstLine="0"/>
      </w:pPr>
      <w:r>
        <w:rPr>
          <w:b/>
          <w:bCs/>
        </w:rPr>
        <w:t>M</w:t>
      </w:r>
      <w:r>
        <w:rPr>
          <w:b/>
          <w:bCs/>
          <w:sz w:val="13"/>
          <w:szCs w:val="13"/>
        </w:rPr>
        <w:t>ANIFESTACIONES CLÍNICAS</w:t>
      </w:r>
      <w:r>
        <w:rPr>
          <w:b/>
          <w:bCs/>
        </w:rPr>
        <w:t xml:space="preserve">: </w:t>
      </w:r>
      <w:r>
        <w:t>Casi todos los casos de tuberculosis en niños y adolescentes son asintomáticos. Al surgir la enfermedad, las manifestaciones clínicas muy a menudo aparecen uno a seis meses después de la infección, y comprenden fiebre, retraso del crecimiento o pérdida ponderal, tos, sudores nocturnos y escalofríos. Los signos radiográficos en campos pulmonares varían desde un cuadro normal hasta la presencia de anormalidades diversas como linfadenopatía hiliar, subcarinal o mediastínica; atelectasia o</w:t>
      </w:r>
    </w:p>
    <w:p w14:paraId="7ED34A02" w14:textId="77777777" w:rsidR="00924992" w:rsidRDefault="00924992">
      <w:pPr>
        <w:pStyle w:val="BodyText"/>
        <w:ind w:firstLine="360"/>
      </w:pPr>
      <w:r>
        <w:t>En infecciones congénitas sintomáticas y asintomáticas se recomienda como terapia inicial la combinación de pirimetamina y sulfadiazina (suplementada con ácido folínico). El tratamiento es prolongado y dura a menudo un año. Sin embargo, no se han definido con exactitud la dosis y la duración óptimas, y será necesario determinarlas en consulta con infectólogos adecuados.</w:t>
      </w:r>
    </w:p>
    <w:p w14:paraId="0ACB3CF2" w14:textId="77777777" w:rsidR="00924992" w:rsidRDefault="00924992">
      <w:pPr>
        <w:pStyle w:val="BodyText"/>
        <w:spacing w:line="276" w:lineRule="auto"/>
        <w:ind w:firstLine="360"/>
      </w:pPr>
      <w:r>
        <w:t xml:space="preserve">Se recomienda tratar la infección primaria por </w:t>
      </w:r>
      <w:r>
        <w:rPr>
          <w:rFonts w:ascii="Times New Roman" w:eastAsia="Times New Roman" w:hAnsi="Times New Roman" w:cs="Times New Roman"/>
          <w:i/>
          <w:iCs/>
          <w:sz w:val="16"/>
          <w:szCs w:val="16"/>
        </w:rPr>
        <w:t>T. gondii</w:t>
      </w:r>
      <w:r>
        <w:t xml:space="preserve"> en embarazadas, incluidas las que tienen infección por VIH. Es necesario consultar para el tratamiento a los especialistas apropiados. Se recurre a la administración de espiramicina contra la infección primaria durante la gestación, en un intento de disminuir la transmisión de </w:t>
      </w:r>
      <w:r>
        <w:rPr>
          <w:rFonts w:ascii="Times New Roman" w:eastAsia="Times New Roman" w:hAnsi="Times New Roman" w:cs="Times New Roman"/>
          <w:i/>
          <w:iCs/>
          <w:sz w:val="16"/>
          <w:szCs w:val="16"/>
        </w:rPr>
        <w:t>T. gondii</w:t>
      </w:r>
      <w:r>
        <w:t xml:space="preserve"> de la madre al feto. El tratamiento de la madre puede disminuir la intensidad de las secuelas en el feto una vez que ha surgido la toxoplasmosis congénita. La espiramicina se obtiene sólo como fármaco de investigación en Estados Unidos; también se le puede conseguir del fabricante si se tiene la autorización de la </w:t>
      </w:r>
      <w:r>
        <w:rPr>
          <w:rFonts w:ascii="Times New Roman" w:eastAsia="Times New Roman" w:hAnsi="Times New Roman" w:cs="Times New Roman"/>
          <w:i/>
          <w:iCs/>
          <w:sz w:val="16"/>
          <w:szCs w:val="16"/>
        </w:rPr>
        <w:t>Food and Drug Administration</w:t>
      </w:r>
      <w:r>
        <w:rPr>
          <w:i/>
          <w:iCs/>
        </w:rPr>
        <w:t>.</w:t>
      </w:r>
      <w:r>
        <w:rPr>
          <w:i/>
          <w:iCs/>
        </w:rPr>
        <w:footnoteReference w:id="12"/>
      </w:r>
      <w:r>
        <w:t xml:space="preserve"> Si se confirma la presencia de infección del feto después de 17 semanas de gestación o si la mujer se infecta en el tercer trimestre, habrá que valorar la posibilidad de iniciar el tratamiento con pirimetamina y sulfadiazina. </w:t>
      </w:r>
      <w:r>
        <w:rPr>
          <w:b/>
          <w:bCs/>
        </w:rPr>
        <w:t>A</w:t>
      </w:r>
      <w:r>
        <w:rPr>
          <w:b/>
          <w:bCs/>
          <w:sz w:val="13"/>
          <w:szCs w:val="13"/>
        </w:rPr>
        <w:t xml:space="preserve">ISLAMIENTO </w:t>
      </w:r>
      <w:r>
        <w:rPr>
          <w:b/>
          <w:bCs/>
          <w:smallCaps/>
          <w:sz w:val="16"/>
          <w:szCs w:val="16"/>
        </w:rPr>
        <w:t>del</w:t>
      </w:r>
      <w:r>
        <w:rPr>
          <w:b/>
          <w:bCs/>
          <w:sz w:val="13"/>
          <w:szCs w:val="13"/>
        </w:rPr>
        <w:t xml:space="preserve"> PACIENTE HOSPITALIZADO</w:t>
      </w:r>
      <w:r>
        <w:rPr>
          <w:b/>
          <w:bCs/>
        </w:rPr>
        <w:t xml:space="preserve">: </w:t>
      </w:r>
      <w:r>
        <w:t xml:space="preserve">Se recomienda seguir las precauciones estándar. </w:t>
      </w:r>
      <w:r>
        <w:rPr>
          <w:b/>
          <w:bCs/>
        </w:rPr>
        <w:t>M</w:t>
      </w:r>
      <w:r>
        <w:rPr>
          <w:b/>
          <w:bCs/>
          <w:sz w:val="13"/>
          <w:szCs w:val="13"/>
        </w:rPr>
        <w:t>EDIDAS PREVENTIVAS</w:t>
      </w:r>
      <w:r>
        <w:rPr>
          <w:b/>
          <w:bCs/>
        </w:rPr>
        <w:t xml:space="preserve">: </w:t>
      </w:r>
      <w:r>
        <w:t xml:space="preserve">Las embarazadas cuyo estado serológico respecto a </w:t>
      </w:r>
      <w:r>
        <w:rPr>
          <w:rFonts w:ascii="Times New Roman" w:eastAsia="Times New Roman" w:hAnsi="Times New Roman" w:cs="Times New Roman"/>
          <w:i/>
          <w:iCs/>
          <w:sz w:val="16"/>
          <w:szCs w:val="16"/>
        </w:rPr>
        <w:t>T gondii</w:t>
      </w:r>
      <w:r>
        <w:t xml:space="preserve"> es negativo o se desconoce no emprenderán actividades que pudieran exponerla al contacto con excrementos de gato (como cambiar las jaulas con camadas de animales, jardinería y actividades al aire libre) o deben utilizar guantes y lavarse las manos si es imperioso que las practiquen. El cambio diario de las jaulas de los gatos disminuirá las posibilidades de infección porque los oocistos no son infectantes en las primeras 24 a 48 h después de haber sido expulsados. Los gatos domésticos se pueden proteger de la infección si se les suministra alimento comercial para ellos y se impide que coman restos de carne cruda y cacen roedores salvajes.</w:t>
      </w:r>
    </w:p>
    <w:p w14:paraId="31EDBA1A" w14:textId="77777777" w:rsidR="00924992" w:rsidRDefault="00924992">
      <w:pPr>
        <w:pStyle w:val="BodyText"/>
        <w:spacing w:after="100"/>
        <w:ind w:firstLine="360"/>
      </w:pPr>
      <w:r>
        <w:t xml:space="preserve">Se puede evitar la ingestión de </w:t>
      </w:r>
      <w:r>
        <w:rPr>
          <w:rFonts w:ascii="Times New Roman" w:eastAsia="Times New Roman" w:hAnsi="Times New Roman" w:cs="Times New Roman"/>
          <w:i/>
          <w:iCs/>
          <w:sz w:val="16"/>
          <w:szCs w:val="16"/>
        </w:rPr>
        <w:t>T. gondii</w:t>
      </w:r>
      <w:r>
        <w:t xml:space="preserve"> con las medidas siguientes: 1) cocer la carne y en particular cerdo, cordero y venado, hasta alcanzar una temperatura interna de 65.5 a 76.6°C (cuando deja de estar color rosa) antes de su consumo (se consideran como seguras las carnes ahumadas y las curadas en salmuera); 2) lavar frutas y verduras; 3) lavarse las manos y limpiar las superficies de la cocina después de manipular frutas, verduras y carne cruda; 4) lavarse las manos después de tareas de jardinería o de otros contactos con la tierra y 5) evitar la contaminación de alimentos con carne cruda o mal cocida o tierra. Habrá que aconsejar y señalar las diversas fuentes de infección por Toxoplasma a las personas infectadas por VIH y a las embarazadas.</w:t>
      </w:r>
    </w:p>
    <w:p w14:paraId="0809350A" w14:textId="77777777" w:rsidR="00924992" w:rsidRDefault="00924992">
      <w:pPr>
        <w:pStyle w:val="Bodytext70"/>
        <w:spacing w:after="0"/>
      </w:pPr>
      <w:r>
        <w:rPr>
          <w:i/>
          <w:iCs/>
        </w:rPr>
        <w:t>Trichomonas vaginalis</w:t>
      </w:r>
      <w:r>
        <w:rPr>
          <w:i/>
          <w:iCs/>
          <w:w w:val="100"/>
        </w:rPr>
        <w:t>,</w:t>
      </w:r>
      <w:r>
        <w:t xml:space="preserve"> infecciones</w:t>
      </w:r>
    </w:p>
    <w:p w14:paraId="64447FF2" w14:textId="77777777" w:rsidR="00924992" w:rsidRDefault="00924992">
      <w:pPr>
        <w:pStyle w:val="Other0"/>
        <w:spacing w:line="252" w:lineRule="auto"/>
        <w:ind w:firstLine="0"/>
        <w:rPr>
          <w:sz w:val="20"/>
          <w:szCs w:val="20"/>
        </w:rPr>
      </w:pPr>
      <w:r>
        <w:rPr>
          <w:rFonts w:ascii="Arial" w:eastAsia="Arial" w:hAnsi="Arial" w:cs="Arial"/>
          <w:b/>
          <w:bCs/>
          <w:w w:val="70"/>
          <w:sz w:val="20"/>
          <w:szCs w:val="20"/>
        </w:rPr>
        <w:t>(Tricomoniasis)</w:t>
      </w:r>
    </w:p>
    <w:p w14:paraId="32ED5369" w14:textId="77777777" w:rsidR="00924992" w:rsidRDefault="00924992">
      <w:pPr>
        <w:pStyle w:val="BodyText"/>
        <w:ind w:firstLine="0"/>
        <w:sectPr w:rsidR="00924992" w:rsidSect="00924992">
          <w:headerReference w:type="even" r:id="rId87"/>
          <w:headerReference w:type="default" r:id="rId88"/>
          <w:footerReference w:type="even" r:id="rId89"/>
          <w:footerReference w:type="default" r:id="rId90"/>
          <w:headerReference w:type="first" r:id="rId91"/>
          <w:footerReference w:type="first" r:id="rId92"/>
          <w:pgSz w:w="8501" w:h="13022"/>
          <w:pgMar w:top="898" w:right="780" w:bottom="509" w:left="828" w:header="0" w:footer="3" w:gutter="0"/>
          <w:cols w:space="720"/>
          <w:noEndnote/>
          <w:titlePg/>
          <w:docGrid w:linePitch="360"/>
          <w15:footnoteColumns w:val="1"/>
        </w:sectPr>
      </w:pPr>
      <w:r>
        <w:rPr>
          <w:b/>
          <w:bCs/>
        </w:rPr>
        <w:t>M</w:t>
      </w:r>
      <w:r>
        <w:rPr>
          <w:b/>
          <w:bCs/>
          <w:sz w:val="13"/>
          <w:szCs w:val="13"/>
        </w:rPr>
        <w:t xml:space="preserve">ANIFESTACIONES </w:t>
      </w:r>
      <w:r>
        <w:rPr>
          <w:b/>
          <w:bCs/>
          <w:smallCaps/>
          <w:sz w:val="16"/>
          <w:szCs w:val="16"/>
        </w:rPr>
        <w:t>clínicas</w:t>
      </w:r>
      <w:r>
        <w:rPr>
          <w:b/>
          <w:bCs/>
          <w:smallCaps/>
          <w:sz w:val="20"/>
          <w:szCs w:val="20"/>
        </w:rPr>
        <w:t>:</w:t>
      </w:r>
      <w:r>
        <w:t xml:space="preserve"> La infección por </w:t>
      </w:r>
      <w:r>
        <w:rPr>
          <w:rFonts w:ascii="Times New Roman" w:eastAsia="Times New Roman" w:hAnsi="Times New Roman" w:cs="Times New Roman"/>
          <w:i/>
          <w:iCs/>
          <w:sz w:val="16"/>
          <w:szCs w:val="16"/>
        </w:rPr>
        <w:t>Trichomonas vaginalis</w:t>
      </w:r>
      <w:r>
        <w:t xml:space="preserve"> por lo común es asintomática, y los signos clínicos habituales en las mujeres posmenárquicas sintomáticas incluyen una secreción vaginal espumosa y prurito vulvovaginal leve. En raras ocasiones hay disuria y dolor en la mitad baja del vientre. La secreción vaginal por lo común es amarilla pálida o verde grisácea y tiene un olor rancio. Los síntomas a menudo son más intensos antes y después de la menstruación. La mucosa vaginal suele estar fuertemente eritematosa, y el cuello uterino friable y con inflamación difusa y a veces cubierto de </w:t>
      </w:r>
    </w:p>
    <w:p w14:paraId="55A5BD95" w14:textId="77777777" w:rsidR="00924992" w:rsidRDefault="00924992">
      <w:pPr>
        <w:pStyle w:val="BodyText"/>
        <w:ind w:firstLine="0"/>
      </w:pPr>
      <w:r>
        <w:t>innumerables petequias (“cuello en fresa”). En varones infectados surgen en ocasiones uretritis o más raramente epididimitis o prostatitis, pero casi nunca hay síntomas. Es frecuente la reinfección.</w:t>
      </w:r>
    </w:p>
    <w:p w14:paraId="5266E02F" w14:textId="77777777" w:rsidR="00924992" w:rsidRDefault="00924992">
      <w:pPr>
        <w:pStyle w:val="BodyText"/>
        <w:ind w:firstLine="0"/>
      </w:pPr>
      <w:r>
        <w:rPr>
          <w:b/>
          <w:bCs/>
        </w:rPr>
        <w:t>C</w:t>
      </w:r>
      <w:r>
        <w:rPr>
          <w:b/>
          <w:bCs/>
          <w:sz w:val="13"/>
          <w:szCs w:val="13"/>
        </w:rPr>
        <w:t>AUSAS</w:t>
      </w:r>
      <w:r>
        <w:rPr>
          <w:b/>
          <w:bCs/>
        </w:rPr>
        <w:t xml:space="preserve">: </w:t>
      </w:r>
      <w:r>
        <w:rPr>
          <w:rFonts w:ascii="Times New Roman" w:eastAsia="Times New Roman" w:hAnsi="Times New Roman" w:cs="Times New Roman"/>
          <w:i/>
          <w:iCs/>
          <w:sz w:val="16"/>
          <w:szCs w:val="16"/>
        </w:rPr>
        <w:t>Trichomonas vaginalis</w:t>
      </w:r>
      <w:r>
        <w:t xml:space="preserve"> es un protozoo flagelado un poco mayor que un granulocito.</w:t>
      </w:r>
    </w:p>
    <w:p w14:paraId="4FB349DC" w14:textId="77777777" w:rsidR="00924992" w:rsidRDefault="00924992">
      <w:pPr>
        <w:pStyle w:val="BodyText"/>
        <w:spacing w:line="276" w:lineRule="auto"/>
        <w:ind w:firstLine="0"/>
      </w:pPr>
      <w:r>
        <w:rPr>
          <w:b/>
          <w:bCs/>
          <w:smallCaps/>
          <w:sz w:val="20"/>
          <w:szCs w:val="20"/>
        </w:rPr>
        <w:t>A</w:t>
      </w:r>
      <w:r>
        <w:rPr>
          <w:b/>
          <w:bCs/>
          <w:smallCaps/>
          <w:sz w:val="16"/>
          <w:szCs w:val="16"/>
        </w:rPr>
        <w:t>spectos</w:t>
      </w:r>
      <w:r>
        <w:rPr>
          <w:b/>
          <w:bCs/>
          <w:sz w:val="13"/>
          <w:szCs w:val="13"/>
        </w:rPr>
        <w:t xml:space="preserve"> EPIDEMIOLÓGICOS</w:t>
      </w:r>
      <w:r>
        <w:rPr>
          <w:b/>
          <w:bCs/>
        </w:rPr>
        <w:t xml:space="preserve">: </w:t>
      </w:r>
      <w:r>
        <w:t xml:space="preserve">La infección por </w:t>
      </w:r>
      <w:r>
        <w:rPr>
          <w:rFonts w:ascii="Times New Roman" w:eastAsia="Times New Roman" w:hAnsi="Times New Roman" w:cs="Times New Roman"/>
          <w:i/>
          <w:iCs/>
          <w:sz w:val="16"/>
          <w:szCs w:val="16"/>
        </w:rPr>
        <w:t>Trichomonas vaginalis</w:t>
      </w:r>
      <w:r>
        <w:t xml:space="preserve"> es transmitida más bien por mecanismos sexuales y coexiste con otros cuadros, en particular la infección por </w:t>
      </w:r>
      <w:r>
        <w:rPr>
          <w:rFonts w:ascii="Times New Roman" w:eastAsia="Times New Roman" w:hAnsi="Times New Roman" w:cs="Times New Roman"/>
          <w:i/>
          <w:iCs/>
          <w:sz w:val="16"/>
          <w:szCs w:val="16"/>
        </w:rPr>
        <w:t>Neisseria gonorrhoeae</w:t>
      </w:r>
      <w:r>
        <w:t xml:space="preserve"> y la vaginitis bacteriana. La presencia de </w:t>
      </w:r>
      <w:r>
        <w:rPr>
          <w:rFonts w:ascii="Times New Roman" w:eastAsia="Times New Roman" w:hAnsi="Times New Roman" w:cs="Times New Roman"/>
          <w:i/>
          <w:iCs/>
          <w:sz w:val="16"/>
          <w:szCs w:val="16"/>
        </w:rPr>
        <w:t>T. vaginalis</w:t>
      </w:r>
      <w:r>
        <w:t xml:space="preserve"> en niños prepúberes debe despertar la sospecha de abuso sexual. </w:t>
      </w:r>
      <w:r>
        <w:rPr>
          <w:rFonts w:ascii="Times New Roman" w:eastAsia="Times New Roman" w:hAnsi="Times New Roman" w:cs="Times New Roman"/>
          <w:i/>
          <w:iCs/>
          <w:sz w:val="16"/>
          <w:szCs w:val="16"/>
        </w:rPr>
        <w:t>Trichomonas vaginalis</w:t>
      </w:r>
      <w:r>
        <w:t xml:space="preserve"> que se contagia durante el nacimiento en los neonatos puede ocasionar una secreción vaginal en las primeras semanas de vida.</w:t>
      </w:r>
    </w:p>
    <w:p w14:paraId="2C254E25" w14:textId="77777777" w:rsidR="00924992" w:rsidRDefault="00924992">
      <w:pPr>
        <w:pStyle w:val="BodyText"/>
        <w:ind w:firstLine="360"/>
      </w:pPr>
      <w:r>
        <w:t xml:space="preserve">El </w:t>
      </w:r>
      <w:r>
        <w:rPr>
          <w:b/>
          <w:bCs/>
        </w:rPr>
        <w:t xml:space="preserve">periodo de incubación </w:t>
      </w:r>
      <w:r>
        <w:t xml:space="preserve">es de una semana en promedio, pero varía de cuatro a 28 días. </w:t>
      </w:r>
      <w:r>
        <w:rPr>
          <w:b/>
          <w:bCs/>
        </w:rPr>
        <w:t>M</w:t>
      </w:r>
      <w:r>
        <w:rPr>
          <w:b/>
          <w:bCs/>
          <w:sz w:val="13"/>
          <w:szCs w:val="13"/>
        </w:rPr>
        <w:t>ÉTODOS DIAGNÓSTICOS</w:t>
      </w:r>
      <w:r>
        <w:rPr>
          <w:b/>
          <w:bCs/>
        </w:rPr>
        <w:t xml:space="preserve">: </w:t>
      </w:r>
      <w:r>
        <w:t xml:space="preserve">El diagnóstico por lo común se corrobora al estudiar una muestra de la secreción vaginal preparada en forma húmeda. Entre los signos característicos están el movimiento ondulatorio de los flagelos y la movilidad irregular de los microorganismos. Los resultados positivos de la preparación, que surgen con mayor frecuencia en mujeres sintomáticas, guardan relación directa con el número de microorganismos, pero se han identificado sólo en 60 a 70% de los casos. El cultivo de las trichomonas y los métodos como el inmunoanálisis enzimático y el de inmunofluorescencia para demostrarla son más sensibles que los preparados húmedos, pero por lo común no se necesitan para el diagnóstico. El cultivo de </w:t>
      </w:r>
      <w:r>
        <w:rPr>
          <w:rFonts w:ascii="Times New Roman" w:eastAsia="Times New Roman" w:hAnsi="Times New Roman" w:cs="Times New Roman"/>
          <w:i/>
          <w:iCs/>
          <w:sz w:val="16"/>
          <w:szCs w:val="16"/>
        </w:rPr>
        <w:t>T. vaginalis</w:t>
      </w:r>
      <w:r>
        <w:t xml:space="preserve"> es positivo en más de 80% de los casos. En Estados Unidos la FDA no ha aprobado la reacción en cadena de polimerasa para </w:t>
      </w:r>
      <w:r>
        <w:rPr>
          <w:rFonts w:ascii="Times New Roman" w:eastAsia="Times New Roman" w:hAnsi="Times New Roman" w:cs="Times New Roman"/>
          <w:i/>
          <w:iCs/>
          <w:sz w:val="16"/>
          <w:szCs w:val="16"/>
        </w:rPr>
        <w:t>T. vaginalis</w:t>
      </w:r>
      <w:r>
        <w:t xml:space="preserve"> pero puede practicarse como método diagnóstico en investigación o incluso en algunos laboratorios comerciales. </w:t>
      </w:r>
      <w:r>
        <w:rPr>
          <w:b/>
          <w:bCs/>
        </w:rPr>
        <w:t>T</w:t>
      </w:r>
      <w:r>
        <w:rPr>
          <w:b/>
          <w:bCs/>
          <w:sz w:val="13"/>
          <w:szCs w:val="13"/>
        </w:rPr>
        <w:t>RATAMIENTO</w:t>
      </w:r>
      <w:r>
        <w:rPr>
          <w:b/>
          <w:bCs/>
        </w:rPr>
        <w:t xml:space="preserve">: </w:t>
      </w:r>
      <w:r>
        <w:t>El tratamiento más indicado es el metronidazol, con el que se logran cifras de cura cercanas a 95%. También hay que tratar de manera simultánea al compañero sexual, incluso cuando está asintomático. Es importante que la persona no consuma bebidas alcohólicas durante 48 h después del tratamiento porque pueden surgir efectos similares a los del disulfirám (antabús). En el embarazo las mujeres pueden recibir una sola dosis de 2 g de metronidazol o bien un régimen que dure siete días.</w:t>
      </w:r>
    </w:p>
    <w:p w14:paraId="2E33B763" w14:textId="77777777" w:rsidR="00924992" w:rsidRDefault="00924992">
      <w:pPr>
        <w:pStyle w:val="BodyText"/>
        <w:ind w:firstLine="360"/>
      </w:pPr>
      <w:r>
        <w:t xml:space="preserve">Las personas con infecciones que no mejoran con el tratamiento deben ser tratadas de nuevo con metronidazol (1 g en dos fracciones para adolescentes y adultos) durante siete días. En caso que haya ineficacia repetida, el niño debe ser tratado con 2 g de metronidazol una vez al día durante tres a cinco días. Se han señalado cepas de Trichomonas con una menor susceptibilidad al fármaco. En el caso de que incesantemente haya ineficacia terapéutica conviene la consulta con un experto. Para este fin es posible solicitarla a los </w:t>
      </w:r>
      <w:r>
        <w:rPr>
          <w:rFonts w:ascii="Times New Roman" w:eastAsia="Times New Roman" w:hAnsi="Times New Roman" w:cs="Times New Roman"/>
          <w:i/>
          <w:iCs/>
          <w:sz w:val="16"/>
          <w:szCs w:val="16"/>
        </w:rPr>
        <w:t>Centers for Disease Control and Prevention</w:t>
      </w:r>
      <w:r>
        <w:t xml:space="preserve"> en la página </w:t>
      </w:r>
      <w:hyperlink r:id="rId93" w:history="1">
        <w:r>
          <w:t>www.cdc.gov/std</w:t>
        </w:r>
      </w:hyperlink>
      <w:r>
        <w:t xml:space="preserve"> o al teléfono 770-488-4115.</w:t>
      </w:r>
    </w:p>
    <w:p w14:paraId="110F118E" w14:textId="77777777" w:rsidR="00924992" w:rsidRDefault="00924992">
      <w:pPr>
        <w:pStyle w:val="BodyText"/>
        <w:spacing w:line="276" w:lineRule="auto"/>
        <w:ind w:firstLine="360"/>
      </w:pPr>
      <w:r>
        <w:t xml:space="preserve">Las personas infectadas por </w:t>
      </w:r>
      <w:r>
        <w:rPr>
          <w:rFonts w:ascii="Times New Roman" w:eastAsia="Times New Roman" w:hAnsi="Times New Roman" w:cs="Times New Roman"/>
          <w:i/>
          <w:iCs/>
          <w:sz w:val="16"/>
          <w:szCs w:val="16"/>
        </w:rPr>
        <w:t>T. vaginalis</w:t>
      </w:r>
      <w:r>
        <w:t xml:space="preserve"> deben ser estudiadas para saber si tienen otras enfermedades de transmisión sexual como sífilis, infección por </w:t>
      </w:r>
      <w:r>
        <w:rPr>
          <w:rFonts w:ascii="Times New Roman" w:eastAsia="Times New Roman" w:hAnsi="Times New Roman" w:cs="Times New Roman"/>
          <w:i/>
          <w:iCs/>
          <w:sz w:val="16"/>
          <w:szCs w:val="16"/>
        </w:rPr>
        <w:t>N. gonorrhoeae</w:t>
      </w:r>
      <w:r>
        <w:rPr>
          <w:i/>
          <w:iCs/>
        </w:rPr>
        <w:t xml:space="preserve">, </w:t>
      </w:r>
      <w:r>
        <w:rPr>
          <w:rFonts w:ascii="Times New Roman" w:eastAsia="Times New Roman" w:hAnsi="Times New Roman" w:cs="Times New Roman"/>
          <w:i/>
          <w:iCs/>
          <w:sz w:val="16"/>
          <w:szCs w:val="16"/>
        </w:rPr>
        <w:t>Chlamydia trachomatis</w:t>
      </w:r>
      <w:r>
        <w:t>, hepatitis del virus B e infección por virus de inmunodeficiencia humana.</w:t>
      </w:r>
    </w:p>
    <w:p w14:paraId="0A213E18" w14:textId="77777777" w:rsidR="00924992" w:rsidRDefault="00924992">
      <w:pPr>
        <w:pStyle w:val="BodyText"/>
        <w:ind w:firstLine="0"/>
      </w:pPr>
      <w:r>
        <w:rPr>
          <w:b/>
          <w:bCs/>
        </w:rPr>
        <w:t>A</w:t>
      </w:r>
      <w:r>
        <w:rPr>
          <w:b/>
          <w:bCs/>
          <w:sz w:val="13"/>
          <w:szCs w:val="13"/>
        </w:rPr>
        <w:t>ISLAMIENTO DEL PACIENTE HOSPITALIZADO</w:t>
      </w:r>
      <w:r>
        <w:rPr>
          <w:b/>
          <w:bCs/>
        </w:rPr>
        <w:t xml:space="preserve">: </w:t>
      </w:r>
      <w:r>
        <w:t>Se recomienda seguir las precauciones estándar.</w:t>
      </w:r>
    </w:p>
    <w:p w14:paraId="3857D977" w14:textId="77777777" w:rsidR="00924992" w:rsidRDefault="00924992">
      <w:pPr>
        <w:pStyle w:val="BodyText"/>
        <w:ind w:firstLine="0"/>
      </w:pPr>
      <w:r>
        <w:rPr>
          <w:b/>
          <w:bCs/>
        </w:rPr>
        <w:t>M</w:t>
      </w:r>
      <w:r>
        <w:rPr>
          <w:b/>
          <w:bCs/>
          <w:sz w:val="13"/>
          <w:szCs w:val="13"/>
        </w:rPr>
        <w:t>EDIDAS PREVENTIVAS</w:t>
      </w:r>
      <w:r>
        <w:rPr>
          <w:b/>
          <w:bCs/>
        </w:rPr>
        <w:t xml:space="preserve">: </w:t>
      </w:r>
      <w:r>
        <w:t>Conviene seguir medidas para evitar enfermedades de transmisión sexual y en particular el uso constante de condones. Habrá que orientar a los pacientes para que se abstengan de la actividad sexual hasta que se hayan curado sus compañeros sexuales.</w:t>
      </w:r>
    </w:p>
    <w:p w14:paraId="1D3E6D4B" w14:textId="77777777" w:rsidR="00924992" w:rsidRDefault="00924992">
      <w:pPr>
        <w:pStyle w:val="Bodytext70"/>
        <w:spacing w:after="0"/>
      </w:pPr>
      <w:r>
        <w:t>Tricuriasis</w:t>
      </w:r>
    </w:p>
    <w:p w14:paraId="7EF39F86" w14:textId="77777777" w:rsidR="00924992" w:rsidRDefault="00924992">
      <w:pPr>
        <w:pStyle w:val="Other0"/>
        <w:spacing w:line="252" w:lineRule="auto"/>
        <w:ind w:firstLine="0"/>
        <w:rPr>
          <w:sz w:val="20"/>
          <w:szCs w:val="20"/>
        </w:rPr>
      </w:pPr>
      <w:r>
        <w:rPr>
          <w:rFonts w:ascii="Arial" w:eastAsia="Arial" w:hAnsi="Arial" w:cs="Arial"/>
          <w:b/>
          <w:bCs/>
          <w:w w:val="70"/>
          <w:sz w:val="20"/>
          <w:szCs w:val="20"/>
        </w:rPr>
        <w:t>(Oxiuriasis)</w:t>
      </w:r>
    </w:p>
    <w:p w14:paraId="633BCA3E" w14:textId="77777777" w:rsidR="00924992" w:rsidRDefault="00924992">
      <w:pPr>
        <w:pStyle w:val="BodyText"/>
        <w:ind w:firstLine="0"/>
      </w:pPr>
      <w:r>
        <w:rPr>
          <w:b/>
          <w:bCs/>
        </w:rPr>
        <w:t>M</w:t>
      </w:r>
      <w:r>
        <w:rPr>
          <w:b/>
          <w:bCs/>
          <w:sz w:val="13"/>
          <w:szCs w:val="13"/>
        </w:rPr>
        <w:t>ANIFESTACIONES CLÍNICAS</w:t>
      </w:r>
      <w:r>
        <w:rPr>
          <w:b/>
          <w:bCs/>
        </w:rPr>
        <w:t xml:space="preserve">: </w:t>
      </w:r>
      <w:r>
        <w:t xml:space="preserve">Casi todos los niños infectados tienen el organismo en cuestión sólo en número reducido y están asintomáticos. Los que tienen infestaciones importantes pueden presentar un síndrome disentérico por </w:t>
      </w:r>
      <w:r>
        <w:rPr>
          <w:rFonts w:ascii="Times New Roman" w:eastAsia="Times New Roman" w:hAnsi="Times New Roman" w:cs="Times New Roman"/>
          <w:i/>
          <w:iCs/>
          <w:sz w:val="16"/>
          <w:szCs w:val="16"/>
        </w:rPr>
        <w:t>Trichuris trichiura</w:t>
      </w:r>
      <w:r>
        <w:t xml:space="preserve"> que consiste en dolor abdominal, tenesmo y diarrea sanguinolenta con moco o una colitis crónica por </w:t>
      </w:r>
      <w:r>
        <w:rPr>
          <w:rFonts w:ascii="Times New Roman" w:eastAsia="Times New Roman" w:hAnsi="Times New Roman" w:cs="Times New Roman"/>
          <w:i/>
          <w:iCs/>
          <w:sz w:val="16"/>
          <w:szCs w:val="16"/>
        </w:rPr>
        <w:t>T. trichiura</w:t>
      </w:r>
      <w:r>
        <w:rPr>
          <w:i/>
          <w:iCs/>
        </w:rPr>
        <w:t>.</w:t>
      </w:r>
      <w:r>
        <w:t xml:space="preserve"> La colitis de ese origen puede remedar otras formas de enteropatía inflamatoria y originar retardo del crecimiento físico. La tricuriasis crónica por infestación intensa puede acompañarse de prolapso rectal.</w:t>
      </w:r>
    </w:p>
    <w:p w14:paraId="07CAA264" w14:textId="77777777" w:rsidR="00924992" w:rsidRDefault="00924992">
      <w:pPr>
        <w:pStyle w:val="BodyText"/>
        <w:ind w:firstLine="0"/>
      </w:pPr>
      <w:r>
        <w:rPr>
          <w:b/>
          <w:bCs/>
        </w:rPr>
        <w:t>C</w:t>
      </w:r>
      <w:r>
        <w:rPr>
          <w:b/>
          <w:bCs/>
          <w:sz w:val="13"/>
          <w:szCs w:val="13"/>
        </w:rPr>
        <w:t>AUSAS</w:t>
      </w:r>
      <w:r>
        <w:rPr>
          <w:b/>
          <w:bCs/>
        </w:rPr>
        <w:t xml:space="preserve">: </w:t>
      </w:r>
      <w:r>
        <w:t xml:space="preserve">El agente causal es </w:t>
      </w:r>
      <w:r>
        <w:rPr>
          <w:rFonts w:ascii="Times New Roman" w:eastAsia="Times New Roman" w:hAnsi="Times New Roman" w:cs="Times New Roman"/>
          <w:i/>
          <w:iCs/>
          <w:sz w:val="16"/>
          <w:szCs w:val="16"/>
        </w:rPr>
        <w:t>Trichuris trichiura</w:t>
      </w:r>
      <w:r>
        <w:t xml:space="preserve"> u oxiuro. Los vermes adultos tienen 30 a 50 mm de largo y un extremo grande y filiforme en su mitad anterior, que penetra en la mucosa del intestino grueso.</w:t>
      </w:r>
    </w:p>
    <w:p w14:paraId="03C47F18" w14:textId="77777777" w:rsidR="00924992" w:rsidRDefault="00924992">
      <w:pPr>
        <w:pStyle w:val="BodyText"/>
        <w:ind w:firstLine="0"/>
      </w:pPr>
      <w:r>
        <w:rPr>
          <w:b/>
          <w:bCs/>
        </w:rPr>
        <w:t>A</w:t>
      </w:r>
      <w:r>
        <w:rPr>
          <w:b/>
          <w:bCs/>
          <w:sz w:val="13"/>
          <w:szCs w:val="13"/>
        </w:rPr>
        <w:t>SPECTOS EPIDEMIOLÓGICOS</w:t>
      </w:r>
      <w:r>
        <w:rPr>
          <w:b/>
          <w:bCs/>
        </w:rPr>
        <w:t xml:space="preserve">: </w:t>
      </w:r>
      <w:r>
        <w:t>El parásito tiene distribución mundial, pero es más común en los trópicos y en zonas con deficiencias sanitarias. En algunas áreas de Asia, la prevalencia de la infestación es de 50%. En Estados Unidos, la tricuriasis por lo común se circunscribe a zonas rurales de la porción sureste y ha dejado de ser un grave problema de salud pública. Los migrantes que vienen de zonas tropicales pueden estar infectados. Se necesita que transcurra un mínimo de 10 días de incubación de los huevecillos en la tierra para que se tornen infectantes. La enfermedad no es transmisible de una persona a otra.</w:t>
      </w:r>
    </w:p>
    <w:p w14:paraId="244C6801" w14:textId="77777777" w:rsidR="00924992" w:rsidRDefault="00924992">
      <w:pPr>
        <w:pStyle w:val="BodyText"/>
        <w:ind w:firstLine="360"/>
      </w:pPr>
      <w:r>
        <w:t xml:space="preserve">Se desconoce el </w:t>
      </w:r>
      <w:r>
        <w:rPr>
          <w:b/>
          <w:bCs/>
        </w:rPr>
        <w:t>periodo de incubación</w:t>
      </w:r>
      <w:r>
        <w:t>; sin embargo, el lapso necesario para que los vermes maduros comiencen a expulsar huevecillos en las heces es de 90 días después de ingerir los huevos.</w:t>
      </w:r>
    </w:p>
    <w:p w14:paraId="223EAF41" w14:textId="77777777" w:rsidR="00924992" w:rsidRDefault="00924992">
      <w:pPr>
        <w:pStyle w:val="BodyText"/>
        <w:ind w:firstLine="0"/>
      </w:pPr>
      <w:r>
        <w:rPr>
          <w:b/>
          <w:bCs/>
        </w:rPr>
        <w:t>M</w:t>
      </w:r>
      <w:r>
        <w:rPr>
          <w:b/>
          <w:bCs/>
          <w:sz w:val="13"/>
          <w:szCs w:val="13"/>
        </w:rPr>
        <w:t>ÉTODOS DIAGNÓSTICOS</w:t>
      </w:r>
      <w:r>
        <w:rPr>
          <w:b/>
          <w:bCs/>
        </w:rPr>
        <w:t xml:space="preserve">: </w:t>
      </w:r>
      <w:r>
        <w:t>Los huevos se identifican en el estudio directo del excremento o por técnicas de concentración.</w:t>
      </w:r>
    </w:p>
    <w:p w14:paraId="59D60FA0" w14:textId="77777777" w:rsidR="00924992" w:rsidRDefault="00924992">
      <w:pPr>
        <w:pStyle w:val="BodyText"/>
        <w:ind w:firstLine="0"/>
      </w:pPr>
      <w:r>
        <w:rPr>
          <w:b/>
          <w:bCs/>
        </w:rPr>
        <w:t>T</w:t>
      </w:r>
      <w:r>
        <w:rPr>
          <w:b/>
          <w:bCs/>
          <w:sz w:val="13"/>
          <w:szCs w:val="13"/>
        </w:rPr>
        <w:t>RATAMIENTO</w:t>
      </w:r>
      <w:r>
        <w:rPr>
          <w:b/>
          <w:bCs/>
        </w:rPr>
        <w:t xml:space="preserve">: </w:t>
      </w:r>
      <w:r>
        <w:t>El mebendazol o el albendazol durante tres días suele ser eficaz para erradicar gran parte de los vermes.</w:t>
      </w:r>
    </w:p>
    <w:p w14:paraId="0422641D" w14:textId="77777777" w:rsidR="00924992" w:rsidRDefault="00924992">
      <w:pPr>
        <w:pStyle w:val="BodyText"/>
        <w:ind w:firstLine="0"/>
      </w:pPr>
      <w:r>
        <w:rPr>
          <w:b/>
          <w:bCs/>
        </w:rPr>
        <w:t>A</w:t>
      </w:r>
      <w:r>
        <w:rPr>
          <w:b/>
          <w:bCs/>
          <w:sz w:val="13"/>
          <w:szCs w:val="13"/>
        </w:rPr>
        <w:t>ISLAMIENTO DEL PACIENTE HOSPITALIZADO</w:t>
      </w:r>
      <w:r>
        <w:rPr>
          <w:b/>
          <w:bCs/>
        </w:rPr>
        <w:t xml:space="preserve">: </w:t>
      </w:r>
      <w:r>
        <w:t>Se recomienda seguir las precauciones estándar.</w:t>
      </w:r>
    </w:p>
    <w:p w14:paraId="36677118" w14:textId="77777777" w:rsidR="00924992" w:rsidRDefault="00924992">
      <w:pPr>
        <w:pStyle w:val="BodyText"/>
        <w:spacing w:after="100"/>
        <w:ind w:firstLine="0"/>
      </w:pPr>
      <w:r>
        <w:rPr>
          <w:b/>
          <w:bCs/>
        </w:rPr>
        <w:t>M</w:t>
      </w:r>
      <w:r>
        <w:rPr>
          <w:b/>
          <w:bCs/>
          <w:sz w:val="13"/>
          <w:szCs w:val="13"/>
        </w:rPr>
        <w:t>EDIDAS PREVENTIVAS</w:t>
      </w:r>
      <w:r>
        <w:rPr>
          <w:b/>
          <w:bCs/>
        </w:rPr>
        <w:t xml:space="preserve">: </w:t>
      </w:r>
      <w:r>
        <w:t>Conviene la eliminación apropiada de material fecal.</w:t>
      </w:r>
    </w:p>
    <w:p w14:paraId="396A8747" w14:textId="77777777" w:rsidR="00924992" w:rsidRDefault="00924992">
      <w:pPr>
        <w:pStyle w:val="Bodytext70"/>
        <w:spacing w:after="0"/>
      </w:pPr>
      <w:r>
        <w:t>Tripanosomiasis africana</w:t>
      </w:r>
    </w:p>
    <w:p w14:paraId="46D4754D" w14:textId="77777777" w:rsidR="00924992" w:rsidRDefault="00924992">
      <w:pPr>
        <w:pStyle w:val="Other0"/>
        <w:spacing w:line="252" w:lineRule="auto"/>
        <w:ind w:firstLine="0"/>
        <w:rPr>
          <w:sz w:val="20"/>
          <w:szCs w:val="20"/>
        </w:rPr>
      </w:pPr>
      <w:r>
        <w:rPr>
          <w:rFonts w:ascii="Arial" w:eastAsia="Arial" w:hAnsi="Arial" w:cs="Arial"/>
          <w:b/>
          <w:bCs/>
          <w:w w:val="70"/>
          <w:sz w:val="20"/>
          <w:szCs w:val="20"/>
        </w:rPr>
        <w:t>(Enfermedad del sueño africana)</w:t>
      </w:r>
    </w:p>
    <w:p w14:paraId="5FA4E1E3" w14:textId="77777777" w:rsidR="00924992" w:rsidRDefault="00924992">
      <w:pPr>
        <w:pStyle w:val="BodyText"/>
        <w:spacing w:after="60"/>
        <w:ind w:firstLine="0"/>
      </w:pPr>
      <w:r>
        <w:rPr>
          <w:b/>
          <w:bCs/>
        </w:rPr>
        <w:t>M</w:t>
      </w:r>
      <w:r>
        <w:rPr>
          <w:b/>
          <w:bCs/>
          <w:sz w:val="13"/>
          <w:szCs w:val="13"/>
        </w:rPr>
        <w:t>ANIFESTACIONES CLÍNICAS</w:t>
      </w:r>
      <w:r>
        <w:rPr>
          <w:b/>
          <w:bCs/>
        </w:rPr>
        <w:t xml:space="preserve">: </w:t>
      </w:r>
      <w:r>
        <w:t xml:space="preserve">La rapidez e intensidad de las manifestaciones clínicas varían con cada subespecie infectante. En caso de infección por </w:t>
      </w:r>
      <w:r>
        <w:rPr>
          <w:rFonts w:ascii="Times New Roman" w:eastAsia="Times New Roman" w:hAnsi="Times New Roman" w:cs="Times New Roman"/>
          <w:i/>
          <w:iCs/>
          <w:sz w:val="16"/>
          <w:szCs w:val="16"/>
        </w:rPr>
        <w:t xml:space="preserve">Trypanosoma brucei </w:t>
      </w:r>
      <w:r>
        <w:t xml:space="preserve">gambiense (África Occidental) en el sitio de la inoculación del parásito puede surgir un nódulo cutáneo o un chancro en cuestión de días de haber picado la mosca tsetse infectada. La enfermedad sistémica es crónica y aparece meses o años después y se caracteriza por fiebre intermitente, linfadenopatía cervical posterior (signo de Winterbottom) y múltiples molestias inespecíficas como malestar general, pérdida de peso, artralgias, erupciones, prurito y edema. En caso de ataque del sistema nervioso central (SNC), se observan a veces meningoencefalitis crónica con cambios de la conducta, caquexia, cefalea, alucinaciones, delirios y somnolencia. A diferencia del cuadro anterior, la infección por </w:t>
      </w:r>
      <w:r>
        <w:rPr>
          <w:rFonts w:ascii="Times New Roman" w:eastAsia="Times New Roman" w:hAnsi="Times New Roman" w:cs="Times New Roman"/>
          <w:i/>
          <w:iCs/>
          <w:sz w:val="16"/>
          <w:szCs w:val="16"/>
        </w:rPr>
        <w:t>Trypanosoma brucei rhodesiense</w:t>
      </w:r>
      <w:r>
        <w:t xml:space="preserve"> (África del Este) es un cuadro agudo y generalizado que evoluciona en cuestión de días a semanas después de la inoculación del parásito y entre sus manifestaciones están la fiebre alta, un chancro cutáneo, miocarditis, hepatitis, anemia, trombocitopenia y datos de coagulación</w:t>
      </w:r>
    </w:p>
    <w:p w14:paraId="537AB647" w14:textId="77777777" w:rsidR="00924992" w:rsidRDefault="00924992">
      <w:pPr>
        <w:pStyle w:val="Bodytext70"/>
        <w:spacing w:after="0"/>
      </w:pPr>
      <w:r>
        <w:t>Tricuriasis</w:t>
      </w:r>
    </w:p>
    <w:p w14:paraId="25AFA274" w14:textId="77777777" w:rsidR="00924992" w:rsidRDefault="00924992">
      <w:pPr>
        <w:pStyle w:val="Other0"/>
        <w:spacing w:line="252" w:lineRule="auto"/>
        <w:ind w:firstLine="0"/>
        <w:rPr>
          <w:sz w:val="20"/>
          <w:szCs w:val="20"/>
        </w:rPr>
      </w:pPr>
      <w:r>
        <w:rPr>
          <w:rFonts w:ascii="Arial" w:eastAsia="Arial" w:hAnsi="Arial" w:cs="Arial"/>
          <w:b/>
          <w:bCs/>
          <w:w w:val="70"/>
          <w:sz w:val="20"/>
          <w:szCs w:val="20"/>
        </w:rPr>
        <w:t>(Oxiuriasis)</w:t>
      </w:r>
    </w:p>
    <w:p w14:paraId="5DF7FBC1" w14:textId="77777777" w:rsidR="00924992" w:rsidRDefault="00924992">
      <w:pPr>
        <w:pStyle w:val="BodyText"/>
        <w:ind w:firstLine="0"/>
      </w:pPr>
      <w:r>
        <w:rPr>
          <w:b/>
          <w:bCs/>
        </w:rPr>
        <w:t>M</w:t>
      </w:r>
      <w:r>
        <w:rPr>
          <w:b/>
          <w:bCs/>
          <w:sz w:val="13"/>
          <w:szCs w:val="13"/>
        </w:rPr>
        <w:t>ANIFESTACIONES CLÍNICAS</w:t>
      </w:r>
      <w:r>
        <w:rPr>
          <w:b/>
          <w:bCs/>
        </w:rPr>
        <w:t xml:space="preserve">: </w:t>
      </w:r>
      <w:r>
        <w:t xml:space="preserve">Casi todos los niños infectados tienen el organismo en cuestión sólo en número reducido y están asintomáticos. Los que tienen infestaciones importantes pueden presentar un síndrome disentérico por </w:t>
      </w:r>
      <w:r>
        <w:rPr>
          <w:rFonts w:ascii="Times New Roman" w:eastAsia="Times New Roman" w:hAnsi="Times New Roman" w:cs="Times New Roman"/>
          <w:i/>
          <w:iCs/>
          <w:sz w:val="16"/>
          <w:szCs w:val="16"/>
        </w:rPr>
        <w:t>Trichuris trichiura</w:t>
      </w:r>
      <w:r>
        <w:t xml:space="preserve"> que consiste en dolor abdominal, tenesmo y diarrea sanguinolenta con moco o una colitis crónica por </w:t>
      </w:r>
      <w:r>
        <w:rPr>
          <w:rFonts w:ascii="Times New Roman" w:eastAsia="Times New Roman" w:hAnsi="Times New Roman" w:cs="Times New Roman"/>
          <w:i/>
          <w:iCs/>
          <w:sz w:val="16"/>
          <w:szCs w:val="16"/>
        </w:rPr>
        <w:t>T. trichiura</w:t>
      </w:r>
      <w:r>
        <w:rPr>
          <w:i/>
          <w:iCs/>
        </w:rPr>
        <w:t>.</w:t>
      </w:r>
      <w:r>
        <w:t xml:space="preserve"> La colitis de ese origen puede remedar otras formas de enteropatía inflamatoria y originar retardo del crecimiento físico. La tricuriasis crónica por infestación intensa puede acompañarse de prolapso rectal.</w:t>
      </w:r>
    </w:p>
    <w:p w14:paraId="0D81FD1F" w14:textId="77777777" w:rsidR="00924992" w:rsidRDefault="00924992">
      <w:pPr>
        <w:pStyle w:val="BodyText"/>
        <w:ind w:firstLine="0"/>
      </w:pPr>
      <w:r>
        <w:rPr>
          <w:b/>
          <w:bCs/>
        </w:rPr>
        <w:t>C</w:t>
      </w:r>
      <w:r>
        <w:rPr>
          <w:b/>
          <w:bCs/>
          <w:sz w:val="13"/>
          <w:szCs w:val="13"/>
        </w:rPr>
        <w:t>AUSAS</w:t>
      </w:r>
      <w:r>
        <w:rPr>
          <w:b/>
          <w:bCs/>
        </w:rPr>
        <w:t xml:space="preserve">: </w:t>
      </w:r>
      <w:r>
        <w:t xml:space="preserve">El agente causal es </w:t>
      </w:r>
      <w:r>
        <w:rPr>
          <w:rFonts w:ascii="Times New Roman" w:eastAsia="Times New Roman" w:hAnsi="Times New Roman" w:cs="Times New Roman"/>
          <w:i/>
          <w:iCs/>
          <w:sz w:val="16"/>
          <w:szCs w:val="16"/>
        </w:rPr>
        <w:t>Trichuris trichiura</w:t>
      </w:r>
      <w:r>
        <w:t xml:space="preserve"> u oxiuro. Los vermes adultos tienen 30 a 50 mm de largo y un extremo grande y filiforme en su mitad anterior, que penetra en la mucosa del intestino grueso.</w:t>
      </w:r>
    </w:p>
    <w:p w14:paraId="4ED85837" w14:textId="77777777" w:rsidR="00924992" w:rsidRDefault="00924992">
      <w:pPr>
        <w:pStyle w:val="BodyText"/>
        <w:ind w:firstLine="0"/>
      </w:pPr>
      <w:r>
        <w:rPr>
          <w:b/>
          <w:bCs/>
        </w:rPr>
        <w:t>A</w:t>
      </w:r>
      <w:r>
        <w:rPr>
          <w:b/>
          <w:bCs/>
          <w:sz w:val="13"/>
          <w:szCs w:val="13"/>
        </w:rPr>
        <w:t>SPECTOS EPIDEMIOLÓGICOS</w:t>
      </w:r>
      <w:r>
        <w:rPr>
          <w:b/>
          <w:bCs/>
        </w:rPr>
        <w:t xml:space="preserve">: </w:t>
      </w:r>
      <w:r>
        <w:t>El parásito tiene distribución mundial, pero es más común en los trópicos y en zonas con deficiencias sanitarias. En algunas áreas de Asia, la prevalencia de la infestación es de 50%. En Estados Unidos, la tricuriasis por lo común se circunscribe a zonas rurales de la porción sureste y ha dejado de ser un grave problema de salud pública. Los migrantes que vienen de zonas tropicales pueden estar infectados. Se necesita que transcurra un mínimo de 10 días de incubación de los huevecillos en la tierra para que se tornen infectantes. La enfermedad no es transmisible de una persona a otra.</w:t>
      </w:r>
    </w:p>
    <w:p w14:paraId="5CBD1A88" w14:textId="77777777" w:rsidR="00924992" w:rsidRDefault="00924992">
      <w:pPr>
        <w:pStyle w:val="BodyText"/>
        <w:ind w:firstLine="360"/>
      </w:pPr>
      <w:r>
        <w:t xml:space="preserve">Se desconoce el </w:t>
      </w:r>
      <w:r>
        <w:rPr>
          <w:b/>
          <w:bCs/>
        </w:rPr>
        <w:t>periodo de incubación</w:t>
      </w:r>
      <w:r>
        <w:t>; sin embargo, el lapso necesario para que los vermes maduros comiencen a expulsar huevecillos en las heces es de 90 días después de ingerir los huevos.</w:t>
      </w:r>
    </w:p>
    <w:p w14:paraId="5DAFCA77" w14:textId="77777777" w:rsidR="00924992" w:rsidRDefault="00924992">
      <w:pPr>
        <w:pStyle w:val="BodyText"/>
        <w:ind w:firstLine="0"/>
      </w:pPr>
      <w:r>
        <w:rPr>
          <w:b/>
          <w:bCs/>
        </w:rPr>
        <w:t>M</w:t>
      </w:r>
      <w:r>
        <w:rPr>
          <w:b/>
          <w:bCs/>
          <w:sz w:val="13"/>
          <w:szCs w:val="13"/>
        </w:rPr>
        <w:t>ÉTODOS DIAGNÓSTICOS</w:t>
      </w:r>
      <w:r>
        <w:rPr>
          <w:b/>
          <w:bCs/>
        </w:rPr>
        <w:t xml:space="preserve">: </w:t>
      </w:r>
      <w:r>
        <w:t>Los huevos se identifican en el estudio directo del excremento o por técnicas de concentración.</w:t>
      </w:r>
    </w:p>
    <w:p w14:paraId="3BF7291F" w14:textId="77777777" w:rsidR="00924992" w:rsidRDefault="00924992">
      <w:pPr>
        <w:pStyle w:val="BodyText"/>
        <w:ind w:firstLine="0"/>
      </w:pPr>
      <w:r>
        <w:rPr>
          <w:b/>
          <w:bCs/>
        </w:rPr>
        <w:t>T</w:t>
      </w:r>
      <w:r>
        <w:rPr>
          <w:b/>
          <w:bCs/>
          <w:sz w:val="13"/>
          <w:szCs w:val="13"/>
        </w:rPr>
        <w:t>RATAMIENTO</w:t>
      </w:r>
      <w:r>
        <w:rPr>
          <w:b/>
          <w:bCs/>
        </w:rPr>
        <w:t xml:space="preserve">: </w:t>
      </w:r>
      <w:r>
        <w:t>El mebendazol o el albendazol durante tres días suele ser eficaz para erradicar gran parte de los vermes.</w:t>
      </w:r>
    </w:p>
    <w:p w14:paraId="13F167B3" w14:textId="77777777" w:rsidR="00924992" w:rsidRDefault="00924992">
      <w:pPr>
        <w:pStyle w:val="BodyText"/>
        <w:ind w:firstLine="0"/>
      </w:pPr>
      <w:r>
        <w:rPr>
          <w:b/>
          <w:bCs/>
        </w:rPr>
        <w:t>A</w:t>
      </w:r>
      <w:r>
        <w:rPr>
          <w:b/>
          <w:bCs/>
          <w:sz w:val="13"/>
          <w:szCs w:val="13"/>
        </w:rPr>
        <w:t>ISLAMIENTO DEL PACIENTE HOSPITALIZADO</w:t>
      </w:r>
      <w:r>
        <w:rPr>
          <w:b/>
          <w:bCs/>
        </w:rPr>
        <w:t xml:space="preserve">: </w:t>
      </w:r>
      <w:r>
        <w:t>Se recomienda seguir las precauciones estándar.</w:t>
      </w:r>
    </w:p>
    <w:p w14:paraId="2F2404E9" w14:textId="77777777" w:rsidR="00924992" w:rsidRDefault="00924992">
      <w:pPr>
        <w:pStyle w:val="BodyText"/>
        <w:spacing w:after="100"/>
        <w:ind w:firstLine="0"/>
      </w:pPr>
      <w:r>
        <w:rPr>
          <w:b/>
          <w:bCs/>
        </w:rPr>
        <w:t>M</w:t>
      </w:r>
      <w:r>
        <w:rPr>
          <w:b/>
          <w:bCs/>
          <w:sz w:val="13"/>
          <w:szCs w:val="13"/>
        </w:rPr>
        <w:t>EDIDAS PREVENTIVAS</w:t>
      </w:r>
      <w:r>
        <w:rPr>
          <w:b/>
          <w:bCs/>
        </w:rPr>
        <w:t xml:space="preserve">: </w:t>
      </w:r>
      <w:r>
        <w:t>Conviene la eliminación apropiada de material fecal.</w:t>
      </w:r>
    </w:p>
    <w:p w14:paraId="13DD320B" w14:textId="77777777" w:rsidR="00924992" w:rsidRDefault="00924992">
      <w:pPr>
        <w:pStyle w:val="Bodytext70"/>
        <w:spacing w:after="0"/>
      </w:pPr>
      <w:r>
        <w:t>Tripanosomiasis africana</w:t>
      </w:r>
    </w:p>
    <w:p w14:paraId="27D589D8" w14:textId="77777777" w:rsidR="00924992" w:rsidRDefault="00924992">
      <w:pPr>
        <w:pStyle w:val="Other0"/>
        <w:spacing w:line="252" w:lineRule="auto"/>
        <w:ind w:firstLine="0"/>
        <w:rPr>
          <w:sz w:val="20"/>
          <w:szCs w:val="20"/>
        </w:rPr>
      </w:pPr>
      <w:r>
        <w:rPr>
          <w:rFonts w:ascii="Arial" w:eastAsia="Arial" w:hAnsi="Arial" w:cs="Arial"/>
          <w:b/>
          <w:bCs/>
          <w:w w:val="70"/>
          <w:sz w:val="20"/>
          <w:szCs w:val="20"/>
        </w:rPr>
        <w:t>(Enfermedad del sueño africana)</w:t>
      </w:r>
    </w:p>
    <w:p w14:paraId="4615DFA3" w14:textId="77777777" w:rsidR="00924992" w:rsidRDefault="00924992">
      <w:pPr>
        <w:pStyle w:val="BodyText"/>
        <w:ind w:firstLine="0"/>
        <w:sectPr w:rsidR="00924992" w:rsidSect="00924992">
          <w:headerReference w:type="even" r:id="rId94"/>
          <w:headerReference w:type="default" r:id="rId95"/>
          <w:footerReference w:type="even" r:id="rId96"/>
          <w:footerReference w:type="default" r:id="rId97"/>
          <w:headerReference w:type="first" r:id="rId98"/>
          <w:footerReference w:type="first" r:id="rId99"/>
          <w:pgSz w:w="8501" w:h="13022"/>
          <w:pgMar w:top="898" w:right="780" w:bottom="509" w:left="828" w:header="0" w:footer="3" w:gutter="0"/>
          <w:cols w:space="720"/>
          <w:noEndnote/>
          <w:titlePg/>
          <w:docGrid w:linePitch="360"/>
          <w15:footnoteColumns w:val="1"/>
        </w:sectPr>
      </w:pPr>
      <w:r>
        <w:rPr>
          <w:b/>
          <w:bCs/>
        </w:rPr>
        <w:t>M</w:t>
      </w:r>
      <w:r>
        <w:rPr>
          <w:b/>
          <w:bCs/>
          <w:sz w:val="13"/>
          <w:szCs w:val="13"/>
        </w:rPr>
        <w:t>ANIFESTACIONES CLÍNICAS</w:t>
      </w:r>
      <w:r>
        <w:rPr>
          <w:b/>
          <w:bCs/>
        </w:rPr>
        <w:t xml:space="preserve">: </w:t>
      </w:r>
      <w:r>
        <w:t xml:space="preserve">La rapidez e intensidad de las manifestaciones clínicas varían con cada subespecie infectante. En caso de infección por </w:t>
      </w:r>
      <w:r>
        <w:rPr>
          <w:rFonts w:ascii="Times New Roman" w:eastAsia="Times New Roman" w:hAnsi="Times New Roman" w:cs="Times New Roman"/>
          <w:i/>
          <w:iCs/>
          <w:sz w:val="16"/>
          <w:szCs w:val="16"/>
        </w:rPr>
        <w:t xml:space="preserve">Trypanosoma brucei </w:t>
      </w:r>
      <w:r>
        <w:t xml:space="preserve">gambiense (África Occidental) en el sitio de la inoculación del parásito puede surgir un nódulo cutáneo o un chancro en cuestión de días de haber picado la mosca tsetse infectada. La enfermedad sistémica es crónica y aparece meses o años después y se caracteriza por fiebre intermitente, linfadenopatía cervical posterior (signo de Winterbottom) y múltiples molestias inespecíficas como malestar general, pérdida de peso, artralgias, erupciones, prurito y edema. En caso de ataque del sistema nervioso central (SNC), se observan a veces meningoencefalitis crónica con cambios de la conducta, caquexia, cefalea, alucinaciones, delirios y somnolencia. A diferencia del cuadro anterior, la infección por </w:t>
      </w:r>
      <w:r>
        <w:rPr>
          <w:rFonts w:ascii="Times New Roman" w:eastAsia="Times New Roman" w:hAnsi="Times New Roman" w:cs="Times New Roman"/>
          <w:i/>
          <w:iCs/>
          <w:sz w:val="16"/>
          <w:szCs w:val="16"/>
        </w:rPr>
        <w:t>Trypanosoma brucei rhodesiense</w:t>
      </w:r>
      <w:r>
        <w:t xml:space="preserve"> (África del Este) es un cuadro agudo y generalizado que evoluciona en cuestión de días a semanas después de la inoculación del parásito y entre sus manifestaciones están la fiebre alta, un chancro cutáneo, miocarditis, hepatitis, anemia, trombocitopenia y datos de coagulación </w:t>
      </w:r>
    </w:p>
    <w:p w14:paraId="50314495" w14:textId="77777777" w:rsidR="00924992" w:rsidRDefault="00924992">
      <w:pPr>
        <w:pStyle w:val="BodyText"/>
        <w:ind w:firstLine="0"/>
      </w:pPr>
      <w:r>
        <w:t xml:space="preserve">intravascular diseminada en estudios de laboratorio. La meningoencefalitis clínica surge incluso tres semanas después de comenzar la enfermedad sistémica no tratada. La infección por </w:t>
      </w:r>
      <w:r>
        <w:rPr>
          <w:rFonts w:ascii="Times New Roman" w:eastAsia="Times New Roman" w:hAnsi="Times New Roman" w:cs="Times New Roman"/>
          <w:i/>
          <w:iCs/>
          <w:sz w:val="16"/>
          <w:szCs w:val="16"/>
        </w:rPr>
        <w:t>Trypanosoma brucei rhodesiense</w:t>
      </w:r>
      <w:r>
        <w:t xml:space="preserve"> conlleva una cifra alta de mortalidad; sin tratamiento los pacientes infectados por lo común fallecen en término de días o meses de haber comenzado la enfermedad clínica.</w:t>
      </w:r>
    </w:p>
    <w:p w14:paraId="0D20F634" w14:textId="77777777" w:rsidR="00924992" w:rsidRDefault="00924992">
      <w:pPr>
        <w:pStyle w:val="BodyText"/>
        <w:ind w:firstLine="0"/>
      </w:pPr>
      <w:r>
        <w:rPr>
          <w:b/>
          <w:bCs/>
        </w:rPr>
        <w:t>C</w:t>
      </w:r>
      <w:r>
        <w:rPr>
          <w:b/>
          <w:bCs/>
          <w:sz w:val="13"/>
          <w:szCs w:val="13"/>
        </w:rPr>
        <w:t>AUSAS</w:t>
      </w:r>
      <w:r>
        <w:rPr>
          <w:b/>
          <w:bCs/>
        </w:rPr>
        <w:t xml:space="preserve">: </w:t>
      </w:r>
      <w:r>
        <w:t xml:space="preserve">La forma gambiense (África Occidental) de la enfermedad del sueño es causada por </w:t>
      </w:r>
      <w:r>
        <w:rPr>
          <w:rFonts w:ascii="Times New Roman" w:eastAsia="Times New Roman" w:hAnsi="Times New Roman" w:cs="Times New Roman"/>
          <w:i/>
          <w:iCs/>
          <w:sz w:val="16"/>
          <w:szCs w:val="16"/>
        </w:rPr>
        <w:t>T. brucei</w:t>
      </w:r>
      <w:r>
        <w:t xml:space="preserve"> gambiense en tanto que la forma rhodesiense o de África Oriental es causada por </w:t>
      </w:r>
      <w:r>
        <w:rPr>
          <w:rFonts w:ascii="Times New Roman" w:eastAsia="Times New Roman" w:hAnsi="Times New Roman" w:cs="Times New Roman"/>
          <w:i/>
          <w:iCs/>
          <w:sz w:val="16"/>
          <w:szCs w:val="16"/>
        </w:rPr>
        <w:t>T brucei rhodesiense</w:t>
      </w:r>
      <w:r>
        <w:rPr>
          <w:i/>
          <w:iCs/>
        </w:rPr>
        <w:t>.</w:t>
      </w:r>
      <w:r>
        <w:t xml:space="preserve"> Ambos son hemoflagelados extracelulares, protozoos que viven en la sangre y tejidos del hospedador humano.</w:t>
      </w:r>
    </w:p>
    <w:p w14:paraId="4491D5D9" w14:textId="77777777" w:rsidR="00924992" w:rsidRDefault="00924992">
      <w:pPr>
        <w:pStyle w:val="BodyText"/>
        <w:ind w:firstLine="0"/>
      </w:pPr>
      <w:r>
        <w:rPr>
          <w:b/>
          <w:bCs/>
        </w:rPr>
        <w:t>A</w:t>
      </w:r>
      <w:r>
        <w:rPr>
          <w:b/>
          <w:bCs/>
          <w:sz w:val="13"/>
          <w:szCs w:val="13"/>
        </w:rPr>
        <w:t>SPECTOS EPIDEMIOLÓGICOS</w:t>
      </w:r>
      <w:r>
        <w:rPr>
          <w:b/>
          <w:bCs/>
        </w:rPr>
        <w:t xml:space="preserve">: </w:t>
      </w:r>
      <w:r>
        <w:t xml:space="preserve">En promedio, se notifican cada año uno 50 000 casos humanos a nivel mundial, aunque sólo unos cuantos casos en los que el contagio se produjo en África son notificados anualmente en Estados Unidos. Ha habido un incremento reciente de la frecuencia de tripanosomiasis en personas que han hecho visitas breves a parques zoológicos o de caza en Tanzania. La transmisión se limita a una zona en África entre los 15° de latitud norte y 20° latitud sur que corresponde exactamente a la distribución del vector de la mosca tsetse (especie de Glossina). En África Oriental, los principales reservorios de </w:t>
      </w:r>
      <w:r>
        <w:rPr>
          <w:rFonts w:ascii="Times New Roman" w:eastAsia="Times New Roman" w:hAnsi="Times New Roman" w:cs="Times New Roman"/>
          <w:i/>
          <w:iCs/>
          <w:sz w:val="16"/>
          <w:szCs w:val="16"/>
        </w:rPr>
        <w:t>T. brucei</w:t>
      </w:r>
      <w:r>
        <w:t xml:space="preserve"> rhodesiense son los antílopes y otras especies de cérvidos africanos, aunque el ganado vacuno puede servir de reservorio en brotes locales. Se han identificado a cerdos y perros domésticos como reservorios accidentales de </w:t>
      </w:r>
      <w:r>
        <w:rPr>
          <w:rFonts w:ascii="Times New Roman" w:eastAsia="Times New Roman" w:hAnsi="Times New Roman" w:cs="Times New Roman"/>
          <w:i/>
          <w:iCs/>
          <w:sz w:val="16"/>
          <w:szCs w:val="16"/>
        </w:rPr>
        <w:t>T brucei gambiense</w:t>
      </w:r>
      <w:r>
        <w:rPr>
          <w:i/>
          <w:iCs/>
        </w:rPr>
        <w:t>,</w:t>
      </w:r>
      <w:r>
        <w:t xml:space="preserve"> aunque los humanos constituyen el único reservorio importante en las zonas occidental y central de África.</w:t>
      </w:r>
    </w:p>
    <w:p w14:paraId="29C5BF13" w14:textId="77777777" w:rsidR="00924992" w:rsidRDefault="00924992">
      <w:pPr>
        <w:pStyle w:val="BodyText"/>
        <w:ind w:firstLine="360"/>
      </w:pPr>
      <w:r>
        <w:t xml:space="preserve">El </w:t>
      </w:r>
      <w:r>
        <w:rPr>
          <w:b/>
          <w:bCs/>
        </w:rPr>
        <w:t xml:space="preserve">periodo de incubación </w:t>
      </w:r>
      <w:r>
        <w:t xml:space="preserve">de </w:t>
      </w:r>
      <w:r>
        <w:rPr>
          <w:rFonts w:ascii="Times New Roman" w:eastAsia="Times New Roman" w:hAnsi="Times New Roman" w:cs="Times New Roman"/>
          <w:i/>
          <w:iCs/>
          <w:sz w:val="16"/>
          <w:szCs w:val="16"/>
        </w:rPr>
        <w:t>T brucei rhodesiense</w:t>
      </w:r>
      <w:r>
        <w:t xml:space="preserve"> es de tres a 21 días y por lo común es de cinco a 14 días; en el caso de </w:t>
      </w:r>
      <w:r>
        <w:rPr>
          <w:rFonts w:ascii="Times New Roman" w:eastAsia="Times New Roman" w:hAnsi="Times New Roman" w:cs="Times New Roman"/>
          <w:i/>
          <w:iCs/>
          <w:sz w:val="16"/>
          <w:szCs w:val="16"/>
        </w:rPr>
        <w:t>T brucei gambiense</w:t>
      </w:r>
      <w:r>
        <w:t xml:space="preserve"> el periodo de incubación de la infección suele ser más largo y variable y va de meses a años.</w:t>
      </w:r>
    </w:p>
    <w:p w14:paraId="223FFC31" w14:textId="77777777" w:rsidR="00924992" w:rsidRDefault="00924992">
      <w:pPr>
        <w:pStyle w:val="BodyText"/>
        <w:ind w:firstLine="0"/>
      </w:pPr>
      <w:r>
        <w:rPr>
          <w:b/>
          <w:bCs/>
        </w:rPr>
        <w:t>M</w:t>
      </w:r>
      <w:r>
        <w:rPr>
          <w:b/>
          <w:bCs/>
          <w:sz w:val="13"/>
          <w:szCs w:val="13"/>
        </w:rPr>
        <w:t>ÉTODOS DIAGNÓSTICOS</w:t>
      </w:r>
      <w:r>
        <w:rPr>
          <w:b/>
          <w:bCs/>
        </w:rPr>
        <w:t xml:space="preserve">: </w:t>
      </w:r>
      <w:r>
        <w:t xml:space="preserve">El diagnóstico se hace al identificar los tripomastigotes en muestras de sangre, líquido cefalorraquídeo (LCR) o líquido aspirado de un chancro o ganglio linfático o por inoculación de animales susceptibles de laboratorio (ratones) con sangre heparinizada. El estudio del LCR es de máxima importancia en el tratamiento e incluirá alguna técnica con doble centrifugación. La concentración y la tinción con el método de Giemsa en la capa leucocítica de la sangre periférica también es útil. Hay mayor posibilidad de detectar </w:t>
      </w:r>
      <w:r>
        <w:rPr>
          <w:rFonts w:ascii="Times New Roman" w:eastAsia="Times New Roman" w:hAnsi="Times New Roman" w:cs="Times New Roman"/>
          <w:i/>
          <w:iCs/>
          <w:sz w:val="16"/>
          <w:szCs w:val="16"/>
        </w:rPr>
        <w:t>Trypanosoma brucei gambiense</w:t>
      </w:r>
      <w:r>
        <w:t xml:space="preserve"> en líquido de aspiración de ganglios linfáticos. A pesar de que se considera como un dato característico de la tripanosomiasis africana la mayor concentración de inmunoglobulina M en suero o LCR, es frecuente la hiperglobulinemia policlonal.</w:t>
      </w:r>
    </w:p>
    <w:p w14:paraId="0BBAB7CD" w14:textId="77777777" w:rsidR="00924992" w:rsidRDefault="00924992">
      <w:pPr>
        <w:pStyle w:val="BodyText"/>
        <w:ind w:firstLine="0"/>
      </w:pPr>
      <w:r>
        <w:rPr>
          <w:b/>
          <w:bCs/>
        </w:rPr>
        <w:t>T</w:t>
      </w:r>
      <w:r>
        <w:rPr>
          <w:b/>
          <w:bCs/>
          <w:sz w:val="13"/>
          <w:szCs w:val="13"/>
        </w:rPr>
        <w:t>RATAMIENTO</w:t>
      </w:r>
      <w:r>
        <w:rPr>
          <w:b/>
          <w:bCs/>
        </w:rPr>
        <w:t xml:space="preserve">: </w:t>
      </w:r>
      <w:r>
        <w:t xml:space="preserve">Si no se detectan manifestaciones de ataque del sistema nervioso central (incluida la ausencia de tripanosomas y de pleocitosis en LCR), el fármaco más indicado contra la etapa hemolinfática aguda de la infección es la pentamidina, en el caso de </w:t>
      </w:r>
      <w:r>
        <w:rPr>
          <w:rFonts w:ascii="Times New Roman" w:eastAsia="Times New Roman" w:hAnsi="Times New Roman" w:cs="Times New Roman"/>
          <w:i/>
          <w:iCs/>
          <w:sz w:val="16"/>
          <w:szCs w:val="16"/>
        </w:rPr>
        <w:t>T brucei gambiense</w:t>
      </w:r>
      <w:r>
        <w:rPr>
          <w:i/>
          <w:iCs/>
        </w:rPr>
        <w:t>,</w:t>
      </w:r>
      <w:r>
        <w:t xml:space="preserve"> y la suramina sódica, en el de </w:t>
      </w:r>
      <w:r>
        <w:rPr>
          <w:rFonts w:ascii="Times New Roman" w:eastAsia="Times New Roman" w:hAnsi="Times New Roman" w:cs="Times New Roman"/>
          <w:i/>
          <w:iCs/>
          <w:sz w:val="16"/>
          <w:szCs w:val="16"/>
        </w:rPr>
        <w:t>T brucei rhodesiense</w:t>
      </w:r>
      <w:r>
        <w:rPr>
          <w:i/>
          <w:iCs/>
        </w:rPr>
        <w:t xml:space="preserve">. </w:t>
      </w:r>
      <w:r>
        <w:t>En el tratamiento de la fase hemolinfática y la enfermedad del sistema nervioso central (SNC), consultar “Fármacos antiparasitarios”, sección 4. Ante el peligro de recidiva, es necesario que todos los pacientes que hayan mostrado ataque del SNC por la enfermedad sean sometidos a estudios repetidos de LCR cada seis meses durante dos años.</w:t>
      </w:r>
    </w:p>
    <w:p w14:paraId="1529D857" w14:textId="77777777" w:rsidR="00924992" w:rsidRDefault="00924992">
      <w:pPr>
        <w:pStyle w:val="BodyText"/>
        <w:ind w:firstLine="0"/>
      </w:pPr>
      <w:r>
        <w:rPr>
          <w:b/>
          <w:bCs/>
        </w:rPr>
        <w:t>A</w:t>
      </w:r>
      <w:r>
        <w:rPr>
          <w:b/>
          <w:bCs/>
          <w:sz w:val="13"/>
          <w:szCs w:val="13"/>
        </w:rPr>
        <w:t>ISLAMIENTO DEL PACIENTE HOSPITALIZADO</w:t>
      </w:r>
      <w:r>
        <w:rPr>
          <w:b/>
          <w:bCs/>
        </w:rPr>
        <w:t xml:space="preserve">: </w:t>
      </w:r>
      <w:r>
        <w:t>Se recomienda seguir las precauciones estándar.</w:t>
      </w:r>
    </w:p>
    <w:p w14:paraId="015D432C" w14:textId="77777777" w:rsidR="00924992" w:rsidRDefault="00924992">
      <w:pPr>
        <w:pStyle w:val="BodyText"/>
        <w:spacing w:after="100"/>
        <w:ind w:firstLine="0"/>
      </w:pPr>
      <w:r>
        <w:rPr>
          <w:b/>
          <w:bCs/>
        </w:rPr>
        <w:t>M</w:t>
      </w:r>
      <w:r>
        <w:rPr>
          <w:b/>
          <w:bCs/>
          <w:sz w:val="13"/>
          <w:szCs w:val="13"/>
        </w:rPr>
        <w:t>EDIAS PREVENTIVAS</w:t>
      </w:r>
      <w:r>
        <w:rPr>
          <w:b/>
          <w:bCs/>
        </w:rPr>
        <w:t xml:space="preserve">: </w:t>
      </w:r>
      <w:r>
        <w:t>Las personas que viajan a zonas endémicas deben alejarse de los focos de enfermedad del sueño y de la infestación por mosca tsetse y reducir al mínimo las picaduras de artrópodos con el empleo de ropas protectoras, mosquiteros impregnados con insecticidas y repelentes de insectos. Las personas infectadas no deben amamantar a su hijos ni donar sangre.</w:t>
      </w:r>
    </w:p>
    <w:p w14:paraId="71E69FFC" w14:textId="77777777" w:rsidR="00924992" w:rsidRDefault="00924992">
      <w:pPr>
        <w:pStyle w:val="Bodytext70"/>
        <w:spacing w:after="0"/>
      </w:pPr>
      <w:r>
        <w:t>Tripanosomiasis americana</w:t>
      </w:r>
    </w:p>
    <w:p w14:paraId="37947ECF" w14:textId="77777777" w:rsidR="00924992" w:rsidRDefault="00924992">
      <w:pPr>
        <w:pStyle w:val="Other0"/>
        <w:spacing w:line="252" w:lineRule="auto"/>
        <w:ind w:firstLine="0"/>
        <w:rPr>
          <w:sz w:val="20"/>
          <w:szCs w:val="20"/>
        </w:rPr>
      </w:pPr>
      <w:r>
        <w:rPr>
          <w:rFonts w:ascii="Arial" w:eastAsia="Arial" w:hAnsi="Arial" w:cs="Arial"/>
          <w:b/>
          <w:bCs/>
          <w:w w:val="70"/>
          <w:sz w:val="20"/>
          <w:szCs w:val="20"/>
        </w:rPr>
        <w:t>(Enfermedad de Chagas)</w:t>
      </w:r>
    </w:p>
    <w:p w14:paraId="56D19EBE" w14:textId="77777777" w:rsidR="00924992" w:rsidRDefault="00924992">
      <w:pPr>
        <w:pStyle w:val="BodyText"/>
        <w:ind w:firstLine="0"/>
      </w:pPr>
      <w:r>
        <w:rPr>
          <w:b/>
          <w:bCs/>
        </w:rPr>
        <w:t>M</w:t>
      </w:r>
      <w:r>
        <w:rPr>
          <w:b/>
          <w:bCs/>
          <w:sz w:val="13"/>
          <w:szCs w:val="13"/>
        </w:rPr>
        <w:t>ANIFESTACIONES CLÍNICAS</w:t>
      </w:r>
      <w:r>
        <w:rPr>
          <w:b/>
          <w:bCs/>
        </w:rPr>
        <w:t xml:space="preserve">: </w:t>
      </w:r>
      <w:r>
        <w:t xml:space="preserve">Las personas pueden tener las formas aguda o crónica de la enfermedad. La fase inicial por lo regular es asintomática. Sin embargo, hay mayor posibilidad de que los niños presenten síntomas, que los adultos. En algunos pacientes surge un nódulo rojizo llamado </w:t>
      </w:r>
      <w:r>
        <w:rPr>
          <w:rFonts w:ascii="Times New Roman" w:eastAsia="Times New Roman" w:hAnsi="Times New Roman" w:cs="Times New Roman"/>
          <w:i/>
          <w:iCs/>
          <w:sz w:val="16"/>
          <w:szCs w:val="16"/>
        </w:rPr>
        <w:t>chagoma</w:t>
      </w:r>
      <w:r>
        <w:t xml:space="preserve"> en el sitio de la inoculación original, por lo común en la cara o los brazos. La piel vecina se torna indurada y más tarde hipopigmentada. El edema unilateral firme de los párpados, conocido como signo de Romaña, es una de las primeras indicaciones de la infección, aunque no siempre aparece. La piel edematosa está violácea y se acompaña de conjuntivitis y linfadenomegalia preauricular ipsolateral. Días después de que aparece el signo de Romaña surgen fiebre, linfadenopatía generalizada y malestar general. Pueden aparecen posteriormente miocarditis aguda, hepatosplenomegalia, edema y meningoencefalitis. En casi todos los casos la enfermedad aguda muestra resolución después de uno a tres meses y sigue un periodo asintomático. En 20 a 30% de los pacientes muchos años después de la infección inicial aparecen secuelas graves que consisten en miocardiopatía e insuficiencia cardiaca (la causa principal de muerte), megaesófago, megacolon o ambos cuadros. La enfermedad congénita se caracteriza por bajo peso natal, hepatomegalia y meningoencefalitis con convulsiones y temblores.</w:t>
      </w:r>
    </w:p>
    <w:p w14:paraId="42C3CD2B" w14:textId="77777777" w:rsidR="00924992" w:rsidRDefault="00924992">
      <w:pPr>
        <w:pStyle w:val="BodyText"/>
        <w:ind w:firstLine="0"/>
      </w:pPr>
      <w:r>
        <w:rPr>
          <w:b/>
          <w:bCs/>
        </w:rPr>
        <w:t>C</w:t>
      </w:r>
      <w:r>
        <w:rPr>
          <w:b/>
          <w:bCs/>
          <w:sz w:val="13"/>
          <w:szCs w:val="13"/>
        </w:rPr>
        <w:t>AUSAS</w:t>
      </w:r>
      <w:r>
        <w:rPr>
          <w:b/>
          <w:bCs/>
        </w:rPr>
        <w:t xml:space="preserve">: </w:t>
      </w:r>
      <w:r>
        <w:rPr>
          <w:rFonts w:ascii="Times New Roman" w:eastAsia="Times New Roman" w:hAnsi="Times New Roman" w:cs="Times New Roman"/>
          <w:i/>
          <w:iCs/>
          <w:sz w:val="16"/>
          <w:szCs w:val="16"/>
        </w:rPr>
        <w:t>Trypanosoma cruzi</w:t>
      </w:r>
      <w:r>
        <w:rPr>
          <w:i/>
          <w:iCs/>
        </w:rPr>
        <w:t>,</w:t>
      </w:r>
      <w:r>
        <w:t xml:space="preserve"> un protozoo hemoflagelado, es la causa.</w:t>
      </w:r>
    </w:p>
    <w:p w14:paraId="6CA2C4E8" w14:textId="77777777" w:rsidR="00924992" w:rsidRDefault="00924992">
      <w:pPr>
        <w:pStyle w:val="BodyText"/>
        <w:ind w:firstLine="0"/>
      </w:pPr>
      <w:r>
        <w:rPr>
          <w:b/>
          <w:bCs/>
        </w:rPr>
        <w:t>A</w:t>
      </w:r>
      <w:r>
        <w:rPr>
          <w:b/>
          <w:bCs/>
          <w:sz w:val="13"/>
          <w:szCs w:val="13"/>
        </w:rPr>
        <w:t>SPECTOS EPIDEMIOLÓGICOS</w:t>
      </w:r>
      <w:r>
        <w:rPr>
          <w:b/>
          <w:bCs/>
        </w:rPr>
        <w:t xml:space="preserve">: </w:t>
      </w:r>
      <w:r>
        <w:t xml:space="preserve">Los parásitos se transmiten por los excrementos de los insectos de la familia de triatómidos, por lo común un redúvido infectado (chinche besadora), que defecan durante la succión de sangre o después de realizada. La inoculación ocurre al frotar inadvertidamente la persona los excrementos del insecto que contienen el parásito, en el sitio de la picadura o las membranas mucosas de los ojos o la boca. El parásito también se transmite en forma congénita durante trasplante de órganos, en transfusiones de sangre y al consumir el vector o al excretar este último el microorganismo. Las infecciones accidentales en el laboratorio suelen ser consecuencia de la manipulación de sangre de personas infectadas o de animales de laboratorio. La enfermedad se circunscribe al hemisferio occidental, predominantemente en México y América Central y del Sur. Algunos pequeños mamíferos en las zonas meridional y suroeste de Estados Unidos tienen </w:t>
      </w:r>
      <w:r>
        <w:rPr>
          <w:rFonts w:ascii="Times New Roman" w:eastAsia="Times New Roman" w:hAnsi="Times New Roman" w:cs="Times New Roman"/>
          <w:i/>
          <w:iCs/>
          <w:sz w:val="16"/>
          <w:szCs w:val="16"/>
        </w:rPr>
        <w:t>T cruzi</w:t>
      </w:r>
      <w:r>
        <w:rPr>
          <w:i/>
          <w:iCs/>
        </w:rPr>
        <w:t>,</w:t>
      </w:r>
      <w:r>
        <w:t xml:space="preserve"> pero la transmisión del vector a los seres humanos es rara en dicho país. En el país en cuestión se han corroborado algunos casos después de transfusión y trasplante de órganos. La infección es frecuente en migrantes de América del Centro y del Sur. Constituye una causa importante de muerte en América del Sur, zona en que siete a 15 millones de personas están infectadas.</w:t>
      </w:r>
    </w:p>
    <w:p w14:paraId="3B68F3C4" w14:textId="77777777" w:rsidR="00924992" w:rsidRDefault="00924992">
      <w:pPr>
        <w:pStyle w:val="BodyText"/>
        <w:spacing w:after="100"/>
        <w:ind w:firstLine="360"/>
        <w:sectPr w:rsidR="00924992" w:rsidSect="00924992">
          <w:headerReference w:type="even" r:id="rId100"/>
          <w:headerReference w:type="default" r:id="rId101"/>
          <w:footerReference w:type="even" r:id="rId102"/>
          <w:footerReference w:type="default" r:id="rId103"/>
          <w:headerReference w:type="first" r:id="rId104"/>
          <w:footerReference w:type="first" r:id="rId105"/>
          <w:pgSz w:w="8501" w:h="13022"/>
          <w:pgMar w:top="898" w:right="780" w:bottom="509" w:left="828" w:header="0" w:footer="3" w:gutter="0"/>
          <w:cols w:space="720"/>
          <w:noEndnote/>
          <w:titlePg/>
          <w:docGrid w:linePitch="360"/>
          <w15:footnoteColumns w:val="1"/>
        </w:sectPr>
      </w:pPr>
      <w:r>
        <w:t xml:space="preserve">El </w:t>
      </w:r>
      <w:r>
        <w:rPr>
          <w:b/>
          <w:bCs/>
        </w:rPr>
        <w:t xml:space="preserve">periodo de incubación </w:t>
      </w:r>
      <w:r>
        <w:t xml:space="preserve">en la fase aguda de la enfermedad es de una a dos semanas o más. Las manifestaciones crónicas no surgen durante años a decenios. </w:t>
      </w:r>
      <w:r>
        <w:rPr>
          <w:b/>
          <w:bCs/>
        </w:rPr>
        <w:t>M</w:t>
      </w:r>
      <w:r>
        <w:rPr>
          <w:b/>
          <w:bCs/>
          <w:sz w:val="13"/>
          <w:szCs w:val="13"/>
        </w:rPr>
        <w:t>ÉTODOS DIAGNÓSTICOS</w:t>
      </w:r>
      <w:r>
        <w:rPr>
          <w:b/>
          <w:bCs/>
        </w:rPr>
        <w:t xml:space="preserve">: </w:t>
      </w:r>
      <w:r>
        <w:t xml:space="preserve">En la fase aguda de la enfermedad se puede demostrar la presencia del parásito en muestras de sangre teñidas con técnica de Giemsa o en un preparado húmedo directo. En infecciones crónicas que se caracterizan por su escasa parasitemia, la identificación del parásito obliga a practicar cultivos en medios especiales o por xenodiagnóstico. Los métodos serológicos comprenden hemaglutinación e inmunofluorescencia indirectas e inmunoanálisis enzimático. </w:t>
      </w:r>
    </w:p>
    <w:p w14:paraId="445C66DE" w14:textId="77777777" w:rsidR="00924992" w:rsidRDefault="00924992">
      <w:pPr>
        <w:pStyle w:val="BodyText"/>
        <w:spacing w:after="100"/>
        <w:ind w:firstLine="0"/>
      </w:pPr>
      <w:r>
        <w:t>impregnados con insecticidas y repelentes de insectos. Las personas infectadas no deben amamantar a su hijos ni donar sangre.</w:t>
      </w:r>
    </w:p>
    <w:p w14:paraId="27E32320" w14:textId="77777777" w:rsidR="00924992" w:rsidRDefault="00924992">
      <w:pPr>
        <w:pStyle w:val="Bodytext70"/>
        <w:spacing w:after="0"/>
      </w:pPr>
      <w:r>
        <w:t>Tripanosomiasis americana</w:t>
      </w:r>
    </w:p>
    <w:p w14:paraId="4FC7393F" w14:textId="77777777" w:rsidR="00924992" w:rsidRDefault="00924992">
      <w:pPr>
        <w:pStyle w:val="Other0"/>
        <w:spacing w:line="252" w:lineRule="auto"/>
        <w:ind w:firstLine="0"/>
        <w:rPr>
          <w:sz w:val="20"/>
          <w:szCs w:val="20"/>
        </w:rPr>
      </w:pPr>
      <w:r>
        <w:rPr>
          <w:rFonts w:ascii="Arial" w:eastAsia="Arial" w:hAnsi="Arial" w:cs="Arial"/>
          <w:b/>
          <w:bCs/>
          <w:w w:val="70"/>
          <w:sz w:val="20"/>
          <w:szCs w:val="20"/>
        </w:rPr>
        <w:t>(Enfermedad de Chagas)</w:t>
      </w:r>
    </w:p>
    <w:p w14:paraId="28EC0FB0" w14:textId="77777777" w:rsidR="00924992" w:rsidRDefault="00924992">
      <w:pPr>
        <w:pStyle w:val="BodyText"/>
        <w:ind w:firstLine="0"/>
      </w:pPr>
      <w:r>
        <w:rPr>
          <w:b/>
          <w:bCs/>
        </w:rPr>
        <w:t>M</w:t>
      </w:r>
      <w:r>
        <w:rPr>
          <w:b/>
          <w:bCs/>
          <w:sz w:val="13"/>
          <w:szCs w:val="13"/>
        </w:rPr>
        <w:t>ANIFESTACIONES CLÍNICAS</w:t>
      </w:r>
      <w:r>
        <w:rPr>
          <w:b/>
          <w:bCs/>
        </w:rPr>
        <w:t xml:space="preserve">: </w:t>
      </w:r>
      <w:r>
        <w:t xml:space="preserve">Las personas pueden tener las formas aguda o crónica de la enfermedad. La fase inicial por lo regular es asintomática. Sin embargo, hay mayor posibilidad de que los niños presenten síntomas, que los adultos. En algunos pacientes surge un nódulo rojizo llamado </w:t>
      </w:r>
      <w:r>
        <w:rPr>
          <w:rFonts w:ascii="Times New Roman" w:eastAsia="Times New Roman" w:hAnsi="Times New Roman" w:cs="Times New Roman"/>
          <w:i/>
          <w:iCs/>
          <w:sz w:val="16"/>
          <w:szCs w:val="16"/>
        </w:rPr>
        <w:t>chagoma</w:t>
      </w:r>
      <w:r>
        <w:t xml:space="preserve"> en el sitio de la inoculación original, por lo común en la cara o los brazos. La piel vecina se torna indurada y más tarde hipopigmentada. El edema unilateral firme de los párpados, conocido como signo de Romaña, es una de las primeras indicaciones de la infección, aunque no siempre aparece. La piel edematosa está violácea y se acompaña de conjuntivitis y linfadenomegalia preauricular ipsolateral. Días después de que aparece el signo de Romaña surgen fiebre, linfadenopatía generalizada y malestar general. Pueden aparecen posteriormente miocarditis aguda, hepatosplenomegalia, edema y meningoencefalitis. En casi todos los casos la enfermedad aguda muestra resolución después de uno a tres meses y sigue un periodo asintomático. En 20 a 30% de los pacientes muchos años después de la infección inicial aparecen secuelas graves que consisten en miocardiopatía e insuficiencia cardiaca (la causa principal de muerte), megaesófago, megacolon o ambos cuadros. La enfermedad congénita se caracteriza por bajo peso natal, hepatomegalia y meningoencefalitis con convulsiones y temblores.</w:t>
      </w:r>
    </w:p>
    <w:p w14:paraId="032298B3" w14:textId="77777777" w:rsidR="00924992" w:rsidRDefault="00924992">
      <w:pPr>
        <w:pStyle w:val="BodyText"/>
        <w:ind w:firstLine="0"/>
      </w:pPr>
      <w:r>
        <w:rPr>
          <w:b/>
          <w:bCs/>
        </w:rPr>
        <w:t>C</w:t>
      </w:r>
      <w:r>
        <w:rPr>
          <w:b/>
          <w:bCs/>
          <w:sz w:val="13"/>
          <w:szCs w:val="13"/>
        </w:rPr>
        <w:t>AUSAS</w:t>
      </w:r>
      <w:r>
        <w:rPr>
          <w:b/>
          <w:bCs/>
        </w:rPr>
        <w:t xml:space="preserve">: </w:t>
      </w:r>
      <w:r>
        <w:rPr>
          <w:rFonts w:ascii="Times New Roman" w:eastAsia="Times New Roman" w:hAnsi="Times New Roman" w:cs="Times New Roman"/>
          <w:i/>
          <w:iCs/>
          <w:sz w:val="16"/>
          <w:szCs w:val="16"/>
        </w:rPr>
        <w:t>Trypanosoma cruzi</w:t>
      </w:r>
      <w:r>
        <w:rPr>
          <w:i/>
          <w:iCs/>
        </w:rPr>
        <w:t>,</w:t>
      </w:r>
      <w:r>
        <w:t xml:space="preserve"> un protozoo hemoflagelado, es la causa.</w:t>
      </w:r>
    </w:p>
    <w:p w14:paraId="6148C29F" w14:textId="77777777" w:rsidR="00924992" w:rsidRDefault="00924992">
      <w:pPr>
        <w:pStyle w:val="BodyText"/>
        <w:ind w:firstLine="0"/>
      </w:pPr>
      <w:r>
        <w:rPr>
          <w:b/>
          <w:bCs/>
        </w:rPr>
        <w:t>A</w:t>
      </w:r>
      <w:r>
        <w:rPr>
          <w:b/>
          <w:bCs/>
          <w:sz w:val="13"/>
          <w:szCs w:val="13"/>
        </w:rPr>
        <w:t>SPECTOS EPIDEMIOLÓGICOS</w:t>
      </w:r>
      <w:r>
        <w:rPr>
          <w:b/>
          <w:bCs/>
        </w:rPr>
        <w:t xml:space="preserve">: </w:t>
      </w:r>
      <w:r>
        <w:t xml:space="preserve">Los parásitos se transmiten por los excrementos de los insectos de la familia de triatómidos, por lo común un redúvido infectado (chinche besadora), que defecan durante la succión de sangre o después de realizada. La inoculación ocurre al frotar inadvertidamente la persona los excrementos del insecto que contienen el parásito, en el sitio de la picadura o las membranas mucosas de los ojos o la boca. El parásito también se transmite en forma congénita durante trasplante de órganos, en transfusiones de sangre y al consumir el vector o al excretar este último el microorganismo. Las infecciones accidentales en el laboratorio suelen ser consecuencia de la manipulación de sangre de personas infectadas o de animales de laboratorio. La enfermedad se circunscribe al hemisferio occidental, predominantemente en México y América Central y del Sur. Algunos pequeños mamíferos en las zonas meridional y suroeste de Estados Unidos tienen </w:t>
      </w:r>
      <w:r>
        <w:rPr>
          <w:rFonts w:ascii="Times New Roman" w:eastAsia="Times New Roman" w:hAnsi="Times New Roman" w:cs="Times New Roman"/>
          <w:i/>
          <w:iCs/>
          <w:sz w:val="16"/>
          <w:szCs w:val="16"/>
        </w:rPr>
        <w:t>T cruzi</w:t>
      </w:r>
      <w:r>
        <w:rPr>
          <w:i/>
          <w:iCs/>
        </w:rPr>
        <w:t>,</w:t>
      </w:r>
      <w:r>
        <w:t xml:space="preserve"> pero la transmisión del vector a los seres humanos es rara en dicho país. En el país en cuestión se han corroborado algunos casos después de transfusión y trasplante de órganos. La infección es frecuente en migrantes de América del Centro y del Sur. Constituye una causa importante de muerte en América del Sur, zona en que siete a 15 millones de personas están infectadas.</w:t>
      </w:r>
    </w:p>
    <w:p w14:paraId="3F5F456D" w14:textId="77777777" w:rsidR="00924992" w:rsidRDefault="00924992">
      <w:pPr>
        <w:pStyle w:val="BodyText"/>
        <w:spacing w:after="60"/>
        <w:ind w:firstLine="360"/>
      </w:pPr>
      <w:r>
        <w:t xml:space="preserve">El </w:t>
      </w:r>
      <w:r>
        <w:rPr>
          <w:b/>
          <w:bCs/>
        </w:rPr>
        <w:t xml:space="preserve">periodo de incubación </w:t>
      </w:r>
      <w:r>
        <w:t xml:space="preserve">en la fase aguda de la enfermedad es de una a dos semanas o más. Las manifestaciones crónicas no surgen durante años a decenios. </w:t>
      </w:r>
      <w:r>
        <w:rPr>
          <w:b/>
          <w:bCs/>
        </w:rPr>
        <w:t>M</w:t>
      </w:r>
      <w:r>
        <w:rPr>
          <w:b/>
          <w:bCs/>
          <w:sz w:val="13"/>
          <w:szCs w:val="13"/>
        </w:rPr>
        <w:t>ÉTODOS DIAGNÓSTICOS</w:t>
      </w:r>
      <w:r>
        <w:rPr>
          <w:b/>
          <w:bCs/>
        </w:rPr>
        <w:t xml:space="preserve">: </w:t>
      </w:r>
      <w:r>
        <w:t>En la fase aguda de la enfermedad se puede demostrar la presencia del parásito en muestras de sangre teñidas con técnica de Giemsa o en un preparado húmedo directo. En infecciones crónicas que se caracterizan por su escasa parasitemia, la identificación del parásito obliga a practicar cultivos en medios especiales o por xenodiagnóstico. Los métodos serológicos comprenden hemaglutinación e inmunofluorescencia indirectas e inmunoanálisis enzimático.</w:t>
      </w:r>
    </w:p>
    <w:p w14:paraId="44F73426" w14:textId="77777777" w:rsidR="00924992" w:rsidRDefault="00924992">
      <w:pPr>
        <w:pStyle w:val="BodyText"/>
        <w:ind w:firstLine="0"/>
      </w:pPr>
      <w:r>
        <w:rPr>
          <w:b/>
          <w:bCs/>
        </w:rPr>
        <w:t>T</w:t>
      </w:r>
      <w:r>
        <w:rPr>
          <w:b/>
          <w:bCs/>
          <w:sz w:val="13"/>
          <w:szCs w:val="13"/>
        </w:rPr>
        <w:t>RATAMIENTO</w:t>
      </w:r>
      <w:r>
        <w:rPr>
          <w:b/>
          <w:bCs/>
        </w:rPr>
        <w:t xml:space="preserve">: </w:t>
      </w:r>
      <w:r>
        <w:t>La fase aguda de la enfermedad de Chagas se trata con benznidazol o nifurtimox (véase “Fármacos antiparasitarios”, sección 4). El tratamiento de niños en las fases latente y crónica de la infección es una medida sistemática en algunos países latinoamericanos, pero no se ha definido la eficacia de tal estrategia.</w:t>
      </w:r>
    </w:p>
    <w:p w14:paraId="5A986F91" w14:textId="77777777" w:rsidR="00924992" w:rsidRDefault="00924992">
      <w:pPr>
        <w:pStyle w:val="BodyText"/>
        <w:spacing w:line="262" w:lineRule="auto"/>
        <w:ind w:firstLine="0"/>
      </w:pPr>
      <w:r>
        <w:rPr>
          <w:b/>
          <w:bCs/>
          <w:smallCaps/>
          <w:sz w:val="20"/>
          <w:szCs w:val="20"/>
        </w:rPr>
        <w:t>A</w:t>
      </w:r>
      <w:r>
        <w:rPr>
          <w:b/>
          <w:bCs/>
          <w:smallCaps/>
          <w:sz w:val="16"/>
          <w:szCs w:val="16"/>
        </w:rPr>
        <w:t>islamiento del paciente hospitalizado</w:t>
      </w:r>
      <w:r>
        <w:rPr>
          <w:b/>
          <w:bCs/>
          <w:smallCaps/>
          <w:sz w:val="20"/>
          <w:szCs w:val="20"/>
        </w:rPr>
        <w:t>:</w:t>
      </w:r>
      <w:r>
        <w:t xml:space="preserve"> Es necesario seguir las precauciones estándar.</w:t>
      </w:r>
    </w:p>
    <w:p w14:paraId="24FCFEBF" w14:textId="77777777" w:rsidR="00924992" w:rsidRDefault="00924992">
      <w:pPr>
        <w:pStyle w:val="BodyText"/>
        <w:ind w:firstLine="0"/>
      </w:pPr>
      <w:r>
        <w:rPr>
          <w:b/>
          <w:bCs/>
        </w:rPr>
        <w:t>M</w:t>
      </w:r>
      <w:r>
        <w:rPr>
          <w:b/>
          <w:bCs/>
          <w:sz w:val="13"/>
          <w:szCs w:val="13"/>
        </w:rPr>
        <w:t>EDIDAS PREVENTIVAS</w:t>
      </w:r>
      <w:r>
        <w:rPr>
          <w:b/>
          <w:bCs/>
        </w:rPr>
        <w:t xml:space="preserve">: </w:t>
      </w:r>
      <w:r>
        <w:t>Las personas que viajen a zonas endémicas deben evitar el contacto con insectos redúvidos al no pernoctar en construcciones que carezcan de elementos de erradicación de tales insectos, en particular las edificaciones hechas en arcilla, techo de palma o de adobes, y en particular las que tienen grietas en las paredes o el techo. También puede ser útil el empleo de mosquiteros impregnados de insecticida. No es recomendable acampar o dormir al aire libre en zonas altamente endémicas. Habrá que hacer estudios de sangre y serológicos en miembros del círculo familiar que incluya un paciente infectado, si han estado expuestos al vector en forma semejante a como lo estuvo el paciente. Habrá que pensar en la práctica de métodos serológicos antes de viajar y después de hacerlo, cuando es inevitable la exposición al vector por haber residido en albergues infestados por redúvidos en zonas altamente endémicas.</w:t>
      </w:r>
    </w:p>
    <w:p w14:paraId="18C59C89" w14:textId="77777777" w:rsidR="00924992" w:rsidRDefault="00924992">
      <w:pPr>
        <w:pStyle w:val="BodyText"/>
        <w:ind w:firstLine="360"/>
      </w:pPr>
      <w:r>
        <w:t>Es importante en las áreas endémicas la enseñanza sobre el mecanismo de propagación y los métodos de evitarla. Conviene revisar los hogares en busca de los vectores y si se les detecta, se emprenderán medidas para eliminarlos.</w:t>
      </w:r>
    </w:p>
    <w:p w14:paraId="7013019E" w14:textId="77777777" w:rsidR="00924992" w:rsidRDefault="00924992">
      <w:pPr>
        <w:pStyle w:val="BodyText"/>
        <w:spacing w:after="100"/>
        <w:ind w:firstLine="360"/>
      </w:pPr>
      <w:r>
        <w:t>En caso de donación de sangre en áreas endémicas habrá que practicar métodos serológicos por anticipado (véase “Aspectos de seguridad en el uso de sangre y hemoderivados”, sección 2), y los pacientes infectados no deben donar dicho líquido. Puede protegerse a las personas que reciben sangre en áreas endémicas, si se trata al líquido donado con violeta de genciana en dilución de 1:4 000.</w:t>
      </w:r>
    </w:p>
    <w:p w14:paraId="2432000A" w14:textId="77777777" w:rsidR="00924992" w:rsidRDefault="00924992">
      <w:pPr>
        <w:pStyle w:val="Bodytext70"/>
        <w:spacing w:after="0"/>
      </w:pPr>
      <w:r>
        <w:t>Triquinosis</w:t>
      </w:r>
    </w:p>
    <w:p w14:paraId="2D383A01" w14:textId="77777777" w:rsidR="00924992" w:rsidRDefault="00924992">
      <w:pPr>
        <w:pStyle w:val="Bodytext80"/>
        <w:rPr>
          <w:sz w:val="15"/>
          <w:szCs w:val="15"/>
        </w:rPr>
      </w:pPr>
      <w:r>
        <w:rPr>
          <w:b/>
          <w:bCs/>
          <w:i/>
          <w:iCs/>
          <w:sz w:val="15"/>
          <w:szCs w:val="15"/>
        </w:rPr>
        <w:t>(Trichinella spiralis)</w:t>
      </w:r>
    </w:p>
    <w:p w14:paraId="6115FEF2" w14:textId="77777777" w:rsidR="00924992" w:rsidRDefault="00924992">
      <w:pPr>
        <w:pStyle w:val="BodyText"/>
        <w:ind w:firstLine="0"/>
      </w:pPr>
      <w:r>
        <w:rPr>
          <w:b/>
          <w:bCs/>
          <w:smallCaps/>
          <w:sz w:val="20"/>
          <w:szCs w:val="20"/>
        </w:rPr>
        <w:t>M</w:t>
      </w:r>
      <w:r>
        <w:rPr>
          <w:b/>
          <w:bCs/>
          <w:smallCaps/>
          <w:sz w:val="16"/>
          <w:szCs w:val="16"/>
        </w:rPr>
        <w:t>anifestaciones clínicas</w:t>
      </w:r>
      <w:r>
        <w:rPr>
          <w:b/>
          <w:bCs/>
          <w:smallCaps/>
          <w:sz w:val="20"/>
          <w:szCs w:val="20"/>
        </w:rPr>
        <w:t>:</w:t>
      </w:r>
      <w:r>
        <w:t xml:space="preserve"> La infección muestra un espectro clínico amplio que va desde un cuadro asintomático hasta una enfermedad fulminante o letal, pero muchas de las infecciones no son manifiestas. La gravedad de la enfermedad es proporcional al número de microorganismos infectantes (inóculo). Después de la primera semana de haber ingerido carne infectada la persona puede estar asintomática o sentir molestias abdominales, náuseas, vómitos, diarrea o combinaciones de estas últimas. Dos a ocho semanas más tarde, al migrar las larvas a los tejidos, puede surgir fiebre, mialgias, edema periorbitario, una erupción urticariana y hemorragias conjuntivales y subungueales. Las larvas pueden permanecer viables en tejidos durante varios años; en término de seis a 24 meses por lo regular se calcifican algunas larvas en el músculo de fibra estriada y pueden ser detectadas en las radiografías. En caso de infecciones graves, en cuestión de uno a dos meses pueden surgir miocarditis, ataque del sistema nervioso y neumonitis. </w:t>
      </w:r>
      <w:r>
        <w:rPr>
          <w:b/>
          <w:bCs/>
        </w:rPr>
        <w:t>C</w:t>
      </w:r>
      <w:r>
        <w:rPr>
          <w:b/>
          <w:bCs/>
          <w:sz w:val="13"/>
          <w:szCs w:val="13"/>
        </w:rPr>
        <w:t>AUSAS</w:t>
      </w:r>
      <w:r>
        <w:rPr>
          <w:b/>
          <w:bCs/>
        </w:rPr>
        <w:t xml:space="preserve">: </w:t>
      </w:r>
      <w:r>
        <w:t xml:space="preserve">La infección es causada por nematodos (vermes redondos) del género </w:t>
      </w:r>
      <w:r>
        <w:rPr>
          <w:rFonts w:ascii="Times New Roman" w:eastAsia="Times New Roman" w:hAnsi="Times New Roman" w:cs="Times New Roman"/>
          <w:i/>
          <w:iCs/>
          <w:sz w:val="16"/>
          <w:szCs w:val="16"/>
        </w:rPr>
        <w:t xml:space="preserve">Trichinella. </w:t>
      </w:r>
      <w:r>
        <w:t xml:space="preserve">Se han identificado como mínimo cinco especies que pueden infectar sólo a animales de sangre caliente. A nivel mundial </w:t>
      </w:r>
      <w:r>
        <w:rPr>
          <w:rFonts w:ascii="Times New Roman" w:eastAsia="Times New Roman" w:hAnsi="Times New Roman" w:cs="Times New Roman"/>
          <w:i/>
          <w:iCs/>
          <w:sz w:val="16"/>
          <w:szCs w:val="16"/>
        </w:rPr>
        <w:t>Trichinella spiralis</w:t>
      </w:r>
      <w:r>
        <w:t xml:space="preserve"> es la causa más común de infección en seres humanos.</w:t>
      </w:r>
    </w:p>
    <w:p w14:paraId="23E267CD" w14:textId="77777777" w:rsidR="00924992" w:rsidRDefault="00924992">
      <w:pPr>
        <w:pStyle w:val="BodyText"/>
        <w:ind w:firstLine="0"/>
        <w:sectPr w:rsidR="00924992" w:rsidSect="00924992">
          <w:headerReference w:type="even" r:id="rId106"/>
          <w:headerReference w:type="default" r:id="rId107"/>
          <w:footerReference w:type="even" r:id="rId108"/>
          <w:footerReference w:type="default" r:id="rId109"/>
          <w:headerReference w:type="first" r:id="rId110"/>
          <w:footerReference w:type="first" r:id="rId111"/>
          <w:pgSz w:w="8501" w:h="13022"/>
          <w:pgMar w:top="898" w:right="780" w:bottom="509" w:left="828" w:header="0" w:footer="3" w:gutter="0"/>
          <w:pgNumType w:start="665"/>
          <w:cols w:space="720"/>
          <w:noEndnote/>
          <w:titlePg/>
          <w:docGrid w:linePitch="360"/>
          <w15:footnoteColumns w:val="1"/>
        </w:sectPr>
      </w:pPr>
      <w:r>
        <w:rPr>
          <w:b/>
          <w:bCs/>
        </w:rPr>
        <w:t>A</w:t>
      </w:r>
      <w:r>
        <w:rPr>
          <w:b/>
          <w:bCs/>
          <w:sz w:val="13"/>
          <w:szCs w:val="13"/>
        </w:rPr>
        <w:t>SPECTOS EPIDEMIOLÓGICOS</w:t>
      </w:r>
      <w:r>
        <w:rPr>
          <w:b/>
          <w:bCs/>
        </w:rPr>
        <w:t xml:space="preserve">: </w:t>
      </w:r>
      <w:r>
        <w:t xml:space="preserve">La infección es una enzootica a nivel mundial en muchos carnívoros, en especial los carroñeros. La infección surge como consecuencia de la ingestión de carne cruda o mal cocida que contiene larvas enquistadas de </w:t>
      </w:r>
      <w:r>
        <w:rPr>
          <w:rFonts w:ascii="Times New Roman" w:eastAsia="Times New Roman" w:hAnsi="Times New Roman" w:cs="Times New Roman"/>
          <w:i/>
          <w:iCs/>
          <w:sz w:val="16"/>
          <w:szCs w:val="16"/>
        </w:rPr>
        <w:t>T. spiralis</w:t>
      </w:r>
      <w:r>
        <w:t xml:space="preserve">. El cerdo es la fuente usual de infecciones de seres humanos, pero también pueden serlo la </w:t>
      </w:r>
    </w:p>
    <w:p w14:paraId="3FB4EDCD" w14:textId="77777777" w:rsidR="00924992" w:rsidRDefault="00924992">
      <w:pPr>
        <w:pStyle w:val="BodyText"/>
        <w:ind w:firstLine="0"/>
      </w:pPr>
      <w:r>
        <w:t>carne de caballo y carnívoros salvajes como osos, focas y morsas en el hemisferio septentrional. Alimentar a los cerdos con desperdicios crudos perpetúa el ciclo de la infección. En Estados Unidos la incidencia de la infección en seres humanos ha disminuido considerablemente, pero surge a veces de manera esporádica, dentro de un núcleo familiar o un grupo de amigos que han preparado salchichas mal cocidas, de carne de cerdo fresca. La enfermedad no se transmite de una persona a otra.</w:t>
      </w:r>
    </w:p>
    <w:p w14:paraId="1B13B282" w14:textId="77777777" w:rsidR="00924992" w:rsidRDefault="00924992">
      <w:pPr>
        <w:pStyle w:val="BodyText"/>
        <w:ind w:firstLine="360"/>
      </w:pPr>
      <w:r>
        <w:t xml:space="preserve">El </w:t>
      </w:r>
      <w:r>
        <w:rPr>
          <w:b/>
          <w:bCs/>
        </w:rPr>
        <w:t xml:space="preserve">periodo de incubación </w:t>
      </w:r>
      <w:r>
        <w:t>es de una a dos semanas.</w:t>
      </w:r>
    </w:p>
    <w:p w14:paraId="5DB3E151" w14:textId="77777777" w:rsidR="00924992" w:rsidRDefault="00924992">
      <w:pPr>
        <w:pStyle w:val="BodyText"/>
        <w:ind w:firstLine="0"/>
      </w:pPr>
      <w:r>
        <w:rPr>
          <w:b/>
          <w:bCs/>
        </w:rPr>
        <w:t>M</w:t>
      </w:r>
      <w:r>
        <w:rPr>
          <w:b/>
          <w:bCs/>
          <w:sz w:val="13"/>
          <w:szCs w:val="13"/>
        </w:rPr>
        <w:t>ÉTODOS DIAGNÓSTICOS</w:t>
      </w:r>
      <w:r>
        <w:rPr>
          <w:b/>
          <w:bCs/>
        </w:rPr>
        <w:t xml:space="preserve">: </w:t>
      </w:r>
      <w:r>
        <w:t xml:space="preserve">La eosinofilia que se acerca a 70% junto con síntomas compatibles de antecedentes alimentarios sugiere el diagnóstico. También aumentan las concentraciones de enzimas musculares como la creatinfosfocinasa y la deshidrogenasa láctica. Es posible identificar microscópicamente las larvas encapsuladas en un fragmento de músculo de fibra estriada para biopsia (particularmente el deltoides y los gemelos) desde unos 14 días después de la infección. También hay que analizar tejido recién obtenido, comprimido entre dos laminillas microscópicas. Un método más sensible es digerir el tejido muscular en jugo gástrico artificial, y después revisar el sedimento en busca de larvas. La identificación de larvas en la carne sospechosa puede ser el procedimiento más rápido de obtención de datos diagnósticos. Se pueden practicar métodos serológicos en algunos laboratorios privados y estatales y también en Estados Unidos en los </w:t>
      </w:r>
      <w:r>
        <w:rPr>
          <w:rFonts w:ascii="Times New Roman" w:eastAsia="Times New Roman" w:hAnsi="Times New Roman" w:cs="Times New Roman"/>
          <w:i/>
          <w:iCs/>
          <w:sz w:val="16"/>
          <w:szCs w:val="16"/>
        </w:rPr>
        <w:t>Centers for Disease Control and Prevention</w:t>
      </w:r>
      <w:r>
        <w:rPr>
          <w:i/>
          <w:iCs/>
        </w:rPr>
        <w:t>.</w:t>
      </w:r>
      <w:r>
        <w:t xml:space="preserve"> En raras ocasiones los títulos de anticuerpos séricos se tornan positivos antes de la segunda semana de la enfermedad. Por lo común se confirma el diagnóstico al estudiar pares de muestras séricas (obtenidas en la fase aguda y la de convalecencia).</w:t>
      </w:r>
    </w:p>
    <w:p w14:paraId="58D7D430" w14:textId="77777777" w:rsidR="00924992" w:rsidRDefault="00924992">
      <w:pPr>
        <w:pStyle w:val="BodyText"/>
        <w:ind w:firstLine="0"/>
      </w:pPr>
      <w:r>
        <w:rPr>
          <w:b/>
          <w:bCs/>
        </w:rPr>
        <w:t>T</w:t>
      </w:r>
      <w:r>
        <w:rPr>
          <w:b/>
          <w:bCs/>
          <w:sz w:val="13"/>
          <w:szCs w:val="13"/>
        </w:rPr>
        <w:t>RATAMIENTO</w:t>
      </w:r>
      <w:r>
        <w:rPr>
          <w:b/>
          <w:bCs/>
        </w:rPr>
        <w:t xml:space="preserve">: </w:t>
      </w:r>
      <w:r>
        <w:t xml:space="preserve">El mebendazol y el albendazol tienen eficacia similar para tratar la triquinosis (véase “Fármacos antiparasitarios”, sección 4). Ninguno de los dos es muy eficaz contra larvas de </w:t>
      </w:r>
      <w:r>
        <w:rPr>
          <w:rFonts w:ascii="Times New Roman" w:eastAsia="Times New Roman" w:hAnsi="Times New Roman" w:cs="Times New Roman"/>
          <w:i/>
          <w:iCs/>
          <w:sz w:val="16"/>
          <w:szCs w:val="16"/>
        </w:rPr>
        <w:t>Trichinella</w:t>
      </w:r>
      <w:r>
        <w:t xml:space="preserve"> que estén presentes en los músculos. Si los síntomas son graves se recomienda administrar concomitantemente corticosteroides, con el mebendazol o el albendazol; dichos fármacos aplacarán los síntomas en la reacción inflamatoria y pueden salvar la vida en caso de ataque del sistema nervioso central o el corazón.</w:t>
      </w:r>
    </w:p>
    <w:p w14:paraId="6AF427A0" w14:textId="77777777" w:rsidR="00924992" w:rsidRDefault="00924992">
      <w:pPr>
        <w:pStyle w:val="BodyText"/>
        <w:ind w:firstLine="0"/>
      </w:pPr>
      <w:r>
        <w:rPr>
          <w:b/>
          <w:bCs/>
        </w:rPr>
        <w:t>A</w:t>
      </w:r>
      <w:r>
        <w:rPr>
          <w:b/>
          <w:bCs/>
          <w:sz w:val="13"/>
          <w:szCs w:val="13"/>
        </w:rPr>
        <w:t>ISLAMIENTO DEL PACIENTE HOSPITALIZADO</w:t>
      </w:r>
      <w:r>
        <w:rPr>
          <w:b/>
          <w:bCs/>
        </w:rPr>
        <w:t xml:space="preserve">: </w:t>
      </w:r>
      <w:r>
        <w:t>Se recomienda seguir las precauciones estándar.</w:t>
      </w:r>
    </w:p>
    <w:p w14:paraId="33A11E6F" w14:textId="77777777" w:rsidR="00924992" w:rsidRDefault="00924992">
      <w:pPr>
        <w:pStyle w:val="BodyText"/>
        <w:spacing w:after="340"/>
        <w:ind w:firstLine="0"/>
      </w:pPr>
      <w:r>
        <w:rPr>
          <w:b/>
          <w:bCs/>
        </w:rPr>
        <w:t>M</w:t>
      </w:r>
      <w:r>
        <w:rPr>
          <w:b/>
          <w:bCs/>
          <w:sz w:val="13"/>
          <w:szCs w:val="13"/>
        </w:rPr>
        <w:t>EDIDAS PREVENTIVAS</w:t>
      </w:r>
      <w:r>
        <w:rPr>
          <w:b/>
          <w:bCs/>
        </w:rPr>
        <w:t xml:space="preserve">: </w:t>
      </w:r>
      <w:r>
        <w:t xml:space="preserve">Es posible disminuir la transmisión a los cerdos si no se les alimenta con desperdicios crudos y también si se emprende la desratización eficaz. El público debe ser orientado en cuanto a la necesidad de cocinar perfectamente la carne de cerdo (hasta que está totalmente blanca). El congelamiento de la carne del cerdo a —23°C durante 10 días destruye las larvas. Sin embargo, a pesar de usar dicho método sobreviven algunas </w:t>
      </w:r>
      <w:r>
        <w:rPr>
          <w:rFonts w:ascii="Times New Roman" w:eastAsia="Times New Roman" w:hAnsi="Times New Roman" w:cs="Times New Roman"/>
          <w:i/>
          <w:iCs/>
          <w:sz w:val="16"/>
          <w:szCs w:val="16"/>
        </w:rPr>
        <w:t>Trichinella</w:t>
      </w:r>
      <w:r>
        <w:t xml:space="preserve"> en animales salvajes del Ártico. Las personas que han ingerido recientemente carne contaminada deben ser tratados con mebendazol (o albendazol).</w:t>
      </w:r>
    </w:p>
    <w:p w14:paraId="47196529" w14:textId="77777777" w:rsidR="00924992" w:rsidRDefault="00924992">
      <w:pPr>
        <w:pStyle w:val="Bodytext70"/>
        <w:spacing w:after="0"/>
      </w:pPr>
      <w:r>
        <w:t>Tuberculosis</w:t>
      </w:r>
    </w:p>
    <w:p w14:paraId="344AB1C2" w14:textId="77777777" w:rsidR="00924992" w:rsidRDefault="00924992">
      <w:pPr>
        <w:pStyle w:val="BodyText"/>
        <w:ind w:firstLine="0"/>
      </w:pPr>
      <w:r>
        <w:rPr>
          <w:b/>
          <w:bCs/>
        </w:rPr>
        <w:t>M</w:t>
      </w:r>
      <w:r>
        <w:rPr>
          <w:b/>
          <w:bCs/>
          <w:sz w:val="13"/>
          <w:szCs w:val="13"/>
        </w:rPr>
        <w:t>ANIFESTACIONES CLÍNICAS</w:t>
      </w:r>
      <w:r>
        <w:rPr>
          <w:b/>
          <w:bCs/>
        </w:rPr>
        <w:t xml:space="preserve">: </w:t>
      </w:r>
      <w:r>
        <w:t xml:space="preserve">Casi todos los casos de tuberculosis en niños y adolescentes son asintomáticos. Al surgir la enfermedad, las manifestaciones clínicas muy a menudo aparecen uno a seis meses después de la infección, y comprenden fiebre, retraso del crecimiento o pérdida ponderal, tos, sudores nocturnos y escalofríos. Los signos radiográficos en campos pulmonares varían desde un cuadro normal hasta la presencia de anormalidades diversas como linfadenopatía hiliar, subcarinal o mediastínica; atelectasia o infiltración de algún segmento del pulmón; derrame pleural; lesiones cavitarias o enfermedad miliar. Las manifestaciones extrapulmonares son meningitis y ataque del oído medio y la mastoides, así como de ganglios linfáticos, huesos, articulaciones y piel. La tuberculosis de riñones y la reactivación de tuberculosis pulmonar del adulto son poco comunes en niños de corta edad, pero pueden observarse en adolescentes. Los signos clínicos en pacientes con tuberculosis farmacorresistentes son idénticos a las manifestaciones en quienes tienen la enfermedad con farmacosusceptibilidad. </w:t>
      </w:r>
      <w:r>
        <w:rPr>
          <w:b/>
          <w:bCs/>
        </w:rPr>
        <w:t>C</w:t>
      </w:r>
      <w:r>
        <w:rPr>
          <w:b/>
          <w:bCs/>
          <w:sz w:val="13"/>
          <w:szCs w:val="13"/>
        </w:rPr>
        <w:t>AUSAS</w:t>
      </w:r>
      <w:r>
        <w:rPr>
          <w:b/>
          <w:bCs/>
        </w:rPr>
        <w:t xml:space="preserve">: </w:t>
      </w:r>
      <w:r>
        <w:t xml:space="preserve">El agente es </w:t>
      </w:r>
      <w:r>
        <w:rPr>
          <w:rFonts w:ascii="Times New Roman" w:eastAsia="Times New Roman" w:hAnsi="Times New Roman" w:cs="Times New Roman"/>
          <w:i/>
          <w:iCs/>
          <w:sz w:val="16"/>
          <w:szCs w:val="16"/>
        </w:rPr>
        <w:t>Mycobacterium tuberculosis</w:t>
      </w:r>
      <w:r>
        <w:rPr>
          <w:i/>
          <w:iCs/>
        </w:rPr>
        <w:t>,</w:t>
      </w:r>
      <w:r>
        <w:t xml:space="preserve"> bacilo acidorresistente </w:t>
      </w:r>
      <w:r>
        <w:rPr>
          <w:i/>
          <w:iCs/>
        </w:rPr>
        <w:t>(</w:t>
      </w:r>
      <w:r>
        <w:rPr>
          <w:rFonts w:ascii="Times New Roman" w:eastAsia="Times New Roman" w:hAnsi="Times New Roman" w:cs="Times New Roman"/>
          <w:i/>
          <w:iCs/>
          <w:sz w:val="16"/>
          <w:szCs w:val="16"/>
        </w:rPr>
        <w:t>acid-fast bacillus</w:t>
      </w:r>
      <w:r>
        <w:rPr>
          <w:i/>
          <w:iCs/>
        </w:rPr>
        <w:t>,</w:t>
      </w:r>
      <w:r>
        <w:t xml:space="preserve"> AFB). El ataque de seres humanos por </w:t>
      </w:r>
      <w:r>
        <w:rPr>
          <w:rFonts w:ascii="Times New Roman" w:eastAsia="Times New Roman" w:hAnsi="Times New Roman" w:cs="Times New Roman"/>
          <w:i/>
          <w:iCs/>
          <w:sz w:val="16"/>
          <w:szCs w:val="16"/>
        </w:rPr>
        <w:t>Mycobacterium bovis</w:t>
      </w:r>
      <w:r>
        <w:rPr>
          <w:i/>
          <w:iCs/>
        </w:rPr>
        <w:t>,</w:t>
      </w:r>
      <w:r>
        <w:t xml:space="preserve"> que es la causa de la tuberculosis bovina, se advierte en Estados Unidos en niños que han ingerido leche o productos lácteos no pasteurizados.</w:t>
      </w:r>
    </w:p>
    <w:p w14:paraId="30922D7A" w14:textId="77777777" w:rsidR="00924992" w:rsidRDefault="00924992">
      <w:pPr>
        <w:pStyle w:val="Other0"/>
        <w:spacing w:line="257" w:lineRule="auto"/>
        <w:ind w:firstLine="0"/>
        <w:rPr>
          <w:sz w:val="20"/>
          <w:szCs w:val="20"/>
        </w:rPr>
      </w:pPr>
      <w:r>
        <w:rPr>
          <w:b/>
          <w:bCs/>
          <w:smallCaps/>
          <w:sz w:val="20"/>
          <w:szCs w:val="20"/>
        </w:rPr>
        <w:t>D</w:t>
      </w:r>
      <w:r>
        <w:rPr>
          <w:b/>
          <w:bCs/>
          <w:smallCaps/>
          <w:sz w:val="16"/>
          <w:szCs w:val="16"/>
        </w:rPr>
        <w:t>efiniciones</w:t>
      </w:r>
      <w:r>
        <w:rPr>
          <w:b/>
          <w:bCs/>
          <w:smallCaps/>
          <w:sz w:val="20"/>
          <w:szCs w:val="20"/>
        </w:rPr>
        <w:t>:</w:t>
      </w:r>
    </w:p>
    <w:p w14:paraId="72E77E87" w14:textId="77777777" w:rsidR="00924992" w:rsidRDefault="00924992">
      <w:pPr>
        <w:pStyle w:val="BodyText"/>
        <w:numPr>
          <w:ilvl w:val="0"/>
          <w:numId w:val="115"/>
        </w:numPr>
        <w:tabs>
          <w:tab w:val="left" w:pos="338"/>
        </w:tabs>
        <w:ind w:left="360" w:hanging="360"/>
      </w:pPr>
      <w:bookmarkStart w:id="77" w:name="bookmark1532"/>
      <w:bookmarkEnd w:id="77"/>
      <w:r>
        <w:rPr>
          <w:b/>
          <w:bCs/>
        </w:rPr>
        <w:t xml:space="preserve">Positividad de la prueba cutánea con tuberculina </w:t>
      </w:r>
      <w:r>
        <w:rPr>
          <w:i/>
          <w:iCs/>
        </w:rPr>
        <w:t>(</w:t>
      </w:r>
      <w:r>
        <w:rPr>
          <w:rFonts w:ascii="Times New Roman" w:eastAsia="Times New Roman" w:hAnsi="Times New Roman" w:cs="Times New Roman"/>
          <w:i/>
          <w:iCs/>
          <w:sz w:val="16"/>
          <w:szCs w:val="16"/>
        </w:rPr>
        <w:t>tuberculin skin test</w:t>
      </w:r>
      <w:r>
        <w:rPr>
          <w:i/>
          <w:iCs/>
        </w:rPr>
        <w:t>,</w:t>
      </w:r>
      <w:r>
        <w:t xml:space="preserve"> TST). La positividad de la cutirreacción con tuberculina (cuadro 3-69) denota infección posible por </w:t>
      </w:r>
      <w:r>
        <w:rPr>
          <w:rFonts w:ascii="Times New Roman" w:eastAsia="Times New Roman" w:hAnsi="Times New Roman" w:cs="Times New Roman"/>
          <w:i/>
          <w:iCs/>
          <w:sz w:val="16"/>
          <w:szCs w:val="16"/>
        </w:rPr>
        <w:t>M. tuberculosis.</w:t>
      </w:r>
      <w:r>
        <w:t xml:space="preserve"> La reactividad a la tuberculina surge dos a 12 semanas después de la infección inicial y la mediana de dicho intervalo es de tres a cuatro semanas (véase “Pruebas con tuberculina”, más adelante en este resumen).</w:t>
      </w:r>
    </w:p>
    <w:p w14:paraId="35EDFFBF" w14:textId="77777777" w:rsidR="00924992" w:rsidRDefault="00924992">
      <w:pPr>
        <w:pStyle w:val="BodyText"/>
        <w:numPr>
          <w:ilvl w:val="0"/>
          <w:numId w:val="115"/>
        </w:numPr>
        <w:tabs>
          <w:tab w:val="left" w:pos="338"/>
        </w:tabs>
        <w:ind w:left="360" w:hanging="360"/>
      </w:pPr>
      <w:bookmarkStart w:id="78" w:name="bookmark1533"/>
      <w:bookmarkEnd w:id="78"/>
      <w:r>
        <w:t xml:space="preserve">La </w:t>
      </w:r>
      <w:r>
        <w:rPr>
          <w:b/>
          <w:bCs/>
        </w:rPr>
        <w:t xml:space="preserve">persona expuesta </w:t>
      </w:r>
      <w:r>
        <w:t>es el individuo que ha tenido contacto reciente con otro en el cual se sospecha o ha confirmado la presencia de tuberculosis pulmonar contagiosa y cuyos resultados de TST son negativos, sus signos en la exploración física son normales y los signos en radiografías de tórax no son compatibles con tuberculosis. Algunas personas expuestas tienen la infección (y más tarde muestran positividad en los resultados de TST) y otras no; en el comienzo es imposible diferenciar entre uno y otro grupos.</w:t>
      </w:r>
    </w:p>
    <w:p w14:paraId="06792239" w14:textId="77777777" w:rsidR="00924992" w:rsidRDefault="00924992">
      <w:pPr>
        <w:pStyle w:val="BodyText"/>
        <w:numPr>
          <w:ilvl w:val="0"/>
          <w:numId w:val="115"/>
        </w:numPr>
        <w:tabs>
          <w:tab w:val="left" w:pos="338"/>
        </w:tabs>
        <w:ind w:left="360" w:hanging="360"/>
      </w:pPr>
      <w:bookmarkStart w:id="79" w:name="bookmark1534"/>
      <w:bookmarkEnd w:id="79"/>
      <w:r>
        <w:t xml:space="preserve">El </w:t>
      </w:r>
      <w:r>
        <w:rPr>
          <w:b/>
          <w:bCs/>
        </w:rPr>
        <w:t xml:space="preserve">caso de origen </w:t>
      </w:r>
      <w:r>
        <w:t xml:space="preserve">es la persona que ha transmitido </w:t>
      </w:r>
      <w:r>
        <w:rPr>
          <w:rFonts w:ascii="Times New Roman" w:eastAsia="Times New Roman" w:hAnsi="Times New Roman" w:cs="Times New Roman"/>
          <w:i/>
          <w:iCs/>
          <w:sz w:val="16"/>
          <w:szCs w:val="16"/>
        </w:rPr>
        <w:t>M. tuberculosis</w:t>
      </w:r>
      <w:r>
        <w:t xml:space="preserve"> a un niño con infección o enfermedad tuberculosa</w:t>
      </w:r>
    </w:p>
    <w:p w14:paraId="7022A465" w14:textId="77777777" w:rsidR="00924992" w:rsidRDefault="00924992">
      <w:pPr>
        <w:pStyle w:val="BodyText"/>
        <w:numPr>
          <w:ilvl w:val="0"/>
          <w:numId w:val="115"/>
        </w:numPr>
        <w:tabs>
          <w:tab w:val="left" w:pos="338"/>
        </w:tabs>
        <w:ind w:left="360" w:hanging="360"/>
      </w:pPr>
      <w:bookmarkStart w:id="80" w:name="bookmark1535"/>
      <w:bookmarkEnd w:id="80"/>
      <w:r>
        <w:rPr>
          <w:b/>
          <w:bCs/>
        </w:rPr>
        <w:t xml:space="preserve">Se define a la infección latente por tuberculosis </w:t>
      </w:r>
      <w:r>
        <w:rPr>
          <w:i/>
          <w:iCs/>
        </w:rPr>
        <w:t>(</w:t>
      </w:r>
      <w:r>
        <w:rPr>
          <w:rFonts w:ascii="Times New Roman" w:eastAsia="Times New Roman" w:hAnsi="Times New Roman" w:cs="Times New Roman"/>
          <w:i/>
          <w:iCs/>
          <w:sz w:val="16"/>
          <w:szCs w:val="16"/>
        </w:rPr>
        <w:t>latent tuberculosis infection</w:t>
      </w:r>
      <w:r>
        <w:rPr>
          <w:i/>
          <w:iCs/>
        </w:rPr>
        <w:t xml:space="preserve">, </w:t>
      </w:r>
      <w:r>
        <w:t xml:space="preserve">LTBI) como la infección por </w:t>
      </w:r>
      <w:r>
        <w:rPr>
          <w:rFonts w:ascii="Times New Roman" w:eastAsia="Times New Roman" w:hAnsi="Times New Roman" w:cs="Times New Roman"/>
          <w:i/>
          <w:iCs/>
          <w:sz w:val="16"/>
          <w:szCs w:val="16"/>
        </w:rPr>
        <w:t>M. tuberculosis</w:t>
      </w:r>
      <w:r>
        <w:t xml:space="preserve"> en una persona con resultados positivos de TST, ningún signo físico de la enfermedad y signos radiográficos de tórax normales o que indican infección cicatrizada (granulomas o calcificación de ganglios linfáticos del hilio, de los pulmones o en ambas zonas).</w:t>
      </w:r>
    </w:p>
    <w:p w14:paraId="7C099FAA" w14:textId="77777777" w:rsidR="00924992" w:rsidRDefault="00924992">
      <w:pPr>
        <w:pStyle w:val="BodyText"/>
        <w:numPr>
          <w:ilvl w:val="0"/>
          <w:numId w:val="115"/>
        </w:numPr>
        <w:tabs>
          <w:tab w:val="left" w:pos="338"/>
        </w:tabs>
        <w:ind w:left="360" w:hanging="360"/>
      </w:pPr>
      <w:bookmarkStart w:id="81" w:name="bookmark1536"/>
      <w:bookmarkEnd w:id="81"/>
      <w:r>
        <w:t xml:space="preserve">La </w:t>
      </w:r>
      <w:r>
        <w:rPr>
          <w:b/>
          <w:bCs/>
        </w:rPr>
        <w:t xml:space="preserve">enfermedad tuberculosa </w:t>
      </w:r>
      <w:r>
        <w:t>se define como aquella en que una persona muestra infección con síntomas, signos o manifestaciones radiográficas causadas por</w:t>
      </w:r>
    </w:p>
    <w:p w14:paraId="183F2908" w14:textId="77777777" w:rsidR="00924992" w:rsidRDefault="00924992">
      <w:pPr>
        <w:pStyle w:val="BodyText"/>
        <w:spacing w:line="314" w:lineRule="auto"/>
        <w:ind w:firstLine="360"/>
      </w:pPr>
      <w:r>
        <w:rPr>
          <w:rFonts w:ascii="Times New Roman" w:eastAsia="Times New Roman" w:hAnsi="Times New Roman" w:cs="Times New Roman"/>
          <w:i/>
          <w:iCs/>
          <w:sz w:val="16"/>
          <w:szCs w:val="16"/>
        </w:rPr>
        <w:t>M. tuberculosis</w:t>
      </w:r>
      <w:r>
        <w:t>; puede ser pulmonar, extrapulmonar o tener ambas características.</w:t>
      </w:r>
    </w:p>
    <w:p w14:paraId="4A15DD84" w14:textId="77777777" w:rsidR="00924992" w:rsidRDefault="00924992">
      <w:pPr>
        <w:pStyle w:val="BodyText"/>
        <w:numPr>
          <w:ilvl w:val="0"/>
          <w:numId w:val="115"/>
        </w:numPr>
        <w:tabs>
          <w:tab w:val="left" w:pos="338"/>
        </w:tabs>
        <w:ind w:left="360" w:hanging="360"/>
      </w:pPr>
      <w:bookmarkStart w:id="82" w:name="bookmark1537"/>
      <w:bookmarkEnd w:id="82"/>
      <w:r>
        <w:rPr>
          <w:b/>
          <w:bCs/>
        </w:rPr>
        <w:t xml:space="preserve">Terapia “directamente observada” </w:t>
      </w:r>
      <w:r>
        <w:rPr>
          <w:i/>
          <w:iCs/>
        </w:rPr>
        <w:t>(</w:t>
      </w:r>
      <w:r>
        <w:rPr>
          <w:rFonts w:ascii="Times New Roman" w:eastAsia="Times New Roman" w:hAnsi="Times New Roman" w:cs="Times New Roman"/>
          <w:i/>
          <w:iCs/>
          <w:sz w:val="16"/>
          <w:szCs w:val="16"/>
        </w:rPr>
        <w:t>directly observed therapy</w:t>
      </w:r>
      <w:r>
        <w:rPr>
          <w:i/>
          <w:iCs/>
        </w:rPr>
        <w:t>,</w:t>
      </w:r>
      <w:r>
        <w:t xml:space="preserve"> DOT) es una intervención en la cual el medicamento es suministrado directamente al paciente por parte de un profesional asistencial o un tercero preparado (que no sea pariente ni amigo), quienes observan y dejan constancia escrita de que el paciente ingirió cada dosis de los medicamentos.</w:t>
      </w:r>
    </w:p>
    <w:p w14:paraId="43DFE0FA" w14:textId="77777777" w:rsidR="00924992" w:rsidRDefault="00924992">
      <w:pPr>
        <w:pStyle w:val="BodyText"/>
        <w:ind w:firstLine="0"/>
      </w:pPr>
      <w:r>
        <w:rPr>
          <w:b/>
          <w:bCs/>
        </w:rPr>
        <w:t>A</w:t>
      </w:r>
      <w:r>
        <w:rPr>
          <w:b/>
          <w:bCs/>
          <w:sz w:val="13"/>
          <w:szCs w:val="13"/>
        </w:rPr>
        <w:t>SPECTOS EPIDEMIOLÓGICOS</w:t>
      </w:r>
      <w:r>
        <w:rPr>
          <w:b/>
          <w:bCs/>
        </w:rPr>
        <w:t xml:space="preserve">: </w:t>
      </w:r>
      <w:r>
        <w:t>La frecuencia de casos de enfermedad tuberculosa en todas las edades es mayor en zonas urbanas con bajos ingresos y en grupos raciales y étnicos diferentes de los blancos; 66% de los casos notificados en Estados Unidos se identifican en personas no blancas. En años recientes, los niños de extracción extranjera han comprendido más de 33% de los casos recién diagnosticados, en los grupos de edad de 14 años o menores. Los grupos específicos con altos índices de LTBI y enfermedad incluyen los migrantes de la primera generación provenientes de regiones con prevalencia alta (como Asia, África y América Latina), personas sin hogar y residentes de instalaciones correccionales.</w:t>
      </w:r>
    </w:p>
    <w:p w14:paraId="7EC6B05B" w14:textId="77777777" w:rsidR="00924992" w:rsidRDefault="00924992">
      <w:pPr>
        <w:pStyle w:val="Heading31"/>
        <w:keepNext/>
        <w:keepLines/>
        <w:pBdr>
          <w:bottom w:val="single" w:sz="4" w:space="0" w:color="auto"/>
        </w:pBdr>
        <w:spacing w:after="400" w:line="221" w:lineRule="auto"/>
        <w:jc w:val="center"/>
      </w:pPr>
      <w:bookmarkStart w:id="83" w:name="bookmark1538"/>
      <w:bookmarkStart w:id="84" w:name="bookmark1539"/>
      <w:bookmarkStart w:id="85" w:name="bookmark1540"/>
      <w:r>
        <w:rPr>
          <w:b w:val="0"/>
          <w:bCs w:val="0"/>
        </w:rPr>
        <w:t xml:space="preserve">Cuadro 3-69. </w:t>
      </w:r>
      <w:r>
        <w:t>Definiciones de los resultados positivos de una prueba</w:t>
      </w:r>
      <w:r>
        <w:br/>
        <w:t>cutánea con tuberculina (TST) en lactantes, niños y adolescentes</w:t>
      </w:r>
      <w:r>
        <w:rPr>
          <w:vertAlign w:val="superscript"/>
        </w:rPr>
        <w:t>1</w:t>
      </w:r>
      <w:bookmarkEnd w:id="83"/>
      <w:bookmarkEnd w:id="84"/>
      <w:bookmarkEnd w:id="85"/>
    </w:p>
    <w:p w14:paraId="27689596" w14:textId="77777777" w:rsidR="00924992" w:rsidRDefault="00924992">
      <w:pPr>
        <w:pStyle w:val="Bodytext20"/>
        <w:ind w:left="180" w:hanging="180"/>
      </w:pPr>
      <w:r>
        <w:rPr>
          <w:b/>
          <w:bCs/>
        </w:rPr>
        <w:t>Induración de 5 mm o mayor</w:t>
      </w:r>
    </w:p>
    <w:p w14:paraId="723F5F26" w14:textId="77777777" w:rsidR="00924992" w:rsidRDefault="00924992">
      <w:pPr>
        <w:pStyle w:val="Bodytext20"/>
        <w:ind w:left="180" w:hanging="180"/>
      </w:pPr>
      <w:r>
        <w:t>Niños con contacto muy cercano con casos contagiosos identificados o sospechados de enfermedad tuberculosa</w:t>
      </w:r>
    </w:p>
    <w:p w14:paraId="043235D6" w14:textId="77777777" w:rsidR="00924992" w:rsidRDefault="00924992">
      <w:pPr>
        <w:pStyle w:val="Bodytext20"/>
        <w:ind w:left="180" w:hanging="180"/>
      </w:pPr>
      <w:r>
        <w:t>Niños sospechosos de mostrar enfermedad tuberculosa:</w:t>
      </w:r>
    </w:p>
    <w:p w14:paraId="1547FE21" w14:textId="77777777" w:rsidR="00924992" w:rsidRDefault="00924992">
      <w:pPr>
        <w:pStyle w:val="Bodytext20"/>
        <w:numPr>
          <w:ilvl w:val="0"/>
          <w:numId w:val="115"/>
        </w:numPr>
        <w:tabs>
          <w:tab w:val="left" w:pos="428"/>
        </w:tabs>
        <w:ind w:firstLine="180"/>
      </w:pPr>
      <w:bookmarkStart w:id="86" w:name="bookmark1541"/>
      <w:bookmarkEnd w:id="86"/>
      <w:r>
        <w:t>Signos en las radiografías de tórax compatibles con tuberculosis activa o previamente activa</w:t>
      </w:r>
    </w:p>
    <w:p w14:paraId="05ECF1FD" w14:textId="77777777" w:rsidR="00924992" w:rsidRDefault="00924992">
      <w:pPr>
        <w:pStyle w:val="Bodytext20"/>
        <w:numPr>
          <w:ilvl w:val="0"/>
          <w:numId w:val="115"/>
        </w:numPr>
        <w:tabs>
          <w:tab w:val="left" w:pos="428"/>
        </w:tabs>
        <w:ind w:firstLine="180"/>
      </w:pPr>
      <w:bookmarkStart w:id="87" w:name="bookmark1542"/>
      <w:bookmarkEnd w:id="87"/>
      <w:r>
        <w:t>Pruebas clínicas de enfermedad tuberculosa</w:t>
      </w:r>
      <w:r>
        <w:rPr>
          <w:vertAlign w:val="superscript"/>
        </w:rPr>
        <w:footnoteReference w:id="13"/>
      </w:r>
      <w:r>
        <w:rPr>
          <w:vertAlign w:val="superscript"/>
        </w:rPr>
        <w:t xml:space="preserve"> </w:t>
      </w:r>
      <w:r>
        <w:rPr>
          <w:vertAlign w:val="superscript"/>
        </w:rPr>
        <w:footnoteReference w:id="14"/>
      </w:r>
      <w:r>
        <w:rPr>
          <w:vertAlign w:val="superscript"/>
        </w:rPr>
        <w:t xml:space="preserve"> </w:t>
      </w:r>
      <w:r>
        <w:rPr>
          <w:vertAlign w:val="superscript"/>
        </w:rPr>
        <w:footnoteReference w:id="15"/>
      </w:r>
    </w:p>
    <w:p w14:paraId="6E0C1AA6" w14:textId="77777777" w:rsidR="00924992" w:rsidRDefault="00924992">
      <w:pPr>
        <w:pStyle w:val="Bodytext20"/>
      </w:pPr>
      <w:r>
        <w:t>Niños que reciben inmunosupresores</w:t>
      </w:r>
      <w:r>
        <w:rPr>
          <w:vertAlign w:val="superscript"/>
        </w:rPr>
        <w:footnoteReference w:id="16"/>
      </w:r>
      <w:r>
        <w:t xml:space="preserve"> o con cuadros de ese tipo, incluida la infección por VIH </w:t>
      </w:r>
      <w:r>
        <w:rPr>
          <w:b/>
          <w:bCs/>
        </w:rPr>
        <w:t>Induración de 10 mm o mayor</w:t>
      </w:r>
    </w:p>
    <w:p w14:paraId="616744CB" w14:textId="77777777" w:rsidR="00924992" w:rsidRDefault="00924992">
      <w:pPr>
        <w:pStyle w:val="Bodytext20"/>
      </w:pPr>
      <w:r>
        <w:t>Niños con mayor peligro de enfermedad diseminada:</w:t>
      </w:r>
    </w:p>
    <w:p w14:paraId="51C70E90" w14:textId="77777777" w:rsidR="00924992" w:rsidRDefault="00924992">
      <w:pPr>
        <w:pStyle w:val="Bodytext20"/>
        <w:numPr>
          <w:ilvl w:val="0"/>
          <w:numId w:val="115"/>
        </w:numPr>
        <w:tabs>
          <w:tab w:val="left" w:pos="428"/>
        </w:tabs>
        <w:ind w:firstLine="180"/>
      </w:pPr>
      <w:bookmarkStart w:id="88" w:name="bookmark1543"/>
      <w:bookmarkEnd w:id="88"/>
      <w:r>
        <w:t>Niños menores de cuatro años</w:t>
      </w:r>
    </w:p>
    <w:p w14:paraId="5C869CF4" w14:textId="77777777" w:rsidR="00924992" w:rsidRDefault="00924992">
      <w:pPr>
        <w:pStyle w:val="Bodytext20"/>
        <w:numPr>
          <w:ilvl w:val="0"/>
          <w:numId w:val="115"/>
        </w:numPr>
        <w:tabs>
          <w:tab w:val="left" w:pos="428"/>
        </w:tabs>
        <w:ind w:firstLine="180"/>
      </w:pPr>
      <w:bookmarkStart w:id="89" w:name="bookmark1544"/>
      <w:bookmarkEnd w:id="89"/>
      <w:r>
        <w:t>Niños con otros trastornos clínicos como enfermedad de Hodgkin, linfoma, diabetes</w:t>
      </w:r>
    </w:p>
    <w:p w14:paraId="33401309" w14:textId="77777777" w:rsidR="00924992" w:rsidRDefault="00924992">
      <w:pPr>
        <w:pStyle w:val="Bodytext20"/>
        <w:ind w:firstLine="520"/>
      </w:pPr>
      <w:r>
        <w:t>mellitus, insuficiencia renal crónica o malnutrición (véase cuadro 3-70)</w:t>
      </w:r>
    </w:p>
    <w:p w14:paraId="3C27044E" w14:textId="77777777" w:rsidR="00924992" w:rsidRDefault="00924992">
      <w:pPr>
        <w:pStyle w:val="Bodytext20"/>
      </w:pPr>
      <w:r>
        <w:t>Niños con una mayor exposición a enfermedad tuberculosa:</w:t>
      </w:r>
    </w:p>
    <w:p w14:paraId="3FDCFB7A" w14:textId="77777777" w:rsidR="00924992" w:rsidRDefault="00924992">
      <w:pPr>
        <w:pStyle w:val="Bodytext20"/>
        <w:numPr>
          <w:ilvl w:val="0"/>
          <w:numId w:val="115"/>
        </w:numPr>
        <w:tabs>
          <w:tab w:val="left" w:pos="428"/>
        </w:tabs>
        <w:ind w:firstLine="180"/>
        <w:jc w:val="both"/>
      </w:pPr>
      <w:bookmarkStart w:id="90" w:name="bookmark1545"/>
      <w:bookmarkEnd w:id="90"/>
      <w:r>
        <w:t>Niños nacidos (o cuyos padres nacieron) en regiones de elevada prevalencia en el mundo</w:t>
      </w:r>
    </w:p>
    <w:p w14:paraId="1BA85AAE" w14:textId="77777777" w:rsidR="00924992" w:rsidRDefault="00924992">
      <w:pPr>
        <w:pStyle w:val="Bodytext20"/>
        <w:numPr>
          <w:ilvl w:val="0"/>
          <w:numId w:val="115"/>
        </w:numPr>
        <w:tabs>
          <w:tab w:val="left" w:pos="428"/>
        </w:tabs>
        <w:ind w:firstLine="180"/>
        <w:jc w:val="both"/>
      </w:pPr>
      <w:bookmarkStart w:id="91" w:name="bookmark1546"/>
      <w:bookmarkEnd w:id="91"/>
      <w:r>
        <w:t>Niños frecuentemente expuestos a adultos infectados por VIH, sin hogar, consumidores de</w:t>
      </w:r>
    </w:p>
    <w:p w14:paraId="24AB7325" w14:textId="77777777" w:rsidR="00924992" w:rsidRDefault="00924992">
      <w:pPr>
        <w:pStyle w:val="Bodytext20"/>
        <w:ind w:left="520"/>
      </w:pPr>
      <w:r>
        <w:t>drogas ilícitas, residentes en asilos, encarcelados o en diversas instituciones de custodia o trabajadores agrícolas migrantes</w:t>
      </w:r>
    </w:p>
    <w:p w14:paraId="606D132E" w14:textId="77777777" w:rsidR="00924992" w:rsidRDefault="00924992">
      <w:pPr>
        <w:pStyle w:val="Bodytext20"/>
        <w:numPr>
          <w:ilvl w:val="0"/>
          <w:numId w:val="115"/>
        </w:numPr>
        <w:tabs>
          <w:tab w:val="left" w:pos="428"/>
        </w:tabs>
        <w:ind w:firstLine="180"/>
      </w:pPr>
      <w:bookmarkStart w:id="92" w:name="bookmark1547"/>
      <w:bookmarkEnd w:id="92"/>
      <w:r>
        <w:t>Niños que han viajado a regiones de elevada prevalencia en el mundo</w:t>
      </w:r>
    </w:p>
    <w:p w14:paraId="5385A327" w14:textId="77777777" w:rsidR="00924992" w:rsidRDefault="00924992">
      <w:pPr>
        <w:pStyle w:val="Bodytext20"/>
      </w:pPr>
      <w:r>
        <w:rPr>
          <w:b/>
          <w:bCs/>
        </w:rPr>
        <w:t>Induración de 15 mm o mayor</w:t>
      </w:r>
    </w:p>
    <w:p w14:paraId="48D0E808" w14:textId="77777777" w:rsidR="00924992" w:rsidRDefault="00924992">
      <w:pPr>
        <w:pStyle w:val="Bodytext20"/>
        <w:pBdr>
          <w:bottom w:val="single" w:sz="4" w:space="0" w:color="auto"/>
        </w:pBdr>
        <w:rPr>
          <w:sz w:val="19"/>
          <w:szCs w:val="19"/>
        </w:rPr>
      </w:pPr>
      <w:r>
        <w:t xml:space="preserve">Niños de cuatro años o mayores, sin factores de riesgo </w:t>
      </w:r>
      <w:r>
        <w:rPr>
          <w:rStyle w:val="BodyTextChar"/>
        </w:rPr>
        <w:t>terapéuticos o está infectado por una cepa farmacorresistente. Si el frotis de esputo no tiene microorganismos AFB en tres días separados y ha cesado la tos, puede considerarse que la persona tratada no contagia. Rara vez son contagiosos los niños menores de 12 años con tuberculosis pulmonar primaria, porque sus lesiones en pulmones son pequeñas, la tos no es productiva y hay poca o nula expulsión de bacilos.</w:t>
      </w:r>
    </w:p>
    <w:p w14:paraId="11626515" w14:textId="77777777" w:rsidR="00924992" w:rsidRDefault="00924992">
      <w:pPr>
        <w:pStyle w:val="BodyText"/>
        <w:ind w:firstLine="360"/>
      </w:pPr>
      <w:r>
        <w:t xml:space="preserve">El </w:t>
      </w:r>
      <w:r>
        <w:rPr>
          <w:b/>
          <w:bCs/>
        </w:rPr>
        <w:t xml:space="preserve">periodo de incubación </w:t>
      </w:r>
      <w:r>
        <w:t>desde la infección hasta que se vuelve positivo el resultado de TST es de dos a 12 semanas. El peligro de que se desarrolle la enfermedad tuberculosa es máxima a los seis meses después de la infección y sigue el nivel alto durante dos años; sin embargo, pueden transcurrir muchos años entre la infección inicial y la enfermedad.</w:t>
      </w:r>
    </w:p>
    <w:p w14:paraId="06CC98DF" w14:textId="77777777" w:rsidR="00924992" w:rsidRDefault="00924992">
      <w:pPr>
        <w:pStyle w:val="BodyText"/>
        <w:ind w:firstLine="0"/>
      </w:pPr>
      <w:r>
        <w:rPr>
          <w:b/>
          <w:bCs/>
        </w:rPr>
        <w:t>M</w:t>
      </w:r>
      <w:r>
        <w:rPr>
          <w:b/>
          <w:bCs/>
          <w:sz w:val="13"/>
          <w:szCs w:val="13"/>
        </w:rPr>
        <w:t>ÉTODOS DIAGNÓSTICOS</w:t>
      </w:r>
      <w:r>
        <w:rPr>
          <w:b/>
          <w:bCs/>
        </w:rPr>
        <w:t xml:space="preserve">: </w:t>
      </w:r>
      <w:r>
        <w:t xml:space="preserve">El diagnóstico se confirma al aislar </w:t>
      </w:r>
      <w:r>
        <w:rPr>
          <w:rFonts w:ascii="Times New Roman" w:eastAsia="Times New Roman" w:hAnsi="Times New Roman" w:cs="Times New Roman"/>
          <w:i/>
          <w:iCs/>
          <w:sz w:val="16"/>
          <w:szCs w:val="16"/>
        </w:rPr>
        <w:t>M. tuberculosis</w:t>
      </w:r>
      <w:r>
        <w:t xml:space="preserve"> por cultivo, de muestras de material de aspiración gástrica, esputo, líquido de lavado bronquial, líquidos pleural y cefalorraquídeo (LCR), orina, u otros líquidos corporales o una muestra de biopsia. La mejor muestra para diagnosticar tuberculosis pulmonar en cualquier niño de corta edad o adolescente que muestra tos no productiva o no la muestra es el material de aspiración estomacal de los comienzos de la mañana. Las muestras mencionadas deben obtenerse con una sonda nasogástrica al despertar el niño y antes de que camine o reciba alimentos. Hay que enviar al laboratorio muestras de aspiración reunidas en tres días diferentes. Los resultados de los frotis del material de aspiración estomacal (para detectar AFB) por lo común son negativos y a veces surgen resultados positivos falsos causados por la presencia de otras micobacterias. Se harán intentos para demostrar la presencia de AFB en esputo, líquidos corporales, o en ambos, por medio de método de Ziehl-Neelsen o por la tinción con auramina-rodamina y microscopia fluorescente. Los métodos fluorescentes son más sensibles y si se les practica son los preferidos. Puede ser útil el estudio histopatológico en busca de AFB y la demostración de dichos microorganismos en muestras de biopsia, de ganglios linfáticos, pleura, hígado, médula ósea y otros tejidos, pero es imposible diferenciar </w:t>
      </w:r>
      <w:r>
        <w:rPr>
          <w:rFonts w:ascii="Times New Roman" w:eastAsia="Times New Roman" w:hAnsi="Times New Roman" w:cs="Times New Roman"/>
          <w:i/>
          <w:iCs/>
          <w:sz w:val="16"/>
          <w:szCs w:val="16"/>
        </w:rPr>
        <w:t>M. tuberculosis</w:t>
      </w:r>
      <w:r>
        <w:t xml:space="preserve"> de otras micobacterias en muestras teñidas. Sean cuales sean los resultados del frotis en busca de AFB habrá que cultivar cada muestra.</w:t>
      </w:r>
    </w:p>
    <w:p w14:paraId="72114600" w14:textId="77777777" w:rsidR="00924992" w:rsidRDefault="00924992">
      <w:pPr>
        <w:pStyle w:val="BodyText"/>
        <w:spacing w:line="276" w:lineRule="auto"/>
        <w:ind w:firstLine="360"/>
      </w:pPr>
      <w:r>
        <w:rPr>
          <w:rFonts w:ascii="Times New Roman" w:eastAsia="Times New Roman" w:hAnsi="Times New Roman" w:cs="Times New Roman"/>
          <w:i/>
          <w:iCs/>
          <w:sz w:val="16"/>
          <w:szCs w:val="16"/>
        </w:rPr>
        <w:t>M. tuberculosis</w:t>
      </w:r>
      <w:r>
        <w:t xml:space="preserve"> es un germen de proliferación lenta, por lo que su detección en medios sólidos puede requerir el transcurso de 10 semanas; los medios líquidos permiten tal maniobra en término de una a seis semanas. Incluso con técnicas óptimas de cultivo, el aislamiento de las micobacterias es menor de 50% en los niños y 75% en lactantes con tuberculosis pulmonar diagnosticada por otros criterios. La identificación de las especies de las micobacterias aisladas por cultivo puede ser más rápida si se utiliza una sonda de DNA o cromatografía líquida a alta presión.</w:t>
      </w:r>
    </w:p>
    <w:p w14:paraId="1BB76789" w14:textId="77777777" w:rsidR="00924992" w:rsidRDefault="00924992">
      <w:pPr>
        <w:pStyle w:val="BodyText"/>
        <w:ind w:firstLine="360"/>
      </w:pPr>
      <w:r>
        <w:t xml:space="preserve">En Estados Unidos la </w:t>
      </w:r>
      <w:r>
        <w:rPr>
          <w:rFonts w:ascii="Times New Roman" w:eastAsia="Times New Roman" w:hAnsi="Times New Roman" w:cs="Times New Roman"/>
          <w:i/>
          <w:iCs/>
          <w:sz w:val="16"/>
          <w:szCs w:val="16"/>
        </w:rPr>
        <w:t>Food and Drug Administration</w:t>
      </w:r>
      <w:r>
        <w:t xml:space="preserve"> ha aprobado el uso de pruebas de amplificación de ácido nucleico para diagnóstico rápido sólo en muestras de vías respiratorias que tienen micobacterias acidorresistentes en los estudios con tinción. La reacción en cadena de polimerasa muestra sensibilidad similar a la del cultivo de muestras de aspiración estomacal, pero con ellas, así como también con el esputo, LCR y muestras tisulares han ocurrido resultados negativos y positivos falsos.</w:t>
      </w:r>
    </w:p>
    <w:p w14:paraId="660BBE38" w14:textId="77777777" w:rsidR="00924992" w:rsidRDefault="00924992">
      <w:pPr>
        <w:pStyle w:val="BodyText"/>
        <w:ind w:firstLine="360"/>
      </w:pPr>
      <w:r>
        <w:t>La identificación del “caso de origen” refuerza el diagnóstico provisional en el niño y define la posible susceptibilidad del microorganismos que él tiene, a fármacos.</w:t>
      </w:r>
    </w:p>
    <w:p w14:paraId="6B8D672C" w14:textId="77777777" w:rsidR="00924992" w:rsidRDefault="00924992">
      <w:pPr>
        <w:pStyle w:val="BodyText"/>
        <w:ind w:firstLine="360"/>
      </w:pPr>
      <w:r>
        <w:t>Hay que obtener material de cultivo de niños con manifestaciones de enfermedad tuberculosa, en particular cuando: 1) no se cuenta con un germen aislado del caso original; 2) El caso original tiene tuberculosis farmacorresistente; 3) el niño tiene inmunodeficiencia en particular la infección por VIH o 4) el menor tiene enfermedad extrapulmonar.</w:t>
      </w:r>
    </w:p>
    <w:p w14:paraId="2ABBF45A" w14:textId="77777777" w:rsidR="00924992" w:rsidRDefault="00924992">
      <w:pPr>
        <w:pStyle w:val="BodyText"/>
        <w:ind w:firstLine="360"/>
      </w:pPr>
      <w:r>
        <w:rPr>
          <w:rFonts w:ascii="Arial" w:eastAsia="Arial" w:hAnsi="Arial" w:cs="Arial"/>
          <w:b/>
          <w:bCs/>
          <w:i/>
          <w:iCs/>
          <w:sz w:val="15"/>
          <w:szCs w:val="15"/>
        </w:rPr>
        <w:t>Pruebas con tuberculina.</w:t>
      </w:r>
      <w:r>
        <w:t xml:space="preserve"> TST es el único procedimiento práctico para diagnosticar LTBI en personas asintomáticas. La prueba contiene cinco unidades de tuberculina (derivado proteínico purificado) que se aplica con una aguja de calibre 27 y una jeringuilla de 1.0 ml en plano intradérmico en la cara palmar del antebrazo. Es de máxima importancia para la prueba precisa que se produzca una pápula visible. Es mejor no utilizar TST con otras potencias (1 o 250 U de tuberculina). Tampoco es recomendable múltiples punciones porque tales pruebas no tienen la sensibilidad ni la especificidad adecuada.</w:t>
      </w:r>
    </w:p>
    <w:p w14:paraId="0799F3CB" w14:textId="77777777" w:rsidR="00924992" w:rsidRDefault="00924992">
      <w:pPr>
        <w:pStyle w:val="BodyText"/>
        <w:ind w:firstLine="360"/>
      </w:pPr>
      <w:r>
        <w:t xml:space="preserve">En Estados Unidos la </w:t>
      </w:r>
      <w:r>
        <w:rPr>
          <w:rFonts w:ascii="Times New Roman" w:eastAsia="Times New Roman" w:hAnsi="Times New Roman" w:cs="Times New Roman"/>
          <w:i/>
          <w:iCs/>
          <w:sz w:val="16"/>
          <w:szCs w:val="16"/>
        </w:rPr>
        <w:t>American Academy of Pediatrics</w:t>
      </w:r>
      <w:r>
        <w:t xml:space="preserve"> recomienda practicar TST en niños expuestos a un mayor peligro de contagio de LTBI y enfermedad tuberculosa (véase cuadro 3-70). La aplicación sistemática de TST que incluya programas escolares que abarquen poblaciones de poco riesgo, dará como resultado un corto número de resultados positivos o una gran proporción de resultados positivos falsos, de modo que ocasione el empleo ineficaz de los recursos asistenciales. Por medio de cuestionarios sencillos se puede identificar a los niños con factores de riesgo para la aparición de LTBI y en quienes debe hacerse TST. Entre los factores que se han relacionado en forma constante con el mayor peligro de LTBI, según algunos estudios publicados, están contactos recientes con un tuberculoso, antecedente familiar de la enfermedad, reacciones de TST positivas en otros miembros del círculo familiar actualmente, y haber nacido en un país extranjero o haber viajado por largo tiempo a zonas con altos índices de tuberculosis.</w:t>
      </w:r>
    </w:p>
    <w:p w14:paraId="382A7715" w14:textId="77777777" w:rsidR="00924992" w:rsidRDefault="00924992">
      <w:pPr>
        <w:pStyle w:val="BodyText"/>
        <w:ind w:firstLine="360"/>
      </w:pPr>
      <w:r>
        <w:t>Se puede practicar un TST en la misma visita en que se apliquen vacunas, incluidas las de virus vivos. La vacuna antisarampionosa suprime temporalmente la reactividad a la tuberculina, y si conviene la prueba con tuberculina y es imposible realizarla simultáneamente con la vacunación antisarampionosa, habrá que diferir cuatro a seis semanas la prueba mencionada. La aplicación previa de la vacuna del bacilo de Calmette- Guérin (BCG) no es contraindicación para practicar prueba cutánea con tuberculina.</w:t>
      </w:r>
    </w:p>
    <w:p w14:paraId="50272D48" w14:textId="77777777" w:rsidR="00924992" w:rsidRDefault="00924992">
      <w:pPr>
        <w:pStyle w:val="BodyText"/>
        <w:ind w:firstLine="360"/>
      </w:pPr>
      <w:r>
        <w:t>La aplicación de TST y la interpretación de resultados deben quedar en manos de profesionales asistenciales expertos, que tengan preparación en la práctica de métodos adecuados, porque no se tendrán resultados fiables si personas no preparadas se encargan de ambas fases del estudio (como serían miembros de la familia). La fecha recomendada para valorar el resultado de TST (medir el diámetro de la zona indurada con la técnica de “bolígrafo”) es de 48 a 72 h después de la aplicación. Sin embargo, la reacción que surja en el sitio de aplicación después de 72 h debe ser medida y se considerará su resultado. El diámetro de la induración en milímetros se mide en forma transversal al eje longitudinal del antebrazo. Los resultados positivos, como se definen en el cuadro 3-69 pueden persistir varias semanas.</w:t>
      </w:r>
    </w:p>
    <w:p w14:paraId="0A00F608" w14:textId="77777777" w:rsidR="00924992" w:rsidRDefault="00924992">
      <w:pPr>
        <w:pStyle w:val="BodyText"/>
        <w:ind w:firstLine="360"/>
      </w:pPr>
      <w:r>
        <w:t>Un resultado negativo de TST no descarta la presencia de LTBI o enfermedad tuberculosa. En promedio, 10% de los niños inmunocompetentes con enfermedad corroborada por cultivos no mostrarán inicialmente reacción a TST. La reactividad mencionada disminuye con algunos factores del hospedador como corta edad, desnutrición, inmunosupresión, otras infecciones víricas (en particular sarampión, varicela e influenza), y tuberculosis diseminada. Muchos adultos y niños que tienen simultáneamente infección por VIH y M. tuberculosis no reaccionan a TST. No es recomendable hacer cutirreacciones testigo para valorar la anergia cutánea.</w:t>
      </w:r>
    </w:p>
    <w:p w14:paraId="61EB4056" w14:textId="77777777" w:rsidR="00924992" w:rsidRDefault="00924992">
      <w:pPr>
        <w:pStyle w:val="BodyText"/>
        <w:spacing w:line="283" w:lineRule="auto"/>
        <w:ind w:firstLine="360"/>
      </w:pPr>
      <w:r>
        <w:rPr>
          <w:rFonts w:ascii="Arial" w:eastAsia="Arial" w:hAnsi="Arial" w:cs="Arial"/>
          <w:b/>
          <w:bCs/>
          <w:i/>
          <w:iCs/>
          <w:sz w:val="15"/>
          <w:szCs w:val="15"/>
        </w:rPr>
        <w:t>Interpretación de los resultados de TST (cuadro 3-69).</w:t>
      </w:r>
      <w:r>
        <w:t xml:space="preserve"> La clasificación de los resultados de TST se basa en factores epidemiológicos y clínicos. Para considerar que se trata de un resultado positivo, el diámetro de la zona indurada (en milímetros) varía con los riesgos de LTBI del niño y evolución a la enfermedad tuberculosa.</w:t>
      </w:r>
    </w:p>
    <w:p w14:paraId="190FFC42" w14:textId="77777777" w:rsidR="00924992" w:rsidRDefault="00924992">
      <w:pPr>
        <w:pStyle w:val="Heading31"/>
        <w:keepNext/>
        <w:keepLines/>
        <w:pBdr>
          <w:bottom w:val="single" w:sz="4" w:space="0" w:color="auto"/>
        </w:pBdr>
        <w:spacing w:after="400" w:line="221" w:lineRule="auto"/>
        <w:jc w:val="center"/>
      </w:pPr>
      <w:bookmarkStart w:id="93" w:name="bookmark1548"/>
      <w:bookmarkStart w:id="94" w:name="bookmark1549"/>
      <w:bookmarkStart w:id="95" w:name="bookmark1550"/>
      <w:r>
        <w:rPr>
          <w:b w:val="0"/>
          <w:bCs w:val="0"/>
        </w:rPr>
        <w:t xml:space="preserve">Cuadro 3-70. </w:t>
      </w:r>
      <w:r>
        <w:t>Recomendaciones respecto a la prueba cutánea</w:t>
      </w:r>
      <w:r>
        <w:br/>
        <w:t>con tuberculina (TST) en lactantes, niños y adolescentes</w:t>
      </w:r>
      <w:r>
        <w:rPr>
          <w:vertAlign w:val="superscript"/>
        </w:rPr>
        <w:t>1</w:t>
      </w:r>
      <w:bookmarkEnd w:id="93"/>
      <w:bookmarkEnd w:id="94"/>
      <w:bookmarkEnd w:id="95"/>
    </w:p>
    <w:p w14:paraId="154D41BA" w14:textId="77777777" w:rsidR="00924992" w:rsidRDefault="00924992">
      <w:pPr>
        <w:pStyle w:val="Bodytext20"/>
      </w:pPr>
      <w:r>
        <w:t>Niños en quienes está indicada la práctica inmediata de TST:</w:t>
      </w:r>
    </w:p>
    <w:p w14:paraId="4FDF3690" w14:textId="77777777" w:rsidR="00924992" w:rsidRDefault="00924992">
      <w:pPr>
        <w:pStyle w:val="Bodytext20"/>
        <w:numPr>
          <w:ilvl w:val="0"/>
          <w:numId w:val="115"/>
        </w:numPr>
        <w:tabs>
          <w:tab w:val="left" w:pos="398"/>
        </w:tabs>
        <w:ind w:firstLine="180"/>
      </w:pPr>
      <w:bookmarkStart w:id="96" w:name="bookmark1551"/>
      <w:bookmarkEnd w:id="96"/>
      <w:r>
        <w:t>Contactos de personas con tuberculosis contagiosa confirmada o sospechada (investigación</w:t>
      </w:r>
    </w:p>
    <w:p w14:paraId="413D22C8" w14:textId="77777777" w:rsidR="00924992" w:rsidRDefault="00924992">
      <w:pPr>
        <w:pStyle w:val="Bodytext20"/>
        <w:ind w:firstLine="520"/>
      </w:pPr>
      <w:r>
        <w:t>de contactos)</w:t>
      </w:r>
    </w:p>
    <w:p w14:paraId="616C1EC8" w14:textId="77777777" w:rsidR="00924992" w:rsidRDefault="00924992">
      <w:pPr>
        <w:pStyle w:val="Bodytext20"/>
        <w:numPr>
          <w:ilvl w:val="0"/>
          <w:numId w:val="115"/>
        </w:numPr>
        <w:tabs>
          <w:tab w:val="left" w:pos="398"/>
        </w:tabs>
        <w:ind w:firstLine="180"/>
      </w:pPr>
      <w:bookmarkStart w:id="97" w:name="bookmark1552"/>
      <w:bookmarkEnd w:id="97"/>
      <w:r>
        <w:t>Niños con signos radiográficos o clínicos que sugieren enfermedad tuberculosa</w:t>
      </w:r>
    </w:p>
    <w:p w14:paraId="0BE5CD7B" w14:textId="77777777" w:rsidR="00924992" w:rsidRDefault="00924992">
      <w:pPr>
        <w:pStyle w:val="Bodytext20"/>
        <w:numPr>
          <w:ilvl w:val="0"/>
          <w:numId w:val="115"/>
        </w:numPr>
        <w:tabs>
          <w:tab w:val="left" w:pos="398"/>
        </w:tabs>
        <w:ind w:firstLine="180"/>
      </w:pPr>
      <w:bookmarkStart w:id="98" w:name="bookmark1553"/>
      <w:bookmarkEnd w:id="98"/>
      <w:r>
        <w:t>Niños migrantes que provienen de países endémicos (Asia, Oriente Cercano, África o</w:t>
      </w:r>
    </w:p>
    <w:p w14:paraId="0A088D9A" w14:textId="77777777" w:rsidR="00924992" w:rsidRDefault="00924992">
      <w:pPr>
        <w:pStyle w:val="Bodytext20"/>
        <w:ind w:firstLine="520"/>
      </w:pPr>
      <w:r>
        <w:t>América Latina)</w:t>
      </w:r>
    </w:p>
    <w:p w14:paraId="052CFCFA" w14:textId="77777777" w:rsidR="00924992" w:rsidRDefault="00924992">
      <w:pPr>
        <w:pStyle w:val="Bodytext20"/>
        <w:numPr>
          <w:ilvl w:val="0"/>
          <w:numId w:val="115"/>
        </w:numPr>
        <w:tabs>
          <w:tab w:val="left" w:pos="398"/>
        </w:tabs>
        <w:ind w:firstLine="180"/>
      </w:pPr>
      <w:bookmarkStart w:id="99" w:name="bookmark1554"/>
      <w:bookmarkEnd w:id="99"/>
      <w:r>
        <w:t>Niños con antecedente de haber viajado a países endémicos, haber tenido contacto notable</w:t>
      </w:r>
    </w:p>
    <w:p w14:paraId="29F1C6DB" w14:textId="77777777" w:rsidR="00924992" w:rsidRDefault="00924992">
      <w:pPr>
        <w:pStyle w:val="Bodytext20"/>
        <w:ind w:firstLine="520"/>
      </w:pPr>
      <w:r>
        <w:t>con personas nativas de tales países, o ambos factores</w:t>
      </w:r>
    </w:p>
    <w:p w14:paraId="3B6696B3" w14:textId="77777777" w:rsidR="00924992" w:rsidRDefault="00924992">
      <w:pPr>
        <w:pStyle w:val="Bodytext20"/>
      </w:pPr>
      <w:r>
        <w:t>Niños en quienes se debe practicar cada año TST</w:t>
      </w:r>
      <w:r>
        <w:rPr>
          <w:vertAlign w:val="superscript"/>
        </w:rPr>
        <w:footnoteReference w:id="17"/>
      </w:r>
      <w:r>
        <w:rPr>
          <w:vertAlign w:val="superscript"/>
        </w:rPr>
        <w:t xml:space="preserve"> </w:t>
      </w:r>
      <w:r>
        <w:rPr>
          <w:vertAlign w:val="superscript"/>
        </w:rPr>
        <w:footnoteReference w:id="18"/>
      </w:r>
      <w:r>
        <w:rPr>
          <w:vertAlign w:val="superscript"/>
        </w:rPr>
        <w:t xml:space="preserve"> </w:t>
      </w:r>
      <w:r>
        <w:rPr>
          <w:vertAlign w:val="superscript"/>
        </w:rPr>
        <w:footnoteReference w:id="19"/>
      </w:r>
      <w:r>
        <w:t>:</w:t>
      </w:r>
    </w:p>
    <w:p w14:paraId="69B03461" w14:textId="77777777" w:rsidR="00924992" w:rsidRDefault="00924992">
      <w:pPr>
        <w:pStyle w:val="Bodytext20"/>
        <w:numPr>
          <w:ilvl w:val="0"/>
          <w:numId w:val="115"/>
        </w:numPr>
        <w:tabs>
          <w:tab w:val="left" w:pos="398"/>
        </w:tabs>
        <w:ind w:firstLine="180"/>
      </w:pPr>
      <w:bookmarkStart w:id="100" w:name="bookmark1555"/>
      <w:bookmarkEnd w:id="100"/>
      <w:r>
        <w:t>Niños infectados de VIH</w:t>
      </w:r>
    </w:p>
    <w:p w14:paraId="27D667E6" w14:textId="77777777" w:rsidR="00924992" w:rsidRDefault="00924992">
      <w:pPr>
        <w:pStyle w:val="Bodytext20"/>
        <w:numPr>
          <w:ilvl w:val="0"/>
          <w:numId w:val="115"/>
        </w:numPr>
        <w:tabs>
          <w:tab w:val="left" w:pos="398"/>
        </w:tabs>
        <w:ind w:firstLine="180"/>
      </w:pPr>
      <w:bookmarkStart w:id="101" w:name="bookmark1556"/>
      <w:bookmarkEnd w:id="101"/>
      <w:r>
        <w:t>Adolescentes en cárceles</w:t>
      </w:r>
    </w:p>
    <w:p w14:paraId="675CA34A" w14:textId="77777777" w:rsidR="00924992" w:rsidRDefault="00924992">
      <w:pPr>
        <w:pStyle w:val="Bodytext20"/>
      </w:pPr>
      <w:r>
        <w:t>Algunos expertos recomiendan la repetición de la prueba cada dos a tres años</w:t>
      </w:r>
      <w:r>
        <w:rPr>
          <w:vertAlign w:val="superscript"/>
        </w:rPr>
        <w:t>2</w:t>
      </w:r>
      <w:r>
        <w:t xml:space="preserve"> en:</w:t>
      </w:r>
    </w:p>
    <w:p w14:paraId="67F14BAF" w14:textId="77777777" w:rsidR="00924992" w:rsidRDefault="00924992">
      <w:pPr>
        <w:pStyle w:val="Bodytext20"/>
        <w:numPr>
          <w:ilvl w:val="0"/>
          <w:numId w:val="115"/>
        </w:numPr>
        <w:tabs>
          <w:tab w:val="left" w:pos="398"/>
        </w:tabs>
        <w:ind w:firstLine="180"/>
      </w:pPr>
      <w:bookmarkStart w:id="102" w:name="bookmark1557"/>
      <w:bookmarkEnd w:id="102"/>
      <w:r>
        <w:t>Niños con exposición constante a las personas siguientes: sujetos infectados por VIH,</w:t>
      </w:r>
    </w:p>
    <w:p w14:paraId="2EF177CE" w14:textId="77777777" w:rsidR="00924992" w:rsidRDefault="00924992">
      <w:pPr>
        <w:pStyle w:val="Bodytext20"/>
        <w:ind w:left="520"/>
      </w:pPr>
      <w:r>
        <w:t>individuos sin hogar, residentes de asilos, adolescentes o adultos en instituciones de atención a largo plazo, consumidores de drogas ilícitas, adolescentes o adultos encarcelados o trabajadores agrícolas migrantes; se incluyen niños adoptados con exposición a adultos que pertenecen a los grupos de alto riesgo antes señalados</w:t>
      </w:r>
    </w:p>
    <w:p w14:paraId="008DDDA6" w14:textId="77777777" w:rsidR="00924992" w:rsidRDefault="00924992">
      <w:pPr>
        <w:pStyle w:val="Bodytext20"/>
        <w:ind w:left="180" w:hanging="180"/>
      </w:pPr>
      <w:r>
        <w:t>Algunos expertos recomiendan analizar la posibilidad de realizar TST entre los cuatro y los seis años, y los 11 a 16 años de vida:</w:t>
      </w:r>
    </w:p>
    <w:p w14:paraId="5D7CEB8A" w14:textId="77777777" w:rsidR="00924992" w:rsidRDefault="00924992">
      <w:pPr>
        <w:pStyle w:val="Bodytext20"/>
        <w:numPr>
          <w:ilvl w:val="0"/>
          <w:numId w:val="115"/>
        </w:numPr>
        <w:tabs>
          <w:tab w:val="left" w:pos="398"/>
        </w:tabs>
        <w:ind w:firstLine="180"/>
      </w:pPr>
      <w:bookmarkStart w:id="103" w:name="bookmark1558"/>
      <w:bookmarkEnd w:id="103"/>
      <w:r>
        <w:t>Situaciones como las siguientes deben ser indicación para repetir TST: niños cuyos padres</w:t>
      </w:r>
    </w:p>
    <w:p w14:paraId="1C64FCDB" w14:textId="77777777" w:rsidR="00924992" w:rsidRDefault="00924992">
      <w:pPr>
        <w:pStyle w:val="Bodytext20"/>
        <w:ind w:left="520"/>
      </w:pPr>
      <w:r>
        <w:t>provinieron en migración (con estado de TST desconocido) de regiones del mundo con elevada prevalencia de tuberculosis; posible exposición ininterrumpida por los viajes a áreas endémicas, contacto en el círculo familiar con personas provenientes de áreas endémicas (con estado TST desconocido) o coexistencia de ambos factores</w:t>
      </w:r>
    </w:p>
    <w:p w14:paraId="694515D4" w14:textId="77777777" w:rsidR="00924992" w:rsidRDefault="00924992">
      <w:pPr>
        <w:pStyle w:val="Bodytext20"/>
        <w:pBdr>
          <w:bottom w:val="single" w:sz="4" w:space="0" w:color="auto"/>
        </w:pBdr>
        <w:spacing w:after="200"/>
      </w:pPr>
      <w:r>
        <w:rPr>
          <w:i/>
          <w:iCs/>
        </w:rPr>
        <w:t>Niños en mayor peligro de evolucionar de la infección hasta mostrar la enfermedad:</w:t>
      </w:r>
      <w:r>
        <w:t xml:space="preserve"> Merecen consideración especial los niños con otros trastornos clínicos como diabetes mellitus, insuficiencia renal crónica, malnutrición e inmunodeficiencias congénitas o adquiridas. Sin exposición reciente tales personas no corren mayor peligro de contagio de infección tuberculosa. En teoría, las deficiencias inmunitarias primarias vinculadas con tales trastornos agravarían la posibilidad de evolución hasta llegar a la enfermedad grave. En todos estos pacientes hay que incluir los datos de la anamnesis inicial de la posible exposición a la tuberculosis. Si los datos de anamnesis o los factores epidemiológicos locales sugieren la posibilidad de exposición, habrá que pensar en la práctica inmediata y periódica de TST. </w:t>
      </w:r>
      <w:r>
        <w:rPr>
          <w:b/>
          <w:bCs/>
        </w:rPr>
        <w:t>Hay que practicar TST inicial antes de emprender la administración de inmunosupresores, incluida la corticoterapia duradera, en todo niño con un problema primario que obliga a la administración de dichos fármacos.</w:t>
      </w:r>
    </w:p>
    <w:p w14:paraId="1A634FAB" w14:textId="77777777" w:rsidR="00924992" w:rsidRDefault="00924992">
      <w:pPr>
        <w:pStyle w:val="BodyText"/>
        <w:spacing w:line="276" w:lineRule="auto"/>
        <w:ind w:firstLine="360"/>
      </w:pPr>
      <w:r>
        <w:rPr>
          <w:rFonts w:ascii="Arial" w:eastAsia="Arial" w:hAnsi="Arial" w:cs="Arial"/>
          <w:b/>
          <w:bCs/>
          <w:i/>
          <w:iCs/>
          <w:sz w:val="15"/>
          <w:szCs w:val="15"/>
        </w:rPr>
        <w:t xml:space="preserve">Interpretación de los resultados de TST en personas que han recibido vacuna BCG. </w:t>
      </w:r>
      <w:r>
        <w:t>En términos generales, la interpretación de los resultados de TST en personas que han recibido BCG es igual a la que se hace en sujetos que no han recibido tal vacuna. Después de la vacunación con BCG, es difícil diferenciar entre un resultado positivo de TST causado por infección por M. tuberculosis y el causado por BCG. En algunos pacientes no surge la reactividad de TST después de la aplicación de vacuna BCG. El tamaño o magnitud de la reacción en TST (es decir, induración) atribuible a la vacunación con BCG depende de muchos factores, como edad del niño al recibir la vacuna BCG; calidad y cepa de la vacuna BCG usada; número de dosis de BCG recibidas; estado nutricional e inmunológico de quien recibe la vacuna y la frecuencia de aplicación de prueba cutánea con tuberculina.</w:t>
      </w:r>
    </w:p>
    <w:p w14:paraId="6EF40AF1" w14:textId="77777777" w:rsidR="00924992" w:rsidRDefault="00924992">
      <w:pPr>
        <w:pStyle w:val="BodyText"/>
        <w:ind w:firstLine="360"/>
      </w:pPr>
      <w:r>
        <w:t xml:space="preserve">Hay que sospechar insistentemente la presencia de enfermedad causada por </w:t>
      </w:r>
      <w:r>
        <w:rPr>
          <w:rFonts w:ascii="Times New Roman" w:eastAsia="Times New Roman" w:hAnsi="Times New Roman" w:cs="Times New Roman"/>
          <w:i/>
          <w:iCs/>
          <w:sz w:val="16"/>
          <w:szCs w:val="16"/>
        </w:rPr>
        <w:t>M. tuberculosis</w:t>
      </w:r>
      <w:r>
        <w:t xml:space="preserve"> en toda persona sintomática con resultados positivos en TST, sea cual sea el antecedente de vacunación con BCG. Al valorar a un niño asintomático con un resultado positivo de TST, pero que posiblemente recibió vacuna BCG, habrá que verificar que se aplicó tal preparado, por medio de la documentación escrita o la identificación de la vacunación típica con BCG. A pesar de que un resultado positivo de TST nunca podrá atribuirse a la vacuna BCG, algunos factores como el haber recibido en forma corroborada múltiples vacunaciones con BCG (tal como lo atestiguan múltiples cicatrices de BCG) disminuyen la posibilidad de que el resultado positivo de TST sea atribuible a LTBI. Entre las pruebas que incrementan la probabilidad de que un resultado positivo de TST se atribuya a LTBI está en el contacto sabido con una persona con tuberculosis contagiosa; el antecedente familiar de la enfermedad; provenir como migrante de un país con una incidencia alta de tuberculosis; un largo intervalo (mayor de cinco años) desde la última vacunación con BCG y una reacción TST de 15 mm o más.</w:t>
      </w:r>
    </w:p>
    <w:p w14:paraId="2354A5C1" w14:textId="77777777" w:rsidR="00924992" w:rsidRDefault="00924992">
      <w:pPr>
        <w:pStyle w:val="BodyText"/>
        <w:ind w:firstLine="360"/>
      </w:pPr>
      <w:r>
        <w:t xml:space="preserve">Es recomendable la valoración radiográfica inmediata de todos los niños con una reacción positiva en TST, sea cual sea el estado vacunal con BCG. Los signos en las radiografías de tórax como granuloma, calcificación o adenopatía pueden ser causados por </w:t>
      </w:r>
      <w:r>
        <w:rPr>
          <w:rFonts w:ascii="Times New Roman" w:eastAsia="Times New Roman" w:hAnsi="Times New Roman" w:cs="Times New Roman"/>
          <w:i/>
          <w:iCs/>
          <w:sz w:val="16"/>
          <w:szCs w:val="16"/>
        </w:rPr>
        <w:t>M. tuberculosis</w:t>
      </w:r>
      <w:r>
        <w:rPr>
          <w:i/>
          <w:iCs/>
        </w:rPr>
        <w:t>,</w:t>
      </w:r>
      <w:r>
        <w:t xml:space="preserve"> pero no por la vacunación con BCG. En casi todas las situaciones, un niño vacunado con BCG y asintomático, pero con un resultado positivo en TST, mostrará signos normales en las radiografías de tórax. En los niños en cuestión habrá que suponer que hay LTBI y emprender el tratamiento antifímico para evitar que el cuadro evolucione y llegue a la enfermedad por </w:t>
      </w:r>
      <w:r>
        <w:rPr>
          <w:rFonts w:ascii="Times New Roman" w:eastAsia="Times New Roman" w:hAnsi="Times New Roman" w:cs="Times New Roman"/>
          <w:i/>
          <w:iCs/>
          <w:sz w:val="16"/>
          <w:szCs w:val="16"/>
        </w:rPr>
        <w:t>M. tuberculosis</w:t>
      </w:r>
      <w:r>
        <w:t>. En algunos niños, como los que han recibido en fecha reciente BCG, en menores con múltiples vacunaciones corroboradas con BCG o menores que provienen como migrantes de un país con una baja prevalencia de la enfermedad, quizá no esté indicado el tratamiento. En los casos comentados la vigilancia debe incluir enseñanza del paciente y conocimiento inmediato de los signos y síntomas de la enfermedad tuberculosa.</w:t>
      </w:r>
    </w:p>
    <w:p w14:paraId="0167ADAA" w14:textId="77777777" w:rsidR="00924992" w:rsidRDefault="00924992">
      <w:pPr>
        <w:pStyle w:val="BodyText"/>
        <w:ind w:firstLine="360"/>
      </w:pPr>
      <w:r>
        <w:rPr>
          <w:rFonts w:ascii="Arial" w:eastAsia="Arial" w:hAnsi="Arial" w:cs="Arial"/>
          <w:b/>
          <w:bCs/>
          <w:i/>
          <w:iCs/>
          <w:sz w:val="15"/>
          <w:szCs w:val="15"/>
        </w:rPr>
        <w:t>Recomendaciones para utilizar TST.</w:t>
      </w:r>
      <w:r>
        <w:t xml:space="preserve"> Las estrategias más fiables para evitar LTBI y enfermedad tuberculosa en niños se basan en investigaciones intensivas y contacto con expedientes y no por la detección no selectiva de grandes poblaciones por medio de TST. En el cuadro 3-70 se señalan recomendaciones específicas para practicar TST. Todos los niños necesitan en forma sistemática valoraciones asistenciales que incluyan una evaluación del peligro que tienen de exposición a la tuberculosis. Hay que pensar en la práctica de TST sólo en los niños que al parecer están expuestos a un mayor peligro de contacto con personas con tuberculosis contagiosa o niños con enfermedad tuberculosa sospechada. Está indicada la investigación del círculo familiar siempre que los resultados de una prueba TST de un miembro de dicho círculo se transforme de negativo en positivo (que indique infección reciente). En muchos sitios el departamento de salud no tiene recursos suficientes para realizar dicha investigación, en caso de no haber enfermedad tuberculosa sospechada.</w:t>
      </w:r>
    </w:p>
    <w:p w14:paraId="017E105A" w14:textId="77777777" w:rsidR="00924992" w:rsidRDefault="00924992">
      <w:pPr>
        <w:pStyle w:val="BodyText"/>
        <w:spacing w:line="288" w:lineRule="auto"/>
        <w:ind w:firstLine="360"/>
      </w:pPr>
      <w:r>
        <w:rPr>
          <w:rFonts w:ascii="Arial" w:eastAsia="Arial" w:hAnsi="Arial" w:cs="Arial"/>
          <w:b/>
          <w:bCs/>
          <w:i/>
          <w:iCs/>
          <w:sz w:val="15"/>
          <w:szCs w:val="15"/>
        </w:rPr>
        <w:t>Estudios para detectar VIH.</w:t>
      </w:r>
      <w:r>
        <w:t xml:space="preserve"> Las personas con enfermedad tuberculosa deben ser sometidas a pruebas para detectar infección por VIH, porque el peligro de enfermedad tuberculosa aumenta en personas infectadas por dicho virus.</w:t>
      </w:r>
    </w:p>
    <w:p w14:paraId="5C460C02" w14:textId="77777777" w:rsidR="00924992" w:rsidRDefault="00924992">
      <w:pPr>
        <w:pStyle w:val="Other0"/>
        <w:spacing w:line="257" w:lineRule="auto"/>
        <w:ind w:firstLine="0"/>
      </w:pPr>
      <w:r>
        <w:rPr>
          <w:b/>
          <w:bCs/>
          <w:smallCaps/>
          <w:sz w:val="20"/>
          <w:szCs w:val="20"/>
        </w:rPr>
        <w:t>T</w:t>
      </w:r>
      <w:r>
        <w:rPr>
          <w:b/>
          <w:bCs/>
          <w:smallCaps/>
          <w:sz w:val="16"/>
          <w:szCs w:val="16"/>
        </w:rPr>
        <w:t xml:space="preserve">ratamiento </w:t>
      </w:r>
      <w:r>
        <w:rPr>
          <w:b/>
          <w:bCs/>
          <w:smallCaps/>
          <w:sz w:val="20"/>
          <w:szCs w:val="20"/>
        </w:rPr>
        <w:t>(</w:t>
      </w:r>
      <w:r>
        <w:rPr>
          <w:b/>
          <w:bCs/>
          <w:smallCaps/>
          <w:sz w:val="16"/>
          <w:szCs w:val="16"/>
        </w:rPr>
        <w:t>véase cuadro</w:t>
      </w:r>
      <w:r>
        <w:rPr>
          <w:b/>
          <w:bCs/>
        </w:rPr>
        <w:t xml:space="preserve"> 3-71)</w:t>
      </w:r>
    </w:p>
    <w:p w14:paraId="0647A0BA" w14:textId="77777777" w:rsidR="00924992" w:rsidRDefault="00924992">
      <w:pPr>
        <w:pStyle w:val="BodyText"/>
        <w:spacing w:line="276" w:lineRule="auto"/>
        <w:ind w:firstLine="0"/>
      </w:pPr>
      <w:r>
        <w:rPr>
          <w:rFonts w:ascii="Arial" w:eastAsia="Arial" w:hAnsi="Arial" w:cs="Arial"/>
          <w:b/>
          <w:bCs/>
          <w:i/>
          <w:iCs/>
          <w:sz w:val="15"/>
          <w:szCs w:val="15"/>
        </w:rPr>
        <w:t>Fármacos específicos.</w:t>
      </w:r>
      <w:r>
        <w:t xml:space="preserve"> Los fármacos antituberculosos (antifímicos) destruyen </w:t>
      </w:r>
      <w:r>
        <w:rPr>
          <w:rFonts w:ascii="Times New Roman" w:eastAsia="Times New Roman" w:hAnsi="Times New Roman" w:cs="Times New Roman"/>
          <w:i/>
          <w:iCs/>
          <w:sz w:val="16"/>
          <w:szCs w:val="16"/>
        </w:rPr>
        <w:t>M. tuberculosis</w:t>
      </w:r>
      <w:r>
        <w:t xml:space="preserve"> o inhiben su multiplicación y así frenan la evolución de la tuberculosis y evitan muchas de las complicaciones de la enfermedad primaria temprana. La quimioterapia no logra la desaparición rápida de las lesiones caseosas o granulomatosas existentes (como sería linfadenitis mediastínica con intromisión endobronquial). Las recomendaciones posológicas y las reacciones adversas más señaladas de los principales antifímicos se resumen en los cuadros 3-72 y 3-73. En el caso del tratamiento de la enfermedad tuberculosa habrá que utilizar los fármacos mencionados siempre en combinación, para impedir la aparición de cepas farmacorresistentes.</w:t>
      </w:r>
    </w:p>
    <w:p w14:paraId="04EDAB55" w14:textId="77777777" w:rsidR="00924992" w:rsidRDefault="00924992">
      <w:pPr>
        <w:pStyle w:val="BodyText"/>
        <w:ind w:firstLine="360"/>
      </w:pPr>
      <w:r>
        <w:t xml:space="preserve">La </w:t>
      </w:r>
      <w:r>
        <w:rPr>
          <w:b/>
          <w:bCs/>
        </w:rPr>
        <w:t xml:space="preserve">isoniazida </w:t>
      </w:r>
      <w:r>
        <w:t>es bactericida, se absorbe rápidamente, es tolerada en forma satisfactoria y penetra en los líquidos corporales, incluido el líquido cefalorraquídeo (LCR). El fármaco es metabolizado en el hígado y excretado más bien por los riñones. Los efectos hepatotóxicos son raros en niños pero pueden ser letales. En niños y adolescentes que reciben las dosis recomendadas, son raras la neuritis periférica o las convulsiones causadas por inhibición del metabolismo de piridoxina, y en casi todos los casos no se necesita suplementar con dicho complemento la alimentación. Se recomienda usar piridoxina en niños y adolescentes con dietas que muestran deficiencias proteínicas y lácteas (carne y leche); en niños con deficiencias nutricionales, que incluyen todos los sintomáticos y afectados por VIH, y en adolescentes y mujeres embarazadas. En el caso de lactantes y niños de corta edad se pulverizan las tabletas de isoniazida.</w:t>
      </w:r>
    </w:p>
    <w:p w14:paraId="2CD2925A" w14:textId="77777777" w:rsidR="00924992" w:rsidRDefault="00924992">
      <w:pPr>
        <w:pStyle w:val="BodyText"/>
        <w:ind w:firstLine="360"/>
      </w:pPr>
      <w:r>
        <w:t xml:space="preserve">La </w:t>
      </w:r>
      <w:r>
        <w:rPr>
          <w:b/>
          <w:bCs/>
        </w:rPr>
        <w:t xml:space="preserve">rifampicina </w:t>
      </w:r>
      <w:r>
        <w:t xml:space="preserve">es un agente bactericida que se absorbe en forma rápida y penetra en líquidos corporales, incluido LCR. El fármaco es metabolizado en el hígado y altera la farmacocinética y las concentraciones séricas de otros muchos medicamentos. Rara vez surgen efectos hepatotóxicos. La rifampicina se excreta por la bilis y la orina y puede originar que la orina, el sudor y las lágrimas sean de color naranja y surjan manchas en los lentes de contacto blandos. Otro problema con dicho antibiótico es que anula la eficacia de los anticonceptivos orales, de tal forma que cuando se administra rifampicina a mujeres sexualmente activas, habrá que recurrir a otros métodos anticonceptivos. En el caso de lactantes y niños de corta edad se puede hacer una suspensión del contenido de la cápsula en jarabe con sabor de cereza o rociar en puré de manzana. En Estados Unidos pocas veces hay cepas de </w:t>
      </w:r>
      <w:r>
        <w:rPr>
          <w:rFonts w:ascii="Times New Roman" w:eastAsia="Times New Roman" w:hAnsi="Times New Roman" w:cs="Times New Roman"/>
          <w:i/>
          <w:iCs/>
          <w:sz w:val="16"/>
          <w:szCs w:val="16"/>
        </w:rPr>
        <w:t xml:space="preserve">Mycobacterium tuberculosis </w:t>
      </w:r>
      <w:r>
        <w:t>resistente a rifampicina. En ese país, la FDA no ha aprobado otras rifamicinas (rifabutina y rifapentina) utilizadas en adultos, para usar en niños.</w:t>
      </w:r>
    </w:p>
    <w:p w14:paraId="2545628F" w14:textId="77777777" w:rsidR="00924992" w:rsidRDefault="00924992">
      <w:pPr>
        <w:pStyle w:val="BodyText"/>
        <w:ind w:firstLine="360"/>
        <w:sectPr w:rsidR="00924992" w:rsidSect="00924992">
          <w:headerReference w:type="even" r:id="rId112"/>
          <w:headerReference w:type="default" r:id="rId113"/>
          <w:footerReference w:type="even" r:id="rId114"/>
          <w:footerReference w:type="default" r:id="rId115"/>
          <w:type w:val="continuous"/>
          <w:pgSz w:w="8501" w:h="13022"/>
          <w:pgMar w:top="898" w:right="780" w:bottom="509" w:left="828" w:header="0" w:footer="3" w:gutter="0"/>
          <w:cols w:space="720"/>
          <w:noEndnote/>
          <w:docGrid w:linePitch="360"/>
          <w15:footnoteColumns w:val="1"/>
        </w:sectPr>
      </w:pPr>
      <w:r>
        <w:t xml:space="preserve">La </w:t>
      </w:r>
      <w:r>
        <w:rPr>
          <w:b/>
          <w:bCs/>
        </w:rPr>
        <w:t xml:space="preserve">pirazinamida </w:t>
      </w:r>
      <w:r>
        <w:t>alcanza concentraciones terapéuticas en LCR, es detectable en macrófagos, se administra por vía oral y es metabolizada por el hígado. La combinación de pirazinamida con isoniazida y rifampicina permite que se sigan regímenes semestrales. En dosis de 30 mg/kg al día o menos, la pirazinamida rara vez muestra efectos hepatotóxicos y es tolerada de manera satisfactoria por los niños. Algunos adolescentes y muchos adultos terminan por mostrar artralgias por la inhibición de la</w:t>
      </w:r>
    </w:p>
    <w:p w14:paraId="71E2D5F2" w14:textId="77777777" w:rsidR="00924992" w:rsidRDefault="00924992">
      <w:pPr>
        <w:pStyle w:val="Heading31"/>
        <w:keepNext/>
        <w:keepLines/>
        <w:framePr w:w="10157" w:h="557" w:wrap="none" w:hAnchor="page" w:x="1273" w:y="1"/>
        <w:spacing w:line="216" w:lineRule="auto"/>
        <w:jc w:val="center"/>
      </w:pPr>
      <w:bookmarkStart w:id="104" w:name="bookmark1559"/>
      <w:bookmarkStart w:id="105" w:name="bookmark1560"/>
      <w:bookmarkStart w:id="106" w:name="bookmark1561"/>
      <w:r>
        <w:rPr>
          <w:b w:val="0"/>
          <w:bCs w:val="0"/>
        </w:rPr>
        <w:t xml:space="preserve">Cuadro 3-71. </w:t>
      </w:r>
      <w:r>
        <w:t>Regímenes terapéuticos recomendados en casos de tuberculosis farmacosusceptible en lactantes,</w:t>
      </w:r>
      <w:r>
        <w:br/>
        <w:t>niños y adolescentes</w:t>
      </w:r>
      <w:bookmarkEnd w:id="104"/>
      <w:bookmarkEnd w:id="105"/>
      <w:bookmarkEnd w:id="106"/>
    </w:p>
    <w:p w14:paraId="2636A87D" w14:textId="77777777" w:rsidR="00924992" w:rsidRDefault="00924992">
      <w:pPr>
        <w:pStyle w:val="Heading41"/>
        <w:keepNext/>
        <w:keepLines/>
        <w:framePr w:w="8986" w:h="298" w:wrap="none" w:hAnchor="page" w:x="673" w:y="577"/>
        <w:pBdr>
          <w:top w:val="single" w:sz="0" w:space="0" w:color="231F20"/>
          <w:left w:val="single" w:sz="0" w:space="0" w:color="231F20"/>
          <w:bottom w:val="single" w:sz="0" w:space="0" w:color="231F20"/>
          <w:right w:val="single" w:sz="0" w:space="0" w:color="231F20"/>
        </w:pBdr>
        <w:shd w:val="clear" w:color="auto" w:fill="231F20"/>
        <w:tabs>
          <w:tab w:val="left" w:pos="7906"/>
        </w:tabs>
      </w:pPr>
      <w:bookmarkStart w:id="107" w:name="bookmark1562"/>
      <w:bookmarkStart w:id="108" w:name="bookmark1563"/>
      <w:bookmarkStart w:id="109" w:name="bookmark1564"/>
      <w:r>
        <w:rPr>
          <w:color w:val="FFFFFF"/>
        </w:rPr>
        <w:t>Infección o categoría de la enfermedad Régimen</w:t>
      </w:r>
      <w:r>
        <w:rPr>
          <w:color w:val="FFFFFF"/>
        </w:rPr>
        <w:tab/>
        <w:t>Comentarios</w:t>
      </w:r>
      <w:bookmarkEnd w:id="107"/>
      <w:bookmarkEnd w:id="108"/>
      <w:bookmarkEnd w:id="109"/>
    </w:p>
    <w:p w14:paraId="19EA9BC1" w14:textId="77777777" w:rsidR="00924992" w:rsidRDefault="00924992">
      <w:pPr>
        <w:pStyle w:val="Bodytext20"/>
        <w:framePr w:w="3360" w:h="1829" w:wrap="none" w:hAnchor="page" w:x="678" w:y="932"/>
        <w:spacing w:line="240" w:lineRule="auto"/>
      </w:pPr>
      <w:r>
        <w:rPr>
          <w:b/>
          <w:bCs/>
        </w:rPr>
        <w:t>Infección tuberculosa latente</w:t>
      </w:r>
    </w:p>
    <w:p w14:paraId="5865F482" w14:textId="77777777" w:rsidR="00924992" w:rsidRDefault="00924992">
      <w:pPr>
        <w:pStyle w:val="Bodytext20"/>
        <w:framePr w:w="3360" w:h="1829" w:wrap="none" w:hAnchor="page" w:x="678" w:y="932"/>
        <w:spacing w:line="240" w:lineRule="auto"/>
      </w:pPr>
      <w:r>
        <w:t>(resultado positivo de TST, sin enfermedad)</w:t>
      </w:r>
    </w:p>
    <w:p w14:paraId="5A61FE4F" w14:textId="77777777" w:rsidR="00924992" w:rsidRDefault="00924992">
      <w:pPr>
        <w:pStyle w:val="Bodytext20"/>
        <w:framePr w:w="3360" w:h="1829" w:wrap="none" w:hAnchor="page" w:x="678" w:y="932"/>
        <w:numPr>
          <w:ilvl w:val="0"/>
          <w:numId w:val="116"/>
        </w:numPr>
        <w:tabs>
          <w:tab w:val="left" w:pos="120"/>
        </w:tabs>
        <w:spacing w:after="400" w:line="240" w:lineRule="auto"/>
      </w:pPr>
      <w:bookmarkStart w:id="110" w:name="bookmark1565"/>
      <w:bookmarkEnd w:id="110"/>
      <w:r>
        <w:t>Cuadro susceptible a la isoniazida</w:t>
      </w:r>
    </w:p>
    <w:p w14:paraId="7C6609CB" w14:textId="77777777" w:rsidR="00924992" w:rsidRDefault="00924992">
      <w:pPr>
        <w:pStyle w:val="Bodytext20"/>
        <w:framePr w:w="3360" w:h="1829" w:wrap="none" w:hAnchor="page" w:x="678" w:y="932"/>
        <w:numPr>
          <w:ilvl w:val="0"/>
          <w:numId w:val="116"/>
        </w:numPr>
        <w:tabs>
          <w:tab w:val="left" w:pos="120"/>
        </w:tabs>
        <w:spacing w:line="240" w:lineRule="auto"/>
      </w:pPr>
      <w:bookmarkStart w:id="111" w:name="bookmark1566"/>
      <w:bookmarkEnd w:id="111"/>
      <w:r>
        <w:t>Cuadro resistente a la isoniazida</w:t>
      </w:r>
    </w:p>
    <w:p w14:paraId="71929C91" w14:textId="77777777" w:rsidR="00924992" w:rsidRDefault="00924992">
      <w:pPr>
        <w:pStyle w:val="Bodytext20"/>
        <w:framePr w:w="3360" w:h="1829" w:wrap="none" w:hAnchor="page" w:x="678" w:y="932"/>
        <w:numPr>
          <w:ilvl w:val="0"/>
          <w:numId w:val="116"/>
        </w:numPr>
        <w:tabs>
          <w:tab w:val="left" w:pos="120"/>
        </w:tabs>
        <w:spacing w:line="240" w:lineRule="auto"/>
      </w:pPr>
      <w:bookmarkStart w:id="112" w:name="bookmark1567"/>
      <w:bookmarkEnd w:id="112"/>
      <w:r>
        <w:t>Cuadro resistente a isoniazida y rifampicina</w:t>
      </w:r>
      <w:r>
        <w:rPr>
          <w:vertAlign w:val="superscript"/>
        </w:rPr>
        <w:t>1</w:t>
      </w:r>
    </w:p>
    <w:p w14:paraId="208D4F34" w14:textId="77777777" w:rsidR="00924992" w:rsidRDefault="00924992">
      <w:pPr>
        <w:pStyle w:val="Bodytext20"/>
        <w:framePr w:w="3360" w:h="1829" w:wrap="none" w:hAnchor="page" w:x="678" w:y="932"/>
        <w:spacing w:line="240" w:lineRule="auto"/>
      </w:pPr>
      <w:r>
        <w:rPr>
          <w:b/>
          <w:bCs/>
        </w:rPr>
        <w:t>Formas pulmonar y extrapulmonar</w:t>
      </w:r>
    </w:p>
    <w:p w14:paraId="6824405A" w14:textId="77777777" w:rsidR="00924992" w:rsidRDefault="00924992">
      <w:pPr>
        <w:pStyle w:val="Bodytext20"/>
        <w:framePr w:w="3360" w:h="1829" w:wrap="none" w:hAnchor="page" w:x="678" w:y="932"/>
        <w:spacing w:after="200" w:line="240" w:lineRule="auto"/>
      </w:pPr>
      <w:r>
        <w:t>(excepto meningitis)</w:t>
      </w:r>
    </w:p>
    <w:p w14:paraId="51C59AF4" w14:textId="77777777" w:rsidR="00924992" w:rsidRDefault="00924992">
      <w:pPr>
        <w:pStyle w:val="Bodytext20"/>
        <w:framePr w:w="3965" w:h="1637" w:wrap="none" w:hAnchor="page" w:x="4086" w:y="1326"/>
        <w:spacing w:after="380" w:line="262" w:lineRule="auto"/>
      </w:pPr>
      <w:r>
        <w:t>9 meses a base de isoniazida, una vez al día</w:t>
      </w:r>
    </w:p>
    <w:p w14:paraId="24D66FD0" w14:textId="77777777" w:rsidR="00924992" w:rsidRDefault="00924992">
      <w:pPr>
        <w:pStyle w:val="Bodytext20"/>
        <w:framePr w:w="3965" w:h="1637" w:wrap="none" w:hAnchor="page" w:x="4086" w:y="1326"/>
        <w:spacing w:line="262" w:lineRule="auto"/>
      </w:pPr>
      <w:r>
        <w:t>6 meses a base de rifampicina, una vez al día Consultar a un especialista en tuberculosis</w:t>
      </w:r>
    </w:p>
    <w:p w14:paraId="518C4AFD" w14:textId="77777777" w:rsidR="00924992" w:rsidRDefault="00924992">
      <w:pPr>
        <w:pStyle w:val="Bodytext20"/>
        <w:framePr w:w="3965" w:h="1637" w:wrap="none" w:hAnchor="page" w:x="4086" w:y="1326"/>
        <w:spacing w:line="262" w:lineRule="auto"/>
      </w:pPr>
      <w:r>
        <w:t>2 meses a base de isoniazida, rifampicina y pirazinamida diariamente, seguidos por 4 meses a base de isoniazida y rifampicina</w:t>
      </w:r>
      <w:r>
        <w:rPr>
          <w:vertAlign w:val="superscript"/>
        </w:rPr>
        <w:t>2</w:t>
      </w:r>
    </w:p>
    <w:p w14:paraId="0E25B03E" w14:textId="77777777" w:rsidR="00924992" w:rsidRDefault="00924992">
      <w:pPr>
        <w:pStyle w:val="Bodytext20"/>
        <w:framePr w:w="3403" w:h="4037" w:wrap="none" w:hAnchor="page" w:x="8617" w:y="1326"/>
        <w:spacing w:after="380" w:line="264" w:lineRule="auto"/>
      </w:pPr>
      <w:r>
        <w:t>Si es imposible la administración diaria, puede usarse durante nueve meses el esquema DOT dos veces por semana</w:t>
      </w:r>
    </w:p>
    <w:p w14:paraId="56E6F651" w14:textId="77777777" w:rsidR="00924992" w:rsidRDefault="00924992">
      <w:pPr>
        <w:pStyle w:val="Bodytext20"/>
        <w:framePr w:w="3403" w:h="4037" w:wrap="none" w:hAnchor="page" w:x="8617" w:y="1326"/>
        <w:spacing w:line="262" w:lineRule="auto"/>
      </w:pPr>
      <w:r>
        <w:t>Si es de gran importancia la posible resistencia a fármacos (consultar el texto) se agrega otro medicamento (etambutol o un aminoglucósido) a la terapia inicial a base de tres fármacos hasta que se conocen las susceptibilidades de la micobacteria a los fármacos. Conviene en alto grado el esquema de terapia observada directamente.</w:t>
      </w:r>
    </w:p>
    <w:p w14:paraId="75845950" w14:textId="77777777" w:rsidR="00924992" w:rsidRDefault="00924992">
      <w:pPr>
        <w:pStyle w:val="Bodytext20"/>
        <w:framePr w:w="3403" w:h="4037" w:wrap="none" w:hAnchor="page" w:x="8617" w:y="1326"/>
        <w:spacing w:line="262" w:lineRule="auto"/>
      </w:pPr>
      <w:r>
        <w:t>En caso de haber sólo adenopatía hiliar, basta un ciclo de seis meses a base de isoniazida y rifampicina</w:t>
      </w:r>
    </w:p>
    <w:p w14:paraId="716354BC" w14:textId="77777777" w:rsidR="00924992" w:rsidRDefault="00924992">
      <w:pPr>
        <w:pStyle w:val="Bodytext20"/>
        <w:framePr w:w="3403" w:h="4037" w:wrap="none" w:hAnchor="page" w:x="8617" w:y="1326"/>
        <w:spacing w:line="262" w:lineRule="auto"/>
      </w:pPr>
      <w:r>
        <w:t>Los fármacos se pueden administrar dos o tres veces por semana bajo el esquema DOT en la fase inicial si existe la posibilidad de incumplimiento de órdenes terapéuticas</w:t>
      </w:r>
    </w:p>
    <w:p w14:paraId="0AB6A81C" w14:textId="77777777" w:rsidR="00924992" w:rsidRDefault="00924992">
      <w:pPr>
        <w:pStyle w:val="Bodytext80"/>
        <w:framePr w:w="168" w:h="4003" w:hRule="exact" w:wrap="none" w:hAnchor="page" w:x="12390" w:y="2891"/>
        <w:tabs>
          <w:tab w:val="left" w:pos="3686"/>
        </w:tabs>
        <w:textDirection w:val="tbRl"/>
        <w:rPr>
          <w:sz w:val="16"/>
          <w:szCs w:val="16"/>
        </w:rPr>
      </w:pPr>
      <w:r>
        <w:t>TUBERCULOSIS</w:t>
      </w:r>
      <w:r>
        <w:tab/>
      </w:r>
      <w:r>
        <w:rPr>
          <w:sz w:val="16"/>
          <w:szCs w:val="16"/>
        </w:rPr>
        <w:t>675</w:t>
      </w:r>
    </w:p>
    <w:p w14:paraId="1C5BFEBC" w14:textId="77777777" w:rsidR="00924992" w:rsidRDefault="00924992">
      <w:pPr>
        <w:spacing w:line="360" w:lineRule="exact"/>
      </w:pPr>
    </w:p>
    <w:p w14:paraId="10482D7E" w14:textId="77777777" w:rsidR="00924992" w:rsidRDefault="00924992">
      <w:pPr>
        <w:spacing w:line="360" w:lineRule="exact"/>
      </w:pPr>
    </w:p>
    <w:p w14:paraId="3C060148" w14:textId="77777777" w:rsidR="00924992" w:rsidRDefault="00924992">
      <w:pPr>
        <w:spacing w:line="360" w:lineRule="exact"/>
      </w:pPr>
    </w:p>
    <w:p w14:paraId="4D6BFE13" w14:textId="77777777" w:rsidR="00924992" w:rsidRDefault="00924992">
      <w:pPr>
        <w:spacing w:line="360" w:lineRule="exact"/>
      </w:pPr>
    </w:p>
    <w:p w14:paraId="42FEED5A" w14:textId="77777777" w:rsidR="00924992" w:rsidRDefault="00924992">
      <w:pPr>
        <w:spacing w:line="360" w:lineRule="exact"/>
      </w:pPr>
    </w:p>
    <w:p w14:paraId="48E4765A" w14:textId="77777777" w:rsidR="00924992" w:rsidRDefault="00924992">
      <w:pPr>
        <w:spacing w:line="360" w:lineRule="exact"/>
      </w:pPr>
    </w:p>
    <w:p w14:paraId="7F9D40AB" w14:textId="77777777" w:rsidR="00924992" w:rsidRDefault="00924992">
      <w:pPr>
        <w:spacing w:line="360" w:lineRule="exact"/>
      </w:pPr>
    </w:p>
    <w:p w14:paraId="4EC6E87D" w14:textId="77777777" w:rsidR="00924992" w:rsidRDefault="00924992">
      <w:pPr>
        <w:spacing w:line="360" w:lineRule="exact"/>
      </w:pPr>
    </w:p>
    <w:p w14:paraId="3FD1F3BA" w14:textId="77777777" w:rsidR="00924992" w:rsidRDefault="00924992">
      <w:pPr>
        <w:spacing w:line="360" w:lineRule="exact"/>
      </w:pPr>
    </w:p>
    <w:p w14:paraId="74800B1F" w14:textId="77777777" w:rsidR="00924992" w:rsidRDefault="00924992">
      <w:pPr>
        <w:spacing w:line="360" w:lineRule="exact"/>
      </w:pPr>
    </w:p>
    <w:p w14:paraId="6F379B52" w14:textId="77777777" w:rsidR="00924992" w:rsidRDefault="00924992">
      <w:pPr>
        <w:spacing w:line="360" w:lineRule="exact"/>
      </w:pPr>
    </w:p>
    <w:p w14:paraId="434E8AC1" w14:textId="77777777" w:rsidR="00924992" w:rsidRDefault="00924992">
      <w:pPr>
        <w:spacing w:line="360" w:lineRule="exact"/>
      </w:pPr>
    </w:p>
    <w:p w14:paraId="372DF298" w14:textId="77777777" w:rsidR="00924992" w:rsidRDefault="00924992">
      <w:pPr>
        <w:spacing w:line="360" w:lineRule="exact"/>
      </w:pPr>
    </w:p>
    <w:p w14:paraId="78C07AF2" w14:textId="77777777" w:rsidR="00924992" w:rsidRDefault="00924992">
      <w:pPr>
        <w:spacing w:line="360" w:lineRule="exact"/>
      </w:pPr>
    </w:p>
    <w:p w14:paraId="0B398BEE" w14:textId="77777777" w:rsidR="00924992" w:rsidRDefault="00924992">
      <w:pPr>
        <w:spacing w:line="360" w:lineRule="exact"/>
      </w:pPr>
    </w:p>
    <w:p w14:paraId="39B9E03C" w14:textId="77777777" w:rsidR="00924992" w:rsidRDefault="00924992">
      <w:pPr>
        <w:spacing w:line="360" w:lineRule="exact"/>
      </w:pPr>
    </w:p>
    <w:p w14:paraId="2ADC2F2C" w14:textId="77777777" w:rsidR="00924992" w:rsidRDefault="00924992">
      <w:pPr>
        <w:spacing w:line="360" w:lineRule="exact"/>
      </w:pPr>
    </w:p>
    <w:p w14:paraId="5C0A6880" w14:textId="77777777" w:rsidR="00924992" w:rsidRDefault="00924992">
      <w:pPr>
        <w:spacing w:after="656" w:line="1" w:lineRule="exact"/>
      </w:pPr>
    </w:p>
    <w:p w14:paraId="1657D536" w14:textId="77777777" w:rsidR="00924992" w:rsidRDefault="00924992">
      <w:pPr>
        <w:spacing w:line="1" w:lineRule="exact"/>
        <w:sectPr w:rsidR="00924992" w:rsidSect="00924992">
          <w:headerReference w:type="even" r:id="rId116"/>
          <w:headerReference w:type="default" r:id="rId117"/>
          <w:footerReference w:type="even" r:id="rId118"/>
          <w:footerReference w:type="default" r:id="rId119"/>
          <w:pgSz w:w="13022" w:h="8501" w:orient="landscape"/>
          <w:pgMar w:top="1104" w:right="466" w:bottom="620" w:left="653" w:header="676" w:footer="3" w:gutter="0"/>
          <w:pgNumType w:start="846"/>
          <w:cols w:space="720"/>
          <w:noEndnote/>
          <w:docGrid w:linePitch="360"/>
          <w15:footnoteColumns w:val="1"/>
        </w:sectPr>
      </w:pPr>
    </w:p>
    <w:p w14:paraId="429B42DF" w14:textId="77777777" w:rsidR="00924992" w:rsidRDefault="00924992">
      <w:pPr>
        <w:pStyle w:val="Heading31"/>
        <w:keepNext/>
        <w:keepLines/>
        <w:framePr w:w="10157" w:h="562" w:wrap="none" w:hAnchor="page" w:x="1273" w:y="1"/>
        <w:spacing w:line="211" w:lineRule="auto"/>
        <w:jc w:val="center"/>
        <w:rPr>
          <w:sz w:val="16"/>
          <w:szCs w:val="16"/>
        </w:rPr>
      </w:pPr>
      <w:bookmarkStart w:id="113" w:name="bookmark1568"/>
      <w:bookmarkStart w:id="114" w:name="bookmark1569"/>
      <w:bookmarkStart w:id="115" w:name="bookmark1570"/>
      <w:r>
        <w:rPr>
          <w:b w:val="0"/>
          <w:bCs w:val="0"/>
        </w:rPr>
        <w:t xml:space="preserve">Cuadro 3-71. </w:t>
      </w:r>
      <w:r>
        <w:t>Regímenes terapéuticos recomendados en casos de tuberculosis farmacosusceptible en lactantes,</w:t>
      </w:r>
      <w:r>
        <w:br/>
        <w:t xml:space="preserve">niños y adolescentes </w:t>
      </w:r>
      <w:r>
        <w:rPr>
          <w:rFonts w:ascii="Times New Roman" w:eastAsia="Times New Roman" w:hAnsi="Times New Roman" w:cs="Times New Roman"/>
          <w:b w:val="0"/>
          <w:bCs w:val="0"/>
          <w:i/>
          <w:iCs/>
          <w:w w:val="100"/>
          <w:sz w:val="16"/>
          <w:szCs w:val="16"/>
        </w:rPr>
        <w:t>continuación</w:t>
      </w:r>
      <w:bookmarkEnd w:id="113"/>
      <w:bookmarkEnd w:id="114"/>
      <w:bookmarkEnd w:id="115"/>
    </w:p>
    <w:p w14:paraId="59613F13" w14:textId="77777777" w:rsidR="00924992" w:rsidRDefault="00924992">
      <w:pPr>
        <w:pStyle w:val="Bodytext20"/>
        <w:framePr w:w="845" w:h="230" w:wrap="none" w:hAnchor="page" w:x="678" w:y="947"/>
        <w:spacing w:line="240" w:lineRule="auto"/>
      </w:pPr>
      <w:r>
        <w:rPr>
          <w:b/>
          <w:bCs/>
        </w:rPr>
        <w:t>Meningitis</w:t>
      </w:r>
    </w:p>
    <w:p w14:paraId="02BDA27C" w14:textId="77777777" w:rsidR="00924992" w:rsidRDefault="00924992">
      <w:pPr>
        <w:pStyle w:val="Bodytext20"/>
        <w:framePr w:w="4094" w:h="835" w:wrap="none" w:hAnchor="page" w:x="4086" w:y="942"/>
        <w:spacing w:line="262" w:lineRule="auto"/>
      </w:pPr>
      <w:r>
        <w:t>2 meses a base de isoniazida, rifampicina, pirazinamida y un aminoglucósido o etionamida, una vez al día, seguidas de 7 a 10 meses de isoniazida y rifampicina una vez al día o dos veces por semana (total de 9 a 12 meses)</w:t>
      </w:r>
    </w:p>
    <w:p w14:paraId="400F15B6" w14:textId="77777777" w:rsidR="00924992" w:rsidRDefault="00924992">
      <w:pPr>
        <w:pStyle w:val="Bodytext20"/>
        <w:framePr w:w="3307" w:h="1032" w:wrap="none" w:hAnchor="page" w:x="8622" w:y="942"/>
        <w:spacing w:line="262" w:lineRule="auto"/>
      </w:pPr>
      <w:r>
        <w:t>Se administra dentro de la terapia inicial un cuarto fármaco, por lo común un aminoglucósido, hasta que se tienen los datos de los antibioticogramas (susceptibilidad a fármacos)</w:t>
      </w:r>
    </w:p>
    <w:p w14:paraId="1DC0B679" w14:textId="77777777" w:rsidR="00924992" w:rsidRDefault="00924992">
      <w:pPr>
        <w:pStyle w:val="Bodytext20"/>
        <w:framePr w:w="3144" w:h="1032" w:wrap="none" w:hAnchor="page" w:x="8617" w:y="2118"/>
        <w:pBdr>
          <w:bottom w:val="single" w:sz="4" w:space="0" w:color="auto"/>
        </w:pBdr>
        <w:spacing w:line="262" w:lineRule="auto"/>
      </w:pPr>
      <w:r>
        <w:t>En el caso de niños que quizá adquirieron la tuberculosis en zonas geográficas en que es frecuente la resistencia a la estreptomicina, cabe utilizar en vez de ella, capreomicina, kanamicina o amikacina</w:t>
      </w:r>
    </w:p>
    <w:p w14:paraId="0524F1CA" w14:textId="77777777" w:rsidR="00924992" w:rsidRDefault="00924992">
      <w:pPr>
        <w:pStyle w:val="Bodytext20"/>
        <w:framePr w:w="11328" w:h="936" w:wrap="none" w:hAnchor="page" w:x="678" w:y="3294"/>
        <w:spacing w:line="254" w:lineRule="auto"/>
        <w:ind w:firstLine="180"/>
        <w:jc w:val="both"/>
        <w:rPr>
          <w:sz w:val="15"/>
          <w:szCs w:val="15"/>
        </w:rPr>
      </w:pPr>
      <w:r>
        <w:rPr>
          <w:sz w:val="15"/>
          <w:szCs w:val="15"/>
        </w:rPr>
        <w:t>TST, pruebas cutáneas con tuberculina; DOT, terapia observada directamente.</w:t>
      </w:r>
    </w:p>
    <w:p w14:paraId="755C7DD7" w14:textId="77777777" w:rsidR="00924992" w:rsidRDefault="00924992">
      <w:pPr>
        <w:pStyle w:val="Bodytext20"/>
        <w:framePr w:w="11328" w:h="936" w:wrap="none" w:hAnchor="page" w:x="678" w:y="3294"/>
        <w:numPr>
          <w:ilvl w:val="0"/>
          <w:numId w:val="117"/>
        </w:numPr>
        <w:tabs>
          <w:tab w:val="left" w:pos="163"/>
        </w:tabs>
        <w:spacing w:line="254" w:lineRule="auto"/>
        <w:ind w:left="180" w:hanging="180"/>
        <w:rPr>
          <w:sz w:val="15"/>
          <w:szCs w:val="15"/>
        </w:rPr>
      </w:pPr>
      <w:bookmarkStart w:id="116" w:name="bookmark1571"/>
      <w:bookmarkEnd w:id="116"/>
      <w:r>
        <w:rPr>
          <w:sz w:val="15"/>
          <w:szCs w:val="15"/>
        </w:rPr>
        <w:t>La duración del tratamiento es más larga en caso de personas infectadas por el virus de inmunodeficiencia humana (VIH) y quizá convengan fármacos adicionales (véase “Enfermedad tuberculosa e infección por VIH”, en el resumen de Tuberculosis).</w:t>
      </w:r>
    </w:p>
    <w:p w14:paraId="7854886E" w14:textId="77777777" w:rsidR="00924992" w:rsidRDefault="00924992">
      <w:pPr>
        <w:pStyle w:val="Bodytext20"/>
        <w:framePr w:w="11328" w:h="936" w:wrap="none" w:hAnchor="page" w:x="678" w:y="3294"/>
        <w:numPr>
          <w:ilvl w:val="0"/>
          <w:numId w:val="117"/>
        </w:numPr>
        <w:tabs>
          <w:tab w:val="left" w:pos="173"/>
        </w:tabs>
        <w:spacing w:line="254" w:lineRule="auto"/>
        <w:ind w:left="180" w:hanging="180"/>
        <w:rPr>
          <w:sz w:val="15"/>
          <w:szCs w:val="15"/>
        </w:rPr>
      </w:pPr>
      <w:bookmarkStart w:id="117" w:name="bookmark1572"/>
      <w:bookmarkEnd w:id="117"/>
      <w:r>
        <w:rPr>
          <w:sz w:val="15"/>
          <w:szCs w:val="15"/>
        </w:rPr>
        <w:t>Hay que administrar diariamente los medicamentos en el lapso que media de las primeras dos semanas a los dos meses del tratamiento, para seguir después con un esquema de dos a tres veces por semana, bajo terapia observada directamente.</w:t>
      </w:r>
    </w:p>
    <w:p w14:paraId="5E02D061" w14:textId="77777777" w:rsidR="00924992" w:rsidRDefault="00924992">
      <w:pPr>
        <w:pStyle w:val="Bodytext80"/>
        <w:framePr w:w="168" w:h="4003" w:hRule="exact" w:wrap="none" w:hAnchor="page" w:x="12390" w:y="30"/>
        <w:tabs>
          <w:tab w:val="left" w:pos="2856"/>
        </w:tabs>
        <w:textDirection w:val="tbRl"/>
      </w:pPr>
      <w:r>
        <w:rPr>
          <w:sz w:val="16"/>
          <w:szCs w:val="16"/>
        </w:rPr>
        <w:t>676</w:t>
      </w:r>
      <w:r>
        <w:rPr>
          <w:sz w:val="16"/>
          <w:szCs w:val="16"/>
        </w:rPr>
        <w:tab/>
      </w:r>
      <w:r>
        <w:t>TUBERCULOSIS</w:t>
      </w:r>
    </w:p>
    <w:p w14:paraId="2D011326" w14:textId="77777777" w:rsidR="00924992" w:rsidRDefault="00924992">
      <w:pPr>
        <w:spacing w:line="360" w:lineRule="exact"/>
      </w:pPr>
      <w:r>
        <w:rPr>
          <w:noProof/>
        </w:rPr>
        <w:drawing>
          <wp:anchor distT="0" distB="0" distL="0" distR="0" simplePos="0" relativeHeight="251659264" behindDoc="1" locked="0" layoutInCell="1" allowOverlap="1" wp14:anchorId="247D27DA" wp14:editId="706EAE02">
            <wp:simplePos x="0" y="0"/>
            <wp:positionH relativeFrom="page">
              <wp:posOffset>414655</wp:posOffset>
            </wp:positionH>
            <wp:positionV relativeFrom="margin">
              <wp:posOffset>384175</wp:posOffset>
            </wp:positionV>
            <wp:extent cx="7186930" cy="158750"/>
            <wp:effectExtent l="0" t="0" r="0" b="0"/>
            <wp:wrapNone/>
            <wp:docPr id="2047" name="Shape 2047"/>
            <wp:cNvGraphicFramePr/>
            <a:graphic xmlns:a="http://schemas.openxmlformats.org/drawingml/2006/main">
              <a:graphicData uri="http://schemas.openxmlformats.org/drawingml/2006/picture">
                <pic:pic xmlns:pic="http://schemas.openxmlformats.org/drawingml/2006/picture">
                  <pic:nvPicPr>
                    <pic:cNvPr id="2048" name="Picture box 2048"/>
                    <pic:cNvPicPr/>
                  </pic:nvPicPr>
                  <pic:blipFill>
                    <a:blip r:embed="rId120"/>
                    <a:stretch/>
                  </pic:blipFill>
                  <pic:spPr>
                    <a:xfrm>
                      <a:off x="0" y="0"/>
                      <a:ext cx="7186930" cy="158750"/>
                    </a:xfrm>
                    <a:prstGeom prst="rect">
                      <a:avLst/>
                    </a:prstGeom>
                  </pic:spPr>
                </pic:pic>
              </a:graphicData>
            </a:graphic>
          </wp:anchor>
        </w:drawing>
      </w:r>
    </w:p>
    <w:p w14:paraId="1D486097" w14:textId="77777777" w:rsidR="00924992" w:rsidRDefault="00924992">
      <w:pPr>
        <w:spacing w:line="360" w:lineRule="exact"/>
      </w:pPr>
    </w:p>
    <w:p w14:paraId="7CAE34C7" w14:textId="77777777" w:rsidR="00924992" w:rsidRDefault="00924992">
      <w:pPr>
        <w:spacing w:line="360" w:lineRule="exact"/>
      </w:pPr>
    </w:p>
    <w:p w14:paraId="422BB1C6" w14:textId="77777777" w:rsidR="00924992" w:rsidRDefault="00924992">
      <w:pPr>
        <w:spacing w:line="360" w:lineRule="exact"/>
      </w:pPr>
    </w:p>
    <w:p w14:paraId="214FDFF5" w14:textId="77777777" w:rsidR="00924992" w:rsidRDefault="00924992">
      <w:pPr>
        <w:spacing w:line="360" w:lineRule="exact"/>
      </w:pPr>
    </w:p>
    <w:p w14:paraId="104F8A7B" w14:textId="77777777" w:rsidR="00924992" w:rsidRDefault="00924992">
      <w:pPr>
        <w:spacing w:line="360" w:lineRule="exact"/>
      </w:pPr>
    </w:p>
    <w:p w14:paraId="5680474E" w14:textId="77777777" w:rsidR="00924992" w:rsidRDefault="00924992">
      <w:pPr>
        <w:spacing w:line="360" w:lineRule="exact"/>
      </w:pPr>
    </w:p>
    <w:p w14:paraId="123C6523" w14:textId="77777777" w:rsidR="00924992" w:rsidRDefault="00924992">
      <w:pPr>
        <w:spacing w:line="360" w:lineRule="exact"/>
      </w:pPr>
    </w:p>
    <w:p w14:paraId="3200B579" w14:textId="77777777" w:rsidR="00924992" w:rsidRDefault="00924992">
      <w:pPr>
        <w:spacing w:line="360" w:lineRule="exact"/>
      </w:pPr>
    </w:p>
    <w:p w14:paraId="603EC0EA" w14:textId="77777777" w:rsidR="00924992" w:rsidRDefault="00924992">
      <w:pPr>
        <w:spacing w:line="360" w:lineRule="exact"/>
      </w:pPr>
    </w:p>
    <w:p w14:paraId="627BC8AB" w14:textId="77777777" w:rsidR="00924992" w:rsidRDefault="00924992">
      <w:pPr>
        <w:spacing w:after="628" w:line="1" w:lineRule="exact"/>
      </w:pPr>
    </w:p>
    <w:p w14:paraId="41CE2508" w14:textId="77777777" w:rsidR="00924992" w:rsidRDefault="00924992">
      <w:pPr>
        <w:spacing w:line="1" w:lineRule="exact"/>
        <w:sectPr w:rsidR="00924992" w:rsidSect="00924992">
          <w:headerReference w:type="even" r:id="rId121"/>
          <w:headerReference w:type="default" r:id="rId122"/>
          <w:footerReference w:type="even" r:id="rId123"/>
          <w:footerReference w:type="default" r:id="rId124"/>
          <w:pgSz w:w="13022" w:h="8501" w:orient="landscape"/>
          <w:pgMar w:top="475" w:right="466" w:bottom="475" w:left="653" w:header="47" w:footer="3" w:gutter="0"/>
          <w:cols w:space="720"/>
          <w:noEndnote/>
          <w:docGrid w:linePitch="360"/>
          <w15:footnoteColumns w:val="1"/>
        </w:sectPr>
      </w:pPr>
    </w:p>
    <w:p w14:paraId="1C6F86BD" w14:textId="77777777" w:rsidR="00924992" w:rsidRDefault="00924992">
      <w:pPr>
        <w:pStyle w:val="Heading31"/>
        <w:keepNext/>
        <w:keepLines/>
        <w:framePr w:w="9494" w:h="317" w:wrap="none" w:hAnchor="page" w:x="1595" w:y="1"/>
      </w:pPr>
      <w:bookmarkStart w:id="118" w:name="bookmark1573"/>
      <w:bookmarkStart w:id="119" w:name="bookmark1574"/>
      <w:bookmarkStart w:id="120" w:name="bookmark1575"/>
      <w:r>
        <w:rPr>
          <w:b w:val="0"/>
          <w:bCs w:val="0"/>
        </w:rPr>
        <w:t xml:space="preserve">Cuadro 3-72. </w:t>
      </w:r>
      <w:r>
        <w:t>Fármacos más usados en el tratamiento de tuberculosis en lactantes, niños y adolescentes</w:t>
      </w:r>
      <w:bookmarkEnd w:id="118"/>
      <w:bookmarkEnd w:id="119"/>
      <w:bookmarkEnd w:id="120"/>
    </w:p>
    <w:tbl>
      <w:tblPr>
        <w:tblOverlap w:val="never"/>
        <w:tblW w:w="0" w:type="auto"/>
        <w:tblLayout w:type="fixed"/>
        <w:tblCellMar>
          <w:left w:w="10" w:type="dxa"/>
          <w:right w:w="10" w:type="dxa"/>
        </w:tblCellMar>
        <w:tblLook w:val="04A0" w:firstRow="1" w:lastRow="0" w:firstColumn="1" w:lastColumn="0" w:noHBand="0" w:noVBand="1"/>
      </w:tblPr>
      <w:tblGrid>
        <w:gridCol w:w="1387"/>
        <w:gridCol w:w="2050"/>
        <w:gridCol w:w="1392"/>
        <w:gridCol w:w="2160"/>
        <w:gridCol w:w="1661"/>
        <w:gridCol w:w="2794"/>
      </w:tblGrid>
      <w:tr w:rsidR="00924992" w14:paraId="435D5537" w14:textId="77777777">
        <w:tblPrEx>
          <w:tblCellMar>
            <w:top w:w="0" w:type="dxa"/>
            <w:bottom w:w="0" w:type="dxa"/>
          </w:tblCellMar>
        </w:tblPrEx>
        <w:trPr>
          <w:trHeight w:hRule="exact" w:val="854"/>
        </w:trPr>
        <w:tc>
          <w:tcPr>
            <w:tcW w:w="1387" w:type="dxa"/>
            <w:shd w:val="clear" w:color="auto" w:fill="231F20"/>
          </w:tcPr>
          <w:p w14:paraId="7D90CA89" w14:textId="77777777" w:rsidR="00924992" w:rsidRDefault="00924992">
            <w:pPr>
              <w:pStyle w:val="Other0"/>
              <w:framePr w:w="11443" w:h="5587" w:vSpace="850" w:wrap="none" w:hAnchor="page" w:x="620" w:y="351"/>
              <w:pBdr>
                <w:top w:val="single" w:sz="0" w:space="0" w:color="231F20"/>
                <w:left w:val="single" w:sz="0" w:space="0" w:color="231F20"/>
                <w:bottom w:val="single" w:sz="0" w:space="0" w:color="231F20"/>
                <w:right w:val="single" w:sz="0" w:space="0" w:color="231F20"/>
              </w:pBdr>
              <w:shd w:val="clear" w:color="auto" w:fill="231F20"/>
              <w:spacing w:line="240" w:lineRule="auto"/>
              <w:ind w:firstLine="0"/>
              <w:rPr>
                <w:sz w:val="24"/>
                <w:szCs w:val="24"/>
              </w:rPr>
            </w:pPr>
            <w:r>
              <w:rPr>
                <w:rFonts w:ascii="Arial" w:eastAsia="Arial" w:hAnsi="Arial" w:cs="Arial"/>
                <w:b/>
                <w:bCs/>
                <w:color w:val="FFFFFF"/>
                <w:w w:val="70"/>
                <w:sz w:val="24"/>
                <w:szCs w:val="24"/>
              </w:rPr>
              <w:t>Fármacos</w:t>
            </w:r>
          </w:p>
        </w:tc>
        <w:tc>
          <w:tcPr>
            <w:tcW w:w="2050" w:type="dxa"/>
            <w:shd w:val="clear" w:color="auto" w:fill="231F20"/>
          </w:tcPr>
          <w:p w14:paraId="36B6EDB8" w14:textId="77777777" w:rsidR="00924992" w:rsidRDefault="00924992">
            <w:pPr>
              <w:pStyle w:val="Other0"/>
              <w:framePr w:w="11443" w:h="5587" w:vSpace="850" w:wrap="none" w:hAnchor="page" w:x="620" w:y="351"/>
              <w:pBdr>
                <w:top w:val="single" w:sz="0" w:space="0" w:color="231F20"/>
                <w:left w:val="single" w:sz="0" w:space="0" w:color="231F20"/>
                <w:bottom w:val="single" w:sz="0" w:space="0" w:color="231F20"/>
                <w:right w:val="single" w:sz="0" w:space="0" w:color="231F20"/>
              </w:pBdr>
              <w:shd w:val="clear" w:color="auto" w:fill="231F20"/>
              <w:spacing w:line="240" w:lineRule="auto"/>
              <w:ind w:firstLine="360"/>
              <w:rPr>
                <w:sz w:val="24"/>
                <w:szCs w:val="24"/>
              </w:rPr>
            </w:pPr>
            <w:r>
              <w:rPr>
                <w:rFonts w:ascii="Arial" w:eastAsia="Arial" w:hAnsi="Arial" w:cs="Arial"/>
                <w:b/>
                <w:bCs/>
                <w:color w:val="FFFFFF"/>
                <w:w w:val="70"/>
                <w:sz w:val="24"/>
                <w:szCs w:val="24"/>
              </w:rPr>
              <w:t>Presentaciones</w:t>
            </w:r>
          </w:p>
        </w:tc>
        <w:tc>
          <w:tcPr>
            <w:tcW w:w="1392" w:type="dxa"/>
            <w:shd w:val="clear" w:color="auto" w:fill="231F20"/>
          </w:tcPr>
          <w:p w14:paraId="22CA80BD" w14:textId="77777777" w:rsidR="00924992" w:rsidRDefault="00924992">
            <w:pPr>
              <w:pStyle w:val="Other0"/>
              <w:framePr w:w="11443" w:h="5587" w:vSpace="850" w:wrap="none" w:hAnchor="page" w:x="620" w:y="351"/>
              <w:pBdr>
                <w:top w:val="single" w:sz="0" w:space="0" w:color="231F20"/>
                <w:left w:val="single" w:sz="0" w:space="0" w:color="231F20"/>
                <w:bottom w:val="single" w:sz="0" w:space="0" w:color="231F20"/>
                <w:right w:val="single" w:sz="0" w:space="0" w:color="231F20"/>
              </w:pBdr>
              <w:shd w:val="clear" w:color="auto" w:fill="231F20"/>
              <w:spacing w:line="204" w:lineRule="auto"/>
              <w:ind w:firstLine="0"/>
              <w:rPr>
                <w:sz w:val="24"/>
                <w:szCs w:val="24"/>
              </w:rPr>
            </w:pPr>
            <w:r>
              <w:rPr>
                <w:rFonts w:ascii="Arial" w:eastAsia="Arial" w:hAnsi="Arial" w:cs="Arial"/>
                <w:b/>
                <w:bCs/>
                <w:color w:val="FFFFFF"/>
                <w:w w:val="70"/>
                <w:sz w:val="24"/>
                <w:szCs w:val="24"/>
              </w:rPr>
              <w:t>Dosis diaria, mg/kg</w:t>
            </w:r>
          </w:p>
        </w:tc>
        <w:tc>
          <w:tcPr>
            <w:tcW w:w="2160" w:type="dxa"/>
            <w:shd w:val="clear" w:color="auto" w:fill="231F20"/>
            <w:vAlign w:val="bottom"/>
          </w:tcPr>
          <w:p w14:paraId="4DB9A4C8" w14:textId="77777777" w:rsidR="00924992" w:rsidRDefault="00924992">
            <w:pPr>
              <w:pStyle w:val="Other0"/>
              <w:framePr w:w="11443" w:h="5587" w:vSpace="850" w:wrap="none" w:hAnchor="page" w:x="620" w:y="351"/>
              <w:pBdr>
                <w:top w:val="single" w:sz="0" w:space="0" w:color="231F20"/>
                <w:left w:val="single" w:sz="0" w:space="0" w:color="231F20"/>
                <w:bottom w:val="single" w:sz="0" w:space="0" w:color="231F20"/>
                <w:right w:val="single" w:sz="0" w:space="0" w:color="231F20"/>
              </w:pBdr>
              <w:shd w:val="clear" w:color="auto" w:fill="231F20"/>
              <w:spacing w:line="209" w:lineRule="auto"/>
              <w:ind w:left="320"/>
              <w:rPr>
                <w:sz w:val="24"/>
                <w:szCs w:val="24"/>
              </w:rPr>
            </w:pPr>
            <w:r>
              <w:rPr>
                <w:rFonts w:ascii="Arial" w:eastAsia="Arial" w:hAnsi="Arial" w:cs="Arial"/>
                <w:b/>
                <w:bCs/>
                <w:color w:val="FFFFFF"/>
                <w:w w:val="70"/>
                <w:sz w:val="24"/>
                <w:szCs w:val="24"/>
              </w:rPr>
              <w:t>Dosis dos veces por semana, mg/kg por dosis</w:t>
            </w:r>
          </w:p>
        </w:tc>
        <w:tc>
          <w:tcPr>
            <w:tcW w:w="1661" w:type="dxa"/>
            <w:shd w:val="clear" w:color="auto" w:fill="231F20"/>
          </w:tcPr>
          <w:p w14:paraId="65F3697E" w14:textId="77777777" w:rsidR="00924992" w:rsidRDefault="00924992">
            <w:pPr>
              <w:pStyle w:val="Other0"/>
              <w:framePr w:w="11443" w:h="5587" w:vSpace="850" w:wrap="none" w:hAnchor="page" w:x="620" w:y="351"/>
              <w:pBdr>
                <w:top w:val="single" w:sz="0" w:space="0" w:color="231F20"/>
                <w:left w:val="single" w:sz="0" w:space="0" w:color="231F20"/>
                <w:bottom w:val="single" w:sz="0" w:space="0" w:color="231F20"/>
                <w:right w:val="single" w:sz="0" w:space="0" w:color="231F20"/>
              </w:pBdr>
              <w:shd w:val="clear" w:color="auto" w:fill="231F20"/>
              <w:spacing w:line="240" w:lineRule="auto"/>
              <w:ind w:firstLine="0"/>
              <w:jc w:val="center"/>
              <w:rPr>
                <w:sz w:val="24"/>
                <w:szCs w:val="24"/>
              </w:rPr>
            </w:pPr>
            <w:r>
              <w:rPr>
                <w:rFonts w:ascii="Arial" w:eastAsia="Arial" w:hAnsi="Arial" w:cs="Arial"/>
                <w:b/>
                <w:bCs/>
                <w:color w:val="FFFFFF"/>
                <w:w w:val="70"/>
                <w:sz w:val="24"/>
                <w:szCs w:val="24"/>
              </w:rPr>
              <w:t>Dosis máxima</w:t>
            </w:r>
          </w:p>
        </w:tc>
        <w:tc>
          <w:tcPr>
            <w:tcW w:w="2794" w:type="dxa"/>
            <w:shd w:val="clear" w:color="auto" w:fill="231F20"/>
          </w:tcPr>
          <w:p w14:paraId="4622E2A3" w14:textId="77777777" w:rsidR="00924992" w:rsidRDefault="00924992">
            <w:pPr>
              <w:pStyle w:val="Other0"/>
              <w:framePr w:w="11443" w:h="5587" w:vSpace="850" w:wrap="none" w:hAnchor="page" w:x="620" w:y="351"/>
              <w:pBdr>
                <w:top w:val="single" w:sz="0" w:space="0" w:color="231F20"/>
                <w:left w:val="single" w:sz="0" w:space="0" w:color="231F20"/>
                <w:bottom w:val="single" w:sz="0" w:space="0" w:color="231F20"/>
                <w:right w:val="single" w:sz="0" w:space="0" w:color="231F20"/>
              </w:pBdr>
              <w:shd w:val="clear" w:color="auto" w:fill="231F20"/>
              <w:spacing w:line="240" w:lineRule="auto"/>
              <w:ind w:firstLine="140"/>
              <w:rPr>
                <w:sz w:val="24"/>
                <w:szCs w:val="24"/>
              </w:rPr>
            </w:pPr>
            <w:r>
              <w:rPr>
                <w:rFonts w:ascii="Arial" w:eastAsia="Arial" w:hAnsi="Arial" w:cs="Arial"/>
                <w:b/>
                <w:bCs/>
                <w:color w:val="FFFFFF"/>
                <w:w w:val="70"/>
                <w:sz w:val="24"/>
                <w:szCs w:val="24"/>
              </w:rPr>
              <w:t>Reacciones adversas</w:t>
            </w:r>
          </w:p>
        </w:tc>
      </w:tr>
      <w:tr w:rsidR="00924992" w14:paraId="71DD958C" w14:textId="77777777">
        <w:tblPrEx>
          <w:tblCellMar>
            <w:top w:w="0" w:type="dxa"/>
            <w:bottom w:w="0" w:type="dxa"/>
          </w:tblCellMar>
        </w:tblPrEx>
        <w:trPr>
          <w:trHeight w:hRule="exact" w:val="1157"/>
        </w:trPr>
        <w:tc>
          <w:tcPr>
            <w:tcW w:w="1387" w:type="dxa"/>
            <w:shd w:val="clear" w:color="auto" w:fill="FFFFFF"/>
          </w:tcPr>
          <w:p w14:paraId="6E9AFC30" w14:textId="77777777" w:rsidR="00924992" w:rsidRDefault="00924992">
            <w:pPr>
              <w:pStyle w:val="Other0"/>
              <w:framePr w:w="11443" w:h="5587" w:vSpace="850" w:wrap="none" w:hAnchor="page" w:x="620" w:y="351"/>
              <w:spacing w:line="240" w:lineRule="auto"/>
              <w:ind w:firstLine="0"/>
              <w:rPr>
                <w:sz w:val="16"/>
                <w:szCs w:val="16"/>
              </w:rPr>
            </w:pPr>
            <w:r>
              <w:rPr>
                <w:rFonts w:ascii="Times New Roman" w:eastAsia="Times New Roman" w:hAnsi="Times New Roman" w:cs="Times New Roman"/>
                <w:sz w:val="16"/>
                <w:szCs w:val="16"/>
              </w:rPr>
              <w:t>Etambutol</w:t>
            </w:r>
          </w:p>
        </w:tc>
        <w:tc>
          <w:tcPr>
            <w:tcW w:w="2050" w:type="dxa"/>
            <w:shd w:val="clear" w:color="auto" w:fill="FFFFFF"/>
          </w:tcPr>
          <w:p w14:paraId="4AC9BC24" w14:textId="77777777" w:rsidR="00924992" w:rsidRDefault="00924992">
            <w:pPr>
              <w:pStyle w:val="Other0"/>
              <w:framePr w:w="11443" w:h="5587" w:vSpace="850" w:wrap="none" w:hAnchor="page" w:x="620" w:y="351"/>
              <w:spacing w:line="240" w:lineRule="auto"/>
              <w:ind w:firstLine="360"/>
              <w:rPr>
                <w:sz w:val="16"/>
                <w:szCs w:val="16"/>
              </w:rPr>
            </w:pPr>
            <w:r>
              <w:rPr>
                <w:rFonts w:ascii="Times New Roman" w:eastAsia="Times New Roman" w:hAnsi="Times New Roman" w:cs="Times New Roman"/>
                <w:sz w:val="16"/>
                <w:szCs w:val="16"/>
              </w:rPr>
              <w:t>Tabletas</w:t>
            </w:r>
          </w:p>
          <w:p w14:paraId="384390EA" w14:textId="77777777" w:rsidR="00924992" w:rsidRDefault="00924992">
            <w:pPr>
              <w:pStyle w:val="Other0"/>
              <w:framePr w:w="11443" w:h="5587" w:vSpace="850" w:wrap="none" w:hAnchor="page" w:x="620" w:y="351"/>
              <w:spacing w:line="240" w:lineRule="auto"/>
              <w:ind w:firstLine="480"/>
              <w:rPr>
                <w:sz w:val="16"/>
                <w:szCs w:val="16"/>
              </w:rPr>
            </w:pPr>
            <w:r>
              <w:rPr>
                <w:rFonts w:ascii="Times New Roman" w:eastAsia="Times New Roman" w:hAnsi="Times New Roman" w:cs="Times New Roman"/>
                <w:sz w:val="16"/>
                <w:szCs w:val="16"/>
              </w:rPr>
              <w:t>100 mg</w:t>
            </w:r>
          </w:p>
          <w:p w14:paraId="131B20B3" w14:textId="77777777" w:rsidR="00924992" w:rsidRDefault="00924992">
            <w:pPr>
              <w:pStyle w:val="Other0"/>
              <w:framePr w:w="11443" w:h="5587" w:vSpace="850" w:wrap="none" w:hAnchor="page" w:x="620" w:y="351"/>
              <w:spacing w:line="240" w:lineRule="auto"/>
              <w:ind w:firstLine="480"/>
              <w:rPr>
                <w:sz w:val="16"/>
                <w:szCs w:val="16"/>
              </w:rPr>
            </w:pPr>
            <w:r>
              <w:rPr>
                <w:rFonts w:ascii="Times New Roman" w:eastAsia="Times New Roman" w:hAnsi="Times New Roman" w:cs="Times New Roman"/>
                <w:sz w:val="16"/>
                <w:szCs w:val="16"/>
              </w:rPr>
              <w:t>400 mg</w:t>
            </w:r>
          </w:p>
        </w:tc>
        <w:tc>
          <w:tcPr>
            <w:tcW w:w="1392" w:type="dxa"/>
            <w:shd w:val="clear" w:color="auto" w:fill="FFFFFF"/>
          </w:tcPr>
          <w:p w14:paraId="12C235A4" w14:textId="77777777" w:rsidR="00924992" w:rsidRDefault="00924992">
            <w:pPr>
              <w:pStyle w:val="Other0"/>
              <w:framePr w:w="11443" w:h="5587" w:vSpace="850" w:wrap="none" w:hAnchor="page" w:x="620" w:y="351"/>
              <w:spacing w:line="240" w:lineRule="auto"/>
              <w:ind w:firstLine="0"/>
              <w:rPr>
                <w:sz w:val="16"/>
                <w:szCs w:val="16"/>
              </w:rPr>
            </w:pPr>
            <w:r>
              <w:rPr>
                <w:rFonts w:ascii="Times New Roman" w:eastAsia="Times New Roman" w:hAnsi="Times New Roman" w:cs="Times New Roman"/>
                <w:sz w:val="16"/>
                <w:szCs w:val="16"/>
              </w:rPr>
              <w:t>15-25</w:t>
            </w:r>
          </w:p>
        </w:tc>
        <w:tc>
          <w:tcPr>
            <w:tcW w:w="2160" w:type="dxa"/>
            <w:shd w:val="clear" w:color="auto" w:fill="FFFFFF"/>
          </w:tcPr>
          <w:p w14:paraId="3F909A69" w14:textId="77777777" w:rsidR="00924992" w:rsidRDefault="00924992">
            <w:pPr>
              <w:pStyle w:val="Other0"/>
              <w:framePr w:w="11443" w:h="5587" w:vSpace="850" w:wrap="none" w:hAnchor="page" w:x="620" w:y="351"/>
              <w:spacing w:line="240" w:lineRule="auto"/>
              <w:ind w:firstLine="320"/>
              <w:rPr>
                <w:sz w:val="16"/>
                <w:szCs w:val="16"/>
              </w:rPr>
            </w:pPr>
            <w:r>
              <w:rPr>
                <w:rFonts w:ascii="Times New Roman" w:eastAsia="Times New Roman" w:hAnsi="Times New Roman" w:cs="Times New Roman"/>
                <w:sz w:val="16"/>
                <w:szCs w:val="16"/>
              </w:rPr>
              <w:t>50</w:t>
            </w:r>
          </w:p>
        </w:tc>
        <w:tc>
          <w:tcPr>
            <w:tcW w:w="1661" w:type="dxa"/>
            <w:shd w:val="clear" w:color="auto" w:fill="FFFFFF"/>
          </w:tcPr>
          <w:p w14:paraId="29809313" w14:textId="77777777" w:rsidR="00924992" w:rsidRDefault="00924992">
            <w:pPr>
              <w:pStyle w:val="Other0"/>
              <w:framePr w:w="11443" w:h="5587" w:vSpace="850" w:wrap="none" w:hAnchor="page" w:x="620" w:y="351"/>
              <w:spacing w:line="240" w:lineRule="auto"/>
              <w:ind w:firstLine="240"/>
              <w:rPr>
                <w:sz w:val="16"/>
                <w:szCs w:val="16"/>
              </w:rPr>
            </w:pPr>
            <w:r>
              <w:rPr>
                <w:rFonts w:ascii="Times New Roman" w:eastAsia="Times New Roman" w:hAnsi="Times New Roman" w:cs="Times New Roman"/>
                <w:sz w:val="16"/>
                <w:szCs w:val="16"/>
              </w:rPr>
              <w:t>2.5 g</w:t>
            </w:r>
          </w:p>
        </w:tc>
        <w:tc>
          <w:tcPr>
            <w:tcW w:w="2794" w:type="dxa"/>
            <w:shd w:val="clear" w:color="auto" w:fill="FFFFFF"/>
            <w:vAlign w:val="bottom"/>
          </w:tcPr>
          <w:p w14:paraId="44970D14" w14:textId="77777777" w:rsidR="00924992" w:rsidRDefault="00924992">
            <w:pPr>
              <w:pStyle w:val="Other0"/>
              <w:framePr w:w="11443" w:h="5587" w:vSpace="850" w:wrap="none" w:hAnchor="page" w:x="620" w:y="351"/>
              <w:spacing w:line="283" w:lineRule="auto"/>
              <w:ind w:left="240" w:hanging="100"/>
              <w:rPr>
                <w:sz w:val="16"/>
                <w:szCs w:val="16"/>
              </w:rPr>
            </w:pPr>
            <w:r>
              <w:rPr>
                <w:rFonts w:ascii="Times New Roman" w:eastAsia="Times New Roman" w:hAnsi="Times New Roman" w:cs="Times New Roman"/>
                <w:sz w:val="16"/>
                <w:szCs w:val="16"/>
              </w:rPr>
              <w:t>Neuritis óptica (por lo común, reversible), disminución de la discriminación del rojo-gris, perturbaciones de vías gastrointestinales, hipersensibilidad</w:t>
            </w:r>
          </w:p>
        </w:tc>
      </w:tr>
      <w:tr w:rsidR="00924992" w14:paraId="4E289FEB" w14:textId="77777777">
        <w:tblPrEx>
          <w:tblCellMar>
            <w:top w:w="0" w:type="dxa"/>
            <w:bottom w:w="0" w:type="dxa"/>
          </w:tblCellMar>
        </w:tblPrEx>
        <w:trPr>
          <w:trHeight w:hRule="exact" w:val="1310"/>
        </w:trPr>
        <w:tc>
          <w:tcPr>
            <w:tcW w:w="1387" w:type="dxa"/>
            <w:shd w:val="clear" w:color="auto" w:fill="FFFFFF"/>
          </w:tcPr>
          <w:p w14:paraId="5CBF2188" w14:textId="77777777" w:rsidR="00924992" w:rsidRDefault="00924992">
            <w:pPr>
              <w:pStyle w:val="Other0"/>
              <w:framePr w:w="11443" w:h="5587" w:vSpace="850" w:wrap="none" w:hAnchor="page" w:x="620" w:y="351"/>
              <w:spacing w:line="240" w:lineRule="auto"/>
              <w:ind w:firstLine="0"/>
              <w:rPr>
                <w:sz w:val="16"/>
                <w:szCs w:val="16"/>
              </w:rPr>
            </w:pPr>
            <w:r>
              <w:rPr>
                <w:rFonts w:ascii="Times New Roman" w:eastAsia="Times New Roman" w:hAnsi="Times New Roman" w:cs="Times New Roman"/>
                <w:sz w:val="16"/>
                <w:szCs w:val="16"/>
              </w:rPr>
              <w:t>Isoniazida</w:t>
            </w:r>
            <w:r>
              <w:rPr>
                <w:rFonts w:ascii="Times New Roman" w:eastAsia="Times New Roman" w:hAnsi="Times New Roman" w:cs="Times New Roman"/>
                <w:sz w:val="16"/>
                <w:szCs w:val="16"/>
                <w:vertAlign w:val="superscript"/>
              </w:rPr>
              <w:t>1</w:t>
            </w:r>
          </w:p>
        </w:tc>
        <w:tc>
          <w:tcPr>
            <w:tcW w:w="2050" w:type="dxa"/>
            <w:shd w:val="clear" w:color="auto" w:fill="FFFFFF"/>
            <w:vAlign w:val="bottom"/>
          </w:tcPr>
          <w:p w14:paraId="2B763A0C" w14:textId="77777777" w:rsidR="00924992" w:rsidRDefault="00924992">
            <w:pPr>
              <w:pStyle w:val="Other0"/>
              <w:framePr w:w="11443" w:h="5587" w:vSpace="850" w:wrap="none" w:hAnchor="page" w:x="620" w:y="351"/>
              <w:spacing w:line="240" w:lineRule="auto"/>
              <w:ind w:firstLine="360"/>
              <w:rPr>
                <w:sz w:val="16"/>
                <w:szCs w:val="16"/>
              </w:rPr>
            </w:pPr>
            <w:r>
              <w:rPr>
                <w:rFonts w:ascii="Times New Roman" w:eastAsia="Times New Roman" w:hAnsi="Times New Roman" w:cs="Times New Roman"/>
                <w:sz w:val="16"/>
                <w:szCs w:val="16"/>
              </w:rPr>
              <w:t>Tabletas ranuradas</w:t>
            </w:r>
          </w:p>
          <w:p w14:paraId="719D9774" w14:textId="77777777" w:rsidR="00924992" w:rsidRDefault="00924992">
            <w:pPr>
              <w:pStyle w:val="Other0"/>
              <w:framePr w:w="11443" w:h="5587" w:vSpace="850" w:wrap="none" w:hAnchor="page" w:x="620" w:y="351"/>
              <w:spacing w:line="240" w:lineRule="auto"/>
              <w:ind w:firstLine="480"/>
              <w:rPr>
                <w:sz w:val="16"/>
                <w:szCs w:val="16"/>
              </w:rPr>
            </w:pPr>
            <w:r>
              <w:rPr>
                <w:rFonts w:ascii="Times New Roman" w:eastAsia="Times New Roman" w:hAnsi="Times New Roman" w:cs="Times New Roman"/>
                <w:sz w:val="16"/>
                <w:szCs w:val="16"/>
              </w:rPr>
              <w:t>100 mg</w:t>
            </w:r>
          </w:p>
          <w:p w14:paraId="45C826B7" w14:textId="77777777" w:rsidR="00924992" w:rsidRDefault="00924992">
            <w:pPr>
              <w:pStyle w:val="Other0"/>
              <w:framePr w:w="11443" w:h="5587" w:vSpace="850" w:wrap="none" w:hAnchor="page" w:x="620" w:y="351"/>
              <w:spacing w:after="220" w:line="240" w:lineRule="auto"/>
              <w:ind w:firstLine="480"/>
              <w:rPr>
                <w:sz w:val="16"/>
                <w:szCs w:val="16"/>
              </w:rPr>
            </w:pPr>
            <w:r>
              <w:rPr>
                <w:rFonts w:ascii="Times New Roman" w:eastAsia="Times New Roman" w:hAnsi="Times New Roman" w:cs="Times New Roman"/>
                <w:sz w:val="16"/>
                <w:szCs w:val="16"/>
              </w:rPr>
              <w:t>300 mg</w:t>
            </w:r>
          </w:p>
          <w:p w14:paraId="2A8211C6" w14:textId="77777777" w:rsidR="00924992" w:rsidRDefault="00924992">
            <w:pPr>
              <w:pStyle w:val="Other0"/>
              <w:framePr w:w="11443" w:h="5587" w:vSpace="850" w:wrap="none" w:hAnchor="page" w:x="620" w:y="351"/>
              <w:spacing w:line="240" w:lineRule="auto"/>
              <w:ind w:firstLine="360"/>
              <w:rPr>
                <w:sz w:val="16"/>
                <w:szCs w:val="16"/>
              </w:rPr>
            </w:pPr>
            <w:r>
              <w:rPr>
                <w:rFonts w:ascii="Times New Roman" w:eastAsia="Times New Roman" w:hAnsi="Times New Roman" w:cs="Times New Roman"/>
                <w:sz w:val="16"/>
                <w:szCs w:val="16"/>
              </w:rPr>
              <w:t>Jarabe</w:t>
            </w:r>
          </w:p>
          <w:p w14:paraId="5AF0A3DB" w14:textId="77777777" w:rsidR="00924992" w:rsidRDefault="00924992">
            <w:pPr>
              <w:pStyle w:val="Other0"/>
              <w:framePr w:w="11443" w:h="5587" w:vSpace="850" w:wrap="none" w:hAnchor="page" w:x="620" w:y="351"/>
              <w:spacing w:line="240" w:lineRule="auto"/>
              <w:ind w:firstLine="480"/>
              <w:rPr>
                <w:sz w:val="16"/>
                <w:szCs w:val="16"/>
              </w:rPr>
            </w:pPr>
            <w:r>
              <w:rPr>
                <w:rFonts w:ascii="Times New Roman" w:eastAsia="Times New Roman" w:hAnsi="Times New Roman" w:cs="Times New Roman"/>
                <w:sz w:val="16"/>
                <w:szCs w:val="16"/>
              </w:rPr>
              <w:t>10 mg/ml</w:t>
            </w:r>
          </w:p>
        </w:tc>
        <w:tc>
          <w:tcPr>
            <w:tcW w:w="1392" w:type="dxa"/>
            <w:shd w:val="clear" w:color="auto" w:fill="FFFFFF"/>
          </w:tcPr>
          <w:p w14:paraId="5CCAFAF9" w14:textId="77777777" w:rsidR="00924992" w:rsidRDefault="00924992">
            <w:pPr>
              <w:pStyle w:val="Other0"/>
              <w:framePr w:w="11443" w:h="5587" w:vSpace="850" w:wrap="none" w:hAnchor="page" w:x="620" w:y="351"/>
              <w:spacing w:line="240" w:lineRule="auto"/>
              <w:ind w:firstLine="0"/>
              <w:rPr>
                <w:sz w:val="16"/>
                <w:szCs w:val="16"/>
              </w:rPr>
            </w:pPr>
            <w:r>
              <w:rPr>
                <w:rFonts w:ascii="Times New Roman" w:eastAsia="Times New Roman" w:hAnsi="Times New Roman" w:cs="Times New Roman"/>
                <w:sz w:val="16"/>
                <w:szCs w:val="16"/>
              </w:rPr>
              <w:t>10-152</w:t>
            </w:r>
          </w:p>
        </w:tc>
        <w:tc>
          <w:tcPr>
            <w:tcW w:w="2160" w:type="dxa"/>
            <w:shd w:val="clear" w:color="auto" w:fill="FFFFFF"/>
          </w:tcPr>
          <w:p w14:paraId="720B0A4E" w14:textId="77777777" w:rsidR="00924992" w:rsidRDefault="00924992">
            <w:pPr>
              <w:pStyle w:val="Other0"/>
              <w:framePr w:w="11443" w:h="5587" w:vSpace="850" w:wrap="none" w:hAnchor="page" w:x="620" w:y="351"/>
              <w:spacing w:line="240" w:lineRule="auto"/>
              <w:ind w:firstLine="320"/>
              <w:rPr>
                <w:sz w:val="16"/>
                <w:szCs w:val="16"/>
              </w:rPr>
            </w:pPr>
            <w:r>
              <w:rPr>
                <w:rFonts w:ascii="Times New Roman" w:eastAsia="Times New Roman" w:hAnsi="Times New Roman" w:cs="Times New Roman"/>
                <w:sz w:val="16"/>
                <w:szCs w:val="16"/>
              </w:rPr>
              <w:t>20-30</w:t>
            </w:r>
          </w:p>
        </w:tc>
        <w:tc>
          <w:tcPr>
            <w:tcW w:w="1661" w:type="dxa"/>
            <w:shd w:val="clear" w:color="auto" w:fill="FFFFFF"/>
          </w:tcPr>
          <w:p w14:paraId="2C974919" w14:textId="77777777" w:rsidR="00924992" w:rsidRDefault="00924992">
            <w:pPr>
              <w:pStyle w:val="Other0"/>
              <w:framePr w:w="11443" w:h="5587" w:vSpace="850" w:wrap="none" w:hAnchor="page" w:x="620" w:y="351"/>
              <w:spacing w:line="240" w:lineRule="auto"/>
              <w:ind w:firstLine="240"/>
              <w:rPr>
                <w:sz w:val="16"/>
                <w:szCs w:val="16"/>
              </w:rPr>
            </w:pPr>
            <w:r>
              <w:rPr>
                <w:rFonts w:ascii="Times New Roman" w:eastAsia="Times New Roman" w:hAnsi="Times New Roman" w:cs="Times New Roman"/>
                <w:sz w:val="16"/>
                <w:szCs w:val="16"/>
              </w:rPr>
              <w:t>Diariamente,</w:t>
            </w:r>
          </w:p>
          <w:p w14:paraId="42DC1A2D" w14:textId="77777777" w:rsidR="00924992" w:rsidRDefault="00924992">
            <w:pPr>
              <w:pStyle w:val="Other0"/>
              <w:framePr w:w="11443" w:h="5587" w:vSpace="850" w:wrap="none" w:hAnchor="page" w:x="620" w:y="351"/>
              <w:spacing w:line="240" w:lineRule="auto"/>
              <w:ind w:firstLine="380"/>
              <w:rPr>
                <w:sz w:val="16"/>
                <w:szCs w:val="16"/>
              </w:rPr>
            </w:pPr>
            <w:r>
              <w:rPr>
                <w:rFonts w:ascii="Times New Roman" w:eastAsia="Times New Roman" w:hAnsi="Times New Roman" w:cs="Times New Roman"/>
                <w:sz w:val="16"/>
                <w:szCs w:val="16"/>
              </w:rPr>
              <w:t>300 mg</w:t>
            </w:r>
          </w:p>
          <w:p w14:paraId="10E4FEE0" w14:textId="77777777" w:rsidR="00924992" w:rsidRDefault="00924992">
            <w:pPr>
              <w:pStyle w:val="Other0"/>
              <w:framePr w:w="11443" w:h="5587" w:vSpace="850" w:wrap="none" w:hAnchor="page" w:x="620" w:y="351"/>
              <w:spacing w:line="240" w:lineRule="auto"/>
              <w:ind w:firstLine="240"/>
              <w:rPr>
                <w:sz w:val="16"/>
                <w:szCs w:val="16"/>
              </w:rPr>
            </w:pPr>
            <w:r>
              <w:rPr>
                <w:rFonts w:ascii="Times New Roman" w:eastAsia="Times New Roman" w:hAnsi="Times New Roman" w:cs="Times New Roman"/>
                <w:sz w:val="16"/>
                <w:szCs w:val="16"/>
              </w:rPr>
              <w:t>Dos veces por</w:t>
            </w:r>
          </w:p>
          <w:p w14:paraId="3C1298A3" w14:textId="77777777" w:rsidR="00924992" w:rsidRDefault="00924992">
            <w:pPr>
              <w:pStyle w:val="Other0"/>
              <w:framePr w:w="11443" w:h="5587" w:vSpace="850" w:wrap="none" w:hAnchor="page" w:x="620" w:y="351"/>
              <w:spacing w:line="240" w:lineRule="auto"/>
              <w:ind w:firstLine="380"/>
              <w:rPr>
                <w:sz w:val="16"/>
                <w:szCs w:val="16"/>
              </w:rPr>
            </w:pPr>
            <w:r>
              <w:rPr>
                <w:rFonts w:ascii="Times New Roman" w:eastAsia="Times New Roman" w:hAnsi="Times New Roman" w:cs="Times New Roman"/>
                <w:sz w:val="16"/>
                <w:szCs w:val="16"/>
              </w:rPr>
              <w:t>semana, 900 mg</w:t>
            </w:r>
          </w:p>
        </w:tc>
        <w:tc>
          <w:tcPr>
            <w:tcW w:w="2794" w:type="dxa"/>
            <w:shd w:val="clear" w:color="auto" w:fill="FFFFFF"/>
          </w:tcPr>
          <w:p w14:paraId="30768713" w14:textId="77777777" w:rsidR="00924992" w:rsidRDefault="00924992">
            <w:pPr>
              <w:pStyle w:val="Other0"/>
              <w:framePr w:w="11443" w:h="5587" w:vSpace="850" w:wrap="none" w:hAnchor="page" w:x="620" w:y="351"/>
              <w:spacing w:line="286" w:lineRule="auto"/>
              <w:ind w:left="240" w:hanging="100"/>
              <w:rPr>
                <w:sz w:val="16"/>
                <w:szCs w:val="16"/>
              </w:rPr>
            </w:pPr>
            <w:r>
              <w:rPr>
                <w:rFonts w:ascii="Times New Roman" w:eastAsia="Times New Roman" w:hAnsi="Times New Roman" w:cs="Times New Roman"/>
                <w:sz w:val="16"/>
                <w:szCs w:val="16"/>
              </w:rPr>
              <w:t>Elevación pequeña del nivel de enzimas hepáticas, hepatitis</w:t>
            </w:r>
            <w:r>
              <w:rPr>
                <w:rFonts w:ascii="Times New Roman" w:eastAsia="Times New Roman" w:hAnsi="Times New Roman" w:cs="Times New Roman"/>
                <w:sz w:val="16"/>
                <w:szCs w:val="16"/>
                <w:vertAlign w:val="superscript"/>
              </w:rPr>
              <w:t>2</w:t>
            </w:r>
            <w:r>
              <w:rPr>
                <w:rFonts w:ascii="Times New Roman" w:eastAsia="Times New Roman" w:hAnsi="Times New Roman" w:cs="Times New Roman"/>
                <w:sz w:val="16"/>
                <w:szCs w:val="16"/>
              </w:rPr>
              <w:t>, neuritis periférica, hipersensibilidad</w:t>
            </w:r>
          </w:p>
        </w:tc>
      </w:tr>
      <w:tr w:rsidR="00924992" w14:paraId="70768898" w14:textId="77777777">
        <w:tblPrEx>
          <w:tblCellMar>
            <w:top w:w="0" w:type="dxa"/>
            <w:bottom w:w="0" w:type="dxa"/>
          </w:tblCellMar>
        </w:tblPrEx>
        <w:trPr>
          <w:trHeight w:hRule="exact" w:val="442"/>
        </w:trPr>
        <w:tc>
          <w:tcPr>
            <w:tcW w:w="1387" w:type="dxa"/>
            <w:shd w:val="clear" w:color="auto" w:fill="FFFFFF"/>
          </w:tcPr>
          <w:p w14:paraId="078BE72C" w14:textId="77777777" w:rsidR="00924992" w:rsidRDefault="00924992">
            <w:pPr>
              <w:pStyle w:val="Other0"/>
              <w:framePr w:w="11443" w:h="5587" w:vSpace="850" w:wrap="none" w:hAnchor="page" w:x="620" w:y="351"/>
              <w:spacing w:line="240" w:lineRule="auto"/>
              <w:ind w:firstLine="0"/>
              <w:rPr>
                <w:sz w:val="16"/>
                <w:szCs w:val="16"/>
              </w:rPr>
            </w:pPr>
            <w:r>
              <w:rPr>
                <w:rFonts w:ascii="Times New Roman" w:eastAsia="Times New Roman" w:hAnsi="Times New Roman" w:cs="Times New Roman"/>
                <w:sz w:val="16"/>
                <w:szCs w:val="16"/>
              </w:rPr>
              <w:t>Pirazinamida</w:t>
            </w:r>
            <w:r>
              <w:rPr>
                <w:rFonts w:ascii="Times New Roman" w:eastAsia="Times New Roman" w:hAnsi="Times New Roman" w:cs="Times New Roman"/>
                <w:sz w:val="16"/>
                <w:szCs w:val="16"/>
                <w:vertAlign w:val="superscript"/>
              </w:rPr>
              <w:t>1</w:t>
            </w:r>
          </w:p>
        </w:tc>
        <w:tc>
          <w:tcPr>
            <w:tcW w:w="2050" w:type="dxa"/>
            <w:shd w:val="clear" w:color="auto" w:fill="FFFFFF"/>
            <w:vAlign w:val="bottom"/>
          </w:tcPr>
          <w:p w14:paraId="1D302C92" w14:textId="77777777" w:rsidR="00924992" w:rsidRDefault="00924992">
            <w:pPr>
              <w:pStyle w:val="Other0"/>
              <w:framePr w:w="11443" w:h="5587" w:vSpace="850" w:wrap="none" w:hAnchor="page" w:x="620" w:y="351"/>
              <w:spacing w:line="283" w:lineRule="auto"/>
              <w:ind w:left="360"/>
              <w:rPr>
                <w:sz w:val="16"/>
                <w:szCs w:val="16"/>
              </w:rPr>
            </w:pPr>
            <w:r>
              <w:rPr>
                <w:rFonts w:ascii="Times New Roman" w:eastAsia="Times New Roman" w:hAnsi="Times New Roman" w:cs="Times New Roman"/>
                <w:sz w:val="16"/>
                <w:szCs w:val="16"/>
              </w:rPr>
              <w:t>Tabletas ranuradas 500 mg</w:t>
            </w:r>
          </w:p>
        </w:tc>
        <w:tc>
          <w:tcPr>
            <w:tcW w:w="1392" w:type="dxa"/>
            <w:shd w:val="clear" w:color="auto" w:fill="FFFFFF"/>
          </w:tcPr>
          <w:p w14:paraId="5C2AAF9C" w14:textId="77777777" w:rsidR="00924992" w:rsidRDefault="00924992">
            <w:pPr>
              <w:pStyle w:val="Other0"/>
              <w:framePr w:w="11443" w:h="5587" w:vSpace="850" w:wrap="none" w:hAnchor="page" w:x="620" w:y="351"/>
              <w:spacing w:line="240" w:lineRule="auto"/>
              <w:ind w:firstLine="0"/>
              <w:rPr>
                <w:sz w:val="16"/>
                <w:szCs w:val="16"/>
              </w:rPr>
            </w:pPr>
            <w:r>
              <w:rPr>
                <w:rFonts w:ascii="Times New Roman" w:eastAsia="Times New Roman" w:hAnsi="Times New Roman" w:cs="Times New Roman"/>
                <w:sz w:val="16"/>
                <w:szCs w:val="16"/>
              </w:rPr>
              <w:t>20-40</w:t>
            </w:r>
          </w:p>
        </w:tc>
        <w:tc>
          <w:tcPr>
            <w:tcW w:w="2160" w:type="dxa"/>
            <w:shd w:val="clear" w:color="auto" w:fill="FFFFFF"/>
          </w:tcPr>
          <w:p w14:paraId="6C9FD3F4" w14:textId="77777777" w:rsidR="00924992" w:rsidRDefault="00924992">
            <w:pPr>
              <w:pStyle w:val="Other0"/>
              <w:framePr w:w="11443" w:h="5587" w:vSpace="850" w:wrap="none" w:hAnchor="page" w:x="620" w:y="351"/>
              <w:spacing w:line="240" w:lineRule="auto"/>
              <w:ind w:firstLine="320"/>
              <w:rPr>
                <w:sz w:val="16"/>
                <w:szCs w:val="16"/>
              </w:rPr>
            </w:pPr>
            <w:r>
              <w:rPr>
                <w:rFonts w:ascii="Times New Roman" w:eastAsia="Times New Roman" w:hAnsi="Times New Roman" w:cs="Times New Roman"/>
                <w:sz w:val="16"/>
                <w:szCs w:val="16"/>
              </w:rPr>
              <w:t>50</w:t>
            </w:r>
          </w:p>
        </w:tc>
        <w:tc>
          <w:tcPr>
            <w:tcW w:w="1661" w:type="dxa"/>
            <w:shd w:val="clear" w:color="auto" w:fill="FFFFFF"/>
          </w:tcPr>
          <w:p w14:paraId="4A932124" w14:textId="77777777" w:rsidR="00924992" w:rsidRDefault="00924992">
            <w:pPr>
              <w:pStyle w:val="Other0"/>
              <w:framePr w:w="11443" w:h="5587" w:vSpace="850" w:wrap="none" w:hAnchor="page" w:x="620" w:y="351"/>
              <w:spacing w:line="240" w:lineRule="auto"/>
              <w:ind w:firstLine="240"/>
              <w:rPr>
                <w:sz w:val="16"/>
                <w:szCs w:val="16"/>
              </w:rPr>
            </w:pPr>
            <w:r>
              <w:rPr>
                <w:rFonts w:ascii="Times New Roman" w:eastAsia="Times New Roman" w:hAnsi="Times New Roman" w:cs="Times New Roman"/>
                <w:sz w:val="16"/>
                <w:szCs w:val="16"/>
              </w:rPr>
              <w:t>2 g</w:t>
            </w:r>
          </w:p>
        </w:tc>
        <w:tc>
          <w:tcPr>
            <w:tcW w:w="2794" w:type="dxa"/>
            <w:shd w:val="clear" w:color="auto" w:fill="FFFFFF"/>
          </w:tcPr>
          <w:p w14:paraId="096B3254" w14:textId="77777777" w:rsidR="00924992" w:rsidRDefault="00924992">
            <w:pPr>
              <w:pStyle w:val="Other0"/>
              <w:framePr w:w="11443" w:h="5587" w:vSpace="850" w:wrap="none" w:hAnchor="page" w:x="620" w:y="351"/>
              <w:spacing w:line="240" w:lineRule="auto"/>
              <w:ind w:firstLine="140"/>
              <w:rPr>
                <w:sz w:val="16"/>
                <w:szCs w:val="16"/>
              </w:rPr>
            </w:pPr>
            <w:r>
              <w:rPr>
                <w:rFonts w:ascii="Times New Roman" w:eastAsia="Times New Roman" w:hAnsi="Times New Roman" w:cs="Times New Roman"/>
                <w:sz w:val="16"/>
                <w:szCs w:val="16"/>
              </w:rPr>
              <w:t>Efectos hepatotóxicos, hiperuricemia</w:t>
            </w:r>
          </w:p>
        </w:tc>
      </w:tr>
      <w:tr w:rsidR="00924992" w14:paraId="753CFD99" w14:textId="77777777">
        <w:tblPrEx>
          <w:tblCellMar>
            <w:top w:w="0" w:type="dxa"/>
            <w:bottom w:w="0" w:type="dxa"/>
          </w:tblCellMar>
        </w:tblPrEx>
        <w:trPr>
          <w:trHeight w:hRule="exact" w:val="1824"/>
        </w:trPr>
        <w:tc>
          <w:tcPr>
            <w:tcW w:w="1387" w:type="dxa"/>
            <w:tcBorders>
              <w:bottom w:val="single" w:sz="4" w:space="0" w:color="auto"/>
            </w:tcBorders>
            <w:shd w:val="clear" w:color="auto" w:fill="FFFFFF"/>
          </w:tcPr>
          <w:p w14:paraId="0E632562" w14:textId="77777777" w:rsidR="00924992" w:rsidRDefault="00924992">
            <w:pPr>
              <w:pStyle w:val="Other0"/>
              <w:framePr w:w="11443" w:h="5587" w:vSpace="850" w:wrap="none" w:hAnchor="page" w:x="620" w:y="351"/>
              <w:spacing w:line="240" w:lineRule="auto"/>
              <w:ind w:firstLine="0"/>
              <w:rPr>
                <w:sz w:val="16"/>
                <w:szCs w:val="16"/>
              </w:rPr>
            </w:pPr>
            <w:r>
              <w:rPr>
                <w:rFonts w:ascii="Times New Roman" w:eastAsia="Times New Roman" w:hAnsi="Times New Roman" w:cs="Times New Roman"/>
                <w:sz w:val="16"/>
                <w:szCs w:val="16"/>
              </w:rPr>
              <w:t>Rifampicina</w:t>
            </w:r>
            <w:r>
              <w:rPr>
                <w:rFonts w:ascii="Times New Roman" w:eastAsia="Times New Roman" w:hAnsi="Times New Roman" w:cs="Times New Roman"/>
                <w:sz w:val="16"/>
                <w:szCs w:val="16"/>
                <w:vertAlign w:val="superscript"/>
              </w:rPr>
              <w:t>1</w:t>
            </w:r>
          </w:p>
        </w:tc>
        <w:tc>
          <w:tcPr>
            <w:tcW w:w="2050" w:type="dxa"/>
            <w:tcBorders>
              <w:bottom w:val="single" w:sz="4" w:space="0" w:color="auto"/>
            </w:tcBorders>
            <w:shd w:val="clear" w:color="auto" w:fill="FFFFFF"/>
          </w:tcPr>
          <w:p w14:paraId="0C9DE550" w14:textId="77777777" w:rsidR="00924992" w:rsidRDefault="00924992">
            <w:pPr>
              <w:pStyle w:val="Other0"/>
              <w:framePr w:w="11443" w:h="5587" w:vSpace="850" w:wrap="none" w:hAnchor="page" w:x="620" w:y="351"/>
              <w:spacing w:line="283" w:lineRule="auto"/>
              <w:ind w:firstLine="360"/>
              <w:rPr>
                <w:sz w:val="16"/>
                <w:szCs w:val="16"/>
              </w:rPr>
            </w:pPr>
            <w:r>
              <w:rPr>
                <w:rFonts w:ascii="Times New Roman" w:eastAsia="Times New Roman" w:hAnsi="Times New Roman" w:cs="Times New Roman"/>
                <w:sz w:val="16"/>
                <w:szCs w:val="16"/>
              </w:rPr>
              <w:t>Cápsulas</w:t>
            </w:r>
          </w:p>
          <w:p w14:paraId="2072F732" w14:textId="77777777" w:rsidR="00924992" w:rsidRDefault="00924992">
            <w:pPr>
              <w:pStyle w:val="Other0"/>
              <w:framePr w:w="11443" w:h="5587" w:vSpace="850" w:wrap="none" w:hAnchor="page" w:x="620" w:y="351"/>
              <w:spacing w:line="283" w:lineRule="auto"/>
              <w:ind w:firstLine="480"/>
              <w:rPr>
                <w:sz w:val="16"/>
                <w:szCs w:val="16"/>
              </w:rPr>
            </w:pPr>
            <w:r>
              <w:rPr>
                <w:rFonts w:ascii="Times New Roman" w:eastAsia="Times New Roman" w:hAnsi="Times New Roman" w:cs="Times New Roman"/>
                <w:sz w:val="16"/>
                <w:szCs w:val="16"/>
              </w:rPr>
              <w:t>150 mg</w:t>
            </w:r>
          </w:p>
          <w:p w14:paraId="7581F76D" w14:textId="77777777" w:rsidR="00924992" w:rsidRDefault="00924992">
            <w:pPr>
              <w:pStyle w:val="Other0"/>
              <w:framePr w:w="11443" w:h="5587" w:vSpace="850" w:wrap="none" w:hAnchor="page" w:x="620" w:y="351"/>
              <w:spacing w:line="283" w:lineRule="auto"/>
              <w:ind w:firstLine="480"/>
              <w:rPr>
                <w:sz w:val="16"/>
                <w:szCs w:val="16"/>
              </w:rPr>
            </w:pPr>
            <w:r>
              <w:rPr>
                <w:rFonts w:ascii="Times New Roman" w:eastAsia="Times New Roman" w:hAnsi="Times New Roman" w:cs="Times New Roman"/>
                <w:sz w:val="16"/>
                <w:szCs w:val="16"/>
              </w:rPr>
              <w:t>300 mg</w:t>
            </w:r>
          </w:p>
          <w:p w14:paraId="15FE0EA1" w14:textId="77777777" w:rsidR="00924992" w:rsidRDefault="00924992">
            <w:pPr>
              <w:pStyle w:val="Other0"/>
              <w:framePr w:w="11443" w:h="5587" w:vSpace="850" w:wrap="none" w:hAnchor="page" w:x="620" w:y="351"/>
              <w:spacing w:line="283" w:lineRule="auto"/>
              <w:ind w:firstLine="360"/>
              <w:rPr>
                <w:sz w:val="16"/>
                <w:szCs w:val="16"/>
              </w:rPr>
            </w:pPr>
            <w:r>
              <w:rPr>
                <w:rFonts w:ascii="Times New Roman" w:eastAsia="Times New Roman" w:hAnsi="Times New Roman" w:cs="Times New Roman"/>
                <w:sz w:val="16"/>
                <w:szCs w:val="16"/>
              </w:rPr>
              <w:t>Jarabe</w:t>
            </w:r>
          </w:p>
          <w:p w14:paraId="4E83FE0B" w14:textId="77777777" w:rsidR="00924992" w:rsidRDefault="00924992">
            <w:pPr>
              <w:pStyle w:val="Other0"/>
              <w:framePr w:w="11443" w:h="5587" w:vSpace="850" w:wrap="none" w:hAnchor="page" w:x="620" w:y="351"/>
              <w:spacing w:line="283" w:lineRule="auto"/>
              <w:ind w:left="480" w:firstLine="0"/>
              <w:rPr>
                <w:sz w:val="16"/>
                <w:szCs w:val="16"/>
              </w:rPr>
            </w:pPr>
            <w:r>
              <w:rPr>
                <w:rFonts w:ascii="Times New Roman" w:eastAsia="Times New Roman" w:hAnsi="Times New Roman" w:cs="Times New Roman"/>
                <w:sz w:val="16"/>
                <w:szCs w:val="16"/>
              </w:rPr>
              <w:t>preparado en forma de jarabe con el polvo de las cápsulas</w:t>
            </w:r>
          </w:p>
        </w:tc>
        <w:tc>
          <w:tcPr>
            <w:tcW w:w="1392" w:type="dxa"/>
            <w:tcBorders>
              <w:bottom w:val="single" w:sz="4" w:space="0" w:color="auto"/>
            </w:tcBorders>
            <w:shd w:val="clear" w:color="auto" w:fill="FFFFFF"/>
          </w:tcPr>
          <w:p w14:paraId="38B5D7BE" w14:textId="77777777" w:rsidR="00924992" w:rsidRDefault="00924992">
            <w:pPr>
              <w:pStyle w:val="Other0"/>
              <w:framePr w:w="11443" w:h="5587" w:vSpace="850" w:wrap="none" w:hAnchor="page" w:x="620" w:y="351"/>
              <w:spacing w:line="240" w:lineRule="auto"/>
              <w:ind w:firstLine="0"/>
              <w:rPr>
                <w:sz w:val="16"/>
                <w:szCs w:val="16"/>
              </w:rPr>
            </w:pPr>
            <w:r>
              <w:rPr>
                <w:rFonts w:ascii="Times New Roman" w:eastAsia="Times New Roman" w:hAnsi="Times New Roman" w:cs="Times New Roman"/>
                <w:sz w:val="16"/>
                <w:szCs w:val="16"/>
              </w:rPr>
              <w:t>10-20</w:t>
            </w:r>
          </w:p>
        </w:tc>
        <w:tc>
          <w:tcPr>
            <w:tcW w:w="2160" w:type="dxa"/>
            <w:tcBorders>
              <w:bottom w:val="single" w:sz="4" w:space="0" w:color="auto"/>
            </w:tcBorders>
            <w:shd w:val="clear" w:color="auto" w:fill="FFFFFF"/>
          </w:tcPr>
          <w:p w14:paraId="33227582" w14:textId="77777777" w:rsidR="00924992" w:rsidRDefault="00924992">
            <w:pPr>
              <w:pStyle w:val="Other0"/>
              <w:framePr w:w="11443" w:h="5587" w:vSpace="850" w:wrap="none" w:hAnchor="page" w:x="620" w:y="351"/>
              <w:spacing w:line="240" w:lineRule="auto"/>
              <w:ind w:firstLine="320"/>
              <w:rPr>
                <w:sz w:val="16"/>
                <w:szCs w:val="16"/>
              </w:rPr>
            </w:pPr>
            <w:r>
              <w:rPr>
                <w:rFonts w:ascii="Times New Roman" w:eastAsia="Times New Roman" w:hAnsi="Times New Roman" w:cs="Times New Roman"/>
                <w:sz w:val="16"/>
                <w:szCs w:val="16"/>
              </w:rPr>
              <w:t>10-20</w:t>
            </w:r>
          </w:p>
        </w:tc>
        <w:tc>
          <w:tcPr>
            <w:tcW w:w="1661" w:type="dxa"/>
            <w:tcBorders>
              <w:bottom w:val="single" w:sz="4" w:space="0" w:color="auto"/>
            </w:tcBorders>
            <w:shd w:val="clear" w:color="auto" w:fill="FFFFFF"/>
          </w:tcPr>
          <w:p w14:paraId="4C02BBC4" w14:textId="77777777" w:rsidR="00924992" w:rsidRDefault="00924992">
            <w:pPr>
              <w:pStyle w:val="Other0"/>
              <w:framePr w:w="11443" w:h="5587" w:vSpace="850" w:wrap="none" w:hAnchor="page" w:x="620" w:y="351"/>
              <w:spacing w:line="240" w:lineRule="auto"/>
              <w:ind w:firstLine="240"/>
              <w:rPr>
                <w:sz w:val="16"/>
                <w:szCs w:val="16"/>
              </w:rPr>
            </w:pPr>
            <w:r>
              <w:rPr>
                <w:rFonts w:ascii="Times New Roman" w:eastAsia="Times New Roman" w:hAnsi="Times New Roman" w:cs="Times New Roman"/>
                <w:sz w:val="16"/>
                <w:szCs w:val="16"/>
              </w:rPr>
              <w:t>600 mg</w:t>
            </w:r>
          </w:p>
        </w:tc>
        <w:tc>
          <w:tcPr>
            <w:tcW w:w="2794" w:type="dxa"/>
            <w:tcBorders>
              <w:bottom w:val="single" w:sz="4" w:space="0" w:color="auto"/>
            </w:tcBorders>
            <w:shd w:val="clear" w:color="auto" w:fill="FFFFFF"/>
          </w:tcPr>
          <w:p w14:paraId="1FEA293E" w14:textId="77777777" w:rsidR="00924992" w:rsidRDefault="00924992">
            <w:pPr>
              <w:pStyle w:val="Other0"/>
              <w:framePr w:w="11443" w:h="5587" w:vSpace="850" w:wrap="none" w:hAnchor="page" w:x="620" w:y="351"/>
              <w:spacing w:line="283" w:lineRule="auto"/>
              <w:ind w:left="240" w:hanging="100"/>
              <w:rPr>
                <w:sz w:val="16"/>
                <w:szCs w:val="16"/>
              </w:rPr>
            </w:pPr>
            <w:r>
              <w:rPr>
                <w:rFonts w:ascii="Times New Roman" w:eastAsia="Times New Roman" w:hAnsi="Times New Roman" w:cs="Times New Roman"/>
                <w:sz w:val="16"/>
                <w:szCs w:val="16"/>
              </w:rPr>
              <w:t>Color naranja de las secreciones o la orina, manchas en lentes de contacto, vómitos, hepatitis, reacción similar a influenza, trombocitopenia; los anticonceptivos ingeribles pueden ser ineficaces</w:t>
            </w:r>
          </w:p>
        </w:tc>
      </w:tr>
    </w:tbl>
    <w:p w14:paraId="3FD9BAC3" w14:textId="77777777" w:rsidR="00924992" w:rsidRDefault="00924992">
      <w:pPr>
        <w:framePr w:w="11443" w:h="5587" w:vSpace="850" w:wrap="none" w:hAnchor="page" w:x="620" w:y="351"/>
        <w:spacing w:line="1" w:lineRule="exact"/>
      </w:pPr>
    </w:p>
    <w:p w14:paraId="1EDE9F23" w14:textId="77777777" w:rsidR="00924992" w:rsidRDefault="00924992">
      <w:pPr>
        <w:pStyle w:val="Tablecaption0"/>
        <w:framePr w:w="11304" w:h="754" w:wrap="none" w:hAnchor="page" w:x="668" w:y="6034"/>
        <w:numPr>
          <w:ilvl w:val="0"/>
          <w:numId w:val="118"/>
        </w:numPr>
        <w:tabs>
          <w:tab w:val="left" w:pos="163"/>
        </w:tabs>
        <w:spacing w:line="240" w:lineRule="auto"/>
        <w:ind w:left="180" w:hanging="180"/>
      </w:pPr>
      <w:r>
        <w:t>Rifamate (Aventis Pharmaceuticals, Bridgewater, NJ) es una cápsula que contiene 150 mg de isoniazida y 300 mg de rifampicina. Con dos cápsulas se tiene la dosis usual para el adulto (más de 50 kg) diarias de cada fármaco. Rifater es una cápsula que contiene 50 mg de isoniazida, 120 mg de rifampicina y 300 mg de pirazinamida. También se cuenta con isoniazida y rifampicina para administración parenteral.</w:t>
      </w:r>
    </w:p>
    <w:p w14:paraId="5D8BC274" w14:textId="77777777" w:rsidR="00924992" w:rsidRDefault="00924992">
      <w:pPr>
        <w:pStyle w:val="Tablecaption0"/>
        <w:framePr w:w="11304" w:h="754" w:wrap="none" w:hAnchor="page" w:x="668" w:y="6034"/>
        <w:numPr>
          <w:ilvl w:val="0"/>
          <w:numId w:val="118"/>
        </w:numPr>
        <w:tabs>
          <w:tab w:val="left" w:pos="173"/>
        </w:tabs>
        <w:spacing w:line="240" w:lineRule="auto"/>
        <w:ind w:left="0"/>
        <w:jc w:val="both"/>
      </w:pPr>
      <w:r>
        <w:t>Cuando se utiliza una dosis de isoniazida mayor de 10 mg/kg de peso al día en combinación con rifampicina, puede aumentar la frecuencia de efectos hepatotóxicos.</w:t>
      </w:r>
    </w:p>
    <w:p w14:paraId="55AFB395" w14:textId="77777777" w:rsidR="00924992" w:rsidRDefault="00924992">
      <w:pPr>
        <w:pStyle w:val="Bodytext80"/>
        <w:framePr w:w="168" w:h="4003" w:hRule="exact" w:wrap="none" w:hAnchor="page" w:x="12390" w:y="2910"/>
        <w:tabs>
          <w:tab w:val="left" w:pos="3686"/>
        </w:tabs>
        <w:textDirection w:val="tbRl"/>
        <w:rPr>
          <w:sz w:val="16"/>
          <w:szCs w:val="16"/>
        </w:rPr>
      </w:pPr>
      <w:r>
        <w:t>TUBERCULOSIS</w:t>
      </w:r>
      <w:r>
        <w:tab/>
      </w:r>
      <w:r>
        <w:rPr>
          <w:sz w:val="16"/>
          <w:szCs w:val="16"/>
        </w:rPr>
        <w:t>677</w:t>
      </w:r>
    </w:p>
    <w:p w14:paraId="508933FE" w14:textId="77777777" w:rsidR="00924992" w:rsidRDefault="00924992">
      <w:pPr>
        <w:spacing w:line="360" w:lineRule="exact"/>
      </w:pPr>
    </w:p>
    <w:p w14:paraId="3A9C8173" w14:textId="77777777" w:rsidR="00924992" w:rsidRDefault="00924992">
      <w:pPr>
        <w:spacing w:line="360" w:lineRule="exact"/>
      </w:pPr>
    </w:p>
    <w:p w14:paraId="211EDB04" w14:textId="77777777" w:rsidR="00924992" w:rsidRDefault="00924992">
      <w:pPr>
        <w:spacing w:line="360" w:lineRule="exact"/>
      </w:pPr>
    </w:p>
    <w:p w14:paraId="37C4F1CF" w14:textId="77777777" w:rsidR="00924992" w:rsidRDefault="00924992">
      <w:pPr>
        <w:spacing w:line="360" w:lineRule="exact"/>
      </w:pPr>
    </w:p>
    <w:p w14:paraId="197D655F" w14:textId="77777777" w:rsidR="00924992" w:rsidRDefault="00924992">
      <w:pPr>
        <w:spacing w:line="360" w:lineRule="exact"/>
      </w:pPr>
    </w:p>
    <w:p w14:paraId="7AA6B8D0" w14:textId="77777777" w:rsidR="00924992" w:rsidRDefault="00924992">
      <w:pPr>
        <w:spacing w:line="360" w:lineRule="exact"/>
      </w:pPr>
    </w:p>
    <w:p w14:paraId="690CF274" w14:textId="77777777" w:rsidR="00924992" w:rsidRDefault="00924992">
      <w:pPr>
        <w:spacing w:line="360" w:lineRule="exact"/>
      </w:pPr>
    </w:p>
    <w:p w14:paraId="30BE45C0" w14:textId="77777777" w:rsidR="00924992" w:rsidRDefault="00924992">
      <w:pPr>
        <w:spacing w:line="360" w:lineRule="exact"/>
      </w:pPr>
    </w:p>
    <w:p w14:paraId="0E86A906" w14:textId="77777777" w:rsidR="00924992" w:rsidRDefault="00924992">
      <w:pPr>
        <w:spacing w:line="360" w:lineRule="exact"/>
      </w:pPr>
    </w:p>
    <w:p w14:paraId="5F0F0F96" w14:textId="77777777" w:rsidR="00924992" w:rsidRDefault="00924992">
      <w:pPr>
        <w:spacing w:line="360" w:lineRule="exact"/>
      </w:pPr>
    </w:p>
    <w:p w14:paraId="5FD5E779" w14:textId="77777777" w:rsidR="00924992" w:rsidRDefault="00924992">
      <w:pPr>
        <w:spacing w:line="360" w:lineRule="exact"/>
      </w:pPr>
    </w:p>
    <w:p w14:paraId="2C1E0212" w14:textId="77777777" w:rsidR="00924992" w:rsidRDefault="00924992">
      <w:pPr>
        <w:spacing w:line="360" w:lineRule="exact"/>
      </w:pPr>
    </w:p>
    <w:p w14:paraId="164242B6" w14:textId="77777777" w:rsidR="00924992" w:rsidRDefault="00924992">
      <w:pPr>
        <w:spacing w:line="360" w:lineRule="exact"/>
      </w:pPr>
    </w:p>
    <w:p w14:paraId="0705EF40" w14:textId="77777777" w:rsidR="00924992" w:rsidRDefault="00924992">
      <w:pPr>
        <w:spacing w:line="360" w:lineRule="exact"/>
      </w:pPr>
    </w:p>
    <w:p w14:paraId="09B82765" w14:textId="77777777" w:rsidR="00924992" w:rsidRDefault="00924992">
      <w:pPr>
        <w:spacing w:line="360" w:lineRule="exact"/>
      </w:pPr>
    </w:p>
    <w:p w14:paraId="78CC098E" w14:textId="77777777" w:rsidR="00924992" w:rsidRDefault="00924992">
      <w:pPr>
        <w:spacing w:line="360" w:lineRule="exact"/>
      </w:pPr>
    </w:p>
    <w:p w14:paraId="469791CF" w14:textId="77777777" w:rsidR="00924992" w:rsidRDefault="00924992">
      <w:pPr>
        <w:spacing w:line="360" w:lineRule="exact"/>
      </w:pPr>
    </w:p>
    <w:p w14:paraId="3FC18A8A" w14:textId="77777777" w:rsidR="00924992" w:rsidRDefault="00924992">
      <w:pPr>
        <w:spacing w:line="360" w:lineRule="exact"/>
      </w:pPr>
    </w:p>
    <w:p w14:paraId="7EECAFE3" w14:textId="77777777" w:rsidR="00924992" w:rsidRDefault="00924992">
      <w:pPr>
        <w:spacing w:after="431" w:line="1" w:lineRule="exact"/>
      </w:pPr>
    </w:p>
    <w:p w14:paraId="59249CE9" w14:textId="77777777" w:rsidR="00924992" w:rsidRDefault="00924992">
      <w:pPr>
        <w:spacing w:line="1" w:lineRule="exact"/>
        <w:sectPr w:rsidR="00924992" w:rsidSect="00924992">
          <w:pgSz w:w="13022" w:h="8501" w:orient="landscape"/>
          <w:pgMar w:top="1085" w:right="465" w:bottom="304" w:left="619" w:header="657" w:footer="3" w:gutter="0"/>
          <w:cols w:space="720"/>
          <w:noEndnote/>
          <w:docGrid w:linePitch="360"/>
          <w15:footnoteColumns w:val="1"/>
        </w:sectPr>
      </w:pPr>
    </w:p>
    <w:p w14:paraId="6CA483D0" w14:textId="77777777" w:rsidR="00924992" w:rsidRDefault="00924992">
      <w:pPr>
        <w:pStyle w:val="Heading31"/>
        <w:keepNext/>
        <w:keepLines/>
        <w:framePr w:w="10661" w:h="322" w:wrap="none" w:hAnchor="page" w:x="1023" w:y="1"/>
      </w:pPr>
      <w:bookmarkStart w:id="121" w:name="bookmark1576"/>
      <w:bookmarkStart w:id="122" w:name="bookmark1577"/>
      <w:bookmarkStart w:id="123" w:name="bookmark1578"/>
      <w:r>
        <w:rPr>
          <w:b w:val="0"/>
          <w:bCs w:val="0"/>
        </w:rPr>
        <w:t xml:space="preserve">Cuadro 3-73. </w:t>
      </w:r>
      <w:r>
        <w:t>Fármacos menos usados para tratar tuberculosis farmacorresistente en lactantes, niños y adolescentes</w:t>
      </w:r>
      <w:r>
        <w:rPr>
          <w:vertAlign w:val="superscript"/>
        </w:rPr>
        <w:t>1</w:t>
      </w:r>
      <w:bookmarkEnd w:id="121"/>
      <w:bookmarkEnd w:id="122"/>
      <w:bookmarkEnd w:id="123"/>
    </w:p>
    <w:tbl>
      <w:tblPr>
        <w:tblOverlap w:val="never"/>
        <w:tblW w:w="0" w:type="auto"/>
        <w:tblLayout w:type="fixed"/>
        <w:tblCellMar>
          <w:left w:w="10" w:type="dxa"/>
          <w:right w:w="10" w:type="dxa"/>
        </w:tblCellMar>
        <w:tblLook w:val="04A0" w:firstRow="1" w:lastRow="0" w:firstColumn="1" w:lastColumn="0" w:noHBand="0" w:noVBand="1"/>
      </w:tblPr>
      <w:tblGrid>
        <w:gridCol w:w="1613"/>
        <w:gridCol w:w="1757"/>
        <w:gridCol w:w="2990"/>
        <w:gridCol w:w="1493"/>
        <w:gridCol w:w="3566"/>
      </w:tblGrid>
      <w:tr w:rsidR="00924992" w14:paraId="31E8BC69" w14:textId="77777777">
        <w:tblPrEx>
          <w:tblCellMar>
            <w:top w:w="0" w:type="dxa"/>
            <w:bottom w:w="0" w:type="dxa"/>
          </w:tblCellMar>
        </w:tblPrEx>
        <w:trPr>
          <w:trHeight w:hRule="exact" w:val="288"/>
        </w:trPr>
        <w:tc>
          <w:tcPr>
            <w:tcW w:w="1613" w:type="dxa"/>
            <w:shd w:val="clear" w:color="auto" w:fill="231F20"/>
          </w:tcPr>
          <w:p w14:paraId="7E61B559" w14:textId="77777777" w:rsidR="00924992" w:rsidRDefault="00924992">
            <w:pPr>
              <w:pStyle w:val="Other0"/>
              <w:framePr w:w="11419" w:h="5434" w:vSpace="672" w:wrap="none" w:hAnchor="page" w:x="625" w:y="356"/>
              <w:pBdr>
                <w:top w:val="single" w:sz="0" w:space="0" w:color="231F20"/>
                <w:left w:val="single" w:sz="0" w:space="0" w:color="231F20"/>
                <w:bottom w:val="single" w:sz="0" w:space="0" w:color="231F20"/>
                <w:right w:val="single" w:sz="0" w:space="0" w:color="231F20"/>
              </w:pBdr>
              <w:shd w:val="clear" w:color="auto" w:fill="231F20"/>
              <w:spacing w:line="240" w:lineRule="auto"/>
              <w:ind w:firstLine="0"/>
              <w:rPr>
                <w:sz w:val="24"/>
                <w:szCs w:val="24"/>
              </w:rPr>
            </w:pPr>
            <w:r>
              <w:rPr>
                <w:rFonts w:ascii="Arial" w:eastAsia="Arial" w:hAnsi="Arial" w:cs="Arial"/>
                <w:b/>
                <w:bCs/>
                <w:color w:val="FFFFFF"/>
                <w:w w:val="70"/>
                <w:sz w:val="24"/>
                <w:szCs w:val="24"/>
              </w:rPr>
              <w:t>¡Fármacos</w:t>
            </w:r>
          </w:p>
        </w:tc>
        <w:tc>
          <w:tcPr>
            <w:tcW w:w="1757" w:type="dxa"/>
            <w:shd w:val="clear" w:color="auto" w:fill="231F20"/>
          </w:tcPr>
          <w:p w14:paraId="05772207" w14:textId="77777777" w:rsidR="00924992" w:rsidRDefault="00924992">
            <w:pPr>
              <w:pStyle w:val="Other0"/>
              <w:framePr w:w="11419" w:h="5434" w:vSpace="672" w:wrap="none" w:hAnchor="page" w:x="625" w:y="356"/>
              <w:pBdr>
                <w:top w:val="single" w:sz="0" w:space="0" w:color="231F20"/>
                <w:left w:val="single" w:sz="0" w:space="0" w:color="231F20"/>
                <w:bottom w:val="single" w:sz="0" w:space="0" w:color="231F20"/>
                <w:right w:val="single" w:sz="0" w:space="0" w:color="231F20"/>
              </w:pBdr>
              <w:shd w:val="clear" w:color="auto" w:fill="231F20"/>
              <w:spacing w:line="240" w:lineRule="auto"/>
              <w:ind w:firstLine="0"/>
              <w:rPr>
                <w:sz w:val="24"/>
                <w:szCs w:val="24"/>
              </w:rPr>
            </w:pPr>
            <w:r>
              <w:rPr>
                <w:rFonts w:ascii="Arial" w:eastAsia="Arial" w:hAnsi="Arial" w:cs="Arial"/>
                <w:b/>
                <w:bCs/>
                <w:color w:val="FFFFFF"/>
                <w:w w:val="70"/>
                <w:sz w:val="24"/>
                <w:szCs w:val="24"/>
              </w:rPr>
              <w:t>Presentaciones</w:t>
            </w:r>
          </w:p>
        </w:tc>
        <w:tc>
          <w:tcPr>
            <w:tcW w:w="2990" w:type="dxa"/>
            <w:shd w:val="clear" w:color="auto" w:fill="231F20"/>
          </w:tcPr>
          <w:p w14:paraId="46612269" w14:textId="77777777" w:rsidR="00924992" w:rsidRDefault="00924992">
            <w:pPr>
              <w:pStyle w:val="Other0"/>
              <w:framePr w:w="11419" w:h="5434" w:vSpace="672" w:wrap="none" w:hAnchor="page" w:x="625" w:y="356"/>
              <w:pBdr>
                <w:top w:val="single" w:sz="0" w:space="0" w:color="231F20"/>
                <w:left w:val="single" w:sz="0" w:space="0" w:color="231F20"/>
                <w:bottom w:val="single" w:sz="0" w:space="0" w:color="231F20"/>
                <w:right w:val="single" w:sz="0" w:space="0" w:color="231F20"/>
              </w:pBdr>
              <w:shd w:val="clear" w:color="auto" w:fill="231F20"/>
              <w:spacing w:line="240" w:lineRule="auto"/>
              <w:ind w:firstLine="340"/>
              <w:rPr>
                <w:sz w:val="24"/>
                <w:szCs w:val="24"/>
              </w:rPr>
            </w:pPr>
            <w:r>
              <w:rPr>
                <w:rFonts w:ascii="Arial" w:eastAsia="Arial" w:hAnsi="Arial" w:cs="Arial"/>
                <w:b/>
                <w:bCs/>
                <w:color w:val="FFFFFF"/>
                <w:w w:val="70"/>
                <w:sz w:val="24"/>
                <w:szCs w:val="24"/>
              </w:rPr>
              <w:t>Dosis diaria, mg/kg</w:t>
            </w:r>
          </w:p>
        </w:tc>
        <w:tc>
          <w:tcPr>
            <w:tcW w:w="1493" w:type="dxa"/>
            <w:shd w:val="clear" w:color="auto" w:fill="231F20"/>
          </w:tcPr>
          <w:p w14:paraId="1771F502" w14:textId="77777777" w:rsidR="00924992" w:rsidRDefault="00924992">
            <w:pPr>
              <w:pStyle w:val="Other0"/>
              <w:framePr w:w="11419" w:h="5434" w:vSpace="672" w:wrap="none" w:hAnchor="page" w:x="625" w:y="356"/>
              <w:pBdr>
                <w:top w:val="single" w:sz="0" w:space="0" w:color="231F20"/>
                <w:left w:val="single" w:sz="0" w:space="0" w:color="231F20"/>
                <w:bottom w:val="single" w:sz="0" w:space="0" w:color="231F20"/>
                <w:right w:val="single" w:sz="0" w:space="0" w:color="231F20"/>
              </w:pBdr>
              <w:shd w:val="clear" w:color="auto" w:fill="231F20"/>
              <w:spacing w:line="240" w:lineRule="auto"/>
              <w:ind w:firstLine="220"/>
              <w:rPr>
                <w:sz w:val="24"/>
                <w:szCs w:val="24"/>
              </w:rPr>
            </w:pPr>
            <w:r>
              <w:rPr>
                <w:rFonts w:ascii="Arial" w:eastAsia="Arial" w:hAnsi="Arial" w:cs="Arial"/>
                <w:b/>
                <w:bCs/>
                <w:color w:val="FFFFFF"/>
                <w:w w:val="70"/>
                <w:sz w:val="24"/>
                <w:szCs w:val="24"/>
              </w:rPr>
              <w:t>Dosis máxima</w:t>
            </w:r>
          </w:p>
        </w:tc>
        <w:tc>
          <w:tcPr>
            <w:tcW w:w="3566" w:type="dxa"/>
            <w:shd w:val="clear" w:color="auto" w:fill="231F20"/>
          </w:tcPr>
          <w:p w14:paraId="09D0FF8F" w14:textId="77777777" w:rsidR="00924992" w:rsidRDefault="00924992">
            <w:pPr>
              <w:pStyle w:val="Other0"/>
              <w:framePr w:w="11419" w:h="5434" w:vSpace="672" w:wrap="none" w:hAnchor="page" w:x="625" w:y="356"/>
              <w:pBdr>
                <w:top w:val="single" w:sz="0" w:space="0" w:color="231F20"/>
                <w:left w:val="single" w:sz="0" w:space="0" w:color="231F20"/>
                <w:bottom w:val="single" w:sz="0" w:space="0" w:color="231F20"/>
                <w:right w:val="single" w:sz="0" w:space="0" w:color="231F20"/>
              </w:pBdr>
              <w:shd w:val="clear" w:color="auto" w:fill="231F20"/>
              <w:spacing w:line="240" w:lineRule="auto"/>
              <w:ind w:firstLine="0"/>
              <w:rPr>
                <w:sz w:val="24"/>
                <w:szCs w:val="24"/>
              </w:rPr>
            </w:pPr>
            <w:r>
              <w:rPr>
                <w:rFonts w:ascii="Arial" w:eastAsia="Arial" w:hAnsi="Arial" w:cs="Arial"/>
                <w:b/>
                <w:bCs/>
                <w:color w:val="FFFFFF"/>
                <w:w w:val="70"/>
                <w:sz w:val="24"/>
                <w:szCs w:val="24"/>
              </w:rPr>
              <w:t>Reacciones adversas</w:t>
            </w:r>
          </w:p>
        </w:tc>
      </w:tr>
      <w:tr w:rsidR="00924992" w14:paraId="1061E042" w14:textId="77777777">
        <w:tblPrEx>
          <w:tblCellMar>
            <w:top w:w="0" w:type="dxa"/>
            <w:bottom w:w="0" w:type="dxa"/>
          </w:tblCellMar>
        </w:tblPrEx>
        <w:trPr>
          <w:trHeight w:hRule="exact" w:val="278"/>
        </w:trPr>
        <w:tc>
          <w:tcPr>
            <w:tcW w:w="1613" w:type="dxa"/>
            <w:shd w:val="clear" w:color="auto" w:fill="FFFFFF"/>
            <w:vAlign w:val="bottom"/>
          </w:tcPr>
          <w:p w14:paraId="4890C91B" w14:textId="77777777" w:rsidR="00924992" w:rsidRDefault="00924992">
            <w:pPr>
              <w:pStyle w:val="Other0"/>
              <w:framePr w:w="11419" w:h="5434" w:vSpace="672" w:wrap="none" w:hAnchor="page" w:x="625" w:y="356"/>
              <w:spacing w:line="240" w:lineRule="auto"/>
              <w:ind w:firstLine="0"/>
              <w:rPr>
                <w:sz w:val="16"/>
                <w:szCs w:val="16"/>
              </w:rPr>
            </w:pPr>
            <w:r>
              <w:rPr>
                <w:rFonts w:ascii="Times New Roman" w:eastAsia="Times New Roman" w:hAnsi="Times New Roman" w:cs="Times New Roman"/>
                <w:sz w:val="16"/>
                <w:szCs w:val="16"/>
              </w:rPr>
              <w:t>Capreomicina</w:t>
            </w:r>
          </w:p>
        </w:tc>
        <w:tc>
          <w:tcPr>
            <w:tcW w:w="1757" w:type="dxa"/>
            <w:shd w:val="clear" w:color="auto" w:fill="FFFFFF"/>
            <w:vAlign w:val="bottom"/>
          </w:tcPr>
          <w:p w14:paraId="757FFD27" w14:textId="77777777" w:rsidR="00924992" w:rsidRDefault="00924992">
            <w:pPr>
              <w:pStyle w:val="Other0"/>
              <w:framePr w:w="11419" w:h="5434" w:vSpace="672" w:wrap="none" w:hAnchor="page" w:x="625" w:y="356"/>
              <w:spacing w:line="240" w:lineRule="auto"/>
              <w:ind w:firstLine="0"/>
              <w:rPr>
                <w:sz w:val="16"/>
                <w:szCs w:val="16"/>
              </w:rPr>
            </w:pPr>
            <w:r>
              <w:rPr>
                <w:rFonts w:ascii="Times New Roman" w:eastAsia="Times New Roman" w:hAnsi="Times New Roman" w:cs="Times New Roman"/>
                <w:sz w:val="16"/>
                <w:szCs w:val="16"/>
              </w:rPr>
              <w:t>Ampolletas, 1 g</w:t>
            </w:r>
          </w:p>
        </w:tc>
        <w:tc>
          <w:tcPr>
            <w:tcW w:w="2990" w:type="dxa"/>
            <w:shd w:val="clear" w:color="auto" w:fill="FFFFFF"/>
            <w:vAlign w:val="bottom"/>
          </w:tcPr>
          <w:p w14:paraId="4A1FB408" w14:textId="77777777" w:rsidR="00924992" w:rsidRDefault="00924992">
            <w:pPr>
              <w:pStyle w:val="Other0"/>
              <w:framePr w:w="11419" w:h="5434" w:vSpace="672" w:wrap="none" w:hAnchor="page" w:x="625" w:y="356"/>
              <w:spacing w:line="240" w:lineRule="auto"/>
              <w:ind w:firstLine="340"/>
              <w:rPr>
                <w:sz w:val="16"/>
                <w:szCs w:val="16"/>
              </w:rPr>
            </w:pPr>
            <w:r>
              <w:rPr>
                <w:rFonts w:ascii="Times New Roman" w:eastAsia="Times New Roman" w:hAnsi="Times New Roman" w:cs="Times New Roman"/>
                <w:sz w:val="16"/>
                <w:szCs w:val="16"/>
              </w:rPr>
              <w:t>15-30 (aplicación intramuscular)</w:t>
            </w:r>
          </w:p>
        </w:tc>
        <w:tc>
          <w:tcPr>
            <w:tcW w:w="1493" w:type="dxa"/>
            <w:shd w:val="clear" w:color="auto" w:fill="FFFFFF"/>
            <w:vAlign w:val="bottom"/>
          </w:tcPr>
          <w:p w14:paraId="3D4A8247" w14:textId="77777777" w:rsidR="00924992" w:rsidRDefault="00924992">
            <w:pPr>
              <w:pStyle w:val="Other0"/>
              <w:framePr w:w="11419" w:h="5434" w:vSpace="672" w:wrap="none" w:hAnchor="page" w:x="625" w:y="356"/>
              <w:spacing w:line="240" w:lineRule="auto"/>
              <w:ind w:firstLine="220"/>
              <w:rPr>
                <w:sz w:val="16"/>
                <w:szCs w:val="16"/>
              </w:rPr>
            </w:pPr>
            <w:r>
              <w:rPr>
                <w:rFonts w:ascii="Times New Roman" w:eastAsia="Times New Roman" w:hAnsi="Times New Roman" w:cs="Times New Roman"/>
                <w:sz w:val="16"/>
                <w:szCs w:val="16"/>
                <w:vertAlign w:val="superscript"/>
              </w:rPr>
              <w:t>1</w:t>
            </w:r>
            <w:r>
              <w:rPr>
                <w:rFonts w:ascii="Times New Roman" w:eastAsia="Times New Roman" w:hAnsi="Times New Roman" w:cs="Times New Roman"/>
                <w:sz w:val="16"/>
                <w:szCs w:val="16"/>
              </w:rPr>
              <w:t xml:space="preserve"> g</w:t>
            </w:r>
          </w:p>
        </w:tc>
        <w:tc>
          <w:tcPr>
            <w:tcW w:w="3566" w:type="dxa"/>
            <w:shd w:val="clear" w:color="auto" w:fill="FFFFFF"/>
            <w:vAlign w:val="bottom"/>
          </w:tcPr>
          <w:p w14:paraId="6E74C2CB" w14:textId="77777777" w:rsidR="00924992" w:rsidRDefault="00924992">
            <w:pPr>
              <w:pStyle w:val="Other0"/>
              <w:framePr w:w="11419" w:h="5434" w:vSpace="672" w:wrap="none" w:hAnchor="page" w:x="625" w:y="356"/>
              <w:spacing w:line="240" w:lineRule="auto"/>
              <w:ind w:firstLine="0"/>
              <w:rPr>
                <w:sz w:val="16"/>
                <w:szCs w:val="16"/>
              </w:rPr>
            </w:pPr>
            <w:r>
              <w:rPr>
                <w:rFonts w:ascii="Times New Roman" w:eastAsia="Times New Roman" w:hAnsi="Times New Roman" w:cs="Times New Roman"/>
                <w:sz w:val="16"/>
                <w:szCs w:val="16"/>
              </w:rPr>
              <w:t>Ototóxicos y nefrotóxicos</w:t>
            </w:r>
          </w:p>
        </w:tc>
      </w:tr>
      <w:tr w:rsidR="00924992" w14:paraId="29B43B26" w14:textId="77777777">
        <w:tblPrEx>
          <w:tblCellMar>
            <w:top w:w="0" w:type="dxa"/>
            <w:bottom w:w="0" w:type="dxa"/>
          </w:tblCellMar>
        </w:tblPrEx>
        <w:trPr>
          <w:trHeight w:hRule="exact" w:val="446"/>
        </w:trPr>
        <w:tc>
          <w:tcPr>
            <w:tcW w:w="1613" w:type="dxa"/>
            <w:shd w:val="clear" w:color="auto" w:fill="FFFFFF"/>
          </w:tcPr>
          <w:p w14:paraId="15E4F6DB" w14:textId="77777777" w:rsidR="00924992" w:rsidRDefault="00924992">
            <w:pPr>
              <w:pStyle w:val="Other0"/>
              <w:framePr w:w="11419" w:h="5434" w:vSpace="672" w:wrap="none" w:hAnchor="page" w:x="625" w:y="356"/>
              <w:spacing w:line="240" w:lineRule="auto"/>
              <w:ind w:firstLine="0"/>
              <w:rPr>
                <w:sz w:val="16"/>
                <w:szCs w:val="16"/>
              </w:rPr>
            </w:pPr>
            <w:r>
              <w:rPr>
                <w:rFonts w:ascii="Times New Roman" w:eastAsia="Times New Roman" w:hAnsi="Times New Roman" w:cs="Times New Roman"/>
                <w:sz w:val="16"/>
                <w:szCs w:val="16"/>
              </w:rPr>
              <w:t>Cicloserina</w:t>
            </w:r>
          </w:p>
        </w:tc>
        <w:tc>
          <w:tcPr>
            <w:tcW w:w="1757" w:type="dxa"/>
            <w:shd w:val="clear" w:color="auto" w:fill="FFFFFF"/>
          </w:tcPr>
          <w:p w14:paraId="0BDEEFDA" w14:textId="77777777" w:rsidR="00924992" w:rsidRDefault="00924992">
            <w:pPr>
              <w:pStyle w:val="Other0"/>
              <w:framePr w:w="11419" w:h="5434" w:vSpace="672" w:wrap="none" w:hAnchor="page" w:x="625" w:y="356"/>
              <w:spacing w:line="240" w:lineRule="auto"/>
              <w:ind w:firstLine="0"/>
              <w:rPr>
                <w:sz w:val="16"/>
                <w:szCs w:val="16"/>
              </w:rPr>
            </w:pPr>
            <w:r>
              <w:rPr>
                <w:rFonts w:ascii="Times New Roman" w:eastAsia="Times New Roman" w:hAnsi="Times New Roman" w:cs="Times New Roman"/>
                <w:sz w:val="16"/>
                <w:szCs w:val="16"/>
              </w:rPr>
              <w:t>Cápsulas, 250 mg</w:t>
            </w:r>
          </w:p>
        </w:tc>
        <w:tc>
          <w:tcPr>
            <w:tcW w:w="2990" w:type="dxa"/>
            <w:shd w:val="clear" w:color="auto" w:fill="FFFFFF"/>
          </w:tcPr>
          <w:p w14:paraId="02A42BD5" w14:textId="77777777" w:rsidR="00924992" w:rsidRDefault="00924992">
            <w:pPr>
              <w:pStyle w:val="Other0"/>
              <w:framePr w:w="11419" w:h="5434" w:vSpace="672" w:wrap="none" w:hAnchor="page" w:x="625" w:y="356"/>
              <w:spacing w:line="240" w:lineRule="auto"/>
              <w:ind w:firstLine="340"/>
              <w:rPr>
                <w:sz w:val="16"/>
                <w:szCs w:val="16"/>
              </w:rPr>
            </w:pPr>
            <w:r>
              <w:rPr>
                <w:rFonts w:ascii="Times New Roman" w:eastAsia="Times New Roman" w:hAnsi="Times New Roman" w:cs="Times New Roman"/>
                <w:sz w:val="16"/>
                <w:szCs w:val="16"/>
              </w:rPr>
              <w:t>10-20</w:t>
            </w:r>
          </w:p>
        </w:tc>
        <w:tc>
          <w:tcPr>
            <w:tcW w:w="1493" w:type="dxa"/>
            <w:shd w:val="clear" w:color="auto" w:fill="FFFFFF"/>
          </w:tcPr>
          <w:p w14:paraId="6F322F3E" w14:textId="77777777" w:rsidR="00924992" w:rsidRDefault="00924992">
            <w:pPr>
              <w:pStyle w:val="Other0"/>
              <w:framePr w:w="11419" w:h="5434" w:vSpace="672" w:wrap="none" w:hAnchor="page" w:x="625" w:y="356"/>
              <w:spacing w:line="240" w:lineRule="auto"/>
              <w:ind w:firstLine="220"/>
              <w:rPr>
                <w:sz w:val="16"/>
                <w:szCs w:val="16"/>
              </w:rPr>
            </w:pPr>
            <w:r>
              <w:rPr>
                <w:rFonts w:ascii="Times New Roman" w:eastAsia="Times New Roman" w:hAnsi="Times New Roman" w:cs="Times New Roman"/>
                <w:sz w:val="16"/>
                <w:szCs w:val="16"/>
                <w:vertAlign w:val="superscript"/>
              </w:rPr>
              <w:t>1</w:t>
            </w:r>
            <w:r>
              <w:rPr>
                <w:rFonts w:ascii="Times New Roman" w:eastAsia="Times New Roman" w:hAnsi="Times New Roman" w:cs="Times New Roman"/>
                <w:sz w:val="16"/>
                <w:szCs w:val="16"/>
              </w:rPr>
              <w:t xml:space="preserve"> g</w:t>
            </w:r>
          </w:p>
        </w:tc>
        <w:tc>
          <w:tcPr>
            <w:tcW w:w="3566" w:type="dxa"/>
            <w:shd w:val="clear" w:color="auto" w:fill="FFFFFF"/>
            <w:vAlign w:val="bottom"/>
          </w:tcPr>
          <w:p w14:paraId="734B4573" w14:textId="77777777" w:rsidR="00924992" w:rsidRDefault="00924992">
            <w:pPr>
              <w:pStyle w:val="Other0"/>
              <w:framePr w:w="11419" w:h="5434" w:vSpace="672" w:wrap="none" w:hAnchor="page" w:x="625" w:y="356"/>
              <w:spacing w:line="283" w:lineRule="auto"/>
              <w:ind w:left="220" w:hanging="220"/>
              <w:rPr>
                <w:sz w:val="16"/>
                <w:szCs w:val="16"/>
              </w:rPr>
            </w:pPr>
            <w:r>
              <w:rPr>
                <w:rFonts w:ascii="Times New Roman" w:eastAsia="Times New Roman" w:hAnsi="Times New Roman" w:cs="Times New Roman"/>
                <w:sz w:val="16"/>
                <w:szCs w:val="16"/>
              </w:rPr>
              <w:t>Psicosis, cambios de personalidad, convulsiones, erupciones</w:t>
            </w:r>
          </w:p>
        </w:tc>
      </w:tr>
      <w:tr w:rsidR="00924992" w14:paraId="75DF7D8B" w14:textId="77777777">
        <w:tblPrEx>
          <w:tblCellMar>
            <w:top w:w="0" w:type="dxa"/>
            <w:bottom w:w="0" w:type="dxa"/>
          </w:tblCellMar>
        </w:tblPrEx>
        <w:trPr>
          <w:trHeight w:hRule="exact" w:val="869"/>
        </w:trPr>
        <w:tc>
          <w:tcPr>
            <w:tcW w:w="1613" w:type="dxa"/>
            <w:shd w:val="clear" w:color="auto" w:fill="FFFFFF"/>
          </w:tcPr>
          <w:p w14:paraId="024DE9B7" w14:textId="77777777" w:rsidR="00924992" w:rsidRDefault="00924992">
            <w:pPr>
              <w:pStyle w:val="Other0"/>
              <w:framePr w:w="11419" w:h="5434" w:vSpace="672" w:wrap="none" w:hAnchor="page" w:x="625" w:y="356"/>
              <w:spacing w:line="240" w:lineRule="auto"/>
              <w:ind w:firstLine="0"/>
              <w:rPr>
                <w:sz w:val="16"/>
                <w:szCs w:val="16"/>
              </w:rPr>
            </w:pPr>
            <w:r>
              <w:rPr>
                <w:rFonts w:ascii="Times New Roman" w:eastAsia="Times New Roman" w:hAnsi="Times New Roman" w:cs="Times New Roman"/>
                <w:sz w:val="16"/>
                <w:szCs w:val="16"/>
              </w:rPr>
              <w:t>Ciprofloxacina</w:t>
            </w:r>
            <w:r>
              <w:rPr>
                <w:rFonts w:ascii="Times New Roman" w:eastAsia="Times New Roman" w:hAnsi="Times New Roman" w:cs="Times New Roman"/>
                <w:sz w:val="16"/>
                <w:szCs w:val="16"/>
                <w:vertAlign w:val="superscript"/>
              </w:rPr>
              <w:t>2</w:t>
            </w:r>
          </w:p>
        </w:tc>
        <w:tc>
          <w:tcPr>
            <w:tcW w:w="1757" w:type="dxa"/>
            <w:shd w:val="clear" w:color="auto" w:fill="FFFFFF"/>
            <w:vAlign w:val="bottom"/>
          </w:tcPr>
          <w:p w14:paraId="020BBAD8" w14:textId="77777777" w:rsidR="00924992" w:rsidRDefault="00924992">
            <w:pPr>
              <w:pStyle w:val="Other0"/>
              <w:framePr w:w="11419" w:h="5434" w:vSpace="672" w:wrap="none" w:hAnchor="page" w:x="625" w:y="356"/>
              <w:spacing w:line="240" w:lineRule="auto"/>
              <w:ind w:firstLine="0"/>
              <w:rPr>
                <w:sz w:val="16"/>
                <w:szCs w:val="16"/>
              </w:rPr>
            </w:pPr>
            <w:r>
              <w:rPr>
                <w:rFonts w:ascii="Times New Roman" w:eastAsia="Times New Roman" w:hAnsi="Times New Roman" w:cs="Times New Roman"/>
                <w:sz w:val="16"/>
                <w:szCs w:val="16"/>
              </w:rPr>
              <w:t>Tabletas</w:t>
            </w:r>
          </w:p>
          <w:p w14:paraId="170BAE24" w14:textId="77777777" w:rsidR="00924992" w:rsidRDefault="00924992">
            <w:pPr>
              <w:pStyle w:val="Other0"/>
              <w:framePr w:w="11419" w:h="5434" w:vSpace="672" w:wrap="none" w:hAnchor="page" w:x="625" w:y="356"/>
              <w:spacing w:line="240" w:lineRule="auto"/>
              <w:ind w:firstLine="240"/>
              <w:rPr>
                <w:sz w:val="16"/>
                <w:szCs w:val="16"/>
              </w:rPr>
            </w:pPr>
            <w:r>
              <w:rPr>
                <w:rFonts w:ascii="Times New Roman" w:eastAsia="Times New Roman" w:hAnsi="Times New Roman" w:cs="Times New Roman"/>
                <w:sz w:val="16"/>
                <w:szCs w:val="16"/>
              </w:rPr>
              <w:t>250 mg</w:t>
            </w:r>
          </w:p>
          <w:p w14:paraId="362451FF" w14:textId="77777777" w:rsidR="00924992" w:rsidRDefault="00924992">
            <w:pPr>
              <w:pStyle w:val="Other0"/>
              <w:framePr w:w="11419" w:h="5434" w:vSpace="672" w:wrap="none" w:hAnchor="page" w:x="625" w:y="356"/>
              <w:spacing w:line="240" w:lineRule="auto"/>
              <w:ind w:firstLine="240"/>
              <w:rPr>
                <w:sz w:val="16"/>
                <w:szCs w:val="16"/>
              </w:rPr>
            </w:pPr>
            <w:r>
              <w:rPr>
                <w:rFonts w:ascii="Times New Roman" w:eastAsia="Times New Roman" w:hAnsi="Times New Roman" w:cs="Times New Roman"/>
                <w:sz w:val="16"/>
                <w:szCs w:val="16"/>
              </w:rPr>
              <w:t>500 mg</w:t>
            </w:r>
          </w:p>
          <w:p w14:paraId="2A6A7B53" w14:textId="77777777" w:rsidR="00924992" w:rsidRDefault="00924992">
            <w:pPr>
              <w:pStyle w:val="Other0"/>
              <w:framePr w:w="11419" w:h="5434" w:vSpace="672" w:wrap="none" w:hAnchor="page" w:x="625" w:y="356"/>
              <w:spacing w:line="240" w:lineRule="auto"/>
              <w:ind w:firstLine="240"/>
              <w:rPr>
                <w:sz w:val="16"/>
                <w:szCs w:val="16"/>
              </w:rPr>
            </w:pPr>
            <w:r>
              <w:rPr>
                <w:rFonts w:ascii="Times New Roman" w:eastAsia="Times New Roman" w:hAnsi="Times New Roman" w:cs="Times New Roman"/>
                <w:sz w:val="16"/>
                <w:szCs w:val="16"/>
              </w:rPr>
              <w:t>750 mg</w:t>
            </w:r>
          </w:p>
        </w:tc>
        <w:tc>
          <w:tcPr>
            <w:tcW w:w="2990" w:type="dxa"/>
            <w:shd w:val="clear" w:color="auto" w:fill="FFFFFF"/>
          </w:tcPr>
          <w:p w14:paraId="5209DEB1" w14:textId="77777777" w:rsidR="00924992" w:rsidRDefault="00924992">
            <w:pPr>
              <w:pStyle w:val="Other0"/>
              <w:framePr w:w="11419" w:h="5434" w:vSpace="672" w:wrap="none" w:hAnchor="page" w:x="625" w:y="356"/>
              <w:spacing w:line="283" w:lineRule="auto"/>
              <w:ind w:firstLine="340"/>
              <w:rPr>
                <w:sz w:val="16"/>
                <w:szCs w:val="16"/>
              </w:rPr>
            </w:pPr>
            <w:r>
              <w:rPr>
                <w:rFonts w:ascii="Times New Roman" w:eastAsia="Times New Roman" w:hAnsi="Times New Roman" w:cs="Times New Roman"/>
                <w:sz w:val="16"/>
                <w:szCs w:val="16"/>
              </w:rPr>
              <w:t>Adultos</w:t>
            </w:r>
          </w:p>
          <w:p w14:paraId="5FB10756" w14:textId="77777777" w:rsidR="00924992" w:rsidRDefault="00924992">
            <w:pPr>
              <w:pStyle w:val="Other0"/>
              <w:framePr w:w="11419" w:h="5434" w:vSpace="672" w:wrap="none" w:hAnchor="page" w:x="625" w:y="356"/>
              <w:spacing w:line="283" w:lineRule="auto"/>
              <w:ind w:left="460" w:firstLine="0"/>
              <w:rPr>
                <w:sz w:val="16"/>
                <w:szCs w:val="16"/>
              </w:rPr>
            </w:pPr>
            <w:r>
              <w:rPr>
                <w:rFonts w:ascii="Times New Roman" w:eastAsia="Times New Roman" w:hAnsi="Times New Roman" w:cs="Times New Roman"/>
                <w:sz w:val="16"/>
                <w:szCs w:val="16"/>
              </w:rPr>
              <w:t>500 a 1 500 mg dosis total al día (dos veces al día)</w:t>
            </w:r>
          </w:p>
        </w:tc>
        <w:tc>
          <w:tcPr>
            <w:tcW w:w="1493" w:type="dxa"/>
            <w:shd w:val="clear" w:color="auto" w:fill="FFFFFF"/>
          </w:tcPr>
          <w:p w14:paraId="257362AF" w14:textId="77777777" w:rsidR="00924992" w:rsidRDefault="00924992">
            <w:pPr>
              <w:pStyle w:val="Other0"/>
              <w:framePr w:w="11419" w:h="5434" w:vSpace="672" w:wrap="none" w:hAnchor="page" w:x="625" w:y="356"/>
              <w:spacing w:line="240" w:lineRule="auto"/>
              <w:ind w:firstLine="220"/>
              <w:rPr>
                <w:sz w:val="16"/>
                <w:szCs w:val="16"/>
              </w:rPr>
            </w:pPr>
            <w:r>
              <w:rPr>
                <w:rFonts w:ascii="Times New Roman" w:eastAsia="Times New Roman" w:hAnsi="Times New Roman" w:cs="Times New Roman"/>
                <w:sz w:val="16"/>
                <w:szCs w:val="16"/>
              </w:rPr>
              <w:t>1.5 g</w:t>
            </w:r>
          </w:p>
        </w:tc>
        <w:tc>
          <w:tcPr>
            <w:tcW w:w="3566" w:type="dxa"/>
            <w:shd w:val="clear" w:color="auto" w:fill="FFFFFF"/>
          </w:tcPr>
          <w:p w14:paraId="569D9164" w14:textId="77777777" w:rsidR="00924992" w:rsidRDefault="00924992">
            <w:pPr>
              <w:pStyle w:val="Other0"/>
              <w:framePr w:w="11419" w:h="5434" w:vSpace="672" w:wrap="none" w:hAnchor="page" w:x="625" w:y="356"/>
              <w:spacing w:line="283" w:lineRule="auto"/>
              <w:ind w:left="220" w:hanging="220"/>
              <w:rPr>
                <w:sz w:val="16"/>
                <w:szCs w:val="16"/>
              </w:rPr>
            </w:pPr>
            <w:r>
              <w:rPr>
                <w:rFonts w:ascii="Times New Roman" w:eastAsia="Times New Roman" w:hAnsi="Times New Roman" w:cs="Times New Roman"/>
                <w:sz w:val="16"/>
                <w:szCs w:val="16"/>
              </w:rPr>
              <w:t>Efecto teórico en el cartílago en crecimiento, perturbaciones de vías gastrointestinales, erupciones, cefalea</w:t>
            </w:r>
          </w:p>
        </w:tc>
      </w:tr>
      <w:tr w:rsidR="00924992" w14:paraId="5065537D" w14:textId="77777777">
        <w:tblPrEx>
          <w:tblCellMar>
            <w:top w:w="0" w:type="dxa"/>
            <w:bottom w:w="0" w:type="dxa"/>
          </w:tblCellMar>
        </w:tblPrEx>
        <w:trPr>
          <w:trHeight w:hRule="exact" w:val="643"/>
        </w:trPr>
        <w:tc>
          <w:tcPr>
            <w:tcW w:w="1613" w:type="dxa"/>
            <w:shd w:val="clear" w:color="auto" w:fill="FFFFFF"/>
            <w:vAlign w:val="bottom"/>
          </w:tcPr>
          <w:p w14:paraId="19E043FF" w14:textId="77777777" w:rsidR="00924992" w:rsidRDefault="00924992">
            <w:pPr>
              <w:pStyle w:val="Other0"/>
              <w:framePr w:w="11419" w:h="5434" w:vSpace="672" w:wrap="none" w:hAnchor="page" w:x="625" w:y="356"/>
              <w:spacing w:line="283" w:lineRule="auto"/>
              <w:ind w:left="160" w:hanging="160"/>
              <w:rPr>
                <w:sz w:val="16"/>
                <w:szCs w:val="16"/>
              </w:rPr>
            </w:pPr>
            <w:r>
              <w:rPr>
                <w:rFonts w:ascii="Times New Roman" w:eastAsia="Times New Roman" w:hAnsi="Times New Roman" w:cs="Times New Roman"/>
                <w:sz w:val="16"/>
                <w:szCs w:val="16"/>
              </w:rPr>
              <w:t>Estreptomicina (aplicación intramuscular)</w:t>
            </w:r>
          </w:p>
        </w:tc>
        <w:tc>
          <w:tcPr>
            <w:tcW w:w="1757" w:type="dxa"/>
            <w:shd w:val="clear" w:color="auto" w:fill="FFFFFF"/>
            <w:vAlign w:val="bottom"/>
          </w:tcPr>
          <w:p w14:paraId="4B9D42E9" w14:textId="77777777" w:rsidR="00924992" w:rsidRDefault="00924992">
            <w:pPr>
              <w:pStyle w:val="Other0"/>
              <w:framePr w:w="11419" w:h="5434" w:vSpace="672" w:wrap="none" w:hAnchor="page" w:x="625" w:y="356"/>
              <w:spacing w:line="240" w:lineRule="auto"/>
              <w:ind w:firstLine="0"/>
              <w:rPr>
                <w:sz w:val="16"/>
                <w:szCs w:val="16"/>
              </w:rPr>
            </w:pPr>
            <w:r>
              <w:rPr>
                <w:rFonts w:ascii="Times New Roman" w:eastAsia="Times New Roman" w:hAnsi="Times New Roman" w:cs="Times New Roman"/>
                <w:sz w:val="16"/>
                <w:szCs w:val="16"/>
              </w:rPr>
              <w:t>Ampolletas</w:t>
            </w:r>
          </w:p>
          <w:p w14:paraId="6B1CC41A" w14:textId="77777777" w:rsidR="00924992" w:rsidRDefault="00924992">
            <w:pPr>
              <w:pStyle w:val="Other0"/>
              <w:framePr w:w="11419" w:h="5434" w:vSpace="672" w:wrap="none" w:hAnchor="page" w:x="625" w:y="356"/>
              <w:spacing w:line="240" w:lineRule="auto"/>
              <w:ind w:firstLine="240"/>
              <w:rPr>
                <w:sz w:val="16"/>
                <w:szCs w:val="16"/>
              </w:rPr>
            </w:pPr>
            <w:r>
              <w:rPr>
                <w:rFonts w:ascii="Times New Roman" w:eastAsia="Times New Roman" w:hAnsi="Times New Roman" w:cs="Times New Roman"/>
                <w:sz w:val="16"/>
                <w:szCs w:val="16"/>
                <w:vertAlign w:val="superscript"/>
              </w:rPr>
              <w:t>1</w:t>
            </w:r>
            <w:r>
              <w:rPr>
                <w:rFonts w:ascii="Times New Roman" w:eastAsia="Times New Roman" w:hAnsi="Times New Roman" w:cs="Times New Roman"/>
                <w:sz w:val="16"/>
                <w:szCs w:val="16"/>
              </w:rPr>
              <w:t xml:space="preserve"> g</w:t>
            </w:r>
          </w:p>
          <w:p w14:paraId="499C0305" w14:textId="77777777" w:rsidR="00924992" w:rsidRDefault="00924992">
            <w:pPr>
              <w:pStyle w:val="Other0"/>
              <w:framePr w:w="11419" w:h="5434" w:vSpace="672" w:wrap="none" w:hAnchor="page" w:x="625" w:y="356"/>
              <w:spacing w:line="240" w:lineRule="auto"/>
              <w:ind w:firstLine="240"/>
              <w:rPr>
                <w:sz w:val="16"/>
                <w:szCs w:val="16"/>
              </w:rPr>
            </w:pPr>
            <w:r>
              <w:rPr>
                <w:rFonts w:ascii="Times New Roman" w:eastAsia="Times New Roman" w:hAnsi="Times New Roman" w:cs="Times New Roman"/>
                <w:sz w:val="16"/>
                <w:szCs w:val="16"/>
                <w:vertAlign w:val="superscript"/>
              </w:rPr>
              <w:t>4</w:t>
            </w:r>
            <w:r>
              <w:rPr>
                <w:rFonts w:ascii="Times New Roman" w:eastAsia="Times New Roman" w:hAnsi="Times New Roman" w:cs="Times New Roman"/>
                <w:sz w:val="16"/>
                <w:szCs w:val="16"/>
              </w:rPr>
              <w:t xml:space="preserve"> g</w:t>
            </w:r>
          </w:p>
        </w:tc>
        <w:tc>
          <w:tcPr>
            <w:tcW w:w="2990" w:type="dxa"/>
            <w:shd w:val="clear" w:color="auto" w:fill="FFFFFF"/>
          </w:tcPr>
          <w:p w14:paraId="012CAE1D" w14:textId="77777777" w:rsidR="00924992" w:rsidRDefault="00924992">
            <w:pPr>
              <w:pStyle w:val="Other0"/>
              <w:framePr w:w="11419" w:h="5434" w:vSpace="672" w:wrap="none" w:hAnchor="page" w:x="625" w:y="356"/>
              <w:spacing w:line="240" w:lineRule="auto"/>
              <w:ind w:firstLine="340"/>
              <w:rPr>
                <w:sz w:val="16"/>
                <w:szCs w:val="16"/>
              </w:rPr>
            </w:pPr>
            <w:r>
              <w:rPr>
                <w:rFonts w:ascii="Times New Roman" w:eastAsia="Times New Roman" w:hAnsi="Times New Roman" w:cs="Times New Roman"/>
                <w:sz w:val="16"/>
                <w:szCs w:val="16"/>
              </w:rPr>
              <w:t>20-40</w:t>
            </w:r>
          </w:p>
        </w:tc>
        <w:tc>
          <w:tcPr>
            <w:tcW w:w="1493" w:type="dxa"/>
            <w:shd w:val="clear" w:color="auto" w:fill="FFFFFF"/>
          </w:tcPr>
          <w:p w14:paraId="2A20331A" w14:textId="77777777" w:rsidR="00924992" w:rsidRDefault="00924992">
            <w:pPr>
              <w:pStyle w:val="Other0"/>
              <w:framePr w:w="11419" w:h="5434" w:vSpace="672" w:wrap="none" w:hAnchor="page" w:x="625" w:y="356"/>
              <w:spacing w:line="240" w:lineRule="auto"/>
              <w:ind w:firstLine="220"/>
              <w:rPr>
                <w:sz w:val="16"/>
                <w:szCs w:val="16"/>
              </w:rPr>
            </w:pPr>
            <w:r>
              <w:rPr>
                <w:rFonts w:ascii="Times New Roman" w:eastAsia="Times New Roman" w:hAnsi="Times New Roman" w:cs="Times New Roman"/>
                <w:sz w:val="16"/>
                <w:szCs w:val="16"/>
                <w:vertAlign w:val="superscript"/>
              </w:rPr>
              <w:t>1</w:t>
            </w:r>
            <w:r>
              <w:rPr>
                <w:rFonts w:ascii="Times New Roman" w:eastAsia="Times New Roman" w:hAnsi="Times New Roman" w:cs="Times New Roman"/>
                <w:sz w:val="16"/>
                <w:szCs w:val="16"/>
              </w:rPr>
              <w:t xml:space="preserve"> g</w:t>
            </w:r>
          </w:p>
        </w:tc>
        <w:tc>
          <w:tcPr>
            <w:tcW w:w="3566" w:type="dxa"/>
            <w:shd w:val="clear" w:color="auto" w:fill="FFFFFF"/>
            <w:vAlign w:val="bottom"/>
          </w:tcPr>
          <w:p w14:paraId="30553880" w14:textId="77777777" w:rsidR="00924992" w:rsidRDefault="00924992">
            <w:pPr>
              <w:pStyle w:val="Other0"/>
              <w:framePr w:w="11419" w:h="5434" w:vSpace="672" w:wrap="none" w:hAnchor="page" w:x="625" w:y="356"/>
              <w:spacing w:line="283" w:lineRule="auto"/>
              <w:ind w:left="220" w:hanging="220"/>
              <w:rPr>
                <w:sz w:val="16"/>
                <w:szCs w:val="16"/>
              </w:rPr>
            </w:pPr>
            <w:r>
              <w:rPr>
                <w:rFonts w:ascii="Times New Roman" w:eastAsia="Times New Roman" w:hAnsi="Times New Roman" w:cs="Times New Roman"/>
                <w:sz w:val="16"/>
                <w:szCs w:val="16"/>
              </w:rPr>
              <w:t>Efectos tóxicos en los componentes auditivo y vestibular del octavo par, efectos nefrotóxicos, erupción</w:t>
            </w:r>
          </w:p>
        </w:tc>
      </w:tr>
      <w:tr w:rsidR="00924992" w14:paraId="55D60E16" w14:textId="77777777">
        <w:tblPrEx>
          <w:tblCellMar>
            <w:top w:w="0" w:type="dxa"/>
            <w:bottom w:w="0" w:type="dxa"/>
          </w:tblCellMar>
        </w:tblPrEx>
        <w:trPr>
          <w:trHeight w:hRule="exact" w:val="437"/>
        </w:trPr>
        <w:tc>
          <w:tcPr>
            <w:tcW w:w="1613" w:type="dxa"/>
            <w:shd w:val="clear" w:color="auto" w:fill="FFFFFF"/>
          </w:tcPr>
          <w:p w14:paraId="5A40C175" w14:textId="77777777" w:rsidR="00924992" w:rsidRDefault="00924992">
            <w:pPr>
              <w:pStyle w:val="Other0"/>
              <w:framePr w:w="11419" w:h="5434" w:vSpace="672" w:wrap="none" w:hAnchor="page" w:x="625" w:y="356"/>
              <w:spacing w:line="240" w:lineRule="auto"/>
              <w:ind w:firstLine="0"/>
              <w:rPr>
                <w:sz w:val="16"/>
                <w:szCs w:val="16"/>
              </w:rPr>
            </w:pPr>
            <w:r>
              <w:rPr>
                <w:rFonts w:ascii="Times New Roman" w:eastAsia="Times New Roman" w:hAnsi="Times New Roman" w:cs="Times New Roman"/>
                <w:sz w:val="16"/>
                <w:szCs w:val="16"/>
              </w:rPr>
              <w:t>Etionamida</w:t>
            </w:r>
          </w:p>
        </w:tc>
        <w:tc>
          <w:tcPr>
            <w:tcW w:w="1757" w:type="dxa"/>
            <w:shd w:val="clear" w:color="auto" w:fill="FFFFFF"/>
          </w:tcPr>
          <w:p w14:paraId="014A7BFA" w14:textId="77777777" w:rsidR="00924992" w:rsidRDefault="00924992">
            <w:pPr>
              <w:pStyle w:val="Other0"/>
              <w:framePr w:w="11419" w:h="5434" w:vSpace="672" w:wrap="none" w:hAnchor="page" w:x="625" w:y="356"/>
              <w:spacing w:line="240" w:lineRule="auto"/>
              <w:ind w:firstLine="0"/>
              <w:rPr>
                <w:sz w:val="16"/>
                <w:szCs w:val="16"/>
              </w:rPr>
            </w:pPr>
            <w:r>
              <w:rPr>
                <w:rFonts w:ascii="Times New Roman" w:eastAsia="Times New Roman" w:hAnsi="Times New Roman" w:cs="Times New Roman"/>
                <w:sz w:val="16"/>
                <w:szCs w:val="16"/>
              </w:rPr>
              <w:t>Tabletas, 250 mg</w:t>
            </w:r>
          </w:p>
        </w:tc>
        <w:tc>
          <w:tcPr>
            <w:tcW w:w="2990" w:type="dxa"/>
            <w:shd w:val="clear" w:color="auto" w:fill="FFFFFF"/>
          </w:tcPr>
          <w:p w14:paraId="2182CA76" w14:textId="77777777" w:rsidR="00924992" w:rsidRDefault="00924992">
            <w:pPr>
              <w:pStyle w:val="Other0"/>
              <w:framePr w:w="11419" w:h="5434" w:vSpace="672" w:wrap="none" w:hAnchor="page" w:x="625" w:y="356"/>
              <w:spacing w:line="240" w:lineRule="auto"/>
              <w:ind w:firstLine="340"/>
              <w:rPr>
                <w:sz w:val="16"/>
                <w:szCs w:val="16"/>
              </w:rPr>
            </w:pPr>
            <w:r>
              <w:rPr>
                <w:rFonts w:ascii="Times New Roman" w:eastAsia="Times New Roman" w:hAnsi="Times New Roman" w:cs="Times New Roman"/>
                <w:sz w:val="16"/>
                <w:szCs w:val="16"/>
              </w:rPr>
              <w:t>15-20, en 2 a 3 fracciones</w:t>
            </w:r>
          </w:p>
        </w:tc>
        <w:tc>
          <w:tcPr>
            <w:tcW w:w="1493" w:type="dxa"/>
            <w:shd w:val="clear" w:color="auto" w:fill="FFFFFF"/>
          </w:tcPr>
          <w:p w14:paraId="319DE3E4" w14:textId="77777777" w:rsidR="00924992" w:rsidRDefault="00924992">
            <w:pPr>
              <w:pStyle w:val="Other0"/>
              <w:framePr w:w="11419" w:h="5434" w:vSpace="672" w:wrap="none" w:hAnchor="page" w:x="625" w:y="356"/>
              <w:spacing w:line="240" w:lineRule="auto"/>
              <w:ind w:firstLine="220"/>
              <w:rPr>
                <w:sz w:val="16"/>
                <w:szCs w:val="16"/>
              </w:rPr>
            </w:pPr>
            <w:r>
              <w:rPr>
                <w:rFonts w:ascii="Times New Roman" w:eastAsia="Times New Roman" w:hAnsi="Times New Roman" w:cs="Times New Roman"/>
                <w:sz w:val="16"/>
                <w:szCs w:val="16"/>
                <w:vertAlign w:val="superscript"/>
              </w:rPr>
              <w:t>1</w:t>
            </w:r>
            <w:r>
              <w:rPr>
                <w:rFonts w:ascii="Times New Roman" w:eastAsia="Times New Roman" w:hAnsi="Times New Roman" w:cs="Times New Roman"/>
                <w:sz w:val="16"/>
                <w:szCs w:val="16"/>
              </w:rPr>
              <w:t xml:space="preserve"> g</w:t>
            </w:r>
          </w:p>
        </w:tc>
        <w:tc>
          <w:tcPr>
            <w:tcW w:w="3566" w:type="dxa"/>
            <w:shd w:val="clear" w:color="auto" w:fill="FFFFFF"/>
            <w:vAlign w:val="bottom"/>
          </w:tcPr>
          <w:p w14:paraId="113C6AB3" w14:textId="77777777" w:rsidR="00924992" w:rsidRDefault="00924992">
            <w:pPr>
              <w:pStyle w:val="Other0"/>
              <w:framePr w:w="11419" w:h="5434" w:vSpace="672" w:wrap="none" w:hAnchor="page" w:x="625" w:y="356"/>
              <w:spacing w:line="283" w:lineRule="auto"/>
              <w:ind w:left="220" w:hanging="220"/>
              <w:rPr>
                <w:sz w:val="16"/>
                <w:szCs w:val="16"/>
              </w:rPr>
            </w:pPr>
            <w:r>
              <w:rPr>
                <w:rFonts w:ascii="Times New Roman" w:eastAsia="Times New Roman" w:hAnsi="Times New Roman" w:cs="Times New Roman"/>
                <w:sz w:val="16"/>
                <w:szCs w:val="16"/>
              </w:rPr>
              <w:t>Perturbaciones de vías gastrointestinales, efectos hepatotóxicos, reacciones de hipersensibilidad</w:t>
            </w:r>
          </w:p>
        </w:tc>
      </w:tr>
      <w:tr w:rsidR="00924992" w14:paraId="4638A5D2" w14:textId="77777777">
        <w:tblPrEx>
          <w:tblCellMar>
            <w:top w:w="0" w:type="dxa"/>
            <w:bottom w:w="0" w:type="dxa"/>
          </w:tblCellMar>
        </w:tblPrEx>
        <w:trPr>
          <w:trHeight w:hRule="exact" w:val="864"/>
        </w:trPr>
        <w:tc>
          <w:tcPr>
            <w:tcW w:w="1613" w:type="dxa"/>
            <w:shd w:val="clear" w:color="auto" w:fill="FFFFFF"/>
          </w:tcPr>
          <w:p w14:paraId="0FE734E7" w14:textId="77777777" w:rsidR="00924992" w:rsidRDefault="00924992">
            <w:pPr>
              <w:pStyle w:val="Other0"/>
              <w:framePr w:w="11419" w:h="5434" w:vSpace="672" w:wrap="none" w:hAnchor="page" w:x="625" w:y="356"/>
              <w:spacing w:line="240" w:lineRule="auto"/>
              <w:ind w:firstLine="0"/>
              <w:rPr>
                <w:sz w:val="16"/>
                <w:szCs w:val="16"/>
              </w:rPr>
            </w:pPr>
            <w:r>
              <w:rPr>
                <w:rFonts w:ascii="Times New Roman" w:eastAsia="Times New Roman" w:hAnsi="Times New Roman" w:cs="Times New Roman"/>
                <w:sz w:val="16"/>
                <w:szCs w:val="16"/>
              </w:rPr>
              <w:t>Kanamicina</w:t>
            </w:r>
          </w:p>
        </w:tc>
        <w:tc>
          <w:tcPr>
            <w:tcW w:w="1757" w:type="dxa"/>
            <w:shd w:val="clear" w:color="auto" w:fill="FFFFFF"/>
            <w:vAlign w:val="bottom"/>
          </w:tcPr>
          <w:p w14:paraId="33E5480D" w14:textId="77777777" w:rsidR="00924992" w:rsidRDefault="00924992">
            <w:pPr>
              <w:pStyle w:val="Other0"/>
              <w:framePr w:w="11419" w:h="5434" w:vSpace="672" w:wrap="none" w:hAnchor="page" w:x="625" w:y="356"/>
              <w:spacing w:line="240" w:lineRule="auto"/>
              <w:ind w:firstLine="0"/>
              <w:rPr>
                <w:sz w:val="16"/>
                <w:szCs w:val="16"/>
              </w:rPr>
            </w:pPr>
            <w:r>
              <w:rPr>
                <w:rFonts w:ascii="Times New Roman" w:eastAsia="Times New Roman" w:hAnsi="Times New Roman" w:cs="Times New Roman"/>
                <w:sz w:val="16"/>
                <w:szCs w:val="16"/>
              </w:rPr>
              <w:t>Ampolletas</w:t>
            </w:r>
          </w:p>
          <w:p w14:paraId="7E09F528" w14:textId="77777777" w:rsidR="00924992" w:rsidRDefault="00924992">
            <w:pPr>
              <w:pStyle w:val="Other0"/>
              <w:framePr w:w="11419" w:h="5434" w:vSpace="672" w:wrap="none" w:hAnchor="page" w:x="625" w:y="356"/>
              <w:spacing w:line="240" w:lineRule="auto"/>
              <w:ind w:firstLine="240"/>
              <w:rPr>
                <w:sz w:val="16"/>
                <w:szCs w:val="16"/>
              </w:rPr>
            </w:pPr>
            <w:r>
              <w:rPr>
                <w:rFonts w:ascii="Times New Roman" w:eastAsia="Times New Roman" w:hAnsi="Times New Roman" w:cs="Times New Roman"/>
                <w:sz w:val="16"/>
                <w:szCs w:val="16"/>
              </w:rPr>
              <w:t>75 mg/2 ml</w:t>
            </w:r>
          </w:p>
          <w:p w14:paraId="5F0F08F3" w14:textId="77777777" w:rsidR="00924992" w:rsidRDefault="00924992">
            <w:pPr>
              <w:pStyle w:val="Other0"/>
              <w:framePr w:w="11419" w:h="5434" w:vSpace="672" w:wrap="none" w:hAnchor="page" w:x="625" w:y="356"/>
              <w:spacing w:line="240" w:lineRule="auto"/>
              <w:ind w:firstLine="240"/>
              <w:rPr>
                <w:sz w:val="16"/>
                <w:szCs w:val="16"/>
              </w:rPr>
            </w:pPr>
            <w:r>
              <w:rPr>
                <w:rFonts w:ascii="Times New Roman" w:eastAsia="Times New Roman" w:hAnsi="Times New Roman" w:cs="Times New Roman"/>
                <w:sz w:val="16"/>
                <w:szCs w:val="16"/>
              </w:rPr>
              <w:t>500 mg/2 ml</w:t>
            </w:r>
          </w:p>
          <w:p w14:paraId="5ED73136" w14:textId="77777777" w:rsidR="00924992" w:rsidRDefault="00924992">
            <w:pPr>
              <w:pStyle w:val="Other0"/>
              <w:framePr w:w="11419" w:h="5434" w:vSpace="672" w:wrap="none" w:hAnchor="page" w:x="625" w:y="356"/>
              <w:spacing w:line="240" w:lineRule="auto"/>
              <w:ind w:firstLine="240"/>
              <w:rPr>
                <w:sz w:val="16"/>
                <w:szCs w:val="16"/>
              </w:rPr>
            </w:pPr>
            <w:r>
              <w:rPr>
                <w:rFonts w:ascii="Times New Roman" w:eastAsia="Times New Roman" w:hAnsi="Times New Roman" w:cs="Times New Roman"/>
                <w:sz w:val="16"/>
                <w:szCs w:val="16"/>
              </w:rPr>
              <w:t>1 g/3 ml</w:t>
            </w:r>
          </w:p>
        </w:tc>
        <w:tc>
          <w:tcPr>
            <w:tcW w:w="2990" w:type="dxa"/>
            <w:shd w:val="clear" w:color="auto" w:fill="FFFFFF"/>
          </w:tcPr>
          <w:p w14:paraId="0087C3C8" w14:textId="77777777" w:rsidR="00924992" w:rsidRDefault="00924992">
            <w:pPr>
              <w:pStyle w:val="Other0"/>
              <w:framePr w:w="11419" w:h="5434" w:vSpace="672" w:wrap="none" w:hAnchor="page" w:x="625" w:y="356"/>
              <w:spacing w:line="240" w:lineRule="auto"/>
              <w:ind w:firstLine="340"/>
              <w:rPr>
                <w:sz w:val="16"/>
                <w:szCs w:val="16"/>
              </w:rPr>
            </w:pPr>
            <w:r>
              <w:rPr>
                <w:rFonts w:ascii="Times New Roman" w:eastAsia="Times New Roman" w:hAnsi="Times New Roman" w:cs="Times New Roman"/>
                <w:sz w:val="16"/>
                <w:szCs w:val="16"/>
              </w:rPr>
              <w:t>15-30 (aplicación intramuscular)</w:t>
            </w:r>
          </w:p>
        </w:tc>
        <w:tc>
          <w:tcPr>
            <w:tcW w:w="1493" w:type="dxa"/>
            <w:shd w:val="clear" w:color="auto" w:fill="FFFFFF"/>
          </w:tcPr>
          <w:p w14:paraId="736E76FE" w14:textId="77777777" w:rsidR="00924992" w:rsidRDefault="00924992">
            <w:pPr>
              <w:pStyle w:val="Other0"/>
              <w:framePr w:w="11419" w:h="5434" w:vSpace="672" w:wrap="none" w:hAnchor="page" w:x="625" w:y="356"/>
              <w:spacing w:line="240" w:lineRule="auto"/>
              <w:ind w:firstLine="220"/>
              <w:rPr>
                <w:sz w:val="16"/>
                <w:szCs w:val="16"/>
              </w:rPr>
            </w:pPr>
            <w:r>
              <w:rPr>
                <w:rFonts w:ascii="Times New Roman" w:eastAsia="Times New Roman" w:hAnsi="Times New Roman" w:cs="Times New Roman"/>
                <w:sz w:val="16"/>
                <w:szCs w:val="16"/>
                <w:vertAlign w:val="superscript"/>
              </w:rPr>
              <w:t>1</w:t>
            </w:r>
            <w:r>
              <w:rPr>
                <w:rFonts w:ascii="Times New Roman" w:eastAsia="Times New Roman" w:hAnsi="Times New Roman" w:cs="Times New Roman"/>
                <w:sz w:val="16"/>
                <w:szCs w:val="16"/>
              </w:rPr>
              <w:t xml:space="preserve"> g</w:t>
            </w:r>
          </w:p>
        </w:tc>
        <w:tc>
          <w:tcPr>
            <w:tcW w:w="3566" w:type="dxa"/>
            <w:shd w:val="clear" w:color="auto" w:fill="FFFFFF"/>
          </w:tcPr>
          <w:p w14:paraId="6FD7D5F9" w14:textId="77777777" w:rsidR="00924992" w:rsidRDefault="00924992">
            <w:pPr>
              <w:pStyle w:val="Other0"/>
              <w:framePr w:w="11419" w:h="5434" w:vSpace="672" w:wrap="none" w:hAnchor="page" w:x="625" w:y="356"/>
              <w:spacing w:line="283" w:lineRule="auto"/>
              <w:ind w:left="220" w:hanging="220"/>
              <w:rPr>
                <w:sz w:val="16"/>
                <w:szCs w:val="16"/>
              </w:rPr>
            </w:pPr>
            <w:r>
              <w:rPr>
                <w:rFonts w:ascii="Times New Roman" w:eastAsia="Times New Roman" w:hAnsi="Times New Roman" w:cs="Times New Roman"/>
                <w:sz w:val="16"/>
                <w:szCs w:val="16"/>
              </w:rPr>
              <w:t>Efectos tóxicos en los componentes auditivo y vestibular del nervio auditivo; efectos nefrotóxicos</w:t>
            </w:r>
          </w:p>
        </w:tc>
      </w:tr>
      <w:tr w:rsidR="00924992" w14:paraId="380A71A9" w14:textId="77777777">
        <w:tblPrEx>
          <w:tblCellMar>
            <w:top w:w="0" w:type="dxa"/>
            <w:bottom w:w="0" w:type="dxa"/>
          </w:tblCellMar>
        </w:tblPrEx>
        <w:trPr>
          <w:trHeight w:hRule="exact" w:val="1080"/>
        </w:trPr>
        <w:tc>
          <w:tcPr>
            <w:tcW w:w="1613" w:type="dxa"/>
            <w:shd w:val="clear" w:color="auto" w:fill="FFFFFF"/>
          </w:tcPr>
          <w:p w14:paraId="063E4694" w14:textId="77777777" w:rsidR="00924992" w:rsidRDefault="00924992">
            <w:pPr>
              <w:pStyle w:val="Other0"/>
              <w:framePr w:w="11419" w:h="5434" w:vSpace="672" w:wrap="none" w:hAnchor="page" w:x="625" w:y="356"/>
              <w:spacing w:line="240" w:lineRule="auto"/>
              <w:ind w:firstLine="0"/>
              <w:rPr>
                <w:sz w:val="16"/>
                <w:szCs w:val="16"/>
              </w:rPr>
            </w:pPr>
            <w:r>
              <w:rPr>
                <w:rFonts w:ascii="Times New Roman" w:eastAsia="Times New Roman" w:hAnsi="Times New Roman" w:cs="Times New Roman"/>
                <w:sz w:val="16"/>
                <w:szCs w:val="16"/>
              </w:rPr>
              <w:t>Levofloxacina</w:t>
            </w:r>
            <w:r>
              <w:rPr>
                <w:rFonts w:ascii="Times New Roman" w:eastAsia="Times New Roman" w:hAnsi="Times New Roman" w:cs="Times New Roman"/>
                <w:sz w:val="16"/>
                <w:szCs w:val="16"/>
                <w:vertAlign w:val="superscript"/>
              </w:rPr>
              <w:t>2</w:t>
            </w:r>
          </w:p>
        </w:tc>
        <w:tc>
          <w:tcPr>
            <w:tcW w:w="1757" w:type="dxa"/>
            <w:shd w:val="clear" w:color="auto" w:fill="FFFFFF"/>
            <w:vAlign w:val="bottom"/>
          </w:tcPr>
          <w:p w14:paraId="1E2654B7" w14:textId="77777777" w:rsidR="00924992" w:rsidRDefault="00924992">
            <w:pPr>
              <w:pStyle w:val="Other0"/>
              <w:framePr w:w="11419" w:h="5434" w:vSpace="672" w:wrap="none" w:hAnchor="page" w:x="625" w:y="356"/>
              <w:spacing w:line="283" w:lineRule="auto"/>
              <w:ind w:firstLine="0"/>
              <w:rPr>
                <w:sz w:val="16"/>
                <w:szCs w:val="16"/>
              </w:rPr>
            </w:pPr>
            <w:r>
              <w:rPr>
                <w:rFonts w:ascii="Times New Roman" w:eastAsia="Times New Roman" w:hAnsi="Times New Roman" w:cs="Times New Roman"/>
                <w:sz w:val="16"/>
                <w:szCs w:val="16"/>
              </w:rPr>
              <w:t>Tabletas</w:t>
            </w:r>
          </w:p>
          <w:p w14:paraId="3F8CA5C1" w14:textId="77777777" w:rsidR="00924992" w:rsidRDefault="00924992">
            <w:pPr>
              <w:pStyle w:val="Other0"/>
              <w:framePr w:w="11419" w:h="5434" w:vSpace="672" w:wrap="none" w:hAnchor="page" w:x="625" w:y="356"/>
              <w:spacing w:line="283" w:lineRule="auto"/>
              <w:ind w:firstLine="240"/>
              <w:rPr>
                <w:sz w:val="16"/>
                <w:szCs w:val="16"/>
              </w:rPr>
            </w:pPr>
            <w:r>
              <w:rPr>
                <w:rFonts w:ascii="Times New Roman" w:eastAsia="Times New Roman" w:hAnsi="Times New Roman" w:cs="Times New Roman"/>
                <w:sz w:val="16"/>
                <w:szCs w:val="16"/>
              </w:rPr>
              <w:t>250 mg</w:t>
            </w:r>
          </w:p>
          <w:p w14:paraId="11BFBC93" w14:textId="77777777" w:rsidR="00924992" w:rsidRDefault="00924992">
            <w:pPr>
              <w:pStyle w:val="Other0"/>
              <w:framePr w:w="11419" w:h="5434" w:vSpace="672" w:wrap="none" w:hAnchor="page" w:x="625" w:y="356"/>
              <w:spacing w:line="283" w:lineRule="auto"/>
              <w:ind w:firstLine="240"/>
              <w:rPr>
                <w:sz w:val="16"/>
                <w:szCs w:val="16"/>
              </w:rPr>
            </w:pPr>
            <w:r>
              <w:rPr>
                <w:rFonts w:ascii="Times New Roman" w:eastAsia="Times New Roman" w:hAnsi="Times New Roman" w:cs="Times New Roman"/>
                <w:sz w:val="16"/>
                <w:szCs w:val="16"/>
              </w:rPr>
              <w:t>500 mg Ampolletas</w:t>
            </w:r>
          </w:p>
          <w:p w14:paraId="03B2169E" w14:textId="77777777" w:rsidR="00924992" w:rsidRDefault="00924992">
            <w:pPr>
              <w:pStyle w:val="Other0"/>
              <w:framePr w:w="11419" w:h="5434" w:vSpace="672" w:wrap="none" w:hAnchor="page" w:x="625" w:y="356"/>
              <w:spacing w:line="283" w:lineRule="auto"/>
              <w:ind w:firstLine="240"/>
              <w:rPr>
                <w:sz w:val="16"/>
                <w:szCs w:val="16"/>
              </w:rPr>
            </w:pPr>
            <w:r>
              <w:rPr>
                <w:rFonts w:ascii="Times New Roman" w:eastAsia="Times New Roman" w:hAnsi="Times New Roman" w:cs="Times New Roman"/>
                <w:sz w:val="16"/>
                <w:szCs w:val="16"/>
              </w:rPr>
              <w:t>25 mg/ml</w:t>
            </w:r>
          </w:p>
        </w:tc>
        <w:tc>
          <w:tcPr>
            <w:tcW w:w="2990" w:type="dxa"/>
            <w:shd w:val="clear" w:color="auto" w:fill="FFFFFF"/>
          </w:tcPr>
          <w:p w14:paraId="621A5C40" w14:textId="77777777" w:rsidR="00924992" w:rsidRDefault="00924992">
            <w:pPr>
              <w:pStyle w:val="Other0"/>
              <w:framePr w:w="11419" w:h="5434" w:vSpace="672" w:wrap="none" w:hAnchor="page" w:x="625" w:y="356"/>
              <w:spacing w:line="240" w:lineRule="auto"/>
              <w:ind w:firstLine="340"/>
              <w:rPr>
                <w:sz w:val="16"/>
                <w:szCs w:val="16"/>
              </w:rPr>
            </w:pPr>
            <w:r>
              <w:rPr>
                <w:rFonts w:ascii="Times New Roman" w:eastAsia="Times New Roman" w:hAnsi="Times New Roman" w:cs="Times New Roman"/>
                <w:sz w:val="16"/>
                <w:szCs w:val="16"/>
              </w:rPr>
              <w:t>Adultos</w:t>
            </w:r>
          </w:p>
          <w:p w14:paraId="2851ED93" w14:textId="77777777" w:rsidR="00924992" w:rsidRDefault="00924992">
            <w:pPr>
              <w:pStyle w:val="Other0"/>
              <w:framePr w:w="11419" w:h="5434" w:vSpace="672" w:wrap="none" w:hAnchor="page" w:x="625" w:y="356"/>
              <w:spacing w:line="240" w:lineRule="auto"/>
              <w:ind w:firstLine="460"/>
              <w:rPr>
                <w:sz w:val="16"/>
                <w:szCs w:val="16"/>
              </w:rPr>
            </w:pPr>
            <w:r>
              <w:rPr>
                <w:rFonts w:ascii="Times New Roman" w:eastAsia="Times New Roman" w:hAnsi="Times New Roman" w:cs="Times New Roman"/>
                <w:sz w:val="16"/>
                <w:szCs w:val="16"/>
              </w:rPr>
              <w:t>500-1 000 mg (una vez al día)</w:t>
            </w:r>
          </w:p>
        </w:tc>
        <w:tc>
          <w:tcPr>
            <w:tcW w:w="1493" w:type="dxa"/>
            <w:shd w:val="clear" w:color="auto" w:fill="FFFFFF"/>
          </w:tcPr>
          <w:p w14:paraId="6A13F093" w14:textId="77777777" w:rsidR="00924992" w:rsidRDefault="00924992">
            <w:pPr>
              <w:pStyle w:val="Other0"/>
              <w:framePr w:w="11419" w:h="5434" w:vSpace="672" w:wrap="none" w:hAnchor="page" w:x="625" w:y="356"/>
              <w:spacing w:line="240" w:lineRule="auto"/>
              <w:ind w:firstLine="220"/>
              <w:rPr>
                <w:sz w:val="16"/>
                <w:szCs w:val="16"/>
              </w:rPr>
            </w:pPr>
            <w:r>
              <w:rPr>
                <w:rFonts w:ascii="Times New Roman" w:eastAsia="Times New Roman" w:hAnsi="Times New Roman" w:cs="Times New Roman"/>
                <w:sz w:val="16"/>
                <w:szCs w:val="16"/>
                <w:vertAlign w:val="superscript"/>
              </w:rPr>
              <w:t>1</w:t>
            </w:r>
            <w:r>
              <w:rPr>
                <w:rFonts w:ascii="Times New Roman" w:eastAsia="Times New Roman" w:hAnsi="Times New Roman" w:cs="Times New Roman"/>
                <w:sz w:val="16"/>
                <w:szCs w:val="16"/>
              </w:rPr>
              <w:t xml:space="preserve"> g</w:t>
            </w:r>
          </w:p>
        </w:tc>
        <w:tc>
          <w:tcPr>
            <w:tcW w:w="3566" w:type="dxa"/>
            <w:shd w:val="clear" w:color="auto" w:fill="FFFFFF"/>
          </w:tcPr>
          <w:p w14:paraId="1A011EE2" w14:textId="77777777" w:rsidR="00924992" w:rsidRDefault="00924992">
            <w:pPr>
              <w:pStyle w:val="Other0"/>
              <w:framePr w:w="11419" w:h="5434" w:vSpace="672" w:wrap="none" w:hAnchor="page" w:x="625" w:y="356"/>
              <w:spacing w:line="283" w:lineRule="auto"/>
              <w:ind w:left="220" w:hanging="220"/>
              <w:rPr>
                <w:sz w:val="16"/>
                <w:szCs w:val="16"/>
              </w:rPr>
            </w:pPr>
            <w:r>
              <w:rPr>
                <w:rFonts w:ascii="Times New Roman" w:eastAsia="Times New Roman" w:hAnsi="Times New Roman" w:cs="Times New Roman"/>
                <w:sz w:val="16"/>
                <w:szCs w:val="16"/>
              </w:rPr>
              <w:t>Efecto teórico en el cartílago en crecimiento, perturbaciones de vías gastrointestinales, erupciones, cefalea</w:t>
            </w:r>
          </w:p>
        </w:tc>
      </w:tr>
      <w:tr w:rsidR="00924992" w14:paraId="01DC4BC6" w14:textId="77777777">
        <w:tblPrEx>
          <w:tblCellMar>
            <w:top w:w="0" w:type="dxa"/>
            <w:bottom w:w="0" w:type="dxa"/>
          </w:tblCellMar>
        </w:tblPrEx>
        <w:trPr>
          <w:trHeight w:hRule="exact" w:val="528"/>
        </w:trPr>
        <w:tc>
          <w:tcPr>
            <w:tcW w:w="1613" w:type="dxa"/>
            <w:tcBorders>
              <w:bottom w:val="single" w:sz="4" w:space="0" w:color="auto"/>
            </w:tcBorders>
            <w:shd w:val="clear" w:color="auto" w:fill="FFFFFF"/>
          </w:tcPr>
          <w:p w14:paraId="03B724A9" w14:textId="77777777" w:rsidR="00924992" w:rsidRDefault="00924992">
            <w:pPr>
              <w:pStyle w:val="Other0"/>
              <w:framePr w:w="11419" w:h="5434" w:vSpace="672" w:wrap="none" w:hAnchor="page" w:x="625" w:y="356"/>
              <w:spacing w:line="240" w:lineRule="auto"/>
              <w:ind w:firstLine="0"/>
              <w:rPr>
                <w:sz w:val="16"/>
                <w:szCs w:val="16"/>
              </w:rPr>
            </w:pPr>
            <w:r>
              <w:rPr>
                <w:rFonts w:ascii="Times New Roman" w:eastAsia="Times New Roman" w:hAnsi="Times New Roman" w:cs="Times New Roman"/>
                <w:sz w:val="16"/>
                <w:szCs w:val="16"/>
              </w:rPr>
              <w:t>Para-aminosalicílico,</w:t>
            </w:r>
          </w:p>
          <w:p w14:paraId="240606B7" w14:textId="77777777" w:rsidR="00924992" w:rsidRDefault="00924992">
            <w:pPr>
              <w:pStyle w:val="Other0"/>
              <w:framePr w:w="11419" w:h="5434" w:vSpace="672" w:wrap="none" w:hAnchor="page" w:x="625" w:y="356"/>
              <w:spacing w:line="240" w:lineRule="auto"/>
              <w:ind w:firstLine="160"/>
              <w:rPr>
                <w:sz w:val="16"/>
                <w:szCs w:val="16"/>
              </w:rPr>
            </w:pPr>
            <w:r>
              <w:rPr>
                <w:rFonts w:ascii="Times New Roman" w:eastAsia="Times New Roman" w:hAnsi="Times New Roman" w:cs="Times New Roman"/>
                <w:sz w:val="16"/>
                <w:szCs w:val="16"/>
              </w:rPr>
              <w:t>ácido (PAS)</w:t>
            </w:r>
          </w:p>
        </w:tc>
        <w:tc>
          <w:tcPr>
            <w:tcW w:w="1757" w:type="dxa"/>
            <w:tcBorders>
              <w:bottom w:val="single" w:sz="4" w:space="0" w:color="auto"/>
            </w:tcBorders>
            <w:shd w:val="clear" w:color="auto" w:fill="FFFFFF"/>
          </w:tcPr>
          <w:p w14:paraId="163C717A" w14:textId="77777777" w:rsidR="00924992" w:rsidRDefault="00924992">
            <w:pPr>
              <w:pStyle w:val="Other0"/>
              <w:framePr w:w="11419" w:h="5434" w:vSpace="672" w:wrap="none" w:hAnchor="page" w:x="625" w:y="356"/>
              <w:spacing w:line="240" w:lineRule="auto"/>
              <w:ind w:firstLine="0"/>
              <w:rPr>
                <w:sz w:val="16"/>
                <w:szCs w:val="16"/>
              </w:rPr>
            </w:pPr>
            <w:r>
              <w:rPr>
                <w:rFonts w:ascii="Times New Roman" w:eastAsia="Times New Roman" w:hAnsi="Times New Roman" w:cs="Times New Roman"/>
                <w:sz w:val="16"/>
                <w:szCs w:val="16"/>
              </w:rPr>
              <w:t>Sobres, 3 g</w:t>
            </w:r>
          </w:p>
        </w:tc>
        <w:tc>
          <w:tcPr>
            <w:tcW w:w="2990" w:type="dxa"/>
            <w:tcBorders>
              <w:bottom w:val="single" w:sz="4" w:space="0" w:color="auto"/>
            </w:tcBorders>
            <w:shd w:val="clear" w:color="auto" w:fill="FFFFFF"/>
          </w:tcPr>
          <w:p w14:paraId="27DA0461" w14:textId="77777777" w:rsidR="00924992" w:rsidRDefault="00924992">
            <w:pPr>
              <w:pStyle w:val="Other0"/>
              <w:framePr w:w="11419" w:h="5434" w:vSpace="672" w:wrap="none" w:hAnchor="page" w:x="625" w:y="356"/>
              <w:spacing w:line="240" w:lineRule="auto"/>
              <w:ind w:firstLine="340"/>
              <w:rPr>
                <w:sz w:val="16"/>
                <w:szCs w:val="16"/>
              </w:rPr>
            </w:pPr>
            <w:r>
              <w:rPr>
                <w:rFonts w:ascii="Times New Roman" w:eastAsia="Times New Roman" w:hAnsi="Times New Roman" w:cs="Times New Roman"/>
                <w:sz w:val="16"/>
                <w:szCs w:val="16"/>
              </w:rPr>
              <w:t>200-300 (2 a 4 veces al día)</w:t>
            </w:r>
          </w:p>
        </w:tc>
        <w:tc>
          <w:tcPr>
            <w:tcW w:w="1493" w:type="dxa"/>
            <w:tcBorders>
              <w:bottom w:val="single" w:sz="4" w:space="0" w:color="auto"/>
            </w:tcBorders>
            <w:shd w:val="clear" w:color="auto" w:fill="FFFFFF"/>
          </w:tcPr>
          <w:p w14:paraId="71E6B369" w14:textId="77777777" w:rsidR="00924992" w:rsidRDefault="00924992">
            <w:pPr>
              <w:pStyle w:val="Other0"/>
              <w:framePr w:w="11419" w:h="5434" w:vSpace="672" w:wrap="none" w:hAnchor="page" w:x="625" w:y="356"/>
              <w:spacing w:line="240" w:lineRule="auto"/>
              <w:ind w:firstLine="220"/>
              <w:rPr>
                <w:sz w:val="16"/>
                <w:szCs w:val="16"/>
              </w:rPr>
            </w:pPr>
            <w:r>
              <w:rPr>
                <w:rFonts w:ascii="Times New Roman" w:eastAsia="Times New Roman" w:hAnsi="Times New Roman" w:cs="Times New Roman"/>
                <w:sz w:val="16"/>
                <w:szCs w:val="16"/>
              </w:rPr>
              <w:t>10 g</w:t>
            </w:r>
          </w:p>
        </w:tc>
        <w:tc>
          <w:tcPr>
            <w:tcW w:w="3566" w:type="dxa"/>
            <w:tcBorders>
              <w:bottom w:val="single" w:sz="4" w:space="0" w:color="auto"/>
            </w:tcBorders>
            <w:shd w:val="clear" w:color="auto" w:fill="FFFFFF"/>
          </w:tcPr>
          <w:p w14:paraId="3A7DA97F" w14:textId="77777777" w:rsidR="00924992" w:rsidRDefault="00924992">
            <w:pPr>
              <w:pStyle w:val="Other0"/>
              <w:framePr w:w="11419" w:h="5434" w:vSpace="672" w:wrap="none" w:hAnchor="page" w:x="625" w:y="356"/>
              <w:spacing w:line="283" w:lineRule="auto"/>
              <w:ind w:left="220" w:hanging="220"/>
              <w:rPr>
                <w:sz w:val="16"/>
                <w:szCs w:val="16"/>
              </w:rPr>
            </w:pPr>
            <w:r>
              <w:rPr>
                <w:rFonts w:ascii="Times New Roman" w:eastAsia="Times New Roman" w:hAnsi="Times New Roman" w:cs="Times New Roman"/>
                <w:sz w:val="16"/>
                <w:szCs w:val="16"/>
              </w:rPr>
              <w:t>Perturbaciones de vías gastrointestinales, hipersensibilidad, efectos hepatotóxicos</w:t>
            </w:r>
          </w:p>
        </w:tc>
      </w:tr>
    </w:tbl>
    <w:p w14:paraId="7B53AE36" w14:textId="77777777" w:rsidR="00924992" w:rsidRDefault="00924992">
      <w:pPr>
        <w:framePr w:w="11419" w:h="5434" w:vSpace="672" w:wrap="none" w:hAnchor="page" w:x="625" w:y="356"/>
        <w:spacing w:line="1" w:lineRule="exact"/>
      </w:pPr>
    </w:p>
    <w:p w14:paraId="544F522B" w14:textId="77777777" w:rsidR="00924992" w:rsidRDefault="00924992">
      <w:pPr>
        <w:pStyle w:val="Tablecaption0"/>
        <w:framePr w:w="10882" w:h="576" w:wrap="none" w:hAnchor="page" w:x="678" w:y="5886"/>
        <w:numPr>
          <w:ilvl w:val="0"/>
          <w:numId w:val="119"/>
        </w:numPr>
        <w:tabs>
          <w:tab w:val="left" w:pos="163"/>
        </w:tabs>
        <w:spacing w:line="254" w:lineRule="auto"/>
        <w:ind w:left="0"/>
      </w:pPr>
      <w:r>
        <w:t>Los fármacos mencionados deben usarse después de consultar con un especialista en tuberculosis.</w:t>
      </w:r>
    </w:p>
    <w:p w14:paraId="02101278" w14:textId="77777777" w:rsidR="00924992" w:rsidRDefault="00924992">
      <w:pPr>
        <w:pStyle w:val="Tablecaption0"/>
        <w:framePr w:w="10882" w:h="576" w:wrap="none" w:hAnchor="page" w:x="678" w:y="5886"/>
        <w:numPr>
          <w:ilvl w:val="0"/>
          <w:numId w:val="119"/>
        </w:numPr>
        <w:tabs>
          <w:tab w:val="left" w:pos="173"/>
        </w:tabs>
        <w:spacing w:line="254" w:lineRule="auto"/>
        <w:ind w:left="180" w:hanging="180"/>
        <w:jc w:val="both"/>
      </w:pPr>
      <w:r>
        <w:t>En Estados Unidos no se ha aprobado el uso de las fluoroquinolonas para personas menores de 18 años; su empleo en pacientes de menor edad obliga a la evaluación de los posibles riesgos y beneficios (véase “Antimicrobianos y fármacos similares”, sección 4).</w:t>
      </w:r>
    </w:p>
    <w:p w14:paraId="3DA126B6" w14:textId="77777777" w:rsidR="00924992" w:rsidRDefault="00924992">
      <w:pPr>
        <w:pStyle w:val="Bodytext80"/>
        <w:framePr w:w="168" w:h="4003" w:hRule="exact" w:wrap="none" w:hAnchor="page" w:x="12390" w:y="30"/>
        <w:tabs>
          <w:tab w:val="left" w:pos="2856"/>
        </w:tabs>
        <w:textDirection w:val="tbRl"/>
      </w:pPr>
      <w:r>
        <w:rPr>
          <w:sz w:val="16"/>
          <w:szCs w:val="16"/>
        </w:rPr>
        <w:t>678</w:t>
      </w:r>
      <w:r>
        <w:rPr>
          <w:sz w:val="16"/>
          <w:szCs w:val="16"/>
        </w:rPr>
        <w:tab/>
      </w:r>
      <w:r>
        <w:t>TUBERCULOSIS</w:t>
      </w:r>
    </w:p>
    <w:p w14:paraId="6A56F8E5" w14:textId="77777777" w:rsidR="00924992" w:rsidRDefault="00924992">
      <w:pPr>
        <w:spacing w:line="360" w:lineRule="exact"/>
      </w:pPr>
    </w:p>
    <w:p w14:paraId="259765CD" w14:textId="77777777" w:rsidR="00924992" w:rsidRDefault="00924992">
      <w:pPr>
        <w:spacing w:line="360" w:lineRule="exact"/>
      </w:pPr>
    </w:p>
    <w:p w14:paraId="3C291F92" w14:textId="77777777" w:rsidR="00924992" w:rsidRDefault="00924992">
      <w:pPr>
        <w:spacing w:line="360" w:lineRule="exact"/>
      </w:pPr>
    </w:p>
    <w:p w14:paraId="10AD036D" w14:textId="77777777" w:rsidR="00924992" w:rsidRDefault="00924992">
      <w:pPr>
        <w:spacing w:line="360" w:lineRule="exact"/>
      </w:pPr>
    </w:p>
    <w:p w14:paraId="586928D7" w14:textId="77777777" w:rsidR="00924992" w:rsidRDefault="00924992">
      <w:pPr>
        <w:spacing w:line="360" w:lineRule="exact"/>
      </w:pPr>
    </w:p>
    <w:p w14:paraId="55509B71" w14:textId="77777777" w:rsidR="00924992" w:rsidRDefault="00924992">
      <w:pPr>
        <w:spacing w:line="360" w:lineRule="exact"/>
      </w:pPr>
    </w:p>
    <w:p w14:paraId="10682801" w14:textId="77777777" w:rsidR="00924992" w:rsidRDefault="00924992">
      <w:pPr>
        <w:spacing w:line="360" w:lineRule="exact"/>
      </w:pPr>
    </w:p>
    <w:p w14:paraId="06D35BB3" w14:textId="77777777" w:rsidR="00924992" w:rsidRDefault="00924992">
      <w:pPr>
        <w:spacing w:line="360" w:lineRule="exact"/>
      </w:pPr>
    </w:p>
    <w:p w14:paraId="75719161" w14:textId="77777777" w:rsidR="00924992" w:rsidRDefault="00924992">
      <w:pPr>
        <w:spacing w:line="360" w:lineRule="exact"/>
      </w:pPr>
    </w:p>
    <w:p w14:paraId="20E32EA6" w14:textId="77777777" w:rsidR="00924992" w:rsidRDefault="00924992">
      <w:pPr>
        <w:spacing w:line="360" w:lineRule="exact"/>
      </w:pPr>
    </w:p>
    <w:p w14:paraId="46816C3F" w14:textId="77777777" w:rsidR="00924992" w:rsidRDefault="00924992">
      <w:pPr>
        <w:spacing w:line="360" w:lineRule="exact"/>
      </w:pPr>
    </w:p>
    <w:p w14:paraId="6E2293D6" w14:textId="77777777" w:rsidR="00924992" w:rsidRDefault="00924992">
      <w:pPr>
        <w:spacing w:line="360" w:lineRule="exact"/>
      </w:pPr>
    </w:p>
    <w:p w14:paraId="3F8E689C" w14:textId="77777777" w:rsidR="00924992" w:rsidRDefault="00924992">
      <w:pPr>
        <w:spacing w:line="360" w:lineRule="exact"/>
      </w:pPr>
    </w:p>
    <w:p w14:paraId="555009DA" w14:textId="77777777" w:rsidR="00924992" w:rsidRDefault="00924992">
      <w:pPr>
        <w:spacing w:line="360" w:lineRule="exact"/>
      </w:pPr>
    </w:p>
    <w:p w14:paraId="7A96E096" w14:textId="77777777" w:rsidR="00924992" w:rsidRDefault="00924992">
      <w:pPr>
        <w:spacing w:line="360" w:lineRule="exact"/>
      </w:pPr>
    </w:p>
    <w:p w14:paraId="0932C605" w14:textId="77777777" w:rsidR="00924992" w:rsidRDefault="00924992">
      <w:pPr>
        <w:spacing w:line="360" w:lineRule="exact"/>
      </w:pPr>
    </w:p>
    <w:p w14:paraId="7BE3541A" w14:textId="77777777" w:rsidR="00924992" w:rsidRDefault="00924992">
      <w:pPr>
        <w:spacing w:after="700" w:line="1" w:lineRule="exact"/>
      </w:pPr>
    </w:p>
    <w:p w14:paraId="5B1E62AE" w14:textId="77777777" w:rsidR="00924992" w:rsidRDefault="00924992">
      <w:pPr>
        <w:spacing w:line="1" w:lineRule="exact"/>
        <w:sectPr w:rsidR="00924992" w:rsidSect="00924992">
          <w:pgSz w:w="13022" w:h="8501" w:orient="landscape"/>
          <w:pgMar w:top="475" w:right="466" w:bottom="475" w:left="624" w:header="47" w:footer="3" w:gutter="0"/>
          <w:cols w:space="720"/>
          <w:noEndnote/>
          <w:docGrid w:linePitch="360"/>
          <w15:footnoteColumns w:val="1"/>
        </w:sectPr>
      </w:pPr>
    </w:p>
    <w:p w14:paraId="37BC8328" w14:textId="77777777" w:rsidR="00924992" w:rsidRDefault="00924992">
      <w:pPr>
        <w:pStyle w:val="BodyText"/>
        <w:ind w:firstLine="0"/>
      </w:pPr>
      <w:r>
        <w:t>excreción de ácido úrico. No se recomienda usar dicho fármaco en personas con hepatopatía primaria o que tienen alguna lesión hepática por isoniazida.</w:t>
      </w:r>
    </w:p>
    <w:p w14:paraId="5600561E" w14:textId="77777777" w:rsidR="00924992" w:rsidRDefault="00924992">
      <w:pPr>
        <w:pStyle w:val="BodyText"/>
        <w:ind w:firstLine="360"/>
      </w:pPr>
      <w:r>
        <w:t xml:space="preserve">El </w:t>
      </w:r>
      <w:r>
        <w:rPr>
          <w:b/>
          <w:bCs/>
        </w:rPr>
        <w:t xml:space="preserve">sulfato de estreptomicina </w:t>
      </w:r>
      <w:r>
        <w:t>se aplica por vía intramuscular pero se comercializa sólo en forma limitada. Si no se dispone de estreptomicina, otros fármacos a los que cabe recurrir son kanamicina, capreomicina y amikacina, que se utilizan en las cuatro a ocho semanas primeras del tratamiento.</w:t>
      </w:r>
    </w:p>
    <w:p w14:paraId="65F4ACC4" w14:textId="77777777" w:rsidR="00924992" w:rsidRDefault="00924992">
      <w:pPr>
        <w:pStyle w:val="BodyText"/>
        <w:ind w:firstLine="360"/>
      </w:pPr>
      <w:r>
        <w:t xml:space="preserve">El </w:t>
      </w:r>
      <w:r>
        <w:rPr>
          <w:b/>
          <w:bCs/>
        </w:rPr>
        <w:t xml:space="preserve">clorhidrato de etambutol </w:t>
      </w:r>
      <w:r>
        <w:t>es un medicamento que se absorbe satisfactoriamente después de ingerido, se difunde de manera adecuada en los tejidos y se excreta en la orina. A razón de 15 mg de etambutol/kg de peso al día tiene sólo acción bacteriostática, pero su participación terapéutica primaria es evitar que surja la resistencia a medicamentos. Para obtener actividad bactericida se necesita una dosis de 25 mg/kg de peso al día. El etambutol puede originar neuritis óptica reversible o irreversible, por lo que quienes lo reciben deben ser vigilados mensualmente, es decir se les medirá su agudeza visual y se les someterá a estudios para discriminar colores rojo-verde. El uso de etambutol en niños de corta edad en que es imposible vigilar en forma seriada su agudeza visual obliga a analizar sus riesgos y beneficios. Sin embargo, la neuritis óptica por dicho medicamento es muy rara en niños con función renal normal.</w:t>
      </w:r>
    </w:p>
    <w:p w14:paraId="7694BC4F" w14:textId="77777777" w:rsidR="00924992" w:rsidRDefault="00924992">
      <w:pPr>
        <w:pStyle w:val="BodyText"/>
        <w:ind w:firstLine="360"/>
      </w:pPr>
      <w:r>
        <w:t>En el cuadro 3-73 se incluyen antifímicos menos usados (de segunda línea), sus dosis y efectos adversos. Los medicamentos de esta categoría tienen escasa utilidad porque son menos eficaces y más tóxicos y deberán utilizarse sólo después de consultar con el especialista. La etionamida es un antifímico de administración oral que es tolerado satisfactoriamente por los niños, alcanza concentraciones terapéuticas en LCR y puede ser útil para tratar casos de meningitis o tuberculosis farmacorresistente. Las fluoroquinolonas poseen actividad antifímica y pueden administrarse en circunstancias especiales. En Estados Unidos, la FDA ha aprobado el uso de tales fármacos sólo en personas de 18 años y mayores, por lo que su uso en sujetos de menor edad obliga a una valoración cuidadosa de riesgos y beneficios posibles (véase “Antimicrobianos y fármacos similares”, sección 4). En caso de LTBI o enfermedad tuberculosa resistente a múltiples fármacos, dichos medicamentos pueden ser incluidos en el tratamiento.</w:t>
      </w:r>
    </w:p>
    <w:p w14:paraId="43090C20" w14:textId="77777777" w:rsidR="00924992" w:rsidRDefault="00924992">
      <w:pPr>
        <w:pStyle w:val="BodyText"/>
        <w:ind w:firstLine="360"/>
      </w:pPr>
      <w:r>
        <w:t>En ocasiones un niño no tolera los medicamentos ingeribles. Es posible administrar por vía parenteral productos como isoniazida, rifampicina, estreptomicina y medicamentos similares, así como fluoroquinolonas. Algunas farmacias han preparado supositorios de isoniazida y rifampicina, pero no hay una presentación estándar; es importante medir de manera seriada las concentraciones de los fármacos en suero si se aplican los medicamentos por vía rectal.</w:t>
      </w:r>
    </w:p>
    <w:p w14:paraId="4D22F0FB" w14:textId="77777777" w:rsidR="00924992" w:rsidRDefault="00924992">
      <w:pPr>
        <w:pStyle w:val="BodyText"/>
        <w:spacing w:line="276" w:lineRule="auto"/>
        <w:ind w:firstLine="360"/>
      </w:pPr>
      <w:r>
        <w:rPr>
          <w:rFonts w:ascii="Arial" w:eastAsia="Arial" w:hAnsi="Arial" w:cs="Arial"/>
          <w:b/>
          <w:bCs/>
          <w:i/>
          <w:iCs/>
          <w:sz w:val="15"/>
          <w:szCs w:val="15"/>
        </w:rPr>
        <w:t>Tratamiento de LTBI.</w:t>
      </w:r>
      <w:r>
        <w:t xml:space="preserve"> La isoniazida administrada a adultos con LTBI (es decir, sin anormalidades clínicas ni radiográficas que sugieran enfermedad tuberculosa) brinda protección sustancial (54 a 88%) contra la aparición de la enfermedad cuando menos durante 20 años. En niños la eficacia se acerca a 100% si se cumple fielmente el tratamiento. Todos los lactantes, niños y adolescentes con positividad de TST, pero sin manifestaciones de enfermedad tuberculosa y que nunca han recibido tratamiento antifímico, deben recibir isoniazida, salvo que se sospeche resistencia a ella o exista alguna contraindicación específica. En tal circunstancia la isoniazida tiene actividad terapéutica y evita que surja la enfermedad. En el momento de emprender la terapia habrá que hacer una radiografía de tórax para descartar la presencia de enfermedad activa y si los signos son normales, el niño permanece asintomático y el tratamiento se completa, no es necesario repetir la radiografía.</w:t>
      </w:r>
    </w:p>
    <w:p w14:paraId="5083A05A" w14:textId="77777777" w:rsidR="00924992" w:rsidRDefault="00924992">
      <w:pPr>
        <w:pStyle w:val="BodyText"/>
        <w:ind w:firstLine="360"/>
      </w:pPr>
      <w:r>
        <w:rPr>
          <w:rFonts w:ascii="Arial" w:eastAsia="Arial" w:hAnsi="Arial" w:cs="Arial"/>
          <w:b/>
          <w:bCs/>
          <w:i/>
          <w:iCs/>
          <w:sz w:val="15"/>
          <w:szCs w:val="15"/>
        </w:rPr>
        <w:t>Duración del tratamiento contra LTBI.</w:t>
      </w:r>
      <w:r>
        <w:t xml:space="preserve"> En el caso de lactantes, niños y adolescentes, se recomienda que la administración de isoniazida dure nueve meses. Se administra diariamente el fármaco en una sola dosis. Si es imposible asegurar el cumplimiento meticuloso de la terapia diaria, puede considerarse la administración DOT dos veces por semana.</w:t>
      </w:r>
    </w:p>
    <w:p w14:paraId="64AB8E5C" w14:textId="77777777" w:rsidR="00924992" w:rsidRDefault="00924992">
      <w:pPr>
        <w:pStyle w:val="BodyText"/>
        <w:spacing w:line="276" w:lineRule="auto"/>
        <w:ind w:firstLine="360"/>
      </w:pPr>
      <w:r>
        <w:rPr>
          <w:rFonts w:ascii="Arial" w:eastAsia="Arial" w:hAnsi="Arial" w:cs="Arial"/>
          <w:b/>
          <w:bCs/>
          <w:i/>
          <w:iCs/>
          <w:sz w:val="15"/>
          <w:szCs w:val="15"/>
        </w:rPr>
        <w:t>Tratamiento de contactos de pacientes infectados por M. tuberculosis resistente a isoniazida.</w:t>
      </w:r>
      <w:r>
        <w:t xml:space="preserve"> Se sabe que en promedio la incidencia de resistencia a isoniazida entre </w:t>
      </w:r>
      <w:r>
        <w:rPr>
          <w:rFonts w:ascii="Times New Roman" w:eastAsia="Times New Roman" w:hAnsi="Times New Roman" w:cs="Times New Roman"/>
          <w:i/>
          <w:iCs/>
          <w:sz w:val="16"/>
          <w:szCs w:val="16"/>
        </w:rPr>
        <w:t>M. tuberculosis</w:t>
      </w:r>
      <w:r>
        <w:t xml:space="preserve"> aislados de sujetos estadounidenses es cercana a 9%. Los factores de riesgo para que surja resistencia a fármacos se incluyen en el cuadro 3-74. Sin embargo, casi todos los expertos recomiendan utilizar la isoniazida para tratar LTBI en niños, salvo que el paciente hubiese tenido contacto con una persona con tuberculosis resistente a isoniazida (diagnosticada). Si se advierte que el caso original tiene micobacterias resistentes a dicho medicamento, habrá que interrumpir su uso y administrar rifampicina durante el ciclo total de seis meses, como mínimo. Se desconoce la eficacia e inocuidad de administrar durante dos meses rifampicina y pirazinamida en niños para tratar LTBI, y no se puede recomendar su empleo. Se desconoce el tratamiento óptimo de menores con LTBI causada por microorganismos resistentes a isoniazida y rifampicina. En tales situaciones se han utilizado regímenes con múltiples fármacos; entre los que se pueden considerar están pirazinamida, una fluoroquinolona y etambutol, según la susceptibilidad del microorganismo aislado. Conviene la consulta con un neumólogo especializado en tuberculosis.</w:t>
      </w:r>
    </w:p>
    <w:p w14:paraId="24814E51" w14:textId="77777777" w:rsidR="00924992" w:rsidRDefault="00924992">
      <w:pPr>
        <w:pStyle w:val="BodyText"/>
        <w:spacing w:line="276" w:lineRule="auto"/>
        <w:ind w:firstLine="360"/>
      </w:pPr>
      <w:r>
        <w:rPr>
          <w:rFonts w:ascii="Arial" w:eastAsia="Arial" w:hAnsi="Arial" w:cs="Arial"/>
          <w:b/>
          <w:bCs/>
          <w:i/>
          <w:iCs/>
          <w:sz w:val="15"/>
          <w:szCs w:val="15"/>
        </w:rPr>
        <w:t>Tratamiento de la enfermedad tuberculosa.</w:t>
      </w:r>
      <w:r>
        <w:t xml:space="preserve"> Con el tratamiento se busca la esterilización de la lesión tuberculosa en el mínimo tiempo posible. Al alcanzar el objetivo mencionado se lleva al mínimo la posibilidad de que aparezcan microorganismos resistentes. El principal problema por el que no se obtiene el tratamiento satisfactorio es el incumplimiento de los regímenes terapéuticos ordenados. El empleo de DOT disminuye las cifras de recidiva, ineficacia terapéutica y resistencia a medicamentos, por lo que en Estados Unidos se recomienda seguir dicha modalidad para tratar a niños y adolescentes con enfermedad tuberculosa.</w:t>
      </w:r>
    </w:p>
    <w:p w14:paraId="0FA64CAD" w14:textId="77777777" w:rsidR="00924992" w:rsidRDefault="00924992">
      <w:pPr>
        <w:pStyle w:val="BodyText"/>
        <w:ind w:firstLine="360"/>
      </w:pPr>
      <w:r>
        <w:t xml:space="preserve">Se recomienda para tratar enfermedad por </w:t>
      </w:r>
      <w:r>
        <w:rPr>
          <w:rFonts w:ascii="Times New Roman" w:eastAsia="Times New Roman" w:hAnsi="Times New Roman" w:cs="Times New Roman"/>
          <w:i/>
          <w:iCs/>
          <w:sz w:val="16"/>
          <w:szCs w:val="16"/>
        </w:rPr>
        <w:t>M. tuberculosis</w:t>
      </w:r>
      <w:r>
        <w:rPr>
          <w:b/>
          <w:bCs/>
        </w:rPr>
        <w:t xml:space="preserve"> farmacosusceptible</w:t>
      </w:r>
      <w:r>
        <w:t>, un régimen semestral que incluya isoniazida, rifampicina y pirazinamida en los primeros dos meses, e isoniazida y rifampicina en los cuatro meses restantes; incluye la enfermedad pulmonar, pulmonar con adenopatía hiliar y adenopatía hiliar en lactantes, niños y adolescentes. En niños con adenopatía hiliar en quienes no existe la probabilidad de resistencia a fármacos, basta un régimen semestral a base de isoniazida y rifampicina solamente.</w:t>
      </w:r>
    </w:p>
    <w:p w14:paraId="79D834C1" w14:textId="77777777" w:rsidR="00924992" w:rsidRDefault="00924992">
      <w:pPr>
        <w:pStyle w:val="BodyText"/>
        <w:ind w:firstLine="360"/>
      </w:pPr>
      <w:r>
        <w:t xml:space="preserve">Si se sospecha </w:t>
      </w:r>
      <w:r>
        <w:rPr>
          <w:b/>
          <w:bCs/>
        </w:rPr>
        <w:t xml:space="preserve">resistencia a fármacos </w:t>
      </w:r>
      <w:r>
        <w:t>(cuadro 3-74) el tratamiento inicial debe incluir un cuarto medicamento, que sea etambutol o un aminoglucósido, hasta que se cuente con los resultados de los antibioticogramas. Si es imposible aislar la micobacteria del niño en tratamiento cabe deducir su susceptibilidad a fármacos por el perfil de los gérmenes aislados en el antibioticograma de un adulto. Si no se dispone de dicha información, pueden ser útiles las cifras de endemia local de resistencia a uno o múltiples fármacos. Es probable que no se disponga de datos en el caso de niños extranjeros o en caso de viaje a países alejados. Si no se dispone de tal información, se recomienda seguir inicialmente un régimen con cuatro fármacos.</w:t>
      </w:r>
    </w:p>
    <w:p w14:paraId="766CBAE2" w14:textId="77777777" w:rsidR="00924992" w:rsidRDefault="00924992">
      <w:pPr>
        <w:pStyle w:val="BodyText"/>
        <w:ind w:firstLine="360"/>
      </w:pPr>
      <w:r>
        <w:t>En el régimen semestral con tres fármacos se administran isoniazida, rifampicina y pirazinamida una vez al día en las primeras dos semanas. Entre las dos semanas y los dos meses de tratamiento se pueden administrar todos los días o dos veces por semana</w:t>
      </w:r>
    </w:p>
    <w:p w14:paraId="444A6A29" w14:textId="77777777" w:rsidR="00924992" w:rsidRDefault="00924992">
      <w:pPr>
        <w:pStyle w:val="Heading31"/>
        <w:keepNext/>
        <w:keepLines/>
        <w:pBdr>
          <w:bottom w:val="single" w:sz="4" w:space="0" w:color="auto"/>
        </w:pBdr>
        <w:spacing w:after="400" w:line="216" w:lineRule="auto"/>
        <w:jc w:val="center"/>
      </w:pPr>
      <w:bookmarkStart w:id="124" w:name="bookmark1579"/>
      <w:bookmarkStart w:id="125" w:name="bookmark1580"/>
      <w:bookmarkStart w:id="126" w:name="bookmark1581"/>
      <w:r>
        <w:rPr>
          <w:b w:val="0"/>
          <w:bCs w:val="0"/>
        </w:rPr>
        <w:t xml:space="preserve">Cuadro 3-74. </w:t>
      </w:r>
      <w:r>
        <w:t>Personas expuestas a un mayor peligro de mostrar infección</w:t>
      </w:r>
      <w:r>
        <w:br/>
        <w:t>o enfermedad tuberculosa farmacorresistente</w:t>
      </w:r>
      <w:bookmarkEnd w:id="124"/>
      <w:bookmarkEnd w:id="125"/>
      <w:bookmarkEnd w:id="126"/>
    </w:p>
    <w:p w14:paraId="75D77CAF" w14:textId="77777777" w:rsidR="00924992" w:rsidRDefault="00924992">
      <w:pPr>
        <w:pStyle w:val="Bodytext20"/>
        <w:numPr>
          <w:ilvl w:val="0"/>
          <w:numId w:val="115"/>
        </w:numPr>
        <w:tabs>
          <w:tab w:val="left" w:pos="426"/>
        </w:tabs>
        <w:ind w:left="420" w:hanging="220"/>
      </w:pPr>
      <w:bookmarkStart w:id="127" w:name="bookmark1582"/>
      <w:bookmarkEnd w:id="127"/>
      <w:r>
        <w:t>Personas con el antecedente de tratamiento de tuberculosis activa (o cuyo caso original respecto al contacto recibió el tratamiento en cuestión)</w:t>
      </w:r>
    </w:p>
    <w:p w14:paraId="66D744F3" w14:textId="77777777" w:rsidR="00924992" w:rsidRDefault="00924992">
      <w:pPr>
        <w:pStyle w:val="Bodytext20"/>
        <w:numPr>
          <w:ilvl w:val="0"/>
          <w:numId w:val="115"/>
        </w:numPr>
        <w:tabs>
          <w:tab w:val="left" w:pos="426"/>
        </w:tabs>
        <w:ind w:firstLine="200"/>
      </w:pPr>
      <w:bookmarkStart w:id="128" w:name="bookmark1583"/>
      <w:bookmarkEnd w:id="128"/>
      <w:r>
        <w:t>Contactos del paciente con enfermedad tuberculosa contagiosa farmacorresistente</w:t>
      </w:r>
    </w:p>
    <w:p w14:paraId="6B7D1663" w14:textId="77777777" w:rsidR="00924992" w:rsidRDefault="00924992">
      <w:pPr>
        <w:pStyle w:val="Bodytext20"/>
        <w:numPr>
          <w:ilvl w:val="0"/>
          <w:numId w:val="115"/>
        </w:numPr>
        <w:tabs>
          <w:tab w:val="left" w:pos="426"/>
        </w:tabs>
        <w:ind w:firstLine="200"/>
      </w:pPr>
      <w:bookmarkStart w:id="129" w:name="bookmark1584"/>
      <w:bookmarkEnd w:id="129"/>
      <w:r>
        <w:t>Personas nacidas en países con elevada prevalencia de tuberculosis farmacorresistente</w:t>
      </w:r>
    </w:p>
    <w:p w14:paraId="38D0B453" w14:textId="77777777" w:rsidR="00924992" w:rsidRDefault="00924992">
      <w:pPr>
        <w:pStyle w:val="Bodytext20"/>
        <w:numPr>
          <w:ilvl w:val="0"/>
          <w:numId w:val="115"/>
        </w:numPr>
        <w:tabs>
          <w:tab w:val="left" w:pos="426"/>
        </w:tabs>
        <w:ind w:left="420" w:hanging="220"/>
      </w:pPr>
      <w:bookmarkStart w:id="130" w:name="bookmark1585"/>
      <w:bookmarkEnd w:id="130"/>
      <w:r>
        <w:t xml:space="preserve">Residentes de zonas en que es grande la prevalencia corroborada de </w:t>
      </w:r>
      <w:r>
        <w:rPr>
          <w:i/>
          <w:iCs/>
        </w:rPr>
        <w:t xml:space="preserve">M. tuberculosis </w:t>
      </w:r>
      <w:r>
        <w:t>farmacorresistente (definida por muchos expertos como cifras de resistencia a la isoniazida en 4% o más)</w:t>
      </w:r>
    </w:p>
    <w:p w14:paraId="39A29E68" w14:textId="77777777" w:rsidR="00924992" w:rsidRDefault="00924992">
      <w:pPr>
        <w:pStyle w:val="Bodytext20"/>
        <w:numPr>
          <w:ilvl w:val="0"/>
          <w:numId w:val="115"/>
        </w:numPr>
        <w:pBdr>
          <w:bottom w:val="single" w:sz="4" w:space="0" w:color="auto"/>
        </w:pBdr>
        <w:tabs>
          <w:tab w:val="left" w:pos="426"/>
        </w:tabs>
        <w:spacing w:after="720"/>
        <w:ind w:left="420" w:hanging="220"/>
      </w:pPr>
      <w:bookmarkStart w:id="131" w:name="bookmark1586"/>
      <w:bookmarkEnd w:id="131"/>
      <w:r>
        <w:t>Personas infectadas cuyo caso original mostraba la presencia de bacilos acidorresistentes en frotis o cultivos, después de dos meses de terapia antifímica apropiada</w:t>
      </w:r>
    </w:p>
    <w:p w14:paraId="2EA3D5D9" w14:textId="77777777" w:rsidR="00924992" w:rsidRDefault="00924992">
      <w:pPr>
        <w:pStyle w:val="BodyText"/>
        <w:ind w:firstLine="0"/>
      </w:pPr>
      <w:r>
        <w:t>con el método DOT, isoniazida, rifampicina y pirazinamida. Después de los primeros dos meses, es aceptable un régimen DOT que incluya isoniazida y rifampicina dos veces por semana (consultar posologia en cuadro 3-71). Se han utilizado con buenos resultados en adultos y en niños otros regímenes con duración diferente de la administración diaria y de la terapia total; los regímenes en cuestión deben estar a cargo de un especialista en tuberculosis.</w:t>
      </w:r>
    </w:p>
    <w:p w14:paraId="5E4FA60B" w14:textId="77777777" w:rsidR="00924992" w:rsidRDefault="00924992">
      <w:pPr>
        <w:pStyle w:val="BodyText"/>
        <w:spacing w:line="276" w:lineRule="auto"/>
        <w:ind w:firstLine="360"/>
      </w:pPr>
      <w:r>
        <w:rPr>
          <w:rFonts w:ascii="Arial" w:eastAsia="Arial" w:hAnsi="Arial" w:cs="Arial"/>
          <w:b/>
          <w:bCs/>
          <w:i/>
          <w:iCs/>
          <w:sz w:val="15"/>
          <w:szCs w:val="15"/>
        </w:rPr>
        <w:t>Tratamiento de la enfermedad tuberculosa farmacorresistente.</w:t>
      </w:r>
      <w:r>
        <w:t xml:space="preserve"> En algunas zonas de América del Norte en años reciente ha aumentado la incidencia de farmacorresistencia en personas que no habían sido tratadas. La resistencia comentada es más frecuente en: 1) personas nacidas en zonas como Rusia y los países que integraban la Unión Soviética, Asia, África y América Latina; 2) personas que habían sido tratadas de enfermedad tuberculosa y 3) contactos, especialmente niños, con enfermedad tuberculosa cuyo caso original es una persona de uno de los grupos en cuestión (véase también cuadro 3-74). Casi todos los casos de tuberculosis pulmonar en niños que son causados por una cepa de </w:t>
      </w:r>
      <w:r>
        <w:rPr>
          <w:rFonts w:ascii="Times New Roman" w:eastAsia="Times New Roman" w:hAnsi="Times New Roman" w:cs="Times New Roman"/>
          <w:i/>
          <w:iCs/>
          <w:sz w:val="16"/>
          <w:szCs w:val="16"/>
        </w:rPr>
        <w:t>M. tuberculosis</w:t>
      </w:r>
      <w:r>
        <w:t xml:space="preserve"> resistente a isoniazida, pero susceptible a rifampicina, pueden ser tratados con un régimen a base de rifampicina, pirazinamida o etambutol durante nueve meses. Si se sospecha enfermedad tuberculosa farmacorresistente, el tratamiento inicial debe incluir como mínimo cuatro antifímicos. El tratamiento debe incluir al menos dos fármacos bactericidas como la isoniazida y la rifampicina, pirazinamida y un aminoglucósido (también bactericida) o etambutol a razón de 25 mg/kg al día. En caso de que las cepas sean resistentes a isoniazida o rifampicina, no se recomiendan los regímenes semestrales, y en estos casos se requieren regímenes de 12 a 18 meses para curación. Tampoco se recomiendan los regímenes de administración dos veces por semana si la enfermedad es farmacorresistente; el método DOT es de máxima importancia para curar a los niños con enfermedad tuberculosa farmacorresistente y evitar que surja mayor resistencia.</w:t>
      </w:r>
    </w:p>
    <w:p w14:paraId="30A1E763" w14:textId="77777777" w:rsidR="00924992" w:rsidRDefault="00924992">
      <w:pPr>
        <w:pStyle w:val="BodyText"/>
        <w:spacing w:line="276" w:lineRule="auto"/>
        <w:ind w:firstLine="360"/>
      </w:pPr>
      <w:r>
        <w:rPr>
          <w:rFonts w:ascii="Arial" w:eastAsia="Arial" w:hAnsi="Arial" w:cs="Arial"/>
          <w:b/>
          <w:bCs/>
          <w:i/>
          <w:iCs/>
          <w:sz w:val="15"/>
          <w:szCs w:val="15"/>
        </w:rPr>
        <w:t>Tuberculosis extrapulmonar.</w:t>
      </w:r>
      <w:r>
        <w:t xml:space="preserve"> En términos generales, esta forma de tuberculosis (con excepción de la meningitis) puede ser tratada con los mismos regímenes utilizados para la forma pulmonar. En el caso de meningitis tuberculosa farmacosusceptible, se recomienda durante un total de nueve a 12 meses la administración diaria de isoniazida, rifampicina, pirazinamida y etambutol, estreptomicina u otro aminoglucósido o la etionamida en el primero o segundo mes, seguida de isoniazida y rifampicina una vez al día o dos veces por semana con el método DOT. Si la tuberculosis es letal, se administran inicialmente cuatro fármacos ante la posibilidad de que haya resistencia a ellos y consecuencias graves de la ineficacia terapéutica (véase “Tratamiento de enfermedad tuberculosa farmacorresistente”, párrafos anteriores en este resumen).</w:t>
      </w:r>
    </w:p>
    <w:p w14:paraId="4E369050" w14:textId="77777777" w:rsidR="00924992" w:rsidRDefault="00924992">
      <w:pPr>
        <w:pStyle w:val="BodyText"/>
        <w:spacing w:line="276" w:lineRule="auto"/>
        <w:ind w:firstLine="360"/>
      </w:pPr>
      <w:r>
        <w:rPr>
          <w:rFonts w:ascii="Arial" w:eastAsia="Arial" w:hAnsi="Arial" w:cs="Arial"/>
          <w:b/>
          <w:bCs/>
          <w:i/>
          <w:iCs/>
          <w:sz w:val="15"/>
          <w:szCs w:val="15"/>
        </w:rPr>
        <w:t>Corticosteroides.</w:t>
      </w:r>
      <w:r>
        <w:t xml:space="preserve"> No son completas las pruebas en pro del tratamiento coadyuvante con corticosteroides en niños con enfermedad tuberculosa. Estos fármacos están indicados en menores con meningitis tuberculosa porque disminuyen las cifras de mortalidad y las deficiencias neurológicas a largo plazo. Cabe considerar el uso de corticosteroides en niños con derrames pleural y pericárdico (para acelerar la resorción de líquido), enfermedad miliar grave (para aplacar el bloqueo alveolocapilar) y en enfermedad endobronquial (para aliviar la obstrucción y la atelectasia). Los corticosteroides se administrarán sólo si se acompañan de tratamiento antifímico apropiado. Casi todos los expertos consideran que es adecuado utilizar 1 a 2 mg de prednisona/kg de peso al día (dosis máxima, 60 mg/día) o su equivalente durante seis a ocho semanas.</w:t>
      </w:r>
    </w:p>
    <w:p w14:paraId="1E4B349E" w14:textId="77777777" w:rsidR="00924992" w:rsidRDefault="00924992">
      <w:pPr>
        <w:pStyle w:val="BodyText"/>
        <w:spacing w:line="276" w:lineRule="auto"/>
        <w:ind w:firstLine="360"/>
      </w:pPr>
      <w:r>
        <w:rPr>
          <w:rFonts w:ascii="Arial" w:eastAsia="Arial" w:hAnsi="Arial" w:cs="Arial"/>
          <w:b/>
          <w:bCs/>
          <w:i/>
          <w:iCs/>
          <w:sz w:val="15"/>
          <w:szCs w:val="15"/>
        </w:rPr>
        <w:t>Enfermedad tuberculosa e infección por VIH</w:t>
      </w:r>
      <w:r>
        <w:rPr>
          <w:i/>
          <w:iCs/>
        </w:rPr>
        <w:t>.</w:t>
      </w:r>
      <w:r>
        <w:t xml:space="preserve"> Los adultos y los niños con infección por VIH tienen una mayor incidencia de enfermedad tuberculosa. Por lo tanto, en todo individuo con enfermedad tuberculosa conviene practicar pruebas para detectar VIH. Las manifestaciones clínicas y radiográficas de la enfermedad tuberculosa en niños con infección por VIH tienden a ser semejantes a las observadas en niños inmunocompetentes, aunque en aquellos pueden ser más graves y poco comunes e incluyen afección extrapulmonar de múltiples órganos. En pacientes infectados por VIH, se considera positiva la induración de 5 mm o más en TST (véase cuadro 3-69); sin embargo, también se observan a veces resultados negativos de dicha prueba atribuibles a la inmunosupresión causada por VIH. En todo niño infectado por VIH en quien se sospecha tuberculosis habrá que obtener muestras para cultivo.</w:t>
      </w:r>
    </w:p>
    <w:p w14:paraId="462E45EC" w14:textId="77777777" w:rsidR="00924992" w:rsidRDefault="00924992">
      <w:pPr>
        <w:pStyle w:val="BodyText"/>
        <w:ind w:firstLine="360"/>
      </w:pPr>
      <w:r>
        <w:t>Casi todos los adultos infectados con VIH con tuberculosis farmacosusceptible reaccionan satisfactoriamente a los fármacos antifímicos si se inicia tempranamente su administración adecuada. Sin embargo, no se ha definido el tratamiento óptimo contra la tuberculosis en niños con infección por VIH. El tratamiento debe incluir siempre como mínimo tres fármacos inicialmente, y debe continuarse durante nueve meses, como mínimo. Se administrarán en los primeros dos meses, por lo menos, isoniazida, rifampicina y pirazinamida, a menudo con etambutol o un aminoglucósido. Cabe utilizar un régimen de tres fármacos si se descarta la presencia de enfermedad farmacorresistente. Es conveniente consultar con un especialista experto en el tratamiento de pacientes infectados por virus de inmunodeficiencia humana.</w:t>
      </w:r>
    </w:p>
    <w:p w14:paraId="783D553C" w14:textId="77777777" w:rsidR="00924992" w:rsidRDefault="00924992">
      <w:pPr>
        <w:pStyle w:val="BodyText"/>
        <w:spacing w:line="276" w:lineRule="auto"/>
        <w:ind w:firstLine="360"/>
      </w:pPr>
      <w:r>
        <w:rPr>
          <w:rFonts w:ascii="Arial" w:eastAsia="Arial" w:hAnsi="Arial" w:cs="Arial"/>
          <w:b/>
          <w:bCs/>
          <w:i/>
          <w:iCs/>
          <w:sz w:val="15"/>
          <w:szCs w:val="15"/>
        </w:rPr>
        <w:t>Valoración y vigilancia seriada del tratamiento en niños y adolescentes.</w:t>
      </w:r>
      <w:r>
        <w:t xml:space="preserve"> Un punto importante es la valoración mensual y cuidadosa de las respuestas clínica y bacteriológica al tratamiento. Con el procedimiento DOT, la valoración clínica es parte integral de cada visita para la administración de fármacos. En niños con tuberculosis pulmonar hay que practicar radiografías de tórax después de dos a tres meses de tratamiento, para evaluar la respuesta. Incluso si los regímenes semestrales son provechosos, la adenopatía hiliar puede persistir durante dos a tres años y no se necesita la normalización de los signos radiográficos para interrumpir el tratamiento. Por lo regular no es necesario practicar radiografías de tórax como parte de la vigilancia, después de la terminación de la terapia fructífera, salvo que haya deterioro clínico.</w:t>
      </w:r>
    </w:p>
    <w:p w14:paraId="63FBCB37" w14:textId="77777777" w:rsidR="00924992" w:rsidRDefault="00924992">
      <w:pPr>
        <w:pStyle w:val="BodyText"/>
        <w:ind w:firstLine="360"/>
      </w:pPr>
      <w:r>
        <w:t>Si se interrumpe la terapia, habrá que prolongar la fecha de la terminación. Si bien no se cuenta con directrices para todas las situaciones, entre los factores que deben considerarse al determinar la fecha de terminación están los siguientes: 1) duración de la interrupción del tratamiento; 2) momento del tratamiento (temprano o tardío) en que se produjo la interrupción y 3) el estado clínico, radiográfico y bacteriológico del niño antes de la interrupción, durante ella y después de consumada. Conviene consultar con un especialista en tuberculosis.</w:t>
      </w:r>
    </w:p>
    <w:p w14:paraId="4DAFF6E3" w14:textId="77777777" w:rsidR="00924992" w:rsidRDefault="00924992">
      <w:pPr>
        <w:pStyle w:val="BodyText"/>
        <w:ind w:firstLine="360"/>
      </w:pPr>
      <w:r>
        <w:t>Los efectos adversos de la administración de isoniazida, que incluyen hepatitis grave en lactantes, niños y adolescentes por lo demás normales, son raros. No se recomienda medir en forma sistemática las concentraciones de transaminasas en suero. Sin embargo, en el caso de menores con tuberculosis grave, en particular los que tienen meningitis o enfermedad diseminada, habrá que medir en promedio cada mes, los primeros meses de tratamiento, las concentraciones de dicha sustancia. Otras indicaciones para practicar tal medición incluyen: 1) tener concomitantemente o en fecha reciente hepatopatía o enfermedad de vías biliares; 2) en el caso de las mujeres, estar embarazadas o en las primeras seis semanas después del parto; 3) mostrar signos clínicos de efectos hepatotóxicos, o 4) utilizar conjuntamente otros fármacos hepatotóxicos (en particular los anticonvulsivos). En muchas de las circunstancias restantes, parte de la vigilancia adecuada incluye la valoración clínica mensual en busca de signos o síntomas de hepatitis u otros efectos adversos de la farmacoterapia, sin necesidad de medir sistemáticamente las concentraciones de transaminasa. En todos los casos, un aspecto importante del tratamiento es el contacto regular entre el médico y el paciente para valorar el cumplimiento de órdenes terapéuticas, la eficacia de la terapia y la aparición de efectos tóxicos.</w:t>
      </w:r>
    </w:p>
    <w:p w14:paraId="729F509B" w14:textId="77777777" w:rsidR="00924992" w:rsidRDefault="00924992">
      <w:pPr>
        <w:pStyle w:val="BodyText"/>
        <w:spacing w:line="276" w:lineRule="auto"/>
        <w:ind w:firstLine="360"/>
      </w:pPr>
      <w:r>
        <w:rPr>
          <w:rFonts w:ascii="Arial" w:eastAsia="Arial" w:hAnsi="Arial" w:cs="Arial"/>
          <w:b/>
          <w:bCs/>
          <w:i/>
          <w:iCs/>
          <w:sz w:val="15"/>
          <w:szCs w:val="15"/>
        </w:rPr>
        <w:t>Vacunaciones.</w:t>
      </w:r>
      <w:r>
        <w:t xml:space="preserve"> Los niños sometidos a tratamiento antituberculoso pueden recibir vacunas de virus vivos como la antisarampionosa y otros preparados de ese tipo adecuados a su edad, salvo que reciban dosis altas de corticosteroides, estén en muy grave estado o tengan otras contraindicaciones específicas para la vacunación.</w:t>
      </w:r>
    </w:p>
    <w:p w14:paraId="64E44AF5" w14:textId="77777777" w:rsidR="00924992" w:rsidRDefault="00924992">
      <w:pPr>
        <w:pStyle w:val="BodyText"/>
        <w:spacing w:line="276" w:lineRule="auto"/>
        <w:ind w:firstLine="360"/>
      </w:pPr>
      <w:r>
        <w:rPr>
          <w:rFonts w:ascii="Arial" w:eastAsia="Arial" w:hAnsi="Arial" w:cs="Arial"/>
          <w:b/>
          <w:bCs/>
          <w:i/>
          <w:iCs/>
          <w:sz w:val="15"/>
          <w:szCs w:val="15"/>
        </w:rPr>
        <w:t>Tuberculosis durante el embarazo y el amamantamiento.</w:t>
      </w:r>
      <w:r>
        <w:t xml:space="preserve"> El tratamiento de la tuberculosis en el embarazo varía por la complejidad de las decisiones terapéuticas. En tal periodo, si se diagnostica enfermedad tuberculosa, se recomienda un régimen de isoniazida, rifampicina y etambutol. En general, la pirazinamida se utiliza en un régimen de tres o cuatro fármacos, pero no se ha definido la inocuidad de dicho medicamento en la gestación. Si se administra pirazinamida, conviene que el tratamiento sea de seis meses, como mínimo, en la tuberculosis farmacosusceptible; si no se utiliza el fármaco en cuestión, se necesitan por lo menos nueve meses de tratamiento. Es indispensable emprender inmediatamente el uso del fármaco para proteger a la madre y al feto.</w:t>
      </w:r>
    </w:p>
    <w:p w14:paraId="251C9490" w14:textId="77777777" w:rsidR="00924992" w:rsidRDefault="00924992">
      <w:pPr>
        <w:pStyle w:val="BodyText"/>
        <w:ind w:firstLine="360"/>
      </w:pPr>
      <w:r>
        <w:t>Las embarazadas asintomáticas con un resultado positivo de TST, signos normales en la radiografía de tórax y contacto con una persona contagiosa, deben recibir isoniazida durante nueve meses como terapia recomendada. En estas circunstancias, la administración del medicamento debe comenzar después del primer trimestre del embarazo. La administración de piridoxina está indicada en toda embarazada y en todas las mujeres que amamantan a su hijo y que reciben isoniazida.</w:t>
      </w:r>
    </w:p>
    <w:p w14:paraId="547C1FF1" w14:textId="77777777" w:rsidR="00924992" w:rsidRDefault="00924992">
      <w:pPr>
        <w:pStyle w:val="BodyText"/>
        <w:ind w:firstLine="360"/>
      </w:pPr>
      <w:r>
        <w:t>La isoniazida, el etambutol y la rifampicina son relativamente innocuas para el feto. El beneficio que se obtiene con el etambutol y la rifampicina para combatir la enfermedad tuberculosa en la madre rebasa los peligros para el producto. La estreptomicina origina efectos ortotóxicos en el feto, por lo que no se la utilizará, salvo que su administración sea esencial para el tratamiento eficaz.</w:t>
      </w:r>
    </w:p>
    <w:p w14:paraId="38E25344" w14:textId="77777777" w:rsidR="00924992" w:rsidRDefault="00924992">
      <w:pPr>
        <w:pStyle w:val="BodyText"/>
        <w:ind w:firstLine="360"/>
      </w:pPr>
      <w:r>
        <w:t>La isoniazida es secretada en la leche materna, pero no se ha demostrado que lactantes que la reciben presenten efectos adversos del fármaco (véase “Leche materna”, sección 2). Los pequeños amamantados no necesitan piridoxina, salvo que reciban isoniazida.</w:t>
      </w:r>
    </w:p>
    <w:p w14:paraId="5DA13510" w14:textId="77777777" w:rsidR="00924992" w:rsidRDefault="00924992">
      <w:pPr>
        <w:pStyle w:val="BodyText"/>
        <w:spacing w:line="283" w:lineRule="auto"/>
        <w:ind w:firstLine="360"/>
        <w:rPr>
          <w:sz w:val="16"/>
          <w:szCs w:val="16"/>
        </w:rPr>
      </w:pPr>
      <w:r>
        <w:rPr>
          <w:rFonts w:ascii="Arial" w:eastAsia="Arial" w:hAnsi="Arial" w:cs="Arial"/>
          <w:b/>
          <w:bCs/>
          <w:i/>
          <w:iCs/>
          <w:sz w:val="15"/>
          <w:szCs w:val="15"/>
        </w:rPr>
        <w:t>Tuberculosis congénita.</w:t>
      </w:r>
      <w:r>
        <w:t xml:space="preserve"> Es posible que la mujer que tiene sólo tuberculosis pulmonar no infecte al feto, pero sí puede hacerlo con su hijo después de nacido. La tuberculosis congénita es rara, pero las infecciones en útero surgen a veces después de bacilemia de la gestante por </w:t>
      </w:r>
      <w:r>
        <w:rPr>
          <w:rFonts w:ascii="Times New Roman" w:eastAsia="Times New Roman" w:hAnsi="Times New Roman" w:cs="Times New Roman"/>
          <w:i/>
          <w:iCs/>
          <w:sz w:val="16"/>
          <w:szCs w:val="16"/>
        </w:rPr>
        <w:t>M. tuberculosis.</w:t>
      </w:r>
    </w:p>
    <w:p w14:paraId="0C7D8D18" w14:textId="77777777" w:rsidR="00924992" w:rsidRDefault="00924992">
      <w:pPr>
        <w:pStyle w:val="BodyText"/>
        <w:ind w:firstLine="360"/>
      </w:pPr>
      <w:r>
        <w:t xml:space="preserve">Si se sospecha que un neonato tiene tuberculosis congénita, habrá que hacer inmediatamente TST, radiografía de tórax, punción lumbar y los cultivos apropiados. El resultado de TST por lo común es negativo en los neonatos con las formas congénita o de contagio perinatal. Por tal motivo, sean cuales sean los resultados de TST habrá que emprender inmediatamente el tratamiento del pequeño con isoniazida, rifampicina, pirazinamida y estreptomicina o kanamicina. La placenta debe ser estudiada por medios histopatológicos y se harán cultivos en busca de </w:t>
      </w:r>
      <w:r>
        <w:rPr>
          <w:rFonts w:ascii="Times New Roman" w:eastAsia="Times New Roman" w:hAnsi="Times New Roman" w:cs="Times New Roman"/>
          <w:i/>
          <w:iCs/>
          <w:sz w:val="16"/>
          <w:szCs w:val="16"/>
        </w:rPr>
        <w:t>M. tuberculosis</w:t>
      </w:r>
      <w:r>
        <w:t>. Se valorará a la mujer en busca de tuberculosis pulmonar o extrapulmonar incluida la uterina. Si los datos de la exploración física o las radiografías de tórax de la mujer refuerzan el diagnóstico de enfermedad tuberculosa, habrá que tratar al recién nacido con los regímenes recomendados para tal enfermedad. Si se confirma la presencia de meningitis, habrá que agregar corticosteroides (véase “Corticosteroides”, en páginas anteriores. Habrá que practicar antibioticogramas con la micobacteria identificada en la madre, el producto o en ambos.</w:t>
      </w:r>
    </w:p>
    <w:p w14:paraId="479A82DF" w14:textId="77777777" w:rsidR="00924992" w:rsidRDefault="00924992">
      <w:pPr>
        <w:pStyle w:val="BodyText"/>
        <w:spacing w:line="288" w:lineRule="auto"/>
        <w:ind w:firstLine="360"/>
      </w:pPr>
      <w:r>
        <w:rPr>
          <w:rFonts w:ascii="Arial" w:eastAsia="Arial" w:hAnsi="Arial" w:cs="Arial"/>
          <w:b/>
          <w:bCs/>
          <w:i/>
          <w:iCs/>
          <w:sz w:val="15"/>
          <w:szCs w:val="15"/>
        </w:rPr>
        <w:t>Tratamiento del neonato cuya madre (u otro contacto del círculo familiar) tiene LTBI o enfermedad</w:t>
      </w:r>
      <w:r>
        <w:rPr>
          <w:i/>
          <w:iCs/>
        </w:rPr>
        <w:t>.</w:t>
      </w:r>
      <w:r>
        <w:t xml:space="preserve"> El tratamiento del neonato se basa en la corroboración y clasificación de la infección de su madre (o del contacto del círculo familiar). La protección del pequeño contra la enfermedad tuberculosa es de máxima importancia, pero se evitará en la medida de lo posible separarlo de su madre (o del contacto del núcleo familiar). A continuación se indican las circunstancias y las recomendaciones en tales casos:</w:t>
      </w:r>
    </w:p>
    <w:p w14:paraId="0D9B84D9" w14:textId="77777777" w:rsidR="00924992" w:rsidRDefault="00924992">
      <w:pPr>
        <w:pStyle w:val="BodyText"/>
        <w:numPr>
          <w:ilvl w:val="0"/>
          <w:numId w:val="115"/>
        </w:numPr>
        <w:tabs>
          <w:tab w:val="left" w:pos="329"/>
        </w:tabs>
        <w:spacing w:line="276" w:lineRule="auto"/>
        <w:ind w:left="360" w:hanging="360"/>
      </w:pPr>
      <w:bookmarkStart w:id="132" w:name="bookmark1587"/>
      <w:bookmarkEnd w:id="132"/>
      <w:r>
        <w:rPr>
          <w:rFonts w:ascii="Times New Roman" w:eastAsia="Times New Roman" w:hAnsi="Times New Roman" w:cs="Times New Roman"/>
          <w:b/>
          <w:bCs/>
          <w:i/>
          <w:iCs/>
          <w:sz w:val="16"/>
          <w:szCs w:val="16"/>
        </w:rPr>
        <w:t>Madre (o contacto del círculo familiar) con positividad de TST y signos normales en las radiografías de tórax.</w:t>
      </w:r>
      <w:r>
        <w:t xml:space="preserve"> Si la madre (o el contacto del círculo familiar) es asintomática, no se necesita separarla de su hijo. La mujer por lo común es candidata para recibir tratamiento de LTBI y el neonato no necesita valoración ni tratamiento especial. Dado que la positividad de TST pudiera ser un marcador de una situación de tuberculosis contagiosa no identificada dentro del círculo familiar, se practicará TST y otros estudios en todos los miembros del círculo, pero ello no diferirá la salida del pequeño del hospital.</w:t>
      </w:r>
    </w:p>
    <w:p w14:paraId="22443886" w14:textId="77777777" w:rsidR="00924992" w:rsidRDefault="00924992">
      <w:pPr>
        <w:pStyle w:val="BodyText"/>
        <w:numPr>
          <w:ilvl w:val="0"/>
          <w:numId w:val="115"/>
        </w:numPr>
        <w:tabs>
          <w:tab w:val="left" w:pos="329"/>
        </w:tabs>
        <w:spacing w:line="276" w:lineRule="auto"/>
        <w:ind w:left="360" w:hanging="360"/>
      </w:pPr>
      <w:bookmarkStart w:id="133" w:name="bookmark1588"/>
      <w:bookmarkEnd w:id="133"/>
      <w:r>
        <w:rPr>
          <w:rFonts w:ascii="Times New Roman" w:eastAsia="Times New Roman" w:hAnsi="Times New Roman" w:cs="Times New Roman"/>
          <w:b/>
          <w:bCs/>
          <w:i/>
          <w:iCs/>
          <w:sz w:val="16"/>
          <w:szCs w:val="16"/>
        </w:rPr>
        <w:t>La madre (u otro contacto del círculo familiar) tiene un resultado positivo de TSTy signos anormales en las radiografías' de tórax compatible con enfermedad tuberculosa.</w:t>
      </w:r>
      <w:r>
        <w:t xml:space="preserve"> Si los signos radiográficos son anormales, habrá que separar a la madre (o al contacto del círculo familiar) y al pequeño hasta que ella o dicho contacto hayan sido valorados, y si se detecta enfermedad tuberculosa, hasta que uno y otros hayan recibido tratamiento antifímico adecuado durante dos semanas, como mínimo. Algunos expertos permiten el contacto inmediato si la madre y el hijo reciben medicamentos adecuados, si la madre usa mascarilla y si se le indican las medidas para erradicar la infección. Si la mujer tiene un factor de riesgo de que haya sido invadida por una cepa resistente a múltiples fármacos o una enfermedad corroborada atribuible a dicha resistencia, habrá que separarla de su hijo y consultar con un experto en tuberculosis. Habrá que practicar TST y otros estudios a los demás miembros del círculo familiar.</w:t>
      </w:r>
    </w:p>
    <w:p w14:paraId="2E392F4B" w14:textId="77777777" w:rsidR="00924992" w:rsidRDefault="00924992">
      <w:pPr>
        <w:pStyle w:val="BodyText"/>
        <w:numPr>
          <w:ilvl w:val="0"/>
          <w:numId w:val="115"/>
        </w:numPr>
        <w:tabs>
          <w:tab w:val="left" w:pos="331"/>
        </w:tabs>
        <w:spacing w:line="276" w:lineRule="auto"/>
        <w:ind w:left="360" w:hanging="360"/>
      </w:pPr>
      <w:bookmarkStart w:id="134" w:name="bookmark1589"/>
      <w:bookmarkEnd w:id="134"/>
      <w:r>
        <w:rPr>
          <w:rFonts w:ascii="Times New Roman" w:eastAsia="Times New Roman" w:hAnsi="Times New Roman" w:cs="Times New Roman"/>
          <w:b/>
          <w:bCs/>
          <w:i/>
          <w:iCs/>
          <w:sz w:val="16"/>
          <w:szCs w:val="16"/>
        </w:rPr>
        <w:t>La madre (o el contacto del círculo familiar) tiene un resultado positivo en TST y signos anormales en la radiografía de tórax, pero ninguna manifestación de enfermedad tuberculosa.</w:t>
      </w:r>
      <w:r>
        <w:t xml:space="preserve"> Si la imagen de la radiografía de tórax de la madre (o del contacto del círculo familiar) es anormal, pero no característica de tuberculosis, y si los datos de la anamnesis, la exploración física y el frotis de esputo no aportan pruebas de que haya enfermedad tuberculosa, se supone que el pequeño está expuesto a un riesgo bajo de infección por </w:t>
      </w:r>
      <w:r>
        <w:rPr>
          <w:rFonts w:ascii="Times New Roman" w:eastAsia="Times New Roman" w:hAnsi="Times New Roman" w:cs="Times New Roman"/>
          <w:i/>
          <w:iCs/>
          <w:sz w:val="16"/>
          <w:szCs w:val="16"/>
        </w:rPr>
        <w:t>M. tuberculosis</w:t>
      </w:r>
      <w:r>
        <w:t xml:space="preserve"> y no es necesario separarlo de la madre (o del contacto del círculo familiar). La madre y su hijo deben ser sometidos a medidas de vigilancia y ella deberá recibir tratamiento. También se practicará TST y nuevos estudios en otros miembros del círculo familiar.</w:t>
      </w:r>
    </w:p>
    <w:p w14:paraId="62D81614" w14:textId="77777777" w:rsidR="00924992" w:rsidRDefault="00924992">
      <w:pPr>
        <w:pStyle w:val="BodyText"/>
        <w:numPr>
          <w:ilvl w:val="0"/>
          <w:numId w:val="115"/>
        </w:numPr>
        <w:tabs>
          <w:tab w:val="left" w:pos="331"/>
        </w:tabs>
        <w:spacing w:line="276" w:lineRule="auto"/>
        <w:ind w:left="360" w:hanging="360"/>
      </w:pPr>
      <w:bookmarkStart w:id="135" w:name="bookmark1590"/>
      <w:bookmarkEnd w:id="135"/>
      <w:r>
        <w:rPr>
          <w:rFonts w:ascii="Times New Roman" w:eastAsia="Times New Roman" w:hAnsi="Times New Roman" w:cs="Times New Roman"/>
          <w:b/>
          <w:bCs/>
          <w:i/>
          <w:iCs/>
          <w:sz w:val="16"/>
          <w:szCs w:val="16"/>
        </w:rPr>
        <w:t>La madre (o el contacto del círculo familiar) tiene un resultado positivo de TSTy manifestaciones clínicas o radiográficas de posible tuberculosis contagiosa.</w:t>
      </w:r>
      <w:r>
        <w:t xml:space="preserve"> La presencia de la enfermedad en la madre (o contactos del círculo familiar) debe ser notificada de inmediato al departamento de salud local y también se emprenderá el estudio de todos los miembros del círculo de la familia en término de días. En todos ellos se practicarán TST, radiografía de tórax y exploración física. Habrá que valorar al lactante en busca de tuberculosis congénita (véase “Tuberculosis congénita”, párrafos anteriores en este resumen); habrá que tratar a la madre, y madre e hijo se someterán a pruebas para detectar infección por VIH. Si el pequeño recibe isoniazida no es necesaria la separación de su madre, salvo que ella tenga un factor de riesgo de haber sido afectada por una cepa resistente a múltiples fármacos. Si la mujer (o el contacto del círculo hogareño) tiene enfermedad tuberculosa atribuible a </w:t>
      </w:r>
      <w:r>
        <w:rPr>
          <w:rFonts w:ascii="Times New Roman" w:eastAsia="Times New Roman" w:hAnsi="Times New Roman" w:cs="Times New Roman"/>
          <w:i/>
          <w:iCs/>
          <w:sz w:val="16"/>
          <w:szCs w:val="16"/>
        </w:rPr>
        <w:t>M. tuberculosis</w:t>
      </w:r>
      <w:r>
        <w:t xml:space="preserve"> resistente a múltiples fármacos o no cumple satisfactoriamente el tratamiento y es imposible seguir el método DOT, habrá que separar al lactante de su madre o del miembro de la familia enfermos y pensar en aplicar al pequeño la vacuna BCG. La respuesta a dicha vacuna en los lactantes puede ser tardía e insuficiente para evitar la tuberculosis, por lo que se prefiere el procedimiento DOT para la mujer (o el contacto del círculo familiar) y el lactante. Se practicará TST y nuevos estudios en otros miembros del círculo familiar.</w:t>
      </w:r>
    </w:p>
    <w:p w14:paraId="16D3E232" w14:textId="77777777" w:rsidR="00924992" w:rsidRDefault="00924992">
      <w:pPr>
        <w:pStyle w:val="BodyText"/>
        <w:ind w:firstLine="740"/>
      </w:pPr>
      <w:r>
        <w:t xml:space="preserve">Si se descarta la tuberculosis congénita, se administrará isoniazida hasta que el pequeño tenga tres o cuatro meses de vida, y para esa fecha se realizará TST. Si sus resultados son positivos, se revalorará al pequeño en busca de enfermedad tuberculosa; de no haberla habrá que continuar el uso de isoniazida durante nueve meses. Si el resultado de TST es negativo y la madre y otros contactos del círculo familiar con tuberculosis cumplen fielmente el régimen terapéutico, la respuesta a éste es satisfactoria y ha dejado de ser contagioso, se interrumpe el uso de la isoniazida. El pequeño debe ser valorado cada mes durante el tratamiento. </w:t>
      </w:r>
      <w:r>
        <w:rPr>
          <w:b/>
          <w:bCs/>
          <w:smallCaps/>
          <w:sz w:val="20"/>
          <w:szCs w:val="20"/>
        </w:rPr>
        <w:t>A</w:t>
      </w:r>
      <w:r>
        <w:rPr>
          <w:b/>
          <w:bCs/>
          <w:smallCaps/>
          <w:sz w:val="16"/>
          <w:szCs w:val="16"/>
        </w:rPr>
        <w:t>islamiento del paciente hospitalizado</w:t>
      </w:r>
      <w:r>
        <w:rPr>
          <w:b/>
          <w:bCs/>
          <w:smallCaps/>
          <w:sz w:val="20"/>
          <w:szCs w:val="20"/>
        </w:rPr>
        <w:t>:</w:t>
      </w:r>
      <w:r>
        <w:t xml:space="preserve"> Casi ningún niño con enfermedad tuberculosa es contagioso y en ellos se necesitan sólo precauciones estándar. La excepciones a tal situación serían: 1) niños con tuberculosis pulmonar cavitada;</w:t>
      </w:r>
    </w:p>
    <w:p w14:paraId="59996557" w14:textId="77777777" w:rsidR="00924992" w:rsidRDefault="00924992">
      <w:pPr>
        <w:pStyle w:val="BodyText"/>
        <w:ind w:firstLine="0"/>
      </w:pPr>
      <w:r>
        <w:t>2) presencia de AFB en los frotis de esputo; 3) ataque laríngeo; 4) infección pulmonar extensa, o 5) sospecha de tuberculosis congénita. Las precauciones contra la tuberculosis o los AFB están indicadas hasta que se haya emprendido la terapia eficaz, los frotis de esputo demuestren un número cada vez menor de microorganismos y ceda la tos. Los niños sin tos ni AFB en los frotis de esputo pueden ser hospitalizados en un pabellón abierto. Las medidas de erradicación de la infección en el caso del personal hospitalario en situaciones contagiosas deben incluir el empleo de respiradores personales “adaptados y sellados” contra partículas, para todos los contactos del paciente (véase “Control infectológico de niños hospitalizados”, sección 2). El paciente contagioso debe estar en un cuarto en que haya presión negativa en el hospital.</w:t>
      </w:r>
    </w:p>
    <w:p w14:paraId="6CD197E4" w14:textId="77777777" w:rsidR="00924992" w:rsidRDefault="00924992">
      <w:pPr>
        <w:pStyle w:val="BodyText"/>
        <w:ind w:firstLine="360"/>
      </w:pPr>
      <w:r>
        <w:t>La principal preocupación en la erradicación de la infección reside en los miembros adultos del círculo familiar y los contactos que pudieran constituir el caso original. En todas ellos habrá que hacer una radiografía de tórax para descartar tuberculosis contagiosa y se practicará TST. Se seguirán las precauciones contra tuberculosis o AFB en todos los miembros del círculo familiar y los contactos cuando hagan visitas hasta que se demuestre que ya no tienen tuberculosis contagiosa. Se prohibirá la visita hospitalaria a todos los contactos del círculo familiar que no cumplan con las órdenes terapéuticas, hasta que la evaluación sea completa y se descarte la presencia de enfermedad tuberculosa o el tratamiento haya hecho que los casos originales pierdan su carácter contagioso.</w:t>
      </w:r>
    </w:p>
    <w:p w14:paraId="3FBCE523" w14:textId="77777777" w:rsidR="00924992" w:rsidRDefault="00924992">
      <w:pPr>
        <w:pStyle w:val="Other0"/>
        <w:spacing w:line="257" w:lineRule="auto"/>
        <w:ind w:firstLine="0"/>
        <w:rPr>
          <w:sz w:val="20"/>
          <w:szCs w:val="20"/>
        </w:rPr>
      </w:pPr>
      <w:r>
        <w:rPr>
          <w:b/>
          <w:bCs/>
          <w:smallCaps/>
          <w:sz w:val="20"/>
          <w:szCs w:val="20"/>
        </w:rPr>
        <w:t>M</w:t>
      </w:r>
      <w:r>
        <w:rPr>
          <w:b/>
          <w:bCs/>
          <w:smallCaps/>
          <w:sz w:val="16"/>
          <w:szCs w:val="16"/>
        </w:rPr>
        <w:t>edidas preventivas</w:t>
      </w:r>
      <w:r>
        <w:rPr>
          <w:b/>
          <w:bCs/>
          <w:smallCaps/>
          <w:sz w:val="20"/>
          <w:szCs w:val="20"/>
        </w:rPr>
        <w:t>:</w:t>
      </w:r>
    </w:p>
    <w:p w14:paraId="4CAF4B5A" w14:textId="77777777" w:rsidR="00924992" w:rsidRDefault="00924992">
      <w:pPr>
        <w:pStyle w:val="BodyText"/>
        <w:ind w:firstLine="0"/>
      </w:pPr>
      <w:r>
        <w:t>La erradicación de la tuberculosis en Estados Unidos exige la colaboración entre profesionales asistenciales y el personal del departamento de salud; para tal fin se hará una anamnesis muy detallada de la exposición a personas con tuberculosis contagiosa, estudios de los contactos de manera oportuna y eficaz, interpretación apropiada de los resultados de TST y tratamiento antifímico apropiado que incluya servicios de terapia directamente observada.</w:t>
      </w:r>
    </w:p>
    <w:p w14:paraId="7BEA9B27" w14:textId="77777777" w:rsidR="00924992" w:rsidRDefault="00924992">
      <w:pPr>
        <w:pStyle w:val="BodyText"/>
        <w:spacing w:line="276" w:lineRule="auto"/>
        <w:ind w:firstLine="360"/>
      </w:pPr>
      <w:r>
        <w:rPr>
          <w:rFonts w:ascii="Arial" w:eastAsia="Arial" w:hAnsi="Arial" w:cs="Arial"/>
          <w:b/>
          <w:bCs/>
          <w:i/>
          <w:iCs/>
          <w:sz w:val="15"/>
          <w:szCs w:val="15"/>
        </w:rPr>
        <w:t>Tratamiento de contactos, incluida la investigación epidemiológica</w:t>
      </w:r>
      <w:r>
        <w:rPr>
          <w:i/>
          <w:iCs/>
        </w:rPr>
        <w:t>.</w:t>
      </w:r>
      <w:r>
        <w:t xml:space="preserve"> Los niños con un resultado positivo de TST o con enfermedad tuberculosa deben ser el punto de partida de investigaciones epidemiológicas por parte del departamento de sanidad local. Se practicará TST en todos los contactos muy cercanos de un niño con positividad en esa prueba, y habrá que hacer mayores estudios en las personas con un resultado positivo de la misma o síntomas compatibles con enfermedad tuberculosa. Los niños con tuberculosis primaria generalmente no son contagiosos, por lo que es posible que no estén infectados sus contactos, salvo que ellos también hayan estado con una gran cercanía al mismo adulto que constituyera el caso original. Una vez identificado el supuesto adulto que sirvió de caso de origen para la tuberculosis del niño, habrá que valorar los demás contactos de dicho adulto.</w:t>
      </w:r>
    </w:p>
    <w:p w14:paraId="724F10BD" w14:textId="77777777" w:rsidR="00924992" w:rsidRDefault="00924992">
      <w:pPr>
        <w:pStyle w:val="BodyText"/>
        <w:spacing w:line="276" w:lineRule="auto"/>
        <w:ind w:firstLine="360"/>
      </w:pPr>
      <w:r>
        <w:rPr>
          <w:rFonts w:ascii="Arial" w:eastAsia="Arial" w:hAnsi="Arial" w:cs="Arial"/>
          <w:b/>
          <w:bCs/>
          <w:i/>
          <w:iCs/>
          <w:sz w:val="15"/>
          <w:szCs w:val="15"/>
        </w:rPr>
        <w:t>Tratamiento de los contactos.</w:t>
      </w:r>
      <w:r>
        <w:t xml:space="preserve"> Las personas expuestas en los 90 días anteriores a un caso contagioso de enfermedad tuberculosa deben ser sometidos a la prueba TST y a la práctica de una radiografía de tórax. En el caso de los contactos expuestos con deficiencias inmunitarias (como sería la infección por VIH) y todos los contactos del núcleo familiar menores de cuatro años habrá que emprender el uso de isoniazida, incluso si es negativo el resultado de TST, una vez que se descarte la presencia de enfermedad tuberculosa (véase “Terapia de LTBI”, páginas anteriores en este resumen). Las personas infectadas pueden tener un resultado negativo en TST porque todavía no ha surgido reactividad de tipo celular o por anergia cutánea. Habrá que practicar de nuevo la misma prueba 12 semanas después del último contacto, si fue negativo el resultado; si aún sigue siendo negativo dicho resultado en una persona inmunocompetente, se interrumpe el uso de isoniazida. Si el contacto muestra inmunodeficiencia, es imposible descartar LTBI y habrá que continuar dicho tratamiento durante nueve meses. Si el resultado de TST del contacto se torna positivo, habrá que continuar por nueve meses el uso de isoniazida.</w:t>
      </w:r>
    </w:p>
    <w:p w14:paraId="5E422050" w14:textId="77777777" w:rsidR="00924992" w:rsidRDefault="00924992">
      <w:pPr>
        <w:pStyle w:val="BodyText"/>
        <w:spacing w:line="298" w:lineRule="auto"/>
        <w:ind w:firstLine="360"/>
      </w:pPr>
      <w:r>
        <w:rPr>
          <w:rFonts w:ascii="Arial" w:eastAsia="Arial" w:hAnsi="Arial" w:cs="Arial"/>
          <w:b/>
          <w:bCs/>
          <w:i/>
          <w:iCs/>
          <w:sz w:val="15"/>
          <w:szCs w:val="15"/>
        </w:rPr>
        <w:t>Atención del niño y asistencia escolar.</w:t>
      </w:r>
      <w:r>
        <w:t xml:space="preserve"> Los niños con enfermedad tuberculosa pueden acudir a la escuela o a los centros de atención pediátrica si reciben tratamiento (véase “Niños en el sistema asistencial extrahogareño”, sección 2). Reanudarán sus actividades regulares tan pronto se haya instituido el tratamiento eficaz, se haya corroborado el cumplimiento del mismo y hayan disminuido sustancialmente los síntomas clínicos. Los niños con LTBI pueden participar en todas las actividades, reciban o no tratamiento.</w:t>
      </w:r>
    </w:p>
    <w:p w14:paraId="29DE8E6E" w14:textId="77777777" w:rsidR="00924992" w:rsidRDefault="00924992">
      <w:pPr>
        <w:pStyle w:val="BodyText"/>
        <w:spacing w:line="276" w:lineRule="auto"/>
        <w:ind w:firstLine="360"/>
      </w:pPr>
      <w:r>
        <w:rPr>
          <w:rFonts w:ascii="Arial" w:eastAsia="Arial" w:hAnsi="Arial" w:cs="Arial"/>
          <w:b/>
          <w:bCs/>
          <w:i/>
          <w:iCs/>
          <w:sz w:val="15"/>
          <w:szCs w:val="15"/>
        </w:rPr>
        <w:t>Vacuna BCG.</w:t>
      </w:r>
      <w:r>
        <w:t xml:space="preserve"> La vacuna BCG es un producto preparado de virus vivos atenuados de </w:t>
      </w:r>
      <w:r>
        <w:rPr>
          <w:rFonts w:ascii="Times New Roman" w:eastAsia="Times New Roman" w:hAnsi="Times New Roman" w:cs="Times New Roman"/>
          <w:i/>
          <w:iCs/>
          <w:sz w:val="16"/>
          <w:szCs w:val="16"/>
        </w:rPr>
        <w:t>M. bovis</w:t>
      </w:r>
      <w:r>
        <w:rPr>
          <w:i/>
          <w:iCs/>
        </w:rPr>
        <w:t>.</w:t>
      </w:r>
      <w:r>
        <w:t xml:space="preserve"> El Expanded Programme on Immunization de la Organización Mundial de la Salud (OMS) recomienda usar dicha vacuna para aplicarla desde el nacimiento (cuadro 1-3, sección 1) y en la actualidad la usan más de 100 países. Con la vacuna del bacilo de Calmette-Guérin se busca evitar las manifestaciones diseminadas y letales de otro tipo de la infección por </w:t>
      </w:r>
      <w:r>
        <w:rPr>
          <w:rFonts w:ascii="Times New Roman" w:eastAsia="Times New Roman" w:hAnsi="Times New Roman" w:cs="Times New Roman"/>
          <w:i/>
          <w:iCs/>
          <w:sz w:val="16"/>
          <w:szCs w:val="16"/>
        </w:rPr>
        <w:t>M. tuberculosis</w:t>
      </w:r>
      <w:r>
        <w:t xml:space="preserve"> en lactantes y niños de corta edad. Sin embargo, la aplicación de dicha vacuna no evita la infección por </w:t>
      </w:r>
      <w:r>
        <w:rPr>
          <w:rFonts w:ascii="Times New Roman" w:eastAsia="Times New Roman" w:hAnsi="Times New Roman" w:cs="Times New Roman"/>
          <w:i/>
          <w:iCs/>
          <w:sz w:val="16"/>
          <w:szCs w:val="16"/>
        </w:rPr>
        <w:t>M. tuberculosis</w:t>
      </w:r>
      <w:r>
        <w:rPr>
          <w:i/>
          <w:iCs/>
        </w:rPr>
        <w:t>.</w:t>
      </w:r>
      <w:r>
        <w:t xml:space="preserve"> Las vacunas BCG que se utilizan en muy diversas zonas del mundo difieren en composición y eficacia.</w:t>
      </w:r>
    </w:p>
    <w:p w14:paraId="5A0AE4FB" w14:textId="77777777" w:rsidR="00924992" w:rsidRDefault="00924992">
      <w:pPr>
        <w:pStyle w:val="BodyText"/>
        <w:ind w:firstLine="360"/>
      </w:pPr>
      <w:r>
        <w:t>Los resultados de dos metaanálisis de estudios clínicos publicados y otros de casos sin testigos en cuanto a la eficacia de las vacunas BCG indicaron que este tipo de vacuna tiene una eficacia protectora relativamente grande (en promedio, 80%) contra la tuberculosis meníngea y la miliar en niños. La eficacia en cuanto a protección contra la tuberculosis pulmonar difirió significativamente de un estudio a otro y fue imposible llegar a una conclusión específica. En un metaanálisis se calculó que era de 50% la protección brindada por la vacuna en cuestión. En Estados Unidos se ha aprobado el uso de dos vacunas de este tipo, una fabricada por Organon Teknika Corporation (Durham, NC) y la otra por Connaught Laboratories (Willowdale, Ontario). No se han hecho valoraciones comparativas de estas vacunas y otras más del tipo del bacilo de Calmette-Guérin.</w:t>
      </w:r>
    </w:p>
    <w:p w14:paraId="6EFF54E9" w14:textId="77777777" w:rsidR="00924992" w:rsidRDefault="00924992">
      <w:pPr>
        <w:pStyle w:val="BodyText"/>
        <w:spacing w:line="276" w:lineRule="auto"/>
        <w:ind w:firstLine="360"/>
      </w:pPr>
      <w:r>
        <w:rPr>
          <w:rFonts w:ascii="Times New Roman" w:eastAsia="Times New Roman" w:hAnsi="Times New Roman" w:cs="Times New Roman"/>
          <w:b/>
          <w:bCs/>
          <w:i/>
          <w:iCs/>
          <w:sz w:val="16"/>
          <w:szCs w:val="16"/>
        </w:rPr>
        <w:t>Indicaciones.</w:t>
      </w:r>
      <w:r>
        <w:t xml:space="preserve"> En Estados Unidos habrá que valorar la aplicación de la vacuna BCG sólo en situaciones escogidas y limitadas, como sería el riesgo inevitable de exposición a </w:t>
      </w:r>
      <w:r>
        <w:rPr>
          <w:rFonts w:ascii="Times New Roman" w:eastAsia="Times New Roman" w:hAnsi="Times New Roman" w:cs="Times New Roman"/>
          <w:i/>
          <w:iCs/>
          <w:sz w:val="16"/>
          <w:szCs w:val="16"/>
        </w:rPr>
        <w:t>M. tuberculosis</w:t>
      </w:r>
      <w:r>
        <w:t xml:space="preserve"> y la ineficacia o imposibilidad de practicar otros métodos de erradicación de la enfermedad. El </w:t>
      </w:r>
      <w:r>
        <w:rPr>
          <w:rFonts w:ascii="Times New Roman" w:eastAsia="Times New Roman" w:hAnsi="Times New Roman" w:cs="Times New Roman"/>
          <w:i/>
          <w:iCs/>
          <w:sz w:val="16"/>
          <w:szCs w:val="16"/>
        </w:rPr>
        <w:t>Advisory Committee on Immunization Practices</w:t>
      </w:r>
      <w:r>
        <w:t xml:space="preserve"> y el </w:t>
      </w:r>
      <w:r>
        <w:rPr>
          <w:rFonts w:ascii="Times New Roman" w:eastAsia="Times New Roman" w:hAnsi="Times New Roman" w:cs="Times New Roman"/>
          <w:i/>
          <w:iCs/>
          <w:sz w:val="16"/>
          <w:szCs w:val="16"/>
        </w:rPr>
        <w:t>Advisory Council for the Elimination of Tuberculosis</w:t>
      </w:r>
      <w:r>
        <w:t xml:space="preserve"> de los CDC</w:t>
      </w:r>
      <w:r>
        <w:footnoteReference w:id="20"/>
      </w:r>
      <w:r>
        <w:t xml:space="preserve"> han publicado recomendaciones para usar la vacuna para erradicar la enfermedad en niños y profesionales asistenciales. En lo que se refiere a lactantes y niños, cabe pensar en la vacunación con BCG sólo en personas con un resultado negativo de TST que no están infectadas por VIH en las circunstancias siguientes:</w:t>
      </w:r>
    </w:p>
    <w:p w14:paraId="546965C8" w14:textId="77777777" w:rsidR="00924992" w:rsidRDefault="00924992">
      <w:pPr>
        <w:pStyle w:val="BodyText"/>
        <w:numPr>
          <w:ilvl w:val="0"/>
          <w:numId w:val="115"/>
        </w:numPr>
        <w:tabs>
          <w:tab w:val="left" w:pos="341"/>
        </w:tabs>
        <w:ind w:left="360" w:hanging="360"/>
      </w:pPr>
      <w:bookmarkStart w:id="136" w:name="bookmark1591"/>
      <w:bookmarkEnd w:id="136"/>
      <w:r>
        <w:t>El niño está expuesto continuamente a una persona o personas con tuberculosis pulmonar contagiosa resistente a isoniazida y rifampicina y es imposible separarlo de tal exposición.</w:t>
      </w:r>
    </w:p>
    <w:p w14:paraId="6A727C4D" w14:textId="77777777" w:rsidR="00924992" w:rsidRDefault="00924992">
      <w:pPr>
        <w:pStyle w:val="BodyText"/>
        <w:numPr>
          <w:ilvl w:val="0"/>
          <w:numId w:val="115"/>
        </w:numPr>
        <w:tabs>
          <w:tab w:val="left" w:pos="341"/>
        </w:tabs>
        <w:ind w:left="360" w:hanging="360"/>
      </w:pPr>
      <w:bookmarkStart w:id="137" w:name="bookmark1592"/>
      <w:bookmarkEnd w:id="137"/>
      <w:r>
        <w:t>El niño está expuesto continuamente a una persona o personas con tuberculosis pulmonar contagiosa no tratada o tratada ineficazmente y es imposible separar al niño de tal exposición o que reciba antituberculosos.</w:t>
      </w:r>
    </w:p>
    <w:p w14:paraId="45177D39" w14:textId="77777777" w:rsidR="00924992" w:rsidRDefault="00924992">
      <w:pPr>
        <w:pStyle w:val="BodyText"/>
        <w:ind w:firstLine="360"/>
        <w:sectPr w:rsidR="00924992" w:rsidSect="00924992">
          <w:headerReference w:type="even" r:id="rId125"/>
          <w:headerReference w:type="default" r:id="rId126"/>
          <w:footerReference w:type="even" r:id="rId127"/>
          <w:footerReference w:type="default" r:id="rId128"/>
          <w:footnotePr>
            <w:numFmt w:val="chicago"/>
          </w:footnotePr>
          <w:pgSz w:w="8501" w:h="13022"/>
          <w:pgMar w:top="907" w:right="574" w:bottom="509" w:left="573" w:header="0" w:footer="3" w:gutter="0"/>
          <w:pgNumType w:start="679"/>
          <w:cols w:space="720"/>
          <w:noEndnote/>
          <w:docGrid w:linePitch="360"/>
          <w15:footnoteColumns w:val="1"/>
        </w:sectPr>
      </w:pPr>
      <w:r>
        <w:t>Antes de usar la vacuna BCG, se recomienda incuestionablemente la valoración cuidadosa de riesgos y beneficios posibles de su aplicación y también la consulta con personal del programa antituberculoso de la localidad.</w:t>
      </w:r>
    </w:p>
    <w:p w14:paraId="312BD916" w14:textId="77777777" w:rsidR="00924992" w:rsidRDefault="00924992">
      <w:pPr>
        <w:pStyle w:val="BodyText"/>
        <w:ind w:firstLine="360"/>
      </w:pPr>
      <w:r>
        <w:t>Una vez aplicada la vacuna BCG, se observarán las precauciones y se seguirán las instrucciones de administración del fabricante. Se puede aplicar la vacuna BCG a pequeños sanos desde el nacimiento hasta los dos meses de vida sin necesidad de que se haga TST, salvo que se sospeche infección congénita; después, la vacuna se aplicará sólo a niños con un resultado negativo de prueba cutánea con tuberculina.</w:t>
      </w:r>
    </w:p>
    <w:p w14:paraId="7A33F19D" w14:textId="77777777" w:rsidR="00924992" w:rsidRDefault="00924992">
      <w:pPr>
        <w:pStyle w:val="BodyText"/>
        <w:spacing w:line="276" w:lineRule="auto"/>
        <w:ind w:firstLine="360"/>
      </w:pPr>
      <w:r>
        <w:rPr>
          <w:rFonts w:ascii="Times New Roman" w:eastAsia="Times New Roman" w:hAnsi="Times New Roman" w:cs="Times New Roman"/>
          <w:b/>
          <w:bCs/>
          <w:i/>
          <w:iCs/>
          <w:sz w:val="16"/>
          <w:szCs w:val="16"/>
        </w:rPr>
        <w:t>Reacciones adversas.</w:t>
      </w:r>
      <w:r>
        <w:t xml:space="preserve"> Muy pocas veces (1 a 2% de las vacunaciones) la aplicación de la vacuna BCG origina reacciones adversas locales, como un absceso subcutáneo y linfadenopatía regional, aunque por lo común no son graves. Años después de la aplicación de la vacuna surge a veces una complicación rara que es la osteítis de las epífisis de huesos largos. Sólo en raras ocasiones aparece la infección letal diseminada (en promedio dos casos por un millón de personas), más bien en individuos con inmunodeficiencia profunda. Se recomiendan los fármacos antituberculosos para combatir la osteítis y la enfermedad diseminada causada por la vacuna. Se piensa que la pirazinamida no es eficaz contra dicha vacuna y no debe ser incluida en los regímenes terapéuticos. Muchos expertos no recomiendan tratar las lesiones cutáneas húmedas o la linfadenitis supurada crónica causada por la vacuna BCG, porque en la mayor parte de los casos se resuelve de manera espontánea. Todo niño con complicaciones causadas por la vacuna debe ser enviado para tratamiento, de ser posible con un experto en tuberculosis.</w:t>
      </w:r>
    </w:p>
    <w:p w14:paraId="35C8FEF5" w14:textId="77777777" w:rsidR="00924992" w:rsidRDefault="00924992">
      <w:pPr>
        <w:pStyle w:val="BodyText"/>
        <w:spacing w:line="276" w:lineRule="auto"/>
        <w:ind w:firstLine="360"/>
      </w:pPr>
      <w:r>
        <w:rPr>
          <w:rFonts w:ascii="Times New Roman" w:eastAsia="Times New Roman" w:hAnsi="Times New Roman" w:cs="Times New Roman"/>
          <w:b/>
          <w:bCs/>
          <w:i/>
          <w:iCs/>
          <w:sz w:val="16"/>
          <w:szCs w:val="16"/>
        </w:rPr>
        <w:t>Contraindicaciones.</w:t>
      </w:r>
      <w:r>
        <w:t xml:space="preserve"> Es mejor no aplicar la vacuna BCG en personas con quemaduras, infecciones de la piel, inmunodeficiencia primaria o secundaria, incluida la infección por VIH. En poblaciones de diversas zonas en que es grande el peligro de LTBI y enfermedad tuberculosa, la Organización Mundial de la Salud recomienda aplicar la vacuna BCG en niños asintomáticas infectados por VIH. El uso de dicha vacuna está contraindicado entre quienes reciben fármacos inmunosupresores, incluidos los corticosteroides en altas dosis (véase “Corticosteroides”, páginas anteriores en este resumen). No se han detectado efectos adversos de la vacuna BCG en el feto, pero no se recomienda aplicarla a una embarazada.</w:t>
      </w:r>
    </w:p>
    <w:p w14:paraId="7AE9DEA2" w14:textId="77777777" w:rsidR="00924992" w:rsidRDefault="00924992">
      <w:pPr>
        <w:pStyle w:val="BodyText"/>
        <w:spacing w:after="100" w:line="276" w:lineRule="auto"/>
        <w:ind w:firstLine="360"/>
      </w:pPr>
      <w:r>
        <w:rPr>
          <w:rFonts w:ascii="Arial" w:eastAsia="Arial" w:hAnsi="Arial" w:cs="Arial"/>
          <w:b/>
          <w:bCs/>
          <w:i/>
          <w:iCs/>
          <w:sz w:val="15"/>
          <w:szCs w:val="15"/>
        </w:rPr>
        <w:t>Notificación de casos.</w:t>
      </w:r>
      <w:r>
        <w:t xml:space="preserve"> Las leyes de todos los estados obligan a la notificación de casos sospechados o confirmados de enfermedad tuberculosa. La infección tuberculosa o la enfermedad diagnosticada en un niño constituye un hecho “centinela” que representa transmisión reciente de </w:t>
      </w:r>
      <w:r>
        <w:rPr>
          <w:rFonts w:ascii="Times New Roman" w:eastAsia="Times New Roman" w:hAnsi="Times New Roman" w:cs="Times New Roman"/>
          <w:i/>
          <w:iCs/>
          <w:sz w:val="16"/>
          <w:szCs w:val="16"/>
        </w:rPr>
        <w:t>M. tuberculosis</w:t>
      </w:r>
      <w:r>
        <w:t xml:space="preserve"> en la comunidad. Los médicos deben auxiliar en la búsqueda del caso primario y otros infectados por él. Pueden ser casos primarios los miembros del círculo familiar, como parientes, cuidadores, pensionistas, trabajadores domésticos y visitantes frecuentes u otros adultos, como quienes cuidan del niño y maestros con quienes tiene él contacto frecuente.</w:t>
      </w:r>
    </w:p>
    <w:p w14:paraId="790EE0B0" w14:textId="77777777" w:rsidR="00924992" w:rsidRDefault="00924992">
      <w:pPr>
        <w:pStyle w:val="Bodytext70"/>
        <w:spacing w:after="0"/>
      </w:pPr>
      <w:r>
        <w:t>Tularemia</w:t>
      </w:r>
    </w:p>
    <w:p w14:paraId="4ACEB93F" w14:textId="77777777" w:rsidR="00924992" w:rsidRDefault="00924992">
      <w:pPr>
        <w:pStyle w:val="BodyText"/>
        <w:ind w:firstLine="0"/>
        <w:sectPr w:rsidR="00924992" w:rsidSect="00924992">
          <w:headerReference w:type="even" r:id="rId129"/>
          <w:headerReference w:type="default" r:id="rId130"/>
          <w:footerReference w:type="even" r:id="rId131"/>
          <w:footerReference w:type="default" r:id="rId132"/>
          <w:footnotePr>
            <w:numFmt w:val="chicago"/>
          </w:footnotePr>
          <w:type w:val="continuous"/>
          <w:pgSz w:w="8501" w:h="13022"/>
          <w:pgMar w:top="907" w:right="574" w:bottom="509" w:left="573" w:header="0" w:footer="81" w:gutter="0"/>
          <w:cols w:space="720"/>
          <w:noEndnote/>
          <w:docGrid w:linePitch="360"/>
          <w15:footnoteColumns w:val="1"/>
        </w:sectPr>
      </w:pPr>
      <w:r>
        <w:rPr>
          <w:b/>
          <w:bCs/>
        </w:rPr>
        <w:t>M</w:t>
      </w:r>
      <w:r>
        <w:rPr>
          <w:b/>
          <w:bCs/>
          <w:sz w:val="13"/>
          <w:szCs w:val="13"/>
        </w:rPr>
        <w:t>ANIFESTACIONES CLÍNICAS</w:t>
      </w:r>
      <w:r>
        <w:rPr>
          <w:b/>
          <w:bCs/>
        </w:rPr>
        <w:t xml:space="preserve">: </w:t>
      </w:r>
      <w:r>
        <w:t xml:space="preserve">Casi todos los pacientes con tularemia muestran comienzo repentino de fiebre, escalofríos, mialgias y cefalea. El cuadro clínico por lo común corresponde a alguno de los síndromes tularémicos. Uno de los más comunes es el ulceroglandular, que se caracteriza por una lesión maculopapular dolorosa en el punto de penetración de las bacterias con úlceras ulteriores y cicatrización lenta que se acompaña de ganglios linfáticos regionales con inflamación aguda y dolorosos que pueden mostrar drenaje espontáneo. También es frecuente el síndrome glandular o ganglionar (linfadenopatía regional sin úlcera). Entre los síndromes menos frecuentes están el oculoglandular (conjuntivitis intensa y linfadenopatía preauricular), el bucofaríngeo (estomatitis exudativa intensa, faringitis o amigdalitis y linfadenopatía </w:t>
      </w:r>
    </w:p>
    <w:p w14:paraId="77A582B8" w14:textId="77777777" w:rsidR="00924992" w:rsidRDefault="00924992">
      <w:pPr>
        <w:pStyle w:val="BodyText"/>
        <w:ind w:firstLine="0"/>
      </w:pPr>
      <w:r>
        <w:t>cuatro años de vida. Habrá que considerar en ellos la revacunación después de dos a tres años si permanecen en un estado de alto riesgo. No se ha precisado la necesidad de revacunar a niños de mayor edad y adultos, pero las concentraciones de anticuerpo disminuyen rápidamente en un lapso de dos a tres años, y si persisten las indicaciones para la vacunación habrá que pensar en la revacunación tres a cinco años después que la persona recibió la dosis inicial.</w:t>
      </w:r>
    </w:p>
    <w:p w14:paraId="2394CF12" w14:textId="77777777" w:rsidR="00924992" w:rsidRDefault="00924992">
      <w:pPr>
        <w:pStyle w:val="BodyText"/>
        <w:spacing w:line="276" w:lineRule="auto"/>
        <w:ind w:left="500" w:firstLine="340"/>
      </w:pPr>
      <w:r>
        <w:rPr>
          <w:rFonts w:ascii="Times New Roman" w:eastAsia="Times New Roman" w:hAnsi="Times New Roman" w:cs="Times New Roman"/>
          <w:b/>
          <w:bCs/>
          <w:i/>
          <w:iCs/>
          <w:sz w:val="16"/>
          <w:szCs w:val="16"/>
        </w:rPr>
        <w:t>Reacciones adversas y precauciones.</w:t>
      </w:r>
      <w:r>
        <w:t xml:space="preserve"> Surgen reacciones adversas raras y leves, y de ellas la más común es el dolor y el eritema localizados, durante uno o dos días. Los estudios sugieren que no hay que alterar las recomendaciones para la vacunación antimeningocócica, por embarazo.</w:t>
      </w:r>
    </w:p>
    <w:p w14:paraId="1ED8B3B1" w14:textId="77777777" w:rsidR="00924992" w:rsidRDefault="00924992">
      <w:pPr>
        <w:pStyle w:val="BodyText"/>
        <w:spacing w:line="276" w:lineRule="auto"/>
        <w:ind w:left="500" w:firstLine="340"/>
      </w:pPr>
      <w:r>
        <w:rPr>
          <w:rFonts w:ascii="Arial" w:eastAsia="Arial" w:hAnsi="Arial" w:cs="Arial"/>
          <w:b/>
          <w:bCs/>
          <w:i/>
          <w:iCs/>
          <w:sz w:val="15"/>
          <w:szCs w:val="15"/>
        </w:rPr>
        <w:t>Notificación.</w:t>
      </w:r>
      <w:r>
        <w:t xml:space="preserve"> Es importante notificar al departamento sanitario regional (véase cuadro 3-41) todos los casos confirmados, presuncionales o probables de enfermedad meningocócica invasora. La notificación oportuna facilitará la identificación temprana de brotes de tal forma que se pueda llevar rápidamente a la práctica los programas de prevención apropiada.</w:t>
      </w:r>
    </w:p>
    <w:p w14:paraId="7A725215" w14:textId="77777777" w:rsidR="00924992" w:rsidRDefault="00924992">
      <w:pPr>
        <w:pStyle w:val="BodyText"/>
        <w:spacing w:after="80" w:line="276" w:lineRule="auto"/>
        <w:ind w:left="500" w:firstLine="340"/>
      </w:pPr>
      <w:r>
        <w:rPr>
          <w:rFonts w:ascii="Arial" w:eastAsia="Arial" w:hAnsi="Arial" w:cs="Arial"/>
          <w:b/>
          <w:bCs/>
          <w:i/>
          <w:iCs/>
          <w:sz w:val="15"/>
          <w:szCs w:val="15"/>
        </w:rPr>
        <w:t>Consejo y enseñanza del público.</w:t>
      </w:r>
      <w:r>
        <w:t xml:space="preserve"> El médico, si se detecta un caso de enfermedad meningocócica invasora, debe aportar información precisa y oportuna en cuanto a la enfermedad de ese tipo y el peligro de transmisión a familias y contactos de la persona infectada. Las preguntas sobre salud pública, como si se necesita un programa de inmunización masiva, serán planteadas al departamento sanitario local. En situaciones apropiadas, la información oportuna, en colaboración con los departamentos de salud local, a escuelas u otros grupos expuestos a mayor riesgo y a los medios de comunicación, puede aplacar la ansiedad del público y las exigencias inapropiadas o no reales de intervención.</w:t>
      </w:r>
    </w:p>
    <w:p w14:paraId="0EC3E618" w14:textId="77777777" w:rsidR="00924992" w:rsidRDefault="00924992">
      <w:pPr>
        <w:pStyle w:val="BodyText"/>
        <w:spacing w:line="262" w:lineRule="auto"/>
        <w:ind w:left="500" w:firstLine="0"/>
        <w:sectPr w:rsidR="00924992" w:rsidSect="00924992">
          <w:headerReference w:type="even" r:id="rId133"/>
          <w:headerReference w:type="default" r:id="rId134"/>
          <w:footerReference w:type="even" r:id="rId135"/>
          <w:footerReference w:type="default" r:id="rId136"/>
          <w:footnotePr>
            <w:numFmt w:val="chicago"/>
          </w:footnotePr>
          <w:pgSz w:w="8501" w:h="13022"/>
          <w:pgMar w:top="907" w:right="574" w:bottom="509" w:left="573" w:header="0" w:footer="3" w:gutter="0"/>
          <w:pgNumType w:start="489"/>
          <w:cols w:space="720"/>
          <w:noEndnote/>
          <w:docGrid w:linePitch="360"/>
          <w15:footnoteColumns w:val="1"/>
        </w:sectPr>
      </w:pPr>
      <w:r>
        <w:rPr>
          <w:rFonts w:ascii="Arial" w:eastAsia="Arial" w:hAnsi="Arial" w:cs="Arial"/>
          <w:b/>
          <w:bCs/>
          <w:w w:val="70"/>
          <w:sz w:val="32"/>
          <w:szCs w:val="32"/>
        </w:rPr>
        <w:t xml:space="preserve">Micobacterias no tuberculosas, enfermedades </w:t>
      </w:r>
      <w:r>
        <w:rPr>
          <w:rFonts w:ascii="Arial" w:eastAsia="Arial" w:hAnsi="Arial" w:cs="Arial"/>
          <w:b/>
          <w:bCs/>
          <w:w w:val="70"/>
          <w:sz w:val="20"/>
          <w:szCs w:val="20"/>
        </w:rPr>
        <w:t xml:space="preserve">(Micobacterias atípicas, micobacterias diferentes de </w:t>
      </w:r>
      <w:r>
        <w:rPr>
          <w:rFonts w:ascii="Arial" w:eastAsia="Arial" w:hAnsi="Arial" w:cs="Arial"/>
          <w:b/>
          <w:bCs/>
          <w:i/>
          <w:iCs/>
          <w:sz w:val="15"/>
          <w:szCs w:val="15"/>
        </w:rPr>
        <w:t>Mycobacterium tuberculosis</w:t>
      </w:r>
      <w:r>
        <w:rPr>
          <w:rFonts w:ascii="Arial" w:eastAsia="Arial" w:hAnsi="Arial" w:cs="Arial"/>
          <w:b/>
          <w:bCs/>
          <w:i/>
          <w:iCs/>
          <w:w w:val="70"/>
          <w:sz w:val="20"/>
          <w:szCs w:val="20"/>
        </w:rPr>
        <w:t xml:space="preserve">) </w:t>
      </w:r>
      <w:r>
        <w:rPr>
          <w:b/>
          <w:bCs/>
        </w:rPr>
        <w:t>M</w:t>
      </w:r>
      <w:r>
        <w:rPr>
          <w:b/>
          <w:bCs/>
          <w:sz w:val="13"/>
          <w:szCs w:val="13"/>
        </w:rPr>
        <w:t>ANIFESTACIONES CLÍNICAS</w:t>
      </w:r>
      <w:r>
        <w:rPr>
          <w:b/>
          <w:bCs/>
        </w:rPr>
        <w:t xml:space="preserve">: </w:t>
      </w:r>
      <w:r>
        <w:t xml:space="preserve">Algunos síndromes son causados por micobacterias no tuberculosas </w:t>
      </w:r>
      <w:r>
        <w:rPr>
          <w:i/>
          <w:iCs/>
        </w:rPr>
        <w:t>(</w:t>
      </w:r>
      <w:r>
        <w:rPr>
          <w:rFonts w:ascii="Times New Roman" w:eastAsia="Times New Roman" w:hAnsi="Times New Roman" w:cs="Times New Roman"/>
          <w:i/>
          <w:iCs/>
          <w:sz w:val="16"/>
          <w:szCs w:val="16"/>
        </w:rPr>
        <w:t>nontuberculous mycobacteria</w:t>
      </w:r>
      <w:r>
        <w:rPr>
          <w:i/>
          <w:iCs/>
        </w:rPr>
        <w:t>,</w:t>
      </w:r>
      <w:r>
        <w:t xml:space="preserve"> NTM), y en los niños el más común es la linfadenitis cervical. Entre las infecciones menos frecuentes están las infecciones de la piel, osteomielitis, otitis media, infecciones de catéteres en vena central y enfermedad pulmonar. Las infecciones diseminadas casi siempre surgen en casos de deficiencia inmunitaria de tipo celular, como se observa en defectos inmunitarios congénitos o en la infección por el virus de inmunodeficiencia humana (VIH). Las manifestaciones de las infecciones diseminadas por NTM dependen de la especie y la vía de propagación de la infección, pero incluyen fiebre, sudación nocturna, pérdida ponderal, dolor abdominal, fatiga, diarrea y anemia. En 10 a 20% de los adolescentes y adultos jóvenes con fibrosis quística se identifican micobacterias no tuberculosas, en particular el complejo de </w:t>
      </w:r>
      <w:r>
        <w:rPr>
          <w:rFonts w:ascii="Times New Roman" w:eastAsia="Times New Roman" w:hAnsi="Times New Roman" w:cs="Times New Roman"/>
          <w:i/>
          <w:iCs/>
          <w:sz w:val="16"/>
          <w:szCs w:val="16"/>
        </w:rPr>
        <w:t>M. avium ([M. avium complex,</w:t>
      </w:r>
      <w:r>
        <w:t xml:space="preserve"> MAC</w:t>
      </w:r>
      <w:r>
        <w:rPr>
          <w:rFonts w:ascii="Times New Roman" w:eastAsia="Times New Roman" w:hAnsi="Times New Roman" w:cs="Times New Roman"/>
          <w:i/>
          <w:iCs/>
          <w:sz w:val="16"/>
          <w:szCs w:val="16"/>
        </w:rPr>
        <w:t>]</w:t>
      </w:r>
      <w:r>
        <w:t xml:space="preserve"> [incluidas </w:t>
      </w:r>
      <w:r>
        <w:rPr>
          <w:rFonts w:ascii="Times New Roman" w:eastAsia="Times New Roman" w:hAnsi="Times New Roman" w:cs="Times New Roman"/>
          <w:i/>
          <w:iCs/>
          <w:sz w:val="16"/>
          <w:szCs w:val="16"/>
        </w:rPr>
        <w:t xml:space="preserve">Mycobacterium avium </w:t>
      </w:r>
      <w:r>
        <w:t xml:space="preserve">y </w:t>
      </w:r>
      <w:r>
        <w:rPr>
          <w:rFonts w:ascii="Times New Roman" w:eastAsia="Times New Roman" w:hAnsi="Times New Roman" w:cs="Times New Roman"/>
          <w:i/>
          <w:iCs/>
          <w:sz w:val="16"/>
          <w:szCs w:val="16"/>
        </w:rPr>
        <w:t>Mycobacterium intracellulare])</w:t>
      </w:r>
      <w:r>
        <w:t xml:space="preserve"> y </w:t>
      </w:r>
      <w:r>
        <w:rPr>
          <w:rFonts w:ascii="Times New Roman" w:eastAsia="Times New Roman" w:hAnsi="Times New Roman" w:cs="Times New Roman"/>
          <w:i/>
          <w:iCs/>
          <w:sz w:val="16"/>
          <w:szCs w:val="16"/>
        </w:rPr>
        <w:t>M. abscessus,</w:t>
      </w:r>
      <w:r>
        <w:t xml:space="preserve"> y pueden ocasionar fiebre y deterioro del estado clínico a pesar de la administración agresiva de fármacos contra seudomonas. </w:t>
      </w:r>
      <w:r>
        <w:rPr>
          <w:b/>
          <w:bCs/>
        </w:rPr>
        <w:t>C</w:t>
      </w:r>
      <w:r>
        <w:rPr>
          <w:b/>
          <w:bCs/>
          <w:sz w:val="13"/>
          <w:szCs w:val="13"/>
        </w:rPr>
        <w:t>AUSAS</w:t>
      </w:r>
      <w:r>
        <w:rPr>
          <w:b/>
          <w:bCs/>
        </w:rPr>
        <w:t xml:space="preserve">: </w:t>
      </w:r>
      <w:r>
        <w:t xml:space="preserve">De las innumerables especies identificadas de NTM, sólo unas cuantas originan muchas de las infecciones de seres humanos. Las especies detectadas con mayor frecuencia en niños infectados son </w:t>
      </w:r>
      <w:r>
        <w:rPr>
          <w:rFonts w:ascii="Times New Roman" w:eastAsia="Times New Roman" w:hAnsi="Times New Roman" w:cs="Times New Roman"/>
          <w:i/>
          <w:iCs/>
          <w:sz w:val="16"/>
          <w:szCs w:val="16"/>
        </w:rPr>
        <w:t>MAC, Mycobacterium fortuitum, Mycobacterium kansasii</w:t>
      </w:r>
      <w:r>
        <w:t xml:space="preserve"> y </w:t>
      </w:r>
      <w:r>
        <w:rPr>
          <w:rFonts w:ascii="Times New Roman" w:eastAsia="Times New Roman" w:hAnsi="Times New Roman" w:cs="Times New Roman"/>
          <w:i/>
          <w:iCs/>
          <w:sz w:val="16"/>
          <w:szCs w:val="16"/>
        </w:rPr>
        <w:t>Mycobacterium marinum</w:t>
      </w:r>
      <w:r>
        <w:t xml:space="preserve"> (cuadro 3-44). Algunas nuevas especies detectables por amplificación de ácido nucleico, pero que no pueden proliferar en los métodos regulares de cultivo han sido identificadas en ganglios linfáticos de niños con adenitis cervical. La enfermedad por micobacterias no tuberculosas de</w:t>
      </w:r>
    </w:p>
    <w:p w14:paraId="0C5EE0F1" w14:textId="77777777" w:rsidR="00924992" w:rsidRDefault="00924992">
      <w:pPr>
        <w:pStyle w:val="Heading31"/>
        <w:keepNext/>
        <w:keepLines/>
        <w:spacing w:line="216" w:lineRule="auto"/>
        <w:jc w:val="center"/>
      </w:pPr>
      <w:bookmarkStart w:id="138" w:name="bookmark1602"/>
      <w:bookmarkStart w:id="139" w:name="bookmark1603"/>
      <w:bookmarkStart w:id="140" w:name="bookmark1604"/>
      <w:r>
        <w:rPr>
          <w:b w:val="0"/>
          <w:bCs w:val="0"/>
        </w:rPr>
        <w:t xml:space="preserve">Cuadro 3-44. </w:t>
      </w:r>
      <w:r>
        <w:t>Enfermedades causadas por especies de micobacterias no</w:t>
      </w:r>
      <w:r>
        <w:br/>
        <w:t>tuberculosas</w:t>
      </w:r>
      <w:bookmarkEnd w:id="138"/>
      <w:bookmarkEnd w:id="139"/>
      <w:bookmarkEnd w:id="140"/>
    </w:p>
    <w:p w14:paraId="2EE83633" w14:textId="77777777" w:rsidR="00924992" w:rsidRDefault="00924992">
      <w:pPr>
        <w:spacing w:line="1" w:lineRule="exact"/>
        <w:sectPr w:rsidR="00924992" w:rsidSect="00924992">
          <w:footnotePr>
            <w:numFmt w:val="chicago"/>
          </w:footnotePr>
          <w:pgSz w:w="8501" w:h="13022"/>
          <w:pgMar w:top="907" w:right="1147" w:bottom="533" w:left="0" w:header="0" w:footer="3" w:gutter="0"/>
          <w:cols w:space="720"/>
          <w:noEndnote/>
          <w:docGrid w:linePitch="360"/>
          <w15:footnoteColumns w:val="1"/>
        </w:sectPr>
      </w:pPr>
      <w:r>
        <w:rPr>
          <w:noProof/>
        </w:rPr>
        <mc:AlternateContent>
          <mc:Choice Requires="wps">
            <w:drawing>
              <wp:anchor distT="0" distB="0" distL="0" distR="0" simplePos="0" relativeHeight="251660288" behindDoc="0" locked="0" layoutInCell="1" allowOverlap="1" wp14:anchorId="61167E6E" wp14:editId="36FD3DF8">
                <wp:simplePos x="0" y="0"/>
                <wp:positionH relativeFrom="page">
                  <wp:posOffset>359410</wp:posOffset>
                </wp:positionH>
                <wp:positionV relativeFrom="paragraph">
                  <wp:posOffset>0</wp:posOffset>
                </wp:positionV>
                <wp:extent cx="1014730" cy="189230"/>
                <wp:effectExtent l="0" t="0" r="0" b="0"/>
                <wp:wrapTopAndBottom/>
                <wp:docPr id="2067" name="Shape 2067"/>
                <wp:cNvGraphicFramePr/>
                <a:graphic xmlns:a="http://schemas.openxmlformats.org/drawingml/2006/main">
                  <a:graphicData uri="http://schemas.microsoft.com/office/word/2010/wordprocessingShape">
                    <wps:wsp>
                      <wps:cNvSpPr txBox="1"/>
                      <wps:spPr>
                        <a:xfrm>
                          <a:off x="0" y="0"/>
                          <a:ext cx="1014730" cy="189230"/>
                        </a:xfrm>
                        <a:prstGeom prst="rect">
                          <a:avLst/>
                        </a:prstGeom>
                        <a:noFill/>
                      </wps:spPr>
                      <wps:txbx>
                        <w:txbxContent>
                          <w:p w14:paraId="5DCA4786" w14:textId="77777777" w:rsidR="00924992" w:rsidRDefault="00924992">
                            <w:pPr>
                              <w:pStyle w:val="Heading41"/>
                              <w:keepNext/>
                              <w:keepLines/>
                              <w:pBdr>
                                <w:top w:val="single" w:sz="0" w:space="0" w:color="231F20"/>
                                <w:left w:val="single" w:sz="0" w:space="0" w:color="231F20"/>
                                <w:bottom w:val="single" w:sz="0" w:space="0" w:color="231F20"/>
                                <w:right w:val="single" w:sz="0" w:space="0" w:color="231F20"/>
                              </w:pBdr>
                              <w:shd w:val="clear" w:color="auto" w:fill="231F20"/>
                            </w:pPr>
                            <w:bookmarkStart w:id="141" w:name="bookmark1593"/>
                            <w:bookmarkStart w:id="142" w:name="bookmark1594"/>
                            <w:bookmarkStart w:id="143" w:name="bookmark1595"/>
                            <w:r>
                              <w:rPr>
                                <w:color w:val="FFFFFF"/>
                              </w:rPr>
                              <w:t>Enfermedad clínica</w:t>
                            </w:r>
                            <w:bookmarkEnd w:id="141"/>
                            <w:bookmarkEnd w:id="142"/>
                            <w:bookmarkEnd w:id="143"/>
                          </w:p>
                        </w:txbxContent>
                      </wps:txbx>
                      <wps:bodyPr wrap="none" lIns="0" tIns="0" rIns="0" bIns="0"/>
                    </wps:wsp>
                  </a:graphicData>
                </a:graphic>
              </wp:anchor>
            </w:drawing>
          </mc:Choice>
          <mc:Fallback>
            <w:pict>
              <v:shapetype w14:anchorId="61167E6E" id="_x0000_t202" coordsize="21600,21600" o:spt="202" path="m,l,21600r21600,l21600,xe">
                <v:stroke joinstyle="miter"/>
                <v:path gradientshapeok="t" o:connecttype="rect"/>
              </v:shapetype>
              <v:shape id="Shape 2067" o:spid="_x0000_s1026" type="#_x0000_t202" style="position:absolute;margin-left:28.3pt;margin-top:0;width:79.9pt;height:14.9pt;z-index:251660288;visibility:visible;mso-wrap-style:non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" filled="f" stroked="f">
                <v:textbox inset="0,0,0,0">
                  <w:txbxContent>
                    <w:p w14:paraId="5DCA4786" w14:textId="77777777" w:rsidR="00924992" w:rsidRDefault="00924992">
                      <w:pPr>
                        <w:pStyle w:val="Heading41"/>
                        <w:keepNext/>
                        <w:keepLines/>
                        <w:pBdr>
                          <w:top w:val="single" w:sz="0" w:space="0" w:color="231F20"/>
                          <w:left w:val="single" w:sz="0" w:space="0" w:color="231F20"/>
                          <w:bottom w:val="single" w:sz="0" w:space="0" w:color="231F20"/>
                          <w:right w:val="single" w:sz="0" w:space="0" w:color="231F20"/>
                        </w:pBdr>
                        <w:shd w:val="clear" w:color="auto" w:fill="231F20"/>
                      </w:pPr>
                      <w:bookmarkStart w:id="144" w:name="bookmark1593"/>
                      <w:bookmarkStart w:id="145" w:name="bookmark1594"/>
                      <w:bookmarkStart w:id="146" w:name="bookmark1595"/>
                      <w:r>
                        <w:rPr>
                          <w:color w:val="FFFFFF"/>
                        </w:rPr>
                        <w:t>Enfermedad clínica</w:t>
                      </w:r>
                      <w:bookmarkEnd w:id="144"/>
                      <w:bookmarkEnd w:id="145"/>
                      <w:bookmarkEnd w:id="146"/>
                    </w:p>
                  </w:txbxContent>
                </v:textbox>
                <w10:wrap type="topAndBottom" anchorx="page"/>
              </v:shape>
            </w:pict>
          </mc:Fallback>
        </mc:AlternateContent>
      </w:r>
      <w:r>
        <w:rPr>
          <w:noProof/>
        </w:rPr>
        <mc:AlternateContent>
          <mc:Choice Requires="wps">
            <w:drawing>
              <wp:anchor distT="0" distB="0" distL="0" distR="0" simplePos="0" relativeHeight="251661312" behindDoc="0" locked="0" layoutInCell="1" allowOverlap="1" wp14:anchorId="2C3F1E2C" wp14:editId="0C7557FA">
                <wp:simplePos x="0" y="0"/>
                <wp:positionH relativeFrom="page">
                  <wp:posOffset>1791970</wp:posOffset>
                </wp:positionH>
                <wp:positionV relativeFrom="paragraph">
                  <wp:posOffset>0</wp:posOffset>
                </wp:positionV>
                <wp:extent cx="944880" cy="189230"/>
                <wp:effectExtent l="0" t="0" r="0" b="0"/>
                <wp:wrapTopAndBottom/>
                <wp:docPr id="2069" name="Shape 2069"/>
                <wp:cNvGraphicFramePr/>
                <a:graphic xmlns:a="http://schemas.openxmlformats.org/drawingml/2006/main">
                  <a:graphicData uri="http://schemas.microsoft.com/office/word/2010/wordprocessingShape">
                    <wps:wsp>
                      <wps:cNvSpPr txBox="1"/>
                      <wps:spPr>
                        <a:xfrm>
                          <a:off x="0" y="0"/>
                          <a:ext cx="944880" cy="189230"/>
                        </a:xfrm>
                        <a:prstGeom prst="rect">
                          <a:avLst/>
                        </a:prstGeom>
                        <a:noFill/>
                      </wps:spPr>
                      <wps:txbx>
                        <w:txbxContent>
                          <w:p w14:paraId="4C0CBBF9" w14:textId="77777777" w:rsidR="00924992" w:rsidRDefault="00924992">
                            <w:pPr>
                              <w:pStyle w:val="Heading41"/>
                              <w:keepNext/>
                              <w:keepLines/>
                              <w:pBdr>
                                <w:top w:val="single" w:sz="0" w:space="0" w:color="231F20"/>
                                <w:left w:val="single" w:sz="0" w:space="0" w:color="231F20"/>
                                <w:bottom w:val="single" w:sz="0" w:space="0" w:color="231F20"/>
                                <w:right w:val="single" w:sz="0" w:space="0" w:color="231F20"/>
                              </w:pBdr>
                              <w:shd w:val="clear" w:color="auto" w:fill="231F20"/>
                              <w:jc w:val="center"/>
                            </w:pPr>
                            <w:bookmarkStart w:id="147" w:name="bookmark1596"/>
                            <w:bookmarkStart w:id="148" w:name="bookmark1597"/>
                            <w:bookmarkStart w:id="149" w:name="bookmark1598"/>
                            <w:r>
                              <w:rPr>
                                <w:color w:val="FFFFFF"/>
                              </w:rPr>
                              <w:t>Especie frecuente</w:t>
                            </w:r>
                            <w:bookmarkEnd w:id="147"/>
                            <w:bookmarkEnd w:id="148"/>
                            <w:bookmarkEnd w:id="149"/>
                          </w:p>
                        </w:txbxContent>
                      </wps:txbx>
                      <wps:bodyPr wrap="none" lIns="0" tIns="0" rIns="0" bIns="0"/>
                    </wps:wsp>
                  </a:graphicData>
                </a:graphic>
              </wp:anchor>
            </w:drawing>
          </mc:Choice>
          <mc:Fallback>
            <w:pict>
              <v:shape w14:anchorId="2C3F1E2C" id="Shape 2069" o:spid="_x0000_s1027" type="#_x0000_t202" style="position:absolute;margin-left:141.1pt;margin-top:0;width:74.4pt;height:14.9pt;z-index:251661312;visibility:visible;mso-wrap-style:non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" filled="f" stroked="f">
                <v:textbox inset="0,0,0,0">
                  <w:txbxContent>
                    <w:p w14:paraId="4C0CBBF9" w14:textId="77777777" w:rsidR="00924992" w:rsidRDefault="00924992">
                      <w:pPr>
                        <w:pStyle w:val="Heading41"/>
                        <w:keepNext/>
                        <w:keepLines/>
                        <w:pBdr>
                          <w:top w:val="single" w:sz="0" w:space="0" w:color="231F20"/>
                          <w:left w:val="single" w:sz="0" w:space="0" w:color="231F20"/>
                          <w:bottom w:val="single" w:sz="0" w:space="0" w:color="231F20"/>
                          <w:right w:val="single" w:sz="0" w:space="0" w:color="231F20"/>
                        </w:pBdr>
                        <w:shd w:val="clear" w:color="auto" w:fill="231F20"/>
                        <w:jc w:val="center"/>
                      </w:pPr>
                      <w:bookmarkStart w:id="150" w:name="bookmark1596"/>
                      <w:bookmarkStart w:id="151" w:name="bookmark1597"/>
                      <w:bookmarkStart w:id="152" w:name="bookmark1598"/>
                      <w:r>
                        <w:rPr>
                          <w:color w:val="FFFFFF"/>
                        </w:rPr>
                        <w:t>Especie frecuente</w:t>
                      </w:r>
                      <w:bookmarkEnd w:id="150"/>
                      <w:bookmarkEnd w:id="151"/>
                      <w:bookmarkEnd w:id="152"/>
                    </w:p>
                  </w:txbxContent>
                </v:textbox>
                <w10:wrap type="topAndBottom" anchorx="page"/>
              </v:shape>
            </w:pict>
          </mc:Fallback>
        </mc:AlternateContent>
      </w:r>
      <w:r>
        <w:rPr>
          <w:noProof/>
        </w:rPr>
        <mc:AlternateContent>
          <mc:Choice Requires="wps">
            <w:drawing>
              <wp:anchor distT="0" distB="0" distL="0" distR="0" simplePos="0" relativeHeight="251662336" behindDoc="0" locked="0" layoutInCell="1" allowOverlap="1" wp14:anchorId="0CBCCB12" wp14:editId="41C71C53">
                <wp:simplePos x="0" y="0"/>
                <wp:positionH relativeFrom="page">
                  <wp:posOffset>3233420</wp:posOffset>
                </wp:positionH>
                <wp:positionV relativeFrom="paragraph">
                  <wp:posOffset>0</wp:posOffset>
                </wp:positionV>
                <wp:extent cx="1325880" cy="189230"/>
                <wp:effectExtent l="0" t="0" r="0" b="0"/>
                <wp:wrapTopAndBottom/>
                <wp:docPr id="2071" name="Shape 2071"/>
                <wp:cNvGraphicFramePr/>
                <a:graphic xmlns:a="http://schemas.openxmlformats.org/drawingml/2006/main">
                  <a:graphicData uri="http://schemas.microsoft.com/office/word/2010/wordprocessingShape">
                    <wps:wsp>
                      <wps:cNvSpPr txBox="1"/>
                      <wps:spPr>
                        <a:xfrm>
                          <a:off x="0" y="0"/>
                          <a:ext cx="1325880" cy="189230"/>
                        </a:xfrm>
                        <a:prstGeom prst="rect">
                          <a:avLst/>
                        </a:prstGeom>
                        <a:noFill/>
                      </wps:spPr>
                      <wps:txbx>
                        <w:txbxContent>
                          <w:p w14:paraId="0E64D840" w14:textId="77777777" w:rsidR="00924992" w:rsidRDefault="00924992">
                            <w:pPr>
                              <w:pStyle w:val="Heading41"/>
                              <w:keepNext/>
                              <w:keepLines/>
                              <w:pBdr>
                                <w:top w:val="single" w:sz="0" w:space="0" w:color="231F20"/>
                                <w:left w:val="single" w:sz="0" w:space="0" w:color="231F20"/>
                                <w:bottom w:val="single" w:sz="0" w:space="0" w:color="231F20"/>
                                <w:right w:val="single" w:sz="0" w:space="0" w:color="231F20"/>
                              </w:pBdr>
                              <w:shd w:val="clear" w:color="auto" w:fill="231F20"/>
                            </w:pPr>
                            <w:bookmarkStart w:id="153" w:name="bookmark1599"/>
                            <w:bookmarkStart w:id="154" w:name="bookmark1600"/>
                            <w:bookmarkStart w:id="155" w:name="bookmark1601"/>
                            <w:r>
                              <w:rPr>
                                <w:color w:val="FFFFFF"/>
                              </w:rPr>
                              <w:t>Especie menos frecuente</w:t>
                            </w:r>
                            <w:bookmarkEnd w:id="153"/>
                            <w:bookmarkEnd w:id="154"/>
                            <w:bookmarkEnd w:id="155"/>
                          </w:p>
                        </w:txbxContent>
                      </wps:txbx>
                      <wps:bodyPr wrap="none" lIns="0" tIns="0" rIns="0" bIns="0"/>
                    </wps:wsp>
                  </a:graphicData>
                </a:graphic>
              </wp:anchor>
            </w:drawing>
          </mc:Choice>
          <mc:Fallback>
            <w:pict>
              <v:shape w14:anchorId="0CBCCB12" id="Shape 2071" o:spid="_x0000_s1028" type="#_x0000_t202" style="position:absolute;margin-left:254.6pt;margin-top:0;width:104.4pt;height:14.9pt;z-index:251662336;visibility:visible;mso-wrap-style:non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" filled="f" stroked="f">
                <v:textbox inset="0,0,0,0">
                  <w:txbxContent>
                    <w:p w14:paraId="0E64D840" w14:textId="77777777" w:rsidR="00924992" w:rsidRDefault="00924992">
                      <w:pPr>
                        <w:pStyle w:val="Heading41"/>
                        <w:keepNext/>
                        <w:keepLines/>
                        <w:pBdr>
                          <w:top w:val="single" w:sz="0" w:space="0" w:color="231F20"/>
                          <w:left w:val="single" w:sz="0" w:space="0" w:color="231F20"/>
                          <w:bottom w:val="single" w:sz="0" w:space="0" w:color="231F20"/>
                          <w:right w:val="single" w:sz="0" w:space="0" w:color="231F20"/>
                        </w:pBdr>
                        <w:shd w:val="clear" w:color="auto" w:fill="231F20"/>
                      </w:pPr>
                      <w:bookmarkStart w:id="156" w:name="bookmark1599"/>
                      <w:bookmarkStart w:id="157" w:name="bookmark1600"/>
                      <w:bookmarkStart w:id="158" w:name="bookmark1601"/>
                      <w:r>
                        <w:rPr>
                          <w:color w:val="FFFFFF"/>
                        </w:rPr>
                        <w:t>Especie menos frecuente</w:t>
                      </w:r>
                      <w:bookmarkEnd w:id="156"/>
                      <w:bookmarkEnd w:id="157"/>
                      <w:bookmarkEnd w:id="158"/>
                    </w:p>
                  </w:txbxContent>
                </v:textbox>
                <w10:wrap type="topAndBottom" anchorx="page"/>
              </v:shape>
            </w:pict>
          </mc:Fallback>
        </mc:AlternateContent>
      </w:r>
    </w:p>
    <w:tbl>
      <w:tblPr>
        <w:tblOverlap w:val="never"/>
        <w:tblW w:w="0" w:type="auto"/>
        <w:jc w:val="center"/>
        <w:tblLayout w:type="fixed"/>
        <w:tblCellMar>
          <w:left w:w="10" w:type="dxa"/>
          <w:right w:w="10" w:type="dxa"/>
        </w:tblCellMar>
        <w:tblLook w:val="04A0" w:firstRow="1" w:lastRow="0" w:firstColumn="1" w:lastColumn="0" w:noHBand="0" w:noVBand="1"/>
      </w:tblPr>
      <w:tblGrid>
        <w:gridCol w:w="2630"/>
        <w:gridCol w:w="4685"/>
      </w:tblGrid>
      <w:tr w:rsidR="00924992" w14:paraId="6D5832DF" w14:textId="77777777">
        <w:tblPrEx>
          <w:tblCellMar>
            <w:top w:w="0" w:type="dxa"/>
            <w:bottom w:w="0" w:type="dxa"/>
          </w:tblCellMar>
        </w:tblPrEx>
        <w:trPr>
          <w:trHeight w:hRule="exact" w:val="427"/>
          <w:jc w:val="center"/>
        </w:trPr>
        <w:tc>
          <w:tcPr>
            <w:tcW w:w="2630" w:type="dxa"/>
            <w:shd w:val="clear" w:color="auto" w:fill="FFFFFF"/>
          </w:tcPr>
          <w:p w14:paraId="1D74024B" w14:textId="77777777" w:rsidR="00924992" w:rsidRDefault="00924992">
            <w:pPr>
              <w:pStyle w:val="Other0"/>
              <w:spacing w:line="240" w:lineRule="auto"/>
              <w:ind w:firstLine="580"/>
              <w:rPr>
                <w:sz w:val="16"/>
                <w:szCs w:val="16"/>
              </w:rPr>
            </w:pPr>
            <w:r>
              <w:rPr>
                <w:rFonts w:ascii="Times New Roman" w:eastAsia="Times New Roman" w:hAnsi="Times New Roman" w:cs="Times New Roman"/>
                <w:sz w:val="16"/>
                <w:szCs w:val="16"/>
              </w:rPr>
              <w:t>Infección cutánea</w:t>
            </w:r>
          </w:p>
        </w:tc>
        <w:tc>
          <w:tcPr>
            <w:tcW w:w="4685" w:type="dxa"/>
            <w:shd w:val="clear" w:color="auto" w:fill="FFFFFF"/>
            <w:vAlign w:val="bottom"/>
          </w:tcPr>
          <w:p w14:paraId="0688C0D4" w14:textId="77777777" w:rsidR="00924992" w:rsidRDefault="00924992">
            <w:pPr>
              <w:pStyle w:val="Other0"/>
              <w:tabs>
                <w:tab w:val="left" w:pos="2456"/>
              </w:tabs>
              <w:spacing w:line="240" w:lineRule="auto"/>
              <w:ind w:firstLine="200"/>
              <w:rPr>
                <w:sz w:val="16"/>
                <w:szCs w:val="16"/>
              </w:rPr>
            </w:pPr>
            <w:r>
              <w:rPr>
                <w:rFonts w:ascii="Times New Roman" w:eastAsia="Times New Roman" w:hAnsi="Times New Roman" w:cs="Times New Roman"/>
                <w:i/>
                <w:iCs/>
                <w:sz w:val="16"/>
                <w:szCs w:val="16"/>
              </w:rPr>
              <w:t>M. chelonae, M. fortuitum,</w:t>
            </w:r>
            <w:r>
              <w:rPr>
                <w:rFonts w:ascii="Times New Roman" w:eastAsia="Times New Roman" w:hAnsi="Times New Roman" w:cs="Times New Roman"/>
                <w:i/>
                <w:iCs/>
                <w:sz w:val="16"/>
                <w:szCs w:val="16"/>
              </w:rPr>
              <w:tab/>
              <w:t>M ulcerans</w:t>
            </w:r>
            <w:r>
              <w:rPr>
                <w:rFonts w:ascii="Times New Roman" w:eastAsia="Times New Roman" w:hAnsi="Times New Roman" w:cs="Times New Roman"/>
                <w:i/>
                <w:iCs/>
                <w:sz w:val="16"/>
                <w:szCs w:val="16"/>
                <w:vertAlign w:val="superscript"/>
              </w:rPr>
              <w:t>1</w:t>
            </w:r>
          </w:p>
          <w:p w14:paraId="475A46BA" w14:textId="77777777" w:rsidR="00924992" w:rsidRDefault="00924992">
            <w:pPr>
              <w:pStyle w:val="Other0"/>
              <w:spacing w:line="240" w:lineRule="auto"/>
              <w:ind w:firstLine="200"/>
              <w:rPr>
                <w:sz w:val="16"/>
                <w:szCs w:val="16"/>
              </w:rPr>
            </w:pPr>
            <w:r>
              <w:rPr>
                <w:rFonts w:ascii="Times New Roman" w:eastAsia="Times New Roman" w:hAnsi="Times New Roman" w:cs="Times New Roman"/>
                <w:i/>
                <w:iCs/>
                <w:sz w:val="16"/>
                <w:szCs w:val="16"/>
              </w:rPr>
              <w:t>M. abscessus, M. marinum</w:t>
            </w:r>
          </w:p>
        </w:tc>
      </w:tr>
      <w:tr w:rsidR="00924992" w14:paraId="3B31BBA4" w14:textId="77777777">
        <w:tblPrEx>
          <w:tblCellMar>
            <w:top w:w="0" w:type="dxa"/>
            <w:bottom w:w="0" w:type="dxa"/>
          </w:tblCellMar>
        </w:tblPrEx>
        <w:trPr>
          <w:trHeight w:hRule="exact" w:val="432"/>
          <w:jc w:val="center"/>
        </w:trPr>
        <w:tc>
          <w:tcPr>
            <w:tcW w:w="2630" w:type="dxa"/>
            <w:shd w:val="clear" w:color="auto" w:fill="FFFFFF"/>
          </w:tcPr>
          <w:p w14:paraId="6BA48507" w14:textId="77777777" w:rsidR="00924992" w:rsidRDefault="00924992">
            <w:pPr>
              <w:pStyle w:val="Other0"/>
              <w:spacing w:line="240" w:lineRule="auto"/>
              <w:ind w:firstLine="580"/>
              <w:rPr>
                <w:sz w:val="16"/>
                <w:szCs w:val="16"/>
              </w:rPr>
            </w:pPr>
            <w:r>
              <w:rPr>
                <w:rFonts w:ascii="Times New Roman" w:eastAsia="Times New Roman" w:hAnsi="Times New Roman" w:cs="Times New Roman"/>
                <w:sz w:val="16"/>
                <w:szCs w:val="16"/>
              </w:rPr>
              <w:t>Linfadenitis</w:t>
            </w:r>
          </w:p>
        </w:tc>
        <w:tc>
          <w:tcPr>
            <w:tcW w:w="4685" w:type="dxa"/>
            <w:shd w:val="clear" w:color="auto" w:fill="FFFFFF"/>
          </w:tcPr>
          <w:p w14:paraId="21904CAA" w14:textId="77777777" w:rsidR="00924992" w:rsidRDefault="00924992">
            <w:pPr>
              <w:pStyle w:val="Other0"/>
              <w:tabs>
                <w:tab w:val="left" w:pos="2451"/>
              </w:tabs>
              <w:spacing w:after="40" w:line="240" w:lineRule="auto"/>
              <w:ind w:firstLine="200"/>
              <w:rPr>
                <w:sz w:val="16"/>
                <w:szCs w:val="16"/>
              </w:rPr>
            </w:pPr>
            <w:r>
              <w:rPr>
                <w:rFonts w:ascii="Times New Roman" w:eastAsia="Times New Roman" w:hAnsi="Times New Roman" w:cs="Times New Roman"/>
                <w:sz w:val="16"/>
                <w:szCs w:val="16"/>
              </w:rPr>
              <w:t>MAC</w:t>
            </w:r>
            <w:r>
              <w:rPr>
                <w:rFonts w:ascii="Times New Roman" w:eastAsia="Times New Roman" w:hAnsi="Times New Roman" w:cs="Times New Roman"/>
                <w:sz w:val="16"/>
                <w:szCs w:val="16"/>
              </w:rPr>
              <w:tab/>
            </w:r>
            <w:r>
              <w:rPr>
                <w:rFonts w:ascii="Times New Roman" w:eastAsia="Times New Roman" w:hAnsi="Times New Roman" w:cs="Times New Roman"/>
                <w:i/>
                <w:iCs/>
                <w:sz w:val="16"/>
                <w:szCs w:val="16"/>
              </w:rPr>
              <w:t>M. kansasii, M. fortuitum, M.</w:t>
            </w:r>
          </w:p>
          <w:p w14:paraId="37D9D79F" w14:textId="77777777" w:rsidR="00924992" w:rsidRDefault="00924992">
            <w:pPr>
              <w:pStyle w:val="Other0"/>
              <w:spacing w:line="240" w:lineRule="auto"/>
              <w:ind w:firstLine="0"/>
              <w:rPr>
                <w:sz w:val="14"/>
                <w:szCs w:val="14"/>
              </w:rPr>
            </w:pPr>
            <w:r>
              <w:rPr>
                <w:rFonts w:ascii="Arial" w:eastAsia="Arial" w:hAnsi="Arial" w:cs="Arial"/>
                <w:i/>
                <w:iCs/>
                <w:color w:val="000000"/>
                <w:sz w:val="14"/>
                <w:szCs w:val="14"/>
              </w:rPr>
              <w:t>malmoensc?</w:t>
            </w:r>
          </w:p>
        </w:tc>
      </w:tr>
      <w:tr w:rsidR="00924992" w14:paraId="3F548CC3" w14:textId="77777777">
        <w:tblPrEx>
          <w:tblCellMar>
            <w:top w:w="0" w:type="dxa"/>
            <w:bottom w:w="0" w:type="dxa"/>
          </w:tblCellMar>
        </w:tblPrEx>
        <w:trPr>
          <w:trHeight w:hRule="exact" w:val="874"/>
          <w:jc w:val="center"/>
        </w:trPr>
        <w:tc>
          <w:tcPr>
            <w:tcW w:w="2630" w:type="dxa"/>
            <w:shd w:val="clear" w:color="auto" w:fill="FFFFFF"/>
          </w:tcPr>
          <w:p w14:paraId="7DF843FD" w14:textId="77777777" w:rsidR="00924992" w:rsidRDefault="00924992">
            <w:pPr>
              <w:pStyle w:val="Other0"/>
              <w:spacing w:line="240" w:lineRule="auto"/>
              <w:ind w:firstLine="580"/>
              <w:rPr>
                <w:sz w:val="16"/>
                <w:szCs w:val="16"/>
              </w:rPr>
            </w:pPr>
            <w:r>
              <w:rPr>
                <w:rFonts w:ascii="Times New Roman" w:eastAsia="Times New Roman" w:hAnsi="Times New Roman" w:cs="Times New Roman"/>
                <w:sz w:val="16"/>
                <w:szCs w:val="16"/>
              </w:rPr>
              <w:t>Infección otológica</w:t>
            </w:r>
          </w:p>
          <w:p w14:paraId="385530B4" w14:textId="77777777" w:rsidR="00924992" w:rsidRDefault="00924992">
            <w:pPr>
              <w:pStyle w:val="Other0"/>
              <w:spacing w:line="240" w:lineRule="auto"/>
              <w:ind w:firstLine="580"/>
              <w:rPr>
                <w:sz w:val="16"/>
                <w:szCs w:val="16"/>
              </w:rPr>
            </w:pPr>
            <w:r>
              <w:rPr>
                <w:rFonts w:ascii="Times New Roman" w:eastAsia="Times New Roman" w:hAnsi="Times New Roman" w:cs="Times New Roman"/>
                <w:sz w:val="16"/>
                <w:szCs w:val="16"/>
              </w:rPr>
              <w:t>Infección pulmonar</w:t>
            </w:r>
          </w:p>
        </w:tc>
        <w:tc>
          <w:tcPr>
            <w:tcW w:w="4685" w:type="dxa"/>
            <w:shd w:val="clear" w:color="auto" w:fill="FFFFFF"/>
          </w:tcPr>
          <w:p w14:paraId="373A4388" w14:textId="77777777" w:rsidR="00924992" w:rsidRDefault="00924992">
            <w:pPr>
              <w:pStyle w:val="Other0"/>
              <w:tabs>
                <w:tab w:val="left" w:pos="2456"/>
              </w:tabs>
              <w:spacing w:line="283" w:lineRule="auto"/>
              <w:ind w:left="2560" w:hanging="2360"/>
              <w:rPr>
                <w:sz w:val="16"/>
                <w:szCs w:val="16"/>
              </w:rPr>
            </w:pPr>
            <w:r>
              <w:rPr>
                <w:rFonts w:ascii="Times New Roman" w:eastAsia="Times New Roman" w:hAnsi="Times New Roman" w:cs="Times New Roman"/>
                <w:i/>
                <w:iCs/>
                <w:sz w:val="16"/>
                <w:szCs w:val="16"/>
              </w:rPr>
              <w:t>M. abscessus</w:t>
            </w:r>
            <w:r>
              <w:rPr>
                <w:rFonts w:ascii="Times New Roman" w:eastAsia="Times New Roman" w:hAnsi="Times New Roman" w:cs="Times New Roman"/>
                <w:i/>
                <w:iCs/>
                <w:sz w:val="16"/>
                <w:szCs w:val="16"/>
              </w:rPr>
              <w:tab/>
              <w:t>M. fortuitum</w:t>
            </w:r>
          </w:p>
          <w:p w14:paraId="513D7F96" w14:textId="77777777" w:rsidR="00924992" w:rsidRDefault="00924992">
            <w:pPr>
              <w:pStyle w:val="Other0"/>
              <w:spacing w:line="283" w:lineRule="auto"/>
              <w:ind w:left="2560" w:hanging="2360"/>
              <w:rPr>
                <w:sz w:val="16"/>
                <w:szCs w:val="16"/>
              </w:rPr>
            </w:pPr>
            <w:r>
              <w:rPr>
                <w:rFonts w:ascii="Times New Roman" w:eastAsia="Times New Roman" w:hAnsi="Times New Roman" w:cs="Times New Roman"/>
                <w:sz w:val="16"/>
                <w:szCs w:val="16"/>
              </w:rPr>
              <w:t xml:space="preserve">MAC, </w:t>
            </w:r>
            <w:r>
              <w:rPr>
                <w:rFonts w:ascii="Times New Roman" w:eastAsia="Times New Roman" w:hAnsi="Times New Roman" w:cs="Times New Roman"/>
                <w:i/>
                <w:iCs/>
                <w:sz w:val="16"/>
                <w:szCs w:val="16"/>
              </w:rPr>
              <w:t>M. kansasii, M. abscessus M. xenopi, M. malmoense,</w:t>
            </w:r>
            <w:r>
              <w:rPr>
                <w:rFonts w:ascii="Times New Roman" w:eastAsia="Times New Roman" w:hAnsi="Times New Roman" w:cs="Times New Roman"/>
                <w:sz w:val="16"/>
                <w:szCs w:val="16"/>
              </w:rPr>
              <w:t xml:space="preserve"> M. </w:t>
            </w:r>
            <w:r>
              <w:rPr>
                <w:rFonts w:ascii="Times New Roman" w:eastAsia="Times New Roman" w:hAnsi="Times New Roman" w:cs="Times New Roman"/>
                <w:i/>
                <w:iCs/>
                <w:sz w:val="16"/>
                <w:szCs w:val="16"/>
              </w:rPr>
              <w:t>szulgai, M. fortuitum, M. simiae</w:t>
            </w:r>
          </w:p>
        </w:tc>
      </w:tr>
      <w:tr w:rsidR="00924992" w14:paraId="193599F1" w14:textId="77777777">
        <w:tblPrEx>
          <w:tblCellMar>
            <w:top w:w="0" w:type="dxa"/>
            <w:bottom w:w="0" w:type="dxa"/>
          </w:tblCellMar>
        </w:tblPrEx>
        <w:trPr>
          <w:trHeight w:hRule="exact" w:val="1080"/>
          <w:jc w:val="center"/>
        </w:trPr>
        <w:tc>
          <w:tcPr>
            <w:tcW w:w="2630" w:type="dxa"/>
            <w:shd w:val="clear" w:color="auto" w:fill="FFFFFF"/>
          </w:tcPr>
          <w:p w14:paraId="29A8E491" w14:textId="77777777" w:rsidR="00924992" w:rsidRDefault="00924992">
            <w:pPr>
              <w:pStyle w:val="Other0"/>
              <w:spacing w:line="283" w:lineRule="auto"/>
              <w:ind w:left="680" w:hanging="100"/>
              <w:rPr>
                <w:sz w:val="16"/>
                <w:szCs w:val="16"/>
              </w:rPr>
            </w:pPr>
            <w:r>
              <w:rPr>
                <w:rFonts w:ascii="Times New Roman" w:eastAsia="Times New Roman" w:hAnsi="Times New Roman" w:cs="Times New Roman"/>
                <w:sz w:val="16"/>
                <w:szCs w:val="16"/>
              </w:rPr>
              <w:t>Infección vinculada con la presencia de una sonda o catéter</w:t>
            </w:r>
          </w:p>
          <w:p w14:paraId="4F554C57" w14:textId="77777777" w:rsidR="00924992" w:rsidRDefault="00924992">
            <w:pPr>
              <w:pStyle w:val="Other0"/>
              <w:spacing w:line="283" w:lineRule="auto"/>
              <w:ind w:firstLine="580"/>
              <w:rPr>
                <w:sz w:val="16"/>
                <w:szCs w:val="16"/>
              </w:rPr>
            </w:pPr>
            <w:r>
              <w:rPr>
                <w:rFonts w:ascii="Times New Roman" w:eastAsia="Times New Roman" w:hAnsi="Times New Roman" w:cs="Times New Roman"/>
                <w:sz w:val="16"/>
                <w:szCs w:val="16"/>
              </w:rPr>
              <w:t>Infección de esqueleto</w:t>
            </w:r>
          </w:p>
        </w:tc>
        <w:tc>
          <w:tcPr>
            <w:tcW w:w="4685" w:type="dxa"/>
            <w:shd w:val="clear" w:color="auto" w:fill="FFFFFF"/>
          </w:tcPr>
          <w:p w14:paraId="165E9241" w14:textId="77777777" w:rsidR="00924992" w:rsidRDefault="00924992">
            <w:pPr>
              <w:pStyle w:val="Other0"/>
              <w:tabs>
                <w:tab w:val="left" w:pos="2456"/>
              </w:tabs>
              <w:spacing w:after="420" w:line="283" w:lineRule="auto"/>
              <w:ind w:left="2560" w:hanging="2360"/>
              <w:rPr>
                <w:sz w:val="16"/>
                <w:szCs w:val="16"/>
              </w:rPr>
            </w:pPr>
            <w:r>
              <w:rPr>
                <w:rFonts w:ascii="Times New Roman" w:eastAsia="Times New Roman" w:hAnsi="Times New Roman" w:cs="Times New Roman"/>
                <w:i/>
                <w:iCs/>
                <w:sz w:val="16"/>
                <w:szCs w:val="16"/>
              </w:rPr>
              <w:t>M. chelonae, M. fortuitum</w:t>
            </w:r>
            <w:r>
              <w:rPr>
                <w:rFonts w:ascii="Times New Roman" w:eastAsia="Times New Roman" w:hAnsi="Times New Roman" w:cs="Times New Roman"/>
                <w:i/>
                <w:iCs/>
                <w:sz w:val="16"/>
                <w:szCs w:val="16"/>
              </w:rPr>
              <w:tab/>
              <w:t>M. abscessus</w:t>
            </w:r>
          </w:p>
          <w:p w14:paraId="451D89A0" w14:textId="77777777" w:rsidR="00924992" w:rsidRDefault="00924992">
            <w:pPr>
              <w:pStyle w:val="Other0"/>
              <w:spacing w:line="283" w:lineRule="auto"/>
              <w:ind w:left="2560" w:hanging="2360"/>
              <w:rPr>
                <w:sz w:val="16"/>
                <w:szCs w:val="16"/>
              </w:rPr>
            </w:pPr>
            <w:r>
              <w:rPr>
                <w:rFonts w:ascii="Times New Roman" w:eastAsia="Times New Roman" w:hAnsi="Times New Roman" w:cs="Times New Roman"/>
                <w:sz w:val="16"/>
                <w:szCs w:val="16"/>
              </w:rPr>
              <w:t xml:space="preserve">MAC, </w:t>
            </w:r>
            <w:r>
              <w:rPr>
                <w:rFonts w:ascii="Times New Roman" w:eastAsia="Times New Roman" w:hAnsi="Times New Roman" w:cs="Times New Roman"/>
                <w:i/>
                <w:iCs/>
                <w:sz w:val="16"/>
                <w:szCs w:val="16"/>
              </w:rPr>
              <w:t>M. kansasii, M. fortuitum M. chelonae, M. marinum, M. abscessus</w:t>
            </w:r>
          </w:p>
        </w:tc>
      </w:tr>
      <w:tr w:rsidR="00924992" w14:paraId="5E2C8125" w14:textId="77777777">
        <w:tblPrEx>
          <w:tblCellMar>
            <w:top w:w="0" w:type="dxa"/>
            <w:bottom w:w="0" w:type="dxa"/>
          </w:tblCellMar>
        </w:tblPrEx>
        <w:trPr>
          <w:trHeight w:hRule="exact" w:val="466"/>
          <w:jc w:val="center"/>
        </w:trPr>
        <w:tc>
          <w:tcPr>
            <w:tcW w:w="2630" w:type="dxa"/>
            <w:tcBorders>
              <w:left w:val="single" w:sz="4" w:space="0" w:color="auto"/>
              <w:bottom w:val="single" w:sz="4" w:space="0" w:color="auto"/>
            </w:tcBorders>
            <w:shd w:val="clear" w:color="auto" w:fill="FFFFFF"/>
          </w:tcPr>
          <w:p w14:paraId="385F6BB9" w14:textId="77777777" w:rsidR="00924992" w:rsidRDefault="00924992">
            <w:pPr>
              <w:pStyle w:val="Other0"/>
              <w:spacing w:line="240" w:lineRule="auto"/>
              <w:ind w:firstLine="580"/>
              <w:rPr>
                <w:sz w:val="16"/>
                <w:szCs w:val="16"/>
              </w:rPr>
            </w:pPr>
            <w:r>
              <w:rPr>
                <w:rFonts w:ascii="Times New Roman" w:eastAsia="Times New Roman" w:hAnsi="Times New Roman" w:cs="Times New Roman"/>
                <w:sz w:val="16"/>
                <w:szCs w:val="16"/>
              </w:rPr>
              <w:t>Forma diseminada</w:t>
            </w:r>
          </w:p>
        </w:tc>
        <w:tc>
          <w:tcPr>
            <w:tcW w:w="4685" w:type="dxa"/>
            <w:tcBorders>
              <w:bottom w:val="single" w:sz="4" w:space="0" w:color="auto"/>
            </w:tcBorders>
            <w:shd w:val="clear" w:color="auto" w:fill="FFFFFF"/>
            <w:vAlign w:val="bottom"/>
          </w:tcPr>
          <w:p w14:paraId="3FB46263" w14:textId="77777777" w:rsidR="00924992" w:rsidRDefault="00924992">
            <w:pPr>
              <w:pStyle w:val="Other0"/>
              <w:tabs>
                <w:tab w:val="left" w:pos="2446"/>
              </w:tabs>
              <w:spacing w:line="240" w:lineRule="auto"/>
              <w:ind w:left="2560" w:hanging="2360"/>
              <w:rPr>
                <w:sz w:val="16"/>
                <w:szCs w:val="16"/>
              </w:rPr>
            </w:pPr>
            <w:r>
              <w:rPr>
                <w:rFonts w:ascii="Times New Roman" w:eastAsia="Times New Roman" w:hAnsi="Times New Roman" w:cs="Times New Roman"/>
                <w:sz w:val="16"/>
                <w:szCs w:val="16"/>
              </w:rPr>
              <w:t>MAC</w:t>
            </w:r>
            <w:r>
              <w:rPr>
                <w:rFonts w:ascii="Times New Roman" w:eastAsia="Times New Roman" w:hAnsi="Times New Roman" w:cs="Times New Roman"/>
                <w:sz w:val="16"/>
                <w:szCs w:val="16"/>
              </w:rPr>
              <w:tab/>
            </w:r>
            <w:r>
              <w:rPr>
                <w:rFonts w:ascii="Times New Roman" w:eastAsia="Times New Roman" w:hAnsi="Times New Roman" w:cs="Times New Roman"/>
                <w:i/>
                <w:iCs/>
                <w:sz w:val="16"/>
                <w:szCs w:val="16"/>
              </w:rPr>
              <w:t>M. kansasii, M. genavense,</w:t>
            </w:r>
          </w:p>
          <w:p w14:paraId="062F4310" w14:textId="77777777" w:rsidR="00924992" w:rsidRDefault="00924992">
            <w:pPr>
              <w:pStyle w:val="Other0"/>
              <w:spacing w:line="240" w:lineRule="auto"/>
              <w:ind w:left="2560" w:firstLine="0"/>
              <w:rPr>
                <w:sz w:val="16"/>
                <w:szCs w:val="16"/>
              </w:rPr>
            </w:pPr>
            <w:r>
              <w:rPr>
                <w:rFonts w:ascii="Times New Roman" w:eastAsia="Times New Roman" w:hAnsi="Times New Roman" w:cs="Times New Roman"/>
                <w:i/>
                <w:iCs/>
                <w:sz w:val="16"/>
                <w:szCs w:val="16"/>
              </w:rPr>
              <w:t>M. haemophilum, M. chelonae</w:t>
            </w:r>
          </w:p>
        </w:tc>
      </w:tr>
    </w:tbl>
    <w:p w14:paraId="6C635B74" w14:textId="77777777" w:rsidR="00924992" w:rsidRDefault="00924992">
      <w:pPr>
        <w:pStyle w:val="Tablecaption0"/>
        <w:spacing w:line="240" w:lineRule="auto"/>
        <w:ind w:left="557"/>
        <w:rPr>
          <w:sz w:val="16"/>
          <w:szCs w:val="16"/>
        </w:rPr>
      </w:pPr>
      <w:r>
        <w:rPr>
          <w:sz w:val="16"/>
          <w:szCs w:val="16"/>
        </w:rPr>
        <w:t xml:space="preserve">MAC, complejo de </w:t>
      </w:r>
      <w:r>
        <w:rPr>
          <w:i/>
          <w:iCs/>
          <w:sz w:val="16"/>
          <w:szCs w:val="16"/>
        </w:rPr>
        <w:t>Mycobacterium avium.</w:t>
      </w:r>
    </w:p>
    <w:p w14:paraId="3AB86A60" w14:textId="77777777" w:rsidR="00924992" w:rsidRDefault="00924992">
      <w:pPr>
        <w:pStyle w:val="Tablecaption0"/>
        <w:numPr>
          <w:ilvl w:val="0"/>
          <w:numId w:val="120"/>
        </w:numPr>
        <w:tabs>
          <w:tab w:val="left" w:pos="715"/>
        </w:tabs>
        <w:spacing w:line="240" w:lineRule="auto"/>
        <w:ind w:left="557"/>
        <w:rPr>
          <w:sz w:val="16"/>
          <w:szCs w:val="16"/>
        </w:rPr>
      </w:pPr>
      <w:r>
        <w:rPr>
          <w:sz w:val="16"/>
          <w:szCs w:val="16"/>
        </w:rPr>
        <w:t>No endémica en Estados Unidos.</w:t>
      </w:r>
    </w:p>
    <w:p w14:paraId="4FD5BAD1" w14:textId="77777777" w:rsidR="00924992" w:rsidRDefault="00924992">
      <w:pPr>
        <w:pStyle w:val="Tablecaption0"/>
        <w:numPr>
          <w:ilvl w:val="0"/>
          <w:numId w:val="120"/>
        </w:numPr>
        <w:tabs>
          <w:tab w:val="left" w:pos="739"/>
        </w:tabs>
        <w:spacing w:line="230" w:lineRule="auto"/>
        <w:ind w:left="557"/>
        <w:rPr>
          <w:sz w:val="16"/>
          <w:szCs w:val="16"/>
        </w:rPr>
      </w:pPr>
      <w:r>
        <w:rPr>
          <w:sz w:val="16"/>
          <w:szCs w:val="16"/>
        </w:rPr>
        <w:t>Se la detecta también en Europa Septentrional.</w:t>
      </w:r>
    </w:p>
    <w:p w14:paraId="556CCAE0" w14:textId="77777777" w:rsidR="00924992" w:rsidRDefault="00924992">
      <w:pPr>
        <w:spacing w:after="559" w:line="1" w:lineRule="exact"/>
      </w:pPr>
    </w:p>
    <w:p w14:paraId="49AFE33E" w14:textId="77777777" w:rsidR="00924992" w:rsidRDefault="00924992">
      <w:pPr>
        <w:pStyle w:val="BodyText"/>
        <w:ind w:left="520" w:firstLine="0"/>
      </w:pPr>
      <w:r>
        <w:t xml:space="preserve">personas con infección por VIH suele incluir MAC. Se conocen como micobacterias de “proliferación rápida” a </w:t>
      </w:r>
      <w:r>
        <w:rPr>
          <w:rFonts w:ascii="Times New Roman" w:eastAsia="Times New Roman" w:hAnsi="Times New Roman" w:cs="Times New Roman"/>
          <w:i/>
          <w:iCs/>
          <w:sz w:val="16"/>
          <w:szCs w:val="16"/>
        </w:rPr>
        <w:t>Mycobacterium fortuitum</w:t>
      </w:r>
      <w:r>
        <w:rPr>
          <w:i/>
          <w:iCs/>
        </w:rPr>
        <w:t xml:space="preserve">, </w:t>
      </w:r>
      <w:r>
        <w:rPr>
          <w:rFonts w:ascii="Times New Roman" w:eastAsia="Times New Roman" w:hAnsi="Times New Roman" w:cs="Times New Roman"/>
          <w:i/>
          <w:iCs/>
          <w:sz w:val="16"/>
          <w:szCs w:val="16"/>
        </w:rPr>
        <w:t>M. chelonae</w:t>
      </w:r>
      <w:r>
        <w:t xml:space="preserve"> y </w:t>
      </w:r>
      <w:r>
        <w:rPr>
          <w:rFonts w:ascii="Times New Roman" w:eastAsia="Times New Roman" w:hAnsi="Times New Roman" w:cs="Times New Roman"/>
          <w:i/>
          <w:iCs/>
          <w:sz w:val="16"/>
          <w:szCs w:val="16"/>
        </w:rPr>
        <w:t>M. abscessus</w:t>
      </w:r>
      <w:r>
        <w:t xml:space="preserve"> porque se puede lograr en el laboratorio proliferación suficiente e identificación en término de tres a siete días, en tanto que otras NTM y </w:t>
      </w:r>
      <w:r>
        <w:rPr>
          <w:rFonts w:ascii="Times New Roman" w:eastAsia="Times New Roman" w:hAnsi="Times New Roman" w:cs="Times New Roman"/>
          <w:i/>
          <w:iCs/>
          <w:sz w:val="16"/>
          <w:szCs w:val="16"/>
        </w:rPr>
        <w:t>Mycobacterium tuberculosis</w:t>
      </w:r>
      <w:r>
        <w:t xml:space="preserve"> necesitan el transcurso de semanas para que haya proliferación suficiente. Se ha dicho que las micobacterias de proliferación rápida intervienen en infecciones de heridas, partes blandas, hueso, pulmones, catéter en vena central y oído medio. Otras especies de micobacterias que por lo común no son patógenas han originado infecciones en hospedadores inmunodeficientes o se han vinculado con la presencia de un cuerpo extraño. </w:t>
      </w:r>
      <w:r>
        <w:rPr>
          <w:b/>
          <w:bCs/>
        </w:rPr>
        <w:t>A</w:t>
      </w:r>
      <w:r>
        <w:rPr>
          <w:b/>
          <w:bCs/>
          <w:sz w:val="13"/>
          <w:szCs w:val="13"/>
        </w:rPr>
        <w:t>SPECTOS EPIDEMIOLÓGICOS</w:t>
      </w:r>
      <w:r>
        <w:rPr>
          <w:b/>
          <w:bCs/>
        </w:rPr>
        <w:t xml:space="preserve">: </w:t>
      </w:r>
      <w:r>
        <w:t xml:space="preserve">Muchas especies de NTM tienen amplísima distribución en la naturaleza y están en la tierra, los alimentos, el agua y los animales. El agua corriente constituye el principal reservorio de </w:t>
      </w:r>
      <w:r>
        <w:rPr>
          <w:rFonts w:ascii="Times New Roman" w:eastAsia="Times New Roman" w:hAnsi="Times New Roman" w:cs="Times New Roman"/>
          <w:i/>
          <w:iCs/>
          <w:sz w:val="16"/>
          <w:szCs w:val="16"/>
        </w:rPr>
        <w:t>M. kansasii, M. simiae</w:t>
      </w:r>
      <w:r>
        <w:t xml:space="preserve"> y de micobacterias de proliferación rápida a las que se han atribuido infecciones de origen asistencial. En lo que toca a </w:t>
      </w:r>
      <w:r>
        <w:rPr>
          <w:rFonts w:ascii="Times New Roman" w:eastAsia="Times New Roman" w:hAnsi="Times New Roman" w:cs="Times New Roman"/>
          <w:i/>
          <w:iCs/>
          <w:sz w:val="16"/>
          <w:szCs w:val="16"/>
        </w:rPr>
        <w:t>M. marinum,</w:t>
      </w:r>
      <w:r>
        <w:t xml:space="preserve"> el agua de una pecera o un acuario constituye el punto de origen de la infección. Muchas personas están expuestas a NTM, pero sólo unas cuantas exposiciones culminan en infección crónica o enfermedad. Los puntos usuales de penetración de NTM, según se piensa, son abrasiones cutáneas (como las lesiones de la piel causadas por </w:t>
      </w:r>
      <w:r>
        <w:rPr>
          <w:rFonts w:ascii="Times New Roman" w:eastAsia="Times New Roman" w:hAnsi="Times New Roman" w:cs="Times New Roman"/>
          <w:i/>
          <w:iCs/>
          <w:sz w:val="16"/>
          <w:szCs w:val="16"/>
        </w:rPr>
        <w:t>M. marinum</w:t>
      </w:r>
      <w:r>
        <w:t xml:space="preserve">); incisiones quirúrgicas (en particular catéteres en vena central); mucosa bucofaríngea (supuesto punto de penetración en el caso de la linfadenitis cervical); vías gastrointestinales o respiratorias en el caso de MAC diseminada y vías respiratorias (incluidos los tubos de timpanostomía) en otitis media, neumopatías y casos raros de adenitis mediastínica y enfermedad endobronquial. Muchas infecciones permanecen localizadas en el punto de penetración o en los ganglios linfáticos regionales. La diseminación a sitios distales se observa predominantemente en hospedadores inmunodeficientes, sobre todo en aquellos con el síndrome de inmunodeficiencia adquirida (SIDA). No hay pruebas definitivas de que exista transmisión directa de NTM de una persona a otra. Los brotes de otitis media causados por </w:t>
      </w:r>
      <w:r>
        <w:rPr>
          <w:rFonts w:ascii="Times New Roman" w:eastAsia="Times New Roman" w:hAnsi="Times New Roman" w:cs="Times New Roman"/>
          <w:i/>
          <w:iCs/>
          <w:sz w:val="16"/>
          <w:szCs w:val="16"/>
        </w:rPr>
        <w:t>M. abscessus</w:t>
      </w:r>
      <w:r>
        <w:t xml:space="preserve"> se han vinculado con la presencia de tubos de polietileno en el oído, así como el empleo de equipo o agua contaminados. Se ha dicho que la infección por MAC en hospedadores inmunodeficientes sigue la vía hidrófora de transmisión.</w:t>
      </w:r>
    </w:p>
    <w:p w14:paraId="7BADA2A1" w14:textId="77777777" w:rsidR="00924992" w:rsidRDefault="00924992">
      <w:pPr>
        <w:pStyle w:val="BodyText"/>
        <w:ind w:firstLine="840"/>
      </w:pPr>
      <w:r>
        <w:t xml:space="preserve">El </w:t>
      </w:r>
      <w:r>
        <w:rPr>
          <w:b/>
          <w:bCs/>
        </w:rPr>
        <w:t xml:space="preserve">periodo de incubación </w:t>
      </w:r>
      <w:r>
        <w:t>es variable.</w:t>
      </w:r>
    </w:p>
    <w:p w14:paraId="4F44E3E9" w14:textId="77777777" w:rsidR="00924992" w:rsidRDefault="00924992">
      <w:pPr>
        <w:pStyle w:val="BodyText"/>
        <w:spacing w:line="271" w:lineRule="auto"/>
        <w:ind w:left="500" w:firstLine="0"/>
      </w:pPr>
      <w:r>
        <w:rPr>
          <w:b/>
          <w:bCs/>
        </w:rPr>
        <w:t>M</w:t>
      </w:r>
      <w:r>
        <w:rPr>
          <w:b/>
          <w:bCs/>
          <w:sz w:val="13"/>
          <w:szCs w:val="13"/>
        </w:rPr>
        <w:t>ÉTODOS DIAGNÓSTICOS</w:t>
      </w:r>
      <w:r>
        <w:rPr>
          <w:b/>
          <w:bCs/>
        </w:rPr>
        <w:t xml:space="preserve">: </w:t>
      </w:r>
      <w:r>
        <w:t xml:space="preserve">Para el diagnóstico definitivo de enfermedad por NTM se necesita aislar las micobacterias. Sin embargo, dado que ellas suelen estar en el entorno, puede haber contaminación de cultivos o colonización transitoria. Por lo tanto, se tendrá mucho cuidado en la interpretación de los cultivos hechos en material obtenido de sitios no estériles, como las muestras de lavado estomacal, una sola muestra de esputo sin bacilos acidorresistentes en el frotis o una muestra de orina, y en si la especie identificada en el cultivo generalmente no es patógena (como sería </w:t>
      </w:r>
      <w:r>
        <w:rPr>
          <w:rFonts w:ascii="Times New Roman" w:eastAsia="Times New Roman" w:hAnsi="Times New Roman" w:cs="Times New Roman"/>
          <w:i/>
          <w:iCs/>
          <w:sz w:val="16"/>
          <w:szCs w:val="16"/>
        </w:rPr>
        <w:t>Mycobacterium gordonae</w:t>
      </w:r>
      <w:r>
        <w:rPr>
          <w:i/>
          <w:iCs/>
        </w:rPr>
        <w:t>).</w:t>
      </w:r>
      <w:r>
        <w:t xml:space="preserve"> El aislamiento repetido de innumerables colonias de una sola especie muy a menudo denota enfermedad y no contaminación del cultivo ni colonización transitoria. A diferencia de las bacterias, casi siempre tienen importancia clínica las micobacterias aisladas de trayectos fistulosos húmedos. La identificación de NTM de sitios que normalmente son estériles, los líquidos cefalorraquídeo o pleural, médula ósea, sangre, líquido aspirado de ganglios linfáticos, de oído medio mastoides o tejido extirpado quirúrgicamente, constituye el método diagnóstico más fiable. Con las técnicas de caldo radiométrico o lisis-centrifugación, los cultivos de sangre muestran gran sensibilidad para detectar MAC y otras especies hematógenas de NTM. La enfermedad diseminada por MAC debe ser el punto de partida de la búsqueda de una inmunodeficiencia primaria, por lo común infección por virus de inmunodeficiencia humana.</w:t>
      </w:r>
    </w:p>
    <w:p w14:paraId="20E8515D" w14:textId="77777777" w:rsidR="00924992" w:rsidRDefault="00924992">
      <w:pPr>
        <w:pStyle w:val="BodyText"/>
        <w:ind w:left="500" w:firstLine="340"/>
      </w:pPr>
      <w:r>
        <w:t xml:space="preserve">Los niños con infección por NTM pueden mostrar positividad en la prueba cutánea con tuberculina </w:t>
      </w:r>
      <w:r>
        <w:rPr>
          <w:i/>
          <w:iCs/>
        </w:rPr>
        <w:t>(</w:t>
      </w:r>
      <w:r>
        <w:rPr>
          <w:rFonts w:ascii="Times New Roman" w:eastAsia="Times New Roman" w:hAnsi="Times New Roman" w:cs="Times New Roman"/>
          <w:i/>
          <w:iCs/>
          <w:sz w:val="16"/>
          <w:szCs w:val="16"/>
        </w:rPr>
        <w:t>tuberculin skin test</w:t>
      </w:r>
      <w:r>
        <w:rPr>
          <w:i/>
          <w:iCs/>
        </w:rPr>
        <w:t>,</w:t>
      </w:r>
      <w:r>
        <w:t xml:space="preserve"> TST) porque el derivado proteínico purificado obtenido de </w:t>
      </w:r>
      <w:r>
        <w:rPr>
          <w:rFonts w:ascii="Times New Roman" w:eastAsia="Times New Roman" w:hAnsi="Times New Roman" w:cs="Times New Roman"/>
          <w:i/>
          <w:iCs/>
          <w:sz w:val="16"/>
          <w:szCs w:val="16"/>
        </w:rPr>
        <w:t>M. tuberculosis</w:t>
      </w:r>
      <w:r>
        <w:t xml:space="preserve"> comparte diversos antígenos con especies de NTM. La induración en tales reacciones de TST por lo común mide menos de 10 mm, pero puede medir más de 15 mm (véase “Tuberculosis”, en esta sección).</w:t>
      </w:r>
    </w:p>
    <w:p w14:paraId="0B862FF6" w14:textId="77777777" w:rsidR="00924992" w:rsidRDefault="00924992">
      <w:pPr>
        <w:pStyle w:val="BodyText"/>
        <w:ind w:left="500" w:firstLine="340"/>
      </w:pPr>
      <w:r>
        <w:rPr>
          <w:b/>
          <w:bCs/>
        </w:rPr>
        <w:t>T</w:t>
      </w:r>
      <w:r>
        <w:rPr>
          <w:b/>
          <w:bCs/>
          <w:sz w:val="13"/>
          <w:szCs w:val="13"/>
        </w:rPr>
        <w:t>RATAMIENTO</w:t>
      </w:r>
      <w:r>
        <w:rPr>
          <w:b/>
          <w:bCs/>
        </w:rPr>
        <w:t xml:space="preserve">: </w:t>
      </w:r>
      <w:r>
        <w:t xml:space="preserve">Muchas cepas de NTM son relativamente resistentes </w:t>
      </w:r>
      <w:r>
        <w:rPr>
          <w:rFonts w:ascii="Times New Roman" w:eastAsia="Times New Roman" w:hAnsi="Times New Roman" w:cs="Times New Roman"/>
          <w:i/>
          <w:iCs/>
          <w:sz w:val="16"/>
          <w:szCs w:val="16"/>
        </w:rPr>
        <w:t>in vitro</w:t>
      </w:r>
      <w:r>
        <w:t xml:space="preserve"> a los antifímicos. Sin embargo, la resistencia in vitro no guarda relación obligada con la respuesta clínica. Se han realizado sólo unos cuantos estudios comparativos en personas con infecciones por NTM. El tipo de tratamiento debe ser dictado por los factores siguientes: 1) la especie que causa la infección; 2) los resultados de antibioticogramas, es decir pruebas de susceptibilidad a fármacos; 3) el sitio o sitios de la infección; 4) alguna enfermedad primaria del paciente (si la hay), y 5) la necesidad de tratar al niño supuestamente contra tuberculosis en tanto llegan los resultados de los cultivos que más tarde indiquen la presencia de micobacterias no tuberculosas.</w:t>
      </w:r>
    </w:p>
    <w:p w14:paraId="35EA954F" w14:textId="77777777" w:rsidR="00924992" w:rsidRDefault="00924992">
      <w:pPr>
        <w:pStyle w:val="BodyText"/>
        <w:ind w:left="500" w:firstLine="340"/>
      </w:pPr>
      <w:r>
        <w:t>En lo que se refiere a la linfadenitis por NTM en niños por lo demás sanos, y en particular si la enfermedad es causada por MAC, la extirpación quirúrgica completa casi siempre origina curación. La quimioterapia antifímica no brinda beneficios. La administración de claritromicina en combinación con etambutol o rifabutina podría ser beneficiosa en menores en quienes no es completa la extirpación quirúrgica o en niños con enfermedad recurrente, pero dicha combinación no ha sido estudiada en investigaciones clínicas (véase cuadro 3-45).</w:t>
      </w:r>
    </w:p>
    <w:p w14:paraId="036EC03C" w14:textId="77777777" w:rsidR="00924992" w:rsidRDefault="00924992">
      <w:pPr>
        <w:pStyle w:val="BodyText"/>
        <w:spacing w:line="290" w:lineRule="auto"/>
        <w:ind w:left="500" w:firstLine="340"/>
        <w:sectPr w:rsidR="00924992" w:rsidSect="00924992">
          <w:footnotePr>
            <w:numFmt w:val="chicago"/>
          </w:footnotePr>
          <w:type w:val="continuous"/>
          <w:pgSz w:w="8501" w:h="13022"/>
          <w:pgMar w:top="907" w:right="826" w:bottom="533" w:left="322" w:header="0" w:footer="3" w:gutter="0"/>
          <w:cols w:space="720"/>
          <w:noEndnote/>
          <w:docGrid w:linePitch="360"/>
          <w15:footnoteColumns w:val="1"/>
        </w:sectPr>
      </w:pPr>
      <w:r>
        <w:t xml:space="preserve">Es importante probar </w:t>
      </w:r>
      <w:r>
        <w:rPr>
          <w:rFonts w:ascii="Times New Roman" w:eastAsia="Times New Roman" w:hAnsi="Times New Roman" w:cs="Times New Roman"/>
          <w:i/>
          <w:iCs/>
          <w:sz w:val="16"/>
          <w:szCs w:val="16"/>
        </w:rPr>
        <w:t>in vitro</w:t>
      </w:r>
      <w:r>
        <w:t xml:space="preserve"> micobacterias aisladas, de proliferación rápida (como </w:t>
      </w:r>
      <w:r>
        <w:rPr>
          <w:rFonts w:ascii="Times New Roman" w:eastAsia="Times New Roman" w:hAnsi="Times New Roman" w:cs="Times New Roman"/>
          <w:i/>
          <w:iCs/>
          <w:sz w:val="16"/>
          <w:szCs w:val="16"/>
        </w:rPr>
        <w:t>M. fortuitum, M. abscessus</w:t>
      </w:r>
      <w:r>
        <w:t xml:space="preserve"> y </w:t>
      </w:r>
      <w:r>
        <w:rPr>
          <w:rFonts w:ascii="Times New Roman" w:eastAsia="Times New Roman" w:hAnsi="Times New Roman" w:cs="Times New Roman"/>
          <w:i/>
          <w:iCs/>
          <w:sz w:val="16"/>
          <w:szCs w:val="16"/>
        </w:rPr>
        <w:t>M. chelonae)</w:t>
      </w:r>
      <w:r>
        <w:t xml:space="preserve"> con fármacos como sulfato de amikacina,</w:t>
      </w:r>
    </w:p>
    <w:p w14:paraId="4AD16AAE" w14:textId="77777777" w:rsidR="00924992" w:rsidRDefault="00924992">
      <w:pPr>
        <w:pStyle w:val="Heading31"/>
        <w:keepNext/>
        <w:keepLines/>
        <w:framePr w:w="5366" w:h="557" w:wrap="none" w:hAnchor="page" w:x="3668" w:y="1"/>
        <w:spacing w:line="211" w:lineRule="auto"/>
        <w:jc w:val="center"/>
      </w:pPr>
      <w:bookmarkStart w:id="159" w:name="bookmark1605"/>
      <w:bookmarkStart w:id="160" w:name="bookmark1606"/>
      <w:bookmarkStart w:id="161" w:name="bookmark1607"/>
      <w:r>
        <w:rPr>
          <w:b w:val="0"/>
          <w:bCs w:val="0"/>
        </w:rPr>
        <w:t xml:space="preserve">Cuadro 3-45. </w:t>
      </w:r>
      <w:r>
        <w:t>Tratamiento de infecciones por micobacterias</w:t>
      </w:r>
      <w:r>
        <w:br/>
        <w:t>no tuberculosas en niños</w:t>
      </w:r>
      <w:bookmarkEnd w:id="159"/>
      <w:bookmarkEnd w:id="160"/>
      <w:bookmarkEnd w:id="161"/>
    </w:p>
    <w:tbl>
      <w:tblPr>
        <w:tblOverlap w:val="never"/>
        <w:tblW w:w="0" w:type="auto"/>
        <w:tblLayout w:type="fixed"/>
        <w:tblCellMar>
          <w:left w:w="10" w:type="dxa"/>
          <w:right w:w="10" w:type="dxa"/>
        </w:tblCellMar>
        <w:tblLook w:val="04A0" w:firstRow="1" w:lastRow="0" w:firstColumn="1" w:lastColumn="0" w:noHBand="0" w:noVBand="1"/>
      </w:tblPr>
      <w:tblGrid>
        <w:gridCol w:w="2746"/>
        <w:gridCol w:w="2174"/>
        <w:gridCol w:w="6499"/>
      </w:tblGrid>
      <w:tr w:rsidR="00924992" w14:paraId="0E5AEA61" w14:textId="77777777">
        <w:tblPrEx>
          <w:tblCellMar>
            <w:top w:w="0" w:type="dxa"/>
            <w:bottom w:w="0" w:type="dxa"/>
          </w:tblCellMar>
        </w:tblPrEx>
        <w:trPr>
          <w:trHeight w:hRule="exact" w:val="274"/>
        </w:trPr>
        <w:tc>
          <w:tcPr>
            <w:tcW w:w="2746" w:type="dxa"/>
            <w:shd w:val="clear" w:color="auto" w:fill="231F20"/>
          </w:tcPr>
          <w:p w14:paraId="5EF6677B" w14:textId="77777777" w:rsidR="00924992" w:rsidRDefault="00924992">
            <w:pPr>
              <w:pStyle w:val="Other0"/>
              <w:framePr w:w="11419" w:h="5424" w:wrap="none" w:hAnchor="page" w:x="635" w:y="601"/>
              <w:pBdr>
                <w:top w:val="single" w:sz="0" w:space="0" w:color="231F20"/>
                <w:left w:val="single" w:sz="0" w:space="0" w:color="231F20"/>
                <w:bottom w:val="single" w:sz="0" w:space="0" w:color="231F20"/>
                <w:right w:val="single" w:sz="0" w:space="0" w:color="231F20"/>
              </w:pBdr>
              <w:shd w:val="clear" w:color="auto" w:fill="231F20"/>
              <w:spacing w:line="240" w:lineRule="auto"/>
              <w:ind w:firstLine="0"/>
              <w:rPr>
                <w:sz w:val="24"/>
                <w:szCs w:val="24"/>
              </w:rPr>
            </w:pPr>
            <w:r>
              <w:rPr>
                <w:rFonts w:ascii="Arial" w:eastAsia="Arial" w:hAnsi="Arial" w:cs="Arial"/>
                <w:b/>
                <w:bCs/>
                <w:color w:val="FFFFFF"/>
                <w:w w:val="70"/>
                <w:sz w:val="24"/>
                <w:szCs w:val="24"/>
              </w:rPr>
              <w:t>Microorganismo</w:t>
            </w:r>
          </w:p>
        </w:tc>
        <w:tc>
          <w:tcPr>
            <w:tcW w:w="2174" w:type="dxa"/>
            <w:shd w:val="clear" w:color="auto" w:fill="231F20"/>
          </w:tcPr>
          <w:p w14:paraId="2DECC475" w14:textId="77777777" w:rsidR="00924992" w:rsidRDefault="00924992">
            <w:pPr>
              <w:pStyle w:val="Other0"/>
              <w:framePr w:w="11419" w:h="5424" w:wrap="none" w:hAnchor="page" w:x="635" w:y="601"/>
              <w:pBdr>
                <w:top w:val="single" w:sz="0" w:space="0" w:color="231F20"/>
                <w:left w:val="single" w:sz="0" w:space="0" w:color="231F20"/>
                <w:bottom w:val="single" w:sz="0" w:space="0" w:color="231F20"/>
                <w:right w:val="single" w:sz="0" w:space="0" w:color="231F20"/>
              </w:pBdr>
              <w:shd w:val="clear" w:color="auto" w:fill="231F20"/>
              <w:spacing w:line="240" w:lineRule="auto"/>
              <w:ind w:firstLine="140"/>
              <w:rPr>
                <w:sz w:val="24"/>
                <w:szCs w:val="24"/>
              </w:rPr>
            </w:pPr>
            <w:r>
              <w:rPr>
                <w:rFonts w:ascii="Arial" w:eastAsia="Arial" w:hAnsi="Arial" w:cs="Arial"/>
                <w:b/>
                <w:bCs/>
                <w:color w:val="FFFFFF"/>
                <w:w w:val="70"/>
                <w:sz w:val="24"/>
                <w:szCs w:val="24"/>
              </w:rPr>
              <w:t>Enfermedad</w:t>
            </w:r>
          </w:p>
        </w:tc>
        <w:tc>
          <w:tcPr>
            <w:tcW w:w="6499" w:type="dxa"/>
            <w:shd w:val="clear" w:color="auto" w:fill="231F20"/>
          </w:tcPr>
          <w:p w14:paraId="6F39901F" w14:textId="77777777" w:rsidR="00924992" w:rsidRDefault="00924992">
            <w:pPr>
              <w:pStyle w:val="Other0"/>
              <w:framePr w:w="11419" w:h="5424" w:wrap="none" w:hAnchor="page" w:x="635" w:y="601"/>
              <w:pBdr>
                <w:top w:val="single" w:sz="0" w:space="0" w:color="231F20"/>
                <w:left w:val="single" w:sz="0" w:space="0" w:color="231F20"/>
                <w:bottom w:val="single" w:sz="0" w:space="0" w:color="231F20"/>
                <w:right w:val="single" w:sz="0" w:space="0" w:color="231F20"/>
              </w:pBdr>
              <w:shd w:val="clear" w:color="auto" w:fill="231F20"/>
              <w:spacing w:line="240" w:lineRule="auto"/>
              <w:ind w:firstLine="220"/>
              <w:rPr>
                <w:sz w:val="24"/>
                <w:szCs w:val="24"/>
              </w:rPr>
            </w:pPr>
            <w:r>
              <w:rPr>
                <w:rFonts w:ascii="Arial" w:eastAsia="Arial" w:hAnsi="Arial" w:cs="Arial"/>
                <w:b/>
                <w:bCs/>
                <w:color w:val="FFFFFF"/>
                <w:w w:val="70"/>
                <w:sz w:val="24"/>
                <w:szCs w:val="24"/>
              </w:rPr>
              <w:t>Tratamiento</w:t>
            </w:r>
          </w:p>
        </w:tc>
      </w:tr>
      <w:tr w:rsidR="00924992" w14:paraId="32096385" w14:textId="77777777">
        <w:tblPrEx>
          <w:tblCellMar>
            <w:top w:w="0" w:type="dxa"/>
            <w:bottom w:w="0" w:type="dxa"/>
          </w:tblCellMar>
        </w:tblPrEx>
        <w:trPr>
          <w:trHeight w:hRule="exact" w:val="293"/>
        </w:trPr>
        <w:tc>
          <w:tcPr>
            <w:tcW w:w="2746" w:type="dxa"/>
            <w:shd w:val="clear" w:color="auto" w:fill="FFFFFF"/>
            <w:vAlign w:val="bottom"/>
          </w:tcPr>
          <w:p w14:paraId="50DE3B1E" w14:textId="77777777" w:rsidR="00924992" w:rsidRDefault="00924992">
            <w:pPr>
              <w:pStyle w:val="Other0"/>
              <w:framePr w:w="11419" w:h="5424" w:wrap="none" w:hAnchor="page" w:x="635" w:y="601"/>
              <w:spacing w:line="240" w:lineRule="auto"/>
              <w:ind w:firstLine="0"/>
              <w:rPr>
                <w:sz w:val="16"/>
                <w:szCs w:val="16"/>
              </w:rPr>
            </w:pPr>
            <w:r>
              <w:rPr>
                <w:rFonts w:ascii="Times New Roman" w:eastAsia="Times New Roman" w:hAnsi="Times New Roman" w:cs="Times New Roman"/>
                <w:sz w:val="16"/>
                <w:szCs w:val="16"/>
              </w:rPr>
              <w:t xml:space="preserve">Complejo de </w:t>
            </w:r>
            <w:r>
              <w:rPr>
                <w:rFonts w:ascii="Times New Roman" w:eastAsia="Times New Roman" w:hAnsi="Times New Roman" w:cs="Times New Roman"/>
                <w:i/>
                <w:iCs/>
                <w:sz w:val="16"/>
                <w:szCs w:val="16"/>
              </w:rPr>
              <w:t>Mycobacterium avium</w:t>
            </w:r>
          </w:p>
        </w:tc>
        <w:tc>
          <w:tcPr>
            <w:tcW w:w="2174" w:type="dxa"/>
            <w:shd w:val="clear" w:color="auto" w:fill="FFFFFF"/>
            <w:vAlign w:val="bottom"/>
          </w:tcPr>
          <w:p w14:paraId="788ECA5B" w14:textId="77777777" w:rsidR="00924992" w:rsidRDefault="00924992">
            <w:pPr>
              <w:pStyle w:val="Other0"/>
              <w:framePr w:w="11419" w:h="5424" w:wrap="none" w:hAnchor="page" w:x="635" w:y="601"/>
              <w:spacing w:line="240" w:lineRule="auto"/>
              <w:ind w:firstLine="140"/>
              <w:rPr>
                <w:sz w:val="16"/>
                <w:szCs w:val="16"/>
              </w:rPr>
            </w:pPr>
            <w:r>
              <w:rPr>
                <w:rFonts w:ascii="Times New Roman" w:eastAsia="Times New Roman" w:hAnsi="Times New Roman" w:cs="Times New Roman"/>
                <w:sz w:val="16"/>
                <w:szCs w:val="16"/>
              </w:rPr>
              <w:t>Linfadenitis</w:t>
            </w:r>
          </w:p>
        </w:tc>
        <w:tc>
          <w:tcPr>
            <w:tcW w:w="6499" w:type="dxa"/>
            <w:shd w:val="clear" w:color="auto" w:fill="FFFFFF"/>
            <w:vAlign w:val="bottom"/>
          </w:tcPr>
          <w:p w14:paraId="18F60ACF" w14:textId="77777777" w:rsidR="00924992" w:rsidRDefault="00924992">
            <w:pPr>
              <w:pStyle w:val="Other0"/>
              <w:framePr w:w="11419" w:h="5424" w:wrap="none" w:hAnchor="page" w:x="635" w:y="601"/>
              <w:spacing w:line="240" w:lineRule="auto"/>
              <w:ind w:firstLine="220"/>
              <w:rPr>
                <w:sz w:val="16"/>
                <w:szCs w:val="16"/>
              </w:rPr>
            </w:pPr>
            <w:r>
              <w:rPr>
                <w:rFonts w:ascii="Times New Roman" w:eastAsia="Times New Roman" w:hAnsi="Times New Roman" w:cs="Times New Roman"/>
                <w:sz w:val="16"/>
                <w:szCs w:val="16"/>
              </w:rPr>
              <w:t>Extirpación de ganglios grandes; si es incompleta o reaparece la enfermedad, administrar</w:t>
            </w:r>
          </w:p>
        </w:tc>
      </w:tr>
      <w:tr w:rsidR="00924992" w14:paraId="2FB6367B" w14:textId="77777777">
        <w:tblPrEx>
          <w:tblCellMar>
            <w:top w:w="0" w:type="dxa"/>
            <w:bottom w:w="0" w:type="dxa"/>
          </w:tblCellMar>
        </w:tblPrEx>
        <w:trPr>
          <w:trHeight w:hRule="exact" w:val="202"/>
        </w:trPr>
        <w:tc>
          <w:tcPr>
            <w:tcW w:w="2746" w:type="dxa"/>
            <w:shd w:val="clear" w:color="auto" w:fill="FFFFFF"/>
            <w:vAlign w:val="bottom"/>
          </w:tcPr>
          <w:p w14:paraId="2D3BA143" w14:textId="77777777" w:rsidR="00924992" w:rsidRDefault="00924992">
            <w:pPr>
              <w:pStyle w:val="Other0"/>
              <w:framePr w:w="11419" w:h="5424" w:wrap="none" w:hAnchor="page" w:x="635" w:y="601"/>
              <w:spacing w:line="240" w:lineRule="auto"/>
              <w:ind w:firstLine="0"/>
              <w:rPr>
                <w:sz w:val="16"/>
                <w:szCs w:val="16"/>
              </w:rPr>
            </w:pPr>
            <w:r>
              <w:rPr>
                <w:rFonts w:ascii="Times New Roman" w:eastAsia="Times New Roman" w:hAnsi="Times New Roman" w:cs="Times New Roman"/>
                <w:sz w:val="16"/>
                <w:szCs w:val="16"/>
              </w:rPr>
              <w:t>(MAC)</w:t>
            </w:r>
          </w:p>
        </w:tc>
        <w:tc>
          <w:tcPr>
            <w:tcW w:w="2174" w:type="dxa"/>
            <w:shd w:val="clear" w:color="auto" w:fill="FFFFFF"/>
          </w:tcPr>
          <w:p w14:paraId="63A646CD" w14:textId="77777777" w:rsidR="00924992" w:rsidRDefault="00924992">
            <w:pPr>
              <w:framePr w:w="11419" w:h="5424" w:wrap="none" w:hAnchor="page" w:x="635" w:y="601"/>
              <w:rPr>
                <w:sz w:val="10"/>
                <w:szCs w:val="10"/>
              </w:rPr>
            </w:pPr>
          </w:p>
        </w:tc>
        <w:tc>
          <w:tcPr>
            <w:tcW w:w="6499" w:type="dxa"/>
            <w:shd w:val="clear" w:color="auto" w:fill="FFFFFF"/>
            <w:vAlign w:val="bottom"/>
          </w:tcPr>
          <w:p w14:paraId="7CF720E7" w14:textId="77777777" w:rsidR="00924992" w:rsidRDefault="00924992">
            <w:pPr>
              <w:pStyle w:val="Other0"/>
              <w:framePr w:w="11419" w:h="5424" w:wrap="none" w:hAnchor="page" w:x="635" w:y="601"/>
              <w:spacing w:line="240" w:lineRule="auto"/>
              <w:ind w:firstLine="320"/>
              <w:rPr>
                <w:sz w:val="16"/>
                <w:szCs w:val="16"/>
              </w:rPr>
            </w:pPr>
            <w:r>
              <w:rPr>
                <w:rFonts w:ascii="Times New Roman" w:eastAsia="Times New Roman" w:hAnsi="Times New Roman" w:cs="Times New Roman"/>
                <w:sz w:val="16"/>
                <w:szCs w:val="16"/>
              </w:rPr>
              <w:t>claritromicina o azitromicina y, además, etambutol con rifampicina.</w:t>
            </w:r>
          </w:p>
        </w:tc>
      </w:tr>
      <w:tr w:rsidR="00924992" w14:paraId="01B1FF93" w14:textId="77777777">
        <w:tblPrEx>
          <w:tblCellMar>
            <w:top w:w="0" w:type="dxa"/>
            <w:bottom w:w="0" w:type="dxa"/>
          </w:tblCellMar>
        </w:tblPrEx>
        <w:trPr>
          <w:trHeight w:hRule="exact" w:val="658"/>
        </w:trPr>
        <w:tc>
          <w:tcPr>
            <w:tcW w:w="2746" w:type="dxa"/>
            <w:shd w:val="clear" w:color="auto" w:fill="FFFFFF"/>
          </w:tcPr>
          <w:p w14:paraId="7C54CA32" w14:textId="77777777" w:rsidR="00924992" w:rsidRDefault="00924992">
            <w:pPr>
              <w:framePr w:w="11419" w:h="5424" w:wrap="none" w:hAnchor="page" w:x="635" w:y="601"/>
              <w:rPr>
                <w:sz w:val="10"/>
                <w:szCs w:val="10"/>
              </w:rPr>
            </w:pPr>
          </w:p>
        </w:tc>
        <w:tc>
          <w:tcPr>
            <w:tcW w:w="2174" w:type="dxa"/>
            <w:shd w:val="clear" w:color="auto" w:fill="FFFFFF"/>
          </w:tcPr>
          <w:p w14:paraId="5BDDE53C" w14:textId="77777777" w:rsidR="00924992" w:rsidRDefault="00924992">
            <w:pPr>
              <w:pStyle w:val="Other0"/>
              <w:framePr w:w="11419" w:h="5424" w:wrap="none" w:hAnchor="page" w:x="635" w:y="601"/>
              <w:spacing w:line="240" w:lineRule="auto"/>
              <w:ind w:firstLine="140"/>
              <w:rPr>
                <w:sz w:val="16"/>
                <w:szCs w:val="16"/>
              </w:rPr>
            </w:pPr>
            <w:r>
              <w:rPr>
                <w:rFonts w:ascii="Times New Roman" w:eastAsia="Times New Roman" w:hAnsi="Times New Roman" w:cs="Times New Roman"/>
                <w:sz w:val="16"/>
                <w:szCs w:val="16"/>
              </w:rPr>
              <w:t>Infección pulmonar</w:t>
            </w:r>
          </w:p>
        </w:tc>
        <w:tc>
          <w:tcPr>
            <w:tcW w:w="6499" w:type="dxa"/>
            <w:shd w:val="clear" w:color="auto" w:fill="FFFFFF"/>
            <w:vAlign w:val="bottom"/>
          </w:tcPr>
          <w:p w14:paraId="6AB01F69" w14:textId="77777777" w:rsidR="00924992" w:rsidRDefault="00924992">
            <w:pPr>
              <w:pStyle w:val="Other0"/>
              <w:framePr w:w="11419" w:h="5424" w:wrap="none" w:hAnchor="page" w:x="635" w:y="601"/>
              <w:spacing w:line="283" w:lineRule="auto"/>
              <w:ind w:left="320" w:hanging="100"/>
              <w:rPr>
                <w:sz w:val="16"/>
                <w:szCs w:val="16"/>
              </w:rPr>
            </w:pPr>
            <w:r>
              <w:rPr>
                <w:rFonts w:ascii="Times New Roman" w:eastAsia="Times New Roman" w:hAnsi="Times New Roman" w:cs="Times New Roman"/>
                <w:sz w:val="16"/>
                <w:szCs w:val="16"/>
              </w:rPr>
              <w:t>Claritromicina o azitromicina y, además, etambutol con rifampicina o rifabutina (ablación de lóbulos pulmonares en algunos pacientes). Si la enfermedad es grave, se suele incluir un ciclo inicial de amikacina o estreptomicina.</w:t>
            </w:r>
          </w:p>
        </w:tc>
      </w:tr>
      <w:tr w:rsidR="00924992" w14:paraId="275793C4" w14:textId="77777777">
        <w:tblPrEx>
          <w:tblCellMar>
            <w:top w:w="0" w:type="dxa"/>
            <w:bottom w:w="0" w:type="dxa"/>
          </w:tblCellMar>
        </w:tblPrEx>
        <w:trPr>
          <w:trHeight w:hRule="exact" w:val="202"/>
        </w:trPr>
        <w:tc>
          <w:tcPr>
            <w:tcW w:w="2746" w:type="dxa"/>
            <w:shd w:val="clear" w:color="auto" w:fill="FFFFFF"/>
          </w:tcPr>
          <w:p w14:paraId="24A66A9E" w14:textId="77777777" w:rsidR="00924992" w:rsidRDefault="00924992">
            <w:pPr>
              <w:framePr w:w="11419" w:h="5424" w:wrap="none" w:hAnchor="page" w:x="635" w:y="601"/>
              <w:rPr>
                <w:sz w:val="10"/>
                <w:szCs w:val="10"/>
              </w:rPr>
            </w:pPr>
          </w:p>
        </w:tc>
        <w:tc>
          <w:tcPr>
            <w:tcW w:w="2174" w:type="dxa"/>
            <w:shd w:val="clear" w:color="auto" w:fill="FFFFFF"/>
          </w:tcPr>
          <w:p w14:paraId="1F54FC6E" w14:textId="77777777" w:rsidR="00924992" w:rsidRDefault="00924992">
            <w:pPr>
              <w:pStyle w:val="Other0"/>
              <w:framePr w:w="11419" w:h="5424" w:wrap="none" w:hAnchor="page" w:x="635" w:y="601"/>
              <w:spacing w:line="240" w:lineRule="auto"/>
              <w:ind w:firstLine="140"/>
              <w:rPr>
                <w:sz w:val="16"/>
                <w:szCs w:val="16"/>
              </w:rPr>
            </w:pPr>
            <w:r>
              <w:rPr>
                <w:rFonts w:ascii="Times New Roman" w:eastAsia="Times New Roman" w:hAnsi="Times New Roman" w:cs="Times New Roman"/>
                <w:sz w:val="16"/>
                <w:szCs w:val="16"/>
              </w:rPr>
              <w:t>Forma diseminada</w:t>
            </w:r>
          </w:p>
        </w:tc>
        <w:tc>
          <w:tcPr>
            <w:tcW w:w="6499" w:type="dxa"/>
            <w:shd w:val="clear" w:color="auto" w:fill="FFFFFF"/>
          </w:tcPr>
          <w:p w14:paraId="1A64C7F4" w14:textId="77777777" w:rsidR="00924992" w:rsidRDefault="00924992">
            <w:pPr>
              <w:pStyle w:val="Other0"/>
              <w:framePr w:w="11419" w:h="5424" w:wrap="none" w:hAnchor="page" w:x="635" w:y="601"/>
              <w:spacing w:line="240" w:lineRule="auto"/>
              <w:ind w:firstLine="220"/>
              <w:rPr>
                <w:sz w:val="16"/>
                <w:szCs w:val="16"/>
              </w:rPr>
            </w:pPr>
            <w:r>
              <w:rPr>
                <w:rFonts w:ascii="Times New Roman" w:eastAsia="Times New Roman" w:hAnsi="Times New Roman" w:cs="Times New Roman"/>
                <w:sz w:val="16"/>
                <w:szCs w:val="16"/>
              </w:rPr>
              <w:t>Véase el texto.</w:t>
            </w:r>
          </w:p>
        </w:tc>
      </w:tr>
      <w:tr w:rsidR="00924992" w14:paraId="57196137" w14:textId="77777777">
        <w:tblPrEx>
          <w:tblCellMar>
            <w:top w:w="0" w:type="dxa"/>
            <w:bottom w:w="0" w:type="dxa"/>
          </w:tblCellMar>
        </w:tblPrEx>
        <w:trPr>
          <w:trHeight w:hRule="exact" w:val="677"/>
        </w:trPr>
        <w:tc>
          <w:tcPr>
            <w:tcW w:w="2746" w:type="dxa"/>
            <w:shd w:val="clear" w:color="auto" w:fill="FFFFFF"/>
          </w:tcPr>
          <w:p w14:paraId="65CC7B8D" w14:textId="77777777" w:rsidR="00924992" w:rsidRDefault="00924992">
            <w:pPr>
              <w:pStyle w:val="Other0"/>
              <w:framePr w:w="11419" w:h="5424" w:wrap="none" w:hAnchor="page" w:x="635" w:y="601"/>
              <w:spacing w:line="240" w:lineRule="auto"/>
              <w:ind w:firstLine="0"/>
              <w:rPr>
                <w:sz w:val="16"/>
                <w:szCs w:val="16"/>
              </w:rPr>
            </w:pPr>
            <w:r>
              <w:rPr>
                <w:rFonts w:ascii="Times New Roman" w:eastAsia="Times New Roman" w:hAnsi="Times New Roman" w:cs="Times New Roman"/>
                <w:sz w:val="16"/>
                <w:szCs w:val="16"/>
              </w:rPr>
              <w:t xml:space="preserve">Complejo de </w:t>
            </w:r>
            <w:r>
              <w:rPr>
                <w:rFonts w:ascii="Times New Roman" w:eastAsia="Times New Roman" w:hAnsi="Times New Roman" w:cs="Times New Roman"/>
                <w:i/>
                <w:iCs/>
                <w:sz w:val="16"/>
                <w:szCs w:val="16"/>
              </w:rPr>
              <w:t>Mycobacterium fortuitum</w:t>
            </w:r>
          </w:p>
        </w:tc>
        <w:tc>
          <w:tcPr>
            <w:tcW w:w="2174" w:type="dxa"/>
            <w:shd w:val="clear" w:color="auto" w:fill="FFFFFF"/>
          </w:tcPr>
          <w:p w14:paraId="70ACB6A6" w14:textId="77777777" w:rsidR="00924992" w:rsidRDefault="00924992">
            <w:pPr>
              <w:pStyle w:val="Other0"/>
              <w:framePr w:w="11419" w:h="5424" w:wrap="none" w:hAnchor="page" w:x="635" w:y="601"/>
              <w:spacing w:line="240" w:lineRule="auto"/>
              <w:ind w:firstLine="140"/>
              <w:rPr>
                <w:sz w:val="16"/>
                <w:szCs w:val="16"/>
              </w:rPr>
            </w:pPr>
            <w:r>
              <w:rPr>
                <w:rFonts w:ascii="Times New Roman" w:eastAsia="Times New Roman" w:hAnsi="Times New Roman" w:cs="Times New Roman"/>
                <w:sz w:val="16"/>
                <w:szCs w:val="16"/>
              </w:rPr>
              <w:t>Infección cutánea</w:t>
            </w:r>
          </w:p>
        </w:tc>
        <w:tc>
          <w:tcPr>
            <w:tcW w:w="6499" w:type="dxa"/>
            <w:shd w:val="clear" w:color="auto" w:fill="FFFFFF"/>
            <w:vAlign w:val="bottom"/>
          </w:tcPr>
          <w:p w14:paraId="2CE7E3C2" w14:textId="77777777" w:rsidR="00924992" w:rsidRDefault="00924992">
            <w:pPr>
              <w:pStyle w:val="Other0"/>
              <w:framePr w:w="11419" w:h="5424" w:wrap="none" w:hAnchor="page" w:x="635" w:y="601"/>
              <w:spacing w:line="286" w:lineRule="auto"/>
              <w:ind w:left="320" w:hanging="100"/>
              <w:rPr>
                <w:sz w:val="16"/>
                <w:szCs w:val="16"/>
              </w:rPr>
            </w:pPr>
            <w:r>
              <w:rPr>
                <w:rFonts w:ascii="Times New Roman" w:eastAsia="Times New Roman" w:hAnsi="Times New Roman" w:cs="Times New Roman"/>
                <w:sz w:val="16"/>
                <w:szCs w:val="16"/>
              </w:rPr>
              <w:t>Extirpación de tejido; la terapia inicial incluye la combinación de amikacina y cefoxitina por vía IV seguidas de eritromicina, claritromicina, doxiciclina</w:t>
            </w:r>
            <w:r>
              <w:rPr>
                <w:rFonts w:ascii="Times New Roman" w:eastAsia="Times New Roman" w:hAnsi="Times New Roman" w:cs="Times New Roman"/>
                <w:sz w:val="16"/>
                <w:szCs w:val="16"/>
                <w:vertAlign w:val="superscript"/>
              </w:rPr>
              <w:t>1</w:t>
            </w:r>
            <w:r>
              <w:rPr>
                <w:rFonts w:ascii="Times New Roman" w:eastAsia="Times New Roman" w:hAnsi="Times New Roman" w:cs="Times New Roman"/>
                <w:sz w:val="16"/>
                <w:szCs w:val="16"/>
              </w:rPr>
              <w:t xml:space="preserve"> o ciprofloxacina ingeridos.</w:t>
            </w:r>
          </w:p>
        </w:tc>
      </w:tr>
      <w:tr w:rsidR="00924992" w14:paraId="640C6C7E" w14:textId="77777777">
        <w:tblPrEx>
          <w:tblCellMar>
            <w:top w:w="0" w:type="dxa"/>
            <w:bottom w:w="0" w:type="dxa"/>
          </w:tblCellMar>
        </w:tblPrEx>
        <w:trPr>
          <w:trHeight w:hRule="exact" w:val="643"/>
        </w:trPr>
        <w:tc>
          <w:tcPr>
            <w:tcW w:w="2746" w:type="dxa"/>
            <w:shd w:val="clear" w:color="auto" w:fill="FFFFFF"/>
          </w:tcPr>
          <w:p w14:paraId="03B36FB9" w14:textId="77777777" w:rsidR="00924992" w:rsidRDefault="00924992">
            <w:pPr>
              <w:framePr w:w="11419" w:h="5424" w:wrap="none" w:hAnchor="page" w:x="635" w:y="601"/>
              <w:rPr>
                <w:sz w:val="10"/>
                <w:szCs w:val="10"/>
              </w:rPr>
            </w:pPr>
          </w:p>
        </w:tc>
        <w:tc>
          <w:tcPr>
            <w:tcW w:w="2174" w:type="dxa"/>
            <w:shd w:val="clear" w:color="auto" w:fill="FFFFFF"/>
          </w:tcPr>
          <w:p w14:paraId="15D1BF89" w14:textId="77777777" w:rsidR="00924992" w:rsidRDefault="00924992">
            <w:pPr>
              <w:pStyle w:val="Other0"/>
              <w:framePr w:w="11419" w:h="5424" w:wrap="none" w:hAnchor="page" w:x="635" w:y="601"/>
              <w:spacing w:line="240" w:lineRule="auto"/>
              <w:ind w:firstLine="140"/>
              <w:rPr>
                <w:sz w:val="16"/>
                <w:szCs w:val="16"/>
              </w:rPr>
            </w:pPr>
            <w:r>
              <w:rPr>
                <w:rFonts w:ascii="Times New Roman" w:eastAsia="Times New Roman" w:hAnsi="Times New Roman" w:cs="Times New Roman"/>
                <w:sz w:val="16"/>
                <w:szCs w:val="16"/>
              </w:rPr>
              <w:t>Infección en catéter</w:t>
            </w:r>
          </w:p>
        </w:tc>
        <w:tc>
          <w:tcPr>
            <w:tcW w:w="6499" w:type="dxa"/>
            <w:shd w:val="clear" w:color="auto" w:fill="FFFFFF"/>
            <w:vAlign w:val="bottom"/>
          </w:tcPr>
          <w:p w14:paraId="2AADAE82" w14:textId="77777777" w:rsidR="00924992" w:rsidRDefault="00924992">
            <w:pPr>
              <w:pStyle w:val="Other0"/>
              <w:framePr w:w="11419" w:h="5424" w:wrap="none" w:hAnchor="page" w:x="635" w:y="601"/>
              <w:spacing w:line="283" w:lineRule="auto"/>
              <w:ind w:left="320" w:hanging="100"/>
              <w:rPr>
                <w:sz w:val="16"/>
                <w:szCs w:val="16"/>
              </w:rPr>
            </w:pPr>
            <w:r>
              <w:rPr>
                <w:rFonts w:ascii="Times New Roman" w:eastAsia="Times New Roman" w:hAnsi="Times New Roman" w:cs="Times New Roman"/>
                <w:sz w:val="16"/>
                <w:szCs w:val="16"/>
              </w:rPr>
              <w:t xml:space="preserve">Extracción de la sonda o catéter y administración de la combinación de amikacina y cefoxitina por vía IV; claritromicina, trimetoprim-sulfametoxazol o ciprofloxacina ingeridos, con base en pruebas de susceptibilidad </w:t>
            </w:r>
            <w:r>
              <w:rPr>
                <w:rFonts w:ascii="Times New Roman" w:eastAsia="Times New Roman" w:hAnsi="Times New Roman" w:cs="Times New Roman"/>
                <w:i/>
                <w:iCs/>
                <w:sz w:val="16"/>
                <w:szCs w:val="16"/>
              </w:rPr>
              <w:t>in vitro.</w:t>
            </w:r>
          </w:p>
        </w:tc>
      </w:tr>
      <w:tr w:rsidR="00924992" w14:paraId="4CCE7007" w14:textId="77777777">
        <w:tblPrEx>
          <w:tblCellMar>
            <w:top w:w="0" w:type="dxa"/>
            <w:bottom w:w="0" w:type="dxa"/>
          </w:tblCellMar>
        </w:tblPrEx>
        <w:trPr>
          <w:trHeight w:hRule="exact" w:val="216"/>
        </w:trPr>
        <w:tc>
          <w:tcPr>
            <w:tcW w:w="2746" w:type="dxa"/>
            <w:shd w:val="clear" w:color="auto" w:fill="FFFFFF"/>
            <w:vAlign w:val="bottom"/>
          </w:tcPr>
          <w:p w14:paraId="4BAB119D" w14:textId="77777777" w:rsidR="00924992" w:rsidRDefault="00924992">
            <w:pPr>
              <w:pStyle w:val="Other0"/>
              <w:framePr w:w="11419" w:h="5424" w:wrap="none" w:hAnchor="page" w:x="635" w:y="601"/>
              <w:spacing w:line="240" w:lineRule="auto"/>
              <w:ind w:firstLine="0"/>
              <w:rPr>
                <w:sz w:val="16"/>
                <w:szCs w:val="16"/>
              </w:rPr>
            </w:pPr>
            <w:r>
              <w:rPr>
                <w:rFonts w:ascii="Times New Roman" w:eastAsia="Times New Roman" w:hAnsi="Times New Roman" w:cs="Times New Roman"/>
                <w:i/>
                <w:iCs/>
                <w:sz w:val="16"/>
                <w:szCs w:val="16"/>
              </w:rPr>
              <w:t>Mycobacterium kansasii</w:t>
            </w:r>
          </w:p>
        </w:tc>
        <w:tc>
          <w:tcPr>
            <w:tcW w:w="2174" w:type="dxa"/>
            <w:shd w:val="clear" w:color="auto" w:fill="FFFFFF"/>
            <w:vAlign w:val="bottom"/>
          </w:tcPr>
          <w:p w14:paraId="7CCF86D4" w14:textId="77777777" w:rsidR="00924992" w:rsidRDefault="00924992">
            <w:pPr>
              <w:pStyle w:val="Other0"/>
              <w:framePr w:w="11419" w:h="5424" w:wrap="none" w:hAnchor="page" w:x="635" w:y="601"/>
              <w:spacing w:line="240" w:lineRule="auto"/>
              <w:ind w:firstLine="140"/>
              <w:rPr>
                <w:sz w:val="16"/>
                <w:szCs w:val="16"/>
              </w:rPr>
            </w:pPr>
            <w:r>
              <w:rPr>
                <w:rFonts w:ascii="Times New Roman" w:eastAsia="Times New Roman" w:hAnsi="Times New Roman" w:cs="Times New Roman"/>
                <w:sz w:val="16"/>
                <w:szCs w:val="16"/>
              </w:rPr>
              <w:t>Infección pulmonar</w:t>
            </w:r>
          </w:p>
        </w:tc>
        <w:tc>
          <w:tcPr>
            <w:tcW w:w="6499" w:type="dxa"/>
            <w:shd w:val="clear" w:color="auto" w:fill="FFFFFF"/>
            <w:vAlign w:val="bottom"/>
          </w:tcPr>
          <w:p w14:paraId="40746834" w14:textId="77777777" w:rsidR="00924992" w:rsidRDefault="00924992">
            <w:pPr>
              <w:pStyle w:val="Other0"/>
              <w:framePr w:w="11419" w:h="5424" w:wrap="none" w:hAnchor="page" w:x="635" w:y="601"/>
              <w:spacing w:line="240" w:lineRule="auto"/>
              <w:ind w:firstLine="220"/>
              <w:rPr>
                <w:sz w:val="16"/>
                <w:szCs w:val="16"/>
              </w:rPr>
            </w:pPr>
            <w:r>
              <w:rPr>
                <w:rFonts w:ascii="Times New Roman" w:eastAsia="Times New Roman" w:hAnsi="Times New Roman" w:cs="Times New Roman"/>
                <w:sz w:val="16"/>
                <w:szCs w:val="16"/>
              </w:rPr>
              <w:t>Rifampicina y, además, etambutol con isoniazida.</w:t>
            </w:r>
          </w:p>
        </w:tc>
      </w:tr>
      <w:tr w:rsidR="00924992" w14:paraId="031F549B" w14:textId="77777777">
        <w:tblPrEx>
          <w:tblCellMar>
            <w:top w:w="0" w:type="dxa"/>
            <w:bottom w:w="0" w:type="dxa"/>
          </w:tblCellMar>
        </w:tblPrEx>
        <w:trPr>
          <w:trHeight w:hRule="exact" w:val="418"/>
        </w:trPr>
        <w:tc>
          <w:tcPr>
            <w:tcW w:w="2746" w:type="dxa"/>
            <w:shd w:val="clear" w:color="auto" w:fill="FFFFFF"/>
          </w:tcPr>
          <w:p w14:paraId="26AC8DEB" w14:textId="77777777" w:rsidR="00924992" w:rsidRDefault="00924992">
            <w:pPr>
              <w:framePr w:w="11419" w:h="5424" w:wrap="none" w:hAnchor="page" w:x="635" w:y="601"/>
              <w:rPr>
                <w:sz w:val="10"/>
                <w:szCs w:val="10"/>
              </w:rPr>
            </w:pPr>
          </w:p>
        </w:tc>
        <w:tc>
          <w:tcPr>
            <w:tcW w:w="2174" w:type="dxa"/>
            <w:shd w:val="clear" w:color="auto" w:fill="FFFFFF"/>
          </w:tcPr>
          <w:p w14:paraId="44CD2DE3" w14:textId="77777777" w:rsidR="00924992" w:rsidRDefault="00924992">
            <w:pPr>
              <w:pStyle w:val="Other0"/>
              <w:framePr w:w="11419" w:h="5424" w:wrap="none" w:hAnchor="page" w:x="635" w:y="601"/>
              <w:spacing w:line="240" w:lineRule="auto"/>
              <w:ind w:firstLine="140"/>
              <w:rPr>
                <w:sz w:val="16"/>
                <w:szCs w:val="16"/>
              </w:rPr>
            </w:pPr>
            <w:r>
              <w:rPr>
                <w:rFonts w:ascii="Times New Roman" w:eastAsia="Times New Roman" w:hAnsi="Times New Roman" w:cs="Times New Roman"/>
                <w:sz w:val="16"/>
                <w:szCs w:val="16"/>
              </w:rPr>
              <w:t>Osteomielitis</w:t>
            </w:r>
          </w:p>
        </w:tc>
        <w:tc>
          <w:tcPr>
            <w:tcW w:w="6499" w:type="dxa"/>
            <w:shd w:val="clear" w:color="auto" w:fill="FFFFFF"/>
            <w:vAlign w:val="bottom"/>
          </w:tcPr>
          <w:p w14:paraId="0E663C2D" w14:textId="77777777" w:rsidR="00924992" w:rsidRDefault="00924992">
            <w:pPr>
              <w:pStyle w:val="Other0"/>
              <w:framePr w:w="11419" w:h="5424" w:wrap="none" w:hAnchor="page" w:x="635" w:y="601"/>
              <w:spacing w:line="283" w:lineRule="auto"/>
              <w:ind w:left="320" w:hanging="100"/>
              <w:rPr>
                <w:sz w:val="16"/>
                <w:szCs w:val="16"/>
              </w:rPr>
            </w:pPr>
            <w:r>
              <w:rPr>
                <w:rFonts w:ascii="Times New Roman" w:eastAsia="Times New Roman" w:hAnsi="Times New Roman" w:cs="Times New Roman"/>
                <w:sz w:val="16"/>
                <w:szCs w:val="16"/>
              </w:rPr>
              <w:t>Desbridamiento quirúrgico con administración duradera de antimicrobianos como rifampicina y, además, etambutol con isoniazida.</w:t>
            </w:r>
          </w:p>
        </w:tc>
      </w:tr>
      <w:tr w:rsidR="00924992" w14:paraId="0D07E56F" w14:textId="77777777">
        <w:tblPrEx>
          <w:tblCellMar>
            <w:top w:w="0" w:type="dxa"/>
            <w:bottom w:w="0" w:type="dxa"/>
          </w:tblCellMar>
        </w:tblPrEx>
        <w:trPr>
          <w:trHeight w:hRule="exact" w:val="672"/>
        </w:trPr>
        <w:tc>
          <w:tcPr>
            <w:tcW w:w="2746" w:type="dxa"/>
            <w:shd w:val="clear" w:color="auto" w:fill="FFFFFF"/>
          </w:tcPr>
          <w:p w14:paraId="63FD7202" w14:textId="77777777" w:rsidR="00924992" w:rsidRDefault="00924992">
            <w:pPr>
              <w:pStyle w:val="Other0"/>
              <w:framePr w:w="11419" w:h="5424" w:wrap="none" w:hAnchor="page" w:x="635" w:y="601"/>
              <w:spacing w:line="240" w:lineRule="auto"/>
              <w:ind w:firstLine="0"/>
              <w:rPr>
                <w:sz w:val="16"/>
                <w:szCs w:val="16"/>
              </w:rPr>
            </w:pPr>
            <w:r>
              <w:rPr>
                <w:rFonts w:ascii="Times New Roman" w:eastAsia="Times New Roman" w:hAnsi="Times New Roman" w:cs="Times New Roman"/>
                <w:i/>
                <w:iCs/>
                <w:sz w:val="16"/>
                <w:szCs w:val="16"/>
              </w:rPr>
              <w:t>Mycobacterium marinum</w:t>
            </w:r>
          </w:p>
        </w:tc>
        <w:tc>
          <w:tcPr>
            <w:tcW w:w="2174" w:type="dxa"/>
            <w:shd w:val="clear" w:color="auto" w:fill="FFFFFF"/>
          </w:tcPr>
          <w:p w14:paraId="0D0B9D4F" w14:textId="77777777" w:rsidR="00924992" w:rsidRDefault="00924992">
            <w:pPr>
              <w:pStyle w:val="Other0"/>
              <w:framePr w:w="11419" w:h="5424" w:wrap="none" w:hAnchor="page" w:x="635" w:y="601"/>
              <w:spacing w:line="240" w:lineRule="auto"/>
              <w:ind w:firstLine="140"/>
              <w:rPr>
                <w:sz w:val="16"/>
                <w:szCs w:val="16"/>
              </w:rPr>
            </w:pPr>
            <w:r>
              <w:rPr>
                <w:rFonts w:ascii="Times New Roman" w:eastAsia="Times New Roman" w:hAnsi="Times New Roman" w:cs="Times New Roman"/>
                <w:sz w:val="16"/>
                <w:szCs w:val="16"/>
              </w:rPr>
              <w:t>Infección cutánea</w:t>
            </w:r>
          </w:p>
        </w:tc>
        <w:tc>
          <w:tcPr>
            <w:tcW w:w="6499" w:type="dxa"/>
            <w:shd w:val="clear" w:color="auto" w:fill="FFFFFF"/>
            <w:vAlign w:val="bottom"/>
          </w:tcPr>
          <w:p w14:paraId="119E9D5E" w14:textId="77777777" w:rsidR="00924992" w:rsidRDefault="00924992">
            <w:pPr>
              <w:pStyle w:val="Other0"/>
              <w:framePr w:w="11419" w:h="5424" w:wrap="none" w:hAnchor="page" w:x="635" w:y="601"/>
              <w:spacing w:line="288" w:lineRule="auto"/>
              <w:ind w:left="320" w:hanging="100"/>
              <w:rPr>
                <w:sz w:val="16"/>
                <w:szCs w:val="16"/>
              </w:rPr>
            </w:pPr>
            <w:r>
              <w:rPr>
                <w:rFonts w:ascii="Times New Roman" w:eastAsia="Times New Roman" w:hAnsi="Times New Roman" w:cs="Times New Roman"/>
                <w:sz w:val="16"/>
                <w:szCs w:val="16"/>
              </w:rPr>
              <w:t>Ninguna si es de poca monta; usar rifampicina, trimetoprim-sulfametoxazol, claritromicina o doxiciclina</w:t>
            </w:r>
            <w:r>
              <w:rPr>
                <w:rFonts w:ascii="Times New Roman" w:eastAsia="Times New Roman" w:hAnsi="Times New Roman" w:cs="Times New Roman"/>
                <w:sz w:val="16"/>
                <w:szCs w:val="16"/>
                <w:vertAlign w:val="superscript"/>
              </w:rPr>
              <w:t>1</w:t>
            </w:r>
            <w:r>
              <w:rPr>
                <w:rFonts w:ascii="Times New Roman" w:eastAsia="Times New Roman" w:hAnsi="Times New Roman" w:cs="Times New Roman"/>
                <w:sz w:val="16"/>
                <w:szCs w:val="16"/>
              </w:rPr>
              <w:t xml:space="preserve"> si la enfermedad es moderada; las lesiones extensas pueden obligar al desbridamiento quirúrgico.</w:t>
            </w:r>
          </w:p>
        </w:tc>
      </w:tr>
      <w:tr w:rsidR="00924992" w14:paraId="0D28E3F2" w14:textId="77777777">
        <w:tblPrEx>
          <w:tblCellMar>
            <w:top w:w="0" w:type="dxa"/>
            <w:bottom w:w="0" w:type="dxa"/>
          </w:tblCellMar>
        </w:tblPrEx>
        <w:trPr>
          <w:trHeight w:hRule="exact" w:val="427"/>
        </w:trPr>
        <w:tc>
          <w:tcPr>
            <w:tcW w:w="2746" w:type="dxa"/>
            <w:shd w:val="clear" w:color="auto" w:fill="FFFFFF"/>
          </w:tcPr>
          <w:p w14:paraId="02F99557" w14:textId="77777777" w:rsidR="00924992" w:rsidRDefault="00924992">
            <w:pPr>
              <w:pStyle w:val="Other0"/>
              <w:framePr w:w="11419" w:h="5424" w:wrap="none" w:hAnchor="page" w:x="635" w:y="601"/>
              <w:spacing w:line="240" w:lineRule="auto"/>
              <w:ind w:firstLine="0"/>
              <w:rPr>
                <w:sz w:val="16"/>
                <w:szCs w:val="16"/>
              </w:rPr>
            </w:pPr>
            <w:r>
              <w:rPr>
                <w:rFonts w:ascii="Times New Roman" w:eastAsia="Times New Roman" w:hAnsi="Times New Roman" w:cs="Times New Roman"/>
                <w:i/>
                <w:iCs/>
                <w:sz w:val="16"/>
                <w:szCs w:val="16"/>
              </w:rPr>
              <w:t>Mycobacterium abscessus</w:t>
            </w:r>
          </w:p>
        </w:tc>
        <w:tc>
          <w:tcPr>
            <w:tcW w:w="2174" w:type="dxa"/>
            <w:shd w:val="clear" w:color="auto" w:fill="FFFFFF"/>
          </w:tcPr>
          <w:p w14:paraId="3BE2DF0E" w14:textId="77777777" w:rsidR="00924992" w:rsidRDefault="00924992">
            <w:pPr>
              <w:pStyle w:val="Other0"/>
              <w:framePr w:w="11419" w:h="5424" w:wrap="none" w:hAnchor="page" w:x="635" w:y="601"/>
              <w:spacing w:line="240" w:lineRule="auto"/>
              <w:ind w:firstLine="140"/>
              <w:rPr>
                <w:sz w:val="16"/>
                <w:szCs w:val="16"/>
              </w:rPr>
            </w:pPr>
            <w:r>
              <w:rPr>
                <w:rFonts w:ascii="Times New Roman" w:eastAsia="Times New Roman" w:hAnsi="Times New Roman" w:cs="Times New Roman"/>
                <w:sz w:val="16"/>
                <w:szCs w:val="16"/>
              </w:rPr>
              <w:t>Otitis media</w:t>
            </w:r>
          </w:p>
        </w:tc>
        <w:tc>
          <w:tcPr>
            <w:tcW w:w="6499" w:type="dxa"/>
            <w:shd w:val="clear" w:color="auto" w:fill="FFFFFF"/>
            <w:vAlign w:val="bottom"/>
          </w:tcPr>
          <w:p w14:paraId="0993FBA0" w14:textId="77777777" w:rsidR="00924992" w:rsidRDefault="00924992">
            <w:pPr>
              <w:pStyle w:val="Other0"/>
              <w:framePr w:w="11419" w:h="5424" w:wrap="none" w:hAnchor="page" w:x="635" w:y="601"/>
              <w:spacing w:line="283" w:lineRule="auto"/>
              <w:ind w:left="320" w:hanging="100"/>
              <w:rPr>
                <w:sz w:val="16"/>
                <w:szCs w:val="16"/>
              </w:rPr>
            </w:pPr>
            <w:r>
              <w:rPr>
                <w:rFonts w:ascii="Times New Roman" w:eastAsia="Times New Roman" w:hAnsi="Times New Roman" w:cs="Times New Roman"/>
                <w:sz w:val="16"/>
                <w:szCs w:val="16"/>
              </w:rPr>
              <w:t>Claritromicina y, además, un ciclo inicial de amikacina y cefoxitina; se necesita a veces desbridamiento quirúrgico.</w:t>
            </w:r>
          </w:p>
        </w:tc>
      </w:tr>
      <w:tr w:rsidR="00924992" w14:paraId="2947B075" w14:textId="77777777">
        <w:tblPrEx>
          <w:tblCellMar>
            <w:top w:w="0" w:type="dxa"/>
            <w:bottom w:w="0" w:type="dxa"/>
          </w:tblCellMar>
        </w:tblPrEx>
        <w:trPr>
          <w:trHeight w:hRule="exact" w:val="206"/>
        </w:trPr>
        <w:tc>
          <w:tcPr>
            <w:tcW w:w="2746" w:type="dxa"/>
            <w:shd w:val="clear" w:color="auto" w:fill="FFFFFF"/>
          </w:tcPr>
          <w:p w14:paraId="74BD84F1" w14:textId="77777777" w:rsidR="00924992" w:rsidRDefault="00924992">
            <w:pPr>
              <w:framePr w:w="11419" w:h="5424" w:wrap="none" w:hAnchor="page" w:x="635" w:y="601"/>
              <w:rPr>
                <w:sz w:val="10"/>
                <w:szCs w:val="10"/>
              </w:rPr>
            </w:pPr>
          </w:p>
        </w:tc>
        <w:tc>
          <w:tcPr>
            <w:tcW w:w="2174" w:type="dxa"/>
            <w:shd w:val="clear" w:color="auto" w:fill="FFFFFF"/>
            <w:vAlign w:val="bottom"/>
          </w:tcPr>
          <w:p w14:paraId="25A1FD13" w14:textId="77777777" w:rsidR="00924992" w:rsidRDefault="00924992">
            <w:pPr>
              <w:pStyle w:val="Other0"/>
              <w:framePr w:w="11419" w:h="5424" w:wrap="none" w:hAnchor="page" w:x="635" w:y="601"/>
              <w:spacing w:line="240" w:lineRule="auto"/>
              <w:ind w:firstLine="140"/>
              <w:rPr>
                <w:sz w:val="16"/>
                <w:szCs w:val="16"/>
              </w:rPr>
            </w:pPr>
            <w:r>
              <w:rPr>
                <w:rFonts w:ascii="Times New Roman" w:eastAsia="Times New Roman" w:hAnsi="Times New Roman" w:cs="Times New Roman"/>
                <w:sz w:val="16"/>
                <w:szCs w:val="16"/>
              </w:rPr>
              <w:t>Infección pulmonar (en la</w:t>
            </w:r>
          </w:p>
        </w:tc>
        <w:tc>
          <w:tcPr>
            <w:tcW w:w="6499" w:type="dxa"/>
            <w:shd w:val="clear" w:color="auto" w:fill="FFFFFF"/>
            <w:vAlign w:val="bottom"/>
          </w:tcPr>
          <w:p w14:paraId="52768E8E" w14:textId="77777777" w:rsidR="00924992" w:rsidRDefault="00924992">
            <w:pPr>
              <w:pStyle w:val="Other0"/>
              <w:framePr w:w="11419" w:h="5424" w:wrap="none" w:hAnchor="page" w:x="635" w:y="601"/>
              <w:spacing w:line="240" w:lineRule="auto"/>
              <w:ind w:firstLine="220"/>
              <w:rPr>
                <w:sz w:val="16"/>
                <w:szCs w:val="16"/>
              </w:rPr>
            </w:pPr>
            <w:r>
              <w:rPr>
                <w:rFonts w:ascii="Times New Roman" w:eastAsia="Times New Roman" w:hAnsi="Times New Roman" w:cs="Times New Roman"/>
                <w:sz w:val="16"/>
                <w:szCs w:val="16"/>
              </w:rPr>
              <w:t>Enfermedad grave, claritromicina, amikacina y cefoxitina con base en los datos de</w:t>
            </w:r>
          </w:p>
        </w:tc>
      </w:tr>
      <w:tr w:rsidR="00924992" w14:paraId="225FAC5F" w14:textId="77777777">
        <w:tblPrEx>
          <w:tblCellMar>
            <w:top w:w="0" w:type="dxa"/>
            <w:bottom w:w="0" w:type="dxa"/>
          </w:tblCellMar>
        </w:tblPrEx>
        <w:trPr>
          <w:trHeight w:hRule="exact" w:val="538"/>
        </w:trPr>
        <w:tc>
          <w:tcPr>
            <w:tcW w:w="2746" w:type="dxa"/>
            <w:tcBorders>
              <w:bottom w:val="single" w:sz="4" w:space="0" w:color="auto"/>
            </w:tcBorders>
            <w:shd w:val="clear" w:color="auto" w:fill="FFFFFF"/>
          </w:tcPr>
          <w:p w14:paraId="3E494E4C" w14:textId="77777777" w:rsidR="00924992" w:rsidRDefault="00924992">
            <w:pPr>
              <w:framePr w:w="11419" w:h="5424" w:wrap="none" w:hAnchor="page" w:x="635" w:y="601"/>
              <w:rPr>
                <w:sz w:val="10"/>
                <w:szCs w:val="10"/>
              </w:rPr>
            </w:pPr>
          </w:p>
        </w:tc>
        <w:tc>
          <w:tcPr>
            <w:tcW w:w="2174" w:type="dxa"/>
            <w:tcBorders>
              <w:bottom w:val="single" w:sz="4" w:space="0" w:color="auto"/>
            </w:tcBorders>
            <w:shd w:val="clear" w:color="auto" w:fill="FFFFFF"/>
          </w:tcPr>
          <w:p w14:paraId="1D4D92A0" w14:textId="77777777" w:rsidR="00924992" w:rsidRDefault="00924992">
            <w:pPr>
              <w:pStyle w:val="Other0"/>
              <w:framePr w:w="11419" w:h="5424" w:wrap="none" w:hAnchor="page" w:x="635" w:y="601"/>
              <w:spacing w:line="240" w:lineRule="auto"/>
              <w:ind w:firstLine="240"/>
              <w:rPr>
                <w:sz w:val="16"/>
                <w:szCs w:val="16"/>
              </w:rPr>
            </w:pPr>
            <w:r>
              <w:rPr>
                <w:rFonts w:ascii="Times New Roman" w:eastAsia="Times New Roman" w:hAnsi="Times New Roman" w:cs="Times New Roman"/>
                <w:sz w:val="16"/>
                <w:szCs w:val="16"/>
              </w:rPr>
              <w:t>fibrosis quística)</w:t>
            </w:r>
          </w:p>
        </w:tc>
        <w:tc>
          <w:tcPr>
            <w:tcW w:w="6499" w:type="dxa"/>
            <w:tcBorders>
              <w:bottom w:val="single" w:sz="4" w:space="0" w:color="auto"/>
            </w:tcBorders>
            <w:shd w:val="clear" w:color="auto" w:fill="FFFFFF"/>
          </w:tcPr>
          <w:p w14:paraId="43FED5DF" w14:textId="77777777" w:rsidR="00924992" w:rsidRDefault="00924992">
            <w:pPr>
              <w:pStyle w:val="Other0"/>
              <w:framePr w:w="11419" w:h="5424" w:wrap="none" w:hAnchor="page" w:x="635" w:y="601"/>
              <w:spacing w:line="283" w:lineRule="auto"/>
              <w:ind w:left="320" w:firstLine="0"/>
              <w:rPr>
                <w:sz w:val="16"/>
                <w:szCs w:val="16"/>
              </w:rPr>
            </w:pPr>
            <w:r>
              <w:rPr>
                <w:rFonts w:ascii="Times New Roman" w:eastAsia="Times New Roman" w:hAnsi="Times New Roman" w:cs="Times New Roman"/>
                <w:sz w:val="16"/>
                <w:szCs w:val="16"/>
              </w:rPr>
              <w:t>estudio de susceptibilidad; a veces se necesita ablación quirúrgica y conviene solicitar el consejo de un experto.</w:t>
            </w:r>
          </w:p>
        </w:tc>
      </w:tr>
    </w:tbl>
    <w:p w14:paraId="4B64829E" w14:textId="77777777" w:rsidR="00924992" w:rsidRDefault="00924992">
      <w:pPr>
        <w:framePr w:w="11419" w:h="5424" w:wrap="none" w:hAnchor="page" w:x="635" w:y="601"/>
        <w:spacing w:line="1" w:lineRule="exact"/>
      </w:pPr>
    </w:p>
    <w:p w14:paraId="69F3B386" w14:textId="77777777" w:rsidR="00924992" w:rsidRDefault="00924992">
      <w:pPr>
        <w:pStyle w:val="Bodytext20"/>
        <w:framePr w:w="11203" w:h="586" w:wrap="none" w:hAnchor="page" w:x="687" w:y="6111"/>
        <w:spacing w:line="233" w:lineRule="auto"/>
        <w:ind w:firstLine="180"/>
      </w:pPr>
      <w:r>
        <w:t>IV, intravenosa.</w:t>
      </w:r>
    </w:p>
    <w:p w14:paraId="453B0A80" w14:textId="77777777" w:rsidR="00924992" w:rsidRDefault="00924992">
      <w:pPr>
        <w:pStyle w:val="Bodytext20"/>
        <w:framePr w:w="11203" w:h="586" w:wrap="none" w:hAnchor="page" w:x="687" w:y="6111"/>
        <w:spacing w:line="233" w:lineRule="auto"/>
        <w:ind w:left="180" w:hanging="180"/>
        <w:jc w:val="both"/>
      </w:pPr>
      <w:r>
        <w:rPr>
          <w:vertAlign w:val="superscript"/>
        </w:rPr>
        <w:t>1</w:t>
      </w:r>
      <w:r>
        <w:t xml:space="preserve"> No debe administrarse doxiciclina en niños menores de ocho años, salvo que los beneficios de la administración sean mayores que el peligro de que aparezcan manchas en dientes (véase “Antimicrobianos y fármacos similares”, sección 4).</w:t>
      </w:r>
    </w:p>
    <w:p w14:paraId="050E9CC8" w14:textId="77777777" w:rsidR="00924992" w:rsidRDefault="00924992">
      <w:pPr>
        <w:pStyle w:val="Bodytext80"/>
        <w:framePr w:w="182" w:h="5371" w:hRule="exact" w:wrap="none" w:hAnchor="page" w:x="12375" w:y="15"/>
        <w:tabs>
          <w:tab w:val="left" w:pos="1498"/>
        </w:tabs>
        <w:textDirection w:val="tbRl"/>
      </w:pPr>
      <w:r>
        <w:rPr>
          <w:sz w:val="16"/>
          <w:szCs w:val="16"/>
        </w:rPr>
        <w:t>492</w:t>
      </w:r>
      <w:r>
        <w:rPr>
          <w:sz w:val="16"/>
          <w:szCs w:val="16"/>
        </w:rPr>
        <w:tab/>
      </w:r>
      <w:r>
        <w:t>MICOBACTERIAS NO TUBERCULOSAS, ENFERMEDADES</w:t>
      </w:r>
    </w:p>
    <w:p w14:paraId="1CA154B0" w14:textId="77777777" w:rsidR="00924992" w:rsidRDefault="00924992">
      <w:pPr>
        <w:spacing w:line="360" w:lineRule="exact"/>
      </w:pPr>
    </w:p>
    <w:p w14:paraId="743AA7F8" w14:textId="77777777" w:rsidR="00924992" w:rsidRDefault="00924992">
      <w:pPr>
        <w:spacing w:line="360" w:lineRule="exact"/>
      </w:pPr>
    </w:p>
    <w:p w14:paraId="094AD29A" w14:textId="77777777" w:rsidR="00924992" w:rsidRDefault="00924992">
      <w:pPr>
        <w:spacing w:line="360" w:lineRule="exact"/>
      </w:pPr>
    </w:p>
    <w:p w14:paraId="167E1B04" w14:textId="77777777" w:rsidR="00924992" w:rsidRDefault="00924992">
      <w:pPr>
        <w:spacing w:line="360" w:lineRule="exact"/>
      </w:pPr>
    </w:p>
    <w:p w14:paraId="7EDF1D59" w14:textId="77777777" w:rsidR="00924992" w:rsidRDefault="00924992">
      <w:pPr>
        <w:spacing w:line="360" w:lineRule="exact"/>
      </w:pPr>
    </w:p>
    <w:p w14:paraId="5075E8AD" w14:textId="77777777" w:rsidR="00924992" w:rsidRDefault="00924992">
      <w:pPr>
        <w:spacing w:line="360" w:lineRule="exact"/>
      </w:pPr>
    </w:p>
    <w:p w14:paraId="566C0CBD" w14:textId="77777777" w:rsidR="00924992" w:rsidRDefault="00924992">
      <w:pPr>
        <w:spacing w:line="360" w:lineRule="exact"/>
      </w:pPr>
    </w:p>
    <w:p w14:paraId="0A318AFA" w14:textId="77777777" w:rsidR="00924992" w:rsidRDefault="00924992">
      <w:pPr>
        <w:spacing w:line="360" w:lineRule="exact"/>
      </w:pPr>
    </w:p>
    <w:p w14:paraId="29AD43E8" w14:textId="77777777" w:rsidR="00924992" w:rsidRDefault="00924992">
      <w:pPr>
        <w:spacing w:line="360" w:lineRule="exact"/>
      </w:pPr>
    </w:p>
    <w:p w14:paraId="7712DFC3" w14:textId="77777777" w:rsidR="00924992" w:rsidRDefault="00924992">
      <w:pPr>
        <w:spacing w:line="360" w:lineRule="exact"/>
      </w:pPr>
    </w:p>
    <w:p w14:paraId="2A1F3CCB" w14:textId="77777777" w:rsidR="00924992" w:rsidRDefault="00924992">
      <w:pPr>
        <w:spacing w:line="360" w:lineRule="exact"/>
      </w:pPr>
    </w:p>
    <w:p w14:paraId="0B6C0274" w14:textId="77777777" w:rsidR="00924992" w:rsidRDefault="00924992">
      <w:pPr>
        <w:spacing w:line="360" w:lineRule="exact"/>
      </w:pPr>
    </w:p>
    <w:p w14:paraId="49A6D34A" w14:textId="77777777" w:rsidR="00924992" w:rsidRDefault="00924992">
      <w:pPr>
        <w:spacing w:line="360" w:lineRule="exact"/>
      </w:pPr>
    </w:p>
    <w:p w14:paraId="20048BBC" w14:textId="77777777" w:rsidR="00924992" w:rsidRDefault="00924992">
      <w:pPr>
        <w:spacing w:line="360" w:lineRule="exact"/>
      </w:pPr>
    </w:p>
    <w:p w14:paraId="69717A92" w14:textId="77777777" w:rsidR="00924992" w:rsidRDefault="00924992">
      <w:pPr>
        <w:spacing w:line="360" w:lineRule="exact"/>
      </w:pPr>
    </w:p>
    <w:p w14:paraId="4178139F" w14:textId="77777777" w:rsidR="00924992" w:rsidRDefault="00924992">
      <w:pPr>
        <w:spacing w:line="360" w:lineRule="exact"/>
      </w:pPr>
    </w:p>
    <w:p w14:paraId="369599C6" w14:textId="77777777" w:rsidR="00924992" w:rsidRDefault="00924992">
      <w:pPr>
        <w:spacing w:line="360" w:lineRule="exact"/>
      </w:pPr>
    </w:p>
    <w:p w14:paraId="243900B2" w14:textId="77777777" w:rsidR="00924992" w:rsidRDefault="00924992">
      <w:pPr>
        <w:spacing w:after="575" w:line="1" w:lineRule="exact"/>
      </w:pPr>
    </w:p>
    <w:p w14:paraId="39DC763F" w14:textId="77777777" w:rsidR="00924992" w:rsidRDefault="00924992">
      <w:pPr>
        <w:spacing w:line="1" w:lineRule="exact"/>
        <w:sectPr w:rsidR="00924992" w:rsidSect="00924992">
          <w:headerReference w:type="even" r:id="rId137"/>
          <w:headerReference w:type="default" r:id="rId138"/>
          <w:footerReference w:type="even" r:id="rId139"/>
          <w:footerReference w:type="default" r:id="rId140"/>
          <w:footnotePr>
            <w:numFmt w:val="chicago"/>
          </w:footnotePr>
          <w:pgSz w:w="13022" w:h="8501" w:orient="landscape"/>
          <w:pgMar w:top="490" w:right="466" w:bottom="490" w:left="634" w:header="62" w:footer="62" w:gutter="0"/>
          <w:pgNumType w:start="863"/>
          <w:cols w:space="720"/>
          <w:noEndnote/>
          <w:docGrid w:linePitch="360"/>
          <w15:footnoteColumns w:val="1"/>
        </w:sectPr>
      </w:pPr>
    </w:p>
    <w:p w14:paraId="59B11099" w14:textId="77777777" w:rsidR="00924992" w:rsidRDefault="00924992">
      <w:pPr>
        <w:pStyle w:val="BodyText"/>
        <w:ind w:firstLine="0"/>
      </w:pPr>
      <w:r>
        <w:t xml:space="preserve">imipenem, sulfametoxazol o trimetoprim-sulfametoxazol, cefoxitina sódica, ciprofloxacina, gatifloxacina, claritromicina, linezolid y doxiciclina, a los cuales suelen ser susceptibles y que se han utilizado con buenos resultados moderados. La claritromicina y por lo menos otro agente suele ser el tratamiento más indicado en caso de infecciones cutáneas (diseminadas) atribuibles a </w:t>
      </w:r>
      <w:r>
        <w:rPr>
          <w:rFonts w:ascii="Times New Roman" w:eastAsia="Times New Roman" w:hAnsi="Times New Roman" w:cs="Times New Roman"/>
          <w:i/>
          <w:iCs/>
          <w:sz w:val="16"/>
          <w:szCs w:val="16"/>
        </w:rPr>
        <w:t>M. chelonae.</w:t>
      </w:r>
      <w:r>
        <w:t xml:space="preserve"> Es importante revisar con un consultor experto en el tratamiento de infecciones por NTM los detalles en cuanto a la selección de fármacos, sus dosis y la duración de la terapia.</w:t>
      </w:r>
    </w:p>
    <w:p w14:paraId="78D6A2E2" w14:textId="77777777" w:rsidR="00924992" w:rsidRDefault="00924992">
      <w:pPr>
        <w:pStyle w:val="BodyText"/>
        <w:ind w:firstLine="360"/>
      </w:pPr>
      <w:r>
        <w:t>En niños con SIDA y otras personas inmunodeficientes con infecciones diseminadas causadas por MAC se recomienda administrar varios fármacos. La monoterapia con un antimicrobiano macrólido generalmente hace que surja resistencia a tal medicamento. Los MAC aislados por lo común son resistentes a muchos de los antifímicos aprobados, incluida la isoniazida, pero a menudo son susceptibles a claritromicina, azitromicina dihidratada, clorhidrato de etambutol, rifabutina, rifampicina, amikacina, estreptomicina y fluoroquinolonas que no han sido aprobadas en Estados Unidos para usar en personas menores de 17 años. No se ha definido el régimen óptimo. El tratamiento de la infección diseminada por MAC debe hacerse en consulta con un experto. Además, habrá que analizar las siguientes directrices terapéuticas:</w:t>
      </w:r>
    </w:p>
    <w:p w14:paraId="5D33A81E" w14:textId="77777777" w:rsidR="00924992" w:rsidRDefault="00924992">
      <w:pPr>
        <w:pStyle w:val="BodyText"/>
        <w:numPr>
          <w:ilvl w:val="0"/>
          <w:numId w:val="115"/>
        </w:numPr>
        <w:tabs>
          <w:tab w:val="left" w:pos="340"/>
        </w:tabs>
        <w:ind w:left="360" w:hanging="360"/>
      </w:pPr>
      <w:bookmarkStart w:id="162" w:name="bookmark1608"/>
      <w:bookmarkEnd w:id="162"/>
      <w:r>
        <w:t>Los datos de estudios de susceptibilidad a fármacos diferentes de los macrólidos no permiten anticipar la respuesta clínica in vivo y no deben utilizarse para orientar en el tratamiento.</w:t>
      </w:r>
    </w:p>
    <w:p w14:paraId="21C57605" w14:textId="77777777" w:rsidR="00924992" w:rsidRDefault="00924992">
      <w:pPr>
        <w:pStyle w:val="BodyText"/>
        <w:numPr>
          <w:ilvl w:val="0"/>
          <w:numId w:val="115"/>
        </w:numPr>
        <w:tabs>
          <w:tab w:val="left" w:pos="340"/>
        </w:tabs>
        <w:ind w:left="360" w:hanging="360"/>
      </w:pPr>
      <w:bookmarkStart w:id="163" w:name="bookmark1609"/>
      <w:bookmarkEnd w:id="163"/>
      <w:r>
        <w:t>Salvo que existan pruebas clínicas o de laboratorio de resistencia a macrólidos, los regímenes terapéuticos deben incluir claritromicina o azitromicina en combinación con etambutol.</w:t>
      </w:r>
    </w:p>
    <w:p w14:paraId="2F4D5F9B" w14:textId="77777777" w:rsidR="00924992" w:rsidRDefault="00924992">
      <w:pPr>
        <w:pStyle w:val="BodyText"/>
        <w:numPr>
          <w:ilvl w:val="0"/>
          <w:numId w:val="115"/>
        </w:numPr>
        <w:tabs>
          <w:tab w:val="left" w:pos="340"/>
        </w:tabs>
        <w:ind w:left="360" w:hanging="360"/>
      </w:pPr>
      <w:bookmarkStart w:id="164" w:name="bookmark1610"/>
      <w:bookmarkEnd w:id="164"/>
      <w:r>
        <w:t>Muchos clínicos han agregado un tercer agente (rifampicina, rifabutina), y en algunas situaciones, un cuarto (amikacina o estreptomicina).</w:t>
      </w:r>
    </w:p>
    <w:p w14:paraId="46598337" w14:textId="77777777" w:rsidR="00924992" w:rsidRDefault="00924992">
      <w:pPr>
        <w:pStyle w:val="BodyText"/>
        <w:numPr>
          <w:ilvl w:val="0"/>
          <w:numId w:val="115"/>
        </w:numPr>
        <w:tabs>
          <w:tab w:val="left" w:pos="340"/>
        </w:tabs>
        <w:ind w:left="360" w:hanging="360"/>
      </w:pPr>
      <w:bookmarkStart w:id="165" w:name="bookmark1611"/>
      <w:bookmarkEnd w:id="165"/>
      <w:r>
        <w:t>En general, los niños que reciben algún antirretrovírico inhibidor de proteasa no deben ser tratados con rifabutina. Sin embargo, si es necesario administrar los dos tipos de medicamentos mencionados, los inhibidores de proteasa preferidos son el sulfato de indinavir y el mesilato de nelfinavir, y habrá que disminuir a la mitad la dosis de rifabutina.</w:t>
      </w:r>
    </w:p>
    <w:p w14:paraId="730BC0E0" w14:textId="77777777" w:rsidR="00924992" w:rsidRDefault="00924992">
      <w:pPr>
        <w:pStyle w:val="BodyText"/>
        <w:numPr>
          <w:ilvl w:val="0"/>
          <w:numId w:val="115"/>
        </w:numPr>
        <w:tabs>
          <w:tab w:val="left" w:pos="340"/>
        </w:tabs>
        <w:ind w:firstLine="0"/>
      </w:pPr>
      <w:bookmarkStart w:id="166" w:name="bookmark1612"/>
      <w:bookmarkEnd w:id="166"/>
      <w:r>
        <w:t>La clofacimina no es eficaz para tratar enfermedad por MAC, y no debe administrarse.</w:t>
      </w:r>
    </w:p>
    <w:p w14:paraId="24F340CC" w14:textId="77777777" w:rsidR="00924992" w:rsidRDefault="00924992">
      <w:pPr>
        <w:pStyle w:val="BodyText"/>
        <w:numPr>
          <w:ilvl w:val="0"/>
          <w:numId w:val="115"/>
        </w:numPr>
        <w:tabs>
          <w:tab w:val="left" w:pos="340"/>
        </w:tabs>
        <w:ind w:left="360" w:hanging="360"/>
      </w:pPr>
      <w:bookmarkStart w:id="167" w:name="bookmark1613"/>
      <w:bookmarkEnd w:id="167"/>
      <w:r>
        <w:t>Es necesaria la vigilancia seriada en todo paciente sometido a tratamiento, y en este sentido privan las consideraciones siguientes:</w:t>
      </w:r>
    </w:p>
    <w:p w14:paraId="2309897C" w14:textId="77777777" w:rsidR="00924992" w:rsidRDefault="00924992">
      <w:pPr>
        <w:pStyle w:val="BodyText"/>
        <w:numPr>
          <w:ilvl w:val="0"/>
          <w:numId w:val="115"/>
        </w:numPr>
        <w:tabs>
          <w:tab w:val="left" w:pos="698"/>
        </w:tabs>
        <w:ind w:left="700" w:hanging="340"/>
      </w:pPr>
      <w:bookmarkStart w:id="168" w:name="bookmark1614"/>
      <w:bookmarkEnd w:id="168"/>
      <w:r>
        <w:t>Hay que vigilar varias veces en las primeras semanas de tratamiento las manifestaciones clínicas de infección por MAC diseminada, como fiebre, pérdida ponderal y sudores nocturnos. La respuesta microbiológica valorada por cultivos de sangre cada cuatro semanas durante la fase inicial de la terapia también puede ser útil para interpretar la eficacia de un régimen terapéutico.</w:t>
      </w:r>
    </w:p>
    <w:p w14:paraId="3FEC1670" w14:textId="77777777" w:rsidR="00924992" w:rsidRDefault="00924992">
      <w:pPr>
        <w:pStyle w:val="BodyText"/>
        <w:numPr>
          <w:ilvl w:val="0"/>
          <w:numId w:val="115"/>
        </w:numPr>
        <w:tabs>
          <w:tab w:val="left" w:pos="698"/>
        </w:tabs>
        <w:ind w:left="700" w:hanging="340"/>
      </w:pPr>
      <w:bookmarkStart w:id="169" w:name="bookmark1615"/>
      <w:bookmarkEnd w:id="169"/>
      <w:r>
        <w:t>Muchos pacientes que terminan por reaccionar muestran notable mejoría clínica en las primeras cuatro a seis semanas de tratamiento. Puede ser un poco más lenta la eliminación de los microorganismos en los cultivos de sangre, y a menudo se necesitan incluso 12 semanas.</w:t>
      </w:r>
    </w:p>
    <w:p w14:paraId="5F25AFF6" w14:textId="77777777" w:rsidR="00924992" w:rsidRDefault="00924992">
      <w:pPr>
        <w:pStyle w:val="BodyText"/>
        <w:ind w:left="700" w:hanging="340"/>
      </w:pPr>
      <w:r>
        <w:t>• Es importante observar a todo niño que reciba la combinación de claritromicina y rifabutina o rifabutina en altas dosis (con otro fármaco) en busca de leucopenia, uveítis, poliartralgias y seudoictericia vinculadas con la rifabutina.</w:t>
      </w:r>
    </w:p>
    <w:p w14:paraId="43DC5213" w14:textId="77777777" w:rsidR="00924992" w:rsidRDefault="00924992">
      <w:pPr>
        <w:pStyle w:val="BodyText"/>
        <w:spacing w:line="324" w:lineRule="auto"/>
        <w:ind w:firstLine="360"/>
      </w:pPr>
      <w:r>
        <w:rPr>
          <w:rFonts w:ascii="Arial" w:eastAsia="Arial" w:hAnsi="Arial" w:cs="Arial"/>
          <w:b/>
          <w:bCs/>
          <w:i/>
          <w:iCs/>
          <w:sz w:val="15"/>
          <w:szCs w:val="15"/>
        </w:rPr>
        <w:t>Quimioprofilaxia.</w:t>
      </w:r>
      <w:r>
        <w:t xml:space="preserve"> Según las directrices para 2002 de la </w:t>
      </w:r>
      <w:r>
        <w:rPr>
          <w:rFonts w:ascii="Times New Roman" w:eastAsia="Times New Roman" w:hAnsi="Times New Roman" w:cs="Times New Roman"/>
          <w:i/>
          <w:iCs/>
          <w:sz w:val="16"/>
          <w:szCs w:val="16"/>
        </w:rPr>
        <w:t>Public Health Service and Infectious Disease Society of America</w:t>
      </w:r>
      <w:r>
        <w:rPr>
          <w:i/>
          <w:iCs/>
        </w:rPr>
        <w:t>*</w:t>
      </w:r>
      <w:r>
        <w:t xml:space="preserve"> de Estados Unidos, con el fin de evitar el primer</w:t>
      </w:r>
    </w:p>
    <w:p w14:paraId="76457758" w14:textId="77777777" w:rsidR="00924992" w:rsidRDefault="00924992">
      <w:pPr>
        <w:pStyle w:val="BodyText"/>
        <w:ind w:firstLine="0"/>
      </w:pPr>
      <w:r>
        <w:t>episodio por MAC, habrá que analizar la posibilidad de profilaxia con azitromicina o claritromicina en niños de seis años de edad y mayores, y adolescentes y adultos infectados por VIH cuyo recuento de linfocitos T CD4+ sea menor de 50 células x 10</w:t>
      </w:r>
      <w:r>
        <w:rPr>
          <w:rFonts w:ascii="Times New Roman" w:eastAsia="Times New Roman" w:hAnsi="Times New Roman" w:cs="Times New Roman"/>
          <w:sz w:val="11"/>
          <w:szCs w:val="11"/>
        </w:rPr>
        <w:t>6</w:t>
      </w:r>
      <w:r>
        <w:t>/L (50 células/pl). Otro fármaco al que cabe recurrir es la rifabutina, pero no debe administrarse hasta después de descartar la presencia de tuberculosis activa. Se debe descartar la presencia de MAC diseminada por un cultivo negativo de sangre antes de emprender la profilaxia.</w:t>
      </w:r>
    </w:p>
    <w:p w14:paraId="62006001" w14:textId="77777777" w:rsidR="00924992" w:rsidRDefault="00924992">
      <w:pPr>
        <w:pStyle w:val="BodyText"/>
        <w:ind w:firstLine="360"/>
      </w:pPr>
      <w:r>
        <w:t>A todo niño infectado por VIH que tenga menos de 13 años se ofrecerá la posibilidad de profilaxia para evitar la primera infección por MAC, si tiene los recuentos de linfocitos T CD4+ siguientes: niños de seis años de vida o mayores, menos de 50 células x 10</w:t>
      </w:r>
      <w:r>
        <w:rPr>
          <w:rFonts w:ascii="Times New Roman" w:eastAsia="Times New Roman" w:hAnsi="Times New Roman" w:cs="Times New Roman"/>
          <w:sz w:val="11"/>
          <w:szCs w:val="11"/>
        </w:rPr>
        <w:t>6</w:t>
      </w:r>
      <w:r>
        <w:t>/L (&lt;50/pl); niños de dos a seis años de vida, menos de 75 células x 10</w:t>
      </w:r>
      <w:r>
        <w:rPr>
          <w:rFonts w:ascii="Times New Roman" w:eastAsia="Times New Roman" w:hAnsi="Times New Roman" w:cs="Times New Roman"/>
          <w:sz w:val="11"/>
          <w:szCs w:val="11"/>
        </w:rPr>
        <w:t>6</w:t>
      </w:r>
      <w:r>
        <w:t>/L (&lt;75/pl); niños de uno a dos años, menos de 500 células x 10</w:t>
      </w:r>
      <w:r>
        <w:rPr>
          <w:rFonts w:ascii="Times New Roman" w:eastAsia="Times New Roman" w:hAnsi="Times New Roman" w:cs="Times New Roman"/>
          <w:sz w:val="11"/>
          <w:szCs w:val="11"/>
        </w:rPr>
        <w:t>6</w:t>
      </w:r>
      <w:r>
        <w:t>/L (&lt;500/pl), y niños menores de 12 meses, menos de 750 células x 10</w:t>
      </w:r>
      <w:r>
        <w:rPr>
          <w:rFonts w:ascii="Times New Roman" w:eastAsia="Times New Roman" w:hAnsi="Times New Roman" w:cs="Times New Roman"/>
          <w:sz w:val="11"/>
          <w:szCs w:val="11"/>
        </w:rPr>
        <w:t>6</w:t>
      </w:r>
      <w:r>
        <w:t>/L (&lt;750/pl).</w:t>
      </w:r>
    </w:p>
    <w:p w14:paraId="436FFC13" w14:textId="77777777" w:rsidR="00924992" w:rsidRDefault="00924992">
      <w:pPr>
        <w:pStyle w:val="BodyText"/>
        <w:ind w:firstLine="360"/>
      </w:pPr>
      <w:r>
        <w:t>En Estados Unidos se cuenta con suspensiones ingeribles de claritromicina y azitromicina. No se dispone de una presentación de rifabutina para niños, pero al parecer es adecuada una dosis de 5 mg/kg de peso al día. La rifabutina se utilizará sólo en niños mayores de seis años. Los menores con el antecedente de MAC diseminada deben recibir profilaxia permanentemente para evitar recidivas.</w:t>
      </w:r>
    </w:p>
    <w:p w14:paraId="3A264C74" w14:textId="77777777" w:rsidR="00924992" w:rsidRDefault="00924992">
      <w:pPr>
        <w:pStyle w:val="BodyText"/>
        <w:spacing w:line="262" w:lineRule="auto"/>
        <w:ind w:firstLine="0"/>
      </w:pPr>
      <w:r>
        <w:rPr>
          <w:b/>
          <w:bCs/>
          <w:smallCaps/>
          <w:sz w:val="20"/>
          <w:szCs w:val="20"/>
        </w:rPr>
        <w:t>A</w:t>
      </w:r>
      <w:r>
        <w:rPr>
          <w:b/>
          <w:bCs/>
          <w:smallCaps/>
          <w:sz w:val="16"/>
          <w:szCs w:val="16"/>
        </w:rPr>
        <w:t>islamiento del paciente hospitalizado</w:t>
      </w:r>
      <w:r>
        <w:rPr>
          <w:b/>
          <w:bCs/>
          <w:smallCaps/>
          <w:sz w:val="20"/>
          <w:szCs w:val="20"/>
        </w:rPr>
        <w:t>:</w:t>
      </w:r>
      <w:r>
        <w:t xml:space="preserve"> Se recomienda seguir las precauciones estándar.</w:t>
      </w:r>
    </w:p>
    <w:p w14:paraId="6A4FD907" w14:textId="77777777" w:rsidR="00924992" w:rsidRDefault="00924992">
      <w:pPr>
        <w:pStyle w:val="BodyText"/>
        <w:spacing w:after="100"/>
        <w:ind w:firstLine="0"/>
      </w:pPr>
      <w:r>
        <w:rPr>
          <w:b/>
          <w:bCs/>
        </w:rPr>
        <w:t>M</w:t>
      </w:r>
      <w:r>
        <w:rPr>
          <w:b/>
          <w:bCs/>
          <w:sz w:val="13"/>
          <w:szCs w:val="13"/>
        </w:rPr>
        <w:t xml:space="preserve">EDIDAS </w:t>
      </w:r>
      <w:r>
        <w:rPr>
          <w:b/>
          <w:bCs/>
          <w:smallCaps/>
          <w:sz w:val="16"/>
          <w:szCs w:val="16"/>
        </w:rPr>
        <w:t>preventivas</w:t>
      </w:r>
      <w:r>
        <w:rPr>
          <w:b/>
          <w:bCs/>
          <w:smallCaps/>
          <w:sz w:val="20"/>
          <w:szCs w:val="20"/>
        </w:rPr>
        <w:t>:</w:t>
      </w:r>
      <w:r>
        <w:t xml:space="preserve"> Las medidas de esta índole incluyen quimioprofilaxia en algunos niños con infección por VIH (véase “Tratamiento”, páginas anteriores en este resumen) y el uso de equipo estéril para instrumentación en el oído medio, que incluye equipo de otoscopia para evitar la otitis media por </w:t>
      </w:r>
      <w:r>
        <w:rPr>
          <w:rFonts w:ascii="Times New Roman" w:eastAsia="Times New Roman" w:hAnsi="Times New Roman" w:cs="Times New Roman"/>
          <w:i/>
          <w:iCs/>
          <w:sz w:val="16"/>
          <w:szCs w:val="16"/>
        </w:rPr>
        <w:t>M. abscessus.</w:t>
      </w:r>
      <w:r>
        <w:t xml:space="preserve"> Los MAC son frecuentes en el entorno, como el caso de los alimentos y el agua, por lo que la información disponible no refuerza las recomendaciones específicas en cuanto a evitar exposición de personas infectadas por virus de inmunodeficiencia humana.</w:t>
      </w:r>
    </w:p>
    <w:p w14:paraId="1445C80C" w14:textId="77777777" w:rsidR="00924992" w:rsidRDefault="00924992">
      <w:pPr>
        <w:pStyle w:val="Bodytext70"/>
        <w:spacing w:after="0"/>
      </w:pPr>
      <w:r>
        <w:t>Micosis</w:t>
      </w:r>
    </w:p>
    <w:p w14:paraId="54183A6B" w14:textId="77777777" w:rsidR="00924992" w:rsidRDefault="00924992">
      <w:pPr>
        <w:pStyle w:val="BodyText"/>
        <w:spacing w:after="840"/>
        <w:ind w:firstLine="0"/>
      </w:pPr>
      <w:r>
        <w:t>Además de las micosis resumidas en la sección 3 según los agentes individuales, los lactantes y los niños pueden tener infecciones ocasionadas por hongos de aparición más bien rara. Las infecciones causadas por estos otros agentes afectan por lo general a menores con inmunosupresión u otros cuadros primarios que los predisponen a las micosis invasoras. Los niños inmunocompetentes adquieren la infección por tales hongos cuando inhalan por las vías respiratorias el germen o por inoculación directa después de la disolución traumática de las barreras cutáneas. En el cuadro 3-46 se incluye una lista de los hongos y las afecciones pertinentes primarias del hospedador, el reservorio o la vía de entrada, las manifestaciones clínicas, los métodos diagnósticos de laboratorio y el tratamiento de cada entidad. Como grupo, son escasos los datos de susceptibilidad de hongos sobre los cuales basar las recomendaciones terapéuticas contra estas infecciones, especialmente en niños. Hay que pensar en la consulta con un infectólogo pediatra cuando se atienda a un menor infectado con algunas de las micosis comentadas.</w:t>
      </w:r>
    </w:p>
    <w:p w14:paraId="4085EE57" w14:textId="77777777" w:rsidR="00924992" w:rsidRDefault="00924992">
      <w:pPr>
        <w:pStyle w:val="Bodytext20"/>
        <w:spacing w:line="266" w:lineRule="auto"/>
        <w:rPr>
          <w:sz w:val="15"/>
          <w:szCs w:val="15"/>
        </w:rPr>
        <w:sectPr w:rsidR="00924992" w:rsidSect="00924992">
          <w:headerReference w:type="even" r:id="rId141"/>
          <w:headerReference w:type="default" r:id="rId142"/>
          <w:footerReference w:type="even" r:id="rId143"/>
          <w:footerReference w:type="default" r:id="rId144"/>
          <w:headerReference w:type="first" r:id="rId145"/>
          <w:footerReference w:type="first" r:id="rId146"/>
          <w:footnotePr>
            <w:numFmt w:val="chicago"/>
          </w:footnotePr>
          <w:pgSz w:w="8501" w:h="13022"/>
          <w:pgMar w:top="925" w:right="796" w:bottom="516" w:left="817" w:header="0" w:footer="3" w:gutter="0"/>
          <w:pgNumType w:start="493"/>
          <w:cols w:space="720"/>
          <w:noEndnote/>
          <w:titlePg/>
          <w:docGrid w:linePitch="360"/>
          <w15:footnoteColumns w:val="1"/>
        </w:sectPr>
      </w:pPr>
      <w:r>
        <w:rPr>
          <w:sz w:val="15"/>
          <w:szCs w:val="15"/>
        </w:rPr>
        <w:t xml:space="preserve">* Centers for Disease Control and Prevention. Guidelines for preventing opportunistic infections among HIV-infected persons—2002. Recommendations of the US Public Health Service and the Infectious Diseases Society of America. </w:t>
      </w:r>
      <w:r>
        <w:rPr>
          <w:i/>
          <w:iCs/>
          <w:sz w:val="15"/>
          <w:szCs w:val="15"/>
        </w:rPr>
        <w:t>MMWR Recomm Rep.</w:t>
      </w:r>
      <w:r>
        <w:rPr>
          <w:sz w:val="15"/>
          <w:szCs w:val="15"/>
        </w:rPr>
        <w:t xml:space="preserve"> 2002;51(RR-8):1-46.</w:t>
      </w:r>
    </w:p>
    <w:p w14:paraId="6D1566C8" w14:textId="77777777" w:rsidR="00924992" w:rsidRDefault="00924992">
      <w:pPr>
        <w:pStyle w:val="BodyText"/>
        <w:ind w:firstLine="360"/>
      </w:pPr>
      <w:r>
        <w:t>Una vez aplicada la vacuna BCG, se observarán las precauciones y se seguirán las instrucciones de administración del fabricante. Se puede aplicar la vacuna BCG a pequeños sanos desde el nacimiento hasta los dos meses de vida sin necesidad de que se haga TST, salvo que se sospeche infección congénita; después, la vacuna se aplicará sólo a niños con un resultado negativo de prueba cutánea con tuberculina.</w:t>
      </w:r>
    </w:p>
    <w:p w14:paraId="6914E510" w14:textId="77777777" w:rsidR="00924992" w:rsidRDefault="00924992">
      <w:pPr>
        <w:pStyle w:val="BodyText"/>
        <w:spacing w:line="276" w:lineRule="auto"/>
        <w:ind w:firstLine="360"/>
      </w:pPr>
      <w:r>
        <w:rPr>
          <w:rFonts w:ascii="Times New Roman" w:eastAsia="Times New Roman" w:hAnsi="Times New Roman" w:cs="Times New Roman"/>
          <w:b/>
          <w:bCs/>
          <w:i/>
          <w:iCs/>
          <w:sz w:val="16"/>
          <w:szCs w:val="16"/>
        </w:rPr>
        <w:t>Reacciones adversas.</w:t>
      </w:r>
      <w:r>
        <w:t xml:space="preserve"> Muy pocas veces (1 a 2% de las vacunaciones) la aplicación de la vacuna BCG origina reacciones adversas locales, como un absceso subcutáneo y linfadenopatía regional, aunque por lo común no son graves. Años después de la aplicación de la vacuna surge a veces una complicación rara que es la osteítis de las epífisis de huesos largos. Sólo en raras ocasiones aparece la infección letal diseminada (en promedio dos casos por un millón de personas), más bien en individuos con inmunodeficiencia profunda. Se recomiendan los fármacos antituberculosos para combatir la osteítis y la enfermedad diseminada causada por la vacuna. Se piensa que la pirazinamida no es eficaz contra dicha vacuna y no debe ser incluida en los regímenes terapéuticos. Muchos expertos no recomiendan tratar las lesiones cutáneas húmedas o la linfadenitis supurada crónica causada por la vacuna BCG, porque en la mayor parte de los casos se resuelve de manera espontánea. Todo niño con complicaciones causadas por la vacuna debe ser enviado para tratamiento, de ser posible con un experto en tuberculosis.</w:t>
      </w:r>
    </w:p>
    <w:p w14:paraId="61A491EB" w14:textId="77777777" w:rsidR="00924992" w:rsidRDefault="00924992">
      <w:pPr>
        <w:pStyle w:val="BodyText"/>
        <w:spacing w:line="276" w:lineRule="auto"/>
        <w:ind w:firstLine="360"/>
      </w:pPr>
      <w:r>
        <w:rPr>
          <w:rFonts w:ascii="Times New Roman" w:eastAsia="Times New Roman" w:hAnsi="Times New Roman" w:cs="Times New Roman"/>
          <w:b/>
          <w:bCs/>
          <w:i/>
          <w:iCs/>
          <w:sz w:val="16"/>
          <w:szCs w:val="16"/>
        </w:rPr>
        <w:t>Contraindicaciones.</w:t>
      </w:r>
      <w:r>
        <w:t xml:space="preserve"> Es mejor no aplicar la vacuna BCG en personas con quemaduras, infecciones de la piel, inmunodeficiencia primaria o secundaria, incluida la infección por VIH. En poblaciones de diversas zonas en que es grande el peligro de LTBI y enfermedad tuberculosa, la Organización Mundial de la Salud recomienda aplicar la vacuna BCG en niños asintomáticas infectados por VIH. El uso de dicha vacuna está contraindicado entre quienes reciben fármacos inmunosupresores, incluidos los corticosteroides en altas dosis (véase “Corticosteroides”, páginas anteriores en este resumen). No se han detectado efectos adversos de la vacuna BCG en el feto, pero no se recomienda aplicarla a una embarazada.</w:t>
      </w:r>
    </w:p>
    <w:p w14:paraId="017ECEEC" w14:textId="77777777" w:rsidR="00924992" w:rsidRDefault="00924992">
      <w:pPr>
        <w:pStyle w:val="BodyText"/>
        <w:spacing w:after="100" w:line="276" w:lineRule="auto"/>
        <w:ind w:firstLine="360"/>
      </w:pPr>
      <w:r>
        <w:rPr>
          <w:rFonts w:ascii="Arial" w:eastAsia="Arial" w:hAnsi="Arial" w:cs="Arial"/>
          <w:b/>
          <w:bCs/>
          <w:i/>
          <w:iCs/>
          <w:sz w:val="15"/>
          <w:szCs w:val="15"/>
        </w:rPr>
        <w:t>Notificación de casos.</w:t>
      </w:r>
      <w:r>
        <w:t xml:space="preserve"> Las leyes de todos los estados obligan a la notificación de casos sospechados o confirmados de enfermedad tuberculosa. La infección tuberculosa o la enfermedad diagnosticada en un niño constituye un hecho “centinela” que representa transmisión reciente de </w:t>
      </w:r>
      <w:r>
        <w:rPr>
          <w:rFonts w:ascii="Times New Roman" w:eastAsia="Times New Roman" w:hAnsi="Times New Roman" w:cs="Times New Roman"/>
          <w:i/>
          <w:iCs/>
          <w:sz w:val="16"/>
          <w:szCs w:val="16"/>
        </w:rPr>
        <w:t>M. tuberculosis</w:t>
      </w:r>
      <w:r>
        <w:t xml:space="preserve"> en la comunidad. Los médicos deben auxiliar en la búsqueda del caso primario y otros infectados por él. Pueden ser casos primarios los miembros del círculo familiar, como parientes, cuidadores, pensionistas, trabajadores domésticos y visitantes frecuentes u otros adultos, como quienes cuidan del niño y maestros con quienes tiene él contacto frecuente.</w:t>
      </w:r>
    </w:p>
    <w:p w14:paraId="78D4F272" w14:textId="77777777" w:rsidR="00924992" w:rsidRDefault="00924992">
      <w:pPr>
        <w:pStyle w:val="Bodytext70"/>
        <w:spacing w:after="0"/>
      </w:pPr>
      <w:r>
        <w:t>Tularemia</w:t>
      </w:r>
    </w:p>
    <w:p w14:paraId="1C6600E5" w14:textId="77777777" w:rsidR="00924992" w:rsidRDefault="00924992">
      <w:pPr>
        <w:pStyle w:val="BodyText"/>
        <w:ind w:firstLine="0"/>
      </w:pPr>
      <w:r>
        <w:rPr>
          <w:b/>
          <w:bCs/>
        </w:rPr>
        <w:t>M</w:t>
      </w:r>
      <w:r>
        <w:rPr>
          <w:b/>
          <w:bCs/>
          <w:sz w:val="13"/>
          <w:szCs w:val="13"/>
        </w:rPr>
        <w:t>ANIFESTACIONES CLÍNICAS</w:t>
      </w:r>
      <w:r>
        <w:rPr>
          <w:b/>
          <w:bCs/>
        </w:rPr>
        <w:t xml:space="preserve">: </w:t>
      </w:r>
      <w:r>
        <w:t xml:space="preserve">Casi todos los pacientes con tularemia muestran comienzo repentino de fiebre, escalofríos, mialgias y cefalea. El cuadro clínico por lo común corresponde a alguno de los síndromes tularémicos. Uno de los más comunes es el ulceroglandular, que se caracteriza por una lesión maculopapular dolorosa en el punto de penetración de las bacterias con úlceras ulteriores y cicatrización lenta que se acompaña de ganglios linfáticos regionales con inflamación aguda y dolorosos que pueden mostrar drenaje espontáneo. También es frecuente el síndrome glandular o ganglionar (linfadenopatía regional sin úlcera). Entre los síndromes menos frecuentes están el oculoglandular (conjuntivitis intensa y linfadenopatía preauricular), el bucofaríngeo (estomatitis exudativa intensa, faringitis o amigdalitis y linfadenopatía cervical), el tifoídico (fiebre alta, hepatomegalia y esplenomegalia), el intestinal (dolor intestinal, vómitos y diarrea) y el neumónico (enfermedad pleuropulmonar primaria). </w:t>
      </w:r>
      <w:r>
        <w:rPr>
          <w:b/>
          <w:bCs/>
        </w:rPr>
        <w:t>C</w:t>
      </w:r>
      <w:r>
        <w:rPr>
          <w:b/>
          <w:bCs/>
          <w:sz w:val="13"/>
          <w:szCs w:val="13"/>
        </w:rPr>
        <w:t>AUSAS</w:t>
      </w:r>
      <w:r>
        <w:rPr>
          <w:b/>
          <w:bCs/>
        </w:rPr>
        <w:t xml:space="preserve">: </w:t>
      </w:r>
      <w:r>
        <w:rPr>
          <w:rFonts w:ascii="Times New Roman" w:eastAsia="Times New Roman" w:hAnsi="Times New Roman" w:cs="Times New Roman"/>
          <w:i/>
          <w:iCs/>
          <w:sz w:val="16"/>
          <w:szCs w:val="16"/>
        </w:rPr>
        <w:t>Francisella tularensis</w:t>
      </w:r>
      <w:r>
        <w:rPr>
          <w:i/>
          <w:iCs/>
        </w:rPr>
        <w:t>,</w:t>
      </w:r>
      <w:r>
        <w:t xml:space="preserve"> el agente causal, es un cocobacilo pleomórfico gramnegativo. </w:t>
      </w:r>
      <w:r>
        <w:rPr>
          <w:b/>
          <w:bCs/>
        </w:rPr>
        <w:t>A</w:t>
      </w:r>
      <w:r>
        <w:rPr>
          <w:b/>
          <w:bCs/>
          <w:sz w:val="13"/>
          <w:szCs w:val="13"/>
        </w:rPr>
        <w:t>SPECTOS EPIDEMIOLÓGICOS</w:t>
      </w:r>
      <w:r>
        <w:t xml:space="preserve">: Los organismos que albergan el germen patógeno incluyen en promedio 100 especies de mamíferos salvajes (conejos, liebres, ratas almizcleras y ratones de campo); por lo menos nueve especies de animales domésticos (como ovejas, reses y gatos); artrópodos hematófagos que se alimentan de tales animales (como garrapatas, moscas del ciervo y mosquitos) y agua y tierra contaminados por animales infectados. En Estados Unidos, las garrapatas y los conejos constituyen los puntos de origen principales de infecciones de seres humanos. Los animales y los artrópodos infectados, y en particular las garrapatas, son infectantes por largo tiempo; los conejos congelados pueden seguir siendo infectantes por más de tres años. Las personas más expuestas a peligro de contraer tularemia son las que tienen exposición ocupacional o por recreo a animales infectados o sus hábitat, como quienes cazan y atrapan conejos, personas expuestas a algunas garrapatas o insectos picadores y técnicos de laboratorio que trabajan con </w:t>
      </w:r>
      <w:r>
        <w:rPr>
          <w:rFonts w:ascii="Times New Roman" w:eastAsia="Times New Roman" w:hAnsi="Times New Roman" w:cs="Times New Roman"/>
          <w:i/>
          <w:iCs/>
          <w:sz w:val="16"/>
          <w:szCs w:val="16"/>
        </w:rPr>
        <w:t>F tularensis</w:t>
      </w:r>
      <w:r>
        <w:t xml:space="preserve"> que es muy infectante, especialmente en aerosol. En Estados Unidos las garrapatas constituyen los artrópodos vectores más importantes y casi todos los casos aparecen en los meses cálidos del verano. La infección también se transmite por contacto directo con animales infectados, ingestión de agua contaminada o carne mal cocida o inhalación de los microorganismos o partículas contaminadas, por aerosol. No se observa transmisión directa de una persona a otra. Los microorganismos por lo común están en la sangre en las primeras dos semanas de la enfermedad e incluso un mes en lesiones cutáneas si no se administra tratamiento.</w:t>
      </w:r>
    </w:p>
    <w:p w14:paraId="103D0B6A" w14:textId="77777777" w:rsidR="00924992" w:rsidRDefault="00924992">
      <w:pPr>
        <w:pStyle w:val="BodyText"/>
        <w:spacing w:line="276" w:lineRule="auto"/>
        <w:ind w:firstLine="360"/>
        <w:sectPr w:rsidR="00924992" w:rsidSect="00924992">
          <w:headerReference w:type="even" r:id="rId147"/>
          <w:headerReference w:type="default" r:id="rId148"/>
          <w:footerReference w:type="even" r:id="rId149"/>
          <w:footerReference w:type="default" r:id="rId150"/>
          <w:headerReference w:type="first" r:id="rId151"/>
          <w:footerReference w:type="first" r:id="rId152"/>
          <w:footnotePr>
            <w:numFmt w:val="chicago"/>
          </w:footnotePr>
          <w:pgSz w:w="8501" w:h="13022"/>
          <w:pgMar w:top="925" w:right="796" w:bottom="516" w:left="817" w:header="0" w:footer="3" w:gutter="0"/>
          <w:pgNumType w:start="866"/>
          <w:cols w:space="720"/>
          <w:noEndnote/>
          <w:titlePg/>
          <w:docGrid w:linePitch="360"/>
          <w15:footnoteColumns w:val="1"/>
        </w:sectPr>
      </w:pPr>
      <w:r>
        <w:t xml:space="preserve">El </w:t>
      </w:r>
      <w:r>
        <w:rPr>
          <w:b/>
          <w:bCs/>
        </w:rPr>
        <w:t xml:space="preserve">periodo de incubación </w:t>
      </w:r>
      <w:r>
        <w:t xml:space="preserve">suele ser de tres a cinco días con límites de uno a 21 días. </w:t>
      </w:r>
      <w:r>
        <w:rPr>
          <w:b/>
          <w:bCs/>
        </w:rPr>
        <w:t>M</w:t>
      </w:r>
      <w:r>
        <w:rPr>
          <w:b/>
          <w:bCs/>
          <w:sz w:val="13"/>
          <w:szCs w:val="13"/>
        </w:rPr>
        <w:t>ÉTODOS DIAGNÓSTICOS</w:t>
      </w:r>
      <w:r>
        <w:rPr>
          <w:b/>
          <w:bCs/>
        </w:rPr>
        <w:t xml:space="preserve">: </w:t>
      </w:r>
      <w:r>
        <w:t xml:space="preserve">El diagnóstico se confirma muy a menudo por medio de métodos serológicos. El título único de anticuerpos séricos de </w:t>
      </w:r>
      <w:r>
        <w:rPr>
          <w:rFonts w:ascii="Arial" w:eastAsia="Arial" w:hAnsi="Arial" w:cs="Arial"/>
        </w:rPr>
        <w:t>&gt;</w:t>
      </w:r>
      <w:r>
        <w:t xml:space="preserve">1:128 determinado por técnicas de microaglutinación (MA) o </w:t>
      </w:r>
      <w:r>
        <w:rPr>
          <w:rFonts w:ascii="Arial" w:eastAsia="Arial" w:hAnsi="Arial" w:cs="Arial"/>
        </w:rPr>
        <w:t>&gt;</w:t>
      </w:r>
      <w:r>
        <w:t xml:space="preserve">1:160 por aglutinación en tubo </w:t>
      </w:r>
      <w:r>
        <w:rPr>
          <w:i/>
          <w:iCs/>
        </w:rPr>
        <w:t>(</w:t>
      </w:r>
      <w:r>
        <w:rPr>
          <w:rFonts w:ascii="Times New Roman" w:eastAsia="Times New Roman" w:hAnsi="Times New Roman" w:cs="Times New Roman"/>
          <w:i/>
          <w:iCs/>
          <w:sz w:val="16"/>
          <w:szCs w:val="16"/>
        </w:rPr>
        <w:t>tube agglutination</w:t>
      </w:r>
      <w:r>
        <w:rPr>
          <w:i/>
          <w:iCs/>
        </w:rPr>
        <w:t>,</w:t>
      </w:r>
      <w:r>
        <w:t xml:space="preserve"> TA) es congruente con infección reciente o pasada y constituye diagnóstico provisional. La confirmación por métodos serológicos obliga a que haya un cambio de títulos de cuatro tantos o mayor entre dos sueros obtenidos con una diferencia mínima de dos semanas, y una de las muestras tenga un título mínimo de </w:t>
      </w:r>
      <w:r>
        <w:rPr>
          <w:rFonts w:ascii="Arial" w:eastAsia="Arial" w:hAnsi="Arial" w:cs="Arial"/>
        </w:rPr>
        <w:t>&gt;</w:t>
      </w:r>
      <w:r>
        <w:t xml:space="preserve">1:128 (MA) o </w:t>
      </w:r>
      <w:r>
        <w:rPr>
          <w:rFonts w:ascii="Arial" w:eastAsia="Arial" w:hAnsi="Arial" w:cs="Arial"/>
        </w:rPr>
        <w:t>&gt;</w:t>
      </w:r>
      <w:r>
        <w:t xml:space="preserve">1:160 (TA). Los datos de las pruebas de aglutinación en laminillas son menos fiables que los estudios TA. Surgen a veces reacciones cruzadas inespecíficas con muestras que contienen anticuerpos heterófilos o anticuerpos contra especies de </w:t>
      </w:r>
      <w:r>
        <w:rPr>
          <w:rFonts w:ascii="Times New Roman" w:eastAsia="Times New Roman" w:hAnsi="Times New Roman" w:cs="Times New Roman"/>
          <w:i/>
          <w:iCs/>
          <w:sz w:val="16"/>
          <w:szCs w:val="16"/>
        </w:rPr>
        <w:t>Brucella</w:t>
      </w:r>
      <w:r>
        <w:rPr>
          <w:i/>
          <w:iCs/>
        </w:rPr>
        <w:t xml:space="preserve">, </w:t>
      </w:r>
      <w:r>
        <w:rPr>
          <w:rFonts w:ascii="Times New Roman" w:eastAsia="Times New Roman" w:hAnsi="Times New Roman" w:cs="Times New Roman"/>
          <w:i/>
          <w:iCs/>
          <w:sz w:val="16"/>
          <w:szCs w:val="16"/>
        </w:rPr>
        <w:t>Legionella</w:t>
      </w:r>
      <w:r>
        <w:t xml:space="preserve"> u otras bacterias gramnegativas. Sin embargo, las reacciones cruzadas rara vez ocasionan títulos en MA o TA que confirmen el diagnóstico. Casi todos los laboratorios clínicos identifican provisionalmente </w:t>
      </w:r>
      <w:r>
        <w:rPr>
          <w:rFonts w:ascii="Times New Roman" w:eastAsia="Times New Roman" w:hAnsi="Times New Roman" w:cs="Times New Roman"/>
          <w:i/>
          <w:iCs/>
          <w:sz w:val="16"/>
          <w:szCs w:val="16"/>
        </w:rPr>
        <w:t>F. tularensis</w:t>
      </w:r>
      <w:r>
        <w:t xml:space="preserve"> en exudados de úlceras o material aspirado, por las técnicas de anticuerpos por fluorescencia directa o reacción en cadena de polimerasa. La supuesta o sospechada proliferación en los cultivos se puede identificar en forma provisional por medio de anticuerpos fluorescentes directos, reacción en cadena de polimerasa o métodos de aglutinación rápida en laminillas. Se logra mejor el aislamiento de </w:t>
      </w:r>
      <w:r>
        <w:rPr>
          <w:rFonts w:ascii="Times New Roman" w:eastAsia="Times New Roman" w:hAnsi="Times New Roman" w:cs="Times New Roman"/>
          <w:i/>
          <w:iCs/>
          <w:sz w:val="16"/>
          <w:szCs w:val="16"/>
        </w:rPr>
        <w:t>F. tularensis</w:t>
      </w:r>
      <w:r>
        <w:t xml:space="preserve"> de muestras de sangre, piel, úlceras, drenaje de ganglios linfáticos, material de lavado estomacal o secreciones de vías respiratorias si la inoculación se realiza en medios enriquecidos con cisteína. La tinción inmunohistoquímica es específica para detectar </w:t>
      </w:r>
      <w:r>
        <w:rPr>
          <w:rFonts w:ascii="Times New Roman" w:eastAsia="Times New Roman" w:hAnsi="Times New Roman" w:cs="Times New Roman"/>
          <w:i/>
          <w:iCs/>
          <w:sz w:val="16"/>
          <w:szCs w:val="16"/>
        </w:rPr>
        <w:t xml:space="preserve">F. tularensis </w:t>
      </w:r>
      <w:r>
        <w:t xml:space="preserve">en tejidos fijos; sin embargo, no se le practica en casi ningún laboratorio clínico. El personal de laboratorio, ante su propensión a adquirir infecciones en su sitio de trabajo, debe recibir la voz de alerta ante cualquier sospecha de </w:t>
      </w:r>
      <w:r>
        <w:rPr>
          <w:rFonts w:ascii="Times New Roman" w:eastAsia="Times New Roman" w:hAnsi="Times New Roman" w:cs="Times New Roman"/>
          <w:i/>
          <w:iCs/>
          <w:sz w:val="16"/>
          <w:szCs w:val="16"/>
        </w:rPr>
        <w:t>F. tularensis</w:t>
      </w:r>
      <w:r>
        <w:t>.</w:t>
      </w:r>
    </w:p>
    <w:p w14:paraId="10EB9A28" w14:textId="77777777" w:rsidR="00924992" w:rsidRDefault="00924992">
      <w:pPr>
        <w:pStyle w:val="BodyText"/>
        <w:ind w:firstLine="0"/>
      </w:pPr>
      <w:r>
        <w:rPr>
          <w:b/>
          <w:bCs/>
        </w:rPr>
        <w:t>T</w:t>
      </w:r>
      <w:r>
        <w:rPr>
          <w:b/>
          <w:bCs/>
          <w:sz w:val="13"/>
          <w:szCs w:val="13"/>
        </w:rPr>
        <w:t>RATAMIENTO</w:t>
      </w:r>
      <w:r>
        <w:rPr>
          <w:b/>
          <w:bCs/>
        </w:rPr>
        <w:t xml:space="preserve">: </w:t>
      </w:r>
      <w:r>
        <w:t>Los fármacos recomendados para combatir la tularemia son los sulfatos de estreptomicina, gentamicina o amikacina. El tratamiento por lo común dura 10 días. Se necesita un ciclo más largo si la enfermedad es más intensa. Otros medicamentos incluyen imipenem-cilastatina, doxiciclina (que no debe administrarse a niños menores de ocho años, salvo que los beneficios de hacerlo sean mayores que los riesgos [véase “Antimicrobianos y fármacos similares”, sección 4]); ciprofloxacina (que no ha sido aprobada para usar en pacientes menores de 18 años), y cloranfenicol. Los fármacos mencionados originan una respuesta clínica rápida, pero se ha informado de recidivas de la enfermedad después de administrar tetraciclinas.</w:t>
      </w:r>
    </w:p>
    <w:p w14:paraId="3985B04C" w14:textId="77777777" w:rsidR="00924992" w:rsidRDefault="00924992">
      <w:pPr>
        <w:pStyle w:val="BodyText"/>
        <w:spacing w:line="262" w:lineRule="auto"/>
        <w:ind w:firstLine="0"/>
      </w:pPr>
      <w:r>
        <w:rPr>
          <w:b/>
          <w:bCs/>
          <w:smallCaps/>
          <w:sz w:val="20"/>
          <w:szCs w:val="20"/>
        </w:rPr>
        <w:t>A</w:t>
      </w:r>
      <w:r>
        <w:rPr>
          <w:b/>
          <w:bCs/>
          <w:smallCaps/>
          <w:sz w:val="16"/>
          <w:szCs w:val="16"/>
        </w:rPr>
        <w:t>islamiento del paciente hospitalizado</w:t>
      </w:r>
      <w:r>
        <w:rPr>
          <w:b/>
          <w:bCs/>
          <w:smallCaps/>
          <w:sz w:val="20"/>
          <w:szCs w:val="20"/>
        </w:rPr>
        <w:t>:</w:t>
      </w:r>
      <w:r>
        <w:t xml:space="preserve"> Se recomienda seguir precauciones estándar.</w:t>
      </w:r>
    </w:p>
    <w:p w14:paraId="58C91D30" w14:textId="77777777" w:rsidR="00924992" w:rsidRDefault="00924992">
      <w:pPr>
        <w:pStyle w:val="Other0"/>
        <w:spacing w:line="257" w:lineRule="auto"/>
        <w:ind w:firstLine="0"/>
        <w:rPr>
          <w:sz w:val="20"/>
          <w:szCs w:val="20"/>
        </w:rPr>
      </w:pPr>
      <w:r>
        <w:rPr>
          <w:b/>
          <w:bCs/>
          <w:smallCaps/>
          <w:sz w:val="20"/>
          <w:szCs w:val="20"/>
        </w:rPr>
        <w:t>M</w:t>
      </w:r>
      <w:r>
        <w:rPr>
          <w:b/>
          <w:bCs/>
          <w:smallCaps/>
          <w:sz w:val="16"/>
          <w:szCs w:val="16"/>
        </w:rPr>
        <w:t>edidas preventivas</w:t>
      </w:r>
      <w:r>
        <w:rPr>
          <w:b/>
          <w:bCs/>
          <w:smallCaps/>
          <w:sz w:val="20"/>
          <w:szCs w:val="20"/>
        </w:rPr>
        <w:t>:</w:t>
      </w:r>
    </w:p>
    <w:p w14:paraId="3671A284" w14:textId="77777777" w:rsidR="00924992" w:rsidRDefault="00924992">
      <w:pPr>
        <w:pStyle w:val="BodyText"/>
        <w:numPr>
          <w:ilvl w:val="0"/>
          <w:numId w:val="121"/>
        </w:numPr>
        <w:tabs>
          <w:tab w:val="left" w:pos="341"/>
        </w:tabs>
        <w:ind w:left="360" w:hanging="360"/>
      </w:pPr>
      <w:bookmarkStart w:id="170" w:name="bookmark1616"/>
      <w:bookmarkEnd w:id="170"/>
      <w:r>
        <w:t>Las personas deben proteger su cuerpo contra picaduras de artrópodos, con ropas protectoras, revisión frecuente y eliminación de garrapatas de la piel y el cuero cabelludo y uso de repelentes de insectos (véase “Prevención de infecciones transmitidas por garrapatas”, sección 2).</w:t>
      </w:r>
    </w:p>
    <w:p w14:paraId="407460E5" w14:textId="77777777" w:rsidR="00924992" w:rsidRDefault="00924992">
      <w:pPr>
        <w:pStyle w:val="BodyText"/>
        <w:numPr>
          <w:ilvl w:val="0"/>
          <w:numId w:val="121"/>
        </w:numPr>
        <w:tabs>
          <w:tab w:val="left" w:pos="341"/>
        </w:tabs>
        <w:ind w:firstLine="0"/>
      </w:pPr>
      <w:bookmarkStart w:id="171" w:name="bookmark1617"/>
      <w:bookmarkEnd w:id="171"/>
      <w:r>
        <w:t>Se orientará a los niños para que no manipulen animales enfermos o muertos.</w:t>
      </w:r>
    </w:p>
    <w:p w14:paraId="4BB5FAD8" w14:textId="77777777" w:rsidR="00924992" w:rsidRDefault="00924992">
      <w:pPr>
        <w:pStyle w:val="BodyText"/>
        <w:numPr>
          <w:ilvl w:val="0"/>
          <w:numId w:val="121"/>
        </w:numPr>
        <w:tabs>
          <w:tab w:val="left" w:pos="341"/>
        </w:tabs>
        <w:ind w:left="360" w:hanging="360"/>
      </w:pPr>
      <w:bookmarkStart w:id="172" w:name="bookmark1618"/>
      <w:bookmarkEnd w:id="172"/>
      <w:r>
        <w:t>Los cazadores, tramperos y preparadores de alimentos deben utilizar guantes de caucho cuando manejen los conejos salvajes abiertos en canal u otros animales que pudieran estar infectados.</w:t>
      </w:r>
    </w:p>
    <w:p w14:paraId="1F651F84" w14:textId="77777777" w:rsidR="00924992" w:rsidRDefault="00924992">
      <w:pPr>
        <w:pStyle w:val="BodyText"/>
        <w:numPr>
          <w:ilvl w:val="0"/>
          <w:numId w:val="121"/>
        </w:numPr>
        <w:tabs>
          <w:tab w:val="left" w:pos="341"/>
        </w:tabs>
        <w:ind w:firstLine="0"/>
      </w:pPr>
      <w:bookmarkStart w:id="173" w:name="bookmark1619"/>
      <w:bookmarkEnd w:id="173"/>
      <w:r>
        <w:t>Es importante cocinar perfectamente la carne de animales de caza.</w:t>
      </w:r>
    </w:p>
    <w:p w14:paraId="0576C5C7" w14:textId="77777777" w:rsidR="00924992" w:rsidRDefault="00924992">
      <w:pPr>
        <w:pStyle w:val="BodyText"/>
        <w:numPr>
          <w:ilvl w:val="0"/>
          <w:numId w:val="121"/>
        </w:numPr>
        <w:tabs>
          <w:tab w:val="left" w:pos="341"/>
        </w:tabs>
        <w:ind w:left="360" w:hanging="360"/>
      </w:pPr>
      <w:bookmarkStart w:id="174" w:name="bookmark1620"/>
      <w:bookmarkEnd w:id="174"/>
      <w:r>
        <w:t>Las personas que trabajan con cultivos o material infectante en el laboratorio usarán mascarillas y guantes de caucho, y las labores se realizarán en un gabinete de seguridad biológica.</w:t>
      </w:r>
    </w:p>
    <w:p w14:paraId="388E06F6" w14:textId="77777777" w:rsidR="00924992" w:rsidRDefault="00924992">
      <w:pPr>
        <w:pStyle w:val="BodyText"/>
        <w:numPr>
          <w:ilvl w:val="0"/>
          <w:numId w:val="121"/>
        </w:numPr>
        <w:tabs>
          <w:tab w:val="left" w:pos="341"/>
        </w:tabs>
        <w:spacing w:after="100"/>
        <w:ind w:firstLine="0"/>
      </w:pPr>
      <w:bookmarkStart w:id="175" w:name="bookmark1621"/>
      <w:bookmarkEnd w:id="175"/>
      <w:r>
        <w:t>Para manejar materiales clínicos se seguirán las precauciones estándar.</w:t>
      </w:r>
    </w:p>
    <w:p w14:paraId="3BADD087" w14:textId="77777777" w:rsidR="00924992" w:rsidRDefault="00924992">
      <w:pPr>
        <w:pStyle w:val="Bodytext70"/>
        <w:spacing w:after="0"/>
      </w:pPr>
      <w:r>
        <w:t>Uncinariasis (anquilostomiasis)</w:t>
      </w:r>
    </w:p>
    <w:p w14:paraId="1625979F" w14:textId="77777777" w:rsidR="00924992" w:rsidRDefault="00924992">
      <w:pPr>
        <w:pStyle w:val="Bodytext80"/>
        <w:rPr>
          <w:sz w:val="15"/>
          <w:szCs w:val="15"/>
        </w:rPr>
      </w:pPr>
      <w:r>
        <w:rPr>
          <w:b/>
          <w:bCs/>
          <w:i/>
          <w:iCs/>
          <w:sz w:val="15"/>
          <w:szCs w:val="15"/>
        </w:rPr>
        <w:t>(Ancylostoma duodenale</w:t>
      </w:r>
      <w:r>
        <w:rPr>
          <w:b/>
          <w:bCs/>
          <w:w w:val="70"/>
          <w:sz w:val="20"/>
          <w:szCs w:val="20"/>
        </w:rPr>
        <w:t xml:space="preserve"> y </w:t>
      </w:r>
      <w:r>
        <w:rPr>
          <w:b/>
          <w:bCs/>
          <w:i/>
          <w:iCs/>
          <w:sz w:val="15"/>
          <w:szCs w:val="15"/>
        </w:rPr>
        <w:t>Necator americanos)</w:t>
      </w:r>
    </w:p>
    <w:p w14:paraId="3B367AAA" w14:textId="77777777" w:rsidR="00924992" w:rsidRDefault="00924992">
      <w:pPr>
        <w:pStyle w:val="BodyText"/>
        <w:spacing w:line="276" w:lineRule="auto"/>
        <w:ind w:firstLine="0"/>
      </w:pPr>
      <w:r>
        <w:rPr>
          <w:b/>
          <w:bCs/>
        </w:rPr>
        <w:t>M</w:t>
      </w:r>
      <w:r>
        <w:rPr>
          <w:b/>
          <w:bCs/>
          <w:sz w:val="13"/>
          <w:szCs w:val="13"/>
        </w:rPr>
        <w:t>ANIFESTACIONES CLÍNICAS</w:t>
      </w:r>
      <w:r>
        <w:rPr>
          <w:b/>
          <w:bCs/>
        </w:rPr>
        <w:t xml:space="preserve">: </w:t>
      </w:r>
      <w:r>
        <w:t xml:space="preserve">Las personas con infestación por los dos agentes patógenos mencionados muy a menudo están asintomáticas; sin embargo, la infestación crónica por ellos es una causa común de anemia microcítica hipocrómica en personas que viven en países tropicales en desarrollo, y la infestación intensa origina hipoproteinemia con edema. Después de contacto con tierra contaminada, la penetración inicial de la piel de las larvas por lo común incluye los pies y origina una sensación punzante o ardorosa seguida de prurito y una zona papulovesicular que puede persistir una a dos semanas. Pocas veces hay neumonitis causada por las larvas migrantes y suele ser leve, excepto en infestaciones intensas. La enfermedad después de ingerir larvas infectantes de </w:t>
      </w:r>
      <w:r>
        <w:rPr>
          <w:rFonts w:ascii="Times New Roman" w:eastAsia="Times New Roman" w:hAnsi="Times New Roman" w:cs="Times New Roman"/>
          <w:i/>
          <w:iCs/>
          <w:sz w:val="16"/>
          <w:szCs w:val="16"/>
        </w:rPr>
        <w:t>Ancylostoma duodenale</w:t>
      </w:r>
      <w:r>
        <w:t xml:space="preserve"> se manifiesta por prurito faríngeo, ronquera, náuseas y vómito poco después de ingerir alimentos. Cuatro a seis semanas después de la exposición surgen dolor abdominal cólico, náuseas, diarrea, o ambas, y notable eosinofilia. </w:t>
      </w:r>
      <w:r>
        <w:rPr>
          <w:b/>
          <w:bCs/>
        </w:rPr>
        <w:t>C</w:t>
      </w:r>
      <w:r>
        <w:rPr>
          <w:b/>
          <w:bCs/>
          <w:sz w:val="13"/>
          <w:szCs w:val="13"/>
        </w:rPr>
        <w:t>AUSAS</w:t>
      </w:r>
      <w:r>
        <w:rPr>
          <w:b/>
          <w:bCs/>
        </w:rPr>
        <w:t xml:space="preserve">: </w:t>
      </w:r>
      <w:r>
        <w:t xml:space="preserve">La infestación suele ser causada por </w:t>
      </w:r>
      <w:r>
        <w:rPr>
          <w:rFonts w:ascii="Times New Roman" w:eastAsia="Times New Roman" w:hAnsi="Times New Roman" w:cs="Times New Roman"/>
          <w:i/>
          <w:iCs/>
          <w:sz w:val="16"/>
          <w:szCs w:val="16"/>
        </w:rPr>
        <w:t>A. duodenale</w:t>
      </w:r>
      <w:r>
        <w:t xml:space="preserve"> o </w:t>
      </w:r>
      <w:r>
        <w:rPr>
          <w:rFonts w:ascii="Times New Roman" w:eastAsia="Times New Roman" w:hAnsi="Times New Roman" w:cs="Times New Roman"/>
          <w:i/>
          <w:iCs/>
          <w:sz w:val="16"/>
          <w:szCs w:val="16"/>
        </w:rPr>
        <w:t>Necator americanus</w:t>
      </w:r>
      <w:r>
        <w:rPr>
          <w:i/>
          <w:iCs/>
        </w:rPr>
        <w:t>,</w:t>
      </w:r>
      <w:r>
        <w:t xml:space="preserve"> dos vermes redondos (nemátodos) con ciclos vitales similares.</w:t>
      </w:r>
    </w:p>
    <w:p w14:paraId="340CA5AC" w14:textId="77777777" w:rsidR="00924992" w:rsidRDefault="00924992">
      <w:pPr>
        <w:pStyle w:val="BodyText"/>
        <w:spacing w:after="60"/>
        <w:ind w:firstLine="0"/>
      </w:pPr>
      <w:r>
        <w:rPr>
          <w:b/>
          <w:bCs/>
        </w:rPr>
        <w:t>A</w:t>
      </w:r>
      <w:r>
        <w:rPr>
          <w:b/>
          <w:bCs/>
          <w:sz w:val="13"/>
          <w:szCs w:val="13"/>
        </w:rPr>
        <w:t>SPECTOS EPIDEMIOLÓGICOS</w:t>
      </w:r>
      <w:r>
        <w:rPr>
          <w:b/>
          <w:bCs/>
        </w:rPr>
        <w:t xml:space="preserve">: </w:t>
      </w:r>
      <w:r>
        <w:t>Los seres humanos son el reservorio principal. Los vermes redondos en cuestión abundan en zonas rurales, tropicales y subtropicales en que es frecuente la contaminación de la tierra con excremento de seres humanos. Ambas especies de gusanos muestran igual prevalencia en muchas zonas, pero A. duodenale es la especie predominante en Europa, la región mediterránea, norte de Asia y la costa occidental de América del Sur. Necator americanus predomina en el hemisferio</w:t>
      </w:r>
    </w:p>
    <w:p w14:paraId="643C901F" w14:textId="77777777" w:rsidR="00924992" w:rsidRDefault="00924992">
      <w:pPr>
        <w:pStyle w:val="BodyText"/>
        <w:ind w:firstLine="360"/>
      </w:pPr>
      <w:r>
        <w:rPr>
          <w:rFonts w:ascii="Times New Roman" w:eastAsia="Times New Roman" w:hAnsi="Times New Roman" w:cs="Times New Roman"/>
          <w:b/>
          <w:bCs/>
          <w:i/>
          <w:iCs/>
          <w:sz w:val="16"/>
          <w:szCs w:val="16"/>
        </w:rPr>
        <w:t>Otras medidas preventivas.</w:t>
      </w:r>
      <w:r>
        <w:t xml:space="preserve"> La esterilización de los abastos de hospital evitará los casos raros de tétanos que a veces surgen en nosocomios por suturas, instrumentos o material de enyesado contaminados.</w:t>
      </w:r>
    </w:p>
    <w:p w14:paraId="0271F0E6" w14:textId="77777777" w:rsidR="00924992" w:rsidRDefault="00924992">
      <w:pPr>
        <w:pStyle w:val="BodyText"/>
        <w:spacing w:after="100"/>
        <w:ind w:firstLine="360"/>
      </w:pPr>
      <w:r>
        <w:t>Para evitar el tétanos neonatal, las medidas preventivas (además de la vacunación materna) comprenden programas de vacunación en la comunidad para jóvenes adolescentes y mujeres en edad de procreación y el entrenamiento adecuado de las parteras en cuanto a recomendaciones para la vacunación y la práctica de una técnica estéril.</w:t>
      </w:r>
    </w:p>
    <w:p w14:paraId="68334FCA" w14:textId="77777777" w:rsidR="00924992" w:rsidRDefault="00924992">
      <w:pPr>
        <w:pStyle w:val="Bodytext70"/>
        <w:spacing w:after="0"/>
      </w:pPr>
      <w:r>
        <w:t>Tifus endémico</w:t>
      </w:r>
    </w:p>
    <w:p w14:paraId="1388E6FB" w14:textId="77777777" w:rsidR="00924992" w:rsidRDefault="00924992">
      <w:pPr>
        <w:pStyle w:val="Other0"/>
        <w:spacing w:line="252" w:lineRule="auto"/>
        <w:ind w:firstLine="0"/>
        <w:rPr>
          <w:sz w:val="20"/>
          <w:szCs w:val="20"/>
        </w:rPr>
      </w:pPr>
      <w:r>
        <w:rPr>
          <w:rFonts w:ascii="Arial" w:eastAsia="Arial" w:hAnsi="Arial" w:cs="Arial"/>
          <w:b/>
          <w:bCs/>
          <w:w w:val="70"/>
          <w:sz w:val="20"/>
          <w:szCs w:val="20"/>
        </w:rPr>
        <w:t>(Tifus por pulgas o murino)</w:t>
      </w:r>
    </w:p>
    <w:p w14:paraId="0611F990" w14:textId="77777777" w:rsidR="00924992" w:rsidRDefault="00924992">
      <w:pPr>
        <w:pStyle w:val="BodyText"/>
        <w:ind w:firstLine="0"/>
      </w:pPr>
      <w:r>
        <w:rPr>
          <w:b/>
          <w:bCs/>
          <w:smallCaps/>
          <w:sz w:val="20"/>
          <w:szCs w:val="20"/>
        </w:rPr>
        <w:t>M</w:t>
      </w:r>
      <w:r>
        <w:rPr>
          <w:b/>
          <w:bCs/>
          <w:smallCaps/>
          <w:sz w:val="16"/>
          <w:szCs w:val="16"/>
        </w:rPr>
        <w:t>anifestaciones clínicas</w:t>
      </w:r>
      <w:r>
        <w:rPr>
          <w:b/>
          <w:bCs/>
          <w:smallCaps/>
          <w:sz w:val="20"/>
          <w:szCs w:val="20"/>
        </w:rPr>
        <w:t>:</w:t>
      </w:r>
      <w:r>
        <w:t xml:space="preserve"> El tifus transmitido por pulgas se asemeja al epidémico (transmitido por piojos), pero suele ser menos grave, su comienzo es menos repentino y los síntomas sistémicos menos intensos. En niños de corta edad el cuadro es benigno. La fiebre se acompaña de cefalea y mialgias persistentes. En forma típica surge una erupción entre el cuarto y el séptimo día de la enfermedad, de tipo macular o maculopapular, dura cuatro a ocho días y tiende a permanecer circunscrita, con pocas lesiones y sin hemorragia. El trastorno rara vez dura más de dos semanas y pocas veces hay afección visceral.</w:t>
      </w:r>
    </w:p>
    <w:p w14:paraId="7A9FBCA3" w14:textId="77777777" w:rsidR="00924992" w:rsidRDefault="00924992">
      <w:pPr>
        <w:pStyle w:val="BodyText"/>
        <w:spacing w:line="290" w:lineRule="auto"/>
        <w:ind w:firstLine="0"/>
        <w:rPr>
          <w:sz w:val="16"/>
          <w:szCs w:val="16"/>
        </w:rPr>
      </w:pPr>
      <w:r>
        <w:rPr>
          <w:b/>
          <w:bCs/>
        </w:rPr>
        <w:t>C</w:t>
      </w:r>
      <w:r>
        <w:rPr>
          <w:b/>
          <w:bCs/>
          <w:sz w:val="13"/>
          <w:szCs w:val="13"/>
        </w:rPr>
        <w:t>AUSAS</w:t>
      </w:r>
      <w:r>
        <w:rPr>
          <w:b/>
          <w:bCs/>
        </w:rPr>
        <w:t xml:space="preserve">: </w:t>
      </w:r>
      <w:r>
        <w:t xml:space="preserve">El tifus transmitido por pulgas es causado por </w:t>
      </w:r>
      <w:r>
        <w:rPr>
          <w:rFonts w:ascii="Times New Roman" w:eastAsia="Times New Roman" w:hAnsi="Times New Roman" w:cs="Times New Roman"/>
          <w:i/>
          <w:iCs/>
          <w:sz w:val="16"/>
          <w:szCs w:val="16"/>
        </w:rPr>
        <w:t>Rickettsia typhi</w:t>
      </w:r>
      <w:r>
        <w:t xml:space="preserve"> (antes </w:t>
      </w:r>
      <w:r>
        <w:rPr>
          <w:rFonts w:ascii="Times New Roman" w:eastAsia="Times New Roman" w:hAnsi="Times New Roman" w:cs="Times New Roman"/>
          <w:i/>
          <w:iCs/>
          <w:sz w:val="16"/>
          <w:szCs w:val="16"/>
        </w:rPr>
        <w:t>Rickettsia mooseri)</w:t>
      </w:r>
      <w:r>
        <w:t xml:space="preserve"> y por </w:t>
      </w:r>
      <w:r>
        <w:rPr>
          <w:rFonts w:ascii="Times New Roman" w:eastAsia="Times New Roman" w:hAnsi="Times New Roman" w:cs="Times New Roman"/>
          <w:i/>
          <w:iCs/>
          <w:sz w:val="16"/>
          <w:szCs w:val="16"/>
        </w:rPr>
        <w:t>Rickettsia felis.</w:t>
      </w:r>
    </w:p>
    <w:p w14:paraId="5D14A350" w14:textId="77777777" w:rsidR="00924992" w:rsidRDefault="00924992">
      <w:pPr>
        <w:pStyle w:val="BodyText"/>
        <w:ind w:firstLine="0"/>
      </w:pPr>
      <w:r>
        <w:rPr>
          <w:b/>
          <w:bCs/>
        </w:rPr>
        <w:t>A</w:t>
      </w:r>
      <w:r>
        <w:rPr>
          <w:b/>
          <w:bCs/>
          <w:sz w:val="13"/>
          <w:szCs w:val="13"/>
        </w:rPr>
        <w:t xml:space="preserve">SPECTOS </w:t>
      </w:r>
      <w:r>
        <w:rPr>
          <w:b/>
          <w:bCs/>
          <w:smallCaps/>
          <w:sz w:val="16"/>
          <w:szCs w:val="16"/>
        </w:rPr>
        <w:t>epidemiológicos</w:t>
      </w:r>
      <w:r>
        <w:rPr>
          <w:b/>
          <w:bCs/>
          <w:smallCaps/>
          <w:sz w:val="20"/>
          <w:szCs w:val="20"/>
        </w:rPr>
        <w:t>:</w:t>
      </w:r>
      <w:r>
        <w:t xml:space="preserve"> Las ratas son los reservorios naturales pues en ellas la infección no es manifiesta. También se pueden infectar las zarigüeyas y los gatos y perros domésticos, y servir de hospedadores. El vector para la transmisión entre las ratas y los seres humanos es la pulga de rata (por lo común </w:t>
      </w:r>
      <w:r>
        <w:rPr>
          <w:rFonts w:ascii="Times New Roman" w:eastAsia="Times New Roman" w:hAnsi="Times New Roman" w:cs="Times New Roman"/>
          <w:i/>
          <w:iCs/>
          <w:sz w:val="16"/>
          <w:szCs w:val="16"/>
        </w:rPr>
        <w:t>Xenopsylla cheopis</w:t>
      </w:r>
      <w:r>
        <w:rPr>
          <w:i/>
          <w:iCs/>
        </w:rPr>
        <w:t>).</w:t>
      </w:r>
      <w:r>
        <w:t xml:space="preserve"> El mecanismo consiste en la frotación de los excrementos infectados de pulga en la piel o las membranas mucosas no indemnes, o bien se le inhala en la forma de aerosol. La distribución de la enfermedad es mundial; tiende a surgir más a menudo en adultos y en los varones y más frecuentemente de abril a octubre. Es rara en Estados Unidos, y casi todos los casos aparecen en el sur de California y de Texas, la costa del golfo en su porción sureste y en Hawaii. El principal factor de peligro para contraer la infección es la exposición a las ratas y sus pulgas, aunque a menudo no se tiene el antecedente de tal situación. En algunas regiones, el ciclo clásico de rata-pulga-rata ha sido sustituido por otro peridoméstico en que participan gatos, perros y zarigüeyas y sus pulgas.</w:t>
      </w:r>
    </w:p>
    <w:p w14:paraId="7BCA15B1" w14:textId="77777777" w:rsidR="00924992" w:rsidRDefault="00924992">
      <w:pPr>
        <w:pStyle w:val="BodyText"/>
        <w:ind w:firstLine="360"/>
      </w:pPr>
      <w:r>
        <w:t xml:space="preserve">El </w:t>
      </w:r>
      <w:r>
        <w:rPr>
          <w:b/>
          <w:bCs/>
        </w:rPr>
        <w:t xml:space="preserve">periodo de incubación </w:t>
      </w:r>
      <w:r>
        <w:t>va de seis a 14 días.</w:t>
      </w:r>
    </w:p>
    <w:p w14:paraId="12AF1B25" w14:textId="77777777" w:rsidR="00924992" w:rsidRDefault="00924992">
      <w:pPr>
        <w:pStyle w:val="BodyText"/>
        <w:ind w:firstLine="0"/>
      </w:pPr>
      <w:r>
        <w:rPr>
          <w:b/>
          <w:bCs/>
        </w:rPr>
        <w:t>M</w:t>
      </w:r>
      <w:r>
        <w:rPr>
          <w:b/>
          <w:bCs/>
          <w:sz w:val="13"/>
          <w:szCs w:val="13"/>
        </w:rPr>
        <w:t>ÉTODOS DIAGNÓSTICOS</w:t>
      </w:r>
      <w:r>
        <w:rPr>
          <w:b/>
          <w:bCs/>
        </w:rPr>
        <w:t xml:space="preserve">: </w:t>
      </w:r>
      <w:r>
        <w:t>Los títulos de anticuerpos medidos por la prueba de inmunofluorescencia indirecta, el inmunoanálisis enzimático, el método de aglutinación de látex o de fijación de complemento alcanza su máximo en cuatro semanas después de la infección. El diagnóstico se confirma con el incremento cuádruple de los títulos entre las muestras de suero de fase aguda y convalecencia, y un inmunoanálisis enzimático específico del anticuerpo IgM puede ser útil para confirmar el diagnóstico clínico. Sin embargo, por medio de los métodos serológicos es imposible diferenciar entre el tifus murino y el epidémico (por piojos), sin pruebas de absorción cruzada de anticuerpos, que no se practican en todos los laboratorios. El aislamiento del microorganismo en cultivo es posible, pero es peligroso y necesita la participación de laboratorios especializados.</w:t>
      </w:r>
    </w:p>
    <w:p w14:paraId="62B10706" w14:textId="77777777" w:rsidR="00924992" w:rsidRDefault="00924992">
      <w:pPr>
        <w:pStyle w:val="BodyText"/>
        <w:ind w:firstLine="0"/>
        <w:sectPr w:rsidR="00924992" w:rsidSect="00924992">
          <w:headerReference w:type="even" r:id="rId153"/>
          <w:headerReference w:type="default" r:id="rId154"/>
          <w:footerReference w:type="even" r:id="rId155"/>
          <w:footerReference w:type="default" r:id="rId156"/>
          <w:headerReference w:type="first" r:id="rId157"/>
          <w:footerReference w:type="first" r:id="rId158"/>
          <w:footnotePr>
            <w:numFmt w:val="chicago"/>
          </w:footnotePr>
          <w:pgSz w:w="8501" w:h="13022"/>
          <w:pgMar w:top="925" w:right="796" w:bottom="516" w:left="817" w:header="0" w:footer="3" w:gutter="0"/>
          <w:cols w:space="720"/>
          <w:noEndnote/>
          <w:titlePg/>
          <w:docGrid w:linePitch="360"/>
          <w15:footnoteColumns w:val="1"/>
        </w:sectPr>
      </w:pPr>
      <w:r>
        <w:rPr>
          <w:b/>
          <w:bCs/>
        </w:rPr>
        <w:t>T</w:t>
      </w:r>
      <w:r>
        <w:rPr>
          <w:b/>
          <w:bCs/>
          <w:sz w:val="13"/>
          <w:szCs w:val="13"/>
        </w:rPr>
        <w:t>RATAMIENTO</w:t>
      </w:r>
      <w:r>
        <w:rPr>
          <w:b/>
          <w:bCs/>
        </w:rPr>
        <w:t xml:space="preserve">: </w:t>
      </w:r>
      <w:r>
        <w:t xml:space="preserve">La doxiciclina por vía intravenosa u oral es el fármaco más indicado (2.2 mg/kg cada 12 h; dosis máxima 300 mg/24 h). La terapia debe hacerse durante </w:t>
      </w:r>
    </w:p>
    <w:p w14:paraId="3C674DF1" w14:textId="77777777" w:rsidR="00924992" w:rsidRDefault="00924992">
      <w:pPr>
        <w:pStyle w:val="BodyText"/>
        <w:ind w:firstLine="0"/>
      </w:pPr>
      <w:r>
        <w:t xml:space="preserve">tres días, como mínimo, después de la defervescencia y después de corroborar la mejoría clínica, por lo común durante cinco a 10 días. A pesar de la preocupación por las manchas en los dientes después de la administración de antimicrobianos de la clase de la tetraciclina en niños de corta edad (véase “Antimicrobianos y fármacos similares”, sección 4), con la doxiciclina se tienen resultados superiores contra esta enfermedad, que puede ser grave o letal. Además, los datos publicados sugieren que un ciclo de doxiciclina no mancha los dientes permanentes. Cabe pensar en el uso de cloranfenicol en niños en quienes se ha corroborado la aparición de reacciones letales a la doxiciclina. </w:t>
      </w:r>
      <w:r>
        <w:rPr>
          <w:b/>
          <w:bCs/>
          <w:smallCaps/>
          <w:sz w:val="20"/>
          <w:szCs w:val="20"/>
        </w:rPr>
        <w:t>A</w:t>
      </w:r>
      <w:r>
        <w:rPr>
          <w:b/>
          <w:bCs/>
          <w:smallCaps/>
          <w:sz w:val="16"/>
          <w:szCs w:val="16"/>
        </w:rPr>
        <w:t>islamiento del paciente hospitalizado</w:t>
      </w:r>
      <w:r>
        <w:rPr>
          <w:b/>
          <w:bCs/>
          <w:smallCaps/>
          <w:sz w:val="20"/>
          <w:szCs w:val="20"/>
        </w:rPr>
        <w:t>:</w:t>
      </w:r>
      <w:r>
        <w:t xml:space="preserve"> Se recomienda seguir precauciones estándar.</w:t>
      </w:r>
    </w:p>
    <w:p w14:paraId="6225EB71" w14:textId="77777777" w:rsidR="00924992" w:rsidRDefault="00924992">
      <w:pPr>
        <w:pStyle w:val="BodyText"/>
        <w:spacing w:after="100"/>
        <w:ind w:firstLine="0"/>
      </w:pPr>
      <w:r>
        <w:rPr>
          <w:b/>
          <w:bCs/>
        </w:rPr>
        <w:t>M</w:t>
      </w:r>
      <w:r>
        <w:rPr>
          <w:b/>
          <w:bCs/>
          <w:sz w:val="13"/>
          <w:szCs w:val="13"/>
        </w:rPr>
        <w:t xml:space="preserve">EDIDAS </w:t>
      </w:r>
      <w:r>
        <w:rPr>
          <w:b/>
          <w:bCs/>
          <w:smallCaps/>
          <w:sz w:val="16"/>
          <w:szCs w:val="16"/>
        </w:rPr>
        <w:t>preventivas</w:t>
      </w:r>
      <w:r>
        <w:rPr>
          <w:b/>
          <w:bCs/>
          <w:smallCaps/>
          <w:sz w:val="20"/>
          <w:szCs w:val="20"/>
        </w:rPr>
        <w:t>:</w:t>
      </w:r>
      <w:r>
        <w:t xml:space="preserve"> Es importante erradicar las pulgas de rata por medio de insecticidas adecuados antes de utilizar los rodenticidas porque el díptero buscará otros hospedadores. Es importante destruir las poblaciones de ratas con los medios apropiados. En Estados Unidos ya no se distribuye la vacuna contra esta forma de tifus. No se recomienda emprender tratamiento alguno en el caso de personas expuestas. La enfermedad debe ser notificada a los departamentos locales o estatales de sanidad.</w:t>
      </w:r>
    </w:p>
    <w:p w14:paraId="63C64689" w14:textId="77777777" w:rsidR="00924992" w:rsidRDefault="00924992">
      <w:pPr>
        <w:pStyle w:val="Bodytext70"/>
        <w:spacing w:after="0"/>
      </w:pPr>
      <w:r>
        <w:t>Tifus epidémico</w:t>
      </w:r>
    </w:p>
    <w:p w14:paraId="488CD29B" w14:textId="77777777" w:rsidR="00924992" w:rsidRDefault="00924992">
      <w:pPr>
        <w:pStyle w:val="Other0"/>
        <w:spacing w:line="252" w:lineRule="auto"/>
        <w:ind w:firstLine="0"/>
        <w:rPr>
          <w:sz w:val="20"/>
          <w:szCs w:val="20"/>
        </w:rPr>
      </w:pPr>
      <w:r>
        <w:rPr>
          <w:rFonts w:ascii="Arial" w:eastAsia="Arial" w:hAnsi="Arial" w:cs="Arial"/>
          <w:b/>
          <w:bCs/>
          <w:w w:val="70"/>
          <w:sz w:val="20"/>
          <w:szCs w:val="20"/>
        </w:rPr>
        <w:t>(Tifus por piojos)</w:t>
      </w:r>
    </w:p>
    <w:p w14:paraId="5D78602B" w14:textId="77777777" w:rsidR="00924992" w:rsidRDefault="00924992">
      <w:pPr>
        <w:pStyle w:val="BodyText"/>
        <w:ind w:firstLine="0"/>
      </w:pPr>
      <w:r>
        <w:rPr>
          <w:b/>
          <w:bCs/>
          <w:smallCaps/>
          <w:sz w:val="20"/>
          <w:szCs w:val="20"/>
        </w:rPr>
        <w:t>M</w:t>
      </w:r>
      <w:r>
        <w:rPr>
          <w:b/>
          <w:bCs/>
          <w:smallCaps/>
          <w:sz w:val="16"/>
          <w:szCs w:val="16"/>
        </w:rPr>
        <w:t>anifestaciones clínicas</w:t>
      </w:r>
      <w:r>
        <w:rPr>
          <w:b/>
          <w:bCs/>
          <w:smallCaps/>
          <w:sz w:val="20"/>
          <w:szCs w:val="20"/>
        </w:rPr>
        <w:t>:</w:t>
      </w:r>
      <w:r>
        <w:t xml:space="preserve"> El tifus epidémico por piojos se caracteriza por el comienzo repentino de un cuadro que incluye fiebre alta, escalofríos y mialgias acompañadas de cefalea y malestar intensos. Se sospecha muy a menudo que el trastorno corresponde a influenza. La erupción aparece cuatro a siete días después de hacerlo la enfermedad, y comienza en el tronco y se propaga a las extremidades. En las axilas se concentra la erupción. La erupción es maculopapular para transformarse en petequial o hemorrágica y al final presentar zonas pigmentadas parduscas. Por lo común no afecta la cara, las palmas ni las plantas. Los cambios en el estado psíquico son frecuentes, y a menudo hay delirio o coma. Surgen a veces insuficiencias del miocardio y renal cuando la enfermedad es grave. Ésta varía de moderadamente grave a letal. La tasa de letalidad en personas no tratadas puede llegar a 30%. Los enfermos no tratados que se recuperan de manera típica tienen un cuadro que perdura dos semanas. La mortalidad es menos frecuente en niños y la cifra aumenta conforme lo hace la edad del paciente. La enfermedad de Brill-Zinsser es una recaída del tifus epidémico que surge años después del episodio inicial. Se desconocen los factores que reactivan a las rickettsias. El cuadro de recrudescencia es semejante al de la infección primaria, aunque suele ser menos grave y más breve.</w:t>
      </w:r>
    </w:p>
    <w:p w14:paraId="6E0E45FB" w14:textId="77777777" w:rsidR="00924992" w:rsidRDefault="00924992">
      <w:pPr>
        <w:pStyle w:val="BodyText"/>
        <w:ind w:firstLine="0"/>
      </w:pPr>
      <w:r>
        <w:rPr>
          <w:b/>
          <w:bCs/>
        </w:rPr>
        <w:t>C</w:t>
      </w:r>
      <w:r>
        <w:rPr>
          <w:b/>
          <w:bCs/>
          <w:sz w:val="13"/>
          <w:szCs w:val="13"/>
        </w:rPr>
        <w:t>AUSAS</w:t>
      </w:r>
      <w:r>
        <w:rPr>
          <w:b/>
          <w:bCs/>
        </w:rPr>
        <w:t xml:space="preserve">: </w:t>
      </w:r>
      <w:r>
        <w:t xml:space="preserve">El tifus epidémico es causado por </w:t>
      </w:r>
      <w:r>
        <w:rPr>
          <w:rFonts w:ascii="Times New Roman" w:eastAsia="Times New Roman" w:hAnsi="Times New Roman" w:cs="Times New Roman"/>
          <w:i/>
          <w:iCs/>
          <w:sz w:val="16"/>
          <w:szCs w:val="16"/>
        </w:rPr>
        <w:t>Rickettsiaprowazekii</w:t>
      </w:r>
      <w:r>
        <w:rPr>
          <w:i/>
          <w:iCs/>
        </w:rPr>
        <w:t>.</w:t>
      </w:r>
    </w:p>
    <w:p w14:paraId="349FB1C2" w14:textId="77777777" w:rsidR="00924992" w:rsidRDefault="00924992">
      <w:pPr>
        <w:pStyle w:val="BodyText"/>
        <w:spacing w:line="276" w:lineRule="auto"/>
        <w:ind w:firstLine="0"/>
      </w:pPr>
      <w:r>
        <w:rPr>
          <w:b/>
          <w:bCs/>
        </w:rPr>
        <w:t>A</w:t>
      </w:r>
      <w:r>
        <w:rPr>
          <w:b/>
          <w:bCs/>
          <w:sz w:val="13"/>
          <w:szCs w:val="13"/>
        </w:rPr>
        <w:t>SPECTOS EPIDEMIOLÓGICOS</w:t>
      </w:r>
      <w:r>
        <w:rPr>
          <w:b/>
          <w:bCs/>
        </w:rPr>
        <w:t xml:space="preserve">: </w:t>
      </w:r>
      <w:r>
        <w:t xml:space="preserve">Los seres humanos son la fuente común del microorganismo, que es transmitido de una persona a otra por el piojo corporal </w:t>
      </w:r>
      <w:r>
        <w:rPr>
          <w:rFonts w:ascii="Times New Roman" w:eastAsia="Times New Roman" w:hAnsi="Times New Roman" w:cs="Times New Roman"/>
          <w:i/>
          <w:iCs/>
          <w:sz w:val="16"/>
          <w:szCs w:val="16"/>
        </w:rPr>
        <w:t>Pediculus humanus</w:t>
      </w:r>
      <w:r>
        <w:t xml:space="preserve"> subespecie </w:t>
      </w:r>
      <w:r>
        <w:rPr>
          <w:rFonts w:ascii="Times New Roman" w:eastAsia="Times New Roman" w:hAnsi="Times New Roman" w:cs="Times New Roman"/>
          <w:i/>
          <w:iCs/>
          <w:sz w:val="16"/>
          <w:szCs w:val="16"/>
        </w:rPr>
        <w:t>corporis</w:t>
      </w:r>
      <w:r>
        <w:rPr>
          <w:i/>
          <w:iCs/>
        </w:rPr>
        <w:t>.</w:t>
      </w:r>
      <w:r>
        <w:t xml:space="preserve"> El sujeto frota en la piel o las mucosas no indemnes, o los inhala en aerosol, los excrementos infectados del piojo. El tifus afecta a personas de cualquier edad, y factores como pobreza, apiñamiento, situación de deficiencias sanitarias y desaseo personal, contribuyen a que se propaguen los piojos y, por consiguiente, la enfermedad. En la actualidad, casos de tifus son raros, pero se sabe que aparecen en todo el mundo, incluidos Asia, África, algunas partes de Europa y América Central y del Sur. El tifus es más frecuente durante el invierno, en que las circunstancias favorecen la transmisión del vector, que es el piojo corporal, de una persona a otra. Las rickettsias aparecen en la sangre y los tejidos de pacientes durante la tres días, como mínimo, después de la defervescencia y después de corroborar la mejoría clínica, por lo común durante cinco a 10 días. A pesar de la preocupación por las manchas en los dientes después de la administración de antimicrobianos de la clase de la tetraciclina en niños de corta edad (véase “Antimicrobianos y fármacos similares”, sección 4), con la doxiciclina se tienen resultados superiores contra esta enfermedad, que puede ser grave o letal. Además, los datos publicados sugieren que un ciclo de doxiciclina no mancha los dientes permanentes. Cabe pensar en el uso de cloranfenicol en niños en quienes se ha corroborado la aparición de reacciones letales a la doxiciclina. </w:t>
      </w:r>
      <w:r>
        <w:rPr>
          <w:b/>
          <w:bCs/>
          <w:smallCaps/>
          <w:sz w:val="20"/>
          <w:szCs w:val="20"/>
        </w:rPr>
        <w:t>A</w:t>
      </w:r>
      <w:r>
        <w:rPr>
          <w:b/>
          <w:bCs/>
          <w:smallCaps/>
          <w:sz w:val="16"/>
          <w:szCs w:val="16"/>
        </w:rPr>
        <w:t>islamiento del paciente hospitalizado</w:t>
      </w:r>
      <w:r>
        <w:rPr>
          <w:b/>
          <w:bCs/>
          <w:smallCaps/>
          <w:sz w:val="20"/>
          <w:szCs w:val="20"/>
        </w:rPr>
        <w:t>:</w:t>
      </w:r>
      <w:r>
        <w:t xml:space="preserve"> Se recomienda seguir precauciones estándar.</w:t>
      </w:r>
    </w:p>
    <w:p w14:paraId="6D7337D1" w14:textId="77777777" w:rsidR="00924992" w:rsidRDefault="00924992">
      <w:pPr>
        <w:pStyle w:val="BodyText"/>
        <w:spacing w:after="100"/>
        <w:ind w:firstLine="0"/>
      </w:pPr>
      <w:r>
        <w:rPr>
          <w:b/>
          <w:bCs/>
        </w:rPr>
        <w:t>M</w:t>
      </w:r>
      <w:r>
        <w:rPr>
          <w:b/>
          <w:bCs/>
          <w:sz w:val="13"/>
          <w:szCs w:val="13"/>
        </w:rPr>
        <w:t xml:space="preserve">EDIDAS </w:t>
      </w:r>
      <w:r>
        <w:rPr>
          <w:b/>
          <w:bCs/>
          <w:smallCaps/>
          <w:sz w:val="16"/>
          <w:szCs w:val="16"/>
        </w:rPr>
        <w:t>preventivas</w:t>
      </w:r>
      <w:r>
        <w:rPr>
          <w:b/>
          <w:bCs/>
          <w:smallCaps/>
          <w:sz w:val="20"/>
          <w:szCs w:val="20"/>
        </w:rPr>
        <w:t>:</w:t>
      </w:r>
      <w:r>
        <w:t xml:space="preserve"> Es importante erradicar las pulgas de rata por medio de insecticidas adecuados antes de utilizar los rodenticidas porque el díptero buscará otros hospedadores. Es importante destruir las poblaciones de ratas con los medios apropiados. En Estados Unidos ya no se distribuye la vacuna contra esta forma de tifus. No se recomienda emprender tratamiento alguno en el caso de personas expuestas. La enfermedad debe ser notificada a los departamentos locales o estatales de sanidad.</w:t>
      </w:r>
    </w:p>
    <w:p w14:paraId="78312CAE" w14:textId="77777777" w:rsidR="00924992" w:rsidRDefault="00924992">
      <w:pPr>
        <w:pStyle w:val="Bodytext70"/>
        <w:spacing w:after="0"/>
      </w:pPr>
      <w:r>
        <w:t>Tifus epidémico</w:t>
      </w:r>
    </w:p>
    <w:p w14:paraId="118C14D0" w14:textId="77777777" w:rsidR="00924992" w:rsidRDefault="00924992">
      <w:pPr>
        <w:pStyle w:val="Other0"/>
        <w:spacing w:line="252" w:lineRule="auto"/>
        <w:ind w:firstLine="0"/>
        <w:rPr>
          <w:sz w:val="20"/>
          <w:szCs w:val="20"/>
        </w:rPr>
      </w:pPr>
      <w:r>
        <w:rPr>
          <w:rFonts w:ascii="Arial" w:eastAsia="Arial" w:hAnsi="Arial" w:cs="Arial"/>
          <w:b/>
          <w:bCs/>
          <w:w w:val="70"/>
          <w:sz w:val="20"/>
          <w:szCs w:val="20"/>
        </w:rPr>
        <w:t>(Tifus por piojos)</w:t>
      </w:r>
    </w:p>
    <w:p w14:paraId="46071DF1" w14:textId="77777777" w:rsidR="00924992" w:rsidRDefault="00924992">
      <w:pPr>
        <w:pStyle w:val="BodyText"/>
        <w:ind w:firstLine="0"/>
      </w:pPr>
      <w:r>
        <w:rPr>
          <w:b/>
          <w:bCs/>
          <w:smallCaps/>
          <w:sz w:val="20"/>
          <w:szCs w:val="20"/>
        </w:rPr>
        <w:t>M</w:t>
      </w:r>
      <w:r>
        <w:rPr>
          <w:b/>
          <w:bCs/>
          <w:smallCaps/>
          <w:sz w:val="16"/>
          <w:szCs w:val="16"/>
        </w:rPr>
        <w:t>anifestaciones clínicas</w:t>
      </w:r>
      <w:r>
        <w:rPr>
          <w:b/>
          <w:bCs/>
          <w:smallCaps/>
          <w:sz w:val="20"/>
          <w:szCs w:val="20"/>
        </w:rPr>
        <w:t>:</w:t>
      </w:r>
      <w:r>
        <w:t xml:space="preserve"> El tifus epidémico por piojos se caracteriza por el comienzo repentino de un cuadro que incluye fiebre alta, escalofríos y mialgias acompañadas de cefalea y malestar intensos. Se sospecha muy a menudo que el trastorno corresponde a influenza. La erupción aparece cuatro a siete días después de hacerlo la enfermedad, y comienza en el tronco y se propaga a las extremidades. En las axilas se concentra la erupción. La erupción es maculopapular para transformarse en petequial o hemorrágica y al final presentar zonas pigmentadas parduscas. Por lo común no afecta la cara, las palmas ni las plantas. Los cambios en el estado psíquico son frecuentes, y a menudo hay delirio o coma. Surgen a veces insuficiencias del miocardio y renal cuando la enfermedad es grave. Ésta varía de moderadamente grave a letal. La tasa de letalidad en personas no tratadas puede llegar a 30%. Los enfermos no tratados que se recuperan de manera típica tienen un cuadro que perdura dos semanas. La mortalidad es menos frecuente en niños y la cifra aumenta conforme lo hace la edad del paciente. La enfermedad de Brill-Zinsser es una recaída del tifus epidémico que surge años después del episodio inicial. Se desconocen los factores que reactivan a las rickettsias. El cuadro de recrudescencia es semejante al de la infección primaria, aunque suele ser menos grave y más breve.</w:t>
      </w:r>
    </w:p>
    <w:p w14:paraId="1A14911A" w14:textId="77777777" w:rsidR="00924992" w:rsidRDefault="00924992">
      <w:pPr>
        <w:pStyle w:val="BodyText"/>
        <w:ind w:firstLine="0"/>
      </w:pPr>
      <w:r>
        <w:rPr>
          <w:b/>
          <w:bCs/>
        </w:rPr>
        <w:t>C</w:t>
      </w:r>
      <w:r>
        <w:rPr>
          <w:b/>
          <w:bCs/>
          <w:sz w:val="13"/>
          <w:szCs w:val="13"/>
        </w:rPr>
        <w:t>AUSAS</w:t>
      </w:r>
      <w:r>
        <w:rPr>
          <w:b/>
          <w:bCs/>
        </w:rPr>
        <w:t xml:space="preserve">: </w:t>
      </w:r>
      <w:r>
        <w:t xml:space="preserve">El tifus epidémico es causado por </w:t>
      </w:r>
      <w:r>
        <w:rPr>
          <w:rFonts w:ascii="Times New Roman" w:eastAsia="Times New Roman" w:hAnsi="Times New Roman" w:cs="Times New Roman"/>
          <w:i/>
          <w:iCs/>
          <w:sz w:val="16"/>
          <w:szCs w:val="16"/>
        </w:rPr>
        <w:t>Rickettsiaprowazekii</w:t>
      </w:r>
      <w:r>
        <w:rPr>
          <w:i/>
          <w:iCs/>
        </w:rPr>
        <w:t>.</w:t>
      </w:r>
    </w:p>
    <w:p w14:paraId="220F512A" w14:textId="77777777" w:rsidR="00924992" w:rsidRDefault="00924992">
      <w:pPr>
        <w:pStyle w:val="BodyText"/>
        <w:spacing w:line="276" w:lineRule="auto"/>
        <w:ind w:firstLine="0"/>
        <w:sectPr w:rsidR="00924992" w:rsidSect="00924992">
          <w:headerReference w:type="even" r:id="rId159"/>
          <w:headerReference w:type="default" r:id="rId160"/>
          <w:footerReference w:type="even" r:id="rId161"/>
          <w:footerReference w:type="default" r:id="rId162"/>
          <w:footnotePr>
            <w:numFmt w:val="chicago"/>
          </w:footnotePr>
          <w:type w:val="continuous"/>
          <w:pgSz w:w="8501" w:h="13022"/>
          <w:pgMar w:top="925" w:right="796" w:bottom="516" w:left="817" w:header="0" w:footer="88" w:gutter="0"/>
          <w:cols w:space="720"/>
          <w:noEndnote/>
          <w:docGrid w:linePitch="360"/>
          <w15:footnoteColumns w:val="1"/>
        </w:sectPr>
      </w:pPr>
      <w:r>
        <w:rPr>
          <w:b/>
          <w:bCs/>
        </w:rPr>
        <w:t>A</w:t>
      </w:r>
      <w:r>
        <w:rPr>
          <w:b/>
          <w:bCs/>
          <w:sz w:val="13"/>
          <w:szCs w:val="13"/>
        </w:rPr>
        <w:t>SPECTOS EPIDEMIOLÓGICOS</w:t>
      </w:r>
      <w:r>
        <w:rPr>
          <w:b/>
          <w:bCs/>
        </w:rPr>
        <w:t xml:space="preserve">: </w:t>
      </w:r>
      <w:r>
        <w:t xml:space="preserve">Los seres humanos son la fuente común del microorganismo, que es transmitido de una persona a otra por el piojo corporal </w:t>
      </w:r>
      <w:r>
        <w:rPr>
          <w:rFonts w:ascii="Times New Roman" w:eastAsia="Times New Roman" w:hAnsi="Times New Roman" w:cs="Times New Roman"/>
          <w:i/>
          <w:iCs/>
          <w:sz w:val="16"/>
          <w:szCs w:val="16"/>
        </w:rPr>
        <w:t>Pediculus humanus</w:t>
      </w:r>
      <w:r>
        <w:t xml:space="preserve"> subespecie </w:t>
      </w:r>
      <w:r>
        <w:rPr>
          <w:rFonts w:ascii="Times New Roman" w:eastAsia="Times New Roman" w:hAnsi="Times New Roman" w:cs="Times New Roman"/>
          <w:i/>
          <w:iCs/>
          <w:sz w:val="16"/>
          <w:szCs w:val="16"/>
        </w:rPr>
        <w:t>corporis</w:t>
      </w:r>
      <w:r>
        <w:rPr>
          <w:i/>
          <w:iCs/>
        </w:rPr>
        <w:t>.</w:t>
      </w:r>
      <w:r>
        <w:t xml:space="preserve"> El sujeto frota en la piel o las mucosas no indemnes, o los inhala en aerosol, los excrementos infectados del piojo. El tifus afecta a personas de cualquier edad, y factores como pobreza, apiñamiento, situación de deficiencias sanitarias y desaseo personal, contribuyen a que se propaguen los piojos y, por consiguiente, la enfermedad. En la actualidad, casos de tifus son raros, pero se sabe que aparecen en todo el mundo, incluidos Asia, África, algunas partes de Europa y América Central y del Sur. El tifus es más frecuente durante el invierno, en que las circunstancias favorecen la transmisión del vector, que es el piojo corporal, de una persona a otra. Las rickettsias aparecen en la sangre y los tejidos de pacientes durante la </w:t>
      </w:r>
    </w:p>
    <w:p w14:paraId="40A96D02" w14:textId="77777777" w:rsidR="00924992" w:rsidRDefault="00924992">
      <w:pPr>
        <w:pStyle w:val="BodyText"/>
        <w:spacing w:line="276" w:lineRule="auto"/>
        <w:ind w:firstLine="0"/>
      </w:pPr>
      <w:r>
        <w:t>fase febril inicial, pero no se les detecta en las secreciones. Si no se cuenta con el piojo vector, no hay propagación directa de la enfermedad de una persona a otra. En Estados Unidos se han notificado casos ocasionales en seres humanos que al parecer guardan relación con el contacto con ardillas voladoras infectadas, sus nidos o sus ectoparásitos. De manera típica la enfermedad en tales animales tiene un cuadro inicial menos grave.</w:t>
      </w:r>
    </w:p>
    <w:p w14:paraId="3EC7BAC5" w14:textId="77777777" w:rsidR="00924992" w:rsidRDefault="00924992">
      <w:pPr>
        <w:pStyle w:val="BodyText"/>
        <w:ind w:firstLine="360"/>
      </w:pPr>
      <w:r>
        <w:t xml:space="preserve">El </w:t>
      </w:r>
      <w:r>
        <w:rPr>
          <w:b/>
          <w:bCs/>
        </w:rPr>
        <w:t xml:space="preserve">periodo de incubación </w:t>
      </w:r>
      <w:r>
        <w:t>es de una a dos semanas.</w:t>
      </w:r>
    </w:p>
    <w:p w14:paraId="0F54F7A1" w14:textId="77777777" w:rsidR="00924992" w:rsidRDefault="00924992">
      <w:pPr>
        <w:pStyle w:val="BodyText"/>
        <w:ind w:firstLine="0"/>
      </w:pPr>
      <w:r>
        <w:rPr>
          <w:b/>
          <w:bCs/>
        </w:rPr>
        <w:t>M</w:t>
      </w:r>
      <w:r>
        <w:rPr>
          <w:b/>
          <w:bCs/>
          <w:sz w:val="13"/>
          <w:szCs w:val="13"/>
        </w:rPr>
        <w:t>ÉTODOS DIAGNÓSTICOS</w:t>
      </w:r>
      <w:r>
        <w:rPr>
          <w:b/>
          <w:bCs/>
        </w:rPr>
        <w:t xml:space="preserve">: </w:t>
      </w:r>
      <w:r>
        <w:t xml:space="preserve">Es posible aislar </w:t>
      </w:r>
      <w:r>
        <w:rPr>
          <w:rFonts w:ascii="Times New Roman" w:eastAsia="Times New Roman" w:hAnsi="Times New Roman" w:cs="Times New Roman"/>
          <w:i/>
          <w:iCs/>
          <w:sz w:val="16"/>
          <w:szCs w:val="16"/>
        </w:rPr>
        <w:t>Rickettsiaprowazekii</w:t>
      </w:r>
      <w:r>
        <w:t xml:space="preserve"> de muestras de sangre, por inoculación en cobayos y ratones o el saco alantoideo de embriones de pollo o por cultivo tisular, pero el aislamiento es peligroso y rara vez se intenta. Para el diagnóstico definitivo se necesita visualizar las rickettsias en los tejidos, aislarlas, detectar su identidad por reacción en cadena de polimerasa o hacer pruebas en muestras de suero obtenidas durante las fases aguda y de convalecencia de la enfermedad. El método de anticuerpos fluorescentes indirectos es el de tipo serológico preferido, pero también se practican inmunoanálisis enzimático, microaglutinación y aglutinación de látex. El signo diagnóstico del tifus epidémico o del tifus endémico es un incremento cuádruple del título de anticuerpos entre las muestras de suero de fase aguda y de convalecencia. La práctica del método de absorción de anticuerpos permite diferenciar entre una y otra enfermedades, pero no se le practica sistemáticamente. En los </w:t>
      </w:r>
      <w:r>
        <w:rPr>
          <w:rFonts w:ascii="Times New Roman" w:eastAsia="Times New Roman" w:hAnsi="Times New Roman" w:cs="Times New Roman"/>
          <w:i/>
          <w:iCs/>
          <w:sz w:val="16"/>
          <w:szCs w:val="16"/>
        </w:rPr>
        <w:t>Centers for Disease Control and Prevention</w:t>
      </w:r>
      <w:r>
        <w:t xml:space="preserve"> se practica el método inmunohistoquímico para detectar </w:t>
      </w:r>
      <w:r>
        <w:rPr>
          <w:rFonts w:ascii="Times New Roman" w:eastAsia="Times New Roman" w:hAnsi="Times New Roman" w:cs="Times New Roman"/>
          <w:i/>
          <w:iCs/>
          <w:sz w:val="16"/>
          <w:szCs w:val="16"/>
        </w:rPr>
        <w:t>R. prowazekii</w:t>
      </w:r>
      <w:r>
        <w:t xml:space="preserve"> en muestras fijadas en formol. </w:t>
      </w:r>
      <w:r>
        <w:rPr>
          <w:b/>
          <w:bCs/>
        </w:rPr>
        <w:t>T</w:t>
      </w:r>
      <w:r>
        <w:rPr>
          <w:b/>
          <w:bCs/>
          <w:sz w:val="13"/>
          <w:szCs w:val="13"/>
        </w:rPr>
        <w:t>RATAMIENTO</w:t>
      </w:r>
      <w:r>
        <w:rPr>
          <w:b/>
          <w:bCs/>
        </w:rPr>
        <w:t xml:space="preserve">: </w:t>
      </w:r>
      <w:r>
        <w:t xml:space="preserve">Los fármacos más indicados contra el tifus epidémico o por piojos es la doxiciclina por vías intravenosa u oral a razón de 2.2 mg/kg de peso cada 12 h (dosis máxima, 300 mg/24 h). Los fármacos se administrarán hasta que la persona esté afebril durante tres días, como mínimo y se corrobore su mejoría clínica; el tratamiento suele durar siete a 10 días. La enfermedad grave obliga a seguir un ciclo más largo de tratamiento. A pesar de la preocupación por las manchas de dientes después de utilizar algún antimicrobiano de la clase de las tetraciclinas en niños de ocho años o menores (véase “Antimicrobianos y fármacos similares”, sección 4), la doxiciclina tiene acción superior contra esta enfermedad que puede ser letal. En personas que no las toleran, puede recurrirse a cloranfenicol o fluoroquinolonas intravenosas. No se recomienda usar estas últimas en personas menores de 18 años. Para impedir que la enfermedad se propague a otras personas, los pacientes infestados de piojos deben ser tratados con pediculicidas en crema o gel, que contengan piretrinas (0.16 a 0.33%), butóxido de piperonilo (2 a 4%), crotamitón (10%) o lindano (1%). En situaciones epidémicas en que pudiera ser escaso el abasto de antimicrobianos (como en campamentos de refugiados), quizá una sola dosis de doxiciclina constituya tratamiento eficaz (4.4 mg/kg en niños que pesan menos de 45 kg o 200 mg en niños de mayor peso). </w:t>
      </w:r>
      <w:r>
        <w:rPr>
          <w:b/>
          <w:bCs/>
        </w:rPr>
        <w:t>A</w:t>
      </w:r>
      <w:r>
        <w:rPr>
          <w:b/>
          <w:bCs/>
          <w:sz w:val="13"/>
          <w:szCs w:val="13"/>
        </w:rPr>
        <w:t>ISLAMIENTO DEL PACIENTE HOSPITALIZADO</w:t>
      </w:r>
      <w:r>
        <w:rPr>
          <w:b/>
          <w:bCs/>
        </w:rPr>
        <w:t xml:space="preserve">: </w:t>
      </w:r>
      <w:r>
        <w:t xml:space="preserve">Se recomienda seguir las precauciones estándar; se emprenderán otras para eliminar los piojos de los pacientes hospitalizados. </w:t>
      </w:r>
      <w:r>
        <w:rPr>
          <w:b/>
          <w:bCs/>
        </w:rPr>
        <w:t>M</w:t>
      </w:r>
      <w:r>
        <w:rPr>
          <w:b/>
          <w:bCs/>
          <w:sz w:val="13"/>
          <w:szCs w:val="13"/>
        </w:rPr>
        <w:t>EDIDAS PREVENTIVAS</w:t>
      </w:r>
      <w:r>
        <w:rPr>
          <w:b/>
          <w:bCs/>
        </w:rPr>
        <w:t xml:space="preserve">: </w:t>
      </w:r>
      <w:r>
        <w:t>Se recomienda la eliminación cabal de los piojos en situaciones epidémicas, particularmente entre los contactos expuestos de los casos. Se necesita a veces varias aplicaciones porque los huevecillos (liendres) son resistentes a muchos insecticidas. Lavar las ropas personales en agua caliente destruye a los piojos y sus huevecillos. Durante las epidemias son eficaces los insecticidas espolvoreados en la ropa de personas infestadas por piojos. Para prevenir y erradicar el tifus vinculado con ardillas voladoras hay que seguir precauciones para evitar que los animales vivan junto con los seres humanos, como sellar las vías de acceso. No se cuenta ya con la vacuna en Estados Unidos. Los casos deben ser notificados a los departamentos locales o estatales sanitarios.</w:t>
      </w:r>
    </w:p>
    <w:p w14:paraId="49AC89B8" w14:textId="77777777" w:rsidR="00924992" w:rsidRDefault="00924992">
      <w:pPr>
        <w:pStyle w:val="BodyText"/>
        <w:ind w:firstLine="0"/>
      </w:pPr>
      <w:r>
        <w:t>occidental, países subsaharianos, sureste asiático y varias islas del Pacífico. Las larvas y los huevos sobreviven en tierra floja, arenosa, húmeda y sombreada, con bastante aire y caliente (temperatura óptima, 23 a 33</w:t>
      </w:r>
      <w:r>
        <w:rPr>
          <w:rFonts w:ascii="Times New Roman" w:eastAsia="Times New Roman" w:hAnsi="Times New Roman" w:cs="Times New Roman"/>
          <w:sz w:val="11"/>
          <w:szCs w:val="11"/>
        </w:rPr>
        <w:t>°</w:t>
      </w:r>
      <w:r>
        <w:t xml:space="preserve">C). En un lapso de uno a dos días, de los huevecillos en los excrementos salen larvas rabdoideas que se desarrollan hasta la forma de larvas filariformes infectantes en la tierra en término de cinco a siete días y así persisten semanas a meses. La infestación percutánea se produce después de la exposición del sujeto a las larvas infectantes. La transmisión de </w:t>
      </w:r>
      <w:r>
        <w:rPr>
          <w:rFonts w:ascii="Times New Roman" w:eastAsia="Times New Roman" w:hAnsi="Times New Roman" w:cs="Times New Roman"/>
          <w:i/>
          <w:iCs/>
          <w:sz w:val="16"/>
          <w:szCs w:val="16"/>
        </w:rPr>
        <w:t xml:space="preserve">Ancylostoma duodenale </w:t>
      </w:r>
      <w:r>
        <w:t>puede surgir por ingestión y quizá por la leche materna. Los sujetos infectados no tratados pueden tener los vermes durante cinco a 15 años, pero en término de uno a dos años por lo regular disminuye el número de ellos a 70%, como mínimo.</w:t>
      </w:r>
    </w:p>
    <w:p w14:paraId="7B2C3474" w14:textId="77777777" w:rsidR="00924992" w:rsidRDefault="00924992">
      <w:pPr>
        <w:pStyle w:val="BodyText"/>
        <w:ind w:firstLine="360"/>
      </w:pPr>
      <w:r>
        <w:t>El lapso que media desde la exposición hasta la aparición de síntomas no cutáneos es de cuatro a 12 semanas.</w:t>
      </w:r>
    </w:p>
    <w:p w14:paraId="69E53375" w14:textId="77777777" w:rsidR="00924992" w:rsidRDefault="00924992">
      <w:pPr>
        <w:pStyle w:val="BodyText"/>
        <w:ind w:firstLine="0"/>
      </w:pPr>
      <w:r>
        <w:rPr>
          <w:b/>
          <w:bCs/>
        </w:rPr>
        <w:t>M</w:t>
      </w:r>
      <w:r>
        <w:rPr>
          <w:b/>
          <w:bCs/>
          <w:sz w:val="13"/>
          <w:szCs w:val="13"/>
        </w:rPr>
        <w:t>ÉTODOS DIAGNÓSTICOS</w:t>
      </w:r>
      <w:r>
        <w:rPr>
          <w:b/>
          <w:bCs/>
        </w:rPr>
        <w:t xml:space="preserve">: </w:t>
      </w:r>
      <w:r>
        <w:t>La demostración microscópica de los huevecillos de los vermes en los excrementos tiene valor diagnóstico. Rara vez se identifican los vermes adultos o las larvas. Se necesitan ocho a 12 semanas después de la infestación para que los huevecillos aparezcan en los excrementos. El frotis directo de excrementos mezclados con solución salina o yoduro de potasio saturado con yodo es adecuado para el diagnóstico de la infestación intensa con los vermes; en casos de infestación de poca monta se necesitan técnicas de concentración. En algunos laboratorios estatales o de especialización se practican técnicas de cuantificación (como las de frotis directo de Kato-Katz, de Beaver o el recuento de huevecillos de Stoll) para valorar la importancia clínica de la infestación y la respuesta al tratamiento.</w:t>
      </w:r>
    </w:p>
    <w:p w14:paraId="18F4104F" w14:textId="77777777" w:rsidR="00924992" w:rsidRDefault="00924992">
      <w:pPr>
        <w:pStyle w:val="BodyText"/>
        <w:ind w:firstLine="0"/>
      </w:pPr>
      <w:r>
        <w:rPr>
          <w:b/>
          <w:bCs/>
        </w:rPr>
        <w:t>T</w:t>
      </w:r>
      <w:r>
        <w:rPr>
          <w:b/>
          <w:bCs/>
          <w:sz w:val="13"/>
          <w:szCs w:val="13"/>
        </w:rPr>
        <w:t>RATAMIENTO</w:t>
      </w:r>
      <w:r>
        <w:rPr>
          <w:b/>
          <w:bCs/>
        </w:rPr>
        <w:t xml:space="preserve">: </w:t>
      </w:r>
      <w:r>
        <w:t>Fármacos eficaces son albendazol, mebendazol y pamoato de pirantel (véase “Fármacos antiparasitarios”, sección 4). En niños menores de dos años de edad en los que es escasa la experiencia con tales medicamentos, la Organización Mundial de la Salud (OMS) recomienda administrar la mitad de la dosis del adulto (de albendazol o mebendazol) en infestaciones intensas. La dosis del pirantel depende del peso. En la infestación intensa por vermes redondos durante el embarazo, la OMS recomienda la desparasitación en el segundo o tercer trimestre. Puede administrarse para ello albendazol, mebendazol o pirantel. Dos semanas después del tratamiento se repetirá el examen coproparasitoscópico con una técnica de concentración, y si los resultados son positivos se recomienda tratar de nuevo al paciente. En caso de haber anemia es importante la suplementación nutricional que incluya hierro. Los niños muy graves pueden necesitar transfusiones de sangre.</w:t>
      </w:r>
    </w:p>
    <w:p w14:paraId="66226364" w14:textId="77777777" w:rsidR="00924992" w:rsidRDefault="00924992">
      <w:pPr>
        <w:pStyle w:val="BodyText"/>
        <w:ind w:firstLine="0"/>
      </w:pPr>
      <w:r>
        <w:rPr>
          <w:b/>
          <w:bCs/>
        </w:rPr>
        <w:t>A</w:t>
      </w:r>
      <w:r>
        <w:rPr>
          <w:b/>
          <w:bCs/>
          <w:sz w:val="13"/>
          <w:szCs w:val="13"/>
        </w:rPr>
        <w:t xml:space="preserve">ISLAMIENTO </w:t>
      </w:r>
      <w:r>
        <w:rPr>
          <w:b/>
          <w:bCs/>
          <w:smallCaps/>
          <w:sz w:val="16"/>
          <w:szCs w:val="16"/>
        </w:rPr>
        <w:t>del</w:t>
      </w:r>
      <w:r>
        <w:rPr>
          <w:b/>
          <w:bCs/>
          <w:sz w:val="13"/>
          <w:szCs w:val="13"/>
        </w:rPr>
        <w:t xml:space="preserve"> PACIENTE HOSPITALIZADO</w:t>
      </w:r>
      <w:r>
        <w:rPr>
          <w:b/>
          <w:bCs/>
        </w:rPr>
        <w:t xml:space="preserve">: </w:t>
      </w:r>
      <w:r>
        <w:t>Se recomienda seguir sólo las precauciones estándar porque no hay transmisión directa de una persona a otra.</w:t>
      </w:r>
    </w:p>
    <w:p w14:paraId="504BD21D" w14:textId="77777777" w:rsidR="00924992" w:rsidRDefault="00924992">
      <w:pPr>
        <w:pStyle w:val="BodyText"/>
        <w:spacing w:after="100"/>
        <w:ind w:firstLine="0"/>
      </w:pPr>
      <w:r>
        <w:rPr>
          <w:b/>
          <w:bCs/>
        </w:rPr>
        <w:t>M</w:t>
      </w:r>
      <w:r>
        <w:rPr>
          <w:b/>
          <w:bCs/>
          <w:sz w:val="13"/>
          <w:szCs w:val="13"/>
        </w:rPr>
        <w:t>EDIDAS PREVENTIVAS</w:t>
      </w:r>
      <w:r>
        <w:rPr>
          <w:b/>
          <w:bCs/>
        </w:rPr>
        <w:t xml:space="preserve">: </w:t>
      </w:r>
      <w:r>
        <w:t>Se necesita la eliminación sanitaria de los excrementos para no contaminar la tierra, particularmente en áreas endémicas, aunque tal medida rara vez se practica. El tratamiento de todas las personas infestadas diagnosticadas y la detección de grupos de alto riesgo (niños y trabajadores agrícolas) en áreas endémicas ayudarán a disminuir la contaminación ambiental. También es útil usar calzado. A pesar de la reinfestación relativamente rápida, se ha recomendado la desparasitación periódica orientada más bien a niños de edad escolar para evitar las complicaciones de las infestaciones abundantes con helmintos intestinales.</w:t>
      </w:r>
    </w:p>
    <w:p w14:paraId="07C873C3" w14:textId="77777777" w:rsidR="00924992" w:rsidRDefault="00924992">
      <w:pPr>
        <w:pStyle w:val="Bodytext70"/>
        <w:spacing w:after="0"/>
      </w:pPr>
      <w:r>
        <w:t>Ureaplasma urealyticum, infecciones</w:t>
      </w:r>
    </w:p>
    <w:p w14:paraId="300DAF6C" w14:textId="77777777" w:rsidR="00924992" w:rsidRDefault="00924992">
      <w:pPr>
        <w:pStyle w:val="BodyText"/>
        <w:ind w:firstLine="0"/>
        <w:sectPr w:rsidR="00924992" w:rsidSect="00924992">
          <w:headerReference w:type="even" r:id="rId163"/>
          <w:headerReference w:type="default" r:id="rId164"/>
          <w:footerReference w:type="even" r:id="rId165"/>
          <w:footerReference w:type="default" r:id="rId166"/>
          <w:headerReference w:type="first" r:id="rId167"/>
          <w:footerReference w:type="first" r:id="rId168"/>
          <w:footnotePr>
            <w:numFmt w:val="chicago"/>
          </w:footnotePr>
          <w:pgSz w:w="8501" w:h="13022"/>
          <w:pgMar w:top="925" w:right="796" w:bottom="516" w:left="817" w:header="0" w:footer="3" w:gutter="0"/>
          <w:cols w:space="720"/>
          <w:noEndnote/>
          <w:titlePg/>
          <w:docGrid w:linePitch="360"/>
          <w15:footnoteColumns w:val="1"/>
        </w:sectPr>
      </w:pPr>
      <w:r>
        <w:rPr>
          <w:b/>
          <w:bCs/>
        </w:rPr>
        <w:t>M</w:t>
      </w:r>
      <w:r>
        <w:rPr>
          <w:b/>
          <w:bCs/>
          <w:sz w:val="13"/>
          <w:szCs w:val="13"/>
        </w:rPr>
        <w:t>ANIFESTACIONES CLÍNICAS</w:t>
      </w:r>
      <w:r>
        <w:rPr>
          <w:b/>
          <w:bCs/>
        </w:rPr>
        <w:t xml:space="preserve">: </w:t>
      </w:r>
      <w:r>
        <w:t xml:space="preserve">El síndrome más frecuente que surge con las infecciones por Ureaplasma urealyticum es la uretritis no gonocócica </w:t>
      </w:r>
      <w:r>
        <w:rPr>
          <w:i/>
          <w:iCs/>
        </w:rPr>
        <w:t>(</w:t>
      </w:r>
      <w:r>
        <w:rPr>
          <w:rFonts w:ascii="Times New Roman" w:eastAsia="Times New Roman" w:hAnsi="Times New Roman" w:cs="Times New Roman"/>
          <w:i/>
          <w:iCs/>
          <w:sz w:val="16"/>
          <w:szCs w:val="16"/>
        </w:rPr>
        <w:t>nongonococcal urethritis</w:t>
      </w:r>
      <w:r>
        <w:rPr>
          <w:i/>
          <w:iCs/>
        </w:rPr>
        <w:t xml:space="preserve">, </w:t>
      </w:r>
    </w:p>
    <w:p w14:paraId="180F82D3" w14:textId="77777777" w:rsidR="00924992" w:rsidRDefault="00924992">
      <w:pPr>
        <w:pStyle w:val="BodyText"/>
        <w:ind w:firstLine="0"/>
      </w:pPr>
      <w:r>
        <w:t xml:space="preserve">NGU). Se sabe que 15 a 55% de los casos de NGU son causados por </w:t>
      </w:r>
      <w:r>
        <w:rPr>
          <w:rFonts w:ascii="Times New Roman" w:eastAsia="Times New Roman" w:hAnsi="Times New Roman" w:cs="Times New Roman"/>
          <w:i/>
          <w:iCs/>
          <w:sz w:val="16"/>
          <w:szCs w:val="16"/>
        </w:rPr>
        <w:t>Chlamydia trachomatis</w:t>
      </w:r>
      <w:r>
        <w:rPr>
          <w:i/>
          <w:iCs/>
        </w:rPr>
        <w:t>,</w:t>
      </w:r>
      <w:r>
        <w:t xml:space="preserve"> pero </w:t>
      </w:r>
      <w:r>
        <w:rPr>
          <w:rFonts w:ascii="Times New Roman" w:eastAsia="Times New Roman" w:hAnsi="Times New Roman" w:cs="Times New Roman"/>
          <w:i/>
          <w:iCs/>
          <w:sz w:val="16"/>
          <w:szCs w:val="16"/>
        </w:rPr>
        <w:t>U. urealyticum</w:t>
      </w:r>
      <w:r>
        <w:t xml:space="preserve"> podría originar incluso 20 a 30% de los casos restantes, según algunos estudios, y la fracción restante de tal ataque no tendría causas conocidas. Sin tratamiento, la enfermedad por lo común muestra resolución en término de uno a seis meses, aunque después de esa fecha puede persistir la infección asintomática. En los varones la infección por </w:t>
      </w:r>
      <w:r>
        <w:rPr>
          <w:rFonts w:ascii="Times New Roman" w:eastAsia="Times New Roman" w:hAnsi="Times New Roman" w:cs="Times New Roman"/>
          <w:i/>
          <w:iCs/>
          <w:sz w:val="16"/>
          <w:szCs w:val="16"/>
        </w:rPr>
        <w:t>U. urealyticum</w:t>
      </w:r>
      <w:r>
        <w:t xml:space="preserve"> ha originado prostatitis y epididimitis, en tanto que en las mujeres aparecen salpingitis, endometritis y corioamnionitis.</w:t>
      </w:r>
    </w:p>
    <w:p w14:paraId="261AA229" w14:textId="77777777" w:rsidR="00924992" w:rsidRDefault="00924992">
      <w:pPr>
        <w:pStyle w:val="BodyText"/>
        <w:ind w:firstLine="360"/>
      </w:pPr>
      <w:r>
        <w:t xml:space="preserve">Se ha aislado </w:t>
      </w:r>
      <w:r>
        <w:rPr>
          <w:rFonts w:ascii="Times New Roman" w:eastAsia="Times New Roman" w:hAnsi="Times New Roman" w:cs="Times New Roman"/>
          <w:i/>
          <w:iCs/>
          <w:sz w:val="16"/>
          <w:szCs w:val="16"/>
        </w:rPr>
        <w:t>Ureaplasma urealyticum</w:t>
      </w:r>
      <w:r>
        <w:t xml:space="preserve"> en la zona baja de vías respiratorias y en muestras de biopsia de pulmón de productos pretérmino, y pudiera contribuir a la neumonía y a la neumopatía crónica de la premadurez. A pesar de que se ha identificado el microorganismo en las secreciones de vías respiratorias de pequeños de tres meses de vida o menores, con neumonía, no hay certeza en cuanto a su participación en la génesis de enfermedades de la zona baja de las vías respiratorias en lactantes de corta edad, por lo demás sanos. </w:t>
      </w:r>
      <w:r>
        <w:rPr>
          <w:rFonts w:ascii="Times New Roman" w:eastAsia="Times New Roman" w:hAnsi="Times New Roman" w:cs="Times New Roman"/>
          <w:i/>
          <w:iCs/>
          <w:sz w:val="16"/>
          <w:szCs w:val="16"/>
        </w:rPr>
        <w:t>Ureaplasma urealyticum</w:t>
      </w:r>
      <w:r>
        <w:t xml:space="preserve"> ha sido aislado de líquido cefalorraquídeo de neonatos con meningitis, hemorragia intraventricular e hidrocefalia. No se ha definido la contribución que hace este microorganismo patógeno en el pronóstico de dichos neonatos ante los efectos desorientadores que tienen la premadurez y la hemorragia intraventricular en tales casos.</w:t>
      </w:r>
    </w:p>
    <w:p w14:paraId="66CBB9A3" w14:textId="77777777" w:rsidR="00924992" w:rsidRDefault="00924992">
      <w:pPr>
        <w:pStyle w:val="BodyText"/>
        <w:ind w:firstLine="360"/>
      </w:pPr>
      <w:r>
        <w:t xml:space="preserve">Se han señalado casos aislados de artritis, osteomielitis, pericarditis y enfermedad sinopulmonar progresiva por </w:t>
      </w:r>
      <w:r>
        <w:rPr>
          <w:rFonts w:ascii="Times New Roman" w:eastAsia="Times New Roman" w:hAnsi="Times New Roman" w:cs="Times New Roman"/>
          <w:i/>
          <w:iCs/>
          <w:sz w:val="16"/>
          <w:szCs w:val="16"/>
        </w:rPr>
        <w:t>U. urealyticum</w:t>
      </w:r>
      <w:r>
        <w:t xml:space="preserve"> en niños inmunodeficientes. </w:t>
      </w:r>
      <w:r>
        <w:rPr>
          <w:b/>
          <w:bCs/>
        </w:rPr>
        <w:t>C</w:t>
      </w:r>
      <w:r>
        <w:rPr>
          <w:b/>
          <w:bCs/>
          <w:sz w:val="13"/>
          <w:szCs w:val="13"/>
        </w:rPr>
        <w:t>AUSAS</w:t>
      </w:r>
      <w:r>
        <w:rPr>
          <w:b/>
          <w:bCs/>
        </w:rPr>
        <w:t xml:space="preserve">: </w:t>
      </w:r>
      <w:r>
        <w:t xml:space="preserve">Los géneros </w:t>
      </w:r>
      <w:r>
        <w:rPr>
          <w:rFonts w:ascii="Times New Roman" w:eastAsia="Times New Roman" w:hAnsi="Times New Roman" w:cs="Times New Roman"/>
          <w:i/>
          <w:iCs/>
          <w:sz w:val="16"/>
          <w:szCs w:val="16"/>
        </w:rPr>
        <w:t>Ureaplasma y Mycoplasma</w:t>
      </w:r>
      <w:r>
        <w:t xml:space="preserve"> comprenden la familia </w:t>
      </w:r>
      <w:r>
        <w:rPr>
          <w:rFonts w:ascii="Times New Roman" w:eastAsia="Times New Roman" w:hAnsi="Times New Roman" w:cs="Times New Roman"/>
          <w:i/>
          <w:iCs/>
          <w:sz w:val="16"/>
          <w:szCs w:val="16"/>
        </w:rPr>
        <w:t>Mycoplasmataceae</w:t>
      </w:r>
      <w:r>
        <w:rPr>
          <w:i/>
          <w:iCs/>
        </w:rPr>
        <w:t xml:space="preserve">. </w:t>
      </w:r>
      <w:r>
        <w:rPr>
          <w:rFonts w:ascii="Times New Roman" w:eastAsia="Times New Roman" w:hAnsi="Times New Roman" w:cs="Times New Roman"/>
          <w:i/>
          <w:iCs/>
          <w:sz w:val="16"/>
          <w:szCs w:val="16"/>
        </w:rPr>
        <w:t>Ureaplasma</w:t>
      </w:r>
      <w:r>
        <w:t xml:space="preserve"> son bacterias pleomórficas pequeñas que de manera característica no poseen pared. El género </w:t>
      </w:r>
      <w:r>
        <w:rPr>
          <w:rFonts w:ascii="Times New Roman" w:eastAsia="Times New Roman" w:hAnsi="Times New Roman" w:cs="Times New Roman"/>
          <w:i/>
          <w:iCs/>
          <w:sz w:val="16"/>
          <w:szCs w:val="16"/>
        </w:rPr>
        <w:t>Ureaplasma</w:t>
      </w:r>
      <w:r>
        <w:t xml:space="preserve"> está integrado por una sola especie, que es </w:t>
      </w:r>
      <w:r>
        <w:rPr>
          <w:rFonts w:ascii="Times New Roman" w:eastAsia="Times New Roman" w:hAnsi="Times New Roman" w:cs="Times New Roman"/>
          <w:i/>
          <w:iCs/>
          <w:sz w:val="16"/>
          <w:szCs w:val="16"/>
        </w:rPr>
        <w:t>U. Urealyticum</w:t>
      </w:r>
      <w:r>
        <w:rPr>
          <w:i/>
          <w:iCs/>
        </w:rPr>
        <w:t>,</w:t>
      </w:r>
      <w:r>
        <w:t xml:space="preserve"> que incluye como mínimo 16 serotipos. </w:t>
      </w:r>
      <w:r>
        <w:rPr>
          <w:b/>
          <w:bCs/>
        </w:rPr>
        <w:t>A</w:t>
      </w:r>
      <w:r>
        <w:rPr>
          <w:b/>
          <w:bCs/>
          <w:sz w:val="13"/>
          <w:szCs w:val="13"/>
        </w:rPr>
        <w:t>SPECTOS EPIDEMIOLÓGICOS</w:t>
      </w:r>
      <w:r>
        <w:rPr>
          <w:b/>
          <w:bCs/>
        </w:rPr>
        <w:t xml:space="preserve">: </w:t>
      </w:r>
      <w:r>
        <w:t xml:space="preserve">El reservorio principal de </w:t>
      </w:r>
      <w:r>
        <w:rPr>
          <w:rFonts w:ascii="Times New Roman" w:eastAsia="Times New Roman" w:hAnsi="Times New Roman" w:cs="Times New Roman"/>
          <w:i/>
          <w:iCs/>
          <w:sz w:val="16"/>
          <w:szCs w:val="16"/>
        </w:rPr>
        <w:t>U. urealyticum</w:t>
      </w:r>
      <w:r>
        <w:t xml:space="preserve"> en los seres humanos son las vías genitales del adulto sexualmente activo. En cerca de la mitad de mujeres sexualmente activas hay colonización, en tanto que la incidencia de varones con las mismas características es menor. La colonización es poco común en niños prepúberes y adolescentes que no son sexualmente activos, pero la identificación del microorganismo en cultivo de material genital por sí misma no denota abuso sexual. Es posible la transmisión durante el parto, de una madre colonizada pero asintomática, a su hijo. </w:t>
      </w:r>
      <w:r>
        <w:rPr>
          <w:rFonts w:ascii="Times New Roman" w:eastAsia="Times New Roman" w:hAnsi="Times New Roman" w:cs="Times New Roman"/>
          <w:i/>
          <w:iCs/>
          <w:sz w:val="16"/>
          <w:szCs w:val="16"/>
        </w:rPr>
        <w:t>Ureaplasma urealyticum</w:t>
      </w:r>
      <w:r>
        <w:t xml:space="preserve"> puede colonizar la faringe, los ojos, el ombligo y el perineo de neonatos y persistir durante varios meses.</w:t>
      </w:r>
    </w:p>
    <w:p w14:paraId="309D8BA4" w14:textId="77777777" w:rsidR="00924992" w:rsidRDefault="00924992">
      <w:pPr>
        <w:pStyle w:val="BodyText"/>
        <w:ind w:firstLine="360"/>
      </w:pPr>
      <w:r>
        <w:t xml:space="preserve">Por lo regular se aísla </w:t>
      </w:r>
      <w:r>
        <w:rPr>
          <w:rFonts w:ascii="Times New Roman" w:eastAsia="Times New Roman" w:hAnsi="Times New Roman" w:cs="Times New Roman"/>
          <w:i/>
          <w:iCs/>
          <w:sz w:val="16"/>
          <w:szCs w:val="16"/>
        </w:rPr>
        <w:t>U. urealyticum</w:t>
      </w:r>
      <w:r>
        <w:t xml:space="preserve"> de la porción inferior de las vías genitales de la mujer y de la vías respiratorias del neonato sin que exista enfermedad; por esta razón la positividad del cultivo no corrobora o establece su papel causal en la infección aguda.</w:t>
      </w:r>
    </w:p>
    <w:p w14:paraId="2702DBDC" w14:textId="77777777" w:rsidR="00924992" w:rsidRDefault="00924992">
      <w:pPr>
        <w:pStyle w:val="BodyText"/>
        <w:ind w:firstLine="360"/>
      </w:pPr>
      <w:r>
        <w:t xml:space="preserve">El </w:t>
      </w:r>
      <w:r>
        <w:rPr>
          <w:b/>
          <w:bCs/>
        </w:rPr>
        <w:t xml:space="preserve">periodo de incubación </w:t>
      </w:r>
      <w:r>
        <w:t xml:space="preserve">de NGU después de transmisión sexual es de 10 a 20 días. </w:t>
      </w:r>
      <w:r>
        <w:rPr>
          <w:b/>
          <w:bCs/>
        </w:rPr>
        <w:t>M</w:t>
      </w:r>
      <w:r>
        <w:rPr>
          <w:b/>
          <w:bCs/>
          <w:sz w:val="13"/>
          <w:szCs w:val="13"/>
        </w:rPr>
        <w:t>ÉTODOS DIAGNÓSTICOS</w:t>
      </w:r>
      <w:r>
        <w:rPr>
          <w:b/>
          <w:bCs/>
        </w:rPr>
        <w:t xml:space="preserve">: </w:t>
      </w:r>
      <w:r>
        <w:t xml:space="preserve">Las muestras para cultivo obligan a usar medios de transporte específicos para especies de </w:t>
      </w:r>
      <w:r>
        <w:rPr>
          <w:rFonts w:ascii="Times New Roman" w:eastAsia="Times New Roman" w:hAnsi="Times New Roman" w:cs="Times New Roman"/>
          <w:i/>
          <w:iCs/>
          <w:sz w:val="16"/>
          <w:szCs w:val="16"/>
        </w:rPr>
        <w:t>Ureaplasma</w:t>
      </w:r>
      <w:r>
        <w:rPr>
          <w:i/>
          <w:iCs/>
        </w:rPr>
        <w:t>,</w:t>
      </w:r>
      <w:r>
        <w:t xml:space="preserve"> con refrigeración a 4°C. Es mejor no usar aplicadores de algodón. Se cuenta con algunos métodos de reacción en cadena de polimerasa que son sensibles y rápidos para detectar </w:t>
      </w:r>
      <w:r>
        <w:rPr>
          <w:rFonts w:ascii="Times New Roman" w:eastAsia="Times New Roman" w:hAnsi="Times New Roman" w:cs="Times New Roman"/>
          <w:i/>
          <w:iCs/>
          <w:sz w:val="16"/>
          <w:szCs w:val="16"/>
        </w:rPr>
        <w:t>U. urealyticum</w:t>
      </w:r>
      <w:r>
        <w:t xml:space="preserve">, aunque en la práctica diaria no se les practica. </w:t>
      </w:r>
      <w:r>
        <w:rPr>
          <w:rFonts w:ascii="Times New Roman" w:eastAsia="Times New Roman" w:hAnsi="Times New Roman" w:cs="Times New Roman"/>
          <w:i/>
          <w:iCs/>
          <w:sz w:val="16"/>
          <w:szCs w:val="16"/>
        </w:rPr>
        <w:t>Ureaplasma urealyticum</w:t>
      </w:r>
      <w:r>
        <w:t xml:space="preserve"> puede ser cultivo en caldo con urea, recuperado en uno a dos días. Los métodos serológicos para detectar anticuerpos contra el microorganismo tienen escasa utilidad y no se les utiliza en el diagnóstico corriente. </w:t>
      </w:r>
      <w:r>
        <w:rPr>
          <w:b/>
          <w:bCs/>
        </w:rPr>
        <w:t>T</w:t>
      </w:r>
      <w:r>
        <w:rPr>
          <w:b/>
          <w:bCs/>
          <w:sz w:val="13"/>
          <w:szCs w:val="13"/>
        </w:rPr>
        <w:t>RATAMIENTO</w:t>
      </w:r>
      <w:r>
        <w:rPr>
          <w:b/>
          <w:bCs/>
        </w:rPr>
        <w:t xml:space="preserve">: </w:t>
      </w:r>
      <w:r>
        <w:t>La positividad del cultivo no indica la necesidad de tratamiento si el niño está asintomático. En el caso de niños de mayor edad, adolescentes y adultos sintomáticos, la doxiciclina es el fármaco más indicado. Son frecuentes las recidivas. En personas alérgicas a las tetraciclinas y en otras con infecciones causadas por cepas resistentes a ella se prefiere la eritromicina como el antimicrobiano más indicado. Los estudios en adultos varones con NGU indican que también es eficaz una sola dosis de azitromicina dihidratada (1 g ingerido). No han demostrado eficacia los resultados de las investigaciones con antimicrobianos en embarazadas para evitar el parto pretérmino, y en productos pretérmino para impedir la enfermedad de pulmones. De este modo, no se puede recomendar el uso de los antimicrobianos para esas indicaciones. En forma semejante, no se cuenta con pruebas definitivas de la eficacia de los antimicrobianos en el tratamiento de las infecciones del sistema nervioso central (SNC) en lactantes y niños.</w:t>
      </w:r>
    </w:p>
    <w:p w14:paraId="33B95320" w14:textId="77777777" w:rsidR="00924992" w:rsidRDefault="00924992">
      <w:pPr>
        <w:pStyle w:val="BodyText"/>
        <w:spacing w:after="100"/>
        <w:ind w:firstLine="0"/>
      </w:pPr>
      <w:r>
        <w:rPr>
          <w:b/>
          <w:bCs/>
        </w:rPr>
        <w:t>A</w:t>
      </w:r>
      <w:r>
        <w:rPr>
          <w:b/>
          <w:bCs/>
          <w:sz w:val="13"/>
          <w:szCs w:val="13"/>
        </w:rPr>
        <w:t xml:space="preserve">ISLAMIENTO </w:t>
      </w:r>
      <w:r>
        <w:rPr>
          <w:b/>
          <w:bCs/>
          <w:smallCaps/>
          <w:sz w:val="16"/>
          <w:szCs w:val="16"/>
        </w:rPr>
        <w:t>del</w:t>
      </w:r>
      <w:r>
        <w:rPr>
          <w:b/>
          <w:bCs/>
          <w:sz w:val="13"/>
          <w:szCs w:val="13"/>
        </w:rPr>
        <w:t xml:space="preserve"> PACIENTE HOSPITALIZADO</w:t>
      </w:r>
      <w:r>
        <w:rPr>
          <w:b/>
          <w:bCs/>
        </w:rPr>
        <w:t xml:space="preserve">: </w:t>
      </w:r>
      <w:r>
        <w:t xml:space="preserve">Se recomienda seguir las precauciones estándar. </w:t>
      </w:r>
      <w:r>
        <w:rPr>
          <w:b/>
          <w:bCs/>
        </w:rPr>
        <w:t>M</w:t>
      </w:r>
      <w:r>
        <w:rPr>
          <w:b/>
          <w:bCs/>
          <w:sz w:val="13"/>
          <w:szCs w:val="13"/>
        </w:rPr>
        <w:t>EDIDAS PREVENTIVAS</w:t>
      </w:r>
      <w:r>
        <w:rPr>
          <w:b/>
          <w:bCs/>
        </w:rPr>
        <w:t xml:space="preserve">: </w:t>
      </w:r>
      <w:r>
        <w:t>Es importante notificar a los compañeros de personas sexualmente activas infectadas para así emprender el tratamiento si muestran síntomas.</w:t>
      </w:r>
    </w:p>
    <w:p w14:paraId="67B6C20C" w14:textId="77777777" w:rsidR="00924992" w:rsidRDefault="00924992">
      <w:pPr>
        <w:pStyle w:val="Bodytext70"/>
        <w:spacing w:after="0"/>
      </w:pPr>
      <w:r>
        <w:t>Varicela-zoster, virus, infecciones</w:t>
      </w:r>
    </w:p>
    <w:p w14:paraId="693F34E0" w14:textId="77777777" w:rsidR="00924992" w:rsidRDefault="00924992">
      <w:pPr>
        <w:pStyle w:val="BodyText"/>
        <w:ind w:firstLine="0"/>
      </w:pPr>
      <w:r>
        <w:t>Manifestaciones clínicas: La infección primaria origina la varicela, que se manifiesta por una erupción vesicular, pruriginosa y generalizada que de modo típico incluye 250 a 500 lesiones, febrícula y otros síntomas de orden general. Las complicaciones comprenden la infección bacteriana sobreañadida de lesiones de la piel, trombocitopenia, artritis, hepatitis, ataxia cerebelosa, encefalitis, meningitis y glomerulonefritis. La varicela tiende a ser más intensa en adolescentes y adultos, que en niños de corta edad. En algunos casos de varicela puede surgir después el síndrome de Reye, aunque su incidencia ha disminuido impresionantemente con la reducción del empleo de salicilatos durante la varicela o cuadros similares a la influenza. En niños inmunodeficientes puede surgir varicela progresivamente grave que se caracteriza por la erupción ininterrumpida de lesiones y fiebre alta que persiste en la segunda semana de la enfermedad, y también encefalitis, hepatitis y neumonía. La varicela hemorrágica también es más frecuente en niños inmunodeficientes que en los hospedadores inmunocompetentes. La neumonía es relativamente menos frecuente en los niños inmunocompetentes, pero es la complicación más frecuente en adultos. En menores con la infección por virus de inmunodeficiencia humana (VIH) surge a veces varicela crónica o recurrente (herpes zoster diseminado), y durante meses aparecen nuevas lesiones. En niños por lo demás sanos que reciben de manera intermitente ciclos de corticoterapia para tratar asma y otras enfermedades, se han señalado casos de varicela grave e incluso letal. El riesgo es especialmente grande cuando se administran los corticosteroides durante el periodo de incubación de la varicela.</w:t>
      </w:r>
    </w:p>
    <w:p w14:paraId="38DC7282" w14:textId="77777777" w:rsidR="00924992" w:rsidRDefault="00924992">
      <w:pPr>
        <w:pStyle w:val="BodyText"/>
        <w:ind w:firstLine="360"/>
      </w:pPr>
      <w:r>
        <w:t xml:space="preserve">El virus queda en estado de latencia en los ganglios de la raíz dorsal durante la infección primaria. Su reactivación ocasiona herpes zoster (herpes zona). Aparecen grupos de vesículas en la distribución de uno a tres dermatomas sensitivos, a veces acompañados de dolor localizado en tal área. La </w:t>
      </w:r>
      <w:r>
        <w:rPr>
          <w:rFonts w:ascii="Times New Roman" w:eastAsia="Times New Roman" w:hAnsi="Times New Roman" w:cs="Times New Roman"/>
          <w:i/>
          <w:iCs/>
          <w:sz w:val="16"/>
          <w:szCs w:val="16"/>
        </w:rPr>
        <w:t>neuralgia posherpética</w:t>
      </w:r>
      <w:r>
        <w:t xml:space="preserve"> se define como el dolor que persiste después que ha desaparecido la erupción. Los síntomas generalizados son pocos. En ocasiones el zoster se disemina en pacientes inmunodeficientes y surgen lesiones fuera de los límites de los dermatomas primarios y aparecen complicaciones viscerales.</w:t>
      </w:r>
    </w:p>
    <w:p w14:paraId="7C21A5BD" w14:textId="77777777" w:rsidR="00924992" w:rsidRDefault="00924992">
      <w:pPr>
        <w:pStyle w:val="BodyText"/>
        <w:ind w:firstLine="360"/>
        <w:sectPr w:rsidR="00924992" w:rsidSect="00924992">
          <w:headerReference w:type="even" r:id="rId169"/>
          <w:headerReference w:type="default" r:id="rId170"/>
          <w:footerReference w:type="even" r:id="rId171"/>
          <w:footerReference w:type="default" r:id="rId172"/>
          <w:headerReference w:type="first" r:id="rId173"/>
          <w:footerReference w:type="first" r:id="rId174"/>
          <w:footnotePr>
            <w:numFmt w:val="chicago"/>
          </w:footnotePr>
          <w:pgSz w:w="8501" w:h="13022"/>
          <w:pgMar w:top="925" w:right="796" w:bottom="516" w:left="817" w:header="0" w:footer="3" w:gutter="0"/>
          <w:cols w:space="720"/>
          <w:noEndnote/>
          <w:titlePg/>
          <w:docGrid w:linePitch="360"/>
          <w15:footnoteColumns w:val="1"/>
        </w:sectPr>
      </w:pPr>
      <w:r>
        <w:t xml:space="preserve">La infección fetal después de varicela de la gestante en el primer trimestre o comienzos del segundo del embarazo a veces causa embriopatía por varicela, que se caracteriza por atrofia de extremidades y cicatrices en la piel de las mismas (síndrome de varicela congénita). También pueden surgir manifestaciones en el sistema nervioso central y los ojos. La incidencia del síndrome congénito de varicela entre hijos de </w:t>
      </w:r>
    </w:p>
    <w:p w14:paraId="31E02C90" w14:textId="77777777" w:rsidR="00924992" w:rsidRDefault="00924992">
      <w:pPr>
        <w:pStyle w:val="BodyText"/>
        <w:ind w:firstLine="0"/>
      </w:pPr>
      <w:r>
        <w:t>resistentes a ella se prefiere la eritromicina como el antimicrobiano más indicado. Los estudios en adultos varones con NGU indican que también es eficaz una sola dosis de azitromicina dihidratada (1 g ingerido). No han demostrado eficacia los resultados de las investigaciones con antimicrobianos en embarazadas para evitar el parto pretérmino, y en productos pretérmino para impedir la enfermedad de pulmones. De este modo, no se puede recomendar el uso de los antimicrobianos para esas indicaciones. En forma semejante, no se cuenta con pruebas definitivas de la eficacia de los antimicrobianos en el tratamiento de las infecciones del sistema nervioso central (SNC) en lactantes y niños.</w:t>
      </w:r>
    </w:p>
    <w:p w14:paraId="001A4F2E" w14:textId="77777777" w:rsidR="00924992" w:rsidRDefault="00924992">
      <w:pPr>
        <w:pStyle w:val="BodyText"/>
        <w:spacing w:after="100"/>
        <w:ind w:firstLine="0"/>
      </w:pPr>
      <w:r>
        <w:rPr>
          <w:b/>
          <w:bCs/>
        </w:rPr>
        <w:t>A</w:t>
      </w:r>
      <w:r>
        <w:rPr>
          <w:b/>
          <w:bCs/>
          <w:sz w:val="13"/>
          <w:szCs w:val="13"/>
        </w:rPr>
        <w:t xml:space="preserve">ISLAMIENTO </w:t>
      </w:r>
      <w:r>
        <w:rPr>
          <w:b/>
          <w:bCs/>
          <w:smallCaps/>
          <w:sz w:val="16"/>
          <w:szCs w:val="16"/>
        </w:rPr>
        <w:t>del</w:t>
      </w:r>
      <w:r>
        <w:rPr>
          <w:b/>
          <w:bCs/>
          <w:sz w:val="13"/>
          <w:szCs w:val="13"/>
        </w:rPr>
        <w:t xml:space="preserve"> PACIENTE HOSPITALIZADO</w:t>
      </w:r>
      <w:r>
        <w:rPr>
          <w:b/>
          <w:bCs/>
        </w:rPr>
        <w:t xml:space="preserve">: </w:t>
      </w:r>
      <w:r>
        <w:t xml:space="preserve">Se recomienda seguir las precauciones estándar. </w:t>
      </w:r>
      <w:r>
        <w:rPr>
          <w:b/>
          <w:bCs/>
        </w:rPr>
        <w:t>M</w:t>
      </w:r>
      <w:r>
        <w:rPr>
          <w:b/>
          <w:bCs/>
          <w:sz w:val="13"/>
          <w:szCs w:val="13"/>
        </w:rPr>
        <w:t>EDIDAS PREVENTIVAS</w:t>
      </w:r>
      <w:r>
        <w:rPr>
          <w:b/>
          <w:bCs/>
        </w:rPr>
        <w:t xml:space="preserve">: </w:t>
      </w:r>
      <w:r>
        <w:t>Es importante notificar a los compañeros de personas sexualmente activas infectadas para así emprender el tratamiento si muestran síntomas.</w:t>
      </w:r>
    </w:p>
    <w:p w14:paraId="0C5C5A67" w14:textId="77777777" w:rsidR="00924992" w:rsidRDefault="00924992">
      <w:pPr>
        <w:pStyle w:val="Bodytext70"/>
        <w:spacing w:after="0"/>
      </w:pPr>
      <w:r>
        <w:t>Varicela-zoster, virus, infecciones</w:t>
      </w:r>
    </w:p>
    <w:p w14:paraId="4E04C7DB" w14:textId="77777777" w:rsidR="00924992" w:rsidRDefault="00924992">
      <w:pPr>
        <w:pStyle w:val="BodyText"/>
        <w:ind w:firstLine="0"/>
      </w:pPr>
      <w:r>
        <w:t>Manifestaciones clínicas: La infección primaria origina la varicela, que se manifiesta por una erupción vesicular, pruriginosa y generalizada que de modo típico incluye 250 a 500 lesiones, febrícula y otros síntomas de orden general. Las complicaciones comprenden la infección bacteriana sobreañadida de lesiones de la piel, trombocitopenia, artritis, hepatitis, ataxia cerebelosa, encefalitis, meningitis y glomerulonefritis. La varicela tiende a ser más intensa en adolescentes y adultos, que en niños de corta edad. En algunos casos de varicela puede surgir después el síndrome de Reye, aunque su incidencia ha disminuido impresionantemente con la reducción del empleo de salicilatos durante la varicela o cuadros similares a la influenza. En niños inmunodeficientes puede surgir varicela progresivamente grave que se caracteriza por la erupción ininterrumpida de lesiones y fiebre alta que persiste en la segunda semana de la enfermedad, y también encefalitis, hepatitis y neumonía. La varicela hemorrágica también es más frecuente en niños inmunodeficientes que en los hospedadores inmunocompetentes. La neumonía es relativamente menos frecuente en los niños inmunocompetentes, pero es la complicación más frecuente en adultos. En menores con la infección por virus de inmunodeficiencia humana (VIH) surge a veces varicela crónica o recurrente (herpes zoster diseminado), y durante meses aparecen nuevas lesiones. En niños por lo demás sanos que reciben de manera intermitente ciclos de corticoterapia para tratar asma y otras enfermedades, se han señalado casos de varicela grave e incluso letal. El riesgo es especialmente grande cuando se administran los corticosteroides durante el periodo de incubación de la varicela.</w:t>
      </w:r>
    </w:p>
    <w:p w14:paraId="28740BBF" w14:textId="77777777" w:rsidR="00924992" w:rsidRDefault="00924992">
      <w:pPr>
        <w:pStyle w:val="BodyText"/>
        <w:ind w:firstLine="360"/>
      </w:pPr>
      <w:r>
        <w:t xml:space="preserve">El virus queda en estado de latencia en los ganglios de la raíz dorsal durante la infección primaria. Su reactivación ocasiona herpes zoster (herpes zona). Aparecen grupos de vesículas en la distribución de uno a tres dermatomas sensitivos, a veces acompañados de dolor localizado en tal área. La </w:t>
      </w:r>
      <w:r>
        <w:rPr>
          <w:rFonts w:ascii="Times New Roman" w:eastAsia="Times New Roman" w:hAnsi="Times New Roman" w:cs="Times New Roman"/>
          <w:i/>
          <w:iCs/>
          <w:sz w:val="16"/>
          <w:szCs w:val="16"/>
        </w:rPr>
        <w:t>neuralgia posherpética</w:t>
      </w:r>
      <w:r>
        <w:t xml:space="preserve"> se define como el dolor que persiste después que ha desaparecido la erupción. Los síntomas generalizados son pocos. En ocasiones el zoster se disemina en pacientes inmunodeficientes y surgen lesiones fuera de los límites de los dermatomas primarios y aparecen complicaciones viscerales.</w:t>
      </w:r>
    </w:p>
    <w:p w14:paraId="06F357DC" w14:textId="77777777" w:rsidR="00924992" w:rsidRDefault="00924992">
      <w:pPr>
        <w:pStyle w:val="BodyText"/>
        <w:ind w:firstLine="360"/>
      </w:pPr>
      <w:r>
        <w:t xml:space="preserve">La infección fetal después de varicela de la gestante en el primer trimestre o comienzos del segundo del embarazo a veces causa embriopatía por varicela, que se caracteriza por atrofia de extremidades y cicatrices en la piel de las mismas (síndrome de varicela congénita). También pueden surgir manifestaciones en el sistema nervioso central y los ojos. La incidencia del síndrome congénito de varicela entre hijos de madres con la enfermedad es de alrededor de 2%, si la infección ocurre antes de las 20 semanas de gestación. Los menores expuestos in utero al virus de varicela-zoster en las 20 semanas siguientes del embarazo (20 a 40 semanas) pueden mostrar varicela no manifiesta y, más tarde, zoster en los comienzos de su vida sin haber tenido varicela extrauterina. La infección por varicela puede ser letal para el producto si la madre presenta la enfermedad de cinco días anteriores a dos días ulteriores al parto. Si la enfermedad surge en un lapso mayor de cinco días antes del parto y el producto tiene 28 semanas o más de edad gestacional, la gravedad del ataque en el neonato es modificada por la transferencia transplacentaria del anticuerpo IgG de la madre específico contra el virus de varicela-zoster </w:t>
      </w:r>
      <w:r>
        <w:rPr>
          <w:i/>
          <w:iCs/>
        </w:rPr>
        <w:t>(</w:t>
      </w:r>
      <w:r>
        <w:rPr>
          <w:rFonts w:ascii="Times New Roman" w:eastAsia="Times New Roman" w:hAnsi="Times New Roman" w:cs="Times New Roman"/>
          <w:i/>
          <w:iCs/>
          <w:sz w:val="16"/>
          <w:szCs w:val="16"/>
        </w:rPr>
        <w:t>varicella-zoster virus</w:t>
      </w:r>
      <w:r>
        <w:rPr>
          <w:i/>
          <w:iCs/>
        </w:rPr>
        <w:t>,</w:t>
      </w:r>
      <w:r>
        <w:t xml:space="preserve"> VZV). </w:t>
      </w:r>
      <w:r>
        <w:rPr>
          <w:b/>
          <w:bCs/>
        </w:rPr>
        <w:t>C</w:t>
      </w:r>
      <w:r>
        <w:rPr>
          <w:b/>
          <w:bCs/>
          <w:sz w:val="13"/>
          <w:szCs w:val="13"/>
        </w:rPr>
        <w:t>AUSAS</w:t>
      </w:r>
      <w:r>
        <w:rPr>
          <w:b/>
          <w:bCs/>
        </w:rPr>
        <w:t xml:space="preserve">: </w:t>
      </w:r>
      <w:r>
        <w:t xml:space="preserve">El virus de varicela-zoster es miembro de la familia de virus herpéticos. </w:t>
      </w:r>
      <w:r>
        <w:rPr>
          <w:b/>
          <w:bCs/>
        </w:rPr>
        <w:t>A</w:t>
      </w:r>
      <w:r>
        <w:rPr>
          <w:b/>
          <w:bCs/>
          <w:sz w:val="13"/>
          <w:szCs w:val="13"/>
        </w:rPr>
        <w:t>SPECTOS EPIDEMIOLÓGICOS</w:t>
      </w:r>
      <w:r>
        <w:rPr>
          <w:b/>
          <w:bCs/>
        </w:rPr>
        <w:t xml:space="preserve">: </w:t>
      </w:r>
      <w:r>
        <w:t>Los seres humanos son la única fuente de infección de este virus altamente contagioso. Ellos son infectados cuando el virus se pone en contacto con la mucosa de las vías respiratorias superiores o la conjuntiva. La transmisión directa de una persona a otra surge más bien por contacto directo de individuos con varicela o zoster y, a veces, por la propagación aerógena de secreciones de vías respiratorias y, en raras ocasiones, de lesiones del zoster. La infección in utero también ocurre como consecuencia del paso transplacentario del virus durante la infección de varicela de la gestante. La infección por el virus de varicela-zoster en un miembro del círculo familiar suele ocasionar infección de casi todas las personas susceptibles en dicho círculo. Los menores que se contagian en el hogar (casos familiares secundarios) pueden tener un cuadro mucho más grave que el del caso original. La transmisión nosocomial está perfectamente corroborada en unidades pediátricas, pero es rara en salas de cuna de neonatos.</w:t>
      </w:r>
    </w:p>
    <w:p w14:paraId="407E529C" w14:textId="77777777" w:rsidR="00924992" w:rsidRDefault="00924992">
      <w:pPr>
        <w:pStyle w:val="BodyText"/>
        <w:ind w:firstLine="360"/>
      </w:pPr>
      <w:r>
        <w:t>En climas templados, la varicela es una enfermedad infantil con una notable distribución estacional, y su máxima incidencia se advierte a finales del invierno y comienzos de la primavera. En los trópicos, los aspectos epidemiológicos de la enfermedad son diferentes; el contagio ocurre a edades mayores, es decir, hay una mayor proporción de adultos susceptibles a ella en comparación con lo que se observa en los adultos en climas templados. Antes de contar con la vacuna contra la varicela, casi todos los casos de la enfermedad en Estados Unidos se observaban en niños menores de 10 años; sin embargo, al ser unánime y obligatoria la vacunación, se espera que una mayor proporción de casos surja en adolescentes y adultos. Por lo común la inmunidad es permanente. En esta situación, la inmunidad de tipo celular es más importante que la de tipo humoral para limitar la extensión de la infección primaria con VZV y para evitar que se reactiven los virus con herpes zoster. La reinfección sintomática es poco común en personas inmunocompetentes, aunque a veces hay reinfección sin síntomas. La infección primaria asintomática es poco usual, pero dado que algunos casos son benignos y leves quizá pase inadvertida.</w:t>
      </w:r>
    </w:p>
    <w:p w14:paraId="493413A5" w14:textId="77777777" w:rsidR="00924992" w:rsidRDefault="00924992">
      <w:pPr>
        <w:pStyle w:val="BodyText"/>
        <w:ind w:firstLine="360"/>
      </w:pPr>
      <w:r>
        <w:t>Conforme se amplía la protección obtenida con la vacuna y disminuye la incidencia de varicela “natural”, una proporción mayor de casos de la enfermedad surgirá en personas vacunadas, como enfermedad “por recaída”, llamado también síndrome variciliforme modificado. En sitios en que se practica vigilancia activa, ha aumentado el número de casos de esta forma de la enfermedad, y ha variado de 4% en 1995 (de todos los casos) a cerca de 25% en el año 2000. La situación anterior no debe confundirse con una cifra cada vez mayor de enfermedad variciliforme modificada o como prueba de que la vacuna es cada vez más ineficaz.</w:t>
      </w:r>
    </w:p>
    <w:p w14:paraId="6DE28D23" w14:textId="77777777" w:rsidR="00924992" w:rsidRDefault="00924992">
      <w:pPr>
        <w:pStyle w:val="BodyText"/>
        <w:ind w:firstLine="360"/>
      </w:pPr>
      <w:r>
        <w:t>Las personas inmunodeficientes con infección primaria (varicela) o recurrente (zoster) están expuestas a un mayor peligro de mostrar enfermedad grave. Existe mayor posibilidad de que la varicela diseminada y el zoster aparezcan en niños con defectos congénitos de linfocitos T o el síndrome de inmunodeficiencia adquirida que en niños con anormalidades de linfocitos B. Otros grupos de la población infantil que pueden mostrar enfermedad más grave o complicada comprenden lactantes, adolescentes, niños con trastornos cutáneos o pulmonares crónicos y quienes reciben corticosteroides sistémicos o salicilatos por largo tiempo.</w:t>
      </w:r>
    </w:p>
    <w:p w14:paraId="274D5CA5" w14:textId="77777777" w:rsidR="00924992" w:rsidRDefault="00924992">
      <w:pPr>
        <w:pStyle w:val="BodyText"/>
        <w:ind w:firstLine="360"/>
      </w:pPr>
      <w:r>
        <w:t>La contagiosidad es máxima uno a dos días antes de la erupción o poco después de haber comenzado ésta. Tal situación persiste hasta que muestran costras las lesiones. Los niños inmunodeficientes que tienen varicela progresiva siguen siendo contagiosos durante todo el periodo de erupción de nuevas lesiones.</w:t>
      </w:r>
    </w:p>
    <w:p w14:paraId="5DE7F331" w14:textId="77777777" w:rsidR="00924992" w:rsidRDefault="00924992">
      <w:pPr>
        <w:pStyle w:val="BodyText"/>
        <w:spacing w:line="276" w:lineRule="auto"/>
        <w:ind w:firstLine="360"/>
      </w:pPr>
      <w:r>
        <w:t xml:space="preserve">El </w:t>
      </w:r>
      <w:r>
        <w:rPr>
          <w:b/>
          <w:bCs/>
        </w:rPr>
        <w:t xml:space="preserve">periodo de incubación </w:t>
      </w:r>
      <w:r>
        <w:t xml:space="preserve">suele ser de 14 a 16 días, aunque a veces es de 10 días o llega a 21 días después del contacto. Puede prolongarse y llegar incluso a 28 días después de utilizar el concentrado inmunoglobulínico contra varicela-zoster </w:t>
      </w:r>
      <w:r>
        <w:rPr>
          <w:i/>
          <w:iCs/>
        </w:rPr>
        <w:t>(</w:t>
      </w:r>
      <w:r>
        <w:rPr>
          <w:rFonts w:ascii="Times New Roman" w:eastAsia="Times New Roman" w:hAnsi="Times New Roman" w:cs="Times New Roman"/>
          <w:i/>
          <w:iCs/>
          <w:sz w:val="16"/>
          <w:szCs w:val="16"/>
        </w:rPr>
        <w:t>varicella</w:t>
      </w:r>
      <w:r>
        <w:rPr>
          <w:rFonts w:ascii="Times New Roman" w:eastAsia="Times New Roman" w:hAnsi="Times New Roman" w:cs="Times New Roman"/>
          <w:i/>
          <w:iCs/>
          <w:sz w:val="16"/>
          <w:szCs w:val="16"/>
        </w:rPr>
        <w:softHyphen/>
        <w:t>zoster immune globulin</w:t>
      </w:r>
      <w:r>
        <w:rPr>
          <w:i/>
          <w:iCs/>
        </w:rPr>
        <w:t>,</w:t>
      </w:r>
      <w:r>
        <w:t xml:space="preserve"> VZIG) y acortarse en niños inmunodeficientes. La varicela a veces surge entre uno y 16 días de vida en hijos de madres con varicela activa para la fecha del parto; el intervalo usual desde el comienzo de la erupción en la mujer hasta el comienzo en su neonato es de nueve a 15 días.</w:t>
      </w:r>
    </w:p>
    <w:p w14:paraId="2669830F" w14:textId="77777777" w:rsidR="00924992" w:rsidRDefault="00924992">
      <w:pPr>
        <w:pStyle w:val="BodyText"/>
        <w:ind w:firstLine="0"/>
      </w:pPr>
      <w:r>
        <w:rPr>
          <w:b/>
          <w:bCs/>
        </w:rPr>
        <w:t>M</w:t>
      </w:r>
      <w:r>
        <w:rPr>
          <w:b/>
          <w:bCs/>
          <w:sz w:val="13"/>
          <w:szCs w:val="13"/>
        </w:rPr>
        <w:t>ÉTODOS DIAGNÓSTICOS</w:t>
      </w:r>
      <w:r>
        <w:rPr>
          <w:b/>
          <w:bCs/>
        </w:rPr>
        <w:t xml:space="preserve">: </w:t>
      </w:r>
      <w:r>
        <w:t>Los métodos para diagnosticar VZV se resumen en el cuadro 3-75. Es posible aislar el virus del material obtenido por raspado de la base de una vesícula, en los primeros tres o cuatro días de la erupción, pero rara vez de otros sitios, incluidas las secreciones de las vías respiratorias. En retrospectiva, el incremento significativo del título de anticuerpo IgG contra varicela en suero por cualquier método serológico estándar confirma el diagnóstico. Dichos métodos serológicos son fiables para identificar el estado inmunitario de hospedadores sanos después de infección natural, pero no lo son en personas inmunodeficientes (véase “Atención de personas expuestas”, más adelante en este resumen). Casi ninguna de las pruebas que se practican en el comercio son lo suficientemente sensibles para demostrar una respuesta de anticuerpos inducida por la vacuna.</w:t>
      </w:r>
    </w:p>
    <w:p w14:paraId="38D58B46" w14:textId="77777777" w:rsidR="00924992" w:rsidRDefault="00924992">
      <w:pPr>
        <w:pStyle w:val="BodyText"/>
        <w:ind w:firstLine="0"/>
        <w:sectPr w:rsidR="00924992" w:rsidSect="00924992">
          <w:headerReference w:type="even" r:id="rId175"/>
          <w:headerReference w:type="default" r:id="rId176"/>
          <w:footerReference w:type="even" r:id="rId177"/>
          <w:footerReference w:type="default" r:id="rId178"/>
          <w:footnotePr>
            <w:numFmt w:val="chicago"/>
          </w:footnotePr>
          <w:pgSz w:w="8501" w:h="13022"/>
          <w:pgMar w:top="925" w:right="796" w:bottom="516" w:left="817" w:header="0" w:footer="3" w:gutter="0"/>
          <w:pgNumType w:start="693"/>
          <w:cols w:space="720"/>
          <w:noEndnote/>
          <w:docGrid w:linePitch="360"/>
          <w15:footnoteColumns w:val="1"/>
        </w:sectPr>
      </w:pPr>
      <w:r>
        <w:rPr>
          <w:b/>
          <w:bCs/>
        </w:rPr>
        <w:t>T</w:t>
      </w:r>
      <w:r>
        <w:rPr>
          <w:b/>
          <w:bCs/>
          <w:sz w:val="13"/>
          <w:szCs w:val="13"/>
        </w:rPr>
        <w:t>RATAMIENTO</w:t>
      </w:r>
      <w:r>
        <w:rPr>
          <w:b/>
          <w:bCs/>
        </w:rPr>
        <w:t xml:space="preserve">: </w:t>
      </w:r>
      <w:r>
        <w:t>La decisión de administrar antivíricos y la vía y duración de su uso deben depender de factores específicos del hospedador, magnitud y extensión de la infección y respuesta inicial a la terapia. Los antivíricos tienen un margen pequeño de oportunidad para modificar los resultados de la infección por varicela-zoster. En hospedadores inmunocompetentes, casi toda la réplica del virus ha cesado a las 72 h de haber comenzado la erupción, pero tal lapso se extiende en hospedadores inmunodeficientes. No se recomienda el aciclovir ingerible para uso sistemático en niños con varicela, por lo demás sanos. La administración en término de 24 h de haber comenzado la erupción hace que sólo se aplaquen levemente los síntomas. Hay que pensar en la administración del aciclovir ingerible en niños por lo demás sanos que están expuestos a un mayor peligro de varicela moderada o grave, como quienes tienen más de 12 años de vida, personas con trastornos cutáneos o pulmonares crónicos, quienes reciben salicilatos por largo tiempo y niños que reciben ciclos breves e intermitentes o en aerosol, de corticosteroides. Algunos expertos también recomiendan el uso del aciclovir ingerible para casos secundarios dentro del círculo familiar en que la enfermedad suele ser más grave que en el caso primario. Para conocer las recomendaciones de dosis y duración del tratamiento, consúltese “Antivíricos contra infecciones no producidas por VIH” (sección 4).</w:t>
      </w:r>
    </w:p>
    <w:p w14:paraId="734CD870" w14:textId="77777777" w:rsidR="00924992" w:rsidRDefault="00924992">
      <w:pPr>
        <w:pStyle w:val="Heading31"/>
        <w:keepNext/>
        <w:keepLines/>
        <w:framePr w:w="8078" w:h="317" w:wrap="none" w:hAnchor="page" w:x="2286" w:y="1"/>
      </w:pPr>
      <w:bookmarkStart w:id="176" w:name="bookmark1622"/>
      <w:bookmarkStart w:id="177" w:name="bookmark1623"/>
      <w:bookmarkStart w:id="178" w:name="bookmark1624"/>
      <w:r>
        <w:rPr>
          <w:b w:val="0"/>
          <w:bCs w:val="0"/>
        </w:rPr>
        <w:t xml:space="preserve">Cuadro 3-75. </w:t>
      </w:r>
      <w:r>
        <w:t>Métodos para diagnosticar la infección por el virus de varicela-zoster (VZV)</w:t>
      </w:r>
      <w:bookmarkEnd w:id="176"/>
      <w:bookmarkEnd w:id="177"/>
      <w:bookmarkEnd w:id="178"/>
    </w:p>
    <w:tbl>
      <w:tblPr>
        <w:tblOverlap w:val="never"/>
        <w:tblW w:w="0" w:type="auto"/>
        <w:tblLayout w:type="fixed"/>
        <w:tblCellMar>
          <w:left w:w="10" w:type="dxa"/>
          <w:right w:w="10" w:type="dxa"/>
        </w:tblCellMar>
        <w:tblLook w:val="04A0" w:firstRow="1" w:lastRow="0" w:firstColumn="1" w:lastColumn="0" w:noHBand="0" w:noVBand="1"/>
      </w:tblPr>
      <w:tblGrid>
        <w:gridCol w:w="1474"/>
        <w:gridCol w:w="5054"/>
        <w:gridCol w:w="4896"/>
      </w:tblGrid>
      <w:tr w:rsidR="00924992" w14:paraId="3DE3CF9F" w14:textId="77777777">
        <w:tblPrEx>
          <w:tblCellMar>
            <w:top w:w="0" w:type="dxa"/>
            <w:bottom w:w="0" w:type="dxa"/>
          </w:tblCellMar>
        </w:tblPrEx>
        <w:trPr>
          <w:trHeight w:hRule="exact" w:val="274"/>
        </w:trPr>
        <w:tc>
          <w:tcPr>
            <w:tcW w:w="1474" w:type="dxa"/>
            <w:shd w:val="clear" w:color="auto" w:fill="231F20"/>
          </w:tcPr>
          <w:p w14:paraId="661842FC" w14:textId="77777777" w:rsidR="00924992" w:rsidRDefault="00924992">
            <w:pPr>
              <w:pStyle w:val="Other0"/>
              <w:framePr w:w="11424" w:h="4546" w:vSpace="854" w:wrap="none" w:hAnchor="page" w:x="606" w:y="361"/>
              <w:pBdr>
                <w:top w:val="single" w:sz="0" w:space="0" w:color="231F20"/>
                <w:left w:val="single" w:sz="0" w:space="0" w:color="231F20"/>
                <w:bottom w:val="single" w:sz="0" w:space="0" w:color="231F20"/>
                <w:right w:val="single" w:sz="0" w:space="0" w:color="231F20"/>
              </w:pBdr>
              <w:shd w:val="clear" w:color="auto" w:fill="231F20"/>
              <w:spacing w:line="240" w:lineRule="auto"/>
              <w:ind w:firstLine="0"/>
              <w:rPr>
                <w:sz w:val="24"/>
                <w:szCs w:val="24"/>
              </w:rPr>
            </w:pPr>
            <w:r>
              <w:rPr>
                <w:rFonts w:ascii="Arial" w:eastAsia="Arial" w:hAnsi="Arial" w:cs="Arial"/>
                <w:b/>
                <w:bCs/>
                <w:color w:val="FFFFFF"/>
                <w:w w:val="70"/>
                <w:sz w:val="24"/>
                <w:szCs w:val="24"/>
              </w:rPr>
              <w:t>Método</w:t>
            </w:r>
          </w:p>
        </w:tc>
        <w:tc>
          <w:tcPr>
            <w:tcW w:w="5054" w:type="dxa"/>
            <w:shd w:val="clear" w:color="auto" w:fill="231F20"/>
          </w:tcPr>
          <w:p w14:paraId="4BCEB8F4" w14:textId="77777777" w:rsidR="00924992" w:rsidRDefault="00924992">
            <w:pPr>
              <w:pStyle w:val="Other0"/>
              <w:framePr w:w="11424" w:h="4546" w:vSpace="854" w:wrap="none" w:hAnchor="page" w:x="606" w:y="361"/>
              <w:pBdr>
                <w:top w:val="single" w:sz="0" w:space="0" w:color="231F20"/>
                <w:left w:val="single" w:sz="0" w:space="0" w:color="231F20"/>
                <w:bottom w:val="single" w:sz="0" w:space="0" w:color="231F20"/>
                <w:right w:val="single" w:sz="0" w:space="0" w:color="231F20"/>
              </w:pBdr>
              <w:shd w:val="clear" w:color="auto" w:fill="231F20"/>
              <w:spacing w:line="240" w:lineRule="auto"/>
              <w:ind w:firstLine="220"/>
              <w:rPr>
                <w:sz w:val="24"/>
                <w:szCs w:val="24"/>
              </w:rPr>
            </w:pPr>
            <w:r>
              <w:rPr>
                <w:rFonts w:ascii="Arial" w:eastAsia="Arial" w:hAnsi="Arial" w:cs="Arial"/>
                <w:b/>
                <w:bCs/>
                <w:color w:val="FFFFFF"/>
                <w:w w:val="70"/>
                <w:sz w:val="24"/>
                <w:szCs w:val="24"/>
              </w:rPr>
              <w:t>Muestra</w:t>
            </w:r>
          </w:p>
        </w:tc>
        <w:tc>
          <w:tcPr>
            <w:tcW w:w="4896" w:type="dxa"/>
            <w:shd w:val="clear" w:color="auto" w:fill="231F20"/>
          </w:tcPr>
          <w:p w14:paraId="549A48B3" w14:textId="77777777" w:rsidR="00924992" w:rsidRDefault="00924992">
            <w:pPr>
              <w:pStyle w:val="Other0"/>
              <w:framePr w:w="11424" w:h="4546" w:vSpace="854" w:wrap="none" w:hAnchor="page" w:x="606" w:y="361"/>
              <w:pBdr>
                <w:top w:val="single" w:sz="0" w:space="0" w:color="231F20"/>
                <w:left w:val="single" w:sz="0" w:space="0" w:color="231F20"/>
                <w:bottom w:val="single" w:sz="0" w:space="0" w:color="231F20"/>
                <w:right w:val="single" w:sz="0" w:space="0" w:color="231F20"/>
              </w:pBdr>
              <w:shd w:val="clear" w:color="auto" w:fill="231F20"/>
              <w:spacing w:line="240" w:lineRule="auto"/>
              <w:ind w:firstLine="320"/>
              <w:rPr>
                <w:sz w:val="24"/>
                <w:szCs w:val="24"/>
              </w:rPr>
            </w:pPr>
            <w:r>
              <w:rPr>
                <w:rFonts w:ascii="Arial" w:eastAsia="Arial" w:hAnsi="Arial" w:cs="Arial"/>
                <w:b/>
                <w:bCs/>
                <w:color w:val="FFFFFF"/>
                <w:w w:val="70"/>
                <w:sz w:val="24"/>
                <w:szCs w:val="24"/>
              </w:rPr>
              <w:t>Comentarios</w:t>
            </w:r>
          </w:p>
        </w:tc>
      </w:tr>
      <w:tr w:rsidR="00924992" w14:paraId="3A88C327" w14:textId="77777777">
        <w:tblPrEx>
          <w:tblCellMar>
            <w:top w:w="0" w:type="dxa"/>
            <w:bottom w:w="0" w:type="dxa"/>
          </w:tblCellMar>
        </w:tblPrEx>
        <w:trPr>
          <w:trHeight w:hRule="exact" w:val="504"/>
        </w:trPr>
        <w:tc>
          <w:tcPr>
            <w:tcW w:w="1474" w:type="dxa"/>
            <w:shd w:val="clear" w:color="auto" w:fill="FFFFFF"/>
          </w:tcPr>
          <w:p w14:paraId="67A0E35F" w14:textId="77777777" w:rsidR="00924992" w:rsidRDefault="00924992">
            <w:pPr>
              <w:pStyle w:val="Other0"/>
              <w:framePr w:w="11424" w:h="4546" w:vSpace="854" w:wrap="none" w:hAnchor="page" w:x="606" w:y="361"/>
              <w:spacing w:line="240" w:lineRule="auto"/>
              <w:ind w:firstLine="0"/>
              <w:rPr>
                <w:sz w:val="16"/>
                <w:szCs w:val="16"/>
              </w:rPr>
            </w:pPr>
            <w:r>
              <w:rPr>
                <w:rFonts w:ascii="Times New Roman" w:eastAsia="Times New Roman" w:hAnsi="Times New Roman" w:cs="Times New Roman"/>
                <w:sz w:val="16"/>
                <w:szCs w:val="16"/>
              </w:rPr>
              <w:t>Cultivos tisulares</w:t>
            </w:r>
          </w:p>
        </w:tc>
        <w:tc>
          <w:tcPr>
            <w:tcW w:w="5054" w:type="dxa"/>
            <w:shd w:val="clear" w:color="auto" w:fill="FFFFFF"/>
          </w:tcPr>
          <w:p w14:paraId="223FA0D6" w14:textId="77777777" w:rsidR="00924992" w:rsidRDefault="00924992">
            <w:pPr>
              <w:pStyle w:val="Other0"/>
              <w:framePr w:w="11424" w:h="4546" w:vSpace="854" w:wrap="none" w:hAnchor="page" w:x="606" w:y="361"/>
              <w:spacing w:line="240" w:lineRule="auto"/>
              <w:ind w:firstLine="220"/>
              <w:rPr>
                <w:sz w:val="16"/>
                <w:szCs w:val="16"/>
              </w:rPr>
            </w:pPr>
            <w:r>
              <w:rPr>
                <w:rFonts w:ascii="Times New Roman" w:eastAsia="Times New Roman" w:hAnsi="Times New Roman" w:cs="Times New Roman"/>
                <w:sz w:val="16"/>
                <w:szCs w:val="16"/>
              </w:rPr>
              <w:t>Líquido de vesículas</w:t>
            </w:r>
          </w:p>
        </w:tc>
        <w:tc>
          <w:tcPr>
            <w:tcW w:w="4896" w:type="dxa"/>
            <w:shd w:val="clear" w:color="auto" w:fill="FFFFFF"/>
            <w:vAlign w:val="bottom"/>
          </w:tcPr>
          <w:p w14:paraId="7E09E5BD" w14:textId="77777777" w:rsidR="00924992" w:rsidRDefault="00924992">
            <w:pPr>
              <w:pStyle w:val="Other0"/>
              <w:framePr w:w="11424" w:h="4546" w:vSpace="854" w:wrap="none" w:hAnchor="page" w:x="606" w:y="361"/>
              <w:spacing w:line="240" w:lineRule="auto"/>
              <w:ind w:firstLine="320"/>
              <w:rPr>
                <w:sz w:val="16"/>
                <w:szCs w:val="16"/>
              </w:rPr>
            </w:pPr>
            <w:r>
              <w:rPr>
                <w:rFonts w:ascii="Times New Roman" w:eastAsia="Times New Roman" w:hAnsi="Times New Roman" w:cs="Times New Roman"/>
                <w:sz w:val="16"/>
                <w:szCs w:val="16"/>
              </w:rPr>
              <w:t>Diferenciar VZV, de HSV.</w:t>
            </w:r>
          </w:p>
          <w:p w14:paraId="5CBF861C" w14:textId="77777777" w:rsidR="00924992" w:rsidRDefault="00924992">
            <w:pPr>
              <w:pStyle w:val="Other0"/>
              <w:framePr w:w="11424" w:h="4546" w:vSpace="854" w:wrap="none" w:hAnchor="page" w:x="606" w:y="361"/>
              <w:spacing w:line="240" w:lineRule="auto"/>
              <w:ind w:firstLine="320"/>
              <w:rPr>
                <w:sz w:val="16"/>
                <w:szCs w:val="16"/>
              </w:rPr>
            </w:pPr>
            <w:r>
              <w:rPr>
                <w:rFonts w:ascii="Times New Roman" w:eastAsia="Times New Roman" w:hAnsi="Times New Roman" w:cs="Times New Roman"/>
                <w:sz w:val="16"/>
                <w:szCs w:val="16"/>
              </w:rPr>
              <w:t>Por su costo, es limitada su práctica.</w:t>
            </w:r>
          </w:p>
        </w:tc>
      </w:tr>
      <w:tr w:rsidR="00924992" w14:paraId="2850405F" w14:textId="77777777">
        <w:tblPrEx>
          <w:tblCellMar>
            <w:top w:w="0" w:type="dxa"/>
            <w:bottom w:w="0" w:type="dxa"/>
          </w:tblCellMar>
        </w:tblPrEx>
        <w:trPr>
          <w:trHeight w:hRule="exact" w:val="422"/>
        </w:trPr>
        <w:tc>
          <w:tcPr>
            <w:tcW w:w="1474" w:type="dxa"/>
            <w:shd w:val="clear" w:color="auto" w:fill="FFFFFF"/>
          </w:tcPr>
          <w:p w14:paraId="2BB386FC" w14:textId="77777777" w:rsidR="00924992" w:rsidRDefault="00924992">
            <w:pPr>
              <w:pStyle w:val="Other0"/>
              <w:framePr w:w="11424" w:h="4546" w:vSpace="854" w:wrap="none" w:hAnchor="page" w:x="606" w:y="361"/>
              <w:spacing w:line="240" w:lineRule="auto"/>
              <w:ind w:firstLine="0"/>
              <w:rPr>
                <w:sz w:val="16"/>
                <w:szCs w:val="16"/>
              </w:rPr>
            </w:pPr>
            <w:r>
              <w:rPr>
                <w:rFonts w:ascii="Times New Roman" w:eastAsia="Times New Roman" w:hAnsi="Times New Roman" w:cs="Times New Roman"/>
                <w:sz w:val="16"/>
                <w:szCs w:val="16"/>
              </w:rPr>
              <w:t>DFA</w:t>
            </w:r>
          </w:p>
        </w:tc>
        <w:tc>
          <w:tcPr>
            <w:tcW w:w="5054" w:type="dxa"/>
            <w:shd w:val="clear" w:color="auto" w:fill="FFFFFF"/>
          </w:tcPr>
          <w:p w14:paraId="214E46E4" w14:textId="77777777" w:rsidR="00924992" w:rsidRDefault="00924992">
            <w:pPr>
              <w:pStyle w:val="Other0"/>
              <w:framePr w:w="11424" w:h="4546" w:vSpace="854" w:wrap="none" w:hAnchor="page" w:x="606" w:y="361"/>
              <w:spacing w:line="240" w:lineRule="auto"/>
              <w:ind w:firstLine="220"/>
              <w:rPr>
                <w:sz w:val="16"/>
                <w:szCs w:val="16"/>
              </w:rPr>
            </w:pPr>
            <w:r>
              <w:rPr>
                <w:rFonts w:ascii="Times New Roman" w:eastAsia="Times New Roman" w:hAnsi="Times New Roman" w:cs="Times New Roman"/>
                <w:sz w:val="16"/>
                <w:szCs w:val="16"/>
              </w:rPr>
              <w:t>Material de vesícula obtenido por raspado</w:t>
            </w:r>
          </w:p>
        </w:tc>
        <w:tc>
          <w:tcPr>
            <w:tcW w:w="4896" w:type="dxa"/>
            <w:shd w:val="clear" w:color="auto" w:fill="FFFFFF"/>
            <w:vAlign w:val="bottom"/>
          </w:tcPr>
          <w:p w14:paraId="53026E65" w14:textId="77777777" w:rsidR="00924992" w:rsidRDefault="00924992">
            <w:pPr>
              <w:pStyle w:val="Other0"/>
              <w:framePr w:w="11424" w:h="4546" w:vSpace="854" w:wrap="none" w:hAnchor="page" w:x="606" w:y="361"/>
              <w:spacing w:line="240" w:lineRule="auto"/>
              <w:ind w:firstLine="320"/>
              <w:rPr>
                <w:sz w:val="16"/>
                <w:szCs w:val="16"/>
              </w:rPr>
            </w:pPr>
            <w:r>
              <w:rPr>
                <w:rFonts w:ascii="Times New Roman" w:eastAsia="Times New Roman" w:hAnsi="Times New Roman" w:cs="Times New Roman"/>
                <w:sz w:val="16"/>
                <w:szCs w:val="16"/>
              </w:rPr>
              <w:t>Diferenciar VZV, de HSV.</w:t>
            </w:r>
          </w:p>
          <w:p w14:paraId="1F52032B" w14:textId="77777777" w:rsidR="00924992" w:rsidRDefault="00924992">
            <w:pPr>
              <w:pStyle w:val="Other0"/>
              <w:framePr w:w="11424" w:h="4546" w:vSpace="854" w:wrap="none" w:hAnchor="page" w:x="606" w:y="361"/>
              <w:spacing w:line="240" w:lineRule="auto"/>
              <w:ind w:firstLine="320"/>
              <w:rPr>
                <w:sz w:val="16"/>
                <w:szCs w:val="16"/>
              </w:rPr>
            </w:pPr>
            <w:r>
              <w:rPr>
                <w:rFonts w:ascii="Times New Roman" w:eastAsia="Times New Roman" w:hAnsi="Times New Roman" w:cs="Times New Roman"/>
                <w:sz w:val="16"/>
                <w:szCs w:val="16"/>
              </w:rPr>
              <w:t>Método más rápido y sensible de cultivo.</w:t>
            </w:r>
          </w:p>
        </w:tc>
      </w:tr>
      <w:tr w:rsidR="00924992" w14:paraId="6C88D9D0" w14:textId="77777777">
        <w:tblPrEx>
          <w:tblCellMar>
            <w:top w:w="0" w:type="dxa"/>
            <w:bottom w:w="0" w:type="dxa"/>
          </w:tblCellMar>
        </w:tblPrEx>
        <w:trPr>
          <w:trHeight w:hRule="exact" w:val="648"/>
        </w:trPr>
        <w:tc>
          <w:tcPr>
            <w:tcW w:w="1474" w:type="dxa"/>
            <w:shd w:val="clear" w:color="auto" w:fill="FFFFFF"/>
          </w:tcPr>
          <w:p w14:paraId="29C23562" w14:textId="77777777" w:rsidR="00924992" w:rsidRDefault="00924992">
            <w:pPr>
              <w:pStyle w:val="Other0"/>
              <w:framePr w:w="11424" w:h="4546" w:vSpace="854" w:wrap="none" w:hAnchor="page" w:x="606" w:y="361"/>
              <w:spacing w:line="240" w:lineRule="auto"/>
              <w:ind w:firstLine="0"/>
              <w:rPr>
                <w:sz w:val="16"/>
                <w:szCs w:val="16"/>
              </w:rPr>
            </w:pPr>
            <w:r>
              <w:rPr>
                <w:rFonts w:ascii="Times New Roman" w:eastAsia="Times New Roman" w:hAnsi="Times New Roman" w:cs="Times New Roman"/>
                <w:sz w:val="16"/>
                <w:szCs w:val="16"/>
              </w:rPr>
              <w:t>Frotis de Tzanck</w:t>
            </w:r>
          </w:p>
        </w:tc>
        <w:tc>
          <w:tcPr>
            <w:tcW w:w="5054" w:type="dxa"/>
            <w:shd w:val="clear" w:color="auto" w:fill="FFFFFF"/>
          </w:tcPr>
          <w:p w14:paraId="1A86C546" w14:textId="77777777" w:rsidR="00924992" w:rsidRDefault="00924992">
            <w:pPr>
              <w:pStyle w:val="Other0"/>
              <w:framePr w:w="11424" w:h="4546" w:vSpace="854" w:wrap="none" w:hAnchor="page" w:x="606" w:y="361"/>
              <w:spacing w:line="240" w:lineRule="auto"/>
              <w:ind w:firstLine="220"/>
              <w:rPr>
                <w:sz w:val="16"/>
                <w:szCs w:val="16"/>
              </w:rPr>
            </w:pPr>
            <w:r>
              <w:rPr>
                <w:rFonts w:ascii="Times New Roman" w:eastAsia="Times New Roman" w:hAnsi="Times New Roman" w:cs="Times New Roman"/>
                <w:sz w:val="16"/>
                <w:szCs w:val="16"/>
              </w:rPr>
              <w:t>Material de vesícula obtenido por raspado</w:t>
            </w:r>
          </w:p>
        </w:tc>
        <w:tc>
          <w:tcPr>
            <w:tcW w:w="4896" w:type="dxa"/>
            <w:shd w:val="clear" w:color="auto" w:fill="FFFFFF"/>
            <w:vAlign w:val="bottom"/>
          </w:tcPr>
          <w:p w14:paraId="3F4ACBA5" w14:textId="77777777" w:rsidR="00924992" w:rsidRDefault="00924992">
            <w:pPr>
              <w:pStyle w:val="Other0"/>
              <w:framePr w:w="11424" w:h="4546" w:vSpace="854" w:wrap="none" w:hAnchor="page" w:x="606" w:y="361"/>
              <w:spacing w:line="283" w:lineRule="auto"/>
              <w:ind w:left="320"/>
              <w:rPr>
                <w:sz w:val="16"/>
                <w:szCs w:val="16"/>
              </w:rPr>
            </w:pPr>
            <w:r>
              <w:rPr>
                <w:rFonts w:ascii="Times New Roman" w:eastAsia="Times New Roman" w:hAnsi="Times New Roman" w:cs="Times New Roman"/>
                <w:sz w:val="16"/>
                <w:szCs w:val="16"/>
              </w:rPr>
              <w:t>Véase células gigantes multinucleadas, con inclusiones. No es específico de VZV.</w:t>
            </w:r>
          </w:p>
          <w:p w14:paraId="33736224" w14:textId="77777777" w:rsidR="00924992" w:rsidRDefault="00924992">
            <w:pPr>
              <w:pStyle w:val="Other0"/>
              <w:framePr w:w="11424" w:h="4546" w:vSpace="854" w:wrap="none" w:hAnchor="page" w:x="606" w:y="361"/>
              <w:spacing w:line="283" w:lineRule="auto"/>
              <w:ind w:left="320"/>
              <w:rPr>
                <w:sz w:val="16"/>
                <w:szCs w:val="16"/>
              </w:rPr>
            </w:pPr>
            <w:r>
              <w:rPr>
                <w:rFonts w:ascii="Times New Roman" w:eastAsia="Times New Roman" w:hAnsi="Times New Roman" w:cs="Times New Roman"/>
                <w:sz w:val="16"/>
                <w:szCs w:val="16"/>
              </w:rPr>
              <w:t>Método menos sensible y exacto que DFA.</w:t>
            </w:r>
          </w:p>
        </w:tc>
      </w:tr>
      <w:tr w:rsidR="00924992" w14:paraId="5D771DD8" w14:textId="77777777">
        <w:tblPrEx>
          <w:tblCellMar>
            <w:top w:w="0" w:type="dxa"/>
            <w:bottom w:w="0" w:type="dxa"/>
          </w:tblCellMar>
        </w:tblPrEx>
        <w:trPr>
          <w:trHeight w:hRule="exact" w:val="648"/>
        </w:trPr>
        <w:tc>
          <w:tcPr>
            <w:tcW w:w="1474" w:type="dxa"/>
            <w:shd w:val="clear" w:color="auto" w:fill="FFFFFF"/>
          </w:tcPr>
          <w:p w14:paraId="5918FF7D" w14:textId="77777777" w:rsidR="00924992" w:rsidRDefault="00924992">
            <w:pPr>
              <w:pStyle w:val="Other0"/>
              <w:framePr w:w="11424" w:h="4546" w:vSpace="854" w:wrap="none" w:hAnchor="page" w:x="606" w:y="361"/>
              <w:spacing w:line="240" w:lineRule="auto"/>
              <w:ind w:firstLine="0"/>
              <w:rPr>
                <w:sz w:val="16"/>
                <w:szCs w:val="16"/>
              </w:rPr>
            </w:pPr>
            <w:r>
              <w:rPr>
                <w:rFonts w:ascii="Times New Roman" w:eastAsia="Times New Roman" w:hAnsi="Times New Roman" w:cs="Times New Roman"/>
                <w:sz w:val="16"/>
                <w:szCs w:val="16"/>
              </w:rPr>
              <w:t>EIA</w:t>
            </w:r>
          </w:p>
        </w:tc>
        <w:tc>
          <w:tcPr>
            <w:tcW w:w="5054" w:type="dxa"/>
            <w:shd w:val="clear" w:color="auto" w:fill="FFFFFF"/>
          </w:tcPr>
          <w:p w14:paraId="2F0E533A" w14:textId="77777777" w:rsidR="00924992" w:rsidRDefault="00924992">
            <w:pPr>
              <w:pStyle w:val="Other0"/>
              <w:framePr w:w="11424" w:h="4546" w:vSpace="854" w:wrap="none" w:hAnchor="page" w:x="606" w:y="361"/>
              <w:spacing w:line="240" w:lineRule="auto"/>
              <w:ind w:firstLine="220"/>
              <w:rPr>
                <w:sz w:val="16"/>
                <w:szCs w:val="16"/>
              </w:rPr>
            </w:pPr>
            <w:r>
              <w:rPr>
                <w:rFonts w:ascii="Times New Roman" w:eastAsia="Times New Roman" w:hAnsi="Times New Roman" w:cs="Times New Roman"/>
                <w:sz w:val="16"/>
                <w:szCs w:val="16"/>
              </w:rPr>
              <w:t>Muestras de suero de fase aguda y convalecencia para medir IgG</w:t>
            </w:r>
          </w:p>
        </w:tc>
        <w:tc>
          <w:tcPr>
            <w:tcW w:w="4896" w:type="dxa"/>
            <w:shd w:val="clear" w:color="auto" w:fill="FFFFFF"/>
            <w:vAlign w:val="bottom"/>
          </w:tcPr>
          <w:p w14:paraId="539B925D" w14:textId="77777777" w:rsidR="00924992" w:rsidRDefault="00924992">
            <w:pPr>
              <w:pStyle w:val="Other0"/>
              <w:framePr w:w="11424" w:h="4546" w:vSpace="854" w:wrap="none" w:hAnchor="page" w:x="606" w:y="361"/>
              <w:spacing w:line="283" w:lineRule="auto"/>
              <w:ind w:left="320"/>
              <w:rPr>
                <w:sz w:val="16"/>
                <w:szCs w:val="16"/>
              </w:rPr>
            </w:pPr>
            <w:r>
              <w:rPr>
                <w:rFonts w:ascii="Times New Roman" w:eastAsia="Times New Roman" w:hAnsi="Times New Roman" w:cs="Times New Roman"/>
                <w:sz w:val="16"/>
                <w:szCs w:val="16"/>
              </w:rPr>
              <w:t>Necesita equipo especial.</w:t>
            </w:r>
          </w:p>
          <w:p w14:paraId="124ADFC4" w14:textId="77777777" w:rsidR="00924992" w:rsidRDefault="00924992">
            <w:pPr>
              <w:pStyle w:val="Other0"/>
              <w:framePr w:w="11424" w:h="4546" w:vSpace="854" w:wrap="none" w:hAnchor="page" w:x="606" w:y="361"/>
              <w:spacing w:line="283" w:lineRule="auto"/>
              <w:ind w:left="440" w:hanging="100"/>
              <w:rPr>
                <w:sz w:val="16"/>
                <w:szCs w:val="16"/>
              </w:rPr>
            </w:pPr>
            <w:r>
              <w:rPr>
                <w:rFonts w:ascii="Times New Roman" w:eastAsia="Times New Roman" w:hAnsi="Times New Roman" w:cs="Times New Roman"/>
                <w:sz w:val="16"/>
                <w:szCs w:val="16"/>
              </w:rPr>
              <w:t>Quizá no tenga la suficiente sensibilidad para identificar inmunidad inducida por la vacuna.</w:t>
            </w:r>
          </w:p>
        </w:tc>
      </w:tr>
      <w:tr w:rsidR="00924992" w14:paraId="16554BE5" w14:textId="77777777">
        <w:tblPrEx>
          <w:tblCellMar>
            <w:top w:w="0" w:type="dxa"/>
            <w:bottom w:w="0" w:type="dxa"/>
          </w:tblCellMar>
        </w:tblPrEx>
        <w:trPr>
          <w:trHeight w:hRule="exact" w:val="446"/>
        </w:trPr>
        <w:tc>
          <w:tcPr>
            <w:tcW w:w="1474" w:type="dxa"/>
            <w:shd w:val="clear" w:color="auto" w:fill="FFFFFF"/>
          </w:tcPr>
          <w:p w14:paraId="3DC0D7C9" w14:textId="77777777" w:rsidR="00924992" w:rsidRDefault="00924992">
            <w:pPr>
              <w:pStyle w:val="Other0"/>
              <w:framePr w:w="11424" w:h="4546" w:vSpace="854" w:wrap="none" w:hAnchor="page" w:x="606" w:y="361"/>
              <w:spacing w:line="240" w:lineRule="auto"/>
              <w:ind w:firstLine="0"/>
              <w:rPr>
                <w:sz w:val="16"/>
                <w:szCs w:val="16"/>
              </w:rPr>
            </w:pPr>
            <w:r>
              <w:rPr>
                <w:rFonts w:ascii="Times New Roman" w:eastAsia="Times New Roman" w:hAnsi="Times New Roman" w:cs="Times New Roman"/>
                <w:sz w:val="16"/>
                <w:szCs w:val="16"/>
              </w:rPr>
              <w:t>LA</w:t>
            </w:r>
          </w:p>
        </w:tc>
        <w:tc>
          <w:tcPr>
            <w:tcW w:w="5054" w:type="dxa"/>
            <w:shd w:val="clear" w:color="auto" w:fill="FFFFFF"/>
          </w:tcPr>
          <w:p w14:paraId="2A231E93" w14:textId="77777777" w:rsidR="00924992" w:rsidRDefault="00924992">
            <w:pPr>
              <w:pStyle w:val="Other0"/>
              <w:framePr w:w="11424" w:h="4546" w:vSpace="854" w:wrap="none" w:hAnchor="page" w:x="606" w:y="361"/>
              <w:spacing w:line="240" w:lineRule="auto"/>
              <w:ind w:firstLine="220"/>
              <w:rPr>
                <w:sz w:val="16"/>
                <w:szCs w:val="16"/>
              </w:rPr>
            </w:pPr>
            <w:r>
              <w:rPr>
                <w:rFonts w:ascii="Times New Roman" w:eastAsia="Times New Roman" w:hAnsi="Times New Roman" w:cs="Times New Roman"/>
                <w:sz w:val="16"/>
                <w:szCs w:val="16"/>
              </w:rPr>
              <w:t>Muestras de suero de fase aguda y convalecencia para medir IgG</w:t>
            </w:r>
          </w:p>
        </w:tc>
        <w:tc>
          <w:tcPr>
            <w:tcW w:w="4896" w:type="dxa"/>
            <w:shd w:val="clear" w:color="auto" w:fill="FFFFFF"/>
            <w:vAlign w:val="bottom"/>
          </w:tcPr>
          <w:p w14:paraId="2058BE1A" w14:textId="77777777" w:rsidR="00924992" w:rsidRDefault="00924992">
            <w:pPr>
              <w:pStyle w:val="Other0"/>
              <w:framePr w:w="11424" w:h="4546" w:vSpace="854" w:wrap="none" w:hAnchor="page" w:x="606" w:y="361"/>
              <w:spacing w:line="240" w:lineRule="auto"/>
              <w:ind w:firstLine="320"/>
              <w:rPr>
                <w:sz w:val="16"/>
                <w:szCs w:val="16"/>
              </w:rPr>
            </w:pPr>
            <w:r>
              <w:rPr>
                <w:rFonts w:ascii="Times New Roman" w:eastAsia="Times New Roman" w:hAnsi="Times New Roman" w:cs="Times New Roman"/>
                <w:sz w:val="16"/>
                <w:szCs w:val="16"/>
              </w:rPr>
              <w:t>Método rápido (15 min) que no necesita equipo especial.</w:t>
            </w:r>
          </w:p>
          <w:p w14:paraId="0781B6FA" w14:textId="77777777" w:rsidR="00924992" w:rsidRDefault="00924992">
            <w:pPr>
              <w:pStyle w:val="Other0"/>
              <w:framePr w:w="11424" w:h="4546" w:vSpace="854" w:wrap="none" w:hAnchor="page" w:x="606" w:y="361"/>
              <w:spacing w:line="240" w:lineRule="auto"/>
              <w:ind w:firstLine="320"/>
              <w:rPr>
                <w:sz w:val="16"/>
                <w:szCs w:val="16"/>
              </w:rPr>
            </w:pPr>
            <w:r>
              <w:rPr>
                <w:rFonts w:ascii="Times New Roman" w:eastAsia="Times New Roman" w:hAnsi="Times New Roman" w:cs="Times New Roman"/>
                <w:sz w:val="16"/>
                <w:szCs w:val="16"/>
              </w:rPr>
              <w:t>Método más sensible pero menos específico que EIA.</w:t>
            </w:r>
          </w:p>
        </w:tc>
      </w:tr>
      <w:tr w:rsidR="00924992" w14:paraId="2E3C3EE0" w14:textId="77777777">
        <w:tblPrEx>
          <w:tblCellMar>
            <w:top w:w="0" w:type="dxa"/>
            <w:bottom w:w="0" w:type="dxa"/>
          </w:tblCellMar>
        </w:tblPrEx>
        <w:trPr>
          <w:trHeight w:hRule="exact" w:val="427"/>
        </w:trPr>
        <w:tc>
          <w:tcPr>
            <w:tcW w:w="1474" w:type="dxa"/>
            <w:shd w:val="clear" w:color="auto" w:fill="FFFFFF"/>
          </w:tcPr>
          <w:p w14:paraId="614D5712" w14:textId="77777777" w:rsidR="00924992" w:rsidRDefault="00924992">
            <w:pPr>
              <w:pStyle w:val="Other0"/>
              <w:framePr w:w="11424" w:h="4546" w:vSpace="854" w:wrap="none" w:hAnchor="page" w:x="606" w:y="361"/>
              <w:spacing w:line="240" w:lineRule="auto"/>
              <w:ind w:firstLine="0"/>
              <w:rPr>
                <w:sz w:val="16"/>
                <w:szCs w:val="16"/>
              </w:rPr>
            </w:pPr>
            <w:r>
              <w:rPr>
                <w:rFonts w:ascii="Times New Roman" w:eastAsia="Times New Roman" w:hAnsi="Times New Roman" w:cs="Times New Roman"/>
                <w:sz w:val="16"/>
                <w:szCs w:val="16"/>
              </w:rPr>
              <w:t>IFA</w:t>
            </w:r>
          </w:p>
        </w:tc>
        <w:tc>
          <w:tcPr>
            <w:tcW w:w="5054" w:type="dxa"/>
            <w:shd w:val="clear" w:color="auto" w:fill="FFFFFF"/>
          </w:tcPr>
          <w:p w14:paraId="6F12474C" w14:textId="77777777" w:rsidR="00924992" w:rsidRDefault="00924992">
            <w:pPr>
              <w:pStyle w:val="Other0"/>
              <w:framePr w:w="11424" w:h="4546" w:vSpace="854" w:wrap="none" w:hAnchor="page" w:x="606" w:y="361"/>
              <w:spacing w:line="240" w:lineRule="auto"/>
              <w:ind w:firstLine="220"/>
              <w:rPr>
                <w:sz w:val="16"/>
                <w:szCs w:val="16"/>
              </w:rPr>
            </w:pPr>
            <w:r>
              <w:rPr>
                <w:rFonts w:ascii="Times New Roman" w:eastAsia="Times New Roman" w:hAnsi="Times New Roman" w:cs="Times New Roman"/>
                <w:sz w:val="16"/>
                <w:szCs w:val="16"/>
              </w:rPr>
              <w:t>Muestras de suero de fase aguda y convalecencia para medir IgG</w:t>
            </w:r>
          </w:p>
        </w:tc>
        <w:tc>
          <w:tcPr>
            <w:tcW w:w="4896" w:type="dxa"/>
            <w:shd w:val="clear" w:color="auto" w:fill="FFFFFF"/>
            <w:vAlign w:val="bottom"/>
          </w:tcPr>
          <w:p w14:paraId="2B460ED2" w14:textId="77777777" w:rsidR="00924992" w:rsidRDefault="00924992">
            <w:pPr>
              <w:pStyle w:val="Other0"/>
              <w:framePr w:w="11424" w:h="4546" w:vSpace="854" w:wrap="none" w:hAnchor="page" w:x="606" w:y="361"/>
              <w:spacing w:line="240" w:lineRule="auto"/>
              <w:ind w:firstLine="320"/>
              <w:rPr>
                <w:sz w:val="16"/>
                <w:szCs w:val="16"/>
              </w:rPr>
            </w:pPr>
            <w:r>
              <w:rPr>
                <w:rFonts w:ascii="Times New Roman" w:eastAsia="Times New Roman" w:hAnsi="Times New Roman" w:cs="Times New Roman"/>
                <w:sz w:val="16"/>
                <w:szCs w:val="16"/>
              </w:rPr>
              <w:t>Necesita equipo especial.</w:t>
            </w:r>
          </w:p>
          <w:p w14:paraId="39B34A75" w14:textId="77777777" w:rsidR="00924992" w:rsidRDefault="00924992">
            <w:pPr>
              <w:pStyle w:val="Other0"/>
              <w:framePr w:w="11424" w:h="4546" w:vSpace="854" w:wrap="none" w:hAnchor="page" w:x="606" w:y="361"/>
              <w:spacing w:line="240" w:lineRule="auto"/>
              <w:ind w:firstLine="320"/>
              <w:rPr>
                <w:sz w:val="16"/>
                <w:szCs w:val="16"/>
              </w:rPr>
            </w:pPr>
            <w:r>
              <w:rPr>
                <w:rFonts w:ascii="Times New Roman" w:eastAsia="Times New Roman" w:hAnsi="Times New Roman" w:cs="Times New Roman"/>
                <w:sz w:val="16"/>
                <w:szCs w:val="16"/>
              </w:rPr>
              <w:t>Sensibilidad y especificidad satisfactorias.</w:t>
            </w:r>
          </w:p>
        </w:tc>
      </w:tr>
      <w:tr w:rsidR="00924992" w14:paraId="322A189B" w14:textId="77777777">
        <w:tblPrEx>
          <w:tblCellMar>
            <w:top w:w="0" w:type="dxa"/>
            <w:bottom w:w="0" w:type="dxa"/>
          </w:tblCellMar>
        </w:tblPrEx>
        <w:trPr>
          <w:trHeight w:hRule="exact" w:val="442"/>
        </w:trPr>
        <w:tc>
          <w:tcPr>
            <w:tcW w:w="1474" w:type="dxa"/>
            <w:shd w:val="clear" w:color="auto" w:fill="FFFFFF"/>
          </w:tcPr>
          <w:p w14:paraId="5844DF15" w14:textId="77777777" w:rsidR="00924992" w:rsidRDefault="00924992">
            <w:pPr>
              <w:pStyle w:val="Other0"/>
              <w:framePr w:w="11424" w:h="4546" w:vSpace="854" w:wrap="none" w:hAnchor="page" w:x="606" w:y="361"/>
              <w:spacing w:line="240" w:lineRule="auto"/>
              <w:ind w:firstLine="0"/>
              <w:rPr>
                <w:sz w:val="16"/>
                <w:szCs w:val="16"/>
              </w:rPr>
            </w:pPr>
            <w:r>
              <w:rPr>
                <w:rFonts w:ascii="Times New Roman" w:eastAsia="Times New Roman" w:hAnsi="Times New Roman" w:cs="Times New Roman"/>
                <w:sz w:val="16"/>
                <w:szCs w:val="16"/>
              </w:rPr>
              <w:t>FAMA</w:t>
            </w:r>
          </w:p>
        </w:tc>
        <w:tc>
          <w:tcPr>
            <w:tcW w:w="5054" w:type="dxa"/>
            <w:shd w:val="clear" w:color="auto" w:fill="FFFFFF"/>
          </w:tcPr>
          <w:p w14:paraId="652EFBF2" w14:textId="77777777" w:rsidR="00924992" w:rsidRDefault="00924992">
            <w:pPr>
              <w:pStyle w:val="Other0"/>
              <w:framePr w:w="11424" w:h="4546" w:vSpace="854" w:wrap="none" w:hAnchor="page" w:x="606" w:y="361"/>
              <w:spacing w:line="240" w:lineRule="auto"/>
              <w:ind w:firstLine="220"/>
              <w:rPr>
                <w:sz w:val="16"/>
                <w:szCs w:val="16"/>
              </w:rPr>
            </w:pPr>
            <w:r>
              <w:rPr>
                <w:rFonts w:ascii="Times New Roman" w:eastAsia="Times New Roman" w:hAnsi="Times New Roman" w:cs="Times New Roman"/>
                <w:sz w:val="16"/>
                <w:szCs w:val="16"/>
              </w:rPr>
              <w:t>Muestras de suero de fase aguda y convalecencia para medir IgG</w:t>
            </w:r>
          </w:p>
        </w:tc>
        <w:tc>
          <w:tcPr>
            <w:tcW w:w="4896" w:type="dxa"/>
            <w:shd w:val="clear" w:color="auto" w:fill="FFFFFF"/>
            <w:vAlign w:val="bottom"/>
          </w:tcPr>
          <w:p w14:paraId="56847284" w14:textId="77777777" w:rsidR="00924992" w:rsidRDefault="00924992">
            <w:pPr>
              <w:pStyle w:val="Other0"/>
              <w:framePr w:w="11424" w:h="4546" w:vSpace="854" w:wrap="none" w:hAnchor="page" w:x="606" w:y="361"/>
              <w:spacing w:line="283" w:lineRule="auto"/>
              <w:ind w:left="440" w:hanging="100"/>
              <w:rPr>
                <w:sz w:val="16"/>
                <w:szCs w:val="16"/>
              </w:rPr>
            </w:pPr>
            <w:r>
              <w:rPr>
                <w:rFonts w:ascii="Times New Roman" w:eastAsia="Times New Roman" w:hAnsi="Times New Roman" w:cs="Times New Roman"/>
                <w:sz w:val="16"/>
                <w:szCs w:val="16"/>
              </w:rPr>
              <w:t>Método muy sensible y específico, pero no se le practica ampliamente.</w:t>
            </w:r>
          </w:p>
        </w:tc>
      </w:tr>
      <w:tr w:rsidR="00924992" w14:paraId="53B67887" w14:textId="77777777">
        <w:tblPrEx>
          <w:tblCellMar>
            <w:top w:w="0" w:type="dxa"/>
            <w:bottom w:w="0" w:type="dxa"/>
          </w:tblCellMar>
        </w:tblPrEx>
        <w:trPr>
          <w:trHeight w:hRule="exact" w:val="197"/>
        </w:trPr>
        <w:tc>
          <w:tcPr>
            <w:tcW w:w="1474" w:type="dxa"/>
            <w:shd w:val="clear" w:color="auto" w:fill="FFFFFF"/>
          </w:tcPr>
          <w:p w14:paraId="13FEC64E" w14:textId="77777777" w:rsidR="00924992" w:rsidRDefault="00924992">
            <w:pPr>
              <w:pStyle w:val="Other0"/>
              <w:framePr w:w="11424" w:h="4546" w:vSpace="854" w:wrap="none" w:hAnchor="page" w:x="606" w:y="361"/>
              <w:spacing w:line="240" w:lineRule="auto"/>
              <w:ind w:firstLine="0"/>
              <w:rPr>
                <w:sz w:val="16"/>
                <w:szCs w:val="16"/>
              </w:rPr>
            </w:pPr>
            <w:r>
              <w:rPr>
                <w:rFonts w:ascii="Times New Roman" w:eastAsia="Times New Roman" w:hAnsi="Times New Roman" w:cs="Times New Roman"/>
                <w:sz w:val="16"/>
                <w:szCs w:val="16"/>
              </w:rPr>
              <w:t>CF</w:t>
            </w:r>
          </w:p>
        </w:tc>
        <w:tc>
          <w:tcPr>
            <w:tcW w:w="5054" w:type="dxa"/>
            <w:shd w:val="clear" w:color="auto" w:fill="FFFFFF"/>
          </w:tcPr>
          <w:p w14:paraId="300A6991" w14:textId="77777777" w:rsidR="00924992" w:rsidRDefault="00924992">
            <w:pPr>
              <w:pStyle w:val="Other0"/>
              <w:framePr w:w="11424" w:h="4546" w:vSpace="854" w:wrap="none" w:hAnchor="page" w:x="606" w:y="361"/>
              <w:spacing w:line="240" w:lineRule="auto"/>
              <w:ind w:firstLine="220"/>
              <w:rPr>
                <w:sz w:val="16"/>
                <w:szCs w:val="16"/>
              </w:rPr>
            </w:pPr>
            <w:r>
              <w:rPr>
                <w:rFonts w:ascii="Times New Roman" w:eastAsia="Times New Roman" w:hAnsi="Times New Roman" w:cs="Times New Roman"/>
                <w:sz w:val="16"/>
                <w:szCs w:val="16"/>
              </w:rPr>
              <w:t>Muestras de suero de fase aguda y convalecencia para medir IgG</w:t>
            </w:r>
          </w:p>
        </w:tc>
        <w:tc>
          <w:tcPr>
            <w:tcW w:w="4896" w:type="dxa"/>
            <w:shd w:val="clear" w:color="auto" w:fill="FFFFFF"/>
          </w:tcPr>
          <w:p w14:paraId="1A80A13E" w14:textId="77777777" w:rsidR="00924992" w:rsidRDefault="00924992">
            <w:pPr>
              <w:pStyle w:val="Other0"/>
              <w:framePr w:w="11424" w:h="4546" w:vSpace="854" w:wrap="none" w:hAnchor="page" w:x="606" w:y="361"/>
              <w:spacing w:line="240" w:lineRule="auto"/>
              <w:ind w:firstLine="320"/>
              <w:rPr>
                <w:sz w:val="16"/>
                <w:szCs w:val="16"/>
              </w:rPr>
            </w:pPr>
            <w:r>
              <w:rPr>
                <w:rFonts w:ascii="Times New Roman" w:eastAsia="Times New Roman" w:hAnsi="Times New Roman" w:cs="Times New Roman"/>
                <w:sz w:val="16"/>
                <w:szCs w:val="16"/>
              </w:rPr>
              <w:t>Poca sensibilidad.</w:t>
            </w:r>
          </w:p>
        </w:tc>
      </w:tr>
      <w:tr w:rsidR="00924992" w14:paraId="690FF685" w14:textId="77777777">
        <w:tblPrEx>
          <w:tblCellMar>
            <w:top w:w="0" w:type="dxa"/>
            <w:bottom w:w="0" w:type="dxa"/>
          </w:tblCellMar>
        </w:tblPrEx>
        <w:trPr>
          <w:trHeight w:hRule="exact" w:val="538"/>
        </w:trPr>
        <w:tc>
          <w:tcPr>
            <w:tcW w:w="1474" w:type="dxa"/>
            <w:tcBorders>
              <w:bottom w:val="single" w:sz="4" w:space="0" w:color="auto"/>
            </w:tcBorders>
            <w:shd w:val="clear" w:color="auto" w:fill="FFFFFF"/>
          </w:tcPr>
          <w:p w14:paraId="1A3AA4F1" w14:textId="77777777" w:rsidR="00924992" w:rsidRDefault="00924992">
            <w:pPr>
              <w:pStyle w:val="Other0"/>
              <w:framePr w:w="11424" w:h="4546" w:vSpace="854" w:wrap="none" w:hAnchor="page" w:x="606" w:y="361"/>
              <w:spacing w:line="240" w:lineRule="auto"/>
              <w:ind w:firstLine="0"/>
              <w:rPr>
                <w:sz w:val="16"/>
                <w:szCs w:val="16"/>
              </w:rPr>
            </w:pPr>
            <w:r>
              <w:rPr>
                <w:rFonts w:ascii="Times New Roman" w:eastAsia="Times New Roman" w:hAnsi="Times New Roman" w:cs="Times New Roman"/>
                <w:sz w:val="16"/>
                <w:szCs w:val="16"/>
              </w:rPr>
              <w:t>PCR</w:t>
            </w:r>
          </w:p>
        </w:tc>
        <w:tc>
          <w:tcPr>
            <w:tcW w:w="5054" w:type="dxa"/>
            <w:tcBorders>
              <w:bottom w:val="single" w:sz="4" w:space="0" w:color="auto"/>
            </w:tcBorders>
            <w:shd w:val="clear" w:color="auto" w:fill="FFFFFF"/>
          </w:tcPr>
          <w:p w14:paraId="56D6797B" w14:textId="77777777" w:rsidR="00924992" w:rsidRDefault="00924992">
            <w:pPr>
              <w:pStyle w:val="Other0"/>
              <w:framePr w:w="11424" w:h="4546" w:vSpace="854" w:wrap="none" w:hAnchor="page" w:x="606" w:y="361"/>
              <w:spacing w:line="240" w:lineRule="auto"/>
              <w:ind w:firstLine="220"/>
              <w:rPr>
                <w:sz w:val="16"/>
                <w:szCs w:val="16"/>
              </w:rPr>
            </w:pPr>
            <w:r>
              <w:rPr>
                <w:rFonts w:ascii="Times New Roman" w:eastAsia="Times New Roman" w:hAnsi="Times New Roman" w:cs="Times New Roman"/>
                <w:sz w:val="16"/>
                <w:szCs w:val="16"/>
              </w:rPr>
              <w:t>Líquido o tejidos corporales</w:t>
            </w:r>
          </w:p>
        </w:tc>
        <w:tc>
          <w:tcPr>
            <w:tcW w:w="4896" w:type="dxa"/>
            <w:tcBorders>
              <w:bottom w:val="single" w:sz="4" w:space="0" w:color="auto"/>
            </w:tcBorders>
            <w:shd w:val="clear" w:color="auto" w:fill="FFFFFF"/>
          </w:tcPr>
          <w:p w14:paraId="7CFF4BE8" w14:textId="77777777" w:rsidR="00924992" w:rsidRDefault="00924992">
            <w:pPr>
              <w:pStyle w:val="Other0"/>
              <w:framePr w:w="11424" w:h="4546" w:vSpace="854" w:wrap="none" w:hAnchor="page" w:x="606" w:y="361"/>
              <w:spacing w:line="283" w:lineRule="auto"/>
              <w:ind w:left="320"/>
              <w:rPr>
                <w:sz w:val="16"/>
                <w:szCs w:val="16"/>
              </w:rPr>
            </w:pPr>
            <w:r>
              <w:rPr>
                <w:rFonts w:ascii="Times New Roman" w:eastAsia="Times New Roman" w:hAnsi="Times New Roman" w:cs="Times New Roman"/>
                <w:sz w:val="16"/>
                <w:szCs w:val="16"/>
              </w:rPr>
              <w:t>Diferencia entre las cepas natural, y la del virus de la vacuna. Muy sensible.</w:t>
            </w:r>
          </w:p>
        </w:tc>
      </w:tr>
    </w:tbl>
    <w:p w14:paraId="2471343E" w14:textId="77777777" w:rsidR="00924992" w:rsidRDefault="00924992">
      <w:pPr>
        <w:framePr w:w="11424" w:h="4546" w:vSpace="854" w:wrap="none" w:hAnchor="page" w:x="606" w:y="361"/>
        <w:spacing w:line="1" w:lineRule="exact"/>
      </w:pPr>
    </w:p>
    <w:p w14:paraId="25EE05E4" w14:textId="77777777" w:rsidR="00924992" w:rsidRDefault="00924992">
      <w:pPr>
        <w:pStyle w:val="Tablecaption0"/>
        <w:framePr w:w="10997" w:h="758" w:wrap="none" w:hAnchor="page" w:x="793" w:y="5003"/>
        <w:ind w:left="0"/>
      </w:pPr>
      <w:r>
        <w:t xml:space="preserve">HSV, virus de herpes simple </w:t>
      </w:r>
      <w:r>
        <w:rPr>
          <w:i/>
          <w:iCs/>
        </w:rPr>
        <w:t>(herpes simplex virus');</w:t>
      </w:r>
      <w:r>
        <w:t xml:space="preserve"> DFA, prueba de anticuerpos fluorescentes directa </w:t>
      </w:r>
      <w:r>
        <w:rPr>
          <w:i/>
          <w:iCs/>
        </w:rPr>
        <w:t>(direct fluorescent antibody test);</w:t>
      </w:r>
      <w:r>
        <w:t xml:space="preserve"> EIA, inmunoanálisis enzimàtico </w:t>
      </w:r>
      <w:r>
        <w:rPr>
          <w:i/>
          <w:iCs/>
        </w:rPr>
        <w:t>(enzyme immunoassay);</w:t>
      </w:r>
      <w:r>
        <w:t xml:space="preserve"> IgG, inmunoglobulina G; LA, prueba de aglutinación de látex </w:t>
      </w:r>
      <w:r>
        <w:rPr>
          <w:i/>
          <w:iCs/>
        </w:rPr>
        <w:t>(latex agglutination test);</w:t>
      </w:r>
      <w:r>
        <w:t xml:space="preserve"> IFA, prueba de anticuerpos por inmunofluorescencia indirecta </w:t>
      </w:r>
      <w:r>
        <w:rPr>
          <w:i/>
          <w:iCs/>
        </w:rPr>
        <w:t>(indirect immunofluorescence antibody test);</w:t>
      </w:r>
      <w:r>
        <w:t xml:space="preserve"> FAMA, ensayo de anticuerpos fluorescentes a la membrana </w:t>
      </w:r>
      <w:r>
        <w:rPr>
          <w:i/>
          <w:iCs/>
        </w:rPr>
        <w:t>(fluorescent antibody to membrane assay);</w:t>
      </w:r>
      <w:r>
        <w:t xml:space="preserve"> CF, fijación de complemento </w:t>
      </w:r>
      <w:r>
        <w:rPr>
          <w:i/>
          <w:iCs/>
        </w:rPr>
        <w:t>(complement fixation test</w:t>
      </w:r>
      <w:r>
        <w:t>); PCR, reacción en cadena de polimerasa (</w:t>
      </w:r>
      <w:r>
        <w:rPr>
          <w:i/>
          <w:iCs/>
        </w:rPr>
        <w:t>polymerase chain reaction</w:t>
      </w:r>
      <w:r>
        <w:t>).</w:t>
      </w:r>
    </w:p>
    <w:p w14:paraId="3764CDBA" w14:textId="77777777" w:rsidR="00924992" w:rsidRDefault="00924992">
      <w:pPr>
        <w:pStyle w:val="Bodytext80"/>
        <w:framePr w:w="182" w:h="4872" w:hRule="exact" w:wrap="none" w:hAnchor="page" w:x="12375" w:y="54"/>
        <w:tabs>
          <w:tab w:val="left" w:pos="1992"/>
        </w:tabs>
        <w:textDirection w:val="tbRl"/>
      </w:pPr>
      <w:r>
        <w:rPr>
          <w:sz w:val="16"/>
          <w:szCs w:val="16"/>
        </w:rPr>
        <w:t>696</w:t>
      </w:r>
      <w:r>
        <w:rPr>
          <w:sz w:val="16"/>
          <w:szCs w:val="16"/>
        </w:rPr>
        <w:tab/>
      </w:r>
      <w:r>
        <w:t>VARICELA-ZOSTER, VIRUS, INFECCIONES</w:t>
      </w:r>
    </w:p>
    <w:p w14:paraId="31352081" w14:textId="77777777" w:rsidR="00924992" w:rsidRDefault="00924992">
      <w:pPr>
        <w:spacing w:line="360" w:lineRule="exact"/>
      </w:pPr>
    </w:p>
    <w:p w14:paraId="5E2CB6B9" w14:textId="77777777" w:rsidR="00924992" w:rsidRDefault="00924992">
      <w:pPr>
        <w:spacing w:line="360" w:lineRule="exact"/>
      </w:pPr>
    </w:p>
    <w:p w14:paraId="746ACA72" w14:textId="77777777" w:rsidR="00924992" w:rsidRDefault="00924992">
      <w:pPr>
        <w:spacing w:line="360" w:lineRule="exact"/>
      </w:pPr>
    </w:p>
    <w:p w14:paraId="3FE55F31" w14:textId="77777777" w:rsidR="00924992" w:rsidRDefault="00924992">
      <w:pPr>
        <w:spacing w:line="360" w:lineRule="exact"/>
      </w:pPr>
    </w:p>
    <w:p w14:paraId="5D81A44E" w14:textId="77777777" w:rsidR="00924992" w:rsidRDefault="00924992">
      <w:pPr>
        <w:spacing w:line="360" w:lineRule="exact"/>
      </w:pPr>
    </w:p>
    <w:p w14:paraId="51892571" w14:textId="77777777" w:rsidR="00924992" w:rsidRDefault="00924992">
      <w:pPr>
        <w:spacing w:line="360" w:lineRule="exact"/>
      </w:pPr>
    </w:p>
    <w:p w14:paraId="156E497A" w14:textId="77777777" w:rsidR="00924992" w:rsidRDefault="00924992">
      <w:pPr>
        <w:spacing w:line="360" w:lineRule="exact"/>
      </w:pPr>
    </w:p>
    <w:p w14:paraId="4305969A" w14:textId="77777777" w:rsidR="00924992" w:rsidRDefault="00924992">
      <w:pPr>
        <w:spacing w:line="360" w:lineRule="exact"/>
      </w:pPr>
    </w:p>
    <w:p w14:paraId="486F5E26" w14:textId="77777777" w:rsidR="00924992" w:rsidRDefault="00924992">
      <w:pPr>
        <w:spacing w:line="360" w:lineRule="exact"/>
      </w:pPr>
    </w:p>
    <w:p w14:paraId="737BA73A" w14:textId="77777777" w:rsidR="00924992" w:rsidRDefault="00924992">
      <w:pPr>
        <w:spacing w:line="360" w:lineRule="exact"/>
      </w:pPr>
    </w:p>
    <w:p w14:paraId="69CB4A96" w14:textId="77777777" w:rsidR="00924992" w:rsidRDefault="00924992">
      <w:pPr>
        <w:spacing w:line="360" w:lineRule="exact"/>
      </w:pPr>
    </w:p>
    <w:p w14:paraId="36F959B3" w14:textId="77777777" w:rsidR="00924992" w:rsidRDefault="00924992">
      <w:pPr>
        <w:spacing w:line="360" w:lineRule="exact"/>
      </w:pPr>
    </w:p>
    <w:p w14:paraId="16F2EF83" w14:textId="77777777" w:rsidR="00924992" w:rsidRDefault="00924992">
      <w:pPr>
        <w:spacing w:line="360" w:lineRule="exact"/>
      </w:pPr>
    </w:p>
    <w:p w14:paraId="00DB3302" w14:textId="77777777" w:rsidR="00924992" w:rsidRDefault="00924992">
      <w:pPr>
        <w:spacing w:line="360" w:lineRule="exact"/>
      </w:pPr>
    </w:p>
    <w:p w14:paraId="744092F7" w14:textId="77777777" w:rsidR="00924992" w:rsidRDefault="00924992">
      <w:pPr>
        <w:spacing w:line="360" w:lineRule="exact"/>
      </w:pPr>
    </w:p>
    <w:p w14:paraId="6C52F342" w14:textId="77777777" w:rsidR="00924992" w:rsidRDefault="00924992">
      <w:pPr>
        <w:spacing w:after="359" w:line="1" w:lineRule="exact"/>
      </w:pPr>
    </w:p>
    <w:p w14:paraId="454B1526" w14:textId="77777777" w:rsidR="00924992" w:rsidRDefault="00924992">
      <w:pPr>
        <w:spacing w:line="1" w:lineRule="exact"/>
        <w:sectPr w:rsidR="00924992" w:rsidSect="00924992">
          <w:headerReference w:type="even" r:id="rId179"/>
          <w:headerReference w:type="default" r:id="rId180"/>
          <w:footerReference w:type="even" r:id="rId181"/>
          <w:footerReference w:type="default" r:id="rId182"/>
          <w:footnotePr>
            <w:numFmt w:val="chicago"/>
          </w:footnotePr>
          <w:pgSz w:w="13022" w:h="8501" w:orient="landscape"/>
          <w:pgMar w:top="451" w:right="466" w:bottom="451" w:left="605" w:header="23" w:footer="23" w:gutter="0"/>
          <w:pgNumType w:start="879"/>
          <w:cols w:space="720"/>
          <w:noEndnote/>
          <w:docGrid w:linePitch="360"/>
          <w15:footnoteColumns w:val="1"/>
        </w:sectPr>
      </w:pPr>
    </w:p>
    <w:p w14:paraId="6C773B7A" w14:textId="77777777" w:rsidR="00924992" w:rsidRDefault="00924992">
      <w:pPr>
        <w:pStyle w:val="BodyText"/>
        <w:ind w:firstLine="0"/>
      </w:pPr>
      <w:r>
        <w:t>No es recomendable en forma sistemática que las embarazadas con varicela no complicada ingieran aciclovir porque no se conocen los riesgos y beneficios para el feto y la mujer. Sin embargo, algunos expertos recomiendan el fármaco mencionado en las embarazadas con varicela, en particular en el segundo y el tercer trimestres. El aciclovir intravenoso es recomendable para la gestante con complicaciones graves de la varicela.</w:t>
      </w:r>
    </w:p>
    <w:p w14:paraId="3531AE02" w14:textId="77777777" w:rsidR="00924992" w:rsidRDefault="00924992">
      <w:pPr>
        <w:pStyle w:val="BodyText"/>
        <w:ind w:firstLine="360"/>
      </w:pPr>
      <w:r>
        <w:t>En niños inmunodeficientes se recomienda la aplicación intravenosa de antivíricos. El tratamiento que se comienza en fecha temprana en la evolución de la enfermedad, en particular en término de 24 h de haber aparecido la erupción, lleva al máximo su eficacia. El aciclovir ingerido no debe utilizarse para tratar a niños inmunodeficientes con varicela porque es poca su biodisponibilidad después de ingerido. Sin embargo, algunos expertos han utilizado dosis altas de dicha presentación ingerible en niños inmunodeficientes escogidos, que están en la franja inferior de riesgo de presentar varicela grave, como serían pacientes infectados por VIH con recuentos relativamente normales de linfocitos T CD4+ y niños con leucemia en quienes hay la seguridad de vigilancia cuidadosa. VZIG aplicada poco después de la exposición evita o modifica el curso de la enfermedad, pero no es eficaz una vez que ésta se ha establecido (véase “Atención de personas expuestas”, más adelante en este resumen).</w:t>
      </w:r>
    </w:p>
    <w:p w14:paraId="4DED51C6" w14:textId="77777777" w:rsidR="00924992" w:rsidRDefault="00924992">
      <w:pPr>
        <w:pStyle w:val="BodyText"/>
        <w:ind w:firstLine="360"/>
      </w:pPr>
      <w:r>
        <w:t>En Estados Unidos se ha aprobado el uso de famciclovir y valaciclovir para tratar zoster en adultos. El primero es transformado en penciclovir y tiene una semivida más prolongada en las células infectadas. El clorhidrato de valaciclovir es transformado en aciclovir y alcanza concentraciones cuatro veces mayores en suero que las producidas por el aciclovir. En uno y otro fármacos no se cuenta con presentación para niños y no existen datos suficientes para usarlos o dosificarlos en menores como para sustentar las recomendaciones terapéuticas. Las infecciones causadas por cepas de VZV resistentes a aciclovir deben ser tratadas con foscarnet sódico parenteral.</w:t>
      </w:r>
    </w:p>
    <w:p w14:paraId="24670AF9" w14:textId="77777777" w:rsidR="00924992" w:rsidRDefault="00924992">
      <w:pPr>
        <w:pStyle w:val="BodyText"/>
        <w:ind w:firstLine="360"/>
      </w:pPr>
      <w:r>
        <w:t xml:space="preserve">Los niños con varicela no deben recibir salicilatos porque tal medida agrava el peligro de que presenten síndrome de Reye. Para controlar la fiebre puede administrarse acetaminofén. </w:t>
      </w:r>
      <w:r>
        <w:rPr>
          <w:b/>
          <w:bCs/>
        </w:rPr>
        <w:t>A</w:t>
      </w:r>
      <w:r>
        <w:rPr>
          <w:b/>
          <w:bCs/>
          <w:sz w:val="13"/>
          <w:szCs w:val="13"/>
        </w:rPr>
        <w:t xml:space="preserve">ISLAMIENTO </w:t>
      </w:r>
      <w:r>
        <w:rPr>
          <w:b/>
          <w:bCs/>
          <w:smallCaps/>
          <w:sz w:val="16"/>
          <w:szCs w:val="16"/>
        </w:rPr>
        <w:t>del</w:t>
      </w:r>
      <w:r>
        <w:rPr>
          <w:b/>
          <w:bCs/>
          <w:sz w:val="13"/>
          <w:szCs w:val="13"/>
        </w:rPr>
        <w:t xml:space="preserve"> PACIENTE HOSPITALIZADO</w:t>
      </w:r>
      <w:r>
        <w:rPr>
          <w:b/>
          <w:bCs/>
        </w:rPr>
        <w:t xml:space="preserve">: </w:t>
      </w:r>
      <w:r>
        <w:t>Además de las precauciones estándar se recomienda seguir precauciones para evitar la transmisión aerófora y por contacto en pacientes con varicela durante al menos cinco días después de comenzar la erupción y durante el tiempo en que existan las lesiones vesiculares, lo cual en niños inmunodeficientes puede ser de una semana o más. En el caso de pacientes susceptibles expuestos, también conviene seguir las precauciones para evitar la transmisión aerófora y por contacto de ocho a 21 días después de haber comenzado la erupción en el paciente original; tales precauciones deben seguirse hasta los 28 días después de la exposición en caso de personas que han recibido concentrado inmunoglobulínico contra varicela-zoster.</w:t>
      </w:r>
    </w:p>
    <w:p w14:paraId="201CB778" w14:textId="77777777" w:rsidR="00924992" w:rsidRDefault="00924992">
      <w:pPr>
        <w:pStyle w:val="BodyText"/>
        <w:ind w:firstLine="360"/>
      </w:pPr>
      <w:r>
        <w:t>Se recomienda seguir las precauciones para evitar la transmisión aerófora y por contacto en neonatos hijos de madres con varicela y, si aún están hospitalizados, continuarlas hasta los 21 días de vida o 28 días si recibieron VZIG. Los pequeños con embriopatía por varicela no necesitan aislamiento.</w:t>
      </w:r>
    </w:p>
    <w:p w14:paraId="08B7353D" w14:textId="77777777" w:rsidR="00924992" w:rsidRDefault="00924992">
      <w:pPr>
        <w:pStyle w:val="BodyText"/>
        <w:ind w:firstLine="360"/>
      </w:pPr>
      <w:r>
        <w:t>Los pacientes inmunodeficientes que tienen zoster (localizado o diseminado) y los inmunocompetentes con zoster diseminado necesitan seguir precauciones para evitar la transmisión aerófora y por contacto durante el tiempo que dure la enfermedad. En el caso de niños inmunocompetentes con zoster localizado conviene seguir las precauciones para evitar la transmisión por contacto hasta que todas las lesiones muestren costra.</w:t>
      </w:r>
    </w:p>
    <w:p w14:paraId="778212F0" w14:textId="77777777" w:rsidR="00924992" w:rsidRDefault="00924992">
      <w:pPr>
        <w:pStyle w:val="Other0"/>
        <w:spacing w:line="257" w:lineRule="auto"/>
        <w:ind w:firstLine="0"/>
        <w:rPr>
          <w:sz w:val="20"/>
          <w:szCs w:val="20"/>
        </w:rPr>
      </w:pPr>
      <w:r>
        <w:rPr>
          <w:b/>
          <w:bCs/>
          <w:smallCaps/>
          <w:sz w:val="20"/>
          <w:szCs w:val="20"/>
        </w:rPr>
        <w:t>M</w:t>
      </w:r>
      <w:r>
        <w:rPr>
          <w:b/>
          <w:bCs/>
          <w:smallCaps/>
          <w:sz w:val="16"/>
          <w:szCs w:val="16"/>
        </w:rPr>
        <w:t>edidas preventivas</w:t>
      </w:r>
      <w:r>
        <w:rPr>
          <w:b/>
          <w:bCs/>
          <w:smallCaps/>
          <w:sz w:val="20"/>
          <w:szCs w:val="20"/>
        </w:rPr>
        <w:t>:</w:t>
      </w:r>
    </w:p>
    <w:p w14:paraId="541D80B7" w14:textId="77777777" w:rsidR="00924992" w:rsidRDefault="00924992">
      <w:pPr>
        <w:pStyle w:val="BodyText"/>
        <w:spacing w:line="298" w:lineRule="auto"/>
        <w:ind w:firstLine="0"/>
      </w:pPr>
      <w:r>
        <w:rPr>
          <w:rFonts w:ascii="Arial" w:eastAsia="Arial" w:hAnsi="Arial" w:cs="Arial"/>
          <w:b/>
          <w:bCs/>
          <w:i/>
          <w:iCs/>
          <w:sz w:val="15"/>
          <w:szCs w:val="15"/>
        </w:rPr>
        <w:t>Atención de niños y participación escolar.</w:t>
      </w:r>
      <w:r>
        <w:t xml:space="preserve"> Los niños con varicela no complicada que han sido excluidos de la escuela o el centro de atención pediátrica pueden volver a esos sitios una vez que se hayan formado costras de la erupción, lo que puede tomar de algunos días en casos leves, a semanas en casos graves o en niños inmunodeficientes.</w:t>
      </w:r>
    </w:p>
    <w:p w14:paraId="0ADFCC51" w14:textId="77777777" w:rsidR="00924992" w:rsidRDefault="00924992">
      <w:pPr>
        <w:pStyle w:val="BodyText"/>
        <w:spacing w:line="266" w:lineRule="auto"/>
        <w:ind w:firstLine="360"/>
        <w:rPr>
          <w:sz w:val="20"/>
          <w:szCs w:val="20"/>
        </w:rPr>
      </w:pPr>
      <w:r>
        <w:t xml:space="preserve">La exclusión de niños con zoster, con lesiones que no puedan ser cubiertas, se basa en criterios similares. Los niños excluidos pueden retornar a sus actividades una vez que sus lesiones tengan costra. Las lesiones cubiertas al parecer conllevan escaso riesgo a personas susceptibles. Habrá que advertir a niños de mayor edad y miembros de personal con zoster que se laven las manos si tocan lesiones potencialmente infectantes. </w:t>
      </w:r>
      <w:r>
        <w:rPr>
          <w:b/>
          <w:bCs/>
          <w:smallCaps/>
          <w:sz w:val="20"/>
          <w:szCs w:val="20"/>
        </w:rPr>
        <w:t>A</w:t>
      </w:r>
      <w:r>
        <w:rPr>
          <w:b/>
          <w:bCs/>
          <w:smallCaps/>
          <w:sz w:val="16"/>
          <w:szCs w:val="16"/>
        </w:rPr>
        <w:t>tención de personas expuestas</w:t>
      </w:r>
      <w:r>
        <w:rPr>
          <w:b/>
          <w:bCs/>
          <w:smallCaps/>
          <w:sz w:val="20"/>
          <w:szCs w:val="20"/>
        </w:rPr>
        <w:t>:</w:t>
      </w:r>
    </w:p>
    <w:p w14:paraId="46ADFF1D" w14:textId="77777777" w:rsidR="00924992" w:rsidRDefault="00924992">
      <w:pPr>
        <w:pStyle w:val="BodyText"/>
        <w:ind w:firstLine="0"/>
      </w:pPr>
      <w:r>
        <w:t>Las intervenciones posibles para personas susceptibles expuestas a un individuo con varicela incluyen la aplicación de VZIG (una dosis incluso 96 h después de la exposición) o vacuna contra la varicela (una dosis incluso 72 h después de la exposición).</w:t>
      </w:r>
    </w:p>
    <w:p w14:paraId="1C20E483" w14:textId="77777777" w:rsidR="00924992" w:rsidRDefault="00924992">
      <w:pPr>
        <w:pStyle w:val="BodyText"/>
        <w:spacing w:line="288" w:lineRule="auto"/>
        <w:ind w:firstLine="360"/>
      </w:pPr>
      <w:r>
        <w:rPr>
          <w:rFonts w:ascii="Arial" w:eastAsia="Arial" w:hAnsi="Arial" w:cs="Arial"/>
          <w:b/>
          <w:bCs/>
          <w:i/>
          <w:iCs/>
          <w:sz w:val="15"/>
          <w:szCs w:val="15"/>
        </w:rPr>
        <w:t>Exposición en el hospital.</w:t>
      </w:r>
      <w:r>
        <w:t xml:space="preserve"> Si de manera inadvertida hay exposición dentro del hospital a un paciente infectado, profesional asistencial o visitante, se recomienda seguir las medidas de control siguientes:</w:t>
      </w:r>
    </w:p>
    <w:p w14:paraId="34EB3B6D" w14:textId="77777777" w:rsidR="00924992" w:rsidRDefault="00924992">
      <w:pPr>
        <w:pStyle w:val="BodyText"/>
        <w:numPr>
          <w:ilvl w:val="0"/>
          <w:numId w:val="121"/>
        </w:numPr>
        <w:tabs>
          <w:tab w:val="left" w:pos="340"/>
        </w:tabs>
        <w:ind w:left="360" w:hanging="360"/>
      </w:pPr>
      <w:bookmarkStart w:id="179" w:name="bookmark1625"/>
      <w:bookmarkEnd w:id="179"/>
      <w:r>
        <w:t>Hay que identificar al personal y los pacientes que han estado expuestos (véase cuadro 3-76) y que son susceptibles a la varicela.</w:t>
      </w:r>
    </w:p>
    <w:p w14:paraId="3F53832A" w14:textId="77777777" w:rsidR="00924992" w:rsidRDefault="00924992">
      <w:pPr>
        <w:pStyle w:val="BodyText"/>
        <w:numPr>
          <w:ilvl w:val="0"/>
          <w:numId w:val="121"/>
        </w:numPr>
        <w:tabs>
          <w:tab w:val="left" w:pos="340"/>
        </w:tabs>
        <w:ind w:left="360" w:hanging="360"/>
      </w:pPr>
      <w:bookmarkStart w:id="180" w:name="bookmark1626"/>
      <w:bookmarkEnd w:id="180"/>
      <w:r>
        <w:t>Habrá que administrar concentrado inmunoglobulínico contra varicela-zoster a los candidatos apropiados (véase cuadro 3-77).</w:t>
      </w:r>
    </w:p>
    <w:p w14:paraId="01DBAF70" w14:textId="77777777" w:rsidR="00924992" w:rsidRDefault="00924992">
      <w:pPr>
        <w:pStyle w:val="BodyText"/>
        <w:numPr>
          <w:ilvl w:val="0"/>
          <w:numId w:val="121"/>
        </w:numPr>
        <w:tabs>
          <w:tab w:val="left" w:pos="340"/>
        </w:tabs>
        <w:ind w:left="360" w:hanging="360"/>
      </w:pPr>
      <w:bookmarkStart w:id="181" w:name="bookmark1627"/>
      <w:bookmarkEnd w:id="181"/>
      <w:r>
        <w:t>Habrá que dar de alta a la mayor brevedad posible a todos los pacientes susceptibles expuestos.</w:t>
      </w:r>
    </w:p>
    <w:p w14:paraId="63E6129C" w14:textId="77777777" w:rsidR="00924992" w:rsidRDefault="00924992">
      <w:pPr>
        <w:pStyle w:val="BodyText"/>
        <w:numPr>
          <w:ilvl w:val="0"/>
          <w:numId w:val="121"/>
        </w:numPr>
        <w:tabs>
          <w:tab w:val="left" w:pos="340"/>
        </w:tabs>
        <w:ind w:left="360" w:hanging="360"/>
      </w:pPr>
      <w:bookmarkStart w:id="182" w:name="bookmark1628"/>
      <w:bookmarkEnd w:id="182"/>
      <w:r>
        <w:t>Se someterá a aislamiento a todo paciente susceptible expuesto que no pueda ser dado de alta, de ocho a 21 días después de exposición al paciente original. En el caso de niños que han recibido VZIG habrá que continuar el aislamiento hasta el día 28.</w:t>
      </w:r>
    </w:p>
    <w:p w14:paraId="0C64C9FD" w14:textId="77777777" w:rsidR="00924992" w:rsidRDefault="00924992">
      <w:pPr>
        <w:pStyle w:val="BodyText"/>
        <w:numPr>
          <w:ilvl w:val="0"/>
          <w:numId w:val="121"/>
        </w:numPr>
        <w:tabs>
          <w:tab w:val="left" w:pos="340"/>
        </w:tabs>
        <w:ind w:left="360" w:hanging="360"/>
      </w:pPr>
      <w:bookmarkStart w:id="183" w:name="bookmark1629"/>
      <w:bookmarkEnd w:id="183"/>
      <w:r>
        <w:t>Es necesario conceder permiso temporal o excusar a todo el personal expuesto y susceptible, del contacto con el paciente desde ocho a 21 días después de exposición al sujeto infectante. El intervalo se ampliará 28 días en el caso de personas que han recibido VZIG (véase “Inmunización activa de personas que han recibido recientemente concentrados de inmunoglobulinas”, sección 1).</w:t>
      </w:r>
    </w:p>
    <w:p w14:paraId="11A594D4" w14:textId="77777777" w:rsidR="00924992" w:rsidRDefault="00924992">
      <w:pPr>
        <w:pStyle w:val="BodyText"/>
        <w:numPr>
          <w:ilvl w:val="0"/>
          <w:numId w:val="121"/>
        </w:numPr>
        <w:tabs>
          <w:tab w:val="left" w:pos="340"/>
        </w:tabs>
        <w:ind w:left="360" w:hanging="360"/>
      </w:pPr>
      <w:bookmarkStart w:id="184" w:name="bookmark1630"/>
      <w:bookmarkEnd w:id="184"/>
      <w:r>
        <w:t>No se necesitan los métodos serológicos para valorar la inmunidad del personal que haya sido vacunado porque 99% de los adultos mostrarán seropositividad después de la segunda dosis de la vacuna. Si se desea obtener más información, consúltese las recomendaciones del Advisory Committee on Immunization Practices (ACIP) de los Centers for Disease Control and Prevention (CDC).</w:t>
      </w:r>
      <w:r>
        <w:footnoteReference w:id="21"/>
      </w:r>
    </w:p>
    <w:p w14:paraId="184B390C" w14:textId="77777777" w:rsidR="00924992" w:rsidRDefault="00924992">
      <w:pPr>
        <w:pStyle w:val="BodyText"/>
        <w:numPr>
          <w:ilvl w:val="0"/>
          <w:numId w:val="121"/>
        </w:numPr>
        <w:tabs>
          <w:tab w:val="left" w:pos="340"/>
        </w:tabs>
        <w:ind w:left="360" w:hanging="360"/>
      </w:pPr>
      <w:bookmarkStart w:id="185" w:name="bookmark1631"/>
      <w:bookmarkEnd w:id="185"/>
      <w:r>
        <w:t>Se recomienda la vacunación contra la varicela para el personal susceptible, si no surgió la enfermedad a partir de la exposición.</w:t>
      </w:r>
    </w:p>
    <w:p w14:paraId="18D84566" w14:textId="77777777" w:rsidR="00924992" w:rsidRDefault="00924992">
      <w:pPr>
        <w:pStyle w:val="BodyText"/>
        <w:spacing w:line="276" w:lineRule="auto"/>
        <w:ind w:firstLine="360"/>
      </w:pPr>
      <w:r>
        <w:rPr>
          <w:rFonts w:ascii="Arial" w:eastAsia="Arial" w:hAnsi="Arial" w:cs="Arial"/>
          <w:b/>
          <w:bCs/>
          <w:i/>
          <w:iCs/>
          <w:sz w:val="15"/>
          <w:szCs w:val="15"/>
        </w:rPr>
        <w:t>Vacunación después de exposición.</w:t>
      </w:r>
      <w:r>
        <w:t xml:space="preserve"> La aplicación de la vacuna contra varicela a niños susceptibles en término de 72 h (y posiblemente en término de 120 h) después de exposición a la varicela puede evitar o modificar significativamente la enfermedad, y hay que pensar en tal medida en las circunstancias mencionadas. Los médicos deben orientar a los padres y sus hijos de que la vacuna quizá no proteja de la enfermedad en todos los casos, porque algunos niños quizá estuvieron expuestos para las mismas fechas que el caso original. Sin embargo, si la exposición a varicela no originó infección, la aplicación de la vacuna después de la exposición brindará protección contra exposiciones futuras. No hay pruebas de que la aplicación de la vacuna mencionada</w:t>
      </w:r>
    </w:p>
    <w:p w14:paraId="3BEB0AD5" w14:textId="77777777" w:rsidR="00924992" w:rsidRDefault="00924992">
      <w:pPr>
        <w:pStyle w:val="Heading31"/>
        <w:keepNext/>
        <w:keepLines/>
        <w:pBdr>
          <w:bottom w:val="single" w:sz="4" w:space="0" w:color="auto"/>
        </w:pBdr>
        <w:spacing w:after="400" w:line="221" w:lineRule="auto"/>
        <w:jc w:val="center"/>
      </w:pPr>
      <w:bookmarkStart w:id="186" w:name="bookmark1632"/>
      <w:bookmarkStart w:id="187" w:name="bookmark1633"/>
      <w:bookmarkStart w:id="188" w:name="bookmark1634"/>
      <w:r>
        <w:rPr>
          <w:b w:val="0"/>
          <w:bCs w:val="0"/>
        </w:rPr>
        <w:t xml:space="preserve">Cuadro 3-76. </w:t>
      </w:r>
      <w:r>
        <w:t>Tipos de exposición a la varicela o al zoster en los que está</w:t>
      </w:r>
      <w:r>
        <w:br/>
        <w:t>indicada la administración de VZIG en personas susceptibles</w:t>
      </w:r>
      <w:r>
        <w:rPr>
          <w:vertAlign w:val="superscript"/>
        </w:rPr>
        <w:t>1</w:t>
      </w:r>
      <w:bookmarkEnd w:id="186"/>
      <w:bookmarkEnd w:id="187"/>
      <w:bookmarkEnd w:id="188"/>
    </w:p>
    <w:p w14:paraId="430B70BC" w14:textId="77777777" w:rsidR="00924992" w:rsidRDefault="00924992">
      <w:pPr>
        <w:pStyle w:val="Bodytext20"/>
        <w:numPr>
          <w:ilvl w:val="0"/>
          <w:numId w:val="121"/>
        </w:numPr>
        <w:tabs>
          <w:tab w:val="left" w:pos="428"/>
        </w:tabs>
        <w:ind w:firstLine="180"/>
      </w:pPr>
      <w:bookmarkStart w:id="189" w:name="bookmark1635"/>
      <w:bookmarkEnd w:id="189"/>
      <w:r>
        <w:t>Círculo familiar: residir en el mismo hogar</w:t>
      </w:r>
    </w:p>
    <w:p w14:paraId="28F0B098" w14:textId="77777777" w:rsidR="00924992" w:rsidRDefault="00924992">
      <w:pPr>
        <w:pStyle w:val="Bodytext20"/>
        <w:numPr>
          <w:ilvl w:val="0"/>
          <w:numId w:val="121"/>
        </w:numPr>
        <w:tabs>
          <w:tab w:val="left" w:pos="428"/>
        </w:tabs>
        <w:ind w:firstLine="180"/>
      </w:pPr>
      <w:bookmarkStart w:id="190" w:name="bookmark1636"/>
      <w:bookmarkEnd w:id="190"/>
      <w:r>
        <w:t>Compañeros de juego: juegos bajo techo cara a cara</w:t>
      </w:r>
      <w:r>
        <w:rPr>
          <w:vertAlign w:val="superscript"/>
        </w:rPr>
        <w:footnoteReference w:id="22"/>
      </w:r>
      <w:r>
        <w:rPr>
          <w:vertAlign w:val="superscript"/>
        </w:rPr>
        <w:t xml:space="preserve"> </w:t>
      </w:r>
      <w:r>
        <w:rPr>
          <w:vertAlign w:val="superscript"/>
        </w:rPr>
        <w:footnoteReference w:id="23"/>
      </w:r>
      <w:r>
        <w:rPr>
          <w:vertAlign w:val="superscript"/>
        </w:rPr>
        <w:t xml:space="preserve"> </w:t>
      </w:r>
      <w:r>
        <w:rPr>
          <w:vertAlign w:val="superscript"/>
        </w:rPr>
        <w:footnoteReference w:id="24"/>
      </w:r>
    </w:p>
    <w:p w14:paraId="34B377F5" w14:textId="77777777" w:rsidR="00924992" w:rsidRDefault="00924992">
      <w:pPr>
        <w:pStyle w:val="Bodytext20"/>
        <w:numPr>
          <w:ilvl w:val="0"/>
          <w:numId w:val="121"/>
        </w:numPr>
        <w:tabs>
          <w:tab w:val="left" w:pos="428"/>
        </w:tabs>
        <w:ind w:firstLine="180"/>
      </w:pPr>
      <w:bookmarkStart w:id="191" w:name="bookmark1637"/>
      <w:bookmarkEnd w:id="191"/>
      <w:r>
        <w:t>Hospital:</w:t>
      </w:r>
    </w:p>
    <w:p w14:paraId="640DC971" w14:textId="77777777" w:rsidR="00924992" w:rsidRDefault="00924992">
      <w:pPr>
        <w:pStyle w:val="Bodytext20"/>
        <w:tabs>
          <w:tab w:val="left" w:pos="2578"/>
        </w:tabs>
        <w:ind w:left="1440"/>
      </w:pPr>
      <w:r>
        <w:t>Varicela:</w:t>
      </w:r>
      <w:r>
        <w:tab/>
        <w:t>En el mismo cuarto de dos a cuatro camas o camas vecinas</w:t>
      </w:r>
    </w:p>
    <w:p w14:paraId="7FF5F347" w14:textId="77777777" w:rsidR="00924992" w:rsidRDefault="00924992">
      <w:pPr>
        <w:pStyle w:val="Bodytext20"/>
        <w:ind w:left="2560"/>
      </w:pPr>
      <w:r>
        <w:t>en una gran sala, el contacto cara con cara</w:t>
      </w:r>
      <w:r>
        <w:rPr>
          <w:vertAlign w:val="superscript"/>
        </w:rPr>
        <w:t>2</w:t>
      </w:r>
      <w:r>
        <w:t xml:space="preserve"> con un miembro del personal o un paciente infectante o visita por una persona al parecer con cuadro contagioso</w:t>
      </w:r>
    </w:p>
    <w:p w14:paraId="1982D4F8" w14:textId="77777777" w:rsidR="00924992" w:rsidRDefault="00924992">
      <w:pPr>
        <w:pStyle w:val="Bodytext20"/>
        <w:tabs>
          <w:tab w:val="left" w:pos="2578"/>
        </w:tabs>
        <w:ind w:left="1440"/>
      </w:pPr>
      <w:r>
        <w:t>Zoster:</w:t>
      </w:r>
      <w:r>
        <w:tab/>
        <w:t>Contacto cercano (tocar o abrazar a una persona al parecer</w:t>
      </w:r>
    </w:p>
    <w:p w14:paraId="4B30F068" w14:textId="77777777" w:rsidR="00924992" w:rsidRDefault="00924992">
      <w:pPr>
        <w:pStyle w:val="Bodytext20"/>
        <w:ind w:left="2560"/>
      </w:pPr>
      <w:r>
        <w:t>contagiosa)</w:t>
      </w:r>
    </w:p>
    <w:p w14:paraId="2F83961B" w14:textId="77777777" w:rsidR="00924992" w:rsidRDefault="00924992">
      <w:pPr>
        <w:pStyle w:val="Bodytext20"/>
        <w:numPr>
          <w:ilvl w:val="0"/>
          <w:numId w:val="121"/>
        </w:numPr>
        <w:pBdr>
          <w:bottom w:val="single" w:sz="4" w:space="0" w:color="auto"/>
        </w:pBdr>
        <w:tabs>
          <w:tab w:val="left" w:pos="428"/>
        </w:tabs>
        <w:ind w:left="420" w:hanging="240"/>
        <w:rPr>
          <w:sz w:val="19"/>
          <w:szCs w:val="19"/>
        </w:rPr>
      </w:pPr>
      <w:bookmarkStart w:id="192" w:name="bookmark1638"/>
      <w:bookmarkEnd w:id="192"/>
      <w:r>
        <w:t xml:space="preserve">Neonatos: comienzo de varicela en la madre cinco días o menos antes del parto o en término de 48 h de él; si la madre tiene zoster no está indicado el uso de VZIG </w:t>
      </w:r>
      <w:r>
        <w:rPr>
          <w:rStyle w:val="BodyTextChar"/>
        </w:rPr>
        <w:t>previa a una persona con varicela o zoster; 4) niñez en climas templados y 5) otros datos como la descripción clínica de la enfermedad.</w:t>
      </w:r>
    </w:p>
    <w:p w14:paraId="662258DB" w14:textId="77777777" w:rsidR="00924992" w:rsidRDefault="00924992">
      <w:pPr>
        <w:pStyle w:val="BodyText"/>
        <w:ind w:firstLine="360"/>
      </w:pPr>
      <w:r>
        <w:t>Los datos de pruebas serológicas en niños inmunocompetentes para conocer el estado de su inmunidad son fiables, pero no lo son en los niños inmunodeficientes. El factor determinante de la inmunidad en sujetos inmunodeficientes es el antecedente perfectamente identificado de varicela. Por lo común conviene administrar VZIG a niños inmunodeficientes expuestos, pero sin antecedente de varicela, sean cuales sean los resultados de los estudios serológicos. Sin embargo, algunos expertos no recomiendan administrar el concentrado mencionado cuando el niño es seropositivo, si tal situación se conoce por medio de un método sensible (aglutinación por látex o inmunoanálisis enzimático) y no ha recibido un hemoderivado que le hubiera proporcionado pasivamente el anticuerpo.</w:t>
      </w:r>
    </w:p>
    <w:p w14:paraId="4EB7BB99" w14:textId="77777777" w:rsidR="00924992" w:rsidRDefault="00924992">
      <w:pPr>
        <w:pStyle w:val="BodyText"/>
        <w:ind w:firstLine="360"/>
      </w:pPr>
      <w:r>
        <w:t>Los pacientes que reciben cada mes una dosis alta de concentrado inmunoglobulínico intravenoso (IGIV) (400 mg/kg de peso o más) posiblemente están protegidos y no necesiten VZIG, si recibieron la última dosis de IGIV tres semanas o menos, antes de la exposición.</w:t>
      </w:r>
    </w:p>
    <w:p w14:paraId="79A4C7F3" w14:textId="77777777" w:rsidR="00924992" w:rsidRDefault="00924992">
      <w:pPr>
        <w:pStyle w:val="BodyText"/>
        <w:spacing w:line="276" w:lineRule="auto"/>
        <w:ind w:firstLine="360"/>
      </w:pPr>
      <w:r>
        <w:rPr>
          <w:rFonts w:ascii="Times New Roman" w:eastAsia="Times New Roman" w:hAnsi="Times New Roman" w:cs="Times New Roman"/>
          <w:b/>
          <w:bCs/>
          <w:i/>
          <w:iCs/>
          <w:sz w:val="16"/>
          <w:szCs w:val="16"/>
        </w:rPr>
        <w:t>Administración y dosis.</w:t>
      </w:r>
      <w:r>
        <w:t xml:space="preserve"> El concentrado inmunoglobulínico de varicela-zoster se aplica con inyección intramuscular (IM) y contiene entre 10 y 18% de globulina, pero no tiene timerosal. Se administra una ampolleta (volumen aproximado, 1.25 ml) que contenga 125 U, por cada 10 kg de peso corporal, y es la dosis mínima. La dosis máxima sugerida de VZIG es de 625 U (es decir, cinco ampolletas).</w:t>
      </w:r>
    </w:p>
    <w:p w14:paraId="4197C0A5" w14:textId="77777777" w:rsidR="00924992" w:rsidRDefault="00924992">
      <w:pPr>
        <w:pStyle w:val="BodyText"/>
        <w:ind w:firstLine="360"/>
      </w:pPr>
      <w:r>
        <w:t>Es mejor no utilizar VZIG en niños con diátesis hemorrágica, en la medida de lo posible. En esta situación, una alternativa aceptable sería usar concentrado inmunoglobulínico intravenoso. Nunca se administrará por vía endovenosa el concentrado inmunoglobulínico contra varicela-zoster.</w:t>
      </w:r>
    </w:p>
    <w:p w14:paraId="75C64E15" w14:textId="77777777" w:rsidR="00924992" w:rsidRDefault="00924992">
      <w:pPr>
        <w:pStyle w:val="BodyText"/>
        <w:spacing w:line="283" w:lineRule="auto"/>
        <w:ind w:firstLine="360"/>
      </w:pPr>
      <w:r>
        <w:rPr>
          <w:rFonts w:ascii="Times New Roman" w:eastAsia="Times New Roman" w:hAnsi="Times New Roman" w:cs="Times New Roman"/>
          <w:b/>
          <w:bCs/>
          <w:i/>
          <w:iCs/>
          <w:sz w:val="16"/>
          <w:szCs w:val="16"/>
        </w:rPr>
        <w:t>Indicaciones para aplicar VZIG.</w:t>
      </w:r>
      <w:r>
        <w:t xml:space="preserve"> Los cuadros 3-76 y 3-77 indican cuáles son las personas susceptibles que deberán recibir VZIG si quedan expuestos, incluidos los niños inmunodeficientes, embarazadas susceptibles y algunos neonatos.</w:t>
      </w:r>
    </w:p>
    <w:p w14:paraId="53AE7B28" w14:textId="77777777" w:rsidR="00924992" w:rsidRDefault="00924992">
      <w:pPr>
        <w:pStyle w:val="BodyText"/>
        <w:ind w:firstLine="360"/>
      </w:pPr>
      <w:r>
        <w:t>En el caso de productos a término sanos expuestos a la varicela después de nacer, incluidos aquellos de madres cuya erupción surgió en un lapso mayor de 48 h después del parto, no está indicado VZIG. Sin embargo, algunos expertos recomiendan usar dicho concentrado en cualquier neonato susceptible y expuesto que tenga ataque grave de la piel.</w:t>
      </w:r>
    </w:p>
    <w:p w14:paraId="67B78D5D" w14:textId="77777777" w:rsidR="00924992" w:rsidRDefault="00924992">
      <w:pPr>
        <w:pStyle w:val="BodyText"/>
        <w:numPr>
          <w:ilvl w:val="0"/>
          <w:numId w:val="121"/>
        </w:numPr>
        <w:tabs>
          <w:tab w:val="left" w:pos="324"/>
        </w:tabs>
        <w:ind w:left="340" w:hanging="340"/>
      </w:pPr>
      <w:bookmarkStart w:id="193" w:name="bookmark1639"/>
      <w:bookmarkEnd w:id="193"/>
      <w:r>
        <w:rPr>
          <w:rFonts w:ascii="Times New Roman" w:eastAsia="Times New Roman" w:hAnsi="Times New Roman" w:cs="Times New Roman"/>
          <w:b/>
          <w:bCs/>
          <w:i/>
          <w:iCs/>
          <w:sz w:val="16"/>
          <w:szCs w:val="16"/>
        </w:rPr>
        <w:t>Adultos sanos.</w:t>
      </w:r>
      <w:r>
        <w:t xml:space="preserve"> El concentrado inmunoglobulínico contra varicela-zoster se puede administrar a adultos sanos susceptibles después de exposición a la varicela, pero no se recomienda su uso sistemático. Se puede recurrir a un ciclo de siete días de aciclovir en adultos susceptibles, que comience siete a nueve días después de la exposición a la varicela, si la vacuna está contraindicada, o por si han transcurrido más de 72 h desde el momento de la exposición. A pesar de todo, muchos adultos sin el antecedente de varicela o con un dato incierto al respecto, están inmunes.</w:t>
      </w:r>
    </w:p>
    <w:p w14:paraId="07B70ED7" w14:textId="77777777" w:rsidR="00924992" w:rsidRDefault="00924992">
      <w:pPr>
        <w:pStyle w:val="BodyText"/>
        <w:numPr>
          <w:ilvl w:val="0"/>
          <w:numId w:val="121"/>
        </w:numPr>
        <w:tabs>
          <w:tab w:val="left" w:pos="324"/>
        </w:tabs>
        <w:ind w:left="340" w:hanging="340"/>
      </w:pPr>
      <w:bookmarkStart w:id="194" w:name="bookmark1640"/>
      <w:bookmarkEnd w:id="194"/>
      <w:r>
        <w:rPr>
          <w:rFonts w:ascii="Times New Roman" w:eastAsia="Times New Roman" w:hAnsi="Times New Roman" w:cs="Times New Roman"/>
          <w:b/>
          <w:bCs/>
          <w:i/>
          <w:iCs/>
          <w:sz w:val="16"/>
          <w:szCs w:val="16"/>
        </w:rPr>
        <w:t>Exposiciones ulteriores y vigilancia de niños que reciben VZIG.</w:t>
      </w:r>
      <w:r>
        <w:t xml:space="preserve"> La aplicación de VZIG puede hacer que la infección por varicela se torne asintomática; por ese motivo, la práctica de pruebas para valorar el estado inmunitario en todo niño que haya recibido VZIG, dos meses después de la aplicación o incluso un lapso mayor, puede ser útil en caso de exposición subsiguiente. A pesar de ello, algunos expertos recomiendan administrar VZIG después de exposiciones posteriores, sean cuales sean los resultados serológicos, porque son poco fiables los resultados de métodos serológicos en niños inmunodeficientes y no hay certidumbre en</w:t>
      </w:r>
    </w:p>
    <w:p w14:paraId="14C110B8" w14:textId="77777777" w:rsidR="00924992" w:rsidRDefault="00924992">
      <w:pPr>
        <w:pStyle w:val="Heading31"/>
        <w:keepNext/>
        <w:keepLines/>
        <w:pBdr>
          <w:bottom w:val="single" w:sz="4" w:space="0" w:color="auto"/>
        </w:pBdr>
        <w:spacing w:after="400" w:line="221" w:lineRule="auto"/>
        <w:jc w:val="center"/>
      </w:pPr>
      <w:bookmarkStart w:id="195" w:name="bookmark1641"/>
      <w:bookmarkStart w:id="196" w:name="bookmark1642"/>
      <w:bookmarkStart w:id="197" w:name="bookmark1643"/>
      <w:r>
        <w:rPr>
          <w:b w:val="0"/>
          <w:bCs w:val="0"/>
        </w:rPr>
        <w:t xml:space="preserve">Cuadro 3-77. </w:t>
      </w:r>
      <w:r>
        <w:t>Candidatos para recibir VZIG, siempre y cuando haya habido</w:t>
      </w:r>
      <w:r>
        <w:br/>
        <w:t>exposición significativa</w:t>
      </w:r>
      <w:r>
        <w:rPr>
          <w:vertAlign w:val="superscript"/>
        </w:rPr>
        <w:t>1</w:t>
      </w:r>
      <w:bookmarkEnd w:id="195"/>
      <w:bookmarkEnd w:id="196"/>
      <w:bookmarkEnd w:id="197"/>
    </w:p>
    <w:p w14:paraId="4DAB28AD" w14:textId="77777777" w:rsidR="00924992" w:rsidRDefault="00924992">
      <w:pPr>
        <w:pStyle w:val="Bodytext20"/>
        <w:numPr>
          <w:ilvl w:val="0"/>
          <w:numId w:val="121"/>
        </w:numPr>
        <w:tabs>
          <w:tab w:val="left" w:pos="200"/>
        </w:tabs>
      </w:pPr>
      <w:bookmarkStart w:id="198" w:name="bookmark1644"/>
      <w:bookmarkEnd w:id="198"/>
      <w:r>
        <w:t>Niños inmunodeficientes</w:t>
      </w:r>
      <w:r>
        <w:rPr>
          <w:vertAlign w:val="superscript"/>
        </w:rPr>
        <w:t>2</w:t>
      </w:r>
      <w:r>
        <w:t xml:space="preserve"> sin el antecedente de varicela o aplicación de la vacuna contra ella</w:t>
      </w:r>
      <w:r>
        <w:rPr>
          <w:vertAlign w:val="superscript"/>
        </w:rPr>
        <w:t>3</w:t>
      </w:r>
    </w:p>
    <w:p w14:paraId="3A4459C7" w14:textId="77777777" w:rsidR="00924992" w:rsidRDefault="00924992">
      <w:pPr>
        <w:pStyle w:val="Bodytext20"/>
        <w:numPr>
          <w:ilvl w:val="0"/>
          <w:numId w:val="121"/>
        </w:numPr>
        <w:tabs>
          <w:tab w:val="left" w:pos="200"/>
        </w:tabs>
      </w:pPr>
      <w:bookmarkStart w:id="199" w:name="bookmark1645"/>
      <w:bookmarkEnd w:id="199"/>
      <w:r>
        <w:t>Embarazadas susceptibles</w:t>
      </w:r>
    </w:p>
    <w:p w14:paraId="6B34F478" w14:textId="77777777" w:rsidR="00924992" w:rsidRDefault="00924992">
      <w:pPr>
        <w:pStyle w:val="Bodytext20"/>
        <w:numPr>
          <w:ilvl w:val="0"/>
          <w:numId w:val="121"/>
        </w:numPr>
        <w:tabs>
          <w:tab w:val="left" w:pos="200"/>
        </w:tabs>
        <w:ind w:left="300" w:hanging="300"/>
      </w:pPr>
      <w:bookmarkStart w:id="200" w:name="bookmark1646"/>
      <w:bookmarkEnd w:id="200"/>
      <w:r>
        <w:t>Neonato de una madre cuya varicela comenzó en término de cinco días anteriores al parto o de 48 h después de él</w:t>
      </w:r>
    </w:p>
    <w:p w14:paraId="69937CE1" w14:textId="77777777" w:rsidR="00924992" w:rsidRDefault="00924992">
      <w:pPr>
        <w:pStyle w:val="Bodytext20"/>
        <w:numPr>
          <w:ilvl w:val="0"/>
          <w:numId w:val="121"/>
        </w:numPr>
        <w:tabs>
          <w:tab w:val="left" w:pos="200"/>
        </w:tabs>
        <w:ind w:left="300" w:hanging="300"/>
      </w:pPr>
      <w:bookmarkStart w:id="201" w:name="bookmark1647"/>
      <w:bookmarkEnd w:id="201"/>
      <w:r>
        <w:t>Prematuro hospitalizado (con 28 semanas de gestación o más) de una madre que no tiene antecedentes fiables de varicela ni signos serológicos de protección contra ella</w:t>
      </w:r>
    </w:p>
    <w:p w14:paraId="5A2AA31F" w14:textId="77777777" w:rsidR="00924992" w:rsidRDefault="00924992">
      <w:pPr>
        <w:pStyle w:val="Bodytext20"/>
        <w:numPr>
          <w:ilvl w:val="0"/>
          <w:numId w:val="121"/>
        </w:numPr>
        <w:pBdr>
          <w:bottom w:val="single" w:sz="4" w:space="0" w:color="auto"/>
        </w:pBdr>
        <w:tabs>
          <w:tab w:val="left" w:pos="200"/>
        </w:tabs>
        <w:spacing w:after="180"/>
        <w:ind w:left="300" w:hanging="300"/>
      </w:pPr>
      <w:bookmarkStart w:id="202" w:name="bookmark1648"/>
      <w:bookmarkEnd w:id="202"/>
      <w:r>
        <w:t xml:space="preserve">Prematuro hospitalizado (&lt;28 semanas de gestación o </w:t>
      </w:r>
      <w:r>
        <w:rPr>
          <w:sz w:val="20"/>
          <w:szCs w:val="20"/>
        </w:rPr>
        <w:t>&lt;</w:t>
      </w:r>
      <w:r>
        <w:t>1 000 g al nacer), sea cual sea el antecedente materno de varicela o el estado serológico respecto al virus de varicela-zoster</w:t>
      </w:r>
    </w:p>
    <w:p w14:paraId="30C0BEDE" w14:textId="77777777" w:rsidR="00924992" w:rsidRDefault="00924992">
      <w:pPr>
        <w:pStyle w:val="Bodytext20"/>
        <w:spacing w:line="240" w:lineRule="auto"/>
        <w:ind w:firstLine="240"/>
        <w:rPr>
          <w:sz w:val="15"/>
          <w:szCs w:val="15"/>
        </w:rPr>
      </w:pPr>
      <w:r>
        <w:rPr>
          <w:sz w:val="15"/>
          <w:szCs w:val="15"/>
        </w:rPr>
        <w:t>VZIG, concentrado inmunoglobulínico contra varicela-zoster.</w:t>
      </w:r>
    </w:p>
    <w:p w14:paraId="6D6725FC" w14:textId="77777777" w:rsidR="00924992" w:rsidRDefault="00924992">
      <w:pPr>
        <w:pStyle w:val="Bodytext20"/>
        <w:numPr>
          <w:ilvl w:val="0"/>
          <w:numId w:val="122"/>
        </w:numPr>
        <w:tabs>
          <w:tab w:val="left" w:pos="200"/>
        </w:tabs>
        <w:spacing w:line="463" w:lineRule="auto"/>
        <w:rPr>
          <w:sz w:val="15"/>
          <w:szCs w:val="15"/>
        </w:rPr>
      </w:pPr>
      <w:bookmarkStart w:id="203" w:name="bookmark1649"/>
      <w:bookmarkEnd w:id="203"/>
      <w:r>
        <w:rPr>
          <w:sz w:val="15"/>
          <w:szCs w:val="15"/>
        </w:rPr>
        <w:t>Consúltese el texto y el cuadro 3-76 respecto a mayores datos.</w:t>
      </w:r>
    </w:p>
    <w:p w14:paraId="29291E7F" w14:textId="77777777" w:rsidR="00924992" w:rsidRDefault="00924992">
      <w:pPr>
        <w:pStyle w:val="Bodytext20"/>
        <w:numPr>
          <w:ilvl w:val="0"/>
          <w:numId w:val="122"/>
        </w:numPr>
        <w:tabs>
          <w:tab w:val="left" w:pos="200"/>
        </w:tabs>
        <w:spacing w:line="463" w:lineRule="auto"/>
        <w:rPr>
          <w:sz w:val="15"/>
          <w:szCs w:val="15"/>
        </w:rPr>
      </w:pPr>
      <w:bookmarkStart w:id="204" w:name="bookmark1650"/>
      <w:bookmarkEnd w:id="204"/>
      <w:r>
        <w:rPr>
          <w:sz w:val="15"/>
          <w:szCs w:val="15"/>
        </w:rPr>
        <w:t>Incluidos niños infectados con virus de inmunodeficiencia humana.</w:t>
      </w:r>
    </w:p>
    <w:p w14:paraId="2983C1FC" w14:textId="77777777" w:rsidR="00924992" w:rsidRDefault="00924992">
      <w:pPr>
        <w:pStyle w:val="Bodytext20"/>
        <w:numPr>
          <w:ilvl w:val="0"/>
          <w:numId w:val="122"/>
        </w:numPr>
        <w:tabs>
          <w:tab w:val="left" w:pos="200"/>
        </w:tabs>
        <w:spacing w:after="520" w:line="324" w:lineRule="auto"/>
        <w:ind w:left="240" w:hanging="240"/>
        <w:rPr>
          <w:sz w:val="15"/>
          <w:szCs w:val="15"/>
        </w:rPr>
      </w:pPr>
      <w:bookmarkStart w:id="205" w:name="bookmark1651"/>
      <w:bookmarkEnd w:id="205"/>
      <w:r>
        <w:rPr>
          <w:sz w:val="15"/>
          <w:szCs w:val="15"/>
        </w:rPr>
        <w:t>También deben recibir el concentrado VZIG adolescentes y adultos inmunodeficientes en que se haya identificado la susceptibilidad.</w:t>
      </w:r>
    </w:p>
    <w:p w14:paraId="3EB59DD7" w14:textId="77777777" w:rsidR="00924992" w:rsidRDefault="00924992">
      <w:pPr>
        <w:pStyle w:val="BodyText"/>
        <w:ind w:left="360" w:firstLine="0"/>
      </w:pPr>
      <w:r>
        <w:t>cuanto a si la infección asintomática después de aplicar VZIG confiere protección permanente.</w:t>
      </w:r>
    </w:p>
    <w:p w14:paraId="58750AE9" w14:textId="77777777" w:rsidR="00924992" w:rsidRDefault="00924992">
      <w:pPr>
        <w:pStyle w:val="BodyText"/>
        <w:ind w:firstLine="0"/>
      </w:pPr>
      <w:r>
        <w:t>Se desconoce el lapso en el cual las personas que han recibido VZIG quedan protegidas de la varicela. Si surge una segunda exposición después de tres semanas de haber administrado VZIG en un niño en quien no surgió la varicela, habrá que aplicar otra dosis de concentrado inmunoglobulínico contra varicela-zoster.</w:t>
      </w:r>
    </w:p>
    <w:p w14:paraId="1D306344" w14:textId="77777777" w:rsidR="00924992" w:rsidRDefault="00924992">
      <w:pPr>
        <w:pStyle w:val="Bodytext80"/>
        <w:spacing w:line="300" w:lineRule="auto"/>
        <w:rPr>
          <w:sz w:val="15"/>
          <w:szCs w:val="15"/>
        </w:rPr>
      </w:pPr>
      <w:r>
        <w:rPr>
          <w:b/>
          <w:bCs/>
          <w:i/>
          <w:iCs/>
          <w:sz w:val="15"/>
          <w:szCs w:val="15"/>
        </w:rPr>
        <w:t>Vacunación activa.</w:t>
      </w:r>
      <w:r>
        <w:rPr>
          <w:b/>
          <w:bCs/>
          <w:i/>
          <w:iCs/>
          <w:sz w:val="15"/>
          <w:szCs w:val="15"/>
        </w:rPr>
        <w:footnoteReference w:id="25"/>
      </w:r>
    </w:p>
    <w:p w14:paraId="645CDA47" w14:textId="77777777" w:rsidR="00924992" w:rsidRDefault="00924992">
      <w:pPr>
        <w:pStyle w:val="BodyText"/>
        <w:spacing w:line="276" w:lineRule="auto"/>
        <w:ind w:firstLine="0"/>
      </w:pPr>
      <w:r>
        <w:rPr>
          <w:rFonts w:ascii="Times New Roman" w:eastAsia="Times New Roman" w:hAnsi="Times New Roman" w:cs="Times New Roman"/>
          <w:b/>
          <w:bCs/>
          <w:i/>
          <w:iCs/>
          <w:sz w:val="16"/>
          <w:szCs w:val="16"/>
        </w:rPr>
        <w:t>Vacuna.</w:t>
      </w:r>
      <w:r>
        <w:t xml:space="preserve"> La vacuna contra varicela es un preparado hecho de virus vivos atenuados, de la cepa natural Oka propagada serialmente y atenuada. El producto contiene cantidades ínfimas de neomicina y gelatina. En Estados Unidos, la </w:t>
      </w:r>
      <w:r>
        <w:rPr>
          <w:rFonts w:ascii="Times New Roman" w:eastAsia="Times New Roman" w:hAnsi="Times New Roman" w:cs="Times New Roman"/>
          <w:i/>
          <w:iCs/>
          <w:sz w:val="16"/>
          <w:szCs w:val="16"/>
        </w:rPr>
        <w:t xml:space="preserve">Food and Drug Administration </w:t>
      </w:r>
      <w:r>
        <w:t>en marzo de 1995 aprobó su uso en niños sanos de 12 meses de vida o mayores que no han padecido la enfermedad.</w:t>
      </w:r>
    </w:p>
    <w:p w14:paraId="592EC6EF" w14:textId="77777777" w:rsidR="00924992" w:rsidRDefault="00924992">
      <w:pPr>
        <w:pStyle w:val="BodyText"/>
        <w:spacing w:line="276" w:lineRule="auto"/>
        <w:ind w:firstLine="360"/>
      </w:pPr>
      <w:r>
        <w:rPr>
          <w:rFonts w:ascii="Times New Roman" w:eastAsia="Times New Roman" w:hAnsi="Times New Roman" w:cs="Times New Roman"/>
          <w:b/>
          <w:bCs/>
          <w:i/>
          <w:iCs/>
          <w:sz w:val="16"/>
          <w:szCs w:val="16"/>
        </w:rPr>
        <w:t>Dosis y administración.</w:t>
      </w:r>
      <w:r>
        <w:t xml:space="preserve"> La dosis recomendada de la vacuna es de 0.5 ml, con lo cual se suministran como mínimo 1 350 U de VZV “placógenas”. Se recomienda una dosis para niños de 12 años de edad o menores y dos dosis separadas por un intervalo de cuatro a ocho semanas, como mínimo, en niños mayores de 12 años. También es recomendable la aplicación subcutánea, aunque se ha demostrado que la aplicación IM origina cifras similares de seroconversión.</w:t>
      </w:r>
    </w:p>
    <w:p w14:paraId="7292A34D" w14:textId="77777777" w:rsidR="00924992" w:rsidRDefault="00924992">
      <w:pPr>
        <w:pStyle w:val="BodyText"/>
        <w:spacing w:line="276" w:lineRule="auto"/>
        <w:ind w:firstLine="360"/>
      </w:pPr>
      <w:r>
        <w:rPr>
          <w:rFonts w:ascii="Times New Roman" w:eastAsia="Times New Roman" w:hAnsi="Times New Roman" w:cs="Times New Roman"/>
          <w:b/>
          <w:bCs/>
          <w:i/>
          <w:iCs/>
          <w:sz w:val="16"/>
          <w:szCs w:val="16"/>
        </w:rPr>
        <w:t>Inmunogenicidad.</w:t>
      </w:r>
      <w:r>
        <w:t xml:space="preserve"> Más de 95% de los niños sanos vacunados entre los 12 meses y los 12 años de vida terminan por mostrar una respuesta inmunitaria de tipo humoral y celular a VZV después de una sola dosis de vacuna contra varicela. En niños de 13 años y jóvenes de mayor edad las cifras de seroconversión han sido de 78 a 82% después de recibir una dosis y de 99% después de recibir dos dosis.</w:t>
      </w:r>
    </w:p>
    <w:p w14:paraId="7E8FB110" w14:textId="77777777" w:rsidR="00924992" w:rsidRDefault="00924992">
      <w:pPr>
        <w:pStyle w:val="BodyText"/>
        <w:spacing w:line="283" w:lineRule="auto"/>
        <w:ind w:firstLine="360"/>
      </w:pPr>
      <w:r>
        <w:rPr>
          <w:rFonts w:ascii="Times New Roman" w:eastAsia="Times New Roman" w:hAnsi="Times New Roman" w:cs="Times New Roman"/>
          <w:b/>
          <w:bCs/>
          <w:i/>
          <w:iCs/>
          <w:sz w:val="16"/>
          <w:szCs w:val="16"/>
        </w:rPr>
        <w:t>Eficacia.</w:t>
      </w:r>
      <w:r>
        <w:t xml:space="preserve"> El producto aprobado en Estados Unidos tiene una eficacia mayor de 95% para evitar enfermedad moderada o grave. La eficacia para evitar infección leve es menos uniforme, y por lo común varía de 70 a 85%. Después de vacunar contra varicela surge un síndrome variceliforme leve en 1 a </w:t>
      </w:r>
      <w:r>
        <w:rPr>
          <w:i/>
          <w:iCs/>
        </w:rPr>
        <w:t>4%</w:t>
      </w:r>
      <w:r>
        <w:t xml:space="preserve"> de niños vacunados, por año; las cifras dependen de la exposición y quizá disminuyen conforme se amplía la protección. Se ha observado que ni la cifra ni la intensidad del síndrome variceliforme modificado (varicela a pesar de la vacunación) aumentan con el tiempo después de la vacunación. La varicela en los niños vacunados es más benigna que la que aparece en los niños no vacunados, con una mediana de 15 a 32 vesículas, una menor frecuencia de fiebre (10% con temperatura </w:t>
      </w:r>
      <w:r>
        <w:rPr>
          <w:rFonts w:ascii="Arial" w:eastAsia="Arial" w:hAnsi="Arial" w:cs="Arial"/>
        </w:rPr>
        <w:t>&gt;</w:t>
      </w:r>
      <w:r>
        <w:t>39°C) y recuperación rápida. En ocasiones, el cuadro es tan leve que no se le identifica fácilmente como varicela porque las lesiones en la piel se asemejan a picaduras de insecto. En contraste, la mediana de infecciones en niños no vacunados con varicela excede de 250. Se ha corroborado la transmisión de la enfermedad de niños que recibieron la vacuna y que tuvieron un cuadro variceliforme modificado leve, pero es una situación rara.</w:t>
      </w:r>
    </w:p>
    <w:p w14:paraId="6988A8D3" w14:textId="77777777" w:rsidR="00924992" w:rsidRDefault="00924992">
      <w:pPr>
        <w:pStyle w:val="BodyText"/>
        <w:ind w:firstLine="360"/>
      </w:pPr>
      <w:r>
        <w:rPr>
          <w:rFonts w:ascii="Times New Roman" w:eastAsia="Times New Roman" w:hAnsi="Times New Roman" w:cs="Times New Roman"/>
          <w:b/>
          <w:bCs/>
          <w:i/>
          <w:iCs/>
          <w:sz w:val="16"/>
          <w:szCs w:val="16"/>
        </w:rPr>
        <w:t>Duración de la inmunidad.</w:t>
      </w:r>
      <w:r>
        <w:t xml:space="preserve"> Han surgido dudas y preocupación en cuanto a la disminución de la inmunidad, pero las evaluaciones de vigilancia de niños vacunados durante estudios clínicos en Estados Unidos previos a la aprobación del producto indican protección durante 11 años, como mínimo. Las investigaciones en Japón indican protección durante, al menos, 20 años. Sin embargo, tales estudios fueron realizados durante un lapso en que en la comunidad había un recuento o número notable de cepas de VZV naturales, y hubo innumerables oportunidades para reforzar la inmunidad gracias a la infección subclínica en personas vacunadas. La experiencia acumulada con otras vacunas hechas de virus vivos (como el sarampión y la rubéola) sugiere que el nivel de inmunidad sigue en plano alto durante toda la vida; la justificación primaria para aplicar una segunda dosis de vacuna contra el sarampión es inducir protección en niños que no tuvieron una respuesta adecuada a la primera dosis y no porque la inmunidad estuviera en fase decreciente. En la actualidad se realizan estudios de vigilancia e investigaciones clínicas en niños, y otros después de la aprobación, para saber si se necesitan más dosis de la vacuna contra la varicela.</w:t>
      </w:r>
    </w:p>
    <w:p w14:paraId="3AC183CA" w14:textId="77777777" w:rsidR="00924992" w:rsidRDefault="00924992">
      <w:pPr>
        <w:pStyle w:val="BodyText"/>
        <w:spacing w:line="276" w:lineRule="auto"/>
        <w:ind w:firstLine="360"/>
      </w:pPr>
      <w:r>
        <w:rPr>
          <w:rFonts w:ascii="Times New Roman" w:eastAsia="Times New Roman" w:hAnsi="Times New Roman" w:cs="Times New Roman"/>
          <w:b/>
          <w:bCs/>
          <w:i/>
          <w:iCs/>
          <w:sz w:val="16"/>
          <w:szCs w:val="16"/>
        </w:rPr>
        <w:t>Administración simultánea con otras vacunas.</w:t>
      </w:r>
      <w:r>
        <w:t xml:space="preserve"> La vacuna contra la varicela puede aplicarse en forma simultánea con otras vacunas recomendadas para niños (véase “Calendario recomendado de vacunaciones en niños y adolescentes”, sección 1), pero habrá que utilizar jeringuillas y sitios de inyección separados. Se necesitan más estudios sobre inmunogenicidad en cuanto a la aplicación de la vacuna contra la varicela simultáneamente con la vacuna de virus poliomielíticos inactivados, pero no hay razón para sospechar que la primera vacuna modificará la respuesta inmunitaria a la segunda. Si no se aplican de manera simultánea, deben transcurrir como mínimo 18 días entre la administración de la vacuna contra la varicela y la vacuna triple </w:t>
      </w:r>
      <w:r>
        <w:rPr>
          <w:i/>
          <w:iCs/>
        </w:rPr>
        <w:t>(</w:t>
      </w:r>
      <w:r>
        <w:rPr>
          <w:rFonts w:ascii="Times New Roman" w:eastAsia="Times New Roman" w:hAnsi="Times New Roman" w:cs="Times New Roman"/>
          <w:i/>
          <w:iCs/>
          <w:sz w:val="16"/>
          <w:szCs w:val="16"/>
        </w:rPr>
        <w:t>measles, mumps and rubella</w:t>
      </w:r>
      <w:r>
        <w:rPr>
          <w:i/>
          <w:iCs/>
        </w:rPr>
        <w:t>,</w:t>
      </w:r>
      <w:r>
        <w:t xml:space="preserve"> MMR).</w:t>
      </w:r>
    </w:p>
    <w:p w14:paraId="2CE9ADC2" w14:textId="77777777" w:rsidR="00924992" w:rsidRDefault="00924992">
      <w:pPr>
        <w:pStyle w:val="BodyText"/>
        <w:ind w:firstLine="360"/>
      </w:pPr>
      <w:r>
        <w:rPr>
          <w:rFonts w:ascii="Times New Roman" w:eastAsia="Times New Roman" w:hAnsi="Times New Roman" w:cs="Times New Roman"/>
          <w:b/>
          <w:bCs/>
          <w:i/>
          <w:iCs/>
          <w:sz w:val="16"/>
          <w:szCs w:val="16"/>
        </w:rPr>
        <w:t>Reacciones adversas.</w:t>
      </w:r>
      <w:r>
        <w:t xml:space="preserve"> La vacuna contra la varicela es innocua; las reacciones por lo común son leves y surgen con una frecuencia global de 5 a 35%. En promedio, 20% de los niños vacunados presentarán reacciones leves en el sitio de la inyección (como dolor, rubor o hinchazón). En 3 a 5% de los niños mencionados surge una erupción localizada, y en otro 3 a 5%, una erupción generalizada variceliforme. Tal erupción típicamente consiste en dos a cinco lesiones y puede ser maculopapular y no vesiculosa; las lesiones por lo común aparecen cinco a 26 días después de la vacunación. Casi todas las erupciones variceliformes generalizadas que aparecen en término de las primeras dos semanas de haber aplicado la vacuna contra la varicela son atribuibles a infección por VZV de tipo natural y no constituyen un efecto adverso de la vacuna. En un lapso que va de uno a 42 días después de la vacunación, en 15% de niños sanos vacunados se ha observado temperatura mayor de 39°C, pero también surge fiebre en un porcentaje similar de niños que reciben placebo, y se considera que no es una reacción adversa frecuente a la vacuna antivaricélica. Se ha señalado en 10% de los adolescentes y adultos vacunados contra la varicela temperatura mayor de 38°C. En raras ocasiones se ha informado de algunos trastornos graves, como anafilaxia, encefalitis, ataxia, eritema multiforme, síndrome de Stevens-Johnson, neumonía, trombocitopenia, convulsiones, neuropatía, síndrome de Guillain-Barré, infecciones bacterianas secundarias y muerte, en vínculo temporal con la vacuna contra la varicela. En casos raros se ha definido una relación causal entre la aplicación de la vacuna y algunas de estas reacciones adversas, aunque su frecuencia es mucho menor que después de la que se observa con la infección natural. En casi todos los casos no son suficientes los datos para identificar una relación causal.</w:t>
      </w:r>
    </w:p>
    <w:p w14:paraId="1BBBA8FF" w14:textId="77777777" w:rsidR="00924992" w:rsidRDefault="00924992">
      <w:pPr>
        <w:pStyle w:val="BodyText"/>
        <w:spacing w:line="271" w:lineRule="auto"/>
        <w:ind w:firstLine="360"/>
      </w:pPr>
      <w:r>
        <w:rPr>
          <w:rFonts w:ascii="Times New Roman" w:eastAsia="Times New Roman" w:hAnsi="Times New Roman" w:cs="Times New Roman"/>
          <w:b/>
          <w:bCs/>
          <w:i/>
          <w:iCs/>
          <w:sz w:val="16"/>
          <w:szCs w:val="16"/>
        </w:rPr>
        <w:t>Herpes zoster después de la vacunación.</w:t>
      </w:r>
      <w:r>
        <w:t xml:space="preserve"> Se ha vinculado la aplicación de la vacuna con virus de varicela con la aparición de herpes zoster en niños inmunocompetentes e inmunodeficientes en término de 25 a 722 días después de aplicada. Los datos obtenidos de la vigilancia después de aprobación de la vacuna indican que el riesgo de que surja herpes zoster, específico de cada grupo de edad, al parecer es menor en niños inmunocompetentes que han recibido la vacuna contra la varicela que entre los menores que han mostrado la infección natural por ella. Los datos de un estudio poblacional indicaron que la incidencia anual de herpes zoster después de la infección natural por varicela en niños inmunocompetentes menores de 20 años de vida fue de 68 casos por 100 000 personas y que la cifra anual notificada de herpes zoster después de vacunación contra varicela en personas inmunocompetentes fue de 2.6 casos por 100 000 dosis de vacuna distribuida (CDC, datos inéditos). Sin embargo, hay que tener gran cautela al comparar las cifras en cuestión porque las correspondientes al zoster después de infección natural se basan en poblaciones vigiladas activamente por periodos de tiempo mayores que los que duró la vigilancia pasiva después de la vacunación. En vesículas de personas con herpes zoster después de la vacunación se ha aislado la cepa de VZV natural, lo cual indica que el herpes zoster en personas vacunadas pudiera ser consecuencia de una infección natural previa con virus de varicela.</w:t>
      </w:r>
    </w:p>
    <w:p w14:paraId="094EF6FD" w14:textId="77777777" w:rsidR="00924992" w:rsidRDefault="00924992">
      <w:pPr>
        <w:pStyle w:val="BodyText"/>
        <w:spacing w:line="276" w:lineRule="auto"/>
        <w:ind w:firstLine="360"/>
      </w:pPr>
      <w:r>
        <w:rPr>
          <w:rFonts w:ascii="Times New Roman" w:eastAsia="Times New Roman" w:hAnsi="Times New Roman" w:cs="Times New Roman"/>
          <w:b/>
          <w:bCs/>
          <w:i/>
          <w:iCs/>
          <w:sz w:val="16"/>
          <w:szCs w:val="16"/>
        </w:rPr>
        <w:t>Transmisión del virus en la vacuna.</w:t>
      </w:r>
      <w:r>
        <w:t xml:space="preserve"> La experiencia acumulada desde 1995 con 30 millones de dosis de vacuna contra varicela distribuidas en Estados Unidos, indica que la transmisión del virus de dicho preparado a los contactos es rara (sólo tres casos perfectamente probados), y que existe el peligro de transmisión sólo si surge la erupción en la persona vacunada (Merck &amp; Co Inc., datos inéditos).</w:t>
      </w:r>
    </w:p>
    <w:p w14:paraId="3565EBCD" w14:textId="77777777" w:rsidR="00924992" w:rsidRDefault="00924992">
      <w:pPr>
        <w:pStyle w:val="BodyText"/>
        <w:ind w:firstLine="360"/>
      </w:pPr>
      <w:r>
        <w:t>Es difícil de valorar la utilidad de VZIG o el aciclovir como productos profilácticos en personas de alto riesgo expuestas a niños vacunados con las lesiones, ante la rareza de la transmisión. Si surge el contacto inadvertido no se recomienda emplear sistemáticamente VZIG porque la transmisión es poco frecuente y la enfermedad, en caso de surgir, seguramente será leve. A pesar de ello, algunos expertos piensan que los niños inmunodeficientes en quienes aparecen lesiones de la piel tal vez por el virus de la vacuna, deben recibir aciclovir.</w:t>
      </w:r>
    </w:p>
    <w:p w14:paraId="2213F18A" w14:textId="77777777" w:rsidR="00924992" w:rsidRDefault="00924992">
      <w:pPr>
        <w:pStyle w:val="BodyText"/>
        <w:spacing w:line="276" w:lineRule="auto"/>
        <w:ind w:firstLine="360"/>
      </w:pPr>
      <w:r>
        <w:rPr>
          <w:rFonts w:ascii="Times New Roman" w:eastAsia="Times New Roman" w:hAnsi="Times New Roman" w:cs="Times New Roman"/>
          <w:b/>
          <w:bCs/>
          <w:i/>
          <w:iCs/>
          <w:sz w:val="16"/>
          <w:szCs w:val="16"/>
        </w:rPr>
        <w:t>Almacenamiento.</w:t>
      </w:r>
      <w:r>
        <w:t xml:space="preserve"> La vacuna liofilizada debe ser almacenada en un congelador sin escarcha a temperatura promedio de —15°C o menor. La vacuna puede ser almacenada a temperatura de refrigeración de 2 a 8°C, incluso durante 72 h continuas antes de aplicarla. El diluyente usado para reconstitución debe ser almacenado por separado en el refrigerador o a temperatura ambiente. Una vez reconstituida la vacuna debe ser inyectada a la menor brevedad posible y desechada si no se le aplica en término de 30 minutos.</w:t>
      </w:r>
      <w:r>
        <w:br w:type="page"/>
      </w:r>
    </w:p>
    <w:p w14:paraId="7225FB58" w14:textId="77777777" w:rsidR="00924992" w:rsidRDefault="00924992">
      <w:pPr>
        <w:pStyle w:val="BodyText"/>
        <w:ind w:firstLine="360"/>
      </w:pPr>
      <w:r>
        <w:rPr>
          <w:rFonts w:ascii="Arial" w:eastAsia="Arial" w:hAnsi="Arial" w:cs="Arial"/>
          <w:b/>
          <w:bCs/>
          <w:i/>
          <w:iCs/>
          <w:sz w:val="15"/>
          <w:szCs w:val="15"/>
        </w:rPr>
        <w:t>Recomendaciones para la vacunación.</w:t>
      </w:r>
      <w:r>
        <w:t xml:space="preserve"> Se ha recomendado la vacunación universal de lactantes y la de niños de mayor edad y adolescentes susceptibles, sin alguna contraindicación, con base en la frecuencia de complicaciones graves y muerte después de la infección natural, el costo excesivo para la familia y la sociedad que impone la infección por varicela y la eficacia e inocuidad de la vacuna hecha de virus vivos atenuados. La susceptibilidad se define por la ausencia de pruebas o datos de vacunación contra la varicela, la falta de un antecedente fiable de que ocurrió la enfermedad o la ausencia de manifestaciones serológicas de la varicela. Las recomendaciones específicas para cada grupo de edad son las siguientes:</w:t>
      </w:r>
    </w:p>
    <w:p w14:paraId="3628525C" w14:textId="77777777" w:rsidR="00924992" w:rsidRDefault="00924992">
      <w:pPr>
        <w:pStyle w:val="BodyText"/>
        <w:tabs>
          <w:tab w:val="left" w:pos="283"/>
        </w:tabs>
        <w:ind w:firstLine="0"/>
      </w:pPr>
      <w:r>
        <w:rPr>
          <w:b/>
          <w:bCs/>
        </w:rPr>
        <w:t>•</w:t>
      </w:r>
      <w:r>
        <w:rPr>
          <w:b/>
          <w:bCs/>
        </w:rPr>
        <w:tab/>
        <w:t>De 12 meses de edad a 13 años:</w:t>
      </w:r>
    </w:p>
    <w:p w14:paraId="43EC62C5" w14:textId="77777777" w:rsidR="00924992" w:rsidRDefault="00924992">
      <w:pPr>
        <w:pStyle w:val="BodyText"/>
        <w:ind w:left="360" w:firstLine="0"/>
      </w:pPr>
      <w:r>
        <w:rPr>
          <w:rFonts w:ascii="Times New Roman" w:eastAsia="Times New Roman" w:hAnsi="Times New Roman" w:cs="Times New Roman"/>
          <w:i/>
          <w:iCs/>
          <w:sz w:val="16"/>
          <w:szCs w:val="16"/>
        </w:rPr>
        <w:t>De 12 a 18 meses.</w:t>
      </w:r>
      <w:r>
        <w:t xml:space="preserve"> Se recomienda aplicar una dosis de vacuna contra varicela para la vacunación universal de todos los niños inmunocompetentes que no tienen el antecedente fiable ni datos serológicos de varicela.</w:t>
      </w:r>
    </w:p>
    <w:p w14:paraId="5E96071E" w14:textId="77777777" w:rsidR="00924992" w:rsidRDefault="00924992">
      <w:pPr>
        <w:pStyle w:val="BodyText"/>
        <w:spacing w:line="290" w:lineRule="auto"/>
        <w:ind w:left="360" w:firstLine="0"/>
      </w:pPr>
      <w:r>
        <w:rPr>
          <w:rFonts w:ascii="Times New Roman" w:eastAsia="Times New Roman" w:hAnsi="Times New Roman" w:cs="Times New Roman"/>
          <w:i/>
          <w:iCs/>
          <w:sz w:val="16"/>
          <w:szCs w:val="16"/>
        </w:rPr>
        <w:t>De 19 meses a 13 años.</w:t>
      </w:r>
      <w:r>
        <w:t xml:space="preserve"> Se recomienda vacunar a niños susceptibles, cosa que puede hacerse en cualquier fecha durante la niñez, pero antes de cumplir el pequeño</w:t>
      </w:r>
    </w:p>
    <w:p w14:paraId="3C9BE4C9" w14:textId="77777777" w:rsidR="00924992" w:rsidRDefault="00924992">
      <w:pPr>
        <w:pStyle w:val="BodyText"/>
        <w:ind w:left="360" w:firstLine="0"/>
      </w:pPr>
      <w:r>
        <w:t>13 años, por la posibilidad de que tenga mayor gravedad la varicela natural después de tal fecha límite.</w:t>
      </w:r>
    </w:p>
    <w:p w14:paraId="43A4D986" w14:textId="77777777" w:rsidR="00924992" w:rsidRDefault="00924992">
      <w:pPr>
        <w:pStyle w:val="BodyText"/>
        <w:ind w:left="360" w:firstLine="0"/>
      </w:pPr>
      <w:r>
        <w:rPr>
          <w:b/>
          <w:bCs/>
        </w:rPr>
        <w:t xml:space="preserve">Adolescentes y adultos jóvenes sanos. </w:t>
      </w:r>
      <w:r>
        <w:t>Los adolescentes sanos que han cumplido 13 años y que son susceptibles deben ser vacunados contra la varicela, y recibir dos dosis de la vacuna con una diferencia de cuatro a ocho semanas. Los intervalos más largos entre una y otra dosis no obligan a administrar una tercera dosis, pero pueden dejar a la persona sin protección en los meses intermedios.</w:t>
      </w:r>
    </w:p>
    <w:p w14:paraId="2639AFBD" w14:textId="77777777" w:rsidR="00924992" w:rsidRDefault="00924992">
      <w:pPr>
        <w:pStyle w:val="BodyText"/>
        <w:ind w:left="360" w:firstLine="0"/>
      </w:pPr>
      <w:r>
        <w:rPr>
          <w:b/>
          <w:bCs/>
        </w:rPr>
        <w:t xml:space="preserve">Adultos. </w:t>
      </w:r>
      <w:r>
        <w:t>La ACIP</w:t>
      </w:r>
      <w:r>
        <w:footnoteReference w:id="26"/>
      </w:r>
      <w:r>
        <w:t xml:space="preserve"> ha publicado recomendaciones para utilizar la vacuna contra varicela. Dicho organismo recomienda vacunar a los siguientes grupos de alto riesgo; sin embargo, insta a vacunar a todos los adultos susceptibles:</w:t>
      </w:r>
    </w:p>
    <w:p w14:paraId="0E17B922" w14:textId="77777777" w:rsidR="00924992" w:rsidRDefault="00924992">
      <w:pPr>
        <w:pStyle w:val="Other0"/>
        <w:spacing w:after="2120" w:line="180" w:lineRule="auto"/>
        <w:ind w:firstLine="360"/>
        <w:rPr>
          <w:sz w:val="24"/>
          <w:szCs w:val="24"/>
        </w:rPr>
      </w:pPr>
      <w:r>
        <w:rPr>
          <w:noProof/>
        </w:rPr>
        <mc:AlternateContent>
          <mc:Choice Requires="wps">
            <w:drawing>
              <wp:anchor distT="0" distB="0" distL="114300" distR="114300" simplePos="0" relativeHeight="251663360" behindDoc="0" locked="0" layoutInCell="1" allowOverlap="1" wp14:anchorId="0E966B21" wp14:editId="3B9895B3">
                <wp:simplePos x="0" y="0"/>
                <wp:positionH relativeFrom="page">
                  <wp:posOffset>976630</wp:posOffset>
                </wp:positionH>
                <wp:positionV relativeFrom="paragraph">
                  <wp:posOffset>25400</wp:posOffset>
                </wp:positionV>
                <wp:extent cx="3862070" cy="1999615"/>
                <wp:effectExtent l="0" t="0" r="0" b="0"/>
                <wp:wrapSquare wrapText="left"/>
                <wp:docPr id="2130" name="Shape 2130"/>
                <wp:cNvGraphicFramePr/>
                <a:graphic xmlns:a="http://schemas.openxmlformats.org/drawingml/2006/main">
                  <a:graphicData uri="http://schemas.microsoft.com/office/word/2010/wordprocessingShape">
                    <wps:wsp>
                      <wps:cNvSpPr txBox="1"/>
                      <wps:spPr>
                        <a:xfrm>
                          <a:off x="0" y="0"/>
                          <a:ext cx="3862070" cy="1999615"/>
                        </a:xfrm>
                        <a:prstGeom prst="rect">
                          <a:avLst/>
                        </a:prstGeom>
                        <a:noFill/>
                      </wps:spPr>
                      <wps:txbx>
                        <w:txbxContent>
                          <w:p w14:paraId="2D474430" w14:textId="77777777" w:rsidR="00924992" w:rsidRDefault="00924992">
                            <w:pPr>
                              <w:pStyle w:val="BodyText"/>
                              <w:ind w:firstLine="0"/>
                            </w:pPr>
                            <w:r>
                              <w:t>Contactos cercanos de personas con gran peligro de mostrar complicaciones graves, incluidos los contactos del círculo familiar de personas inmunodeficientes Profesionales asistenciales</w:t>
                            </w:r>
                          </w:p>
                          <w:p w14:paraId="220FADE5" w14:textId="77777777" w:rsidR="00924992" w:rsidRDefault="00924992">
                            <w:pPr>
                              <w:pStyle w:val="BodyText"/>
                              <w:ind w:firstLine="0"/>
                            </w:pPr>
                            <w:r>
                              <w:t>Sujetos que viven o trabajan en entornos en que es posible la transmisión de VZV (maestros de escolares de corta edad, empleados de centros de atención pediátrica y residentes y miembros del personal en instituciones de atención a largo plazo)</w:t>
                            </w:r>
                          </w:p>
                          <w:p w14:paraId="4E8EF678" w14:textId="77777777" w:rsidR="00924992" w:rsidRDefault="00924992">
                            <w:pPr>
                              <w:pStyle w:val="BodyText"/>
                              <w:ind w:firstLine="0"/>
                            </w:pPr>
                            <w:r>
                              <w:t>Individuos que viven y trabajan en entornos en que puede surgir la transmisión (como estudiantes universitarios, internos y miembros del personal de instituciones correccionales, y personal militar)</w:t>
                            </w:r>
                          </w:p>
                          <w:p w14:paraId="5D922FFC" w14:textId="77777777" w:rsidR="00924992" w:rsidRDefault="00924992">
                            <w:pPr>
                              <w:pStyle w:val="BodyText"/>
                              <w:ind w:firstLine="0"/>
                            </w:pPr>
                            <w:r>
                              <w:t>Mujeres no embarazadas, en edad de procreación</w:t>
                            </w:r>
                          </w:p>
                          <w:p w14:paraId="4C47C0F2" w14:textId="77777777" w:rsidR="00924992" w:rsidRDefault="00924992">
                            <w:pPr>
                              <w:pStyle w:val="BodyText"/>
                              <w:ind w:firstLine="0"/>
                            </w:pPr>
                            <w:r>
                              <w:t>Adolescentes y adultos que viven en núcleos familiares con niños Personas que viajan a otros países</w:t>
                            </w:r>
                          </w:p>
                        </w:txbxContent>
                      </wps:txbx>
                      <wps:bodyPr lIns="0" tIns="0" rIns="0" bIns="0"/>
                    </wps:wsp>
                  </a:graphicData>
                </a:graphic>
              </wp:anchor>
            </w:drawing>
          </mc:Choice>
          <mc:Fallback>
            <w:pict>
              <v:shape w14:anchorId="0E966B21" id="Shape 2130" o:spid="_x0000_s1029" type="#_x0000_t202" style="position:absolute;left:0;text-align:left;margin-left:76.9pt;margin-top:2pt;width:304.1pt;height:157.45pt;z-index:251663360;visibility:visible;mso-wrap-style:square;mso-wrap-distance-left:9pt;mso-wrap-distance-top:0;mso-wrap-distance-right:9pt;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" filled="f" stroked="f">
                <v:textbox inset="0,0,0,0">
                  <w:txbxContent>
                    <w:p w14:paraId="2D474430" w14:textId="77777777" w:rsidR="00924992" w:rsidRDefault="00924992">
                      <w:pPr>
                        <w:pStyle w:val="BodyText"/>
                        <w:ind w:firstLine="0"/>
                      </w:pPr>
                      <w:r>
                        <w:t>Contactos cercanos de personas con gran peligro de mostrar complicaciones graves, incluidos los contactos del círculo familiar de personas inmunodeficientes Profesionales asistenciales</w:t>
                      </w:r>
                    </w:p>
                    <w:p w14:paraId="220FADE5" w14:textId="77777777" w:rsidR="00924992" w:rsidRDefault="00924992">
                      <w:pPr>
                        <w:pStyle w:val="BodyText"/>
                        <w:ind w:firstLine="0"/>
                      </w:pPr>
                      <w:r>
                        <w:t>Sujetos que viven o trabajan en entornos en que es posible la transmisión de VZV (maestros de escolares de corta edad, empleados de centros de atención pediátrica y residentes y miembros del personal en instituciones de atención a largo plazo)</w:t>
                      </w:r>
                    </w:p>
                    <w:p w14:paraId="4E8EF678" w14:textId="77777777" w:rsidR="00924992" w:rsidRDefault="00924992">
                      <w:pPr>
                        <w:pStyle w:val="BodyText"/>
                        <w:ind w:firstLine="0"/>
                      </w:pPr>
                      <w:r>
                        <w:t>Individuos que viven y trabajan en entornos en que puede surgir la transmisión (como estudiantes universitarios, internos y miembros del personal de instituciones correccionales, y personal militar)</w:t>
                      </w:r>
                    </w:p>
                    <w:p w14:paraId="5D922FFC" w14:textId="77777777" w:rsidR="00924992" w:rsidRDefault="00924992">
                      <w:pPr>
                        <w:pStyle w:val="BodyText"/>
                        <w:ind w:firstLine="0"/>
                      </w:pPr>
                      <w:r>
                        <w:t>Mujeres no embarazadas, en edad de procreación</w:t>
                      </w:r>
                    </w:p>
                    <w:p w14:paraId="4C47C0F2" w14:textId="77777777" w:rsidR="00924992" w:rsidRDefault="00924992">
                      <w:pPr>
                        <w:pStyle w:val="BodyText"/>
                        <w:ind w:firstLine="0"/>
                      </w:pPr>
                      <w:r>
                        <w:t>Adolescentes y adultos que viven en núcleos familiares con niños Personas que viajan a otros países</w:t>
                      </w:r>
                    </w:p>
                  </w:txbxContent>
                </v:textbox>
                <w10:wrap type="square" side="left" anchorx="page"/>
              </v:shape>
            </w:pict>
          </mc:Fallback>
        </mc:AlternateContent>
      </w:r>
      <w:r>
        <w:rPr>
          <w:rFonts w:ascii="Arial" w:eastAsia="Arial" w:hAnsi="Arial" w:cs="Arial"/>
          <w:b/>
          <w:bCs/>
          <w:w w:val="70"/>
          <w:sz w:val="24"/>
          <w:szCs w:val="24"/>
        </w:rPr>
        <w:t>♦</w:t>
      </w:r>
    </w:p>
    <w:p w14:paraId="3F260E2A" w14:textId="77777777" w:rsidR="00924992" w:rsidRDefault="00924992">
      <w:pPr>
        <w:pStyle w:val="Other0"/>
        <w:spacing w:line="240" w:lineRule="auto"/>
        <w:ind w:firstLine="360"/>
        <w:rPr>
          <w:sz w:val="24"/>
          <w:szCs w:val="24"/>
        </w:rPr>
      </w:pPr>
      <w:r>
        <w:rPr>
          <w:rFonts w:ascii="Arial" w:eastAsia="Arial" w:hAnsi="Arial" w:cs="Arial"/>
          <w:b/>
          <w:bCs/>
          <w:w w:val="70"/>
          <w:sz w:val="24"/>
          <w:szCs w:val="24"/>
        </w:rPr>
        <w:t>♦</w:t>
      </w:r>
    </w:p>
    <w:p w14:paraId="31FA3FAB" w14:textId="77777777" w:rsidR="00924992" w:rsidRDefault="00924992">
      <w:pPr>
        <w:pStyle w:val="Other0"/>
        <w:spacing w:line="209" w:lineRule="auto"/>
        <w:ind w:firstLine="360"/>
        <w:rPr>
          <w:sz w:val="24"/>
          <w:szCs w:val="24"/>
        </w:rPr>
      </w:pPr>
      <w:r>
        <w:rPr>
          <w:rFonts w:ascii="Arial" w:eastAsia="Arial" w:hAnsi="Arial" w:cs="Arial"/>
          <w:b/>
          <w:bCs/>
          <w:w w:val="70"/>
          <w:sz w:val="24"/>
          <w:szCs w:val="24"/>
        </w:rPr>
        <w:t>♦</w:t>
      </w:r>
    </w:p>
    <w:p w14:paraId="686957DD" w14:textId="77777777" w:rsidR="00924992" w:rsidRDefault="00924992">
      <w:pPr>
        <w:pStyle w:val="Other0"/>
        <w:spacing w:after="60" w:line="209" w:lineRule="auto"/>
        <w:ind w:firstLine="360"/>
        <w:rPr>
          <w:sz w:val="24"/>
          <w:szCs w:val="24"/>
        </w:rPr>
      </w:pPr>
      <w:r>
        <w:rPr>
          <w:rFonts w:ascii="Arial" w:eastAsia="Arial" w:hAnsi="Arial" w:cs="Arial"/>
          <w:b/>
          <w:bCs/>
          <w:w w:val="70"/>
          <w:sz w:val="24"/>
          <w:szCs w:val="24"/>
        </w:rPr>
        <w:t>♦</w:t>
      </w:r>
    </w:p>
    <w:p w14:paraId="2C5CA3D6" w14:textId="77777777" w:rsidR="00924992" w:rsidRDefault="00924992">
      <w:pPr>
        <w:pStyle w:val="Bodytext20"/>
        <w:spacing w:line="314" w:lineRule="auto"/>
      </w:pPr>
      <w:r>
        <w:rPr>
          <w:b/>
          <w:bCs/>
          <w:i/>
          <w:iCs/>
        </w:rPr>
        <w:t>Estudios serológicos antes de la vacunación y después de practicada</w:t>
      </w:r>
    </w:p>
    <w:p w14:paraId="79060774" w14:textId="77777777" w:rsidR="00924992" w:rsidRDefault="00924992">
      <w:pPr>
        <w:pStyle w:val="BodyText"/>
        <w:ind w:firstLine="0"/>
      </w:pPr>
      <w:r>
        <w:t>Cabe suponer que todo adulto, adolescente o niño con el antecedente fiable de varicela es inmune y no necesita ser vacunado. Dado que 70 a 90% de personas de 18 años o mayores sin el antecedente fiable de la enfermedad también estarán inmunes, pudiera ser una estrategia conveniente en términos de costos realizar estudios serológicos en niños de 13 años o mayores y vacunar sólo a los seronegativos. Si se practican los métodos serológicos, habrá que crear un sistema de rastreo de personas seronegativas para asegurar que se vacuna a las personas susceptibles. Sin embargo, no se necesita la práctica de métodos serológicos porque la vacuna contra varicela es perfectamente tolerada por personas que han quedado inmunes por haber sufrido la enfermedad. En algunas situaciones, la vacunación universal pudiera ser más fácil de practicar que los métodos serológicos y el rastreo. Casi todos los niños menores de 13 años sin el antecedente fiable de varicela deben ser considerados como susceptibles y vacunados sin someterlos a pruebas serológicas. No obstante, datos de algunas poblaciones indican que una gran proporción de los niños de nueve a 12 años con un antecedente incierto de varicela están inmunes y que pudiera justificarse el costo de pruebas serológicas antes de decidir si son vacunados. Las cifras de seroconversión después de una dosis de vacuna contra varicela en niños menores de 13 años, y después de dos dosis en adolescentes y adultos, son tan altas que se torna innecesaria la práctica de pruebas serológicas después de la vacunación.</w:t>
      </w:r>
    </w:p>
    <w:p w14:paraId="7758EE9D" w14:textId="77777777" w:rsidR="00924992" w:rsidRDefault="00924992">
      <w:pPr>
        <w:pStyle w:val="BodyText"/>
        <w:ind w:firstLine="360"/>
      </w:pPr>
      <w:r>
        <w:t>El inmunoanálisis enzimático del virus completo es el método serológico en el comercio más utilizado en casos de VZV. La sensibilidad del método basta para decidir si hay inmunidad después de varicela natural, pero quizá no sea tan sensible para valorar la inmunidad inducida por la vacuna. Son más sensibles los métodos como los de anticuerpos fluorescente a antígeno de la membrana y aglutinación por látex, pero el primero de tales procedimientos no se practica en laboratorios comerciales y la aglutinación por látex no es conveniente para valoración de grandes masas.</w:t>
      </w:r>
    </w:p>
    <w:p w14:paraId="29C6F872" w14:textId="77777777" w:rsidR="00924992" w:rsidRDefault="00924992">
      <w:pPr>
        <w:pStyle w:val="BodyText"/>
        <w:spacing w:line="290" w:lineRule="auto"/>
        <w:ind w:firstLine="360"/>
      </w:pPr>
      <w:r>
        <w:rPr>
          <w:rFonts w:ascii="Times New Roman" w:eastAsia="Times New Roman" w:hAnsi="Times New Roman" w:cs="Times New Roman"/>
          <w:b/>
          <w:bCs/>
          <w:i/>
          <w:iCs/>
          <w:sz w:val="16"/>
          <w:szCs w:val="16"/>
        </w:rPr>
        <w:t>Vacunación de refuerzo.</w:t>
      </w:r>
      <w:r>
        <w:t xml:space="preserve"> No se recomienda revacunar a los niños aunque con el tiempo habrá que revalorar las necesidades de recomendar tal medida.</w:t>
      </w:r>
    </w:p>
    <w:p w14:paraId="5135E72F" w14:textId="77777777" w:rsidR="00924992" w:rsidRDefault="00924992">
      <w:pPr>
        <w:pStyle w:val="Bodytext80"/>
        <w:spacing w:line="334" w:lineRule="auto"/>
        <w:rPr>
          <w:sz w:val="15"/>
          <w:szCs w:val="15"/>
        </w:rPr>
      </w:pPr>
      <w:r>
        <w:rPr>
          <w:b/>
          <w:bCs/>
          <w:i/>
          <w:iCs/>
          <w:sz w:val="15"/>
          <w:szCs w:val="15"/>
        </w:rPr>
        <w:t>Contraindicaciones y precauciones</w:t>
      </w:r>
    </w:p>
    <w:p w14:paraId="1BF2D1A4" w14:textId="77777777" w:rsidR="00924992" w:rsidRDefault="00924992">
      <w:pPr>
        <w:pStyle w:val="BodyText"/>
        <w:spacing w:line="283" w:lineRule="auto"/>
        <w:ind w:firstLine="0"/>
      </w:pPr>
      <w:r>
        <w:rPr>
          <w:rFonts w:ascii="Times New Roman" w:eastAsia="Times New Roman" w:hAnsi="Times New Roman" w:cs="Times New Roman"/>
          <w:b/>
          <w:bCs/>
          <w:i/>
          <w:iCs/>
          <w:sz w:val="16"/>
          <w:szCs w:val="16"/>
        </w:rPr>
        <w:t>Enfermedades intercurrentes.</w:t>
      </w:r>
      <w:r>
        <w:t xml:space="preserve"> Como ocurre con otras vacunas, no debe administrarse la vacuna contra varicela a niños y personas con enfermedades moderadas o graves, con fiebre o sin ella (véase “Seguridad y contraindicación de las vacunas”, sección 1).</w:t>
      </w:r>
    </w:p>
    <w:p w14:paraId="4D6132B4" w14:textId="77777777" w:rsidR="00924992" w:rsidRDefault="00924992">
      <w:pPr>
        <w:pStyle w:val="Bodytext20"/>
        <w:spacing w:line="314" w:lineRule="auto"/>
        <w:ind w:firstLine="360"/>
      </w:pPr>
      <w:r>
        <w:rPr>
          <w:b/>
          <w:bCs/>
          <w:i/>
          <w:iCs/>
        </w:rPr>
        <w:t>Pacientes inmunodeficientes.</w:t>
      </w:r>
    </w:p>
    <w:p w14:paraId="24E31116" w14:textId="77777777" w:rsidR="00924992" w:rsidRDefault="00924992">
      <w:pPr>
        <w:pStyle w:val="BodyText"/>
        <w:spacing w:line="276" w:lineRule="auto"/>
        <w:ind w:firstLine="360"/>
      </w:pPr>
      <w:r>
        <w:rPr>
          <w:rFonts w:ascii="Times New Roman" w:eastAsia="Times New Roman" w:hAnsi="Times New Roman" w:cs="Times New Roman"/>
          <w:i/>
          <w:iCs/>
          <w:sz w:val="16"/>
          <w:szCs w:val="16"/>
        </w:rPr>
        <w:t>Recomendaciones generales.</w:t>
      </w:r>
      <w:r>
        <w:t xml:space="preserve"> Es importante no aplicar sistemáticamente la vacuna contra varicela a niños con inmunodeficiencia de linfocitos T, incluidos aquellos con leucemia, linfoma y otras neoplasias cancerosas que atacan la médula ósea o el sistema linfático y también los que tienen anormalidades congénitas de linfocitos T (véase “Niños inmunodeficientes”, sección 1). Las excepciones incluyen menores con leucemia linfocítica aguda a quienes se podrá administrar la vacuna bajo un estudio con protocolo (véase “Leucemia linfocítica aguda”, más adelante en este resumen) y algunos niños asintomáticos infectados por VIH (véase “Humana, infección por virus de inmunodeficiencia [VIH]”, en esta sección). Es posible que los niños con deficiencias de la inmunidad de tipo humoral reciban la vacuna.</w:t>
      </w:r>
    </w:p>
    <w:p w14:paraId="36134FD6" w14:textId="77777777" w:rsidR="00924992" w:rsidRDefault="00924992">
      <w:pPr>
        <w:pStyle w:val="BodyText"/>
        <w:ind w:firstLine="360"/>
      </w:pPr>
      <w:r>
        <w:t>La inmunodeficiencia debe descartarse antes de vacunar a niños con el antecedente familiar de inmunodeficiencia hereditaria. La presencia de tal cuadro anormal o un miembro de la familia seropositivo a VIH no constituye contraindicación para usar la vacuna en los demás miembros del círculo familiar.</w:t>
      </w:r>
    </w:p>
    <w:p w14:paraId="1DEA8C3A" w14:textId="77777777" w:rsidR="00924992" w:rsidRDefault="00924992">
      <w:pPr>
        <w:pStyle w:val="BodyText"/>
        <w:spacing w:line="276" w:lineRule="auto"/>
        <w:ind w:firstLine="360"/>
      </w:pPr>
      <w:r>
        <w:rPr>
          <w:rFonts w:ascii="Times New Roman" w:eastAsia="Times New Roman" w:hAnsi="Times New Roman" w:cs="Times New Roman"/>
          <w:i/>
          <w:iCs/>
          <w:sz w:val="16"/>
          <w:szCs w:val="16"/>
        </w:rPr>
        <w:t>Leucemia linfocítica aguda.</w:t>
      </w:r>
      <w:r>
        <w:t xml:space="preserve"> La vacuna actual no ha sido aprobada para el empleo sistemático en niños con cánceres, pero se pensará en la vacunación cuando un niño susceptible con leucemia linfocítica aguda ha estado en fase de remisión continua durante un año como mínimo y su recuento de linfocitos es mayor de 700 células/pl (0.7 x 10</w:t>
      </w:r>
      <w:r>
        <w:rPr>
          <w:rFonts w:ascii="Times New Roman" w:eastAsia="Times New Roman" w:hAnsi="Times New Roman" w:cs="Times New Roman"/>
          <w:sz w:val="11"/>
          <w:szCs w:val="11"/>
        </w:rPr>
        <w:t>9</w:t>
      </w:r>
      <w:r>
        <w:t>/L) y su recuento de plaquetas excede de 100 x 10</w:t>
      </w:r>
      <w:r>
        <w:rPr>
          <w:vertAlign w:val="superscript"/>
        </w:rPr>
        <w:t>3</w:t>
      </w:r>
      <w:r>
        <w:t>/pl (100 x 10</w:t>
      </w:r>
      <w:r>
        <w:rPr>
          <w:rFonts w:ascii="Times New Roman" w:eastAsia="Times New Roman" w:hAnsi="Times New Roman" w:cs="Times New Roman"/>
          <w:sz w:val="11"/>
          <w:szCs w:val="11"/>
        </w:rPr>
        <w:t>9</w:t>
      </w:r>
      <w:r>
        <w:t>/L). Se ha demostrado que en los niños mencionados la vacunación es innocua, inmunógena y eficaz, y se puede obtener gratis la vacuna para emplear en un protocolo de investigación; este último debe ser aprobado por la junta de revisión institucional y también habrá que hacer sesiones de vigilancia de su inocuidad.</w:t>
      </w:r>
      <w:r>
        <w:footnoteReference w:id="27"/>
      </w:r>
    </w:p>
    <w:p w14:paraId="4A124B7C" w14:textId="77777777" w:rsidR="00924992" w:rsidRDefault="00924992">
      <w:pPr>
        <w:pStyle w:val="BodyText"/>
        <w:spacing w:line="271" w:lineRule="auto"/>
        <w:ind w:firstLine="360"/>
      </w:pPr>
      <w:r>
        <w:rPr>
          <w:rFonts w:ascii="Times New Roman" w:eastAsia="Times New Roman" w:hAnsi="Times New Roman" w:cs="Times New Roman"/>
          <w:i/>
          <w:iCs/>
          <w:sz w:val="16"/>
          <w:szCs w:val="16"/>
        </w:rPr>
        <w:t>Infección por virus de inmunodeficiencia humana.</w:t>
      </w:r>
      <w:r>
        <w:t xml:space="preserve"> No está indicada la detección sistemática en busca de infección por VIH antes de aplicar en forma normal la vacuna contra varicela. Los menores infectados por VIH pueden estar expuestos a un mayor peligro de complicaciones por varicela y herpes zoster en comparación con niños sanos. Los datos escasos sobre la vacunación de niños infectados por VIH dentro de la clase 1 de los CDC cuyo porcentaje de linfocitos T CD4+ es de 25% o más, indican que la vacuna es segura, inmunógena y eficaz. Por tal causa, después de comparar los posibles riesgos y beneficios habrá que pensar en la aplicación de la vacuna contra varicela en los niños infectados por VIH dentro de la clase mencionada y con el porcentaje comentado de linfocitos T CD4+ (25% o más). Los niños considerados como candidatos deben recibir dos dosis de vacuna contra varicela con un intervalo de 90 días entre una y otra y regresar al médico para ser valorados si presentan una erupción variceliforme después de la vacunación. Ante el uso cada vez mayor de la vacuna y la disminución resultante de la incidencia de varicela en la comunidad, disminuirá la exposición de hospedadores inmunodeficientes a VZV. Conforme disminuya el peligro de exposición y se generen más datos sobre el empleo de la vacuna en poblaciones de alto riesgo, seguramente habrá que valorar de nuevo el riesgo comparado con el beneficio de la vacunación contra varicela en niños infectados por virus de inmunodeficiencia humana.</w:t>
      </w:r>
    </w:p>
    <w:p w14:paraId="3AE6B9A6" w14:textId="77777777" w:rsidR="00924992" w:rsidRDefault="00924992">
      <w:pPr>
        <w:pStyle w:val="BodyText"/>
        <w:spacing w:line="276" w:lineRule="auto"/>
        <w:ind w:firstLine="360"/>
      </w:pPr>
      <w:r>
        <w:rPr>
          <w:rFonts w:ascii="Times New Roman" w:eastAsia="Times New Roman" w:hAnsi="Times New Roman" w:cs="Times New Roman"/>
          <w:i/>
          <w:iCs/>
          <w:sz w:val="16"/>
          <w:szCs w:val="16"/>
        </w:rPr>
        <w:t>Niños que reciben corticosteroides.</w:t>
      </w:r>
      <w:r>
        <w:t xml:space="preserve"> Es importante no administrar la vacuna contra varicela a personas que reciben altas dosis de corticosteroides de acción sistémica (2 mg de prednisona/kg de peso al día o más, o su equivalente o 20 mg de prednisona/día o su equivalente si el niño pesa más de 10 kg) durante 14 días o más. Se recomienda que transcurra por lo menos un mes entre la interrupción de la corticoterapia y la aplicación de la vacuna contra varicela. Otras recomendaciones respecto al uso de ella en niños que reciben corticosteroides se señalan en “Niños inmunodeficientes”, sección 1.</w:t>
      </w:r>
    </w:p>
    <w:p w14:paraId="406CFAD5" w14:textId="77777777" w:rsidR="00924992" w:rsidRDefault="00924992">
      <w:pPr>
        <w:pStyle w:val="BodyText"/>
        <w:spacing w:line="276" w:lineRule="auto"/>
        <w:ind w:firstLine="360"/>
      </w:pPr>
      <w:r>
        <w:rPr>
          <w:rFonts w:ascii="Times New Roman" w:eastAsia="Times New Roman" w:hAnsi="Times New Roman" w:cs="Times New Roman"/>
          <w:i/>
          <w:iCs/>
          <w:sz w:val="16"/>
          <w:szCs w:val="16"/>
        </w:rPr>
        <w:t>Círculo familiar con posible contacto con personas inmunodeficientes.</w:t>
      </w:r>
      <w:r>
        <w:t xml:space="preserve"> Se ha corroborado la transmisión del virus VZV en la vacuna, desde personas sanas, aunque es un hecho raro (véase “Reacciones adversas”, páginas anteriores en este resumen). Incluso en círculos familiares con personas inmunodeficientes como las que tienen infección por VIH, no se necesitan precauciones después de vacunar a niños sanos en quienes no aparece la erupción. Las personas vacunadas en quienes aparece la erupción deben evitar el contacto directo con hospedadores inmunodeficientes susceptibles durante todo el tiempo que dure tal manifestación cutánea.</w:t>
      </w:r>
    </w:p>
    <w:p w14:paraId="2FDF9BF1" w14:textId="77777777" w:rsidR="00924992" w:rsidRDefault="00924992">
      <w:pPr>
        <w:pStyle w:val="BodyText"/>
        <w:spacing w:line="276" w:lineRule="auto"/>
        <w:ind w:firstLine="360"/>
        <w:sectPr w:rsidR="00924992" w:rsidSect="00924992">
          <w:headerReference w:type="even" r:id="rId183"/>
          <w:headerReference w:type="default" r:id="rId184"/>
          <w:footerReference w:type="even" r:id="rId185"/>
          <w:footerReference w:type="default" r:id="rId186"/>
          <w:footnotePr>
            <w:numFmt w:val="chicago"/>
          </w:footnotePr>
          <w:pgSz w:w="8501" w:h="13022"/>
          <w:pgMar w:top="902" w:right="771" w:bottom="508" w:left="851" w:header="0" w:footer="3" w:gutter="0"/>
          <w:pgNumType w:start="697"/>
          <w:cols w:space="720"/>
          <w:noEndnote/>
          <w:docGrid w:linePitch="360"/>
          <w15:footnoteColumns w:val="1"/>
        </w:sectPr>
      </w:pPr>
      <w:r>
        <w:rPr>
          <w:rFonts w:ascii="Times New Roman" w:eastAsia="Times New Roman" w:hAnsi="Times New Roman" w:cs="Times New Roman"/>
          <w:b/>
          <w:bCs/>
          <w:i/>
          <w:iCs/>
          <w:sz w:val="16"/>
          <w:szCs w:val="16"/>
        </w:rPr>
        <w:t>Embarazo y lactancia.</w:t>
      </w:r>
      <w:r>
        <w:t xml:space="preserve"> La vacuna contra varicela no debe administrarse a embarazadas porque se desconocen los posible efectos que tenga en el desarrollo fetal.f Al vacunar a mujeres pospúberes, es importante que ellas no se embaracen durante un mes como mínimo después de la vacunación. La embarazada u otro miembro del círculo familiar no constituyen contraindicaciones para vacunar a un niño en dicho círculo. La recomendación anterior se basa en lo siguiente: rara vez hay transmisión del virus en la vacuna, más de 95% de los adultos son inmunes y la vacunación del menor </w:t>
      </w:r>
    </w:p>
    <w:p w14:paraId="306E28DF" w14:textId="77777777" w:rsidR="00924992" w:rsidRDefault="00924992">
      <w:pPr>
        <w:pStyle w:val="BodyText"/>
        <w:spacing w:line="276" w:lineRule="auto"/>
        <w:ind w:firstLine="0"/>
      </w:pPr>
      <w:r>
        <w:t>probablemente protegerá a la madre susceptible de la exposición al virus natural de varicela-zoster.</w:t>
      </w:r>
    </w:p>
    <w:p w14:paraId="0D22AEF5" w14:textId="77777777" w:rsidR="00924992" w:rsidRDefault="00924992">
      <w:pPr>
        <w:pStyle w:val="BodyText"/>
        <w:ind w:firstLine="360"/>
      </w:pPr>
      <w:r>
        <w:t>El estudio de madres que amamantan a sus pequeños no ha aportado pruebas de excreción de la cepa vacunal en la leche materna o la transmisión a pequeños amamantados por sus madres. Debe administrarse la vacuna contra varicela a madres susceptibles que alimentan a su hijo al seno.</w:t>
      </w:r>
    </w:p>
    <w:p w14:paraId="069EAC79" w14:textId="77777777" w:rsidR="00924992" w:rsidRDefault="00924992">
      <w:pPr>
        <w:pStyle w:val="BodyText"/>
        <w:spacing w:line="276" w:lineRule="auto"/>
        <w:ind w:firstLine="360"/>
      </w:pPr>
      <w:r>
        <w:rPr>
          <w:rFonts w:ascii="Times New Roman" w:eastAsia="Times New Roman" w:hAnsi="Times New Roman" w:cs="Times New Roman"/>
          <w:b/>
          <w:bCs/>
          <w:i/>
          <w:iCs/>
          <w:sz w:val="16"/>
          <w:szCs w:val="16"/>
        </w:rPr>
        <w:t>Concentrados inmunoglobulínicos.</w:t>
      </w:r>
      <w:r>
        <w:t xml:space="preserve"> No se sabe si el concentrado inmunoglobulínico (IG) interfiere en la inmunidad inducida por la vacuna de varicela, aunque dicho concentrado interfiere en la inducción de tal estado por parte de la vacuna antisarampionosa. Mientras se cuenta con más datos será mejor no aplicar la vacuna contra la varicela en los mismos lapsos después de que el niño recibe cualquier forma de concentrado inmunoglobulínico o cualquier otro hemoderivado, igual que se sigue con la vacuna contra el sarampión (véase “Sarampión”, en esta sección). Por lo contrario, será mejor no utilizar el concentrado durante dos semanas, como mínimo, después de aplicar la vacuna contra varicela. Los anticuerpos contra VZV que recibe el producto por la placenta no interfieren en la inmunogenicidad de la vacuna contra la varicela aplicada a los 12 meses de vida o después.</w:t>
      </w:r>
    </w:p>
    <w:p w14:paraId="104B4BAB" w14:textId="77777777" w:rsidR="00924992" w:rsidRDefault="00924992">
      <w:pPr>
        <w:pStyle w:val="BodyText"/>
        <w:spacing w:line="276" w:lineRule="auto"/>
        <w:ind w:firstLine="360"/>
      </w:pPr>
      <w:r>
        <w:rPr>
          <w:rFonts w:ascii="Times New Roman" w:eastAsia="Times New Roman" w:hAnsi="Times New Roman" w:cs="Times New Roman"/>
          <w:b/>
          <w:bCs/>
          <w:i/>
          <w:iCs/>
          <w:sz w:val="16"/>
          <w:szCs w:val="16"/>
        </w:rPr>
        <w:t>Salicilatos.</w:t>
      </w:r>
      <w:r>
        <w:t xml:space="preserve"> No se sabe si el síndrome de Reye es consecuencia de la administración de salicilatos después de vacunar contra la varicela a los niños. No se han publicado casos. Sin embargo, ante el vínculo entre el síndrome mencionado, la infección de varicela natural y los salicilatos, el fabricante de la vacuna recomienda no usar salicilatos durante seis semanas después de aplicar la vacuna. Los médicos deben comparar los riesgos teóricos de la aplicación de la vacuna, con los peligros sabidos que entraña la invasión por virus natural en niños que reciben por largo tiempo salicilatos.</w:t>
      </w:r>
    </w:p>
    <w:p w14:paraId="33A28AF5" w14:textId="77777777" w:rsidR="00924992" w:rsidRDefault="00924992">
      <w:pPr>
        <w:pStyle w:val="BodyText"/>
        <w:spacing w:after="120" w:line="276" w:lineRule="auto"/>
        <w:ind w:firstLine="360"/>
      </w:pPr>
      <w:r>
        <w:rPr>
          <w:rFonts w:ascii="Times New Roman" w:eastAsia="Times New Roman" w:hAnsi="Times New Roman" w:cs="Times New Roman"/>
          <w:b/>
          <w:bCs/>
          <w:i/>
          <w:iCs/>
          <w:sz w:val="16"/>
          <w:szCs w:val="16"/>
        </w:rPr>
        <w:t>Alergia a los componentes de la vacuna.</w:t>
      </w:r>
      <w:r>
        <w:t xml:space="preserve"> La vacuna contra varicela no debe administrarse a personas que han tenido una reacción de tipo anafiláctico a cualquier componente de ella, incluidos gelatina y neomicina. Muchas de las personas con alergia a dicho antibiótico muestran dermatitis por contacto como resultado, reacción que no constituye contraindicación para la vacunación. La vacuna no contiene conservadores ni proteínas de huevo.</w:t>
      </w:r>
    </w:p>
    <w:p w14:paraId="7DB99671" w14:textId="77777777" w:rsidR="00924992" w:rsidRDefault="00924992">
      <w:pPr>
        <w:pStyle w:val="Bodytext70"/>
        <w:spacing w:after="0" w:line="194" w:lineRule="auto"/>
      </w:pPr>
      <w:r>
        <w:rPr>
          <w:shd w:val="clear" w:color="auto" w:fill="FFFFFF"/>
        </w:rPr>
        <w:t>Vermes planos, enfermedades (teniasis y cisticercosis)</w:t>
      </w:r>
    </w:p>
    <w:p w14:paraId="53CD6B27" w14:textId="77777777" w:rsidR="00924992" w:rsidRDefault="00924992">
      <w:pPr>
        <w:pStyle w:val="Other0"/>
        <w:spacing w:line="194" w:lineRule="auto"/>
        <w:ind w:firstLine="0"/>
        <w:rPr>
          <w:sz w:val="16"/>
          <w:szCs w:val="16"/>
        </w:rPr>
      </w:pPr>
      <w:r>
        <w:rPr>
          <w:b/>
          <w:bCs/>
          <w:smallCaps/>
          <w:sz w:val="20"/>
          <w:szCs w:val="20"/>
        </w:rPr>
        <w:t>M</w:t>
      </w:r>
      <w:r>
        <w:rPr>
          <w:b/>
          <w:bCs/>
          <w:smallCaps/>
          <w:sz w:val="16"/>
          <w:szCs w:val="16"/>
        </w:rPr>
        <w:t>anifestaciones clínicas</w:t>
      </w:r>
    </w:p>
    <w:p w14:paraId="0A94ABFC" w14:textId="77777777" w:rsidR="00924992" w:rsidRDefault="00924992">
      <w:pPr>
        <w:pStyle w:val="BodyText"/>
        <w:spacing w:line="288" w:lineRule="auto"/>
        <w:ind w:firstLine="0"/>
      </w:pPr>
      <w:r>
        <w:rPr>
          <w:rFonts w:ascii="Arial" w:eastAsia="Arial" w:hAnsi="Arial" w:cs="Arial"/>
          <w:b/>
          <w:bCs/>
          <w:i/>
          <w:iCs/>
          <w:sz w:val="15"/>
          <w:szCs w:val="15"/>
        </w:rPr>
        <w:t>Teniasis.</w:t>
      </w:r>
      <w:r>
        <w:t xml:space="preserve"> La infección suele ser asintomática, aunque pueden surgir síntomas leves en vías gastrointestinales, náuseas, diarrea y dolor. Desde el ano o los excrementos se advierten a veces segmentos de los platelmintos.</w:t>
      </w:r>
    </w:p>
    <w:p w14:paraId="04969CD8" w14:textId="77777777" w:rsidR="00924992" w:rsidRDefault="00924992">
      <w:pPr>
        <w:pStyle w:val="BodyText"/>
        <w:spacing w:line="276" w:lineRule="auto"/>
        <w:ind w:firstLine="360"/>
        <w:sectPr w:rsidR="00924992" w:rsidSect="00924992">
          <w:headerReference w:type="even" r:id="rId187"/>
          <w:headerReference w:type="default" r:id="rId188"/>
          <w:footerReference w:type="even" r:id="rId189"/>
          <w:footerReference w:type="default" r:id="rId190"/>
          <w:footnotePr>
            <w:numFmt w:val="chicago"/>
          </w:footnotePr>
          <w:type w:val="continuous"/>
          <w:pgSz w:w="8501" w:h="13022"/>
          <w:pgMar w:top="902" w:right="771" w:bottom="508" w:left="851" w:header="0" w:footer="80" w:gutter="0"/>
          <w:cols w:space="720"/>
          <w:noEndnote/>
          <w:docGrid w:linePitch="360"/>
          <w15:footnoteColumns w:val="1"/>
        </w:sectPr>
      </w:pPr>
      <w:r>
        <w:rPr>
          <w:rFonts w:ascii="Arial" w:eastAsia="Arial" w:hAnsi="Arial" w:cs="Arial"/>
          <w:b/>
          <w:bCs/>
          <w:i/>
          <w:iCs/>
          <w:sz w:val="15"/>
          <w:szCs w:val="15"/>
        </w:rPr>
        <w:t>Cisticercosis.</w:t>
      </w:r>
      <w:r>
        <w:t xml:space="preserve"> Las manifestaciones dependen del sitio y del número de cisticercos y de la respuesta del hospedador. Se pueden identificar quistes en cualquier sitio del cuerpo. Las manifestaciones más frecuentes y graves son las que surgen en el sistema nervioso central. Los quistes de </w:t>
      </w:r>
      <w:r>
        <w:rPr>
          <w:rFonts w:ascii="Times New Roman" w:eastAsia="Times New Roman" w:hAnsi="Times New Roman" w:cs="Times New Roman"/>
          <w:i/>
          <w:iCs/>
          <w:sz w:val="16"/>
          <w:szCs w:val="16"/>
        </w:rPr>
        <w:t>Taenia solium</w:t>
      </w:r>
      <w:r>
        <w:t xml:space="preserve"> en el encéfalo (neurocisticercosis) originan convulsiones, perturbaciones conductuales, hidrocefalia obstructiva y otros signos y síntomas neurológicos. El cuadro mencionado constituye la causa principal de epilepsia, según circunstancias epidemiológicas. La reacción del hospedador a los quistes en degeneración origina signos y síntomas de meningitis. Los quistes en la médula espinal pueden originar perturbaciones de la marcha, dolor o mielitis transversa; los que están en plano subcutáneo originan nódulos palpables, y el ataque de los ojos por parte de ellos puede originar perturbaciones de la vista. </w:t>
      </w:r>
    </w:p>
    <w:p w14:paraId="210BCA16" w14:textId="77777777" w:rsidR="00924992" w:rsidRDefault="00924992">
      <w:pPr>
        <w:pStyle w:val="BodyText"/>
        <w:spacing w:line="276" w:lineRule="auto"/>
        <w:ind w:firstLine="0"/>
      </w:pPr>
      <w:r>
        <w:t>proliferación invasora de larvas en el hígado y a veces propagación metastàtica. La forma alveolar de la enfermedad hidatídica se limita al hemisferio septentrional y por lo común se diagnostica en personas de 50 años de edad o mayores. El tratamiento preferido es la extirpación quirúrgica de toda la masa larvaria. En casos no extirpables, la administración ininterrumpida de albendazol ha originado mejoría clínica.</w:t>
      </w:r>
    </w:p>
    <w:p w14:paraId="5C5469A2" w14:textId="77777777" w:rsidR="00924992" w:rsidRDefault="00924992">
      <w:pPr>
        <w:pStyle w:val="BodyText"/>
        <w:spacing w:line="262" w:lineRule="auto"/>
        <w:ind w:firstLine="0"/>
      </w:pPr>
      <w:r>
        <w:rPr>
          <w:b/>
          <w:bCs/>
          <w:smallCaps/>
          <w:sz w:val="20"/>
          <w:szCs w:val="20"/>
        </w:rPr>
        <w:t>A</w:t>
      </w:r>
      <w:r>
        <w:rPr>
          <w:b/>
          <w:bCs/>
          <w:smallCaps/>
          <w:sz w:val="16"/>
          <w:szCs w:val="16"/>
        </w:rPr>
        <w:t>islamiento del paciente hospitalizado</w:t>
      </w:r>
      <w:r>
        <w:rPr>
          <w:b/>
          <w:bCs/>
          <w:smallCaps/>
          <w:sz w:val="20"/>
          <w:szCs w:val="20"/>
        </w:rPr>
        <w:t>:</w:t>
      </w:r>
      <w:r>
        <w:t xml:space="preserve"> Se recomienda seguir las precauciones estàndar.</w:t>
      </w:r>
    </w:p>
    <w:p w14:paraId="2D655C2C" w14:textId="77777777" w:rsidR="00924992" w:rsidRDefault="00924992">
      <w:pPr>
        <w:pStyle w:val="BodyText"/>
        <w:ind w:firstLine="0"/>
      </w:pPr>
      <w:r>
        <w:rPr>
          <w:b/>
          <w:bCs/>
        </w:rPr>
        <w:t>M</w:t>
      </w:r>
      <w:r>
        <w:rPr>
          <w:b/>
          <w:bCs/>
          <w:sz w:val="13"/>
          <w:szCs w:val="13"/>
        </w:rPr>
        <w:t xml:space="preserve">EDIDAS </w:t>
      </w:r>
      <w:r>
        <w:rPr>
          <w:b/>
          <w:bCs/>
          <w:smallCaps/>
          <w:sz w:val="16"/>
          <w:szCs w:val="16"/>
        </w:rPr>
        <w:t>preventivas</w:t>
      </w:r>
      <w:r>
        <w:rPr>
          <w:b/>
          <w:bCs/>
          <w:smallCaps/>
          <w:sz w:val="20"/>
          <w:szCs w:val="20"/>
        </w:rPr>
        <w:t>:</w:t>
      </w:r>
      <w:r>
        <w:t xml:space="preserve"> Las medidas de este tipo con </w:t>
      </w:r>
      <w:r>
        <w:rPr>
          <w:rFonts w:ascii="Times New Roman" w:eastAsia="Times New Roman" w:hAnsi="Times New Roman" w:cs="Times New Roman"/>
          <w:i/>
          <w:iCs/>
          <w:sz w:val="16"/>
          <w:szCs w:val="16"/>
        </w:rPr>
        <w:t>H. nana</w:t>
      </w:r>
      <w:r>
        <w:t xml:space="preserve"> incluyen orientar al público en cuanto a aspectos de higiene personal y de eliminación sanitaria de las heces.</w:t>
      </w:r>
    </w:p>
    <w:p w14:paraId="248DC22D" w14:textId="77777777" w:rsidR="00924992" w:rsidRDefault="00924992">
      <w:pPr>
        <w:pStyle w:val="BodyText"/>
        <w:ind w:firstLine="360"/>
      </w:pPr>
      <w:r>
        <w:t xml:space="preserve">La infección por </w:t>
      </w:r>
      <w:r>
        <w:rPr>
          <w:rFonts w:ascii="Times New Roman" w:eastAsia="Times New Roman" w:hAnsi="Times New Roman" w:cs="Times New Roman"/>
          <w:i/>
          <w:iCs/>
          <w:sz w:val="16"/>
          <w:szCs w:val="16"/>
        </w:rPr>
        <w:t>D. caninum</w:t>
      </w:r>
      <w:r>
        <w:t xml:space="preserve"> se evita al desparasitar a perros y gatos de pulgas y vermes. La protección contra </w:t>
      </w:r>
      <w:r>
        <w:rPr>
          <w:rFonts w:ascii="Times New Roman" w:eastAsia="Times New Roman" w:hAnsi="Times New Roman" w:cs="Times New Roman"/>
          <w:i/>
          <w:iCs/>
          <w:sz w:val="16"/>
          <w:szCs w:val="16"/>
        </w:rPr>
        <w:t>D. latum</w:t>
      </w:r>
      <w:r>
        <w:t xml:space="preserve"> se logra por la cocción perfecta (56°C durante 5 min), la congelación (-18°C durante 24 h) o la radiación de la carne de peces de agua dulce.</w:t>
      </w:r>
    </w:p>
    <w:p w14:paraId="6D5F090B" w14:textId="77777777" w:rsidR="00924992" w:rsidRDefault="00924992">
      <w:pPr>
        <w:pStyle w:val="BodyText"/>
        <w:spacing w:after="100"/>
        <w:ind w:firstLine="360"/>
      </w:pPr>
      <w:r>
        <w:t xml:space="preserve">Las medidas de erradicación y prevención de </w:t>
      </w:r>
      <w:r>
        <w:rPr>
          <w:rFonts w:ascii="Times New Roman" w:eastAsia="Times New Roman" w:hAnsi="Times New Roman" w:cs="Times New Roman"/>
          <w:i/>
          <w:iCs/>
          <w:sz w:val="16"/>
          <w:szCs w:val="16"/>
        </w:rPr>
        <w:t>E. granulosus</w:t>
      </w:r>
      <w:r>
        <w:t xml:space="preserve"> y </w:t>
      </w:r>
      <w:r>
        <w:rPr>
          <w:rFonts w:ascii="Times New Roman" w:eastAsia="Times New Roman" w:hAnsi="Times New Roman" w:cs="Times New Roman"/>
          <w:i/>
          <w:iCs/>
          <w:sz w:val="16"/>
          <w:szCs w:val="16"/>
        </w:rPr>
        <w:t xml:space="preserve">E. multilocularis </w:t>
      </w:r>
      <w:r>
        <w:t>incluyen orientar a grandes masas en cuanto a la higiene satisfactoria de manos y no exponerse a los excrementos de perros. La prevención y el control de la infección en perros aminora el peligro.</w:t>
      </w:r>
    </w:p>
    <w:p w14:paraId="71EADCE2" w14:textId="77777777" w:rsidR="00924992" w:rsidRDefault="00924992">
      <w:pPr>
        <w:pStyle w:val="Other0"/>
        <w:spacing w:after="100" w:line="240" w:lineRule="auto"/>
        <w:ind w:firstLine="0"/>
        <w:rPr>
          <w:sz w:val="28"/>
          <w:szCs w:val="28"/>
        </w:rPr>
      </w:pPr>
      <w:r>
        <w:rPr>
          <w:rFonts w:ascii="Times New Roman" w:eastAsia="Times New Roman" w:hAnsi="Times New Roman" w:cs="Times New Roman"/>
          <w:b/>
          <w:bCs/>
          <w:smallCaps/>
          <w:sz w:val="32"/>
          <w:szCs w:val="32"/>
        </w:rPr>
        <w:t>V</w:t>
      </w:r>
      <w:r>
        <w:rPr>
          <w:rFonts w:ascii="Times New Roman" w:eastAsia="Times New Roman" w:hAnsi="Times New Roman" w:cs="Times New Roman"/>
          <w:b/>
          <w:bCs/>
          <w:smallCaps/>
          <w:sz w:val="28"/>
          <w:szCs w:val="28"/>
        </w:rPr>
        <w:t>ibriones</w:t>
      </w:r>
      <w:r>
        <w:rPr>
          <w:rFonts w:ascii="Times New Roman" w:eastAsia="Times New Roman" w:hAnsi="Times New Roman" w:cs="Times New Roman"/>
          <w:b/>
          <w:bCs/>
          <w:smallCaps/>
          <w:sz w:val="32"/>
          <w:szCs w:val="32"/>
        </w:rPr>
        <w:t xml:space="preserve">, </w:t>
      </w:r>
      <w:r>
        <w:rPr>
          <w:rFonts w:ascii="Times New Roman" w:eastAsia="Times New Roman" w:hAnsi="Times New Roman" w:cs="Times New Roman"/>
          <w:b/>
          <w:bCs/>
          <w:smallCaps/>
          <w:sz w:val="28"/>
          <w:szCs w:val="28"/>
        </w:rPr>
        <w:t>infecciones</w:t>
      </w:r>
    </w:p>
    <w:p w14:paraId="5A28CDE6" w14:textId="77777777" w:rsidR="00924992" w:rsidRDefault="00924992">
      <w:pPr>
        <w:pStyle w:val="Bodytext70"/>
        <w:spacing w:after="0"/>
      </w:pPr>
      <w:r>
        <w:t>Cólera</w:t>
      </w:r>
    </w:p>
    <w:p w14:paraId="6A6FDDDF" w14:textId="77777777" w:rsidR="00924992" w:rsidRDefault="00924992">
      <w:pPr>
        <w:pStyle w:val="Bodytext80"/>
        <w:rPr>
          <w:sz w:val="15"/>
          <w:szCs w:val="15"/>
        </w:rPr>
      </w:pPr>
      <w:r>
        <w:rPr>
          <w:b/>
          <w:bCs/>
          <w:i/>
          <w:iCs/>
          <w:sz w:val="15"/>
          <w:szCs w:val="15"/>
        </w:rPr>
        <w:t>(Vibrio cholerae)</w:t>
      </w:r>
    </w:p>
    <w:p w14:paraId="609FB4BD" w14:textId="77777777" w:rsidR="00924992" w:rsidRDefault="00924992">
      <w:pPr>
        <w:pStyle w:val="BodyText"/>
        <w:ind w:firstLine="0"/>
      </w:pPr>
      <w:r>
        <w:rPr>
          <w:b/>
          <w:bCs/>
        </w:rPr>
        <w:t>M</w:t>
      </w:r>
      <w:r>
        <w:rPr>
          <w:b/>
          <w:bCs/>
          <w:sz w:val="13"/>
          <w:szCs w:val="13"/>
        </w:rPr>
        <w:t xml:space="preserve">ANIFESTACIONES </w:t>
      </w:r>
      <w:r>
        <w:rPr>
          <w:b/>
          <w:bCs/>
          <w:smallCaps/>
          <w:sz w:val="16"/>
          <w:szCs w:val="16"/>
        </w:rPr>
        <w:t>clínicas</w:t>
      </w:r>
      <w:r>
        <w:rPr>
          <w:b/>
          <w:bCs/>
          <w:smallCaps/>
          <w:sz w:val="20"/>
          <w:szCs w:val="20"/>
        </w:rPr>
        <w:t>:</w:t>
      </w:r>
      <w:r>
        <w:t xml:space="preserve"> El cólera se caracteriza por diarrea abundante e indolora sin cólicos abdominales ni fiebre. En 4 a 12 h pueden ocurrir fenómenos como deshidratación, hipocaliemia, acidosis metabólica y a veces choque hipovolémico si no se reponen los líquidos perdidos. También puede sobrevenir coma, convulsiones e hipoglucemia, particularmente en niños. Los excrementos son incoloros con pequeños rasgos de moco (“en agua de arroz”) y contienen concentraciones altas de sodio, potasio, cloruro y bicarbonato. Muchas personas infectadas por </w:t>
      </w:r>
      <w:r>
        <w:rPr>
          <w:rFonts w:ascii="Times New Roman" w:eastAsia="Times New Roman" w:hAnsi="Times New Roman" w:cs="Times New Roman"/>
          <w:i/>
          <w:iCs/>
          <w:sz w:val="16"/>
          <w:szCs w:val="16"/>
        </w:rPr>
        <w:t>Vibrio cholerae</w:t>
      </w:r>
      <w:r>
        <w:t xml:space="preserve"> O1 toxígeno no tienen síntomas y otros tienen sólo diarrea leve o moderada; menos de 5% presentan diarrea aguda y acuosa, vómitos y deshidratación </w:t>
      </w:r>
      <w:r>
        <w:rPr>
          <w:rFonts w:ascii="Times New Roman" w:eastAsia="Times New Roman" w:hAnsi="Times New Roman" w:cs="Times New Roman"/>
          <w:i/>
          <w:iCs/>
          <w:sz w:val="16"/>
          <w:szCs w:val="16"/>
        </w:rPr>
        <w:t>(cólera grave)</w:t>
      </w:r>
      <w:r>
        <w:rPr>
          <w:i/>
          <w:iCs/>
        </w:rPr>
        <w:t xml:space="preserve">. </w:t>
      </w:r>
      <w:r>
        <w:rPr>
          <w:b/>
          <w:bCs/>
        </w:rPr>
        <w:t>C</w:t>
      </w:r>
      <w:r>
        <w:rPr>
          <w:b/>
          <w:bCs/>
          <w:sz w:val="13"/>
          <w:szCs w:val="13"/>
        </w:rPr>
        <w:t>AUSAS</w:t>
      </w:r>
      <w:r>
        <w:rPr>
          <w:b/>
          <w:bCs/>
        </w:rPr>
        <w:t xml:space="preserve">: </w:t>
      </w:r>
      <w:r>
        <w:rPr>
          <w:rFonts w:ascii="Times New Roman" w:eastAsia="Times New Roman" w:hAnsi="Times New Roman" w:cs="Times New Roman"/>
          <w:i/>
          <w:iCs/>
          <w:sz w:val="16"/>
          <w:szCs w:val="16"/>
        </w:rPr>
        <w:t>Vibrio cholerae</w:t>
      </w:r>
      <w:r>
        <w:t xml:space="preserve"> es un bacilo móvil, curvo gramnegativo con muchos serogrupos. Hasta fecha reciente, sólo los microorganismos que producen enterotoxina, del serogrupo O1 han causado epidemia. </w:t>
      </w:r>
      <w:r>
        <w:rPr>
          <w:rFonts w:ascii="Times New Roman" w:eastAsia="Times New Roman" w:hAnsi="Times New Roman" w:cs="Times New Roman"/>
          <w:i/>
          <w:iCs/>
          <w:sz w:val="16"/>
          <w:szCs w:val="16"/>
        </w:rPr>
        <w:t>Vibrio cholerae</w:t>
      </w:r>
      <w:r>
        <w:t xml:space="preserve"> O1 se divide en dos serotipos, Inaba y Ogawa con dos biotipos, el clàsico y El Tor. El biotipo predominante es El Tor. En 1992, una epidemia de cólera atribuible al serogrupo O139 Bengala de </w:t>
      </w:r>
      <w:r>
        <w:rPr>
          <w:rFonts w:ascii="Times New Roman" w:eastAsia="Times New Roman" w:hAnsi="Times New Roman" w:cs="Times New Roman"/>
          <w:i/>
          <w:iCs/>
          <w:sz w:val="16"/>
          <w:szCs w:val="16"/>
        </w:rPr>
        <w:t xml:space="preserve">V. cholerae </w:t>
      </w:r>
      <w:r>
        <w:t xml:space="preserve">(una cepa no toxígena O1) originó una epidemia de cólera en el Continente Indio y el sudeste asiàtico; los casos de cólera causados por dicho serogrupo se limitaron al sudeste asiático desde 1993. Los serogrupos de </w:t>
      </w:r>
      <w:r>
        <w:rPr>
          <w:rFonts w:ascii="Times New Roman" w:eastAsia="Times New Roman" w:hAnsi="Times New Roman" w:cs="Times New Roman"/>
          <w:i/>
          <w:iCs/>
          <w:sz w:val="16"/>
          <w:szCs w:val="16"/>
        </w:rPr>
        <w:t>V cholerae</w:t>
      </w:r>
      <w:r>
        <w:t xml:space="preserve"> diferentes de O1 y O139 Bengala y cepas no toxígenas de </w:t>
      </w:r>
      <w:r>
        <w:rPr>
          <w:rFonts w:ascii="Times New Roman" w:eastAsia="Times New Roman" w:hAnsi="Times New Roman" w:cs="Times New Roman"/>
          <w:i/>
          <w:iCs/>
          <w:sz w:val="16"/>
          <w:szCs w:val="16"/>
        </w:rPr>
        <w:t>V. cholerae</w:t>
      </w:r>
      <w:r>
        <w:t xml:space="preserve"> O1 originan cuadros diarreicos esporàdicos, pero no causan epidemias.</w:t>
      </w:r>
    </w:p>
    <w:p w14:paraId="69E592BF" w14:textId="77777777" w:rsidR="00924992" w:rsidRDefault="00924992">
      <w:pPr>
        <w:pStyle w:val="BodyText"/>
        <w:ind w:firstLine="0"/>
      </w:pPr>
      <w:r>
        <w:rPr>
          <w:b/>
          <w:bCs/>
          <w:smallCaps/>
          <w:sz w:val="20"/>
          <w:szCs w:val="20"/>
        </w:rPr>
        <w:t>A</w:t>
      </w:r>
      <w:r>
        <w:rPr>
          <w:b/>
          <w:bCs/>
          <w:smallCaps/>
          <w:sz w:val="16"/>
          <w:szCs w:val="16"/>
        </w:rPr>
        <w:t>spectos epidemiológicos</w:t>
      </w:r>
      <w:r>
        <w:rPr>
          <w:b/>
          <w:bCs/>
          <w:smallCaps/>
          <w:sz w:val="20"/>
          <w:szCs w:val="20"/>
        </w:rPr>
        <w:t>:</w:t>
      </w:r>
      <w:r>
        <w:t xml:space="preserve"> En los últimos 40 años, </w:t>
      </w:r>
      <w:r>
        <w:rPr>
          <w:rFonts w:ascii="Times New Roman" w:eastAsia="Times New Roman" w:hAnsi="Times New Roman" w:cs="Times New Roman"/>
          <w:i/>
          <w:iCs/>
          <w:sz w:val="16"/>
          <w:szCs w:val="16"/>
        </w:rPr>
        <w:t>V. cholerae</w:t>
      </w:r>
      <w:r>
        <w:t xml:space="preserve"> O1, biotipo El Tor se ha diseminado desde la India y el sudeste asiático a África, el Oriente Cercano, la porción meridional de Europa y las islas de la zona occidental del Pacífico (Oceanía). En 1991, apareció en Perú una epidemia de cólera causada por </w:t>
      </w:r>
      <w:r>
        <w:rPr>
          <w:rFonts w:ascii="Times New Roman" w:eastAsia="Times New Roman" w:hAnsi="Times New Roman" w:cs="Times New Roman"/>
          <w:i/>
          <w:iCs/>
          <w:sz w:val="16"/>
          <w:szCs w:val="16"/>
        </w:rPr>
        <w:t>V. cholerae</w:t>
      </w:r>
      <w:r>
        <w:t xml:space="preserve"> O1 toxígeno, serotipo Inaba, biotipo El Tor y se propagó a muchos países de América del Sur y del Norte. En Estados Unidos, se han notificado casos que han sido consecuencia de viajes a América Latina o Asia y atribuibles a la ingestión de alimentos contaminados transportados de una u otra regiones. Además, en la costa del golfo de México, en Louisiana y Texas ha habido un foco endémico de una cepa peculiar de </w:t>
      </w:r>
      <w:r>
        <w:rPr>
          <w:rFonts w:ascii="Times New Roman" w:eastAsia="Times New Roman" w:hAnsi="Times New Roman" w:cs="Times New Roman"/>
          <w:i/>
          <w:iCs/>
          <w:sz w:val="16"/>
          <w:szCs w:val="16"/>
        </w:rPr>
        <w:t>V. cholerae</w:t>
      </w:r>
      <w:r>
        <w:t xml:space="preserve"> O1 toxígeno. Casi todos los casos de enfermedad por tal cepa han surgido por consumo de mariscos crudos o mal cocidos. Los seres humanos constituyen los únicos hospedadores naturales probados, pero en el entorno acuático puede existir </w:t>
      </w:r>
      <w:r>
        <w:rPr>
          <w:rFonts w:ascii="Times New Roman" w:eastAsia="Times New Roman" w:hAnsi="Times New Roman" w:cs="Times New Roman"/>
          <w:i/>
          <w:iCs/>
          <w:sz w:val="16"/>
          <w:szCs w:val="16"/>
        </w:rPr>
        <w:t>V. cholerae</w:t>
      </w:r>
      <w:r>
        <w:t xml:space="preserve"> de vida libre. El mecanismo usual de infección es la ingestión de agua contaminada o, con menor frecuencia, alimentos (en particular mariscos crudos o mal cocidos, granos húmedos conservados a temperatura ambiente y peces crudos o parcialmente secos). La ebullición o la adición de cloro o yodo al agua y la cocción adecuada de alimentos destruye el microorganismo. No se ha corroborado la propagación directa de una persona a otra. Los individuos con hipoacidez gástrica están expuestos a un mayor peligro de cólera.</w:t>
      </w:r>
    </w:p>
    <w:p w14:paraId="273B8C4B" w14:textId="77777777" w:rsidR="00924992" w:rsidRDefault="00924992">
      <w:pPr>
        <w:pStyle w:val="BodyText"/>
        <w:ind w:firstLine="360"/>
      </w:pPr>
      <w:r>
        <w:t xml:space="preserve">El </w:t>
      </w:r>
      <w:r>
        <w:rPr>
          <w:b/>
          <w:bCs/>
        </w:rPr>
        <w:t xml:space="preserve">periodo de incubación </w:t>
      </w:r>
      <w:r>
        <w:t>por lo común es de uno a tres días y varía desde horas a cinco días.</w:t>
      </w:r>
    </w:p>
    <w:p w14:paraId="3281EA18" w14:textId="77777777" w:rsidR="00924992" w:rsidRDefault="00924992">
      <w:pPr>
        <w:pStyle w:val="BodyText"/>
        <w:spacing w:line="276" w:lineRule="auto"/>
        <w:ind w:firstLine="0"/>
      </w:pPr>
      <w:r>
        <w:rPr>
          <w:b/>
          <w:bCs/>
        </w:rPr>
        <w:t>M</w:t>
      </w:r>
      <w:r>
        <w:rPr>
          <w:b/>
          <w:bCs/>
          <w:sz w:val="13"/>
          <w:szCs w:val="13"/>
        </w:rPr>
        <w:t>ÉTODOS DIAGNÓSTICOS</w:t>
      </w:r>
      <w:r>
        <w:rPr>
          <w:b/>
          <w:bCs/>
        </w:rPr>
        <w:t xml:space="preserve">: </w:t>
      </w:r>
      <w:r>
        <w:t xml:space="preserve">Es posible cultivar </w:t>
      </w:r>
      <w:r>
        <w:rPr>
          <w:rFonts w:ascii="Times New Roman" w:eastAsia="Times New Roman" w:hAnsi="Times New Roman" w:cs="Times New Roman"/>
          <w:i/>
          <w:iCs/>
          <w:sz w:val="16"/>
          <w:szCs w:val="16"/>
        </w:rPr>
        <w:t>Vibrio cholerae</w:t>
      </w:r>
      <w:r>
        <w:t xml:space="preserve"> de muestras de excremento o vómito, inoculados en agar-sacarosa con sales biliares citrato y tiosulfato. Casi ningún laboratorio en Estados Unidos practica sistemáticamente el cultivo en busca de </w:t>
      </w:r>
      <w:r>
        <w:rPr>
          <w:rFonts w:ascii="Times New Roman" w:eastAsia="Times New Roman" w:hAnsi="Times New Roman" w:cs="Times New Roman"/>
          <w:i/>
          <w:iCs/>
          <w:sz w:val="16"/>
          <w:szCs w:val="16"/>
        </w:rPr>
        <w:t>V. cholerae</w:t>
      </w:r>
      <w:r>
        <w:t xml:space="preserve"> u otros vibriones, razón por la cual los clínicos deben solicitar la práctica de cultivos apropiados en casos clínicamente sospechosos. </w:t>
      </w:r>
      <w:r>
        <w:rPr>
          <w:rFonts w:ascii="Times New Roman" w:eastAsia="Times New Roman" w:hAnsi="Times New Roman" w:cs="Times New Roman"/>
          <w:i/>
          <w:iCs/>
          <w:sz w:val="16"/>
          <w:szCs w:val="16"/>
        </w:rPr>
        <w:t>V. cholerae</w:t>
      </w:r>
      <w:r>
        <w:t xml:space="preserve"> aislado debe enviarse a un laboratorio sanitario estatal para identificación de serogrupos; una vez identificados los serogrupos O1 o O139 Bengala se envían a los </w:t>
      </w:r>
      <w:r>
        <w:rPr>
          <w:rFonts w:ascii="Times New Roman" w:eastAsia="Times New Roman" w:hAnsi="Times New Roman" w:cs="Times New Roman"/>
          <w:i/>
          <w:iCs/>
          <w:sz w:val="16"/>
          <w:szCs w:val="16"/>
        </w:rPr>
        <w:t>Centers for Disease Control and Prevention</w:t>
      </w:r>
      <w:r>
        <w:t xml:space="preserve"> para valorar su producción de la toxina del cólera. El diagnóstico se confirma con incremento de cuatro tantos de los títulos de anticuerpos vibriocidas, en las muestras séricas de fase aguda y de convalecencia o un decremento de cuatro tantos de los títulos vibriocidas entre las muestras de suero de fase temprana y tardía de la convalecencia (intervalo mayor de dos meses).</w:t>
      </w:r>
    </w:p>
    <w:p w14:paraId="3CFE742F" w14:textId="77777777" w:rsidR="00924992" w:rsidRDefault="00924992">
      <w:pPr>
        <w:pStyle w:val="BodyText"/>
        <w:ind w:firstLine="0"/>
      </w:pPr>
      <w:r>
        <w:rPr>
          <w:b/>
          <w:bCs/>
        </w:rPr>
        <w:t>T</w:t>
      </w:r>
      <w:r>
        <w:rPr>
          <w:b/>
          <w:bCs/>
          <w:sz w:val="13"/>
          <w:szCs w:val="13"/>
        </w:rPr>
        <w:t>RATAMIENTO</w:t>
      </w:r>
      <w:r>
        <w:rPr>
          <w:b/>
          <w:bCs/>
        </w:rPr>
        <w:t xml:space="preserve">: </w:t>
      </w:r>
      <w:r>
        <w:t>La modalidad terapéutica más importante es la rehidratación oral o parenteral para corregir la deshidratación y las anormalidades de electrólitos, y se iniciará tan pronto se sospeche el diagnóstico.</w:t>
      </w:r>
      <w:r>
        <w:footnoteReference w:id="28"/>
      </w:r>
      <w:r>
        <w:t xml:space="preserve"> Se prefiere la rehidratación oral salvo que el niño esté en choque, hiporrefléxico o tenga íleo adinámico. La Solución de Rehidratación Oral </w:t>
      </w:r>
      <w:r>
        <w:rPr>
          <w:i/>
          <w:iCs/>
        </w:rPr>
        <w:t>(</w:t>
      </w:r>
      <w:r>
        <w:rPr>
          <w:rFonts w:ascii="Times New Roman" w:eastAsia="Times New Roman" w:hAnsi="Times New Roman" w:cs="Times New Roman"/>
          <w:i/>
          <w:iCs/>
          <w:sz w:val="16"/>
          <w:szCs w:val="16"/>
        </w:rPr>
        <w:t>Oral Rehydration Solution</w:t>
      </w:r>
      <w:r>
        <w:rPr>
          <w:i/>
          <w:iCs/>
        </w:rPr>
        <w:t>,</w:t>
      </w:r>
      <w:r>
        <w:t xml:space="preserve"> ORS) de la Organización Mundial de la Salud ha sido la solución estándar, pero datos recientes sugieren que son más eficaces ORS con base de arroz o con almidón resistente a amilasa.</w:t>
      </w:r>
    </w:p>
    <w:p w14:paraId="08BC0445" w14:textId="77777777" w:rsidR="00924992" w:rsidRDefault="00924992">
      <w:pPr>
        <w:pStyle w:val="BodyText"/>
        <w:ind w:firstLine="360"/>
      </w:pPr>
      <w:r>
        <w:t xml:space="preserve">La administración de antimicrobianos permite la erradicación rápida de los vibriones, disminuye la duración de la diarrea y aminora la necesidad de reposición de líquidos. Hay que pensar en su empleo en niños con un cuadro moderado o muy grave. La doxiciclina ingerible en una sola dosis o el uso de tetraciclina durante tres días constituyen los fármacos más indicados contra el cólera atribuible a </w:t>
      </w:r>
      <w:r>
        <w:rPr>
          <w:rFonts w:ascii="Times New Roman" w:eastAsia="Times New Roman" w:hAnsi="Times New Roman" w:cs="Times New Roman"/>
          <w:i/>
          <w:iCs/>
          <w:sz w:val="16"/>
          <w:szCs w:val="16"/>
        </w:rPr>
        <w:t>V. cholerae</w:t>
      </w:r>
      <w:r>
        <w:t xml:space="preserve"> O1 y O139 Bengala. Por lo regular no es recomendable usar tetraciclinas en niños menores de ocho años, pero en casos de cólera muy grave, quizá los beneficios superen el pequeño riesgo de manchar sus dientes en desarrollo (véase “Antimicrobianos y fármacos similares”, sección 4). Si las cepas son resistentes a las tetraciclinas, cabe recurrir a trimetoprim-sulfametoxazol, eritromicina o furazolidona. La cepa O139 Bengala de </w:t>
      </w:r>
      <w:r>
        <w:rPr>
          <w:rFonts w:ascii="Times New Roman" w:eastAsia="Times New Roman" w:hAnsi="Times New Roman" w:cs="Times New Roman"/>
          <w:i/>
          <w:iCs/>
          <w:sz w:val="16"/>
          <w:szCs w:val="16"/>
        </w:rPr>
        <w:t>Vibrio cholerae</w:t>
      </w:r>
      <w:r>
        <w:t xml:space="preserve"> de modo típico no es susceptible a trimetoprim- sulfametoxazol ni a furazolidona. La ciprofloxacina o la ofloxacina por lo común son agentes terapéuticos eficaces en la infección atribuible a </w:t>
      </w:r>
      <w:r>
        <w:rPr>
          <w:rFonts w:ascii="Times New Roman" w:eastAsia="Times New Roman" w:hAnsi="Times New Roman" w:cs="Times New Roman"/>
          <w:i/>
          <w:iCs/>
          <w:sz w:val="16"/>
          <w:szCs w:val="16"/>
        </w:rPr>
        <w:t>V. cholerae</w:t>
      </w:r>
      <w:r>
        <w:t xml:space="preserve"> O1 y O139 Bengala, pero por lo regular se empleará sólo en personas de 18 años de vida, como mínimo (véase “Antimicrobianos y fármacos similares”, sección 4). Es importante conocer la susceptibilidad de los microorganismos recién aislados, a los antimicrobianos. </w:t>
      </w:r>
      <w:r>
        <w:rPr>
          <w:b/>
          <w:bCs/>
        </w:rPr>
        <w:t>A</w:t>
      </w:r>
      <w:r>
        <w:rPr>
          <w:b/>
          <w:bCs/>
          <w:sz w:val="13"/>
          <w:szCs w:val="13"/>
        </w:rPr>
        <w:t xml:space="preserve">ISLAMIENTO </w:t>
      </w:r>
      <w:r>
        <w:rPr>
          <w:b/>
          <w:bCs/>
          <w:smallCaps/>
          <w:sz w:val="16"/>
          <w:szCs w:val="16"/>
        </w:rPr>
        <w:t>del</w:t>
      </w:r>
      <w:r>
        <w:rPr>
          <w:b/>
          <w:bCs/>
          <w:sz w:val="13"/>
          <w:szCs w:val="13"/>
        </w:rPr>
        <w:t xml:space="preserve"> PACIENTE HOSPITALIZADO</w:t>
      </w:r>
      <w:r>
        <w:rPr>
          <w:b/>
          <w:bCs/>
        </w:rPr>
        <w:t xml:space="preserve">: </w:t>
      </w:r>
      <w:r>
        <w:t>Además de las precauciones estándar conviene seguir las precauciones para evitar la transmisión por contacto en niños con pañales o incontinentes, durante todo el tiempo que dure la enfermedad.</w:t>
      </w:r>
    </w:p>
    <w:p w14:paraId="2FFC92B3" w14:textId="77777777" w:rsidR="00924992" w:rsidRDefault="00924992">
      <w:pPr>
        <w:pStyle w:val="Other0"/>
        <w:spacing w:line="257" w:lineRule="auto"/>
        <w:ind w:firstLine="0"/>
        <w:rPr>
          <w:sz w:val="20"/>
          <w:szCs w:val="20"/>
        </w:rPr>
      </w:pPr>
      <w:r>
        <w:rPr>
          <w:b/>
          <w:bCs/>
          <w:smallCaps/>
          <w:sz w:val="20"/>
          <w:szCs w:val="20"/>
        </w:rPr>
        <w:t>M</w:t>
      </w:r>
      <w:r>
        <w:rPr>
          <w:b/>
          <w:bCs/>
          <w:smallCaps/>
          <w:sz w:val="16"/>
          <w:szCs w:val="16"/>
        </w:rPr>
        <w:t>edidas preventivas</w:t>
      </w:r>
      <w:r>
        <w:rPr>
          <w:b/>
          <w:bCs/>
          <w:smallCaps/>
          <w:sz w:val="20"/>
          <w:szCs w:val="20"/>
        </w:rPr>
        <w:t>:</w:t>
      </w:r>
    </w:p>
    <w:p w14:paraId="0794A962" w14:textId="77777777" w:rsidR="00924992" w:rsidRDefault="00924992">
      <w:pPr>
        <w:pStyle w:val="BodyText"/>
        <w:spacing w:line="276" w:lineRule="auto"/>
        <w:ind w:firstLine="0"/>
      </w:pPr>
      <w:r>
        <w:rPr>
          <w:rFonts w:ascii="Arial" w:eastAsia="Arial" w:hAnsi="Arial" w:cs="Arial"/>
          <w:b/>
          <w:bCs/>
          <w:i/>
          <w:iCs/>
          <w:sz w:val="15"/>
          <w:szCs w:val="15"/>
        </w:rPr>
        <w:t>Higiene.</w:t>
      </w:r>
      <w:r>
        <w:t xml:space="preserve"> El cólera se propaga por medio de alimentos o agua contaminados y para que surja la infección se necesita a menudo la ingestión de un gran número de microorganismos; por ambas causas la desinfección o la ebullición del agua evita la transmisión. Se recomienda cocer perfectamente cangrejos, ostras y otros mariscos de la costa del golfo de México antes de consumirlos para así aminorar la posibilidad de transmisión. Es necesario refrigerar alimentos como pescados, arroz o papillas de granos (atoles) inmediatamente después de su preparación y calentarlos lo mejor posible de nuevo antes de consumirlos. Para evitar la transmisión, es importante la higiene apropiada de manos después de la defecación y antes de preparar o consumir alimentos.</w:t>
      </w:r>
    </w:p>
    <w:p w14:paraId="6D32CB99" w14:textId="77777777" w:rsidR="00924992" w:rsidRDefault="00924992">
      <w:pPr>
        <w:pStyle w:val="BodyText"/>
        <w:spacing w:line="276" w:lineRule="auto"/>
        <w:ind w:firstLine="360"/>
      </w:pPr>
      <w:r>
        <w:rPr>
          <w:rFonts w:ascii="Arial" w:eastAsia="Arial" w:hAnsi="Arial" w:cs="Arial"/>
          <w:b/>
          <w:bCs/>
          <w:i/>
          <w:iCs/>
          <w:sz w:val="15"/>
          <w:szCs w:val="15"/>
        </w:rPr>
        <w:t>Tratamiento de contactos.</w:t>
      </w:r>
      <w:r>
        <w:t xml:space="preserve"> La administración de doxiciclina, tetraciclinas o trimetoprim-sulfametoxazol en término de 24 h de identificado el caso original puede evitar eficazmente los casos “coprimarios” de cólera en miembros del círculo familiar. Sin embargo, la profilaxia con antimicrobianos tiene escasa utilidad en la erradicación del cólera. Por lo regular no se recomienda usar tetraciclinas en niños menores de ocho años (véase “Antimicrobianos y fármacos similares”, sección 4). En Estados Unidos no se recomienda la quimioprofilaxia porque rara vez hay propagación secundaria, salvo que la situación sanitaria e higiénica poco usual indique que pudiera ser alta la cifra de transmisión de ese tipo.</w:t>
      </w:r>
    </w:p>
    <w:p w14:paraId="50B992DC" w14:textId="77777777" w:rsidR="00924992" w:rsidRDefault="00924992">
      <w:pPr>
        <w:pStyle w:val="BodyText"/>
        <w:spacing w:line="276" w:lineRule="auto"/>
        <w:ind w:firstLine="360"/>
      </w:pPr>
      <w:r>
        <w:rPr>
          <w:rFonts w:ascii="Arial" w:eastAsia="Arial" w:hAnsi="Arial" w:cs="Arial"/>
          <w:b/>
          <w:bCs/>
          <w:i/>
          <w:iCs/>
          <w:sz w:val="15"/>
          <w:szCs w:val="15"/>
        </w:rPr>
        <w:t>Vacuna.</w:t>
      </w:r>
      <w:r>
        <w:t xml:space="preserve"> En Estados Unidos no se cuenta con vacunas contra el cólera. Fuera de dicho país se distribuyen dos vacunas ingeribles (WC/r BS y CDV 103 Hgr). Con ninguna de las dos se ha logrado protección neta en niños menores de dos años y no son eficaces contra </w:t>
      </w:r>
      <w:r>
        <w:rPr>
          <w:rFonts w:ascii="Times New Roman" w:eastAsia="Times New Roman" w:hAnsi="Times New Roman" w:cs="Times New Roman"/>
          <w:i/>
          <w:iCs/>
          <w:sz w:val="16"/>
          <w:szCs w:val="16"/>
        </w:rPr>
        <w:t>V. cholerae</w:t>
      </w:r>
      <w:r>
        <w:t xml:space="preserve"> O139 Bengala. Además, los viajeros que siguen precauciones apropiadas en países en que prevalece el cólera están expuestos a un riesgo reducido de infección. No se necesita vacunación contra el cólera para personas que viajan a Estados Unidos desde áreas con la enfermedad, y la Organización Mundial de la Salud ya no recomienda la vacunación para viajar a zonas infectadas por cólera o desde ellas. Ningún país exige la aplicación de vacunas contra el cólera para internamiento de la persona en él.</w:t>
      </w:r>
    </w:p>
    <w:p w14:paraId="7A43D983" w14:textId="77777777" w:rsidR="00924992" w:rsidRDefault="00924992">
      <w:pPr>
        <w:pStyle w:val="BodyText"/>
        <w:spacing w:after="80" w:line="283" w:lineRule="auto"/>
        <w:ind w:firstLine="360"/>
      </w:pPr>
      <w:r>
        <w:rPr>
          <w:rFonts w:ascii="Arial" w:eastAsia="Arial" w:hAnsi="Arial" w:cs="Arial"/>
          <w:b/>
          <w:bCs/>
          <w:i/>
          <w:iCs/>
          <w:sz w:val="15"/>
          <w:szCs w:val="15"/>
        </w:rPr>
        <w:t>Notificación.</w:t>
      </w:r>
      <w:r>
        <w:t xml:space="preserve"> Los casos confirmados de cólera deben ser notificados a las autoridades sanitarias de cualquier país en que ocurran o en que hubo contagio. Es importante notificar inmediatamente a los departamentos estatales de salud los casos supuestos o corroborados de cólera atribuibles a </w:t>
      </w:r>
      <w:r>
        <w:rPr>
          <w:rFonts w:ascii="Times New Roman" w:eastAsia="Times New Roman" w:hAnsi="Times New Roman" w:cs="Times New Roman"/>
          <w:i/>
          <w:iCs/>
          <w:sz w:val="16"/>
          <w:szCs w:val="16"/>
        </w:rPr>
        <w:t>V cholerae</w:t>
      </w:r>
      <w:r>
        <w:t xml:space="preserve"> O1 o O139 Bengala.</w:t>
      </w:r>
    </w:p>
    <w:p w14:paraId="17FC5D65" w14:textId="77777777" w:rsidR="00924992" w:rsidRDefault="00924992">
      <w:pPr>
        <w:pStyle w:val="Bodytext70"/>
        <w:spacing w:after="0"/>
      </w:pPr>
      <w:r>
        <w:t>Otras infecciones por vibriones</w:t>
      </w:r>
    </w:p>
    <w:p w14:paraId="4797A742" w14:textId="77777777" w:rsidR="00924992" w:rsidRDefault="00924992">
      <w:pPr>
        <w:pStyle w:val="BodyText"/>
        <w:ind w:firstLine="0"/>
        <w:sectPr w:rsidR="00924992" w:rsidSect="00924992">
          <w:headerReference w:type="even" r:id="rId191"/>
          <w:headerReference w:type="default" r:id="rId192"/>
          <w:footerReference w:type="even" r:id="rId193"/>
          <w:footerReference w:type="default" r:id="rId194"/>
          <w:footnotePr>
            <w:numFmt w:val="chicago"/>
          </w:footnotePr>
          <w:pgSz w:w="8501" w:h="13022"/>
          <w:pgMar w:top="902" w:right="771" w:bottom="508" w:left="851" w:header="0" w:footer="3" w:gutter="0"/>
          <w:pgNumType w:start="891"/>
          <w:cols w:space="720"/>
          <w:noEndnote/>
          <w:docGrid w:linePitch="360"/>
          <w15:footnoteColumns w:val="1"/>
        </w:sectPr>
      </w:pPr>
      <w:r>
        <w:rPr>
          <w:b/>
          <w:bCs/>
        </w:rPr>
        <w:t>M</w:t>
      </w:r>
      <w:r>
        <w:rPr>
          <w:b/>
          <w:bCs/>
          <w:sz w:val="13"/>
          <w:szCs w:val="13"/>
        </w:rPr>
        <w:t>ANIFESTACIONES CLÍNICAS</w:t>
      </w:r>
      <w:r>
        <w:rPr>
          <w:b/>
          <w:bCs/>
        </w:rPr>
        <w:t xml:space="preserve">: </w:t>
      </w:r>
      <w:r>
        <w:t xml:space="preserve">Las especies de </w:t>
      </w:r>
      <w:r>
        <w:rPr>
          <w:rFonts w:ascii="Times New Roman" w:eastAsia="Times New Roman" w:hAnsi="Times New Roman" w:cs="Times New Roman"/>
          <w:i/>
          <w:iCs/>
          <w:sz w:val="16"/>
          <w:szCs w:val="16"/>
        </w:rPr>
        <w:t>vibriones</w:t>
      </w:r>
      <w:r>
        <w:t xml:space="preserve"> no coléricos originan tres principales síndromes: diarrea, septicemia e infección de heridas. La diarrea es el cuadro más frecuente y se caracteriza por la expulsión aguda inmediata de excrementos acuosos y cólicos abdominales. En promedio la mitad de las víctimas mostrarán febrícula, cefalea y escalofríos; aproximadamente 30% de ellos también tendrán vómito. En cuestión de dos a cinco días se advierte recuperación espontánea. La bacteriemia rara vez acompaña a la gastroenteritis. Puede surgir infección en heridas contaminadas. Las </w:t>
      </w:r>
    </w:p>
    <w:p w14:paraId="1FF87854" w14:textId="77777777" w:rsidR="00924992" w:rsidRDefault="00924992">
      <w:pPr>
        <w:pStyle w:val="BodyText"/>
        <w:ind w:firstLine="0"/>
      </w:pPr>
      <w:r>
        <w:t xml:space="preserve">pero por lo regular se empleará sólo en personas de 18 años de vida, como mínimo (véase “Antimicrobianos y fármacos similares”, sección 4). Es importante conocer la susceptibilidad de los microorganismos recién aislados, a los antimicrobianos. </w:t>
      </w:r>
      <w:r>
        <w:rPr>
          <w:b/>
          <w:bCs/>
        </w:rPr>
        <w:t>A</w:t>
      </w:r>
      <w:r>
        <w:rPr>
          <w:b/>
          <w:bCs/>
          <w:sz w:val="13"/>
          <w:szCs w:val="13"/>
        </w:rPr>
        <w:t xml:space="preserve">ISLAMIENTO </w:t>
      </w:r>
      <w:r>
        <w:rPr>
          <w:b/>
          <w:bCs/>
          <w:smallCaps/>
          <w:sz w:val="16"/>
          <w:szCs w:val="16"/>
        </w:rPr>
        <w:t>del</w:t>
      </w:r>
      <w:r>
        <w:rPr>
          <w:b/>
          <w:bCs/>
          <w:sz w:val="13"/>
          <w:szCs w:val="13"/>
        </w:rPr>
        <w:t xml:space="preserve"> PACIENTE HOSPITALIZADO</w:t>
      </w:r>
      <w:r>
        <w:rPr>
          <w:b/>
          <w:bCs/>
        </w:rPr>
        <w:t xml:space="preserve">: </w:t>
      </w:r>
      <w:r>
        <w:t>Además de las precauciones estándar conviene seguir las precauciones para evitar la transmisión por contacto en niños con pañales o incontinentes, durante todo el tiempo que dure la enfermedad.</w:t>
      </w:r>
    </w:p>
    <w:p w14:paraId="1A2CF0D4" w14:textId="77777777" w:rsidR="00924992" w:rsidRDefault="00924992">
      <w:pPr>
        <w:pStyle w:val="Other0"/>
        <w:spacing w:line="257" w:lineRule="auto"/>
        <w:ind w:firstLine="0"/>
        <w:rPr>
          <w:sz w:val="20"/>
          <w:szCs w:val="20"/>
        </w:rPr>
      </w:pPr>
      <w:r>
        <w:rPr>
          <w:b/>
          <w:bCs/>
          <w:smallCaps/>
          <w:sz w:val="20"/>
          <w:szCs w:val="20"/>
        </w:rPr>
        <w:t>M</w:t>
      </w:r>
      <w:r>
        <w:rPr>
          <w:b/>
          <w:bCs/>
          <w:smallCaps/>
          <w:sz w:val="16"/>
          <w:szCs w:val="16"/>
        </w:rPr>
        <w:t>edidas preventivas</w:t>
      </w:r>
      <w:r>
        <w:rPr>
          <w:b/>
          <w:bCs/>
          <w:smallCaps/>
          <w:sz w:val="20"/>
          <w:szCs w:val="20"/>
        </w:rPr>
        <w:t>:</w:t>
      </w:r>
    </w:p>
    <w:p w14:paraId="491FC557" w14:textId="77777777" w:rsidR="00924992" w:rsidRDefault="00924992">
      <w:pPr>
        <w:pStyle w:val="BodyText"/>
        <w:spacing w:line="276" w:lineRule="auto"/>
        <w:ind w:firstLine="0"/>
      </w:pPr>
      <w:r>
        <w:rPr>
          <w:rFonts w:ascii="Arial" w:eastAsia="Arial" w:hAnsi="Arial" w:cs="Arial"/>
          <w:b/>
          <w:bCs/>
          <w:i/>
          <w:iCs/>
          <w:sz w:val="15"/>
          <w:szCs w:val="15"/>
        </w:rPr>
        <w:t>Higiene.</w:t>
      </w:r>
      <w:r>
        <w:t xml:space="preserve"> El cólera se propaga por medio de alimentos o agua contaminados y para que surja la infección se necesita a menudo la ingestión de un gran número de microorganismos; por ambas causas la desinfección o la ebullición del agua evita la transmisión. Se recomienda cocer perfectamente cangrejos, ostras y otros mariscos de la costa del golfo de México antes de consumirlos para así aminorar la posibilidad de transmisión. Es necesario refrigerar alimentos como pescados, arroz o papillas de granos (atoles) inmediatamente después de su preparación y calentarlos lo mejor posible de nuevo antes de consumirlos. Para evitar la transmisión, es importante la higiene apropiada de manos después de la defecación y antes de preparar o consumir alimentos.</w:t>
      </w:r>
    </w:p>
    <w:p w14:paraId="62E269A7" w14:textId="77777777" w:rsidR="00924992" w:rsidRDefault="00924992">
      <w:pPr>
        <w:pStyle w:val="BodyText"/>
        <w:spacing w:line="276" w:lineRule="auto"/>
        <w:ind w:firstLine="360"/>
      </w:pPr>
      <w:r>
        <w:rPr>
          <w:rFonts w:ascii="Arial" w:eastAsia="Arial" w:hAnsi="Arial" w:cs="Arial"/>
          <w:b/>
          <w:bCs/>
          <w:i/>
          <w:iCs/>
          <w:sz w:val="15"/>
          <w:szCs w:val="15"/>
        </w:rPr>
        <w:t>Tratamiento de contactos.</w:t>
      </w:r>
      <w:r>
        <w:t xml:space="preserve"> La administración de doxiciclina, tetraciclinas o trimetoprim-sulfametoxazol en término de 24 h de identificado el caso original puede evitar eficazmente los casos “coprimarios” de cólera en miembros del círculo familiar. Sin embargo, la profilaxia con antimicrobianos tiene escasa utilidad en la erradicación del cólera. Por lo regular no se recomienda usar tetraciclinas en niños menores de ocho años (véase “Antimicrobianos y fármacos similares”, sección 4). En Estados Unidos no se recomienda la quimioprofilaxia porque rara vez hay propagación secundaria, salvo que la situación sanitaria e higiénica poco usual indique que pudiera ser alta la cifra de transmisión de ese tipo.</w:t>
      </w:r>
    </w:p>
    <w:p w14:paraId="22FC1DB6" w14:textId="77777777" w:rsidR="00924992" w:rsidRDefault="00924992">
      <w:pPr>
        <w:pStyle w:val="BodyText"/>
        <w:spacing w:line="276" w:lineRule="auto"/>
        <w:ind w:firstLine="360"/>
      </w:pPr>
      <w:r>
        <w:rPr>
          <w:rFonts w:ascii="Arial" w:eastAsia="Arial" w:hAnsi="Arial" w:cs="Arial"/>
          <w:b/>
          <w:bCs/>
          <w:i/>
          <w:iCs/>
          <w:sz w:val="15"/>
          <w:szCs w:val="15"/>
        </w:rPr>
        <w:t>Vacuna.</w:t>
      </w:r>
      <w:r>
        <w:t xml:space="preserve"> En Estados Unidos no se cuenta con vacunas contra el cólera. Fuera de dicho país se distribuyen dos vacunas ingeribles (WC/r BS y CDV 103 Hgr). Con ninguna de las dos se ha logrado protección neta en niños menores de dos años y no son eficaces contra </w:t>
      </w:r>
      <w:r>
        <w:rPr>
          <w:rFonts w:ascii="Times New Roman" w:eastAsia="Times New Roman" w:hAnsi="Times New Roman" w:cs="Times New Roman"/>
          <w:i/>
          <w:iCs/>
          <w:sz w:val="16"/>
          <w:szCs w:val="16"/>
        </w:rPr>
        <w:t>V. cholerae</w:t>
      </w:r>
      <w:r>
        <w:t xml:space="preserve"> O139 Bengala. Además, los viajeros que siguen precauciones apropiadas en países en que prevalece el cólera están expuestos a un riesgo reducido de infección. No se necesita vacunación contra el cólera para personas que viajan a Estados Unidos desde áreas con la enfermedad, y la Organización Mundial de la Salud ya no recomienda la vacunación para viajar a zonas infectadas por cólera o desde ellas. Ningún país exige la aplicación de vacunas contra el cólera para internamiento de la persona en él.</w:t>
      </w:r>
    </w:p>
    <w:p w14:paraId="3D0C9420" w14:textId="77777777" w:rsidR="00924992" w:rsidRDefault="00924992">
      <w:pPr>
        <w:pStyle w:val="BodyText"/>
        <w:spacing w:after="80" w:line="283" w:lineRule="auto"/>
        <w:ind w:firstLine="360"/>
      </w:pPr>
      <w:r>
        <w:rPr>
          <w:rFonts w:ascii="Arial" w:eastAsia="Arial" w:hAnsi="Arial" w:cs="Arial"/>
          <w:b/>
          <w:bCs/>
          <w:i/>
          <w:iCs/>
          <w:sz w:val="15"/>
          <w:szCs w:val="15"/>
        </w:rPr>
        <w:t>Notificación.</w:t>
      </w:r>
      <w:r>
        <w:t xml:space="preserve"> Los casos confirmados de cólera deben ser notificados a las autoridades sanitarias de cualquier país en que ocurran o en que hubo contagio. Es importante notificar inmediatamente a los departamentos estatales de salud los casos supuestos o corroborados de cólera atribuibles a </w:t>
      </w:r>
      <w:r>
        <w:rPr>
          <w:rFonts w:ascii="Times New Roman" w:eastAsia="Times New Roman" w:hAnsi="Times New Roman" w:cs="Times New Roman"/>
          <w:i/>
          <w:iCs/>
          <w:sz w:val="16"/>
          <w:szCs w:val="16"/>
        </w:rPr>
        <w:t>V cholerae</w:t>
      </w:r>
      <w:r>
        <w:t xml:space="preserve"> O1 o O139 Bengala.</w:t>
      </w:r>
    </w:p>
    <w:p w14:paraId="269B74A1" w14:textId="77777777" w:rsidR="00924992" w:rsidRDefault="00924992">
      <w:pPr>
        <w:pStyle w:val="Bodytext70"/>
        <w:spacing w:after="0"/>
      </w:pPr>
      <w:r>
        <w:t>Otras infecciones por vibriones</w:t>
      </w:r>
    </w:p>
    <w:p w14:paraId="34D618A2" w14:textId="77777777" w:rsidR="00924992" w:rsidRDefault="00924992">
      <w:pPr>
        <w:pStyle w:val="BodyText"/>
        <w:ind w:firstLine="0"/>
      </w:pPr>
      <w:r>
        <w:rPr>
          <w:b/>
          <w:bCs/>
        </w:rPr>
        <w:t>M</w:t>
      </w:r>
      <w:r>
        <w:rPr>
          <w:b/>
          <w:bCs/>
          <w:sz w:val="13"/>
          <w:szCs w:val="13"/>
        </w:rPr>
        <w:t>ANIFESTACIONES CLÍNICAS</w:t>
      </w:r>
      <w:r>
        <w:rPr>
          <w:b/>
          <w:bCs/>
        </w:rPr>
        <w:t xml:space="preserve">: </w:t>
      </w:r>
      <w:r>
        <w:t xml:space="preserve">Las especies de </w:t>
      </w:r>
      <w:r>
        <w:rPr>
          <w:rFonts w:ascii="Times New Roman" w:eastAsia="Times New Roman" w:hAnsi="Times New Roman" w:cs="Times New Roman"/>
          <w:i/>
          <w:iCs/>
          <w:sz w:val="16"/>
          <w:szCs w:val="16"/>
        </w:rPr>
        <w:t>vibriones</w:t>
      </w:r>
      <w:r>
        <w:t xml:space="preserve"> no coléricos originan tres principales síndromes: diarrea, septicemia e infección de heridas. La diarrea es el cuadro más frecuente y se caracteriza por la expulsión aguda inmediata de excrementos acuosos y cólicos abdominales. En promedio la mitad de las víctimas mostrarán febrícula, cefalea y escalofríos; aproximadamente 30% de ellos también tendrán vómito. En cuestión de dos a cinco días se advierte recuperación espontánea. La bacteriemia rara vez acompaña a la gastroenteritis. Puede surgir infección en heridas contaminadas. Las infecciones de la piel en personas inmunodeficientes originan necrosis tisular extensa y rápida. Los niños inmunodeficientes o con alguna hepatopatía son susceptibles a la septicemia de microorganismos que están en el intestino o la piel, que a menudo origina choque, lesiones cutáneas bulosas o necróticas y muerte. La septicemia primaria surge a veces en niños inmunodeficientes con gastroenteritis o infección de heridas como hecho previo.</w:t>
      </w:r>
    </w:p>
    <w:p w14:paraId="147BD805" w14:textId="77777777" w:rsidR="00924992" w:rsidRDefault="00924992">
      <w:pPr>
        <w:pStyle w:val="BodyText"/>
        <w:spacing w:line="276" w:lineRule="auto"/>
        <w:ind w:firstLine="0"/>
      </w:pPr>
      <w:r>
        <w:rPr>
          <w:b/>
          <w:bCs/>
        </w:rPr>
        <w:t>C</w:t>
      </w:r>
      <w:r>
        <w:rPr>
          <w:b/>
          <w:bCs/>
          <w:sz w:val="13"/>
          <w:szCs w:val="13"/>
        </w:rPr>
        <w:t>AUSAS</w:t>
      </w:r>
      <w:r>
        <w:rPr>
          <w:b/>
          <w:bCs/>
        </w:rPr>
        <w:t xml:space="preserve">: </w:t>
      </w:r>
      <w:r>
        <w:t xml:space="preserve">Los </w:t>
      </w:r>
      <w:r>
        <w:rPr>
          <w:rFonts w:ascii="Times New Roman" w:eastAsia="Times New Roman" w:hAnsi="Times New Roman" w:cs="Times New Roman"/>
          <w:i/>
          <w:iCs/>
          <w:sz w:val="16"/>
          <w:szCs w:val="16"/>
        </w:rPr>
        <w:t>vibriones</w:t>
      </w:r>
      <w:r>
        <w:t xml:space="preserve"> son bacilos gramnegativos móviles anaerobios facultativos que toleran el medio salino. Las especies de </w:t>
      </w:r>
      <w:r>
        <w:rPr>
          <w:rFonts w:ascii="Times New Roman" w:eastAsia="Times New Roman" w:hAnsi="Times New Roman" w:cs="Times New Roman"/>
          <w:i/>
          <w:iCs/>
          <w:sz w:val="16"/>
          <w:szCs w:val="16"/>
        </w:rPr>
        <w:t>vibriones</w:t>
      </w:r>
      <w:r>
        <w:t xml:space="preserve"> no coléricos más importantes que originan diarrea son </w:t>
      </w:r>
      <w:r>
        <w:rPr>
          <w:rFonts w:ascii="Times New Roman" w:eastAsia="Times New Roman" w:hAnsi="Times New Roman" w:cs="Times New Roman"/>
          <w:i/>
          <w:iCs/>
          <w:sz w:val="16"/>
          <w:szCs w:val="16"/>
        </w:rPr>
        <w:t>Vibrio parahaemolyticus, V. cholerae</w:t>
      </w:r>
      <w:r>
        <w:t xml:space="preserve"> no-O1, </w:t>
      </w:r>
      <w:r>
        <w:rPr>
          <w:rFonts w:ascii="Times New Roman" w:eastAsia="Times New Roman" w:hAnsi="Times New Roman" w:cs="Times New Roman"/>
          <w:i/>
          <w:iCs/>
          <w:sz w:val="16"/>
          <w:szCs w:val="16"/>
        </w:rPr>
        <w:t>V. mimicus, V. hollisae, V. fluvialis</w:t>
      </w:r>
      <w:r>
        <w:t xml:space="preserve"> y </w:t>
      </w:r>
      <w:r>
        <w:rPr>
          <w:rFonts w:ascii="Times New Roman" w:eastAsia="Times New Roman" w:hAnsi="Times New Roman" w:cs="Times New Roman"/>
          <w:i/>
          <w:iCs/>
          <w:sz w:val="16"/>
          <w:szCs w:val="16"/>
        </w:rPr>
        <w:t>Vibrio furnissii. Vibrio vulnificus</w:t>
      </w:r>
      <w:r>
        <w:t xml:space="preserve"> origina septicemia primaria e infecciones de heridas en personas inmunodeficientes, en particular las que tienen alguna hepatopatía. También hay relación entre las infecciones de heridas y </w:t>
      </w:r>
      <w:r>
        <w:rPr>
          <w:rFonts w:ascii="Times New Roman" w:eastAsia="Times New Roman" w:hAnsi="Times New Roman" w:cs="Times New Roman"/>
          <w:i/>
          <w:iCs/>
          <w:sz w:val="16"/>
          <w:szCs w:val="16"/>
        </w:rPr>
        <w:t>Vibrio parahaemolyticus, Vibrio damsela</w:t>
      </w:r>
      <w:r>
        <w:t xml:space="preserve"> y </w:t>
      </w:r>
      <w:r>
        <w:rPr>
          <w:rFonts w:ascii="Times New Roman" w:eastAsia="Times New Roman" w:hAnsi="Times New Roman" w:cs="Times New Roman"/>
          <w:i/>
          <w:iCs/>
          <w:sz w:val="16"/>
          <w:szCs w:val="16"/>
        </w:rPr>
        <w:t>Vibrio alginolyticus.</w:t>
      </w:r>
      <w:r>
        <w:t xml:space="preserve"> Este último también se ha vinculado con la aparición de otitis externa.</w:t>
      </w:r>
    </w:p>
    <w:p w14:paraId="6E1AF122" w14:textId="77777777" w:rsidR="00924992" w:rsidRDefault="00924992">
      <w:pPr>
        <w:pStyle w:val="BodyText"/>
        <w:ind w:firstLine="0"/>
      </w:pPr>
      <w:r>
        <w:rPr>
          <w:b/>
          <w:bCs/>
        </w:rPr>
        <w:t>A</w:t>
      </w:r>
      <w:r>
        <w:rPr>
          <w:b/>
          <w:bCs/>
          <w:sz w:val="13"/>
          <w:szCs w:val="13"/>
        </w:rPr>
        <w:t>SPECTOS EPIDEMIOLÓGICOS</w:t>
      </w:r>
      <w:r>
        <w:rPr>
          <w:b/>
          <w:bCs/>
        </w:rPr>
        <w:t xml:space="preserve">: </w:t>
      </w:r>
      <w:r>
        <w:t xml:space="preserve">Las especies de </w:t>
      </w:r>
      <w:r>
        <w:rPr>
          <w:rFonts w:ascii="Times New Roman" w:eastAsia="Times New Roman" w:hAnsi="Times New Roman" w:cs="Times New Roman"/>
          <w:i/>
          <w:iCs/>
          <w:sz w:val="16"/>
          <w:szCs w:val="16"/>
        </w:rPr>
        <w:t>vibriones</w:t>
      </w:r>
      <w:r>
        <w:t xml:space="preserve"> no coléricos por lo común aparecen en agua marina y su número aumenta durante el verano. Muchas de las infecciones ocurren en esa estación y en el otoño. La enteritis por lo común se contagia por el consumo de mariscos crudos o mal cocidos, en particular ostras, cangrejos y camarones. Es probable que la enfermedad no se transmita directamente de una persona a otra. Las infecciones de heridas casi siempre son consecuencia de la exposición de abrasiones a agua marina contaminada o de punciones o pinchazos que son consecuencia de manipular mariscos contaminados. Las personas con una mayor susceptibilidad a infectarse de alguna especie de vibriones incluyen las que tienen hepatopatías, hipoacidez gástrica e inmunodeficiencia, incluidos niños con infección por virus de inmunodeficiencia humana.</w:t>
      </w:r>
    </w:p>
    <w:p w14:paraId="1AA1A3D5" w14:textId="77777777" w:rsidR="00924992" w:rsidRDefault="00924992">
      <w:pPr>
        <w:pStyle w:val="BodyText"/>
        <w:ind w:firstLine="380"/>
      </w:pPr>
      <w:r>
        <w:t xml:space="preserve">La mediana del </w:t>
      </w:r>
      <w:r>
        <w:rPr>
          <w:b/>
          <w:bCs/>
        </w:rPr>
        <w:t xml:space="preserve">periodo de incubación </w:t>
      </w:r>
      <w:r>
        <w:t>de la enteritis es de 23 h y varía de 5 a 92 horas.</w:t>
      </w:r>
    </w:p>
    <w:p w14:paraId="4616ED3B" w14:textId="77777777" w:rsidR="00924992" w:rsidRDefault="00924992">
      <w:pPr>
        <w:pStyle w:val="BodyText"/>
        <w:ind w:firstLine="0"/>
      </w:pPr>
      <w:r>
        <w:rPr>
          <w:b/>
          <w:bCs/>
        </w:rPr>
        <w:t>M</w:t>
      </w:r>
      <w:r>
        <w:rPr>
          <w:b/>
          <w:bCs/>
          <w:sz w:val="13"/>
          <w:szCs w:val="13"/>
        </w:rPr>
        <w:t>ÉTODOS DIAGNÓSTICOS</w:t>
      </w:r>
      <w:r>
        <w:rPr>
          <w:b/>
          <w:bCs/>
        </w:rPr>
        <w:t xml:space="preserve">: </w:t>
      </w:r>
      <w:r>
        <w:t xml:space="preserve">Es posible aislar los </w:t>
      </w:r>
      <w:r>
        <w:rPr>
          <w:rFonts w:ascii="Times New Roman" w:eastAsia="Times New Roman" w:hAnsi="Times New Roman" w:cs="Times New Roman"/>
          <w:i/>
          <w:iCs/>
          <w:sz w:val="16"/>
          <w:szCs w:val="16"/>
        </w:rPr>
        <w:t>vibriones</w:t>
      </w:r>
      <w:r>
        <w:t xml:space="preserve"> de los excrementos o en material vomitado por pacientes con diarrea, de muestras de sangre y de exudados de heridas. Identificar al microorganismo obliga a usar técnicas especiales, razón por la cual habrá que avisar al personal de laboratorio cuando se sospeche la infección por alguna de las especies de dichos microorganismos.</w:t>
      </w:r>
    </w:p>
    <w:p w14:paraId="7897DBE1" w14:textId="77777777" w:rsidR="00924992" w:rsidRDefault="00924992">
      <w:pPr>
        <w:pStyle w:val="BodyText"/>
        <w:ind w:firstLine="0"/>
      </w:pPr>
      <w:r>
        <w:rPr>
          <w:b/>
          <w:bCs/>
        </w:rPr>
        <w:t>T</w:t>
      </w:r>
      <w:r>
        <w:rPr>
          <w:b/>
          <w:bCs/>
          <w:sz w:val="13"/>
          <w:szCs w:val="13"/>
        </w:rPr>
        <w:t>RATAMIENTO</w:t>
      </w:r>
      <w:r>
        <w:rPr>
          <w:b/>
          <w:bCs/>
        </w:rPr>
        <w:t xml:space="preserve">: </w:t>
      </w:r>
      <w:r>
        <w:t>Casi todos los episodios de diarrea son benignos y ceden por sí solos y no necesitan tratamiento salvo la rehidratación oral. Los antimicrobianos pueden ser beneficiosos en niños con diarrea intensa, infección de heridas o septicemia. Casi todos los vibriones son susceptibles a doxiciclina o tetraciclinas, cefotaxima sódica, sulfato de gentamicina y cloranfenicol. Es mejor no administrar doxiciclina a niños menores de ocho años, salvo que los beneficios de su administración sean mayores que los peligros de manchas en los dientes (véase “Antimicrobianos y fármacos similares”, sección 4).</w:t>
      </w:r>
    </w:p>
    <w:p w14:paraId="74DB32B5" w14:textId="77777777" w:rsidR="00924992" w:rsidRDefault="00924992">
      <w:pPr>
        <w:pStyle w:val="BodyText"/>
        <w:ind w:firstLine="0"/>
      </w:pPr>
      <w:r>
        <w:rPr>
          <w:b/>
          <w:bCs/>
        </w:rPr>
        <w:t>A</w:t>
      </w:r>
      <w:r>
        <w:rPr>
          <w:b/>
          <w:bCs/>
          <w:sz w:val="13"/>
          <w:szCs w:val="13"/>
        </w:rPr>
        <w:t>ISLAMIENTO DEL PACIENTE HOSPITALIZADO</w:t>
      </w:r>
      <w:r>
        <w:rPr>
          <w:b/>
          <w:bCs/>
        </w:rPr>
        <w:t xml:space="preserve">: </w:t>
      </w:r>
      <w:r>
        <w:t>Además de las precauciones estándar, se recomienda seguir las precauciones por contacto en el caso de niños con pañales o incontinentes.</w:t>
      </w:r>
    </w:p>
    <w:p w14:paraId="18354038" w14:textId="77777777" w:rsidR="00924992" w:rsidRDefault="00924992">
      <w:pPr>
        <w:pStyle w:val="BodyText"/>
        <w:ind w:firstLine="0"/>
        <w:sectPr w:rsidR="00924992" w:rsidSect="00924992">
          <w:headerReference w:type="even" r:id="rId195"/>
          <w:headerReference w:type="default" r:id="rId196"/>
          <w:footerReference w:type="even" r:id="rId197"/>
          <w:footerReference w:type="default" r:id="rId198"/>
          <w:headerReference w:type="first" r:id="rId199"/>
          <w:footerReference w:type="first" r:id="rId200"/>
          <w:footnotePr>
            <w:numFmt w:val="chicago"/>
          </w:footnotePr>
          <w:pgSz w:w="8501" w:h="13022"/>
          <w:pgMar w:top="902" w:right="771" w:bottom="508" w:left="851" w:header="0" w:footer="3" w:gutter="0"/>
          <w:cols w:space="720"/>
          <w:noEndnote/>
          <w:titlePg/>
          <w:docGrid w:linePitch="360"/>
          <w15:footnoteColumns w:val="1"/>
        </w:sectPr>
      </w:pPr>
      <w:r>
        <w:rPr>
          <w:b/>
          <w:bCs/>
        </w:rPr>
        <w:t>M</w:t>
      </w:r>
      <w:r>
        <w:rPr>
          <w:b/>
          <w:bCs/>
          <w:sz w:val="13"/>
          <w:szCs w:val="13"/>
        </w:rPr>
        <w:t>EDIDAS PREVENTIVAS</w:t>
      </w:r>
      <w:r>
        <w:rPr>
          <w:b/>
          <w:bCs/>
        </w:rPr>
        <w:t xml:space="preserve">: </w:t>
      </w:r>
      <w:r>
        <w:t xml:space="preserve">Es necesario cocer adecuadamente los mariscos, y si no se les ingiere en forma inmediata habrá que refrigerarlos. Los moluscos y crustáceos crudos deben ser manipulados con cuidado. Las abrasiones que sufran los bañistas en el mar deben lavarse con agua dulce limpia. Habrá que señalar a todos los niños y personas inmunodeficientes que no consumas ostras ni mejillones crudos. </w:t>
      </w:r>
    </w:p>
    <w:p w14:paraId="4DED5E90" w14:textId="77777777" w:rsidR="00924992" w:rsidRDefault="00924992">
      <w:pPr>
        <w:pStyle w:val="BodyText"/>
        <w:ind w:firstLine="0"/>
      </w:pPr>
      <w:r>
        <w:t xml:space="preserve">contacto desde el sitio de vacunación, a cara, ojos u otros sitios. Otras complicaciones graves incluyen eritema multiforme, encefalitis y encefalopatía posvacunales, vaccinia progresiva (vaccinia gangrenosa), eccema vaccinatum, vaccinia generalizada y vaccinia letal. Las complicaciones mencionadas son raras, pero los lactantes están expuestos a un mayor peligro de complicación por la vacunación que los niños de mayor edad y los adultos. Por la razón anterior, en Estados Unidos se ha diferido la vacunación antivariolosa hasta que el niño tenga más de un año de vida. Se recomienda el uso de concentrado inmunoglobulínico contra vaccinia para tratar a personas con algunas de las complicaciones comentadas. Cabría pensar también en el uso de cidofovir (se le considera un nuevo fármaco de investigación </w:t>
      </w:r>
      <w:r>
        <w:rPr>
          <w:i/>
          <w:iCs/>
        </w:rPr>
        <w:t>[</w:t>
      </w:r>
      <w:r>
        <w:rPr>
          <w:rFonts w:ascii="Times New Roman" w:eastAsia="Times New Roman" w:hAnsi="Times New Roman" w:cs="Times New Roman"/>
          <w:i/>
          <w:iCs/>
          <w:sz w:val="16"/>
          <w:szCs w:val="16"/>
        </w:rPr>
        <w:t>investigational new drug,</w:t>
      </w:r>
      <w:r>
        <w:t xml:space="preserve"> IND] que puede conseguirse si se solicita a los CDC). A veces el virus de vaccinia se transmite de una persona recién vacunada a un contacto susceptible, que incluye niños. La transmisión del virus de vaccinia puede “contenerse” si se conserva el sitio de vacunación cubierto con un apósito semipermeable sobre un material absorbente como la gasa y se cambia el apósito frecuentemente.</w:t>
      </w:r>
    </w:p>
    <w:p w14:paraId="26519953" w14:textId="77777777" w:rsidR="00924992" w:rsidRDefault="00924992">
      <w:pPr>
        <w:pStyle w:val="BodyText"/>
        <w:ind w:firstLine="360"/>
      </w:pPr>
      <w:r>
        <w:t>La vacuna antivariolosa no es recomendable para personas menores de 18 años, y en caso de una propagación terrorista del virus de la viruela, las autoridades sanitarias harán declaraciones y recomendaciones al respecto.</w:t>
      </w:r>
    </w:p>
    <w:p w14:paraId="2373C4EB" w14:textId="77777777" w:rsidR="00924992" w:rsidRDefault="00924992">
      <w:pPr>
        <w:pStyle w:val="BodyText"/>
        <w:spacing w:after="80" w:line="271" w:lineRule="auto"/>
        <w:ind w:firstLine="360"/>
      </w:pPr>
      <w:r>
        <w:rPr>
          <w:rFonts w:ascii="Times New Roman" w:eastAsia="Times New Roman" w:hAnsi="Times New Roman" w:cs="Times New Roman"/>
          <w:b/>
          <w:bCs/>
          <w:i/>
          <w:iCs/>
          <w:sz w:val="16"/>
          <w:szCs w:val="16"/>
        </w:rPr>
        <w:t>Precauciones y contraindicaciones:</w:t>
      </w:r>
      <w:r>
        <w:rPr>
          <w:rFonts w:ascii="Times New Roman" w:eastAsia="Times New Roman" w:hAnsi="Times New Roman" w:cs="Times New Roman"/>
          <w:b/>
          <w:bCs/>
          <w:i/>
          <w:iCs/>
          <w:sz w:val="16"/>
          <w:szCs w:val="16"/>
        </w:rPr>
        <w:footnoteReference w:id="29"/>
      </w:r>
      <w:r>
        <w:t xml:space="preserve"> En caso de que no se produzca la propagación intencional del virus de vacuna, no debe administrarse la vacuna antivariolosa a: 1) personas con el antecedente de dermatitis atópica (eccema) o que muestran tal cuadro; 2) individuos con dermatosis agudas activas, crónicas o exfoliativas que alteran la epidermis; 3) embarazadas o mujeres que intentan embarazarse en término de 28 días después de la vacunación y 4) personas inmunodeficientes como resultado de infección por el virus de inmunodeficiencia humana, cuadros autoinmunitarios, cáncer, radioterapia, fármacos inmunosupresores, inmunodeficiencias primarias y de otro tipo. Otras contraindicaciones aplicables sólo a candidatos a vacunación, pero que no incluyen los contactos muy cercanos de personas vacunadas son los individuos con alergias a componentes de la vacuna; mujeres que alimentan al seno a su hijo, individuos que utilizan corticosteroides tópicos en los ojos, personas con enfermedad moderada o grave e individuos menores de 18 años. Se puede obtener de la página </w:t>
      </w:r>
      <w:hyperlink r:id="rId201" w:history="1">
        <w:r>
          <w:t>www.bt.cdc.gov</w:t>
        </w:r>
      </w:hyperlink>
      <w:r>
        <w:t xml:space="preserve"> información actual para los clínicos, en todos los aspectos de la viruela y la vacuna antivariolosa. En caso de brote de viruela, los CDC difundirán directrices específicas contra él.</w:t>
      </w:r>
    </w:p>
    <w:p w14:paraId="2B5634F4" w14:textId="77777777" w:rsidR="00924992" w:rsidRDefault="00924992">
      <w:pPr>
        <w:pStyle w:val="Bodytext70"/>
        <w:spacing w:after="0" w:line="182" w:lineRule="auto"/>
      </w:pPr>
      <w:r>
        <w:rPr>
          <w:i/>
          <w:iCs/>
        </w:rPr>
        <w:t xml:space="preserve">Yersinia enterocolitica </w:t>
      </w:r>
      <w:r>
        <w:rPr>
          <w:i/>
          <w:iCs/>
          <w:w w:val="100"/>
        </w:rPr>
        <w:t xml:space="preserve">y </w:t>
      </w:r>
      <w:r>
        <w:rPr>
          <w:i/>
          <w:iCs/>
        </w:rPr>
        <w:t>Yersinia pseudotuberculosis</w:t>
      </w:r>
      <w:r>
        <w:rPr>
          <w:i/>
          <w:iCs/>
          <w:w w:val="100"/>
        </w:rPr>
        <w:t xml:space="preserve">, </w:t>
      </w:r>
      <w:r>
        <w:t>infecciones</w:t>
      </w:r>
    </w:p>
    <w:p w14:paraId="253A365B" w14:textId="77777777" w:rsidR="00924992" w:rsidRDefault="00924992">
      <w:pPr>
        <w:pStyle w:val="Other0"/>
        <w:spacing w:line="252" w:lineRule="auto"/>
        <w:ind w:firstLine="0"/>
        <w:rPr>
          <w:sz w:val="20"/>
          <w:szCs w:val="20"/>
        </w:rPr>
      </w:pPr>
      <w:r>
        <w:rPr>
          <w:rFonts w:ascii="Arial" w:eastAsia="Arial" w:hAnsi="Arial" w:cs="Arial"/>
          <w:b/>
          <w:bCs/>
          <w:w w:val="70"/>
          <w:sz w:val="20"/>
          <w:szCs w:val="20"/>
        </w:rPr>
        <w:t>(Enteritis y otras enfermedades)</w:t>
      </w:r>
    </w:p>
    <w:p w14:paraId="45440000" w14:textId="77777777" w:rsidR="00924992" w:rsidRDefault="00924992">
      <w:pPr>
        <w:pStyle w:val="BodyText"/>
        <w:spacing w:after="40"/>
        <w:ind w:firstLine="0"/>
      </w:pPr>
      <w:r>
        <w:rPr>
          <w:b/>
          <w:bCs/>
        </w:rPr>
        <w:t>M</w:t>
      </w:r>
      <w:r>
        <w:rPr>
          <w:b/>
          <w:bCs/>
          <w:sz w:val="13"/>
          <w:szCs w:val="13"/>
        </w:rPr>
        <w:t>ANIFESTACIONES CLÍNICAS</w:t>
      </w:r>
      <w:r>
        <w:rPr>
          <w:b/>
          <w:bCs/>
        </w:rPr>
        <w:t xml:space="preserve">: </w:t>
      </w:r>
      <w:r>
        <w:rPr>
          <w:rFonts w:ascii="Times New Roman" w:eastAsia="Times New Roman" w:hAnsi="Times New Roman" w:cs="Times New Roman"/>
          <w:i/>
          <w:iCs/>
          <w:sz w:val="16"/>
          <w:szCs w:val="16"/>
        </w:rPr>
        <w:t>Yersinia enterocolitica</w:t>
      </w:r>
      <w:r>
        <w:t xml:space="preserve"> y </w:t>
      </w:r>
      <w:r>
        <w:rPr>
          <w:rFonts w:ascii="Times New Roman" w:eastAsia="Times New Roman" w:hAnsi="Times New Roman" w:cs="Times New Roman"/>
          <w:i/>
          <w:iCs/>
          <w:sz w:val="16"/>
          <w:szCs w:val="16"/>
        </w:rPr>
        <w:t>Yersinia pseudotuberculosis</w:t>
      </w:r>
      <w:r>
        <w:t xml:space="preserve"> originan algunos síndromes específicos de grupos de edad y otros con cuadros iniciales poco comunes. La manifestación más frecuente de la infección por </w:t>
      </w:r>
      <w:r>
        <w:rPr>
          <w:rFonts w:ascii="Times New Roman" w:eastAsia="Times New Roman" w:hAnsi="Times New Roman" w:cs="Times New Roman"/>
          <w:i/>
          <w:iCs/>
          <w:sz w:val="16"/>
          <w:szCs w:val="16"/>
        </w:rPr>
        <w:t>Y. enterocolitica</w:t>
      </w:r>
      <w:r>
        <w:t xml:space="preserve"> es la enterocolitis con fiebre y diarrea; en los excrementos suelen detectarse leucocitos, sangre y moco. El síndrome ataca más a menudo a niños de corta edad; se han descrito casos de enfermedad recidivante y, en ocasiones, enterocolitis necrosante. En niños de mayor edad y adultos jóvenes surge más bien un síndrome de seudoapendicitis (fiebre, dolor</w:t>
      </w:r>
    </w:p>
    <w:p w14:paraId="5CC0C9A7" w14:textId="77777777" w:rsidR="00924992" w:rsidRDefault="00924992">
      <w:pPr>
        <w:pStyle w:val="BodyText"/>
        <w:spacing w:line="276" w:lineRule="auto"/>
        <w:ind w:firstLine="0"/>
      </w:pPr>
      <w:r>
        <w:t xml:space="preserve">abdominal, dolor a la palpación del cuadrante inferior derecho del abdomen y leucocitosis). La bacteriemia con </w:t>
      </w:r>
      <w:r>
        <w:rPr>
          <w:rFonts w:ascii="Times New Roman" w:eastAsia="Times New Roman" w:hAnsi="Times New Roman" w:cs="Times New Roman"/>
          <w:i/>
          <w:iCs/>
          <w:sz w:val="16"/>
          <w:szCs w:val="16"/>
        </w:rPr>
        <w:t>Y. enterocolitica</w:t>
      </w:r>
      <w:r>
        <w:t xml:space="preserve"> muy a menudo afecta a niños menores de un año de edad y niños mayores con cuadros predisponentes, como el almacenamiento excesivo de hierro (por el consumo de desferrioxamina, enfermedad drepanocítica o talasemia beta) y estados inmunosupresores. Las manifestaciones focales de </w:t>
      </w:r>
      <w:r>
        <w:rPr>
          <w:rFonts w:ascii="Times New Roman" w:eastAsia="Times New Roman" w:hAnsi="Times New Roman" w:cs="Times New Roman"/>
          <w:i/>
          <w:iCs/>
          <w:sz w:val="16"/>
          <w:szCs w:val="16"/>
        </w:rPr>
        <w:t>Y. enterocolitica</w:t>
      </w:r>
      <w:r>
        <w:t xml:space="preserve"> son poco comunes e incluyen faringitis, meningitis, osteomielitis, piomiositis, conjuntivitis, neumonía, empiema, endocarditis, peritonitis aguda, abscesos de hígado y bazo e infección cutánea primaria. Las secuelas posinfecciones observadas en la infección por </w:t>
      </w:r>
      <w:r>
        <w:rPr>
          <w:rFonts w:ascii="Times New Roman" w:eastAsia="Times New Roman" w:hAnsi="Times New Roman" w:cs="Times New Roman"/>
          <w:i/>
          <w:iCs/>
          <w:sz w:val="16"/>
          <w:szCs w:val="16"/>
        </w:rPr>
        <w:t>Y. enterocolitica</w:t>
      </w:r>
      <w:r>
        <w:t xml:space="preserve"> comprenden eritema nudoso, glomerulonefritis proliferativa y artritis reactiva; estas secuelas surgen más a menudo en niños de mayor edad y adultos, en particular los que tienen el antígeno leucocitario humano B27.</w:t>
      </w:r>
    </w:p>
    <w:p w14:paraId="6B04FAB6" w14:textId="77777777" w:rsidR="00924992" w:rsidRDefault="00924992">
      <w:pPr>
        <w:pStyle w:val="BodyText"/>
        <w:ind w:firstLine="360"/>
      </w:pPr>
      <w:r>
        <w:t xml:space="preserve">Las principales manifestaciones de infección por </w:t>
      </w:r>
      <w:r>
        <w:rPr>
          <w:rFonts w:ascii="Times New Roman" w:eastAsia="Times New Roman" w:hAnsi="Times New Roman" w:cs="Times New Roman"/>
          <w:i/>
          <w:iCs/>
          <w:sz w:val="16"/>
          <w:szCs w:val="16"/>
        </w:rPr>
        <w:t>Y pseudotuberculosis</w:t>
      </w:r>
      <w:r>
        <w:t xml:space="preserve"> son fiebre, erupción (que por lo común es escarlatiniforme) y síntomas abdominales. El dolor abdominal agudo seudoapendiceal es muy común y es consecuencia de la adenitis mesenterica ileocecal, apendicitis o ileítis terminal. Otros signos incluyen diarrea, eritema nudoso, septicemia y derrames estériles en pleura y articulaciones. El cuadro clínico puede remedar el del síndrome de Kawasaki.</w:t>
      </w:r>
    </w:p>
    <w:p w14:paraId="3912F94D" w14:textId="77777777" w:rsidR="00924992" w:rsidRDefault="00924992">
      <w:pPr>
        <w:pStyle w:val="BodyText"/>
        <w:ind w:firstLine="0"/>
      </w:pPr>
      <w:r>
        <w:rPr>
          <w:b/>
          <w:bCs/>
        </w:rPr>
        <w:t>C</w:t>
      </w:r>
      <w:r>
        <w:rPr>
          <w:b/>
          <w:bCs/>
          <w:sz w:val="13"/>
          <w:szCs w:val="13"/>
        </w:rPr>
        <w:t>AUSAS</w:t>
      </w:r>
      <w:r>
        <w:rPr>
          <w:b/>
          <w:bCs/>
        </w:rPr>
        <w:t xml:space="preserve">: </w:t>
      </w:r>
      <w:r>
        <w:rPr>
          <w:rFonts w:ascii="Times New Roman" w:eastAsia="Times New Roman" w:hAnsi="Times New Roman" w:cs="Times New Roman"/>
          <w:i/>
          <w:iCs/>
          <w:sz w:val="16"/>
          <w:szCs w:val="16"/>
        </w:rPr>
        <w:t>Yersinia enterocolitica</w:t>
      </w:r>
      <w:r>
        <w:t xml:space="preserve"> y </w:t>
      </w:r>
      <w:r>
        <w:rPr>
          <w:rFonts w:ascii="Times New Roman" w:eastAsia="Times New Roman" w:hAnsi="Times New Roman" w:cs="Times New Roman"/>
          <w:i/>
          <w:iCs/>
          <w:sz w:val="16"/>
          <w:szCs w:val="16"/>
        </w:rPr>
        <w:t>Y pseudotuberculosis</w:t>
      </w:r>
      <w:r>
        <w:t xml:space="preserve"> son bacilos gramnegativos que, junto con </w:t>
      </w:r>
      <w:r>
        <w:rPr>
          <w:rFonts w:ascii="Times New Roman" w:eastAsia="Times New Roman" w:hAnsi="Times New Roman" w:cs="Times New Roman"/>
          <w:i/>
          <w:iCs/>
          <w:sz w:val="16"/>
          <w:szCs w:val="16"/>
        </w:rPr>
        <w:t>Y. pestis,</w:t>
      </w:r>
      <w:r>
        <w:t xml:space="preserve"> constituyen las tres especies patógenas del ser humano distribuidas con mayor frecuencia de las 11 del género </w:t>
      </w:r>
      <w:r>
        <w:rPr>
          <w:rFonts w:ascii="Times New Roman" w:eastAsia="Times New Roman" w:hAnsi="Times New Roman" w:cs="Times New Roman"/>
          <w:i/>
          <w:iCs/>
          <w:sz w:val="16"/>
          <w:szCs w:val="16"/>
        </w:rPr>
        <w:t>Yersinia.</w:t>
      </w:r>
      <w:r>
        <w:t xml:space="preserve"> Se han identificado 15 grupos O patógenos de </w:t>
      </w:r>
      <w:r>
        <w:rPr>
          <w:rFonts w:ascii="Times New Roman" w:eastAsia="Times New Roman" w:hAnsi="Times New Roman" w:cs="Times New Roman"/>
          <w:i/>
          <w:iCs/>
          <w:sz w:val="16"/>
          <w:szCs w:val="16"/>
        </w:rPr>
        <w:t>Y. enterocolitica.</w:t>
      </w:r>
      <w:r>
        <w:t xml:space="preserve"> Existen diferencias de virulencia en los diversos grupos O de </w:t>
      </w:r>
      <w:r>
        <w:rPr>
          <w:rFonts w:ascii="Times New Roman" w:eastAsia="Times New Roman" w:hAnsi="Times New Roman" w:cs="Times New Roman"/>
          <w:i/>
          <w:iCs/>
          <w:sz w:val="16"/>
          <w:szCs w:val="16"/>
        </w:rPr>
        <w:t>Y. enterocolitica;</w:t>
      </w:r>
      <w:r>
        <w:t xml:space="preserve"> en la actualidad predomina O:3 y O:9 como las causas más comunes de diarrea en Estados Unidos.</w:t>
      </w:r>
    </w:p>
    <w:p w14:paraId="27F2C914" w14:textId="77777777" w:rsidR="00924992" w:rsidRDefault="00924992">
      <w:pPr>
        <w:pStyle w:val="BodyText"/>
        <w:spacing w:line="276" w:lineRule="auto"/>
        <w:ind w:firstLine="0"/>
      </w:pPr>
      <w:r>
        <w:rPr>
          <w:b/>
          <w:bCs/>
        </w:rPr>
        <w:t>A</w:t>
      </w:r>
      <w:r>
        <w:rPr>
          <w:b/>
          <w:bCs/>
          <w:sz w:val="13"/>
          <w:szCs w:val="13"/>
        </w:rPr>
        <w:t>SPECTOS EPIDEMIOLÓGICOS</w:t>
      </w:r>
      <w:r>
        <w:rPr>
          <w:b/>
          <w:bCs/>
        </w:rPr>
        <w:t xml:space="preserve">: </w:t>
      </w:r>
      <w:r>
        <w:t xml:space="preserve">Las infecciones por </w:t>
      </w:r>
      <w:r>
        <w:rPr>
          <w:rFonts w:ascii="Times New Roman" w:eastAsia="Times New Roman" w:hAnsi="Times New Roman" w:cs="Times New Roman"/>
          <w:i/>
          <w:iCs/>
          <w:sz w:val="16"/>
          <w:szCs w:val="16"/>
        </w:rPr>
        <w:t>Yersinia enterocolitica</w:t>
      </w:r>
      <w:r>
        <w:t xml:space="preserve"> son poco comunes en Estados Unidos; la incidencia anual en ese país, según la </w:t>
      </w:r>
      <w:r>
        <w:rPr>
          <w:rFonts w:ascii="Times New Roman" w:eastAsia="Times New Roman" w:hAnsi="Times New Roman" w:cs="Times New Roman"/>
          <w:i/>
          <w:iCs/>
          <w:sz w:val="16"/>
          <w:szCs w:val="16"/>
        </w:rPr>
        <w:t>Foodborne Disease Active Surveillance Network</w:t>
      </w:r>
      <w:r>
        <w:t xml:space="preserve"> (FoodNet), es de 0.4 casos por 100 000 personas. Las infecciones por </w:t>
      </w:r>
      <w:r>
        <w:rPr>
          <w:rFonts w:ascii="Times New Roman" w:eastAsia="Times New Roman" w:hAnsi="Times New Roman" w:cs="Times New Roman"/>
          <w:i/>
          <w:iCs/>
          <w:sz w:val="16"/>
          <w:szCs w:val="16"/>
        </w:rPr>
        <w:t>Yersinia pseudotuberculosis</w:t>
      </w:r>
      <w:r>
        <w:t xml:space="preserve"> son raras. El reservorio principal de </w:t>
      </w:r>
      <w:r>
        <w:rPr>
          <w:rFonts w:ascii="Times New Roman" w:eastAsia="Times New Roman" w:hAnsi="Times New Roman" w:cs="Times New Roman"/>
          <w:i/>
          <w:iCs/>
          <w:sz w:val="16"/>
          <w:szCs w:val="16"/>
        </w:rPr>
        <w:t>Y. enterocolitica</w:t>
      </w:r>
      <w:r>
        <w:t xml:space="preserve"> son los cerdos; </w:t>
      </w:r>
      <w:r>
        <w:rPr>
          <w:rFonts w:ascii="Times New Roman" w:eastAsia="Times New Roman" w:hAnsi="Times New Roman" w:cs="Times New Roman"/>
          <w:i/>
          <w:iCs/>
          <w:sz w:val="16"/>
          <w:szCs w:val="16"/>
        </w:rPr>
        <w:t>Y. pseudotuberculosis</w:t>
      </w:r>
      <w:r>
        <w:t xml:space="preserve"> feral se ha aislado de ungulados (ciervos, antas, cabras, ganado vacuno y ovino), roedores (ratas, conejos, ardillas, castores) y muchas especies de aves. Se piensa que la infección es transmitida por la ingestión de alimento contaminado (carne o productos de cerdo crudos o mal cocidos y leche no pasteurizada), por superficies contaminadas o agua de pozo, por contacto directo o indirecto con animales, por la transfusión de concentrados eritrocíticos y quizá (aunque en raras ocasiones) por transmisión fecal-oral o directa de una persona a otra. Los pequeños alimentados con fórmula láctea pueden infectarse si quienes los cuidan manipulan simultáneamente intestinos crudos de cerdo (tripas). </w:t>
      </w:r>
      <w:r>
        <w:rPr>
          <w:rFonts w:ascii="Times New Roman" w:eastAsia="Times New Roman" w:hAnsi="Times New Roman" w:cs="Times New Roman"/>
          <w:i/>
          <w:iCs/>
          <w:sz w:val="16"/>
          <w:szCs w:val="16"/>
        </w:rPr>
        <w:t xml:space="preserve">Yersinia </w:t>
      </w:r>
      <w:r>
        <w:t>enterocolitica ha sido aislada con mayor frecuencia en climas más fríos, y su presencia predomina en noviembre a enero en la porción septentrional de Estados Unidos. Se desconoce el periodo de transmisibilidad y se excretan los microorganismos en un promedio de seis semanas después del diagnóstico.</w:t>
      </w:r>
    </w:p>
    <w:p w14:paraId="2818D065" w14:textId="77777777" w:rsidR="00924992" w:rsidRDefault="00924992">
      <w:pPr>
        <w:pStyle w:val="BodyText"/>
        <w:ind w:firstLine="360"/>
      </w:pPr>
      <w:r>
        <w:t xml:space="preserve">El </w:t>
      </w:r>
      <w:r>
        <w:rPr>
          <w:b/>
          <w:bCs/>
        </w:rPr>
        <w:t xml:space="preserve">periodo de incubación </w:t>
      </w:r>
      <w:r>
        <w:t>de manera típica va de cuatro a seis días, aunque varía de uno a 14 días.</w:t>
      </w:r>
    </w:p>
    <w:p w14:paraId="5AFF7B25" w14:textId="77777777" w:rsidR="00924992" w:rsidRDefault="00924992">
      <w:pPr>
        <w:pStyle w:val="BodyText"/>
        <w:ind w:firstLine="0"/>
        <w:sectPr w:rsidR="00924992" w:rsidSect="00924992">
          <w:headerReference w:type="even" r:id="rId202"/>
          <w:headerReference w:type="default" r:id="rId203"/>
          <w:footerReference w:type="even" r:id="rId204"/>
          <w:footerReference w:type="default" r:id="rId205"/>
          <w:footnotePr>
            <w:numFmt w:val="chicago"/>
          </w:footnotePr>
          <w:type w:val="continuous"/>
          <w:pgSz w:w="8501" w:h="13022"/>
          <w:pgMar w:top="902" w:right="771" w:bottom="508" w:left="851" w:header="0" w:footer="80" w:gutter="0"/>
          <w:cols w:space="720"/>
          <w:noEndnote/>
          <w:docGrid w:linePitch="360"/>
          <w15:footnoteColumns w:val="1"/>
        </w:sectPr>
      </w:pPr>
      <w:r>
        <w:rPr>
          <w:b/>
          <w:bCs/>
        </w:rPr>
        <w:t>M</w:t>
      </w:r>
      <w:r>
        <w:rPr>
          <w:b/>
          <w:bCs/>
          <w:sz w:val="13"/>
          <w:szCs w:val="13"/>
        </w:rPr>
        <w:t>ÉTODOS DIAGNÓSTICOS</w:t>
      </w:r>
      <w:r>
        <w:rPr>
          <w:b/>
          <w:bCs/>
        </w:rPr>
        <w:t xml:space="preserve">: </w:t>
      </w:r>
      <w:r>
        <w:t xml:space="preserve">Es posible identificar </w:t>
      </w:r>
      <w:r>
        <w:rPr>
          <w:rFonts w:ascii="Times New Roman" w:eastAsia="Times New Roman" w:hAnsi="Times New Roman" w:cs="Times New Roman"/>
          <w:i/>
          <w:iCs/>
          <w:sz w:val="16"/>
          <w:szCs w:val="16"/>
        </w:rPr>
        <w:t>Yersinia enterocolitica</w:t>
      </w:r>
      <w:r>
        <w:t xml:space="preserve"> y </w:t>
      </w:r>
      <w:r>
        <w:rPr>
          <w:rFonts w:ascii="Times New Roman" w:eastAsia="Times New Roman" w:hAnsi="Times New Roman" w:cs="Times New Roman"/>
          <w:i/>
          <w:iCs/>
          <w:sz w:val="16"/>
          <w:szCs w:val="16"/>
        </w:rPr>
        <w:t xml:space="preserve">Y. pseudotuberculosis </w:t>
      </w:r>
      <w:r>
        <w:t xml:space="preserve">de material de exudado faríngeo, ganglios linfáticos mesentéricos, líquido peritoneal y sangre. Los cultivos de excrementos por lo común son positivos en las primeras dos semanas de la enfermedad, sean cuales sean las manifestaciones de vías gastrointestinales. También se ha aislado Yersinia enterocolitica de líquido sinovial, bilis, orina, líquido cefalorraquídeo, esputo y material de heridas. Ante la incidencia relativamente pequeña </w:t>
      </w:r>
    </w:p>
    <w:p w14:paraId="16242D16" w14:textId="77777777" w:rsidR="00924992" w:rsidRDefault="00924992">
      <w:pPr>
        <w:pStyle w:val="BodyText"/>
        <w:ind w:firstLine="0"/>
      </w:pPr>
      <w:r>
        <w:t xml:space="preserve">de la infección por </w:t>
      </w:r>
      <w:r>
        <w:rPr>
          <w:rFonts w:ascii="Times New Roman" w:eastAsia="Times New Roman" w:hAnsi="Times New Roman" w:cs="Times New Roman"/>
          <w:i/>
          <w:iCs/>
          <w:sz w:val="16"/>
          <w:szCs w:val="16"/>
        </w:rPr>
        <w:t>Yersinia</w:t>
      </w:r>
      <w:r>
        <w:t xml:space="preserve"> en Estados Unidos, muchos laboratorios comerciales no buscan tal microorganismo sistemáticamente en muestras de excremento. En consecuencia, hay que avisar al personal de laboratorio de los casos en que se sospecha infección por </w:t>
      </w:r>
      <w:r>
        <w:rPr>
          <w:rFonts w:ascii="Times New Roman" w:eastAsia="Times New Roman" w:hAnsi="Times New Roman" w:cs="Times New Roman"/>
          <w:i/>
          <w:iCs/>
          <w:sz w:val="16"/>
          <w:szCs w:val="16"/>
        </w:rPr>
        <w:t>Yersinia</w:t>
      </w:r>
      <w:r>
        <w:rPr>
          <w:i/>
          <w:iCs/>
        </w:rPr>
        <w:t>.</w:t>
      </w:r>
      <w:r>
        <w:t xml:space="preserve"> Algunos laboratorios especializados sanitarios practican la biotipificación y la serotipificación para una identificación más precisa de las cepas patógenas. La presencia de la infección se confirma al demostrar incrementos en el título de anticuerpos séricos después de la infección, pero tales métodos por lo común se practican sólo en laboratorios especializados o de investigación. Las reacciones cruzadas de dichos anticuerpos con los de especies de </w:t>
      </w:r>
      <w:r>
        <w:rPr>
          <w:rFonts w:ascii="Times New Roman" w:eastAsia="Times New Roman" w:hAnsi="Times New Roman" w:cs="Times New Roman"/>
          <w:i/>
          <w:iCs/>
          <w:sz w:val="16"/>
          <w:szCs w:val="16"/>
        </w:rPr>
        <w:t>Brucella, Vibrio, Salmonella</w:t>
      </w:r>
      <w:r>
        <w:t xml:space="preserve"> y </w:t>
      </w:r>
      <w:r>
        <w:rPr>
          <w:rFonts w:ascii="Times New Roman" w:eastAsia="Times New Roman" w:hAnsi="Times New Roman" w:cs="Times New Roman"/>
          <w:i/>
          <w:iCs/>
          <w:sz w:val="16"/>
          <w:szCs w:val="16"/>
        </w:rPr>
        <w:t>Rickettsia</w:t>
      </w:r>
      <w:r>
        <w:t xml:space="preserve"> y </w:t>
      </w:r>
      <w:r>
        <w:rPr>
          <w:rFonts w:ascii="Times New Roman" w:eastAsia="Times New Roman" w:hAnsi="Times New Roman" w:cs="Times New Roman"/>
          <w:i/>
          <w:iCs/>
          <w:sz w:val="16"/>
          <w:szCs w:val="16"/>
        </w:rPr>
        <w:t>Escherichia coli</w:t>
      </w:r>
      <w:r>
        <w:t xml:space="preserve"> originan títulos positivos falsos de </w:t>
      </w:r>
      <w:r>
        <w:rPr>
          <w:rFonts w:ascii="Times New Roman" w:eastAsia="Times New Roman" w:hAnsi="Times New Roman" w:cs="Times New Roman"/>
          <w:i/>
          <w:iCs/>
          <w:sz w:val="16"/>
          <w:szCs w:val="16"/>
        </w:rPr>
        <w:t>Y. enterocolitica</w:t>
      </w:r>
      <w:r>
        <w:t xml:space="preserve"> y </w:t>
      </w:r>
      <w:r>
        <w:rPr>
          <w:rFonts w:ascii="Times New Roman" w:eastAsia="Times New Roman" w:hAnsi="Times New Roman" w:cs="Times New Roman"/>
          <w:i/>
          <w:iCs/>
          <w:sz w:val="16"/>
          <w:szCs w:val="16"/>
        </w:rPr>
        <w:t>Y pseudotuberculosis.</w:t>
      </w:r>
      <w:r>
        <w:t xml:space="preserve"> En personas con enfermedades de tiroides, el incremento persistente de los títulos de anticuerpos contra </w:t>
      </w:r>
      <w:r>
        <w:rPr>
          <w:rFonts w:ascii="Times New Roman" w:eastAsia="Times New Roman" w:hAnsi="Times New Roman" w:cs="Times New Roman"/>
          <w:i/>
          <w:iCs/>
          <w:sz w:val="16"/>
          <w:szCs w:val="16"/>
        </w:rPr>
        <w:t>Y. enterocolitica</w:t>
      </w:r>
      <w:r>
        <w:t xml:space="preserve"> puede ser consecuencia de la semejanza antigénica de dicho microorganismo con los antígenos de la membrana epitelial de tiroides. Los signos ultrasonográficos característicos que señalan edema de la pared del íleon terminal y el ciego permiten diferenciar la seudoapendicitis de la apendicitis, y son útiles para no emprender cirugía exploratoria.</w:t>
      </w:r>
    </w:p>
    <w:p w14:paraId="04E25506" w14:textId="77777777" w:rsidR="00924992" w:rsidRDefault="00924992">
      <w:pPr>
        <w:pStyle w:val="BodyText"/>
        <w:ind w:firstLine="0"/>
      </w:pPr>
      <w:r>
        <w:rPr>
          <w:b/>
          <w:bCs/>
        </w:rPr>
        <w:t>T</w:t>
      </w:r>
      <w:r>
        <w:rPr>
          <w:b/>
          <w:bCs/>
          <w:sz w:val="13"/>
          <w:szCs w:val="13"/>
        </w:rPr>
        <w:t>RATAMIENTO</w:t>
      </w:r>
      <w:r>
        <w:rPr>
          <w:b/>
          <w:bCs/>
        </w:rPr>
        <w:t xml:space="preserve">: </w:t>
      </w:r>
      <w:r>
        <w:rPr>
          <w:rFonts w:ascii="Times New Roman" w:eastAsia="Times New Roman" w:hAnsi="Times New Roman" w:cs="Times New Roman"/>
          <w:i/>
          <w:iCs/>
          <w:sz w:val="16"/>
          <w:szCs w:val="16"/>
        </w:rPr>
        <w:t>Yersinia enterocolitica</w:t>
      </w:r>
      <w:r>
        <w:t xml:space="preserve"> y </w:t>
      </w:r>
      <w:r>
        <w:rPr>
          <w:rFonts w:ascii="Times New Roman" w:eastAsia="Times New Roman" w:hAnsi="Times New Roman" w:cs="Times New Roman"/>
          <w:i/>
          <w:iCs/>
          <w:sz w:val="16"/>
          <w:szCs w:val="16"/>
        </w:rPr>
        <w:t>Y. pseudotuberculosis</w:t>
      </w:r>
      <w:r>
        <w:t xml:space="preserve"> por lo común son susceptibles a trimetoprim-sulfametoxazol, aminoglucósidos, cefotaxima sódica, fluoroquinolonas (para pacientes de 18 años o mayores), tetraciclinas o doxiciclina (para niños de ocho años de edad y mayores) y cloranfenicol. </w:t>
      </w:r>
      <w:r>
        <w:rPr>
          <w:rFonts w:ascii="Times New Roman" w:eastAsia="Times New Roman" w:hAnsi="Times New Roman" w:cs="Times New Roman"/>
          <w:i/>
          <w:iCs/>
          <w:sz w:val="16"/>
          <w:szCs w:val="16"/>
        </w:rPr>
        <w:t>Yersinia</w:t>
      </w:r>
      <w:r>
        <w:t xml:space="preserve"> enterocolitica aislada suele ser resistente a las cefalosporinas de la primera generación y a casi todas las penicilinas. Los individuos con septicemia o sitios de infección fuera de las vías gastrointestinales y los hospedadores inmunodeficientes con enterocolitis deben recibir antimicrobianos. Salvo la menor duración de la excreción de </w:t>
      </w:r>
      <w:r>
        <w:rPr>
          <w:rFonts w:ascii="Times New Roman" w:eastAsia="Times New Roman" w:hAnsi="Times New Roman" w:cs="Times New Roman"/>
          <w:i/>
          <w:iCs/>
          <w:sz w:val="16"/>
          <w:szCs w:val="16"/>
        </w:rPr>
        <w:t>Y. enterocolitica</w:t>
      </w:r>
      <w:r>
        <w:t xml:space="preserve"> y </w:t>
      </w:r>
      <w:r>
        <w:rPr>
          <w:rFonts w:ascii="Times New Roman" w:eastAsia="Times New Roman" w:hAnsi="Times New Roman" w:cs="Times New Roman"/>
          <w:i/>
          <w:iCs/>
          <w:sz w:val="16"/>
          <w:szCs w:val="16"/>
        </w:rPr>
        <w:t>Y. pseudotuberculosis</w:t>
      </w:r>
      <w:r>
        <w:t xml:space="preserve"> por los excrementos, no se ha definido un beneficio clínico de los antimicrobianos en individuos con el síndrome de seudoapendicitis, enterocolitis o adenitis mesentérica. </w:t>
      </w:r>
      <w:r>
        <w:rPr>
          <w:b/>
          <w:bCs/>
          <w:smallCaps/>
          <w:sz w:val="20"/>
          <w:szCs w:val="20"/>
        </w:rPr>
        <w:t>A</w:t>
      </w:r>
      <w:r>
        <w:rPr>
          <w:b/>
          <w:bCs/>
          <w:smallCaps/>
          <w:sz w:val="16"/>
          <w:szCs w:val="16"/>
        </w:rPr>
        <w:t>islamiento del paciente hospitalizado</w:t>
      </w:r>
      <w:r>
        <w:rPr>
          <w:b/>
          <w:bCs/>
          <w:smallCaps/>
          <w:sz w:val="20"/>
          <w:szCs w:val="20"/>
        </w:rPr>
        <w:t>:</w:t>
      </w:r>
      <w:r>
        <w:t xml:space="preserve"> Se recomienda seguir las precauciones estándar.</w:t>
      </w:r>
    </w:p>
    <w:p w14:paraId="79E48B36" w14:textId="77777777" w:rsidR="00924992" w:rsidRDefault="00924992">
      <w:pPr>
        <w:pStyle w:val="BodyText"/>
        <w:ind w:firstLine="0"/>
        <w:sectPr w:rsidR="00924992" w:rsidSect="00924992">
          <w:headerReference w:type="even" r:id="rId206"/>
          <w:headerReference w:type="default" r:id="rId207"/>
          <w:footerReference w:type="even" r:id="rId208"/>
          <w:footerReference w:type="default" r:id="rId209"/>
          <w:footnotePr>
            <w:numFmt w:val="chicago"/>
          </w:footnotePr>
          <w:type w:val="continuous"/>
          <w:pgSz w:w="8501" w:h="13022"/>
          <w:pgMar w:top="902" w:right="771" w:bottom="508" w:left="851" w:header="0" w:footer="80" w:gutter="0"/>
          <w:cols w:space="720"/>
          <w:noEndnote/>
          <w:docGrid w:linePitch="360"/>
          <w15:footnoteColumns w:val="1"/>
        </w:sectPr>
      </w:pPr>
      <w:r>
        <w:rPr>
          <w:b/>
          <w:bCs/>
        </w:rPr>
        <w:t>M</w:t>
      </w:r>
      <w:r>
        <w:rPr>
          <w:b/>
          <w:bCs/>
          <w:sz w:val="13"/>
          <w:szCs w:val="13"/>
        </w:rPr>
        <w:t>EDIDAS PREVENTIVAS</w:t>
      </w:r>
      <w:r>
        <w:rPr>
          <w:b/>
          <w:bCs/>
        </w:rPr>
        <w:t xml:space="preserve">: </w:t>
      </w:r>
      <w:r>
        <w:t>Es importante no consumir carne mal cocida, leche no pasteurizada, ni agua contaminada. Las personas que manipulan intestinos de cerdo deben lavarse las manos después del contacto con ellos y no cuidar simultáneamente lactantes de corta edad.</w:t>
      </w:r>
    </w:p>
    <w:p w14:paraId="4FBD941F" w14:textId="77777777" w:rsidR="00924992" w:rsidRDefault="00924992">
      <w:pPr>
        <w:pStyle w:val="Heading11"/>
        <w:keepNext/>
        <w:keepLines/>
        <w:spacing w:before="680" w:after="540" w:line="211" w:lineRule="auto"/>
      </w:pPr>
      <w:bookmarkStart w:id="206" w:name="bookmark1652"/>
      <w:bookmarkStart w:id="207" w:name="bookmark1653"/>
      <w:bookmarkStart w:id="208" w:name="bookmark1654"/>
      <w:r>
        <w:rPr>
          <w:color w:val="000000"/>
        </w:rPr>
        <w:t>Antimicrobianos</w:t>
      </w:r>
      <w:r>
        <w:rPr>
          <w:color w:val="000000"/>
        </w:rPr>
        <w:br/>
        <w:t>y fármacos similares</w:t>
      </w:r>
      <w:bookmarkEnd w:id="206"/>
      <w:bookmarkEnd w:id="207"/>
      <w:bookmarkEnd w:id="208"/>
    </w:p>
    <w:p w14:paraId="36E84CB1" w14:textId="77777777" w:rsidR="00924992" w:rsidRDefault="00924992">
      <w:pPr>
        <w:pStyle w:val="Other0"/>
        <w:spacing w:after="240" w:line="240" w:lineRule="auto"/>
        <w:ind w:firstLine="0"/>
        <w:jc w:val="center"/>
        <w:rPr>
          <w:sz w:val="26"/>
          <w:szCs w:val="26"/>
        </w:rPr>
      </w:pPr>
      <w:r>
        <w:rPr>
          <w:rFonts w:ascii="Times New Roman" w:eastAsia="Times New Roman" w:hAnsi="Times New Roman" w:cs="Times New Roman"/>
          <w:color w:val="000000"/>
          <w:sz w:val="32"/>
          <w:szCs w:val="32"/>
        </w:rPr>
        <w:t>I</w:t>
      </w:r>
      <w:r>
        <w:rPr>
          <w:rFonts w:ascii="Times New Roman" w:eastAsia="Times New Roman" w:hAnsi="Times New Roman" w:cs="Times New Roman"/>
          <w:color w:val="000000"/>
          <w:sz w:val="26"/>
          <w:szCs w:val="26"/>
        </w:rPr>
        <w:t>NTRODUCCIÓN</w:t>
      </w:r>
    </w:p>
    <w:p w14:paraId="08D2FD91" w14:textId="77777777" w:rsidR="00924992" w:rsidRDefault="00924992">
      <w:pPr>
        <w:pStyle w:val="BodyText"/>
        <w:ind w:firstLine="0"/>
      </w:pPr>
      <w:r>
        <w:rPr>
          <w:color w:val="000000"/>
        </w:rPr>
        <w:t xml:space="preserve">En algunas situaciones se recomienda usar agentes antimicrobianos para indicaciones específicas diferentes de las que señala el fabricante en sus instrucciones (recomendaciones del fabricante) aprobadas por la </w:t>
      </w:r>
      <w:r>
        <w:rPr>
          <w:rFonts w:ascii="Times New Roman" w:eastAsia="Times New Roman" w:hAnsi="Times New Roman" w:cs="Times New Roman"/>
          <w:i/>
          <w:iCs/>
          <w:color w:val="000000"/>
          <w:sz w:val="16"/>
          <w:szCs w:val="16"/>
        </w:rPr>
        <w:t>Food and Drug Administration</w:t>
      </w:r>
      <w:r>
        <w:rPr>
          <w:color w:val="000000"/>
        </w:rPr>
        <w:t xml:space="preserve"> (FDA). En Estados Unidos, una indicación aprobada por la FDA denota que se han realizado estudios adecuados y perfectamente comparativos y que, después, la información ha sido revisada por dicho organismo. Sin embargo, la práctica médica aceptada a menudo incluye usos de los fármacos que no están incluidos en dichas recomendaciones aprobadas. El hecho de que no se haya aprobado un producto para alguna indicación particular no significa necesariamente ineficacia, sino indica que no se han realizado los estudios apropiados o que no se han sometido los datos a la FDA para ser aprobados para tal indicación. El empleo “no aprobado” no denota uso inapropiado, siempre y cuando pruebas médicas razonables lo justifiquen y la administración del fármaco redunde en los mejores intereses del paciente. La decisión de recetar un fármaco depende del médico, quien debe comparar los riesgos y beneficios de usarlo, haya recibido o no la aprobado de la FDA para la indicación específica, y según la edad del paciente.</w:t>
      </w:r>
    </w:p>
    <w:p w14:paraId="2156604C" w14:textId="77777777" w:rsidR="00924992" w:rsidRDefault="00924992">
      <w:pPr>
        <w:pStyle w:val="BodyText"/>
        <w:spacing w:after="100"/>
        <w:ind w:firstLine="360"/>
      </w:pPr>
      <w:r>
        <w:rPr>
          <w:color w:val="000000"/>
        </w:rPr>
        <w:t>Algunos agentes antimicrobianos con probado beneficio terapéutico en seres humanos no han sido aprobados por la FDA para emplear en niños o se piensa que están contraindicados en ellos ante sus posibles efectos tóxicos. Sin embargo, es posible utilizar algunos de los fármacos como las fluoroquinolonas (en personas menores de 18 años) y las tetraciclinas (en niños menores de ocho años), en circunstancias especiales después de una valoración cuidadosa de riesgos y beneficios. En tales casos es prudente obtener el consentimiento informado antes de usarlos. Los datos siguientes definen principios generales para la administración de esta clase de fármacos.</w:t>
      </w:r>
    </w:p>
    <w:p w14:paraId="09B8F511" w14:textId="77777777" w:rsidR="00924992" w:rsidRDefault="00924992">
      <w:pPr>
        <w:pStyle w:val="Bodytext70"/>
      </w:pPr>
      <w:r>
        <w:rPr>
          <w:color w:val="000000"/>
        </w:rPr>
        <w:t>Fluoroquinolonas</w:t>
      </w:r>
    </w:p>
    <w:p w14:paraId="179E3C29" w14:textId="77777777" w:rsidR="00924992" w:rsidRDefault="00924992">
      <w:pPr>
        <w:pStyle w:val="BodyText"/>
        <w:spacing w:after="240"/>
        <w:ind w:firstLine="0"/>
      </w:pPr>
      <w:r>
        <w:rPr>
          <w:color w:val="000000"/>
        </w:rPr>
        <w:t>La administración de fluoroquinolonas (como ciprofloxacina, enoxacina, gatifloxacina, levofloxacina, lomefloxacina, moxifloxacina, norfloxacina, ofloxacina, esparfloxacina y trovafloxacina) generalmente está contraindicado, según las instrucciones del fabricante aprobadas por la FDA, en niños y adolescentes menores de 18 años porque se ha demostrado que esta categoría de medicamentos lesiona el cartílago en todos los modelos de animales jóvenes estudiados, en dosis cercanas a las terapéuticas necesarias. Se desconoce el mecanismo de tal fenómeno lesivo. La pefloxacina, una fluoroquinolona que se ha usado ampliamente en Francia, origina osteopatía en niños y adultos. Además, algunos datos sugieren que el mesilato de alatrofloxacina y la trovafloxacina pueden ocasionar insuficiencia hepática aguda que ha culminado en la muerte en algunas personas.</w:t>
      </w:r>
    </w:p>
    <w:p w14:paraId="2C76A01A" w14:textId="77777777" w:rsidR="00924992" w:rsidRDefault="00924992">
      <w:pPr>
        <w:pStyle w:val="Heading11"/>
        <w:keepNext/>
        <w:keepLines/>
        <w:spacing w:after="540" w:line="211" w:lineRule="auto"/>
      </w:pPr>
      <w:bookmarkStart w:id="209" w:name="bookmark1655"/>
      <w:bookmarkStart w:id="210" w:name="bookmark1656"/>
      <w:bookmarkStart w:id="211" w:name="bookmark1657"/>
      <w:r>
        <w:rPr>
          <w:color w:val="000000"/>
        </w:rPr>
        <w:t>Antimicrobianos</w:t>
      </w:r>
      <w:r>
        <w:rPr>
          <w:color w:val="000000"/>
        </w:rPr>
        <w:br/>
        <w:t>y fármacos similares</w:t>
      </w:r>
      <w:bookmarkEnd w:id="209"/>
      <w:bookmarkEnd w:id="210"/>
      <w:bookmarkEnd w:id="211"/>
    </w:p>
    <w:p w14:paraId="5DE8C98E" w14:textId="77777777" w:rsidR="00924992" w:rsidRDefault="00924992">
      <w:pPr>
        <w:pStyle w:val="Other0"/>
        <w:spacing w:after="240" w:line="240" w:lineRule="auto"/>
        <w:ind w:firstLine="0"/>
        <w:jc w:val="center"/>
        <w:rPr>
          <w:sz w:val="26"/>
          <w:szCs w:val="26"/>
        </w:rPr>
      </w:pPr>
      <w:r>
        <w:rPr>
          <w:rFonts w:ascii="Times New Roman" w:eastAsia="Times New Roman" w:hAnsi="Times New Roman" w:cs="Times New Roman"/>
          <w:color w:val="000000"/>
          <w:sz w:val="32"/>
          <w:szCs w:val="32"/>
        </w:rPr>
        <w:t>I</w:t>
      </w:r>
      <w:r>
        <w:rPr>
          <w:rFonts w:ascii="Times New Roman" w:eastAsia="Times New Roman" w:hAnsi="Times New Roman" w:cs="Times New Roman"/>
          <w:color w:val="000000"/>
          <w:sz w:val="26"/>
          <w:szCs w:val="26"/>
        </w:rPr>
        <w:t>NTRODUCCIÓN</w:t>
      </w:r>
    </w:p>
    <w:p w14:paraId="46892AB2" w14:textId="77777777" w:rsidR="00924992" w:rsidRDefault="00924992">
      <w:pPr>
        <w:pStyle w:val="BodyText"/>
        <w:ind w:firstLine="0"/>
      </w:pPr>
      <w:r>
        <w:rPr>
          <w:color w:val="000000"/>
        </w:rPr>
        <w:t xml:space="preserve">En algunas situaciones se recomienda usar agentes antimicrobianos para indicaciones específicas diferentes de las que señala el fabricante en sus instrucciones (recomendaciones del fabricante) aprobadas por la </w:t>
      </w:r>
      <w:r>
        <w:rPr>
          <w:rFonts w:ascii="Times New Roman" w:eastAsia="Times New Roman" w:hAnsi="Times New Roman" w:cs="Times New Roman"/>
          <w:i/>
          <w:iCs/>
          <w:color w:val="000000"/>
          <w:sz w:val="16"/>
          <w:szCs w:val="16"/>
        </w:rPr>
        <w:t>Food and Drug Administration</w:t>
      </w:r>
      <w:r>
        <w:rPr>
          <w:color w:val="000000"/>
        </w:rPr>
        <w:t xml:space="preserve"> (FDA). En Estados Unidos, una indicación aprobada por la FDA denota que se han realizado estudios adecuados y perfectamente comparativos y que, después, la información ha sido revisada por dicho organismo. Sin embargo, la práctica médica aceptada a menudo incluye usos de los fármacos que no están incluidos en dichas recomendaciones aprobadas. El hecho de que no se haya aprobado un producto para alguna indicación particular no significa necesariamente ineficacia, sino indica que no se han realizado los estudios apropiados o que no se han sometido los datos a la FDA para ser aprobados para tal indicación. El empleo “no aprobado” no denota uso inapropiado, siempre y cuando pruebas médicas razonables lo justifiquen y la administración del fármaco redunde en los mejores intereses del paciente. La decisión de recetar un fármaco depende del médico, quien debe comparar los riesgos y beneficios de usarlo, haya recibido o no la aprobado de la FDA para la indicación específica, y según la edad del paciente.</w:t>
      </w:r>
    </w:p>
    <w:p w14:paraId="1737CDE7" w14:textId="77777777" w:rsidR="00924992" w:rsidRDefault="00924992">
      <w:pPr>
        <w:pStyle w:val="BodyText"/>
        <w:spacing w:after="100"/>
        <w:ind w:firstLine="360"/>
      </w:pPr>
      <w:r>
        <w:rPr>
          <w:color w:val="000000"/>
        </w:rPr>
        <w:t>Algunos agentes antimicrobianos con probado beneficio terapéutico en seres humanos no han sido aprobados por la FDA para emplear en niños o se piensa que están contraindicados en ellos ante sus posibles efectos tóxicos. Sin embargo, es posible utilizar algunos de los fármacos como las fluoroquinolonas (en personas menores de 18 años) y las tetraciclinas (en niños menores de ocho años), en circunstancias especiales después de una valoración cuidadosa de riesgos y beneficios. En tales casos es prudente obtener el consentimiento informado antes de usarlos. Los datos siguientes definen principios generales para la administración de esta clase de fármacos.</w:t>
      </w:r>
    </w:p>
    <w:p w14:paraId="52E2C539" w14:textId="77777777" w:rsidR="00924992" w:rsidRDefault="00924992">
      <w:pPr>
        <w:pStyle w:val="Bodytext70"/>
      </w:pPr>
      <w:r>
        <w:rPr>
          <w:color w:val="000000"/>
        </w:rPr>
        <w:t>Fluoroquinolonas</w:t>
      </w:r>
    </w:p>
    <w:p w14:paraId="60B4FF49" w14:textId="77777777" w:rsidR="00924992" w:rsidRDefault="00924992">
      <w:pPr>
        <w:pStyle w:val="BodyText"/>
        <w:spacing w:after="240"/>
        <w:ind w:firstLine="0"/>
        <w:sectPr w:rsidR="00924992" w:rsidSect="00924992">
          <w:headerReference w:type="even" r:id="rId210"/>
          <w:headerReference w:type="default" r:id="rId211"/>
          <w:footerReference w:type="even" r:id="rId212"/>
          <w:footerReference w:type="default" r:id="rId213"/>
          <w:footnotePr>
            <w:numFmt w:val="chicago"/>
          </w:footnotePr>
          <w:pgSz w:w="8501" w:h="13022"/>
          <w:pgMar w:top="905" w:right="722" w:bottom="521" w:left="910" w:header="0" w:footer="93" w:gutter="0"/>
          <w:cols w:space="720"/>
          <w:noEndnote/>
          <w:docGrid w:linePitch="360"/>
          <w15:footnoteColumns w:val="1"/>
        </w:sectPr>
      </w:pPr>
      <w:r>
        <w:rPr>
          <w:color w:val="000000"/>
        </w:rPr>
        <w:t>La administración de fluoroquinolonas (como ciprofloxacina, enoxacina, gatifloxacina, levofloxacina, lomefloxacina, moxifloxacina, norfloxacina, ofloxacina, esparfloxacina y trovafloxacina) generalmente está contraindicado, según las instrucciones del fabricante aprobadas por la FDA, en niños y adolescentes menores de 18 años porque se ha demostrado que esta categoría de medicamentos lesiona el cartílago en todos los modelos de animales jóvenes estudiados, en dosis cercanas a las terapéuticas necesarias. Se desconoce el mecanismo de tal fenómeno lesivo. La pefloxacina, una fluoroquinolona que se ha usado ampliamente en Francia, origina osteopatía en niños y adultos. Además, algunos datos sugieren que el mesilato de alatrofloxacina y la trovafloxacina pueden ocasionar insuficiencia hepática aguda que ha culminado en la muerte en algunas personas.</w:t>
      </w:r>
    </w:p>
    <w:p w14:paraId="1AB27CB9" w14:textId="77777777" w:rsidR="00924992" w:rsidRDefault="00924992">
      <w:pPr>
        <w:pStyle w:val="BodyText"/>
        <w:ind w:firstLine="360"/>
      </w:pPr>
      <w:r>
        <w:rPr>
          <w:color w:val="000000"/>
        </w:rPr>
        <w:t xml:space="preserve">Hasta la fecha, la ciprofloxacina es la fluoroquinolona más utilizada en niños (predominantemente en adolescentes). Con base en la experiencia relativamente escasa, dicho fármaco al parecer es tolerado de modo satisfactorio, no causa artropatía y es eficaz como agente ingerible para tratar enfermedades en niños que en otras circunstancias obligaría a usar la vía parenteral. Sobre tal base, pudiera estar justificado el uso de una fluoroquinolona en circunstancias especiales después de una evaluación cuidadosa de los riesgos y beneficios para cada paciente individual. Las circunstancias en las que pudiera ser útil usar tal grupo de fármacos incluyen aquellas en que: 1) no se dispone de otro agente ingerible y ello obliga a la aplicación parenteral de otro medicamento y 2) la infección es causada por microorganismos resistentes a múltiples fármacos, gramnegativos, entéricos y otros patógenos, como serían algunas cepas de </w:t>
      </w:r>
      <w:r>
        <w:rPr>
          <w:rFonts w:ascii="Times New Roman" w:eastAsia="Times New Roman" w:hAnsi="Times New Roman" w:cs="Times New Roman"/>
          <w:i/>
          <w:iCs/>
          <w:color w:val="000000"/>
          <w:sz w:val="16"/>
          <w:szCs w:val="16"/>
        </w:rPr>
        <w:t xml:space="preserve">Pseudomonas </w:t>
      </w:r>
      <w:r>
        <w:rPr>
          <w:color w:val="000000"/>
        </w:rPr>
        <w:t xml:space="preserve">y </w:t>
      </w:r>
      <w:r>
        <w:rPr>
          <w:rFonts w:ascii="Times New Roman" w:eastAsia="Times New Roman" w:hAnsi="Times New Roman" w:cs="Times New Roman"/>
          <w:i/>
          <w:iCs/>
          <w:color w:val="000000"/>
          <w:sz w:val="16"/>
          <w:szCs w:val="16"/>
        </w:rPr>
        <w:t>Mycobacterium</w:t>
      </w:r>
      <w:r>
        <w:rPr>
          <w:i/>
          <w:iCs/>
          <w:color w:val="000000"/>
        </w:rPr>
        <w:t>.</w:t>
      </w:r>
      <w:r>
        <w:rPr>
          <w:color w:val="000000"/>
        </w:rPr>
        <w:t xml:space="preserve"> Por tales razones entre los posibles usos están:</w:t>
      </w:r>
    </w:p>
    <w:p w14:paraId="4C677995" w14:textId="77777777" w:rsidR="00924992" w:rsidRDefault="00924992">
      <w:pPr>
        <w:pStyle w:val="BodyText"/>
        <w:numPr>
          <w:ilvl w:val="0"/>
          <w:numId w:val="123"/>
        </w:numPr>
        <w:tabs>
          <w:tab w:val="left" w:pos="341"/>
        </w:tabs>
        <w:ind w:left="360" w:hanging="360"/>
      </w:pPr>
      <w:bookmarkStart w:id="212" w:name="bookmark1658"/>
      <w:bookmarkEnd w:id="212"/>
      <w:r>
        <w:rPr>
          <w:color w:val="000000"/>
        </w:rPr>
        <w:t>Para disminuir la incidencia o evolución de la enfermedad después de exposición a Bacillus anthracis en aerosol (véase “Carbunco”, sección 3)</w:t>
      </w:r>
    </w:p>
    <w:p w14:paraId="38B021B2" w14:textId="77777777" w:rsidR="00924992" w:rsidRDefault="00924992">
      <w:pPr>
        <w:pStyle w:val="BodyText"/>
        <w:numPr>
          <w:ilvl w:val="0"/>
          <w:numId w:val="123"/>
        </w:numPr>
        <w:tabs>
          <w:tab w:val="left" w:pos="341"/>
        </w:tabs>
        <w:ind w:left="360" w:hanging="360"/>
      </w:pPr>
      <w:bookmarkStart w:id="213" w:name="bookmark1659"/>
      <w:bookmarkEnd w:id="213"/>
      <w:r>
        <w:rPr>
          <w:color w:val="000000"/>
        </w:rPr>
        <w:t xml:space="preserve">Infección de vías urinarias causada por </w:t>
      </w:r>
      <w:r>
        <w:rPr>
          <w:rFonts w:ascii="Times New Roman" w:eastAsia="Times New Roman" w:hAnsi="Times New Roman" w:cs="Times New Roman"/>
          <w:i/>
          <w:iCs/>
          <w:color w:val="000000"/>
          <w:sz w:val="16"/>
          <w:szCs w:val="16"/>
        </w:rPr>
        <w:t>Pseudomonas aeruginosa</w:t>
      </w:r>
      <w:r>
        <w:rPr>
          <w:color w:val="000000"/>
        </w:rPr>
        <w:t xml:space="preserve"> u otras bacterias gramnegativas resistentes a múltiples fármacos</w:t>
      </w:r>
    </w:p>
    <w:p w14:paraId="580977F7" w14:textId="77777777" w:rsidR="00924992" w:rsidRDefault="00924992">
      <w:pPr>
        <w:pStyle w:val="BodyText"/>
        <w:numPr>
          <w:ilvl w:val="0"/>
          <w:numId w:val="123"/>
        </w:numPr>
        <w:tabs>
          <w:tab w:val="left" w:pos="341"/>
        </w:tabs>
        <w:ind w:firstLine="0"/>
      </w:pPr>
      <w:bookmarkStart w:id="214" w:name="bookmark1660"/>
      <w:bookmarkEnd w:id="214"/>
      <w:r>
        <w:rPr>
          <w:color w:val="000000"/>
        </w:rPr>
        <w:t>Otitis media crónica supurada u otitis externa maligna</w:t>
      </w:r>
    </w:p>
    <w:p w14:paraId="7E4C1173" w14:textId="77777777" w:rsidR="00924992" w:rsidRDefault="00924992">
      <w:pPr>
        <w:pStyle w:val="BodyText"/>
        <w:numPr>
          <w:ilvl w:val="0"/>
          <w:numId w:val="123"/>
        </w:numPr>
        <w:tabs>
          <w:tab w:val="left" w:pos="341"/>
        </w:tabs>
        <w:ind w:firstLine="0"/>
      </w:pPr>
      <w:bookmarkStart w:id="215" w:name="bookmark1661"/>
      <w:bookmarkEnd w:id="215"/>
      <w:r>
        <w:rPr>
          <w:color w:val="000000"/>
        </w:rPr>
        <w:t>Osteomielitis crónica</w:t>
      </w:r>
    </w:p>
    <w:p w14:paraId="474656FF" w14:textId="77777777" w:rsidR="00924992" w:rsidRDefault="00924992">
      <w:pPr>
        <w:pStyle w:val="BodyText"/>
        <w:numPr>
          <w:ilvl w:val="0"/>
          <w:numId w:val="123"/>
        </w:numPr>
        <w:tabs>
          <w:tab w:val="left" w:pos="341"/>
        </w:tabs>
        <w:ind w:firstLine="0"/>
      </w:pPr>
      <w:bookmarkStart w:id="216" w:name="bookmark1662"/>
      <w:bookmarkEnd w:id="216"/>
      <w:r>
        <w:rPr>
          <w:color w:val="000000"/>
        </w:rPr>
        <w:t>Exacerbación de fibrosis quística</w:t>
      </w:r>
    </w:p>
    <w:p w14:paraId="708455F7" w14:textId="77777777" w:rsidR="00924992" w:rsidRDefault="00924992">
      <w:pPr>
        <w:pStyle w:val="BodyText"/>
        <w:numPr>
          <w:ilvl w:val="0"/>
          <w:numId w:val="123"/>
        </w:numPr>
        <w:tabs>
          <w:tab w:val="left" w:pos="341"/>
        </w:tabs>
        <w:ind w:firstLine="0"/>
      </w:pPr>
      <w:bookmarkStart w:id="217" w:name="bookmark1663"/>
      <w:bookmarkEnd w:id="217"/>
      <w:r>
        <w:rPr>
          <w:color w:val="000000"/>
        </w:rPr>
        <w:t>Infecciones por micobacterias</w:t>
      </w:r>
    </w:p>
    <w:p w14:paraId="1FE2E310" w14:textId="77777777" w:rsidR="00924992" w:rsidRDefault="00924992">
      <w:pPr>
        <w:pStyle w:val="BodyText"/>
        <w:numPr>
          <w:ilvl w:val="0"/>
          <w:numId w:val="123"/>
        </w:numPr>
        <w:tabs>
          <w:tab w:val="left" w:pos="341"/>
        </w:tabs>
        <w:ind w:left="360" w:hanging="360"/>
      </w:pPr>
      <w:bookmarkStart w:id="218" w:name="bookmark1664"/>
      <w:bookmarkEnd w:id="218"/>
      <w:r>
        <w:rPr>
          <w:color w:val="000000"/>
        </w:rPr>
        <w:t>Otras infecciones por bacterias gramnegativas en hospedadores inmunodeficientes en que conviene por largo tiempo la terapia oral</w:t>
      </w:r>
    </w:p>
    <w:p w14:paraId="5E2D99E1" w14:textId="77777777" w:rsidR="00924992" w:rsidRDefault="00924992">
      <w:pPr>
        <w:pStyle w:val="BodyText"/>
        <w:spacing w:after="100"/>
        <w:ind w:firstLine="360"/>
      </w:pPr>
      <w:r>
        <w:rPr>
          <w:color w:val="000000"/>
        </w:rPr>
        <w:t>Tal vez la FDA apruebe una o más fluoroquinolonas para usar en niños, pero con indicaciones limitadas. Mientras tanto, si es recomendable emplear una fluoroquinolona en una persona menor de 18 años, habrá que explicarle a él y a sus padres los riesgos y beneficios de tal decisión.</w:t>
      </w:r>
    </w:p>
    <w:p w14:paraId="16752801" w14:textId="77777777" w:rsidR="00924992" w:rsidRDefault="00924992">
      <w:pPr>
        <w:pStyle w:val="Bodytext70"/>
      </w:pPr>
      <w:r>
        <w:rPr>
          <w:color w:val="000000"/>
        </w:rPr>
        <w:t>Tetraciclinas</w:t>
      </w:r>
    </w:p>
    <w:p w14:paraId="278C6AFB" w14:textId="77777777" w:rsidR="00924992" w:rsidRDefault="00924992">
      <w:pPr>
        <w:pStyle w:val="BodyText"/>
        <w:ind w:firstLine="0"/>
      </w:pPr>
      <w:r>
        <w:rPr>
          <w:color w:val="000000"/>
        </w:rPr>
        <w:t>El uso de tetraciclinas en niños ha sido escaso porque pueden manchar permanentemente la dentadura en quienes tienen menos de ocho años de vida. Algunos estudios han corroborado que las tetraciclinas y sus productos cromáticos de degradación que se adhieren a los dientes, aparecen en la dentina y se incorporan de manera difusa en el esmalte. Al parecer, el lapso crítico para que se manifiesten los efectos de tales fármacos es el periodo de odontogénesis hasta que se termina de formar el esmalte en los dientes permanentes, y que concluye prácticamente a los ocho años de vida, fecha después de la cual se pueden administrar las tetraciclinas sin que surja la preocupación por las manchas dentales. El grado de discromía al parecer depende de la dosis y la duración del tratamiento y el factor más importante es la dosis total recibida. Además de las manchas en los dientes, las tetraciclinas pueden ocasionar hipoplasia del esmalte y un retardo reversible en la rapidez de crecimiento óseo.</w:t>
      </w:r>
    </w:p>
    <w:p w14:paraId="50F0F700" w14:textId="77777777" w:rsidR="00924992" w:rsidRDefault="00924992">
      <w:pPr>
        <w:pStyle w:val="BodyText"/>
        <w:spacing w:after="160"/>
        <w:ind w:firstLine="360"/>
      </w:pPr>
      <w:r>
        <w:rPr>
          <w:color w:val="000000"/>
        </w:rPr>
        <w:t>Estas reacciones adversas posibles han hecho que se recurra a otros antimicrobianos igualmente eficaces en casi todas las circunstancias en niños de corta edad en que posiblemente las tetraciclinas sean eficaces. Sin embargo, en algunas situaciones los beneficios de administrar una tetraciclina pueden ser mayores que los riesgos, en particular si los otros fármacos se acompañan de notables efectos adversos o pudieran ser menos eficaces. En tales casos, se justifica usar las tetraciclinas en niños de corta edad; entre los ejemplos estarían las rickettsiosis letales como la fiebre maculada de las</w:t>
      </w:r>
    </w:p>
    <w:p w14:paraId="47409058" w14:textId="77777777" w:rsidR="00924992" w:rsidRDefault="00924992">
      <w:pPr>
        <w:pStyle w:val="BodyText"/>
        <w:ind w:firstLine="360"/>
      </w:pPr>
      <w:r>
        <w:rPr>
          <w:color w:val="000000"/>
        </w:rPr>
        <w:t xml:space="preserve">Hasta la fecha, la ciprofloxacina es la fluoroquinolona más utilizada en niños (predominantemente en adolescentes). Con base en la experiencia relativamente escasa, dicho fármaco al parecer es tolerado de modo satisfactorio, no causa artropatía y es eficaz como agente ingerible para tratar enfermedades en niños que en otras circunstancias obligaría a usar la vía parenteral. Sobre tal base, pudiera estar justificado el uso de una fluoroquinolona en circunstancias especiales después de una evaluación cuidadosa de los riesgos y beneficios para cada paciente individual. Las circunstancias en las que pudiera ser útil usar tal grupo de fármacos incluyen aquellas en que: 1) no se dispone de otro agente ingerible y ello obliga a la aplicación parenteral de otro medicamento y 2) la infección es causada por microorganismos resistentes a múltiples fármacos, gramnegativos, entéricos y otros patógenos, como serían algunas cepas de </w:t>
      </w:r>
      <w:r>
        <w:rPr>
          <w:rFonts w:ascii="Times New Roman" w:eastAsia="Times New Roman" w:hAnsi="Times New Roman" w:cs="Times New Roman"/>
          <w:i/>
          <w:iCs/>
          <w:color w:val="000000"/>
          <w:sz w:val="16"/>
          <w:szCs w:val="16"/>
        </w:rPr>
        <w:t xml:space="preserve">Pseudomonas </w:t>
      </w:r>
      <w:r>
        <w:rPr>
          <w:color w:val="000000"/>
        </w:rPr>
        <w:t xml:space="preserve">y </w:t>
      </w:r>
      <w:r>
        <w:rPr>
          <w:rFonts w:ascii="Times New Roman" w:eastAsia="Times New Roman" w:hAnsi="Times New Roman" w:cs="Times New Roman"/>
          <w:i/>
          <w:iCs/>
          <w:color w:val="000000"/>
          <w:sz w:val="16"/>
          <w:szCs w:val="16"/>
        </w:rPr>
        <w:t>Mycobacterium</w:t>
      </w:r>
      <w:r>
        <w:rPr>
          <w:i/>
          <w:iCs/>
          <w:color w:val="000000"/>
        </w:rPr>
        <w:t>.</w:t>
      </w:r>
      <w:r>
        <w:rPr>
          <w:color w:val="000000"/>
        </w:rPr>
        <w:t xml:space="preserve"> Por tales razones entre los posibles usos están:</w:t>
      </w:r>
    </w:p>
    <w:p w14:paraId="12EE558A" w14:textId="77777777" w:rsidR="00924992" w:rsidRDefault="00924992">
      <w:pPr>
        <w:pStyle w:val="BodyText"/>
        <w:numPr>
          <w:ilvl w:val="0"/>
          <w:numId w:val="123"/>
        </w:numPr>
        <w:tabs>
          <w:tab w:val="left" w:pos="341"/>
        </w:tabs>
        <w:ind w:left="360" w:hanging="360"/>
      </w:pPr>
      <w:bookmarkStart w:id="219" w:name="bookmark1665"/>
      <w:bookmarkEnd w:id="219"/>
      <w:r>
        <w:rPr>
          <w:color w:val="000000"/>
        </w:rPr>
        <w:t>Para disminuir la incidencia o evolución de la enfermedad después de exposición a Bacillus anthracis en aerosol (véase “Carbunco”, sección 3)</w:t>
      </w:r>
    </w:p>
    <w:p w14:paraId="5C54533E" w14:textId="77777777" w:rsidR="00924992" w:rsidRDefault="00924992">
      <w:pPr>
        <w:pStyle w:val="BodyText"/>
        <w:numPr>
          <w:ilvl w:val="0"/>
          <w:numId w:val="123"/>
        </w:numPr>
        <w:tabs>
          <w:tab w:val="left" w:pos="341"/>
        </w:tabs>
        <w:ind w:left="360" w:hanging="360"/>
      </w:pPr>
      <w:bookmarkStart w:id="220" w:name="bookmark1666"/>
      <w:bookmarkEnd w:id="220"/>
      <w:r>
        <w:rPr>
          <w:color w:val="000000"/>
        </w:rPr>
        <w:t xml:space="preserve">Infección de vías urinarias causada por </w:t>
      </w:r>
      <w:r>
        <w:rPr>
          <w:rFonts w:ascii="Times New Roman" w:eastAsia="Times New Roman" w:hAnsi="Times New Roman" w:cs="Times New Roman"/>
          <w:i/>
          <w:iCs/>
          <w:color w:val="000000"/>
          <w:sz w:val="16"/>
          <w:szCs w:val="16"/>
        </w:rPr>
        <w:t>Pseudomonas aeruginosa</w:t>
      </w:r>
      <w:r>
        <w:rPr>
          <w:color w:val="000000"/>
        </w:rPr>
        <w:t xml:space="preserve"> u otras bacterias gramnegativas resistentes a múltiples fármacos</w:t>
      </w:r>
    </w:p>
    <w:p w14:paraId="2A0A4FA3" w14:textId="77777777" w:rsidR="00924992" w:rsidRDefault="00924992">
      <w:pPr>
        <w:pStyle w:val="BodyText"/>
        <w:numPr>
          <w:ilvl w:val="0"/>
          <w:numId w:val="123"/>
        </w:numPr>
        <w:tabs>
          <w:tab w:val="left" w:pos="341"/>
        </w:tabs>
        <w:ind w:firstLine="0"/>
      </w:pPr>
      <w:bookmarkStart w:id="221" w:name="bookmark1667"/>
      <w:bookmarkEnd w:id="221"/>
      <w:r>
        <w:rPr>
          <w:color w:val="000000"/>
        </w:rPr>
        <w:t>Otitis media crónica supurada u otitis externa maligna</w:t>
      </w:r>
    </w:p>
    <w:p w14:paraId="689DD915" w14:textId="77777777" w:rsidR="00924992" w:rsidRDefault="00924992">
      <w:pPr>
        <w:pStyle w:val="BodyText"/>
        <w:numPr>
          <w:ilvl w:val="0"/>
          <w:numId w:val="123"/>
        </w:numPr>
        <w:tabs>
          <w:tab w:val="left" w:pos="341"/>
        </w:tabs>
        <w:ind w:firstLine="0"/>
      </w:pPr>
      <w:bookmarkStart w:id="222" w:name="bookmark1668"/>
      <w:bookmarkEnd w:id="222"/>
      <w:r>
        <w:rPr>
          <w:color w:val="000000"/>
        </w:rPr>
        <w:t>Osteomielitis crónica</w:t>
      </w:r>
    </w:p>
    <w:p w14:paraId="0A9DF5AA" w14:textId="77777777" w:rsidR="00924992" w:rsidRDefault="00924992">
      <w:pPr>
        <w:pStyle w:val="BodyText"/>
        <w:numPr>
          <w:ilvl w:val="0"/>
          <w:numId w:val="123"/>
        </w:numPr>
        <w:tabs>
          <w:tab w:val="left" w:pos="341"/>
        </w:tabs>
        <w:ind w:firstLine="0"/>
      </w:pPr>
      <w:bookmarkStart w:id="223" w:name="bookmark1669"/>
      <w:bookmarkEnd w:id="223"/>
      <w:r>
        <w:rPr>
          <w:color w:val="000000"/>
        </w:rPr>
        <w:t>Exacerbación de fibrosis quística</w:t>
      </w:r>
    </w:p>
    <w:p w14:paraId="68E637F9" w14:textId="77777777" w:rsidR="00924992" w:rsidRDefault="00924992">
      <w:pPr>
        <w:pStyle w:val="BodyText"/>
        <w:numPr>
          <w:ilvl w:val="0"/>
          <w:numId w:val="123"/>
        </w:numPr>
        <w:tabs>
          <w:tab w:val="left" w:pos="341"/>
        </w:tabs>
        <w:ind w:firstLine="0"/>
      </w:pPr>
      <w:bookmarkStart w:id="224" w:name="bookmark1670"/>
      <w:bookmarkEnd w:id="224"/>
      <w:r>
        <w:rPr>
          <w:color w:val="000000"/>
        </w:rPr>
        <w:t>Infecciones por micobacterias</w:t>
      </w:r>
    </w:p>
    <w:p w14:paraId="62FE34A8" w14:textId="77777777" w:rsidR="00924992" w:rsidRDefault="00924992">
      <w:pPr>
        <w:pStyle w:val="BodyText"/>
        <w:numPr>
          <w:ilvl w:val="0"/>
          <w:numId w:val="123"/>
        </w:numPr>
        <w:tabs>
          <w:tab w:val="left" w:pos="341"/>
        </w:tabs>
        <w:ind w:left="360" w:hanging="360"/>
      </w:pPr>
      <w:bookmarkStart w:id="225" w:name="bookmark1671"/>
      <w:bookmarkEnd w:id="225"/>
      <w:r>
        <w:rPr>
          <w:color w:val="000000"/>
        </w:rPr>
        <w:t>Otras infecciones por bacterias gramnegativas en hospedadores inmunodeficientes en que conviene por largo tiempo la terapia oral</w:t>
      </w:r>
    </w:p>
    <w:p w14:paraId="4D36EBC5" w14:textId="77777777" w:rsidR="00924992" w:rsidRDefault="00924992">
      <w:pPr>
        <w:pStyle w:val="BodyText"/>
        <w:spacing w:after="100"/>
        <w:ind w:firstLine="360"/>
      </w:pPr>
      <w:r>
        <w:rPr>
          <w:color w:val="000000"/>
        </w:rPr>
        <w:t>Tal vez la FDA apruebe una o más fluoroquinolonas para usar en niños, pero con indicaciones limitadas. Mientras tanto, si es recomendable emplear una fluoroquinolona en una persona menor de 18 años, habrá que explicarle a él y a sus padres los riesgos y beneficios de tal decisión.</w:t>
      </w:r>
    </w:p>
    <w:p w14:paraId="4EFFBD22" w14:textId="77777777" w:rsidR="00924992" w:rsidRDefault="00924992">
      <w:pPr>
        <w:pStyle w:val="Bodytext70"/>
      </w:pPr>
      <w:r>
        <w:rPr>
          <w:color w:val="000000"/>
        </w:rPr>
        <w:t>Tetraciclinas</w:t>
      </w:r>
    </w:p>
    <w:p w14:paraId="44078FA7" w14:textId="77777777" w:rsidR="00924992" w:rsidRDefault="00924992">
      <w:pPr>
        <w:pStyle w:val="BodyText"/>
        <w:ind w:firstLine="0"/>
      </w:pPr>
      <w:r>
        <w:rPr>
          <w:color w:val="000000"/>
        </w:rPr>
        <w:t>El uso de tetraciclinas en niños ha sido escaso porque pueden manchar permanentemente la dentadura en quienes tienen menos de ocho años de vida. Algunos estudios han corroborado que las tetraciclinas y sus productos cromáticos de degradación que se adhieren a los dientes, aparecen en la dentina y se incorporan de manera difusa en el esmalte. Al parecer, el lapso crítico para que se manifiesten los efectos de tales fármacos es el periodo de odontogénesis hasta que se termina de formar el esmalte en los dientes permanentes, y que concluye prácticamente a los ocho años de vida, fecha después de la cual se pueden administrar las tetraciclinas sin que surja la preocupación por las manchas dentales. El grado de discromía al parecer depende de la dosis y la duración del tratamiento y el factor más importante es la dosis total recibida. Además de las manchas en los dientes, las tetraciclinas pueden ocasionar hipoplasia del esmalte y un retardo reversible en la rapidez de crecimiento óseo.</w:t>
      </w:r>
    </w:p>
    <w:p w14:paraId="711ECC63" w14:textId="77777777" w:rsidR="00924992" w:rsidRDefault="00924992">
      <w:pPr>
        <w:pStyle w:val="BodyText"/>
        <w:spacing w:after="160"/>
        <w:ind w:firstLine="360"/>
        <w:sectPr w:rsidR="00924992" w:rsidSect="00924992">
          <w:headerReference w:type="even" r:id="rId214"/>
          <w:headerReference w:type="default" r:id="rId215"/>
          <w:footerReference w:type="even" r:id="rId216"/>
          <w:footerReference w:type="default" r:id="rId217"/>
          <w:footnotePr>
            <w:numFmt w:val="chicago"/>
          </w:footnotePr>
          <w:type w:val="continuous"/>
          <w:pgSz w:w="8501" w:h="13022"/>
          <w:pgMar w:top="905" w:right="722" w:bottom="521" w:left="910" w:header="0" w:footer="93" w:gutter="0"/>
          <w:cols w:space="720"/>
          <w:noEndnote/>
          <w:docGrid w:linePitch="360"/>
          <w15:footnoteColumns w:val="1"/>
        </w:sectPr>
      </w:pPr>
      <w:r>
        <w:rPr>
          <w:color w:val="000000"/>
        </w:rPr>
        <w:t>Estas reacciones adversas posibles han hecho que se recurra a otros antimicrobianos igualmente eficaces en casi todas las circunstancias en niños de corta edad en que posiblemente las tetraciclinas sean eficaces. Sin embargo, en algunas situaciones los beneficios de administrar una tetraciclina pueden ser mayores que los riesgos, en particular si los otros fármacos se acompañan de notables efectos adversos o pudieran ser menos eficaces. En tales casos, se justifica usar las tetraciclinas en niños de corta edad; entre los ejemplos estarían las rickettsiosis letales como la fiebre maculada de las</w:t>
      </w:r>
    </w:p>
    <w:p w14:paraId="4593E02F" w14:textId="77777777" w:rsidR="00924992" w:rsidRDefault="00924992">
      <w:pPr>
        <w:pStyle w:val="BodyText"/>
        <w:spacing w:after="560"/>
        <w:ind w:firstLine="0"/>
      </w:pPr>
      <w:r>
        <w:rPr>
          <w:color w:val="000000"/>
        </w:rPr>
        <w:t xml:space="preserve">Montañas Rocosas (véase “Rocosas, fiebre maculada de las Montañas”, sección 3) e infecciones por Ehrlichia (véase </w:t>
      </w:r>
      <w:r>
        <w:rPr>
          <w:i/>
          <w:iCs/>
          <w:color w:val="000000"/>
        </w:rPr>
        <w:t>“</w:t>
      </w:r>
      <w:r>
        <w:rPr>
          <w:rFonts w:ascii="Times New Roman" w:eastAsia="Times New Roman" w:hAnsi="Times New Roman" w:cs="Times New Roman"/>
          <w:i/>
          <w:iCs/>
          <w:color w:val="000000"/>
          <w:sz w:val="16"/>
          <w:szCs w:val="16"/>
        </w:rPr>
        <w:t>Ehrlichia</w:t>
      </w:r>
      <w:r>
        <w:rPr>
          <w:i/>
          <w:iCs/>
          <w:color w:val="000000"/>
        </w:rPr>
        <w:t>,</w:t>
      </w:r>
      <w:r>
        <w:rPr>
          <w:color w:val="000000"/>
        </w:rPr>
        <w:t xml:space="preserve"> infecciones”, sección 3), el cólera (véase “Cólera” en Vibriones, infecciones, sección 3) y el carbunco (véase “Carbunco”, sección 3). La doxiciclina suele ser el agente más indicado en niños con tales infecciones porque con ella es menor el peligro de que se manchen los dientes que con las demás tetraciclinas. Además, dicho fármaco se administra sólo dos veces al día a diferencia de los regímenes con administración más frecuente, que se usan con otras tetraciclinas.</w:t>
      </w:r>
    </w:p>
    <w:p w14:paraId="550C4C68" w14:textId="77777777" w:rsidR="00924992" w:rsidRDefault="00924992">
      <w:pPr>
        <w:pStyle w:val="Bodytext100"/>
        <w:spacing w:line="202" w:lineRule="auto"/>
      </w:pPr>
      <w:r>
        <w:rPr>
          <w:color w:val="000000"/>
          <w:sz w:val="34"/>
          <w:szCs w:val="34"/>
        </w:rPr>
        <w:t>U</w:t>
      </w:r>
      <w:r>
        <w:rPr>
          <w:color w:val="000000"/>
        </w:rPr>
        <w:t>so apropiado de antimicrobianos</w:t>
      </w:r>
    </w:p>
    <w:p w14:paraId="53DC09BF" w14:textId="77777777" w:rsidR="00924992" w:rsidRDefault="00924992">
      <w:pPr>
        <w:pStyle w:val="BodyText"/>
        <w:spacing w:after="240"/>
        <w:ind w:firstLine="0"/>
      </w:pPr>
      <w:r>
        <w:rPr>
          <w:color w:val="000000"/>
        </w:rPr>
        <w:t xml:space="preserve">La prevalencia cada vez mayor de resistencia a los antimicrobianos es un aspecto de enorme preocupación para los pacientes y los profesionales asistenciales. En raras ocasiones es imposible tratar con los agentes disponibles patógenos altamente resistentes como </w:t>
      </w:r>
      <w:r>
        <w:rPr>
          <w:rFonts w:ascii="Times New Roman" w:eastAsia="Times New Roman" w:hAnsi="Times New Roman" w:cs="Times New Roman"/>
          <w:i/>
          <w:iCs/>
          <w:color w:val="000000"/>
          <w:sz w:val="16"/>
          <w:szCs w:val="16"/>
        </w:rPr>
        <w:t>Burkholderia cepacia, Staphylococcus aureus</w:t>
      </w:r>
      <w:r>
        <w:rPr>
          <w:color w:val="000000"/>
        </w:rPr>
        <w:t xml:space="preserve"> o </w:t>
      </w:r>
      <w:r>
        <w:rPr>
          <w:rFonts w:ascii="Times New Roman" w:eastAsia="Times New Roman" w:hAnsi="Times New Roman" w:cs="Times New Roman"/>
          <w:i/>
          <w:iCs/>
          <w:color w:val="000000"/>
          <w:sz w:val="16"/>
          <w:szCs w:val="16"/>
        </w:rPr>
        <w:t>Enterococcus faecium.</w:t>
      </w:r>
      <w:r>
        <w:rPr>
          <w:color w:val="000000"/>
        </w:rPr>
        <w:t xml:space="preserve"> Más a menudo la presencia de patógenos resistentes complica el tratamiento, incrementa los gastos y vuelve más probable la ineficacia terapéutica. Algunos patógenos resistentes presentes en alimentos, como </w:t>
      </w:r>
      <w:r>
        <w:rPr>
          <w:rFonts w:ascii="Times New Roman" w:eastAsia="Times New Roman" w:hAnsi="Times New Roman" w:cs="Times New Roman"/>
          <w:i/>
          <w:iCs/>
          <w:color w:val="000000"/>
          <w:sz w:val="16"/>
          <w:szCs w:val="16"/>
        </w:rPr>
        <w:t>Campylobacter jejuni</w:t>
      </w:r>
      <w:r>
        <w:rPr>
          <w:color w:val="000000"/>
        </w:rPr>
        <w:t xml:space="preserve"> resistente a fluoroquinolonas; patógenos de origen comunitario como </w:t>
      </w:r>
      <w:r>
        <w:rPr>
          <w:rFonts w:ascii="Times New Roman" w:eastAsia="Times New Roman" w:hAnsi="Times New Roman" w:cs="Times New Roman"/>
          <w:i/>
          <w:iCs/>
          <w:color w:val="000000"/>
          <w:sz w:val="16"/>
          <w:szCs w:val="16"/>
        </w:rPr>
        <w:t>Streptococcus pneumoniae</w:t>
      </w:r>
      <w:r>
        <w:rPr>
          <w:color w:val="000000"/>
        </w:rPr>
        <w:t xml:space="preserve"> farmacorresistente, y patógenos de origen nosocomial como los enterococos resistentes a vancomicina, poseen características epidemiológicas peculiares y en ellos se necesitan medidas específicas de erradicación. Las campañas para controlar la resistencia a antimicrobianos entre los patógenos presentes en alimentos se ha orientado a técnicas como la radiación de productos alimenticios antes de su consumo y menor adición de antimicrobianos a alimentos para animales. Entre los patógenos de origen comunitario y de extracción nosocomial, el abuso de antimicrobianos por parte de seres humanos en gran medida es la explicación del incremento de la resistencia. Los principios que se indican a continuación para el uso apropiado de antimicrobianos han constituido un punto básico de las medidas sanitarias públicas para combatir la propagación de microorganismos resistentes.</w:t>
      </w:r>
    </w:p>
    <w:p w14:paraId="3B6EC7AB" w14:textId="77777777" w:rsidR="00924992" w:rsidRDefault="00924992">
      <w:pPr>
        <w:pStyle w:val="Bodytext70"/>
        <w:spacing w:line="214" w:lineRule="auto"/>
      </w:pPr>
      <w:r>
        <w:rPr>
          <w:color w:val="000000"/>
        </w:rPr>
        <w:t>Principios de uso apropiado en infecciones de vías respiratorias altas</w:t>
      </w:r>
    </w:p>
    <w:p w14:paraId="23EEB873" w14:textId="77777777" w:rsidR="00924992" w:rsidRDefault="00924992">
      <w:pPr>
        <w:pStyle w:val="BodyText"/>
        <w:spacing w:after="240" w:line="276" w:lineRule="auto"/>
        <w:ind w:firstLine="0"/>
        <w:rPr>
          <w:sz w:val="16"/>
          <w:szCs w:val="16"/>
        </w:rPr>
      </w:pPr>
      <w:r>
        <w:rPr>
          <w:color w:val="000000"/>
        </w:rPr>
        <w:t xml:space="preserve">En promedio, 75% de todas las recetas extrahospitalarias para niños se formulan contra cinco enfermedades: otitis media, sinusitis, cuadros de tos/bronquitis, faringitis e infecciones inespecíficas de vías respiratorias altas (resfriado común). Los médicos han señalado que muchos pacientes y sus padres tratan de persuadirlos para que les receten algunos antimicrobianos no necesarios. Los menores tratados con tales agentes están expuestos a un mayor peligro de tornarse portadores de bacterias resistentes, incluidos </w:t>
      </w:r>
      <w:r>
        <w:rPr>
          <w:rFonts w:ascii="Times New Roman" w:eastAsia="Times New Roman" w:hAnsi="Times New Roman" w:cs="Times New Roman"/>
          <w:i/>
          <w:iCs/>
          <w:color w:val="000000"/>
          <w:sz w:val="16"/>
          <w:szCs w:val="16"/>
        </w:rPr>
        <w:t>S. pneumoniae</w:t>
      </w:r>
      <w:r>
        <w:rPr>
          <w:color w:val="000000"/>
        </w:rPr>
        <w:t xml:space="preserve"> y </w:t>
      </w:r>
      <w:r>
        <w:rPr>
          <w:rFonts w:ascii="Times New Roman" w:eastAsia="Times New Roman" w:hAnsi="Times New Roman" w:cs="Times New Roman"/>
          <w:i/>
          <w:iCs/>
          <w:color w:val="000000"/>
          <w:sz w:val="16"/>
          <w:szCs w:val="16"/>
        </w:rPr>
        <w:t>Haemophilus influenzae</w:t>
      </w:r>
      <w:r>
        <w:rPr>
          <w:color w:val="000000"/>
        </w:rPr>
        <w:t xml:space="preserve">. La persona que porta una cepa resistente y que termina por mostrar la enfermedad por ella tiene mayor posibilidad de que los antimicrobianos sean ineficaces. En tales situaciones, como la otitis media con derrame, se recomienda un lapso de observación sin el uso de antimicrobianos, los cuales no están indicados en otros cuadros como el resfriado común o la tos. Los principios que se expondrán a continuación, con pruebas de apoyo detalladas, fueron publicados en Estados Unidos por la </w:t>
      </w:r>
      <w:r>
        <w:rPr>
          <w:rFonts w:ascii="Times New Roman" w:eastAsia="Times New Roman" w:hAnsi="Times New Roman" w:cs="Times New Roman"/>
          <w:i/>
          <w:iCs/>
          <w:color w:val="000000"/>
          <w:sz w:val="16"/>
          <w:szCs w:val="16"/>
        </w:rPr>
        <w:t>American Academy of Pediatrics, American Academy of Family</w:t>
      </w:r>
    </w:p>
    <w:p w14:paraId="1826D8A4" w14:textId="77777777" w:rsidR="00924992" w:rsidRDefault="00924992">
      <w:pPr>
        <w:pStyle w:val="BodyText"/>
        <w:spacing w:after="560"/>
        <w:ind w:firstLine="0"/>
      </w:pPr>
      <w:r>
        <w:rPr>
          <w:color w:val="000000"/>
        </w:rPr>
        <w:t xml:space="preserve">Montañas Rocosas (véase “Rocosas, fiebre maculada de las Montañas”, sección 3) e infecciones por Ehrlichia (véase </w:t>
      </w:r>
      <w:r>
        <w:rPr>
          <w:i/>
          <w:iCs/>
          <w:color w:val="000000"/>
        </w:rPr>
        <w:t>“</w:t>
      </w:r>
      <w:r>
        <w:rPr>
          <w:rFonts w:ascii="Times New Roman" w:eastAsia="Times New Roman" w:hAnsi="Times New Roman" w:cs="Times New Roman"/>
          <w:i/>
          <w:iCs/>
          <w:color w:val="000000"/>
          <w:sz w:val="16"/>
          <w:szCs w:val="16"/>
        </w:rPr>
        <w:t>Ehrlichia</w:t>
      </w:r>
      <w:r>
        <w:rPr>
          <w:i/>
          <w:iCs/>
          <w:color w:val="000000"/>
        </w:rPr>
        <w:t>,</w:t>
      </w:r>
      <w:r>
        <w:rPr>
          <w:color w:val="000000"/>
        </w:rPr>
        <w:t xml:space="preserve"> infecciones”, sección 3), el cólera (véase “Cólera” en Vibriones, infecciones, sección 3) y el carbunco (véase “Carbunco”, sección 3). La doxiciclina suele ser el agente más indicado en niños con tales infecciones porque con ella es menor el peligro de que se manchen los dientes que con las demás tetraciclinas. Además, dicho fármaco se administra sólo dos veces al día a diferencia de los regímenes con administración más frecuente, que se usan con otras tetraciclinas.</w:t>
      </w:r>
    </w:p>
    <w:p w14:paraId="2551BC49" w14:textId="77777777" w:rsidR="00924992" w:rsidRDefault="00924992">
      <w:pPr>
        <w:pStyle w:val="Bodytext100"/>
        <w:spacing w:line="202" w:lineRule="auto"/>
      </w:pPr>
      <w:r>
        <w:rPr>
          <w:color w:val="000000"/>
          <w:sz w:val="34"/>
          <w:szCs w:val="34"/>
        </w:rPr>
        <w:t>U</w:t>
      </w:r>
      <w:r>
        <w:rPr>
          <w:color w:val="000000"/>
        </w:rPr>
        <w:t>so apropiado de antimicrobianos</w:t>
      </w:r>
    </w:p>
    <w:p w14:paraId="4BB0F28B" w14:textId="77777777" w:rsidR="00924992" w:rsidRDefault="00924992">
      <w:pPr>
        <w:pStyle w:val="BodyText"/>
        <w:spacing w:after="240"/>
        <w:ind w:firstLine="0"/>
      </w:pPr>
      <w:r>
        <w:rPr>
          <w:color w:val="000000"/>
        </w:rPr>
        <w:t xml:space="preserve">La prevalencia cada vez mayor de resistencia a los antimicrobianos es un aspecto de enorme preocupación para los pacientes y los profesionales asistenciales. En raras ocasiones es imposible tratar con los agentes disponibles patógenos altamente resistentes como </w:t>
      </w:r>
      <w:r>
        <w:rPr>
          <w:rFonts w:ascii="Times New Roman" w:eastAsia="Times New Roman" w:hAnsi="Times New Roman" w:cs="Times New Roman"/>
          <w:i/>
          <w:iCs/>
          <w:color w:val="000000"/>
          <w:sz w:val="16"/>
          <w:szCs w:val="16"/>
        </w:rPr>
        <w:t>Burkholderia cepacia, Staphylococcus aureus</w:t>
      </w:r>
      <w:r>
        <w:rPr>
          <w:color w:val="000000"/>
        </w:rPr>
        <w:t xml:space="preserve"> o </w:t>
      </w:r>
      <w:r>
        <w:rPr>
          <w:rFonts w:ascii="Times New Roman" w:eastAsia="Times New Roman" w:hAnsi="Times New Roman" w:cs="Times New Roman"/>
          <w:i/>
          <w:iCs/>
          <w:color w:val="000000"/>
          <w:sz w:val="16"/>
          <w:szCs w:val="16"/>
        </w:rPr>
        <w:t>Enterococcus faecium.</w:t>
      </w:r>
      <w:r>
        <w:rPr>
          <w:color w:val="000000"/>
        </w:rPr>
        <w:t xml:space="preserve"> Más a menudo la presencia de patógenos resistentes complica el tratamiento, incrementa los gastos y vuelve más probable la ineficacia terapéutica. Algunos patógenos resistentes presentes en alimentos, como </w:t>
      </w:r>
      <w:r>
        <w:rPr>
          <w:rFonts w:ascii="Times New Roman" w:eastAsia="Times New Roman" w:hAnsi="Times New Roman" w:cs="Times New Roman"/>
          <w:i/>
          <w:iCs/>
          <w:color w:val="000000"/>
          <w:sz w:val="16"/>
          <w:szCs w:val="16"/>
        </w:rPr>
        <w:t>Campylobacter jejuni</w:t>
      </w:r>
      <w:r>
        <w:rPr>
          <w:color w:val="000000"/>
        </w:rPr>
        <w:t xml:space="preserve"> resistente a fluoroquinolonas; patógenos de origen comunitario como </w:t>
      </w:r>
      <w:r>
        <w:rPr>
          <w:rFonts w:ascii="Times New Roman" w:eastAsia="Times New Roman" w:hAnsi="Times New Roman" w:cs="Times New Roman"/>
          <w:i/>
          <w:iCs/>
          <w:color w:val="000000"/>
          <w:sz w:val="16"/>
          <w:szCs w:val="16"/>
        </w:rPr>
        <w:t>Streptococcus pneumoniae</w:t>
      </w:r>
      <w:r>
        <w:rPr>
          <w:color w:val="000000"/>
        </w:rPr>
        <w:t xml:space="preserve"> farmacorresistente, y patógenos de origen nosocomial como los enterococos resistentes a vancomicina, poseen características epidemiológicas peculiares y en ellos se necesitan medidas específicas de erradicación. Las campañas para controlar la resistencia a antimicrobianos entre los patógenos presentes en alimentos se ha orientado a técnicas como la radiación de productos alimenticios antes de su consumo y menor adición de antimicrobianos a alimentos para animales. Entre los patógenos de origen comunitario y de extracción nosocomial, el abuso de antimicrobianos por parte de seres humanos en gran medida es la explicación del incremento de la resistencia. Los principios que se indican a continuación para el uso apropiado de antimicrobianos han constituido un punto básico de las medidas sanitarias públicas para combatir la propagación de microorganismos resistentes.</w:t>
      </w:r>
    </w:p>
    <w:p w14:paraId="5E5596E9" w14:textId="77777777" w:rsidR="00924992" w:rsidRDefault="00924992">
      <w:pPr>
        <w:pStyle w:val="Bodytext70"/>
        <w:spacing w:line="214" w:lineRule="auto"/>
      </w:pPr>
      <w:r>
        <w:rPr>
          <w:color w:val="000000"/>
        </w:rPr>
        <w:t>Principios de uso apropiado en infecciones de vías respiratorias altas</w:t>
      </w:r>
    </w:p>
    <w:p w14:paraId="148B4F60" w14:textId="77777777" w:rsidR="00924992" w:rsidRDefault="00924992">
      <w:pPr>
        <w:pStyle w:val="BodyText"/>
        <w:spacing w:after="240" w:line="276" w:lineRule="auto"/>
        <w:ind w:firstLine="0"/>
        <w:rPr>
          <w:sz w:val="16"/>
          <w:szCs w:val="16"/>
        </w:rPr>
      </w:pPr>
      <w:r>
        <w:rPr>
          <w:color w:val="000000"/>
        </w:rPr>
        <w:t xml:space="preserve">En promedio, 75% de todas las recetas extrahospitalarias para niños se formulan contra cinco enfermedades: otitis media, sinusitis, cuadros de tos/bronquitis, faringitis e infecciones inespecíficas de vías respiratorias altas (resfriado común). Los médicos han señalado que muchos pacientes y sus padres tratan de persuadirlos para que les receten algunos antimicrobianos no necesarios. Los menores tratados con tales agentes están expuestos a un mayor peligro de tornarse portadores de bacterias resistentes, incluidos </w:t>
      </w:r>
      <w:r>
        <w:rPr>
          <w:rFonts w:ascii="Times New Roman" w:eastAsia="Times New Roman" w:hAnsi="Times New Roman" w:cs="Times New Roman"/>
          <w:i/>
          <w:iCs/>
          <w:color w:val="000000"/>
          <w:sz w:val="16"/>
          <w:szCs w:val="16"/>
        </w:rPr>
        <w:t>S. pneumoniae</w:t>
      </w:r>
      <w:r>
        <w:rPr>
          <w:color w:val="000000"/>
        </w:rPr>
        <w:t xml:space="preserve"> y </w:t>
      </w:r>
      <w:r>
        <w:rPr>
          <w:rFonts w:ascii="Times New Roman" w:eastAsia="Times New Roman" w:hAnsi="Times New Roman" w:cs="Times New Roman"/>
          <w:i/>
          <w:iCs/>
          <w:color w:val="000000"/>
          <w:sz w:val="16"/>
          <w:szCs w:val="16"/>
        </w:rPr>
        <w:t>Haemophilus influenzae</w:t>
      </w:r>
      <w:r>
        <w:rPr>
          <w:color w:val="000000"/>
        </w:rPr>
        <w:t xml:space="preserve">. La persona que porta una cepa resistente y que termina por mostrar la enfermedad por ella tiene mayor posibilidad de que los antimicrobianos sean ineficaces. En tales situaciones, como la otitis media con derrame, se recomienda un lapso de observación sin el uso de antimicrobianos, los cuales no están indicados en otros cuadros como el resfriado común o la tos. Los principios que se expondrán a continuación, con pruebas de apoyo detalladas, fueron publicados en Estados Unidos por la </w:t>
      </w:r>
      <w:r>
        <w:rPr>
          <w:rFonts w:ascii="Times New Roman" w:eastAsia="Times New Roman" w:hAnsi="Times New Roman" w:cs="Times New Roman"/>
          <w:i/>
          <w:iCs/>
          <w:color w:val="000000"/>
          <w:sz w:val="16"/>
          <w:szCs w:val="16"/>
        </w:rPr>
        <w:t>American Academy of Pediatrics, American Academy of Family</w:t>
      </w:r>
    </w:p>
    <w:p w14:paraId="3F70CA7A" w14:textId="77777777" w:rsidR="00924992" w:rsidRDefault="00924992">
      <w:pPr>
        <w:pStyle w:val="BodyText"/>
        <w:spacing w:after="560"/>
        <w:ind w:firstLine="0"/>
      </w:pPr>
      <w:r>
        <w:rPr>
          <w:color w:val="000000"/>
        </w:rPr>
        <w:t xml:space="preserve">Montañas Rocosas (véase “Rocosas, fiebre maculada de las Montañas”, sección 3) e infecciones por Ehrlichia (véase </w:t>
      </w:r>
      <w:r>
        <w:rPr>
          <w:i/>
          <w:iCs/>
          <w:color w:val="000000"/>
        </w:rPr>
        <w:t>“</w:t>
      </w:r>
      <w:r>
        <w:rPr>
          <w:rFonts w:ascii="Times New Roman" w:eastAsia="Times New Roman" w:hAnsi="Times New Roman" w:cs="Times New Roman"/>
          <w:i/>
          <w:iCs/>
          <w:color w:val="000000"/>
          <w:sz w:val="16"/>
          <w:szCs w:val="16"/>
        </w:rPr>
        <w:t>Ehrlichia</w:t>
      </w:r>
      <w:r>
        <w:rPr>
          <w:i/>
          <w:iCs/>
          <w:color w:val="000000"/>
        </w:rPr>
        <w:t>,</w:t>
      </w:r>
      <w:r>
        <w:rPr>
          <w:color w:val="000000"/>
        </w:rPr>
        <w:t xml:space="preserve"> infecciones”, sección 3), el cólera (véase “Cólera” en Vibriones, infecciones, sección 3) y el carbunco (véase “Carbunco”, sección 3). La doxiciclina suele ser el agente más indicado en niños con tales infecciones porque con ella es menor el peligro de que se manchen los dientes que con las demás tetraciclinas. Además, dicho fármaco se administra sólo dos veces al día a diferencia de los regímenes con administración más frecuente, que se usan con otras tetraciclinas.</w:t>
      </w:r>
    </w:p>
    <w:p w14:paraId="6514716D" w14:textId="77777777" w:rsidR="00924992" w:rsidRDefault="00924992">
      <w:pPr>
        <w:pStyle w:val="Bodytext100"/>
        <w:spacing w:line="202" w:lineRule="auto"/>
      </w:pPr>
      <w:r>
        <w:rPr>
          <w:color w:val="000000"/>
          <w:sz w:val="34"/>
          <w:szCs w:val="34"/>
        </w:rPr>
        <w:t>U</w:t>
      </w:r>
      <w:r>
        <w:rPr>
          <w:color w:val="000000"/>
        </w:rPr>
        <w:t>so apropiado de antimicrobianos</w:t>
      </w:r>
    </w:p>
    <w:p w14:paraId="5C504AE5" w14:textId="77777777" w:rsidR="00924992" w:rsidRDefault="00924992">
      <w:pPr>
        <w:pStyle w:val="BodyText"/>
        <w:spacing w:after="240"/>
        <w:ind w:firstLine="0"/>
      </w:pPr>
      <w:r>
        <w:rPr>
          <w:color w:val="000000"/>
        </w:rPr>
        <w:t xml:space="preserve">La prevalencia cada vez mayor de resistencia a los antimicrobianos es un aspecto de enorme preocupación para los pacientes y los profesionales asistenciales. En raras ocasiones es imposible tratar con los agentes disponibles patógenos altamente resistentes como </w:t>
      </w:r>
      <w:r>
        <w:rPr>
          <w:rFonts w:ascii="Times New Roman" w:eastAsia="Times New Roman" w:hAnsi="Times New Roman" w:cs="Times New Roman"/>
          <w:i/>
          <w:iCs/>
          <w:color w:val="000000"/>
          <w:sz w:val="16"/>
          <w:szCs w:val="16"/>
        </w:rPr>
        <w:t>Burkholderia cepacia, Staphylococcus aureus</w:t>
      </w:r>
      <w:r>
        <w:rPr>
          <w:color w:val="000000"/>
        </w:rPr>
        <w:t xml:space="preserve"> o </w:t>
      </w:r>
      <w:r>
        <w:rPr>
          <w:rFonts w:ascii="Times New Roman" w:eastAsia="Times New Roman" w:hAnsi="Times New Roman" w:cs="Times New Roman"/>
          <w:i/>
          <w:iCs/>
          <w:color w:val="000000"/>
          <w:sz w:val="16"/>
          <w:szCs w:val="16"/>
        </w:rPr>
        <w:t>Enterococcus faecium.</w:t>
      </w:r>
      <w:r>
        <w:rPr>
          <w:color w:val="000000"/>
        </w:rPr>
        <w:t xml:space="preserve"> Más a menudo la presencia de patógenos resistentes complica el tratamiento, incrementa los gastos y vuelve más probable la ineficacia terapéutica. Algunos patógenos resistentes presentes en alimentos, como </w:t>
      </w:r>
      <w:r>
        <w:rPr>
          <w:rFonts w:ascii="Times New Roman" w:eastAsia="Times New Roman" w:hAnsi="Times New Roman" w:cs="Times New Roman"/>
          <w:i/>
          <w:iCs/>
          <w:color w:val="000000"/>
          <w:sz w:val="16"/>
          <w:szCs w:val="16"/>
        </w:rPr>
        <w:t>Campylobacter jejuni</w:t>
      </w:r>
      <w:r>
        <w:rPr>
          <w:color w:val="000000"/>
        </w:rPr>
        <w:t xml:space="preserve"> resistente a fluoroquinolonas; patógenos de origen comunitario como </w:t>
      </w:r>
      <w:r>
        <w:rPr>
          <w:rFonts w:ascii="Times New Roman" w:eastAsia="Times New Roman" w:hAnsi="Times New Roman" w:cs="Times New Roman"/>
          <w:i/>
          <w:iCs/>
          <w:color w:val="000000"/>
          <w:sz w:val="16"/>
          <w:szCs w:val="16"/>
        </w:rPr>
        <w:t>Streptococcus pneumoniae</w:t>
      </w:r>
      <w:r>
        <w:rPr>
          <w:color w:val="000000"/>
        </w:rPr>
        <w:t xml:space="preserve"> farmacorresistente, y patógenos de origen nosocomial como los enterococos resistentes a vancomicina, poseen características epidemiológicas peculiares y en ellos se necesitan medidas específicas de erradicación. Las campañas para controlar la resistencia a antimicrobianos entre los patógenos presentes en alimentos se ha orientado a técnicas como la radiación de productos alimenticios antes de su consumo y menor adición de antimicrobianos a alimentos para animales. Entre los patógenos de origen comunitario y de extracción nosocomial, el abuso de antimicrobianos por parte de seres humanos en gran medida es la explicación del incremento de la resistencia. Los principios que se indican a continuación para el uso apropiado de antimicrobianos han constituido un punto básico de las medidas sanitarias públicas para combatir la propagación de microorganismos resistentes.</w:t>
      </w:r>
    </w:p>
    <w:p w14:paraId="0F562D67" w14:textId="77777777" w:rsidR="00924992" w:rsidRDefault="00924992">
      <w:pPr>
        <w:pStyle w:val="Bodytext70"/>
        <w:spacing w:line="214" w:lineRule="auto"/>
      </w:pPr>
      <w:r>
        <w:rPr>
          <w:color w:val="000000"/>
        </w:rPr>
        <w:t>Principios de uso apropiado en infecciones de vías respiratorias altas</w:t>
      </w:r>
    </w:p>
    <w:p w14:paraId="781885B5" w14:textId="77777777" w:rsidR="00924992" w:rsidRDefault="00924992">
      <w:pPr>
        <w:pStyle w:val="BodyText"/>
        <w:spacing w:after="240" w:line="276" w:lineRule="auto"/>
        <w:ind w:firstLine="0"/>
        <w:rPr>
          <w:sz w:val="16"/>
          <w:szCs w:val="16"/>
        </w:rPr>
        <w:sectPr w:rsidR="00924992" w:rsidSect="00924992">
          <w:headerReference w:type="even" r:id="rId218"/>
          <w:headerReference w:type="default" r:id="rId219"/>
          <w:footerReference w:type="even" r:id="rId220"/>
          <w:footerReference w:type="default" r:id="rId221"/>
          <w:footnotePr>
            <w:numFmt w:val="chicago"/>
          </w:footnotePr>
          <w:type w:val="continuous"/>
          <w:pgSz w:w="8501" w:h="13022"/>
          <w:pgMar w:top="905" w:right="722" w:bottom="521" w:left="910" w:header="0" w:footer="93" w:gutter="0"/>
          <w:cols w:space="720"/>
          <w:noEndnote/>
          <w:docGrid w:linePitch="360"/>
          <w15:footnoteColumns w:val="1"/>
        </w:sectPr>
      </w:pPr>
      <w:r>
        <w:rPr>
          <w:color w:val="000000"/>
        </w:rPr>
        <w:t xml:space="preserve">En promedio, 75% de todas las recetas extrahospitalarias para niños se formulan contra cinco enfermedades: otitis media, sinusitis, cuadros de tos/bronquitis, faringitis e infecciones inespecíficas de vías respiratorias altas (resfriado común). Los médicos han señalado que muchos pacientes y sus padres tratan de persuadirlos para que les receten algunos antimicrobianos no necesarios. Los menores tratados con tales agentes están expuestos a un mayor peligro de tornarse portadores de bacterias resistentes, incluidos </w:t>
      </w:r>
      <w:r>
        <w:rPr>
          <w:rFonts w:ascii="Times New Roman" w:eastAsia="Times New Roman" w:hAnsi="Times New Roman" w:cs="Times New Roman"/>
          <w:i/>
          <w:iCs/>
          <w:color w:val="000000"/>
          <w:sz w:val="16"/>
          <w:szCs w:val="16"/>
        </w:rPr>
        <w:t>S. pneumoniae</w:t>
      </w:r>
      <w:r>
        <w:rPr>
          <w:color w:val="000000"/>
        </w:rPr>
        <w:t xml:space="preserve"> y </w:t>
      </w:r>
      <w:r>
        <w:rPr>
          <w:rFonts w:ascii="Times New Roman" w:eastAsia="Times New Roman" w:hAnsi="Times New Roman" w:cs="Times New Roman"/>
          <w:i/>
          <w:iCs/>
          <w:color w:val="000000"/>
          <w:sz w:val="16"/>
          <w:szCs w:val="16"/>
        </w:rPr>
        <w:t>Haemophilus influenzae</w:t>
      </w:r>
      <w:r>
        <w:rPr>
          <w:color w:val="000000"/>
        </w:rPr>
        <w:t xml:space="preserve">. La persona que porta una cepa resistente y que termina por mostrar la enfermedad por ella tiene mayor posibilidad de que los antimicrobianos sean ineficaces. En tales situaciones, como la otitis media con derrame, se recomienda un lapso de observación sin el uso de antimicrobianos, los cuales no están indicados en otros cuadros como el resfriado común o la tos. Los principios que se expondrán a continuación, con pruebas de apoyo detalladas, fueron publicados en Estados Unidos por la </w:t>
      </w:r>
      <w:r>
        <w:rPr>
          <w:rFonts w:ascii="Times New Roman" w:eastAsia="Times New Roman" w:hAnsi="Times New Roman" w:cs="Times New Roman"/>
          <w:i/>
          <w:iCs/>
          <w:color w:val="000000"/>
          <w:sz w:val="16"/>
          <w:szCs w:val="16"/>
        </w:rPr>
        <w:t>American Academy of Pediatrics, American Academy of Family</w:t>
      </w:r>
    </w:p>
    <w:p w14:paraId="5FCE60EC" w14:textId="77777777" w:rsidR="00924992" w:rsidRDefault="00924992">
      <w:pPr>
        <w:pStyle w:val="BodyText"/>
        <w:spacing w:after="220"/>
        <w:ind w:firstLine="0"/>
      </w:pPr>
      <w:r>
        <w:rPr>
          <w:rFonts w:ascii="Times New Roman" w:eastAsia="Times New Roman" w:hAnsi="Times New Roman" w:cs="Times New Roman"/>
          <w:i/>
          <w:iCs/>
          <w:color w:val="000000"/>
          <w:sz w:val="16"/>
          <w:szCs w:val="16"/>
        </w:rPr>
        <w:t>Physicians y Centers for Disease Control and Prevention (CDC)</w:t>
      </w:r>
      <w:r>
        <w:rPr>
          <w:color w:val="000000"/>
        </w:rPr>
        <w:t xml:space="preserve"> para identificar cuadros clínicos en los cuales podría disminuir o cesar el uso de antimicrobianos sin menoscabo de la atención del paciente.</w:t>
      </w:r>
      <w:r>
        <w:rPr>
          <w:color w:val="000000"/>
        </w:rPr>
        <w:footnoteReference w:id="30"/>
      </w:r>
    </w:p>
    <w:p w14:paraId="0B69146E" w14:textId="77777777" w:rsidR="00924992" w:rsidRDefault="00924992">
      <w:pPr>
        <w:pStyle w:val="BodyText"/>
        <w:spacing w:after="220"/>
        <w:ind w:firstLine="0"/>
      </w:pPr>
      <w:r>
        <w:rPr>
          <w:color w:val="000000"/>
        </w:rPr>
        <w:t>OTITIS MEDIA</w:t>
      </w:r>
    </w:p>
    <w:p w14:paraId="59417981" w14:textId="77777777" w:rsidR="00924992" w:rsidRDefault="00924992">
      <w:pPr>
        <w:pStyle w:val="BodyText"/>
        <w:spacing w:line="290" w:lineRule="auto"/>
        <w:ind w:left="360" w:firstLine="0"/>
      </w:pPr>
      <w:r>
        <w:rPr>
          <w:color w:val="000000"/>
        </w:rPr>
        <w:t xml:space="preserve">Es necesario clasificar los episodios de otitis media como otitis media aguda </w:t>
      </w:r>
      <w:r>
        <w:rPr>
          <w:i/>
          <w:iCs/>
          <w:color w:val="000000"/>
        </w:rPr>
        <w:t>(</w:t>
      </w:r>
      <w:r>
        <w:rPr>
          <w:rFonts w:ascii="Times New Roman" w:eastAsia="Times New Roman" w:hAnsi="Times New Roman" w:cs="Times New Roman"/>
          <w:i/>
          <w:iCs/>
          <w:color w:val="000000"/>
          <w:sz w:val="16"/>
          <w:szCs w:val="16"/>
        </w:rPr>
        <w:t>acute otitis media</w:t>
      </w:r>
      <w:r>
        <w:rPr>
          <w:i/>
          <w:iCs/>
          <w:color w:val="000000"/>
        </w:rPr>
        <w:t>,</w:t>
      </w:r>
      <w:r>
        <w:rPr>
          <w:color w:val="000000"/>
        </w:rPr>
        <w:t xml:space="preserve"> AOM) u otitis media con derrame </w:t>
      </w:r>
      <w:r>
        <w:rPr>
          <w:i/>
          <w:iCs/>
          <w:color w:val="000000"/>
        </w:rPr>
        <w:t>(</w:t>
      </w:r>
      <w:r>
        <w:rPr>
          <w:rFonts w:ascii="Times New Roman" w:eastAsia="Times New Roman" w:hAnsi="Times New Roman" w:cs="Times New Roman"/>
          <w:i/>
          <w:iCs/>
          <w:color w:val="000000"/>
          <w:sz w:val="16"/>
          <w:szCs w:val="16"/>
        </w:rPr>
        <w:t>otitis media effusion</w:t>
      </w:r>
      <w:r>
        <w:rPr>
          <w:i/>
          <w:iCs/>
          <w:color w:val="000000"/>
        </w:rPr>
        <w:t>,</w:t>
      </w:r>
      <w:r>
        <w:rPr>
          <w:color w:val="000000"/>
        </w:rPr>
        <w:t xml:space="preserve"> OME).</w:t>
      </w:r>
    </w:p>
    <w:p w14:paraId="3FDF36E2" w14:textId="77777777" w:rsidR="00924992" w:rsidRDefault="00924992">
      <w:pPr>
        <w:pStyle w:val="BodyText"/>
        <w:ind w:left="360" w:firstLine="0"/>
      </w:pPr>
      <w:r>
        <w:rPr>
          <w:color w:val="000000"/>
        </w:rPr>
        <w:t xml:space="preserve">Los antimicrobianos están indicados para tratar AOM; sin embargo, el diagnóstico obliga a corroborar el derrame en el oído medio </w:t>
      </w:r>
      <w:r>
        <w:rPr>
          <w:rFonts w:ascii="Times New Roman" w:eastAsia="Times New Roman" w:hAnsi="Times New Roman" w:cs="Times New Roman"/>
          <w:i/>
          <w:iCs/>
          <w:color w:val="000000"/>
          <w:sz w:val="16"/>
          <w:szCs w:val="16"/>
        </w:rPr>
        <w:t>y</w:t>
      </w:r>
      <w:r>
        <w:rPr>
          <w:color w:val="000000"/>
        </w:rPr>
        <w:t xml:space="preserve"> la frecuencia de signos o síntomas de un cuadro local o sistémico agudo.</w:t>
      </w:r>
    </w:p>
    <w:p w14:paraId="714960F4" w14:textId="77777777" w:rsidR="00924992" w:rsidRDefault="00924992">
      <w:pPr>
        <w:pStyle w:val="BodyText"/>
        <w:ind w:left="360" w:firstLine="0"/>
      </w:pPr>
      <w:r>
        <w:rPr>
          <w:color w:val="000000"/>
        </w:rPr>
        <w:t>La otitis media aguda puede ser tratada con un ciclo de cinco a siete días de antimicrobianos en casi todos los niños de dos años de edad o mayores. Los niños de menor edad y los que tienen algún trastorno médico primario, anormalidades craneofaciales, otitis media crónica o recurrente o perforación de la membrana timpánica deben ser tratados con el ciclo regular de 10 días. Habrá que utilizar en los episodios iniciales de la otitis media aguda algún antimicrobiano de espectro restringido (como la amoxicilina).</w:t>
      </w:r>
    </w:p>
    <w:p w14:paraId="27195D37" w14:textId="77777777" w:rsidR="00924992" w:rsidRDefault="00924992">
      <w:pPr>
        <w:pStyle w:val="BodyText"/>
        <w:ind w:left="360" w:firstLine="0"/>
      </w:pPr>
      <w:r>
        <w:rPr>
          <w:color w:val="000000"/>
        </w:rPr>
        <w:t>Es previsible que persista el derrame en el oído medio (OME) dos a tres meses después del tratamiento de AOM y no es necesario repetir la terapia.</w:t>
      </w:r>
    </w:p>
    <w:p w14:paraId="1319C21A" w14:textId="77777777" w:rsidR="00924992" w:rsidRDefault="00924992">
      <w:pPr>
        <w:pStyle w:val="BodyText"/>
        <w:spacing w:after="220"/>
        <w:ind w:left="360" w:firstLine="0"/>
      </w:pPr>
      <w:r>
        <w:rPr>
          <w:color w:val="000000"/>
        </w:rPr>
        <w:t>Los antimicrobianos no están indicados en el tratamiento inicial de OME; su administración puede estar indicada si los derrames persisten por tres meses o más. La profilaxia con antimicrobianos debe reservarse para erradicar AOM recurrente, que se define como tres episodios, o más, perfectamente corroborados y netos (o más) en un lapso de seis meses, o cuatro episodios o más en 12 meses.</w:t>
      </w:r>
    </w:p>
    <w:p w14:paraId="5E381EFC" w14:textId="77777777" w:rsidR="00924992" w:rsidRDefault="00924992">
      <w:pPr>
        <w:pStyle w:val="BodyText"/>
        <w:spacing w:after="220"/>
        <w:ind w:firstLine="0"/>
      </w:pPr>
      <w:r>
        <w:rPr>
          <w:color w:val="000000"/>
        </w:rPr>
        <w:t>SINUSITIS AGUDA</w:t>
      </w:r>
    </w:p>
    <w:p w14:paraId="2A098496" w14:textId="77777777" w:rsidR="00924992" w:rsidRDefault="00924992">
      <w:pPr>
        <w:pStyle w:val="BodyText"/>
        <w:numPr>
          <w:ilvl w:val="0"/>
          <w:numId w:val="123"/>
        </w:numPr>
        <w:tabs>
          <w:tab w:val="left" w:pos="341"/>
        </w:tabs>
        <w:ind w:left="360" w:hanging="360"/>
      </w:pPr>
      <w:bookmarkStart w:id="226" w:name="bookmark1672"/>
      <w:bookmarkEnd w:id="226"/>
      <w:r>
        <w:rPr>
          <w:color w:val="000000"/>
        </w:rPr>
        <w:t>Para hacer un diagnóstico clínico de sinusitis bacteriana hay que cumplir con las siguientes condiciones: secreción nasal y tos diurna que no mejora durante 10 a 14 días, o signos y síntomas más intensos de sinusitis aguda (temperatura de 39°C o mayor, hinchazón o dolor en la cara).</w:t>
      </w:r>
    </w:p>
    <w:p w14:paraId="4A303C91" w14:textId="77777777" w:rsidR="00924992" w:rsidRDefault="00924992">
      <w:pPr>
        <w:pStyle w:val="BodyText"/>
        <w:numPr>
          <w:ilvl w:val="0"/>
          <w:numId w:val="123"/>
        </w:numPr>
        <w:tabs>
          <w:tab w:val="left" w:pos="341"/>
        </w:tabs>
        <w:ind w:left="360" w:hanging="360"/>
      </w:pPr>
      <w:bookmarkStart w:id="227" w:name="bookmark1673"/>
      <w:bookmarkEnd w:id="227"/>
      <w:r>
        <w:rPr>
          <w:color w:val="000000"/>
        </w:rPr>
        <w:t>El resfriado común es una rinosinusitis que suele incluir signos radiológicos de afección de senos paranasales; por tal razón, habrá que realizar radiografías sólo en circunstancias escogidas e interpretarlas con cautela. La práctica de radiografías puede estar indicada si los episodios de sinusitis son recurrentes o se sospecha que han surgido complicaciones.</w:t>
      </w:r>
    </w:p>
    <w:p w14:paraId="37906ADB" w14:textId="77777777" w:rsidR="00924992" w:rsidRDefault="00924992">
      <w:pPr>
        <w:pStyle w:val="BodyText"/>
        <w:numPr>
          <w:ilvl w:val="0"/>
          <w:numId w:val="123"/>
        </w:numPr>
        <w:tabs>
          <w:tab w:val="left" w:pos="341"/>
        </w:tabs>
        <w:ind w:left="360" w:hanging="360"/>
      </w:pPr>
      <w:bookmarkStart w:id="228" w:name="bookmark1674"/>
      <w:bookmarkEnd w:id="228"/>
      <w:r>
        <w:rPr>
          <w:color w:val="000000"/>
        </w:rPr>
        <w:t>El tratamiento inicial de la sinusitis aguda con antimicrobianos debe incluir un agente con el mínimo espectro que sea activo contra los posible patógenos. tos/bronquitis</w:t>
      </w:r>
    </w:p>
    <w:p w14:paraId="3A6027C7" w14:textId="77777777" w:rsidR="00924992" w:rsidRDefault="00924992">
      <w:pPr>
        <w:pStyle w:val="BodyText"/>
        <w:numPr>
          <w:ilvl w:val="0"/>
          <w:numId w:val="123"/>
        </w:numPr>
        <w:tabs>
          <w:tab w:val="left" w:pos="341"/>
        </w:tabs>
        <w:ind w:left="360" w:hanging="360"/>
      </w:pPr>
      <w:bookmarkStart w:id="229" w:name="bookmark1675"/>
      <w:bookmarkEnd w:id="229"/>
      <w:r>
        <w:rPr>
          <w:color w:val="000000"/>
        </w:rPr>
        <w:t>La presencia de un cuadro inespecífico con tos/bronquitis en niños, sea cuál sea su duración, no justifica la administración de antimicrobianos.</w:t>
      </w:r>
    </w:p>
    <w:p w14:paraId="15E2DD6E" w14:textId="77777777" w:rsidR="00924992" w:rsidRDefault="00924992">
      <w:pPr>
        <w:pStyle w:val="BodyText"/>
        <w:numPr>
          <w:ilvl w:val="0"/>
          <w:numId w:val="123"/>
        </w:numPr>
        <w:tabs>
          <w:tab w:val="left" w:pos="341"/>
        </w:tabs>
        <w:spacing w:after="220"/>
        <w:ind w:firstLine="0"/>
      </w:pPr>
      <w:bookmarkStart w:id="230" w:name="bookmark1676"/>
      <w:bookmarkEnd w:id="230"/>
      <w:r>
        <w:rPr>
          <w:color w:val="000000"/>
        </w:rPr>
        <w:t xml:space="preserve">El tratamiento con antimicrobianos contra la tos perdurable (más de 10 a 14 días) pudiera estar indicado en algunas situaciones, que incluyen las infecciones por </w:t>
      </w:r>
      <w:r>
        <w:rPr>
          <w:rFonts w:ascii="Times New Roman" w:eastAsia="Times New Roman" w:hAnsi="Times New Roman" w:cs="Times New Roman"/>
          <w:i/>
          <w:iCs/>
          <w:color w:val="000000"/>
          <w:sz w:val="16"/>
          <w:szCs w:val="16"/>
        </w:rPr>
        <w:t>Bordetella pertussis</w:t>
      </w:r>
      <w:r>
        <w:rPr>
          <w:color w:val="000000"/>
        </w:rPr>
        <w:t xml:space="preserve"> y </w:t>
      </w:r>
      <w:r>
        <w:rPr>
          <w:rFonts w:ascii="Times New Roman" w:eastAsia="Times New Roman" w:hAnsi="Times New Roman" w:cs="Times New Roman"/>
          <w:i/>
          <w:iCs/>
          <w:color w:val="000000"/>
          <w:sz w:val="16"/>
          <w:szCs w:val="16"/>
        </w:rPr>
        <w:t>Mycoplasma pneumoniae</w:t>
      </w:r>
      <w:r>
        <w:rPr>
          <w:i/>
          <w:iCs/>
          <w:color w:val="000000"/>
        </w:rPr>
        <w:t>,</w:t>
      </w:r>
      <w:r>
        <w:rPr>
          <w:color w:val="000000"/>
        </w:rPr>
        <w:t xml:space="preserve"> y habrá que practicar estudios diagnósticos apropiados en tales infecciones. La tos ferina debe ser tratada con base en las recomendaciones establecidas (véase “Tos ferina”, sección 3). </w:t>
      </w:r>
      <w:r>
        <w:rPr>
          <w:rFonts w:ascii="Times New Roman" w:eastAsia="Times New Roman" w:hAnsi="Times New Roman" w:cs="Times New Roman"/>
          <w:i/>
          <w:iCs/>
          <w:color w:val="000000"/>
          <w:sz w:val="16"/>
          <w:szCs w:val="16"/>
        </w:rPr>
        <w:t>Mycoplasma pneumoniae</w:t>
      </w:r>
      <w:r>
        <w:rPr>
          <w:color w:val="000000"/>
        </w:rPr>
        <w:t xml:space="preserve"> puede ocasionar bronquitis o neumonía y tos duradera, por lo común en niños mayores de cinco años; para su tratamiento puede recurrirse a un macrólido (o a una tetraciclina en niños de ocho años o mayores) (véase </w:t>
      </w:r>
      <w:r>
        <w:rPr>
          <w:rFonts w:ascii="Times New Roman" w:eastAsia="Times New Roman" w:hAnsi="Times New Roman" w:cs="Times New Roman"/>
          <w:i/>
          <w:iCs/>
          <w:color w:val="000000"/>
          <w:sz w:val="16"/>
          <w:szCs w:val="16"/>
        </w:rPr>
        <w:t>"Mycoplasmapneumoniae</w:t>
      </w:r>
      <w:r>
        <w:rPr>
          <w:i/>
          <w:iCs/>
          <w:color w:val="000000"/>
        </w:rPr>
        <w:t>,</w:t>
      </w:r>
      <w:r>
        <w:rPr>
          <w:color w:val="000000"/>
        </w:rPr>
        <w:t xml:space="preserve"> infecciones”, sección 3). Los niños con alguna neumopatía crónica primaria diferente del asma (como la fibrosis quística) se pueden beneficiar de los antimicrobianos en las exacerbaciones agudas.</w:t>
      </w:r>
    </w:p>
    <w:p w14:paraId="3B557A29" w14:textId="77777777" w:rsidR="00924992" w:rsidRDefault="00924992">
      <w:pPr>
        <w:pStyle w:val="BodyText"/>
        <w:spacing w:after="220"/>
        <w:ind w:firstLine="0"/>
      </w:pPr>
      <w:r>
        <w:rPr>
          <w:color w:val="000000"/>
        </w:rPr>
        <w:t>FARINGITIS</w:t>
      </w:r>
    </w:p>
    <w:p w14:paraId="593C4F62" w14:textId="77777777" w:rsidR="00924992" w:rsidRDefault="00924992">
      <w:pPr>
        <w:pStyle w:val="BodyText"/>
        <w:ind w:firstLine="0"/>
      </w:pPr>
      <w:r>
        <w:rPr>
          <w:color w:val="000000"/>
        </w:rPr>
        <w:t>(Véase “Estreptococos del grupo A, infecciones”, sección 3).</w:t>
      </w:r>
    </w:p>
    <w:p w14:paraId="79BE504B" w14:textId="77777777" w:rsidR="00924992" w:rsidRDefault="00924992">
      <w:pPr>
        <w:pStyle w:val="BodyText"/>
        <w:numPr>
          <w:ilvl w:val="0"/>
          <w:numId w:val="123"/>
        </w:numPr>
        <w:tabs>
          <w:tab w:val="left" w:pos="339"/>
        </w:tabs>
        <w:ind w:left="340" w:hanging="340"/>
      </w:pPr>
      <w:bookmarkStart w:id="231" w:name="bookmark1677"/>
      <w:bookmarkEnd w:id="231"/>
      <w:r>
        <w:rPr>
          <w:color w:val="000000"/>
        </w:rPr>
        <w:t>El diagnóstico de faringitis estreptocócica del grupo A debe hacerse con base en los resultados de métodos adecuados de laboratorio, junto con datos epidemiológicos y de la exploración clínica.</w:t>
      </w:r>
    </w:p>
    <w:p w14:paraId="151B4A74" w14:textId="77777777" w:rsidR="00924992" w:rsidRDefault="00924992">
      <w:pPr>
        <w:pStyle w:val="BodyText"/>
        <w:numPr>
          <w:ilvl w:val="0"/>
          <w:numId w:val="123"/>
        </w:numPr>
        <w:tabs>
          <w:tab w:val="left" w:pos="339"/>
        </w:tabs>
        <w:spacing w:line="276" w:lineRule="auto"/>
        <w:ind w:left="340" w:hanging="340"/>
      </w:pPr>
      <w:bookmarkStart w:id="232" w:name="bookmark1678"/>
      <w:bookmarkEnd w:id="232"/>
      <w:r>
        <w:rPr>
          <w:color w:val="000000"/>
        </w:rPr>
        <w:t xml:space="preserve">No se administrarán antimicrobianos a un niño con faringitis, si no se han identificado estreptococos del grupo A. En raras ocasiones, otras bacterias pueden causarla </w:t>
      </w:r>
      <w:r>
        <w:rPr>
          <w:rFonts w:ascii="Times New Roman" w:eastAsia="Times New Roman" w:hAnsi="Times New Roman" w:cs="Times New Roman"/>
          <w:i/>
          <w:iCs/>
          <w:color w:val="000000"/>
          <w:sz w:val="16"/>
          <w:szCs w:val="16"/>
        </w:rPr>
        <w:t>(Corynebacterium diphtheriae, Francisella tularensis,</w:t>
      </w:r>
      <w:r>
        <w:rPr>
          <w:color w:val="000000"/>
        </w:rPr>
        <w:t xml:space="preserve"> estreptococos hemolíticos del grupo G y </w:t>
      </w:r>
      <w:r>
        <w:rPr>
          <w:rFonts w:ascii="Times New Roman" w:eastAsia="Times New Roman" w:hAnsi="Times New Roman" w:cs="Times New Roman"/>
          <w:i/>
          <w:iCs/>
          <w:color w:val="000000"/>
          <w:sz w:val="16"/>
          <w:szCs w:val="16"/>
        </w:rPr>
        <w:t>C, Neisseria gonorrhoeae, Arcanobacterium haemolyticum)</w:t>
      </w:r>
      <w:r>
        <w:rPr>
          <w:color w:val="000000"/>
        </w:rPr>
        <w:t xml:space="preserve"> y se emprenderá tratamiento con base en las recomendaciones hechas en los resúmenes en que se exponen enfermedades específicas en la sección 3 de este texto.</w:t>
      </w:r>
    </w:p>
    <w:p w14:paraId="53040BB2" w14:textId="77777777" w:rsidR="00924992" w:rsidRDefault="00924992">
      <w:pPr>
        <w:pStyle w:val="BodyText"/>
        <w:numPr>
          <w:ilvl w:val="0"/>
          <w:numId w:val="123"/>
        </w:numPr>
        <w:tabs>
          <w:tab w:val="left" w:pos="339"/>
        </w:tabs>
        <w:spacing w:after="220"/>
        <w:ind w:left="340" w:hanging="340"/>
      </w:pPr>
      <w:bookmarkStart w:id="233" w:name="bookmark1679"/>
      <w:bookmarkEnd w:id="233"/>
      <w:r>
        <w:rPr>
          <w:color w:val="000000"/>
        </w:rPr>
        <w:t>La penicilina sigue siendo el fármaco más indicado para tratar la faringitis por estreptococos del grupo A.</w:t>
      </w:r>
    </w:p>
    <w:p w14:paraId="5D419769" w14:textId="77777777" w:rsidR="00924992" w:rsidRDefault="00924992">
      <w:pPr>
        <w:pStyle w:val="BodyText"/>
        <w:spacing w:after="220"/>
        <w:ind w:firstLine="0"/>
      </w:pPr>
      <w:r>
        <w:rPr>
          <w:color w:val="000000"/>
        </w:rPr>
        <w:t>RESFRIADO COMÚN</w:t>
      </w:r>
    </w:p>
    <w:p w14:paraId="385A78A1" w14:textId="77777777" w:rsidR="00924992" w:rsidRDefault="00924992">
      <w:pPr>
        <w:pStyle w:val="BodyText"/>
        <w:numPr>
          <w:ilvl w:val="0"/>
          <w:numId w:val="123"/>
        </w:numPr>
        <w:tabs>
          <w:tab w:val="left" w:pos="339"/>
        </w:tabs>
        <w:ind w:firstLine="0"/>
      </w:pPr>
      <w:bookmarkStart w:id="234" w:name="bookmark1680"/>
      <w:bookmarkEnd w:id="234"/>
      <w:r>
        <w:rPr>
          <w:color w:val="000000"/>
        </w:rPr>
        <w:t>No se administrarán antimicrobianos en caso de resfriado común.</w:t>
      </w:r>
    </w:p>
    <w:p w14:paraId="01D27808" w14:textId="77777777" w:rsidR="00924992" w:rsidRDefault="00924992">
      <w:pPr>
        <w:pStyle w:val="BodyText"/>
        <w:numPr>
          <w:ilvl w:val="0"/>
          <w:numId w:val="123"/>
        </w:numPr>
        <w:tabs>
          <w:tab w:val="left" w:pos="339"/>
        </w:tabs>
        <w:spacing w:after="100"/>
        <w:ind w:left="340" w:hanging="340"/>
      </w:pPr>
      <w:bookmarkStart w:id="235" w:name="bookmark1681"/>
      <w:bookmarkEnd w:id="235"/>
      <w:r>
        <w:rPr>
          <w:color w:val="000000"/>
        </w:rPr>
        <w:t>El resfriado común suele acompañarse de rinitis mucopurulenta (secreción nasal espesa, opaca o de diversos colores) y no constituye indicación para usar antimicrobianos, salvo que persista sin mejoría durante 10 a 14 días y esto sugiera sinusitis posible.</w:t>
      </w:r>
    </w:p>
    <w:p w14:paraId="02537F96" w14:textId="77777777" w:rsidR="00924992" w:rsidRDefault="00924992">
      <w:pPr>
        <w:pStyle w:val="Bodytext70"/>
        <w:spacing w:after="220"/>
      </w:pPr>
      <w:r>
        <w:rPr>
          <w:color w:val="000000"/>
        </w:rPr>
        <w:t>Principios del uso apropiado de la vancomicina</w:t>
      </w:r>
      <w:r>
        <w:rPr>
          <w:color w:val="000000"/>
        </w:rPr>
        <w:footnoteReference w:id="31"/>
      </w:r>
    </w:p>
    <w:p w14:paraId="58524535" w14:textId="77777777" w:rsidR="00924992" w:rsidRDefault="00924992">
      <w:pPr>
        <w:pStyle w:val="BodyText"/>
        <w:spacing w:after="220"/>
        <w:ind w:firstLine="0"/>
      </w:pPr>
      <w:r>
        <w:rPr>
          <w:color w:val="000000"/>
        </w:rPr>
        <w:t xml:space="preserve">En los últimos 10 años han surgido rápidamente enterococos resistentes a vancomicina como patógenos de origen nosocomial en los hospitales de Estados Unidos. También se ha señalado la aparición de cepas de </w:t>
      </w:r>
      <w:r>
        <w:rPr>
          <w:rFonts w:ascii="Times New Roman" w:eastAsia="Times New Roman" w:hAnsi="Times New Roman" w:cs="Times New Roman"/>
          <w:i/>
          <w:iCs/>
          <w:color w:val="000000"/>
          <w:sz w:val="16"/>
          <w:szCs w:val="16"/>
        </w:rPr>
        <w:t>S’, aureus</w:t>
      </w:r>
      <w:r>
        <w:rPr>
          <w:color w:val="000000"/>
        </w:rPr>
        <w:t xml:space="preserve"> con resistencia intermedia o alta a dicho antibiótico y a otros glucopéptidos. El principal factor de riesgo para el surgimiento de enterococos resistentes a dicho antibiótico y </w:t>
      </w:r>
      <w:r>
        <w:rPr>
          <w:rFonts w:ascii="Times New Roman" w:eastAsia="Times New Roman" w:hAnsi="Times New Roman" w:cs="Times New Roman"/>
          <w:i/>
          <w:iCs/>
          <w:color w:val="000000"/>
          <w:sz w:val="16"/>
          <w:szCs w:val="16"/>
        </w:rPr>
        <w:t xml:space="preserve">S, aureus </w:t>
      </w:r>
      <w:r>
        <w:rPr>
          <w:color w:val="000000"/>
        </w:rPr>
        <w:t xml:space="preserve">con resistencia intermedia o alta a él ha sido el empleo cada vez mayor de dicho fármaco, particularmente en sujetos que reciben atención hematológica-oncológica, pudiera estar indicado en algunas situaciones, que incluyen las infecciones por </w:t>
      </w:r>
      <w:r>
        <w:rPr>
          <w:rFonts w:ascii="Times New Roman" w:eastAsia="Times New Roman" w:hAnsi="Times New Roman" w:cs="Times New Roman"/>
          <w:i/>
          <w:iCs/>
          <w:color w:val="000000"/>
          <w:sz w:val="16"/>
          <w:szCs w:val="16"/>
        </w:rPr>
        <w:t>Bordetella pertussis</w:t>
      </w:r>
      <w:r>
        <w:rPr>
          <w:color w:val="000000"/>
        </w:rPr>
        <w:t xml:space="preserve"> y </w:t>
      </w:r>
      <w:r>
        <w:rPr>
          <w:rFonts w:ascii="Times New Roman" w:eastAsia="Times New Roman" w:hAnsi="Times New Roman" w:cs="Times New Roman"/>
          <w:i/>
          <w:iCs/>
          <w:color w:val="000000"/>
          <w:sz w:val="16"/>
          <w:szCs w:val="16"/>
        </w:rPr>
        <w:t>Mycoplasma pneumoniae</w:t>
      </w:r>
      <w:r>
        <w:rPr>
          <w:i/>
          <w:iCs/>
          <w:color w:val="000000"/>
        </w:rPr>
        <w:t>,</w:t>
      </w:r>
      <w:r>
        <w:rPr>
          <w:color w:val="000000"/>
        </w:rPr>
        <w:t xml:space="preserve"> y habrá que practicar estudios diagnósticos apropiados en tales infecciones. La tos ferina debe ser tratada con base en las recomendaciones establecidas (véase “Tos ferina”, sección 3). </w:t>
      </w:r>
      <w:r>
        <w:rPr>
          <w:rFonts w:ascii="Times New Roman" w:eastAsia="Times New Roman" w:hAnsi="Times New Roman" w:cs="Times New Roman"/>
          <w:i/>
          <w:iCs/>
          <w:color w:val="000000"/>
          <w:sz w:val="16"/>
          <w:szCs w:val="16"/>
        </w:rPr>
        <w:t>Mycoplasma pneumoniae</w:t>
      </w:r>
      <w:r>
        <w:rPr>
          <w:color w:val="000000"/>
        </w:rPr>
        <w:t xml:space="preserve"> puede ocasionar bronquitis o neumonía y tos duradera, por lo común en niños mayores de cinco años; para su tratamiento puede recurrirse a un macrólido (o a una tetraciclina en niños de ocho años o mayores) (véase </w:t>
      </w:r>
      <w:r>
        <w:rPr>
          <w:rFonts w:ascii="Times New Roman" w:eastAsia="Times New Roman" w:hAnsi="Times New Roman" w:cs="Times New Roman"/>
          <w:i/>
          <w:iCs/>
          <w:color w:val="000000"/>
          <w:sz w:val="16"/>
          <w:szCs w:val="16"/>
        </w:rPr>
        <w:t>"Mycoplasmapneumoniae</w:t>
      </w:r>
      <w:r>
        <w:rPr>
          <w:i/>
          <w:iCs/>
          <w:color w:val="000000"/>
        </w:rPr>
        <w:t>,</w:t>
      </w:r>
      <w:r>
        <w:rPr>
          <w:color w:val="000000"/>
        </w:rPr>
        <w:t xml:space="preserve"> infecciones”, sección 3). Los niños con alguna neumopatía crónica primaria diferente del asma (como la fibrosis quística) se pueden beneficiar de los antimicrobianos en las exacerbaciones agudas.</w:t>
      </w:r>
    </w:p>
    <w:p w14:paraId="6735D711" w14:textId="77777777" w:rsidR="00924992" w:rsidRDefault="00924992">
      <w:pPr>
        <w:pStyle w:val="BodyText"/>
        <w:spacing w:after="220"/>
        <w:ind w:firstLine="0"/>
      </w:pPr>
      <w:r>
        <w:rPr>
          <w:color w:val="000000"/>
        </w:rPr>
        <w:t>FARINGITIS</w:t>
      </w:r>
    </w:p>
    <w:p w14:paraId="1788910D" w14:textId="77777777" w:rsidR="00924992" w:rsidRDefault="00924992">
      <w:pPr>
        <w:pStyle w:val="BodyText"/>
        <w:ind w:firstLine="0"/>
      </w:pPr>
      <w:r>
        <w:rPr>
          <w:color w:val="000000"/>
        </w:rPr>
        <w:t>(Véase “Estreptococos del grupo A, infecciones”, sección 3).</w:t>
      </w:r>
    </w:p>
    <w:p w14:paraId="6D316C72" w14:textId="77777777" w:rsidR="00924992" w:rsidRDefault="00924992">
      <w:pPr>
        <w:pStyle w:val="BodyText"/>
        <w:numPr>
          <w:ilvl w:val="0"/>
          <w:numId w:val="123"/>
        </w:numPr>
        <w:tabs>
          <w:tab w:val="left" w:pos="339"/>
        </w:tabs>
        <w:ind w:left="340" w:hanging="340"/>
      </w:pPr>
      <w:bookmarkStart w:id="236" w:name="bookmark1682"/>
      <w:bookmarkEnd w:id="236"/>
      <w:r>
        <w:rPr>
          <w:color w:val="000000"/>
        </w:rPr>
        <w:t>El diagnóstico de faringitis estreptocócica del grupo A debe hacerse con base en los resultados de métodos adecuados de laboratorio, junto con datos epidemiológicos y de la exploración clínica.</w:t>
      </w:r>
    </w:p>
    <w:p w14:paraId="1C1A519E" w14:textId="77777777" w:rsidR="00924992" w:rsidRDefault="00924992">
      <w:pPr>
        <w:pStyle w:val="BodyText"/>
        <w:numPr>
          <w:ilvl w:val="0"/>
          <w:numId w:val="123"/>
        </w:numPr>
        <w:tabs>
          <w:tab w:val="left" w:pos="339"/>
        </w:tabs>
        <w:spacing w:line="276" w:lineRule="auto"/>
        <w:ind w:left="340" w:hanging="340"/>
      </w:pPr>
      <w:bookmarkStart w:id="237" w:name="bookmark1683"/>
      <w:bookmarkEnd w:id="237"/>
      <w:r>
        <w:rPr>
          <w:color w:val="000000"/>
        </w:rPr>
        <w:t xml:space="preserve">No se administrarán antimicrobianos a un niño con faringitis, si no se han identificado estreptococos del grupo A. En raras ocasiones, otras bacterias pueden causarla </w:t>
      </w:r>
      <w:r>
        <w:rPr>
          <w:rFonts w:ascii="Times New Roman" w:eastAsia="Times New Roman" w:hAnsi="Times New Roman" w:cs="Times New Roman"/>
          <w:i/>
          <w:iCs/>
          <w:color w:val="000000"/>
          <w:sz w:val="16"/>
          <w:szCs w:val="16"/>
        </w:rPr>
        <w:t>(Corynebacterium diphtheriae, Francisella tularensis,</w:t>
      </w:r>
      <w:r>
        <w:rPr>
          <w:color w:val="000000"/>
        </w:rPr>
        <w:t xml:space="preserve"> estreptococos hemolíticos del grupo G y </w:t>
      </w:r>
      <w:r>
        <w:rPr>
          <w:rFonts w:ascii="Times New Roman" w:eastAsia="Times New Roman" w:hAnsi="Times New Roman" w:cs="Times New Roman"/>
          <w:i/>
          <w:iCs/>
          <w:color w:val="000000"/>
          <w:sz w:val="16"/>
          <w:szCs w:val="16"/>
        </w:rPr>
        <w:t>C, Neisseria gonorrhoeae, Arcanobacterium haemolyticum)</w:t>
      </w:r>
      <w:r>
        <w:rPr>
          <w:color w:val="000000"/>
        </w:rPr>
        <w:t xml:space="preserve"> y se emprenderá tratamiento con base en las recomendaciones hechas en los resúmenes en que se exponen enfermedades específicas en la sección 3 de este texto.</w:t>
      </w:r>
    </w:p>
    <w:p w14:paraId="38B9EC25" w14:textId="77777777" w:rsidR="00924992" w:rsidRDefault="00924992">
      <w:pPr>
        <w:pStyle w:val="BodyText"/>
        <w:numPr>
          <w:ilvl w:val="0"/>
          <w:numId w:val="123"/>
        </w:numPr>
        <w:tabs>
          <w:tab w:val="left" w:pos="339"/>
        </w:tabs>
        <w:spacing w:after="220"/>
        <w:ind w:left="340" w:hanging="340"/>
      </w:pPr>
      <w:bookmarkStart w:id="238" w:name="bookmark1684"/>
      <w:bookmarkEnd w:id="238"/>
      <w:r>
        <w:rPr>
          <w:color w:val="000000"/>
        </w:rPr>
        <w:t>La penicilina sigue siendo el fármaco más indicado para tratar la faringitis por estreptococos del grupo A.</w:t>
      </w:r>
    </w:p>
    <w:p w14:paraId="4FA527CC" w14:textId="77777777" w:rsidR="00924992" w:rsidRDefault="00924992">
      <w:pPr>
        <w:pStyle w:val="BodyText"/>
        <w:spacing w:after="220"/>
        <w:ind w:firstLine="0"/>
      </w:pPr>
      <w:r>
        <w:rPr>
          <w:color w:val="000000"/>
        </w:rPr>
        <w:t>RESFRIADO COMÚN</w:t>
      </w:r>
    </w:p>
    <w:p w14:paraId="0DF4AD95" w14:textId="77777777" w:rsidR="00924992" w:rsidRDefault="00924992">
      <w:pPr>
        <w:pStyle w:val="BodyText"/>
        <w:numPr>
          <w:ilvl w:val="0"/>
          <w:numId w:val="123"/>
        </w:numPr>
        <w:tabs>
          <w:tab w:val="left" w:pos="339"/>
        </w:tabs>
        <w:ind w:firstLine="0"/>
      </w:pPr>
      <w:bookmarkStart w:id="239" w:name="bookmark1685"/>
      <w:bookmarkEnd w:id="239"/>
      <w:r>
        <w:rPr>
          <w:color w:val="000000"/>
        </w:rPr>
        <w:t>No se administrarán antimicrobianos en caso de resfriado común.</w:t>
      </w:r>
    </w:p>
    <w:p w14:paraId="7EB3D2E4" w14:textId="77777777" w:rsidR="00924992" w:rsidRDefault="00924992">
      <w:pPr>
        <w:pStyle w:val="BodyText"/>
        <w:numPr>
          <w:ilvl w:val="0"/>
          <w:numId w:val="123"/>
        </w:numPr>
        <w:tabs>
          <w:tab w:val="left" w:pos="339"/>
        </w:tabs>
        <w:spacing w:after="100"/>
        <w:ind w:left="340" w:hanging="340"/>
      </w:pPr>
      <w:bookmarkStart w:id="240" w:name="bookmark1686"/>
      <w:bookmarkEnd w:id="240"/>
      <w:r>
        <w:rPr>
          <w:color w:val="000000"/>
        </w:rPr>
        <w:t>El resfriado común suele acompañarse de rinitis mucopurulenta (secreción nasal espesa, opaca o de diversos colores) y no constituye indicación para usar antimicrobianos, salvo que persista sin mejoría durante 10 a 14 días y esto sugiera sinusitis posible.</w:t>
      </w:r>
    </w:p>
    <w:p w14:paraId="53AE63A5" w14:textId="77777777" w:rsidR="00924992" w:rsidRDefault="00924992">
      <w:pPr>
        <w:pStyle w:val="Bodytext70"/>
        <w:spacing w:after="220"/>
      </w:pPr>
      <w:r>
        <w:rPr>
          <w:color w:val="000000"/>
        </w:rPr>
        <w:t>Principios del uso apropiado de la vancomicina</w:t>
      </w:r>
      <w:r>
        <w:rPr>
          <w:color w:val="000000"/>
        </w:rPr>
        <w:footnoteReference w:id="32"/>
      </w:r>
    </w:p>
    <w:p w14:paraId="6431A3A8" w14:textId="77777777" w:rsidR="00924992" w:rsidRDefault="00924992">
      <w:pPr>
        <w:pStyle w:val="BodyText"/>
        <w:ind w:firstLine="0"/>
        <w:sectPr w:rsidR="00924992" w:rsidSect="00924992">
          <w:headerReference w:type="even" r:id="rId222"/>
          <w:headerReference w:type="default" r:id="rId223"/>
          <w:footerReference w:type="even" r:id="rId224"/>
          <w:footerReference w:type="default" r:id="rId225"/>
          <w:headerReference w:type="first" r:id="rId226"/>
          <w:footerReference w:type="first" r:id="rId227"/>
          <w:footnotePr>
            <w:numFmt w:val="chicago"/>
          </w:footnotePr>
          <w:pgSz w:w="8501" w:h="13022"/>
          <w:pgMar w:top="905" w:right="722" w:bottom="521" w:left="910" w:header="0" w:footer="3" w:gutter="0"/>
          <w:cols w:space="720"/>
          <w:noEndnote/>
          <w:titlePg/>
          <w:docGrid w:linePitch="360"/>
          <w15:footnoteColumns w:val="1"/>
        </w:sectPr>
      </w:pPr>
      <w:r>
        <w:rPr>
          <w:color w:val="000000"/>
        </w:rPr>
        <w:t xml:space="preserve">En los últimos 10 años han surgido rápidamente enterococos resistentes a vancomicina como patógenos de origen nosocomial en los hospitales de Estados Unidos. También se ha señalado la aparición de cepas de </w:t>
      </w:r>
      <w:r>
        <w:rPr>
          <w:rFonts w:ascii="Times New Roman" w:eastAsia="Times New Roman" w:hAnsi="Times New Roman" w:cs="Times New Roman"/>
          <w:i/>
          <w:iCs/>
          <w:color w:val="000000"/>
          <w:sz w:val="16"/>
          <w:szCs w:val="16"/>
        </w:rPr>
        <w:t>S’, aureus</w:t>
      </w:r>
      <w:r>
        <w:rPr>
          <w:color w:val="000000"/>
        </w:rPr>
        <w:t xml:space="preserve"> con resistencia intermedia o alta a dicho antibiótico y a otros glucopéptidos. El principal factor de riesgo para el surgimiento de enterococos resistentes a dicho antibiótico y </w:t>
      </w:r>
      <w:r>
        <w:rPr>
          <w:rFonts w:ascii="Times New Roman" w:eastAsia="Times New Roman" w:hAnsi="Times New Roman" w:cs="Times New Roman"/>
          <w:i/>
          <w:iCs/>
          <w:color w:val="000000"/>
          <w:sz w:val="16"/>
          <w:szCs w:val="16"/>
        </w:rPr>
        <w:t xml:space="preserve">S, aureus </w:t>
      </w:r>
      <w:r>
        <w:rPr>
          <w:color w:val="000000"/>
        </w:rPr>
        <w:t xml:space="preserve">con resistencia intermedia o alta a él ha sido el empleo cada vez mayor de dicho fármaco, particularmente en sujetos que reciben atención hematológica-oncológica, </w:t>
      </w:r>
    </w:p>
    <w:p w14:paraId="5F604164" w14:textId="77777777" w:rsidR="00924992" w:rsidRDefault="00924992">
      <w:pPr>
        <w:pStyle w:val="BodyText"/>
        <w:ind w:firstLine="0"/>
      </w:pPr>
      <w:r>
        <w:rPr>
          <w:color w:val="000000"/>
        </w:rPr>
        <w:t>neonatológica, de operaciones en corazón y en el sistema nervioso. La prevención del surgimiento de nuevas cepas con resistencia a la vancomicina dependerá del empleo más adecuado que se haga de ella.</w:t>
      </w:r>
    </w:p>
    <w:p w14:paraId="0AB97F9C" w14:textId="77777777" w:rsidR="00924992" w:rsidRDefault="00924992">
      <w:pPr>
        <w:pStyle w:val="Bodytext20"/>
        <w:spacing w:line="314" w:lineRule="auto"/>
        <w:ind w:firstLine="360"/>
      </w:pPr>
      <w:r>
        <w:rPr>
          <w:b/>
          <w:bCs/>
          <w:i/>
          <w:iCs/>
          <w:color w:val="000000"/>
        </w:rPr>
        <w:t>Situaciones en que es apropiado el empleo de vancomicina:</w:t>
      </w:r>
    </w:p>
    <w:p w14:paraId="096134D4" w14:textId="77777777" w:rsidR="00924992" w:rsidRDefault="00924992">
      <w:pPr>
        <w:pStyle w:val="BodyText"/>
        <w:numPr>
          <w:ilvl w:val="0"/>
          <w:numId w:val="123"/>
        </w:numPr>
        <w:tabs>
          <w:tab w:val="left" w:pos="341"/>
        </w:tabs>
        <w:ind w:left="360" w:hanging="360"/>
      </w:pPr>
      <w:bookmarkStart w:id="241" w:name="bookmark1687"/>
      <w:bookmarkEnd w:id="241"/>
      <w:r>
        <w:rPr>
          <w:color w:val="000000"/>
        </w:rPr>
        <w:t>Para tratar infecciones graves atribuibles a gérmenes grampositivos resistentes a lactámicos beta.</w:t>
      </w:r>
    </w:p>
    <w:p w14:paraId="7134627C" w14:textId="77777777" w:rsidR="00924992" w:rsidRDefault="00924992">
      <w:pPr>
        <w:pStyle w:val="BodyText"/>
        <w:numPr>
          <w:ilvl w:val="0"/>
          <w:numId w:val="123"/>
        </w:numPr>
        <w:tabs>
          <w:tab w:val="left" w:pos="341"/>
        </w:tabs>
        <w:ind w:left="360" w:hanging="360"/>
      </w:pPr>
      <w:bookmarkStart w:id="242" w:name="bookmark1688"/>
      <w:bookmarkEnd w:id="242"/>
      <w:r>
        <w:rPr>
          <w:color w:val="000000"/>
        </w:rPr>
        <w:t>Para tratar infecciones atribuibles a microorganismos grampositivos en sujetos con alergia grave a los lactámicos beta.</w:t>
      </w:r>
    </w:p>
    <w:p w14:paraId="01B3151A" w14:textId="77777777" w:rsidR="00924992" w:rsidRDefault="00924992">
      <w:pPr>
        <w:pStyle w:val="BodyText"/>
        <w:numPr>
          <w:ilvl w:val="0"/>
          <w:numId w:val="123"/>
        </w:numPr>
        <w:tabs>
          <w:tab w:val="left" w:pos="341"/>
        </w:tabs>
        <w:spacing w:line="283" w:lineRule="auto"/>
        <w:ind w:left="360" w:hanging="360"/>
      </w:pPr>
      <w:bookmarkStart w:id="243" w:name="bookmark1689"/>
      <w:bookmarkEnd w:id="243"/>
      <w:r>
        <w:rPr>
          <w:color w:val="000000"/>
        </w:rPr>
        <w:t xml:space="preserve">Cuando un cuadro de colitis vinculada con el uso de antimicrobianos no mejora con metronidazol o si es grave y puede causar la muerte (véase </w:t>
      </w:r>
      <w:r>
        <w:rPr>
          <w:rFonts w:ascii="Times New Roman" w:eastAsia="Times New Roman" w:hAnsi="Times New Roman" w:cs="Times New Roman"/>
          <w:i/>
          <w:iCs/>
          <w:color w:val="000000"/>
          <w:sz w:val="16"/>
          <w:szCs w:val="16"/>
        </w:rPr>
        <w:t>“Clostridium difficile"</w:t>
      </w:r>
      <w:r>
        <w:rPr>
          <w:color w:val="000000"/>
        </w:rPr>
        <w:t xml:space="preserve"> en Clostridios, infección, sección 3).</w:t>
      </w:r>
    </w:p>
    <w:p w14:paraId="4E3D4935" w14:textId="77777777" w:rsidR="00924992" w:rsidRDefault="00924992">
      <w:pPr>
        <w:pStyle w:val="BodyText"/>
        <w:numPr>
          <w:ilvl w:val="0"/>
          <w:numId w:val="123"/>
        </w:numPr>
        <w:tabs>
          <w:tab w:val="left" w:pos="341"/>
        </w:tabs>
        <w:ind w:left="360" w:hanging="360"/>
      </w:pPr>
      <w:bookmarkStart w:id="244" w:name="bookmark1690"/>
      <w:bookmarkEnd w:id="244"/>
      <w:r>
        <w:rPr>
          <w:color w:val="000000"/>
        </w:rPr>
        <w:t xml:space="preserve">Para profilaxia (tal como recomienda la </w:t>
      </w:r>
      <w:r>
        <w:rPr>
          <w:rFonts w:ascii="Times New Roman" w:eastAsia="Times New Roman" w:hAnsi="Times New Roman" w:cs="Times New Roman"/>
          <w:i/>
          <w:iCs/>
          <w:color w:val="000000"/>
          <w:sz w:val="16"/>
          <w:szCs w:val="16"/>
        </w:rPr>
        <w:t>American Heart Association</w:t>
      </w:r>
      <w:r>
        <w:rPr>
          <w:i/>
          <w:iCs/>
          <w:color w:val="000000"/>
        </w:rPr>
        <w:t>)</w:t>
      </w:r>
      <w:r>
        <w:rPr>
          <w:color w:val="000000"/>
        </w:rPr>
        <w:t xml:space="preserve"> contra la endocarditis después de algunos procedimientos operatorios en sujetos con elevado peligro de que surja la inflamación del endocardio (véase “Prevención de endocarditis bacteriana", sección 5).</w:t>
      </w:r>
    </w:p>
    <w:p w14:paraId="202E4A07" w14:textId="77777777" w:rsidR="00924992" w:rsidRDefault="00924992">
      <w:pPr>
        <w:pStyle w:val="BodyText"/>
        <w:numPr>
          <w:ilvl w:val="0"/>
          <w:numId w:val="123"/>
        </w:numPr>
        <w:tabs>
          <w:tab w:val="left" w:pos="341"/>
        </w:tabs>
        <w:ind w:left="360" w:hanging="360"/>
      </w:pPr>
      <w:bookmarkStart w:id="245" w:name="bookmark1691"/>
      <w:bookmarkEnd w:id="245"/>
      <w:r>
        <w:rPr>
          <w:color w:val="000000"/>
        </w:rPr>
        <w:t xml:space="preserve">En la profilaxia para métodos quirúrgicos importantes que incluyen la colocación de prótesis o dispositivos en instituciones en que surge una cifra alta de infecciones atribuibles a </w:t>
      </w:r>
      <w:r>
        <w:rPr>
          <w:rFonts w:ascii="Times New Roman" w:eastAsia="Times New Roman" w:hAnsi="Times New Roman" w:cs="Times New Roman"/>
          <w:i/>
          <w:iCs/>
          <w:color w:val="000000"/>
          <w:sz w:val="16"/>
          <w:szCs w:val="16"/>
        </w:rPr>
        <w:t>5. aureus</w:t>
      </w:r>
      <w:r>
        <w:rPr>
          <w:color w:val="000000"/>
        </w:rPr>
        <w:t xml:space="preserve"> resistente a meticilina o a estafilococos coagulasa-negativos resistentes al mismo antibiótico.</w:t>
      </w:r>
    </w:p>
    <w:p w14:paraId="2ADABBDF" w14:textId="77777777" w:rsidR="00924992" w:rsidRDefault="00924992">
      <w:pPr>
        <w:pStyle w:val="Bodytext20"/>
        <w:spacing w:line="240" w:lineRule="auto"/>
        <w:ind w:firstLine="360"/>
      </w:pPr>
      <w:r>
        <w:rPr>
          <w:b/>
          <w:bCs/>
          <w:i/>
          <w:iCs/>
          <w:color w:val="000000"/>
        </w:rPr>
        <w:t>Situaciones en que será mejor no usar vancomicina:</w:t>
      </w:r>
    </w:p>
    <w:p w14:paraId="24661EDF" w14:textId="77777777" w:rsidR="00924992" w:rsidRDefault="00924992">
      <w:pPr>
        <w:pStyle w:val="BodyText"/>
        <w:spacing w:line="240" w:lineRule="auto"/>
        <w:ind w:firstLine="360"/>
      </w:pPr>
      <w:r>
        <w:rPr>
          <w:color w:val="000000"/>
        </w:rPr>
        <w:t>Profilaxia sistemática en:</w:t>
      </w:r>
    </w:p>
    <w:p w14:paraId="7CBB2813" w14:textId="77777777" w:rsidR="00924992" w:rsidRDefault="00924992">
      <w:pPr>
        <w:pStyle w:val="BodyText"/>
        <w:ind w:left="700" w:firstLine="0"/>
      </w:pPr>
      <w:r>
        <w:rPr>
          <w:color w:val="000000"/>
        </w:rPr>
        <w:t>Pacientes quirúrgicos diferentes de los que tienen alergia letal a antimicrobianos lactámicos beta.</w:t>
      </w:r>
    </w:p>
    <w:p w14:paraId="32FD63A7" w14:textId="77777777" w:rsidR="00924992" w:rsidRDefault="00924992">
      <w:pPr>
        <w:pStyle w:val="BodyText"/>
        <w:ind w:left="700" w:firstLine="0"/>
      </w:pPr>
      <w:r>
        <w:rPr>
          <w:color w:val="000000"/>
        </w:rPr>
        <w:t>Pequeños con bajísimo peso neonatal. Niños sometidos a diálisis peritoneal ambulatoria continua o hemodiálisis. Medidas para evitar la infección o la colonización de catéteres o sondas intravasculares periféricas o a permanencia en una vena central (con “llave" sistémica o para antibióticos).</w:t>
      </w:r>
    </w:p>
    <w:p w14:paraId="3DE4D629" w14:textId="77777777" w:rsidR="00924992" w:rsidRDefault="00924992">
      <w:pPr>
        <w:pStyle w:val="BodyText"/>
        <w:ind w:left="360" w:firstLine="0"/>
      </w:pPr>
      <w:r>
        <w:rPr>
          <w:color w:val="000000"/>
        </w:rPr>
        <w:t xml:space="preserve">Terapia antimicrobiana empírica en un sujeto neutropénico febril, salvo que pruebas determinantes denoten la presencia de una infección atribuible a microorganismos grampositivos, y que sea grande la prevalencia de infecciones atribuibles a </w:t>
      </w:r>
      <w:r>
        <w:rPr>
          <w:rFonts w:ascii="Times New Roman" w:eastAsia="Times New Roman" w:hAnsi="Times New Roman" w:cs="Times New Roman"/>
          <w:i/>
          <w:iCs/>
          <w:color w:val="000000"/>
          <w:sz w:val="16"/>
          <w:szCs w:val="16"/>
        </w:rPr>
        <w:t>5. aureus</w:t>
      </w:r>
      <w:r>
        <w:rPr>
          <w:color w:val="000000"/>
        </w:rPr>
        <w:t xml:space="preserve"> resistente a meticilina, en el hospital.</w:t>
      </w:r>
    </w:p>
    <w:p w14:paraId="0EF8AA3B" w14:textId="77777777" w:rsidR="00924992" w:rsidRDefault="00924992">
      <w:pPr>
        <w:pStyle w:val="BodyText"/>
        <w:ind w:left="360" w:firstLine="0"/>
      </w:pPr>
      <w:r>
        <w:rPr>
          <w:color w:val="000000"/>
        </w:rPr>
        <w:t>Tratamiento en respuesta a un solo resultado positivo de cultivo de sangre en busca de estafilococos coagulasa-negativo, si son negativos los resultados de otros cultivos de sangre hechos en el mismo periodo.</w:t>
      </w:r>
    </w:p>
    <w:p w14:paraId="74A749E9" w14:textId="77777777" w:rsidR="00924992" w:rsidRDefault="00924992">
      <w:pPr>
        <w:pStyle w:val="BodyText"/>
        <w:ind w:left="360" w:firstLine="0"/>
      </w:pPr>
      <w:r>
        <w:rPr>
          <w:color w:val="000000"/>
        </w:rPr>
        <w:t>Uso empírico ininterrumpido contra supuestas infecciones en pacientes cuyos resultados de cultivos no indican la presencia de microorganismos gramnegativos resistentes a lactámicos beta.</w:t>
      </w:r>
    </w:p>
    <w:p w14:paraId="50CB5D7D" w14:textId="77777777" w:rsidR="00924992" w:rsidRDefault="00924992">
      <w:pPr>
        <w:pStyle w:val="BodyText"/>
        <w:ind w:firstLine="360"/>
      </w:pPr>
      <w:r>
        <w:rPr>
          <w:color w:val="000000"/>
        </w:rPr>
        <w:t>Descontaminación selectiva de las vías gastrointestinales.</w:t>
      </w:r>
    </w:p>
    <w:p w14:paraId="24CE6957" w14:textId="77777777" w:rsidR="00924992" w:rsidRDefault="00924992">
      <w:pPr>
        <w:pStyle w:val="BodyText"/>
        <w:ind w:left="360" w:firstLine="0"/>
      </w:pPr>
      <w:r>
        <w:rPr>
          <w:color w:val="000000"/>
        </w:rPr>
        <w:t xml:space="preserve">Intentos de erradicación de la colonización por </w:t>
      </w:r>
      <w:r>
        <w:rPr>
          <w:rFonts w:ascii="Times New Roman" w:eastAsia="Times New Roman" w:hAnsi="Times New Roman" w:cs="Times New Roman"/>
          <w:i/>
          <w:iCs/>
          <w:color w:val="000000"/>
          <w:sz w:val="16"/>
          <w:szCs w:val="16"/>
        </w:rPr>
        <w:t>5. aureus</w:t>
      </w:r>
      <w:r>
        <w:rPr>
          <w:color w:val="000000"/>
        </w:rPr>
        <w:t xml:space="preserve"> resistente a meticilina. Tratamiento primario de la colitis vinculada con antimicrobianos (véase </w:t>
      </w:r>
      <w:r>
        <w:rPr>
          <w:i/>
          <w:iCs/>
          <w:color w:val="000000"/>
        </w:rPr>
        <w:t>“</w:t>
      </w:r>
      <w:r>
        <w:rPr>
          <w:rFonts w:ascii="Times New Roman" w:eastAsia="Times New Roman" w:hAnsi="Times New Roman" w:cs="Times New Roman"/>
          <w:i/>
          <w:iCs/>
          <w:color w:val="000000"/>
          <w:sz w:val="16"/>
          <w:szCs w:val="16"/>
        </w:rPr>
        <w:t>Clostridium difficile"</w:t>
      </w:r>
      <w:r>
        <w:rPr>
          <w:color w:val="000000"/>
        </w:rPr>
        <w:t xml:space="preserve"> en Clostridios, infección, sección 3).</w:t>
      </w:r>
    </w:p>
    <w:p w14:paraId="1DABFBC9" w14:textId="77777777" w:rsidR="00924992" w:rsidRDefault="00924992">
      <w:pPr>
        <w:pStyle w:val="BodyText"/>
        <w:ind w:left="360" w:firstLine="0"/>
      </w:pPr>
      <w:r>
        <w:rPr>
          <w:color w:val="000000"/>
        </w:rPr>
        <w:t>Tratamiento de infecciones atribuibles a microorganismos grampositivos susceptibles a lactámicos beta, incluida la vancomicina que se utiliza por comodidad posológica en niños con insuficiencia renal.</w:t>
      </w:r>
    </w:p>
    <w:p w14:paraId="69E704F1" w14:textId="77777777" w:rsidR="00924992" w:rsidRDefault="00924992">
      <w:pPr>
        <w:pStyle w:val="BodyText"/>
        <w:ind w:firstLine="360"/>
      </w:pPr>
      <w:r>
        <w:rPr>
          <w:color w:val="000000"/>
        </w:rPr>
        <w:t>Aplicación tópica o irrigación.</w:t>
      </w:r>
    </w:p>
    <w:p w14:paraId="5EB570DC" w14:textId="77777777" w:rsidR="00924992" w:rsidRDefault="00924992">
      <w:pPr>
        <w:pStyle w:val="Bodytext70"/>
        <w:spacing w:after="340" w:line="206" w:lineRule="auto"/>
      </w:pPr>
      <w:r>
        <w:rPr>
          <w:color w:val="000000"/>
        </w:rPr>
        <w:t>Prevención de la resistencia a antimicrobianos en el medio asistencial</w:t>
      </w:r>
    </w:p>
    <w:p w14:paraId="71B7838E" w14:textId="77777777" w:rsidR="00924992" w:rsidRDefault="00924992">
      <w:pPr>
        <w:pStyle w:val="BodyText"/>
        <w:ind w:firstLine="0"/>
        <w:sectPr w:rsidR="00924992" w:rsidSect="00924992">
          <w:headerReference w:type="even" r:id="rId228"/>
          <w:headerReference w:type="default" r:id="rId229"/>
          <w:footerReference w:type="even" r:id="rId230"/>
          <w:footerReference w:type="default" r:id="rId231"/>
          <w:headerReference w:type="first" r:id="rId232"/>
          <w:footerReference w:type="first" r:id="rId233"/>
          <w:footnotePr>
            <w:numFmt w:val="chicago"/>
          </w:footnotePr>
          <w:pgSz w:w="8501" w:h="13022"/>
          <w:pgMar w:top="905" w:right="722" w:bottom="521" w:left="910" w:header="0" w:footer="3" w:gutter="0"/>
          <w:cols w:space="720"/>
          <w:noEndnote/>
          <w:titlePg/>
          <w:docGrid w:linePitch="360"/>
          <w15:footnoteColumns w:val="1"/>
        </w:sectPr>
      </w:pPr>
      <w:r>
        <w:rPr>
          <w:color w:val="000000"/>
        </w:rPr>
        <w:t xml:space="preserve">En Estados Unidos, los CDC han emprendido una campaña orientada a destacar la importancia de una resistencia a los antimicrobianos de modo que participen clínicos, instituciones asistenciales y pacientes en los intentos de evitar tal resistencia y favorecer una atención más segura. La </w:t>
      </w:r>
      <w:r>
        <w:rPr>
          <w:rFonts w:ascii="Times New Roman" w:eastAsia="Times New Roman" w:hAnsi="Times New Roman" w:cs="Times New Roman"/>
          <w:i/>
          <w:iCs/>
          <w:color w:val="000000"/>
          <w:sz w:val="16"/>
          <w:szCs w:val="16"/>
        </w:rPr>
        <w:t>Campaign to Prevent Antimicrobial Resistance</w:t>
      </w:r>
      <w:r>
        <w:rPr>
          <w:color w:val="000000"/>
        </w:rPr>
        <w:t xml:space="preserve"> se orienta a cuatro estrategias integradas: evitar la infección, diagnosticarla y tratarla eficazmente, usar con prudencia los antimicrobianos y evitar la transmisión. Se pueden obtener más datos de tal campaña en la página </w:t>
      </w:r>
      <w:hyperlink r:id="rId234" w:history="1">
        <w:r>
          <w:rPr>
            <w:color w:val="000000"/>
          </w:rPr>
          <w:t>www.cdc.gov/drugresistance/healthcare/</w:t>
        </w:r>
      </w:hyperlink>
      <w:r>
        <w:rPr>
          <w:color w:val="000000"/>
        </w:rPr>
        <w:t>.</w:t>
      </w:r>
    </w:p>
    <w:p w14:paraId="283EE469" w14:textId="77777777" w:rsidR="00924992" w:rsidRDefault="00924992">
      <w:pPr>
        <w:pStyle w:val="Bodytext100"/>
      </w:pPr>
      <w:r>
        <w:rPr>
          <w:color w:val="000000"/>
          <w:sz w:val="34"/>
          <w:szCs w:val="34"/>
        </w:rPr>
        <w:t>C</w:t>
      </w:r>
      <w:r>
        <w:rPr>
          <w:color w:val="000000"/>
        </w:rPr>
        <w:t>uadros de dosis de antimicrobianos</w:t>
      </w:r>
    </w:p>
    <w:p w14:paraId="0FCD5382" w14:textId="77777777" w:rsidR="00924992" w:rsidRDefault="00924992">
      <w:pPr>
        <w:pStyle w:val="BodyText"/>
        <w:ind w:firstLine="0"/>
      </w:pPr>
      <w:r>
        <w:rPr>
          <w:color w:val="000000"/>
        </w:rPr>
        <w:t>Las dosis recomendadas de los antimicrobianos más usados en neonatos (véase cuadro 4-1) y en lactantes de mayor edad y niños (véase el cuadro 4-2) se exponen por separado en los cuadros siguientes por la inmadurez fisiológica de los neonatos y la consecuente diferencia en la farmacocinética. El cuadro correspondiente a neonatos se divide en apartados según la edad posnatal y el peso natal porque existen diferencias en la farmacocinética conforme a los grupos de edad.</w:t>
      </w:r>
    </w:p>
    <w:p w14:paraId="53096104" w14:textId="77777777" w:rsidR="00924992" w:rsidRDefault="00924992">
      <w:pPr>
        <w:pStyle w:val="BodyText"/>
        <w:ind w:firstLine="360"/>
      </w:pPr>
      <w:r>
        <w:rPr>
          <w:color w:val="000000"/>
        </w:rPr>
        <w:t>Las dosis recomendadas no son absolutas y se plantean sólo como orientación y guía. El criterio clínico respecto a la enfermedad, las alteraciones de las funciones renal o hepática, la administración simultánea de otros fármacos y otros factores que modifican la farmacocinética, la respuesta del paciente y los resultados de estudios de laboratorio pueden dictar las modificaciones de estas recomendaciones en un paciente particular. En algunos casos se recomienda medir en forma seriada las concentraciones de los fármacos en suero para evitar efectos tóxicos y asegurar eficacia y terapéutica.</w:t>
      </w:r>
    </w:p>
    <w:p w14:paraId="29DBB889" w14:textId="77777777" w:rsidR="00924992" w:rsidRDefault="00924992">
      <w:pPr>
        <w:pStyle w:val="BodyText"/>
        <w:ind w:firstLine="360"/>
        <w:sectPr w:rsidR="00924992" w:rsidSect="00924992">
          <w:headerReference w:type="even" r:id="rId235"/>
          <w:headerReference w:type="default" r:id="rId236"/>
          <w:footerReference w:type="even" r:id="rId237"/>
          <w:footerReference w:type="default" r:id="rId238"/>
          <w:footnotePr>
            <w:numFmt w:val="chicago"/>
          </w:footnotePr>
          <w:pgSz w:w="8501" w:h="13022"/>
          <w:pgMar w:top="1037" w:right="1229" w:bottom="1037" w:left="499" w:header="0" w:footer="609" w:gutter="0"/>
          <w:cols w:space="720"/>
          <w:noEndnote/>
          <w:docGrid w:linePitch="360"/>
          <w15:footnoteColumns w:val="1"/>
        </w:sectPr>
      </w:pPr>
      <w:r>
        <w:rPr>
          <w:color w:val="000000"/>
        </w:rPr>
        <w:t>Es importante consultar los datos que proporciona el fabricante en busca de detalles, como la solución para reconstituir preparados inyectables, medidas que deben tomarse para evitar incompatibilidades (físicas), interacciones medicamentosas y otras precauciones.</w:t>
      </w:r>
    </w:p>
    <w:p w14:paraId="6D4330B1" w14:textId="77777777" w:rsidR="00924992" w:rsidRDefault="00924992">
      <w:pPr>
        <w:pStyle w:val="Heading31"/>
        <w:keepNext/>
        <w:keepLines/>
        <w:framePr w:w="9514" w:h="322" w:wrap="none" w:hAnchor="page" w:x="1580" w:y="1"/>
      </w:pPr>
      <w:bookmarkStart w:id="246" w:name="bookmark1692"/>
      <w:bookmarkStart w:id="247" w:name="bookmark1693"/>
      <w:bookmarkStart w:id="248" w:name="bookmark1694"/>
      <w:r>
        <w:rPr>
          <w:b w:val="0"/>
          <w:bCs w:val="0"/>
          <w:color w:val="000000"/>
        </w:rPr>
        <w:t xml:space="preserve">Cuadro 4-1. </w:t>
      </w:r>
      <w:r>
        <w:rPr>
          <w:color w:val="000000"/>
        </w:rPr>
        <w:t>Antibacterianos para usar en neonatos: dosis</w:t>
      </w:r>
      <w:r>
        <w:rPr>
          <w:color w:val="000000"/>
          <w:vertAlign w:val="superscript"/>
        </w:rPr>
        <w:t>1</w:t>
      </w:r>
      <w:r>
        <w:rPr>
          <w:color w:val="000000"/>
        </w:rPr>
        <w:t xml:space="preserve"> (mg/kg o U/kg) y frecuencia de administración</w:t>
      </w:r>
      <w:bookmarkEnd w:id="246"/>
      <w:bookmarkEnd w:id="247"/>
      <w:bookmarkEnd w:id="248"/>
    </w:p>
    <w:tbl>
      <w:tblPr>
        <w:tblOverlap w:val="never"/>
        <w:tblW w:w="0" w:type="auto"/>
        <w:tblLayout w:type="fixed"/>
        <w:tblCellMar>
          <w:left w:w="10" w:type="dxa"/>
          <w:right w:w="10" w:type="dxa"/>
        </w:tblCellMar>
        <w:tblLook w:val="04A0" w:firstRow="1" w:lastRow="0" w:firstColumn="1" w:lastColumn="0" w:noHBand="0" w:noVBand="1"/>
      </w:tblPr>
      <w:tblGrid>
        <w:gridCol w:w="1618"/>
        <w:gridCol w:w="1109"/>
        <w:gridCol w:w="1565"/>
        <w:gridCol w:w="1622"/>
        <w:gridCol w:w="1786"/>
        <w:gridCol w:w="1891"/>
        <w:gridCol w:w="1853"/>
      </w:tblGrid>
      <w:tr w:rsidR="00924992" w14:paraId="02B210C4" w14:textId="77777777">
        <w:tblPrEx>
          <w:tblCellMar>
            <w:top w:w="0" w:type="dxa"/>
            <w:bottom w:w="0" w:type="dxa"/>
          </w:tblCellMar>
        </w:tblPrEx>
        <w:trPr>
          <w:trHeight w:hRule="exact" w:val="557"/>
        </w:trPr>
        <w:tc>
          <w:tcPr>
            <w:tcW w:w="1618" w:type="dxa"/>
            <w:shd w:val="clear" w:color="auto" w:fill="000000"/>
          </w:tcPr>
          <w:p w14:paraId="45AFD6BC" w14:textId="77777777" w:rsidR="00924992" w:rsidRDefault="00924992">
            <w:pPr>
              <w:framePr w:w="11443" w:h="6638" w:hSpace="19" w:vSpace="221" w:wrap="none" w:hAnchor="page" w:x="611" w:y="356"/>
              <w:rPr>
                <w:sz w:val="10"/>
                <w:szCs w:val="10"/>
              </w:rPr>
            </w:pPr>
          </w:p>
        </w:tc>
        <w:tc>
          <w:tcPr>
            <w:tcW w:w="2674" w:type="dxa"/>
            <w:gridSpan w:val="2"/>
            <w:shd w:val="clear" w:color="auto" w:fill="000000"/>
            <w:vAlign w:val="bottom"/>
          </w:tcPr>
          <w:p w14:paraId="05CDBB73" w14:textId="77777777" w:rsidR="00924992" w:rsidRDefault="00924992">
            <w:pPr>
              <w:pStyle w:val="Other0"/>
              <w:framePr w:w="11443" w:h="6638" w:hSpace="19" w:vSpace="221" w:wrap="none" w:hAnchor="page" w:x="611" w:y="356"/>
              <w:pBdr>
                <w:top w:val="single" w:sz="0" w:space="0" w:color="000000"/>
                <w:left w:val="single" w:sz="0" w:space="0" w:color="000000"/>
                <w:bottom w:val="single" w:sz="0" w:space="0" w:color="000000"/>
                <w:right w:val="single" w:sz="0" w:space="0" w:color="000000"/>
              </w:pBdr>
              <w:shd w:val="clear" w:color="auto" w:fill="000000"/>
              <w:spacing w:line="240" w:lineRule="auto"/>
              <w:ind w:firstLine="0"/>
              <w:jc w:val="center"/>
              <w:rPr>
                <w:sz w:val="24"/>
                <w:szCs w:val="24"/>
              </w:rPr>
            </w:pPr>
            <w:r>
              <w:rPr>
                <w:rFonts w:ascii="Arial" w:eastAsia="Arial" w:hAnsi="Arial" w:cs="Arial"/>
                <w:b/>
                <w:bCs/>
                <w:color w:val="FFFFFF"/>
                <w:w w:val="70"/>
                <w:sz w:val="24"/>
                <w:szCs w:val="24"/>
              </w:rPr>
              <w:t>Lactantes de 0 a 4 semanas de edad</w:t>
            </w:r>
          </w:p>
        </w:tc>
        <w:tc>
          <w:tcPr>
            <w:tcW w:w="3408" w:type="dxa"/>
            <w:gridSpan w:val="2"/>
            <w:shd w:val="clear" w:color="auto" w:fill="000000"/>
            <w:vAlign w:val="bottom"/>
          </w:tcPr>
          <w:p w14:paraId="409CD364" w14:textId="77777777" w:rsidR="00924992" w:rsidRDefault="00924992">
            <w:pPr>
              <w:pStyle w:val="Other0"/>
              <w:framePr w:w="11443" w:h="6638" w:hSpace="19" w:vSpace="221" w:wrap="none" w:hAnchor="page" w:x="611" w:y="356"/>
              <w:pBdr>
                <w:top w:val="single" w:sz="0" w:space="0" w:color="000000"/>
                <w:left w:val="single" w:sz="0" w:space="0" w:color="000000"/>
                <w:bottom w:val="single" w:sz="0" w:space="0" w:color="000000"/>
                <w:right w:val="single" w:sz="0" w:space="0" w:color="000000"/>
              </w:pBdr>
              <w:shd w:val="clear" w:color="auto" w:fill="000000"/>
              <w:spacing w:line="240" w:lineRule="auto"/>
              <w:ind w:firstLine="0"/>
              <w:jc w:val="center"/>
              <w:rPr>
                <w:sz w:val="24"/>
                <w:szCs w:val="24"/>
              </w:rPr>
            </w:pPr>
            <w:r>
              <w:rPr>
                <w:rFonts w:ascii="Arial" w:eastAsia="Arial" w:hAnsi="Arial" w:cs="Arial"/>
                <w:b/>
                <w:bCs/>
                <w:color w:val="FFFFFF"/>
                <w:w w:val="70"/>
                <w:sz w:val="24"/>
                <w:szCs w:val="24"/>
              </w:rPr>
              <w:t>Menores de una semana de edad</w:t>
            </w:r>
          </w:p>
        </w:tc>
        <w:tc>
          <w:tcPr>
            <w:tcW w:w="3744" w:type="dxa"/>
            <w:gridSpan w:val="2"/>
            <w:shd w:val="clear" w:color="auto" w:fill="000000"/>
            <w:vAlign w:val="bottom"/>
          </w:tcPr>
          <w:p w14:paraId="5B666809" w14:textId="77777777" w:rsidR="00924992" w:rsidRDefault="00924992">
            <w:pPr>
              <w:pStyle w:val="Other0"/>
              <w:framePr w:w="11443" w:h="6638" w:hSpace="19" w:vSpace="221" w:wrap="none" w:hAnchor="page" w:x="611" w:y="356"/>
              <w:pBdr>
                <w:top w:val="single" w:sz="0" w:space="0" w:color="000000"/>
                <w:left w:val="single" w:sz="0" w:space="0" w:color="000000"/>
                <w:bottom w:val="single" w:sz="0" w:space="0" w:color="000000"/>
                <w:right w:val="single" w:sz="0" w:space="0" w:color="000000"/>
              </w:pBdr>
              <w:shd w:val="clear" w:color="auto" w:fill="000000"/>
              <w:spacing w:line="240" w:lineRule="auto"/>
              <w:ind w:firstLine="0"/>
              <w:jc w:val="center"/>
              <w:rPr>
                <w:sz w:val="24"/>
                <w:szCs w:val="24"/>
              </w:rPr>
            </w:pPr>
            <w:r>
              <w:rPr>
                <w:rFonts w:ascii="Arial" w:eastAsia="Arial" w:hAnsi="Arial" w:cs="Arial"/>
                <w:b/>
                <w:bCs/>
                <w:color w:val="FFFFFF"/>
                <w:w w:val="70"/>
                <w:sz w:val="24"/>
                <w:szCs w:val="24"/>
              </w:rPr>
              <w:t>Lactantes de una semana de edad o mayores</w:t>
            </w:r>
          </w:p>
        </w:tc>
      </w:tr>
      <w:tr w:rsidR="00924992" w14:paraId="0A021722" w14:textId="77777777">
        <w:tblPrEx>
          <w:tblCellMar>
            <w:top w:w="0" w:type="dxa"/>
            <w:bottom w:w="0" w:type="dxa"/>
          </w:tblCellMar>
        </w:tblPrEx>
        <w:trPr>
          <w:trHeight w:hRule="exact" w:val="288"/>
        </w:trPr>
        <w:tc>
          <w:tcPr>
            <w:tcW w:w="1618" w:type="dxa"/>
            <w:shd w:val="clear" w:color="auto" w:fill="000000"/>
            <w:vAlign w:val="bottom"/>
          </w:tcPr>
          <w:p w14:paraId="0439ED79" w14:textId="77777777" w:rsidR="00924992" w:rsidRDefault="00924992">
            <w:pPr>
              <w:pStyle w:val="Other0"/>
              <w:framePr w:w="11443" w:h="6638" w:hSpace="19" w:vSpace="221" w:wrap="none" w:hAnchor="page" w:x="611" w:y="356"/>
              <w:pBdr>
                <w:top w:val="single" w:sz="0" w:space="0" w:color="000000"/>
                <w:left w:val="single" w:sz="0" w:space="0" w:color="000000"/>
                <w:bottom w:val="single" w:sz="0" w:space="0" w:color="000000"/>
                <w:right w:val="single" w:sz="0" w:space="0" w:color="000000"/>
              </w:pBdr>
              <w:shd w:val="clear" w:color="auto" w:fill="000000"/>
              <w:spacing w:line="240" w:lineRule="auto"/>
              <w:ind w:firstLine="0"/>
              <w:rPr>
                <w:sz w:val="24"/>
                <w:szCs w:val="24"/>
              </w:rPr>
            </w:pPr>
            <w:r>
              <w:rPr>
                <w:rFonts w:ascii="Arial" w:eastAsia="Arial" w:hAnsi="Arial" w:cs="Arial"/>
                <w:b/>
                <w:bCs/>
                <w:color w:val="FFFFFF"/>
                <w:w w:val="70"/>
                <w:sz w:val="24"/>
                <w:szCs w:val="24"/>
              </w:rPr>
              <w:t>Fármaco</w:t>
            </w:r>
          </w:p>
        </w:tc>
        <w:tc>
          <w:tcPr>
            <w:tcW w:w="1109" w:type="dxa"/>
            <w:tcBorders>
              <w:top w:val="single" w:sz="4" w:space="0" w:color="auto"/>
            </w:tcBorders>
            <w:shd w:val="clear" w:color="auto" w:fill="000000"/>
            <w:vAlign w:val="bottom"/>
          </w:tcPr>
          <w:p w14:paraId="3D57EC43" w14:textId="77777777" w:rsidR="00924992" w:rsidRDefault="00924992">
            <w:pPr>
              <w:pStyle w:val="Other0"/>
              <w:framePr w:w="11443" w:h="6638" w:hSpace="19" w:vSpace="221" w:wrap="none" w:hAnchor="page" w:x="611" w:y="356"/>
              <w:pBdr>
                <w:top w:val="single" w:sz="0" w:space="0" w:color="000000"/>
                <w:left w:val="single" w:sz="0" w:space="0" w:color="000000"/>
                <w:bottom w:val="single" w:sz="0" w:space="0" w:color="000000"/>
                <w:right w:val="single" w:sz="0" w:space="0" w:color="000000"/>
              </w:pBdr>
              <w:shd w:val="clear" w:color="auto" w:fill="000000"/>
              <w:spacing w:line="240" w:lineRule="auto"/>
              <w:ind w:firstLine="0"/>
              <w:rPr>
                <w:sz w:val="24"/>
                <w:szCs w:val="24"/>
              </w:rPr>
            </w:pPr>
            <w:r>
              <w:rPr>
                <w:rFonts w:ascii="Arial" w:eastAsia="Arial" w:hAnsi="Arial" w:cs="Arial"/>
                <w:b/>
                <w:bCs/>
                <w:color w:val="FFFFFF"/>
                <w:w w:val="70"/>
                <w:sz w:val="24"/>
                <w:szCs w:val="24"/>
              </w:rPr>
              <w:t>Vía</w:t>
            </w:r>
          </w:p>
        </w:tc>
        <w:tc>
          <w:tcPr>
            <w:tcW w:w="1565" w:type="dxa"/>
            <w:tcBorders>
              <w:top w:val="single" w:sz="4" w:space="0" w:color="auto"/>
            </w:tcBorders>
            <w:shd w:val="clear" w:color="auto" w:fill="000000"/>
            <w:vAlign w:val="bottom"/>
          </w:tcPr>
          <w:p w14:paraId="710FA4BD" w14:textId="77777777" w:rsidR="00924992" w:rsidRDefault="00924992">
            <w:pPr>
              <w:pStyle w:val="Other0"/>
              <w:framePr w:w="11443" w:h="6638" w:hSpace="19" w:vSpace="221" w:wrap="none" w:hAnchor="page" w:x="611" w:y="356"/>
              <w:pBdr>
                <w:top w:val="single" w:sz="0" w:space="0" w:color="000000"/>
                <w:left w:val="single" w:sz="0" w:space="0" w:color="000000"/>
                <w:bottom w:val="single" w:sz="0" w:space="0" w:color="000000"/>
                <w:right w:val="single" w:sz="0" w:space="0" w:color="000000"/>
              </w:pBdr>
              <w:shd w:val="clear" w:color="auto" w:fill="000000"/>
              <w:spacing w:line="240" w:lineRule="auto"/>
              <w:ind w:firstLine="0"/>
              <w:rPr>
                <w:sz w:val="24"/>
                <w:szCs w:val="24"/>
              </w:rPr>
            </w:pPr>
            <w:r>
              <w:rPr>
                <w:rFonts w:ascii="Arial" w:eastAsia="Arial" w:hAnsi="Arial" w:cs="Arial"/>
                <w:b/>
                <w:bCs/>
                <w:color w:val="FFFFFF"/>
                <w:w w:val="70"/>
                <w:sz w:val="24"/>
                <w:szCs w:val="24"/>
              </w:rPr>
              <w:t>BW &lt;1 200 g</w:t>
            </w:r>
          </w:p>
        </w:tc>
        <w:tc>
          <w:tcPr>
            <w:tcW w:w="1622" w:type="dxa"/>
            <w:tcBorders>
              <w:top w:val="single" w:sz="4" w:space="0" w:color="auto"/>
            </w:tcBorders>
            <w:shd w:val="clear" w:color="auto" w:fill="000000"/>
            <w:vAlign w:val="bottom"/>
          </w:tcPr>
          <w:p w14:paraId="002FD27C" w14:textId="77777777" w:rsidR="00924992" w:rsidRDefault="00924992">
            <w:pPr>
              <w:pStyle w:val="Other0"/>
              <w:framePr w:w="11443" w:h="6638" w:hSpace="19" w:vSpace="221" w:wrap="none" w:hAnchor="page" w:x="611" w:y="356"/>
              <w:pBdr>
                <w:top w:val="single" w:sz="0" w:space="0" w:color="000000"/>
                <w:left w:val="single" w:sz="0" w:space="0" w:color="000000"/>
                <w:bottom w:val="single" w:sz="0" w:space="0" w:color="000000"/>
                <w:right w:val="single" w:sz="0" w:space="0" w:color="000000"/>
              </w:pBdr>
              <w:shd w:val="clear" w:color="auto" w:fill="000000"/>
              <w:spacing w:line="240" w:lineRule="auto"/>
              <w:ind w:firstLine="0"/>
              <w:rPr>
                <w:sz w:val="24"/>
                <w:szCs w:val="24"/>
              </w:rPr>
            </w:pPr>
            <w:r>
              <w:rPr>
                <w:rFonts w:ascii="Arial" w:eastAsia="Arial" w:hAnsi="Arial" w:cs="Arial"/>
                <w:b/>
                <w:bCs/>
                <w:color w:val="FFFFFF"/>
                <w:w w:val="70"/>
                <w:sz w:val="24"/>
                <w:szCs w:val="24"/>
              </w:rPr>
              <w:t xml:space="preserve">BW </w:t>
            </w:r>
            <w:r>
              <w:rPr>
                <w:rFonts w:ascii="Arial" w:eastAsia="Arial" w:hAnsi="Arial" w:cs="Arial"/>
                <w:color w:val="FFFFFF"/>
              </w:rPr>
              <w:t>&lt;</w:t>
            </w:r>
            <w:r>
              <w:rPr>
                <w:rFonts w:ascii="Arial" w:eastAsia="Arial" w:hAnsi="Arial" w:cs="Arial"/>
                <w:b/>
                <w:bCs/>
                <w:color w:val="FFFFFF"/>
                <w:w w:val="70"/>
                <w:sz w:val="24"/>
                <w:szCs w:val="24"/>
              </w:rPr>
              <w:t>1 200</w:t>
            </w:r>
          </w:p>
        </w:tc>
        <w:tc>
          <w:tcPr>
            <w:tcW w:w="1786" w:type="dxa"/>
            <w:tcBorders>
              <w:top w:val="single" w:sz="4" w:space="0" w:color="auto"/>
            </w:tcBorders>
            <w:shd w:val="clear" w:color="auto" w:fill="000000"/>
            <w:vAlign w:val="bottom"/>
          </w:tcPr>
          <w:p w14:paraId="45AAA135" w14:textId="77777777" w:rsidR="00924992" w:rsidRDefault="00924992">
            <w:pPr>
              <w:pStyle w:val="Other0"/>
              <w:framePr w:w="11443" w:h="6638" w:hSpace="19" w:vSpace="221" w:wrap="none" w:hAnchor="page" w:x="611" w:y="356"/>
              <w:pBdr>
                <w:top w:val="single" w:sz="0" w:space="0" w:color="000000"/>
                <w:left w:val="single" w:sz="0" w:space="0" w:color="000000"/>
                <w:bottom w:val="single" w:sz="0" w:space="0" w:color="000000"/>
                <w:right w:val="single" w:sz="0" w:space="0" w:color="000000"/>
              </w:pBdr>
              <w:shd w:val="clear" w:color="auto" w:fill="000000"/>
              <w:spacing w:line="240" w:lineRule="auto"/>
              <w:ind w:firstLine="140"/>
              <w:rPr>
                <w:sz w:val="24"/>
                <w:szCs w:val="24"/>
              </w:rPr>
            </w:pPr>
            <w:r>
              <w:rPr>
                <w:rFonts w:ascii="Arial" w:eastAsia="Arial" w:hAnsi="Arial" w:cs="Arial"/>
                <w:b/>
                <w:bCs/>
                <w:color w:val="FFFFFF"/>
                <w:w w:val="70"/>
                <w:sz w:val="24"/>
                <w:szCs w:val="24"/>
              </w:rPr>
              <w:t>BW &gt;2 000 g</w:t>
            </w:r>
          </w:p>
        </w:tc>
        <w:tc>
          <w:tcPr>
            <w:tcW w:w="1891" w:type="dxa"/>
            <w:tcBorders>
              <w:top w:val="single" w:sz="4" w:space="0" w:color="auto"/>
            </w:tcBorders>
            <w:shd w:val="clear" w:color="auto" w:fill="000000"/>
            <w:vAlign w:val="bottom"/>
          </w:tcPr>
          <w:p w14:paraId="3DF75701" w14:textId="77777777" w:rsidR="00924992" w:rsidRDefault="00924992">
            <w:pPr>
              <w:pStyle w:val="Other0"/>
              <w:framePr w:w="11443" w:h="6638" w:hSpace="19" w:vSpace="221" w:wrap="none" w:hAnchor="page" w:x="611" w:y="356"/>
              <w:pBdr>
                <w:top w:val="single" w:sz="0" w:space="0" w:color="000000"/>
                <w:left w:val="single" w:sz="0" w:space="0" w:color="000000"/>
                <w:bottom w:val="single" w:sz="0" w:space="0" w:color="000000"/>
                <w:right w:val="single" w:sz="0" w:space="0" w:color="000000"/>
              </w:pBdr>
              <w:shd w:val="clear" w:color="auto" w:fill="000000"/>
              <w:spacing w:line="240" w:lineRule="auto"/>
              <w:ind w:firstLine="220"/>
              <w:rPr>
                <w:sz w:val="24"/>
                <w:szCs w:val="24"/>
              </w:rPr>
            </w:pPr>
            <w:r>
              <w:rPr>
                <w:rFonts w:ascii="Arial" w:eastAsia="Arial" w:hAnsi="Arial" w:cs="Arial"/>
                <w:b/>
                <w:bCs/>
                <w:color w:val="FFFFFF"/>
                <w:w w:val="70"/>
                <w:sz w:val="24"/>
                <w:szCs w:val="24"/>
              </w:rPr>
              <w:t xml:space="preserve">BW </w:t>
            </w:r>
            <w:r>
              <w:rPr>
                <w:rFonts w:ascii="Arial" w:eastAsia="Arial" w:hAnsi="Arial" w:cs="Arial"/>
                <w:color w:val="FFFFFF"/>
              </w:rPr>
              <w:t>&lt;</w:t>
            </w:r>
            <w:r>
              <w:rPr>
                <w:rFonts w:ascii="Arial" w:eastAsia="Arial" w:hAnsi="Arial" w:cs="Arial"/>
                <w:b/>
                <w:bCs/>
                <w:color w:val="FFFFFF"/>
                <w:w w:val="70"/>
                <w:sz w:val="24"/>
                <w:szCs w:val="24"/>
              </w:rPr>
              <w:t>1 200</w:t>
            </w:r>
          </w:p>
        </w:tc>
        <w:tc>
          <w:tcPr>
            <w:tcW w:w="1853" w:type="dxa"/>
            <w:tcBorders>
              <w:top w:val="single" w:sz="4" w:space="0" w:color="auto"/>
            </w:tcBorders>
            <w:shd w:val="clear" w:color="auto" w:fill="000000"/>
            <w:vAlign w:val="bottom"/>
          </w:tcPr>
          <w:p w14:paraId="54D1A70A" w14:textId="77777777" w:rsidR="00924992" w:rsidRDefault="00924992">
            <w:pPr>
              <w:pStyle w:val="Other0"/>
              <w:framePr w:w="11443" w:h="6638" w:hSpace="19" w:vSpace="221" w:wrap="none" w:hAnchor="page" w:x="611" w:y="356"/>
              <w:pBdr>
                <w:top w:val="single" w:sz="0" w:space="0" w:color="000000"/>
                <w:left w:val="single" w:sz="0" w:space="0" w:color="000000"/>
                <w:bottom w:val="single" w:sz="0" w:space="0" w:color="000000"/>
                <w:right w:val="single" w:sz="0" w:space="0" w:color="000000"/>
              </w:pBdr>
              <w:shd w:val="clear" w:color="auto" w:fill="000000"/>
              <w:spacing w:line="240" w:lineRule="auto"/>
              <w:ind w:firstLine="180"/>
              <w:rPr>
                <w:sz w:val="24"/>
                <w:szCs w:val="24"/>
              </w:rPr>
            </w:pPr>
            <w:r>
              <w:rPr>
                <w:rFonts w:ascii="Arial" w:eastAsia="Arial" w:hAnsi="Arial" w:cs="Arial"/>
                <w:b/>
                <w:bCs/>
                <w:color w:val="FFFFFF"/>
                <w:w w:val="70"/>
                <w:sz w:val="24"/>
                <w:szCs w:val="24"/>
              </w:rPr>
              <w:t>BW &gt;2 000 g</w:t>
            </w:r>
          </w:p>
        </w:tc>
      </w:tr>
      <w:tr w:rsidR="00924992" w14:paraId="5482302E" w14:textId="77777777">
        <w:tblPrEx>
          <w:tblCellMar>
            <w:top w:w="0" w:type="dxa"/>
            <w:bottom w:w="0" w:type="dxa"/>
          </w:tblCellMar>
        </w:tblPrEx>
        <w:trPr>
          <w:trHeight w:hRule="exact" w:val="293"/>
        </w:trPr>
        <w:tc>
          <w:tcPr>
            <w:tcW w:w="1618" w:type="dxa"/>
            <w:shd w:val="clear" w:color="auto" w:fill="000000"/>
          </w:tcPr>
          <w:p w14:paraId="0D3E276E" w14:textId="77777777" w:rsidR="00924992" w:rsidRDefault="00924992">
            <w:pPr>
              <w:framePr w:w="11443" w:h="6638" w:hSpace="19" w:vSpace="221" w:wrap="none" w:hAnchor="page" w:x="611" w:y="356"/>
              <w:rPr>
                <w:sz w:val="10"/>
                <w:szCs w:val="10"/>
              </w:rPr>
            </w:pPr>
          </w:p>
        </w:tc>
        <w:tc>
          <w:tcPr>
            <w:tcW w:w="1109" w:type="dxa"/>
            <w:shd w:val="clear" w:color="auto" w:fill="000000"/>
          </w:tcPr>
          <w:p w14:paraId="247B63A8" w14:textId="77777777" w:rsidR="00924992" w:rsidRDefault="00924992">
            <w:pPr>
              <w:framePr w:w="11443" w:h="6638" w:hSpace="19" w:vSpace="221" w:wrap="none" w:hAnchor="page" w:x="611" w:y="356"/>
              <w:rPr>
                <w:sz w:val="10"/>
                <w:szCs w:val="10"/>
              </w:rPr>
            </w:pPr>
          </w:p>
        </w:tc>
        <w:tc>
          <w:tcPr>
            <w:tcW w:w="1565" w:type="dxa"/>
            <w:shd w:val="clear" w:color="auto" w:fill="000000"/>
          </w:tcPr>
          <w:p w14:paraId="2CAADC74" w14:textId="77777777" w:rsidR="00924992" w:rsidRDefault="00924992">
            <w:pPr>
              <w:framePr w:w="11443" w:h="6638" w:hSpace="19" w:vSpace="221" w:wrap="none" w:hAnchor="page" w:x="611" w:y="356"/>
              <w:rPr>
                <w:sz w:val="10"/>
                <w:szCs w:val="10"/>
              </w:rPr>
            </w:pPr>
          </w:p>
        </w:tc>
        <w:tc>
          <w:tcPr>
            <w:tcW w:w="1622" w:type="dxa"/>
            <w:shd w:val="clear" w:color="auto" w:fill="000000"/>
            <w:vAlign w:val="bottom"/>
          </w:tcPr>
          <w:p w14:paraId="31D81F5D" w14:textId="77777777" w:rsidR="00924992" w:rsidRDefault="00924992">
            <w:pPr>
              <w:pStyle w:val="Other0"/>
              <w:framePr w:w="11443" w:h="6638" w:hSpace="19" w:vSpace="221" w:wrap="none" w:hAnchor="page" w:x="611" w:y="356"/>
              <w:pBdr>
                <w:top w:val="single" w:sz="0" w:space="0" w:color="000000"/>
                <w:left w:val="single" w:sz="0" w:space="0" w:color="000000"/>
                <w:bottom w:val="single" w:sz="0" w:space="0" w:color="000000"/>
                <w:right w:val="single" w:sz="0" w:space="0" w:color="000000"/>
              </w:pBdr>
              <w:shd w:val="clear" w:color="auto" w:fill="000000"/>
              <w:spacing w:line="240" w:lineRule="auto"/>
              <w:ind w:firstLine="0"/>
              <w:rPr>
                <w:sz w:val="24"/>
                <w:szCs w:val="24"/>
              </w:rPr>
            </w:pPr>
            <w:r>
              <w:rPr>
                <w:rFonts w:ascii="Arial" w:eastAsia="Arial" w:hAnsi="Arial" w:cs="Arial"/>
                <w:b/>
                <w:bCs/>
                <w:color w:val="FFFFFF"/>
                <w:w w:val="70"/>
                <w:sz w:val="24"/>
                <w:szCs w:val="24"/>
              </w:rPr>
              <w:t>a 2 000 g</w:t>
            </w:r>
          </w:p>
        </w:tc>
        <w:tc>
          <w:tcPr>
            <w:tcW w:w="1786" w:type="dxa"/>
            <w:shd w:val="clear" w:color="auto" w:fill="000000"/>
          </w:tcPr>
          <w:p w14:paraId="4B3808BA" w14:textId="77777777" w:rsidR="00924992" w:rsidRDefault="00924992">
            <w:pPr>
              <w:framePr w:w="11443" w:h="6638" w:hSpace="19" w:vSpace="221" w:wrap="none" w:hAnchor="page" w:x="611" w:y="356"/>
              <w:rPr>
                <w:sz w:val="10"/>
                <w:szCs w:val="10"/>
              </w:rPr>
            </w:pPr>
          </w:p>
        </w:tc>
        <w:tc>
          <w:tcPr>
            <w:tcW w:w="1891" w:type="dxa"/>
            <w:shd w:val="clear" w:color="auto" w:fill="000000"/>
            <w:vAlign w:val="bottom"/>
          </w:tcPr>
          <w:p w14:paraId="3FB3AE86" w14:textId="77777777" w:rsidR="00924992" w:rsidRDefault="00924992">
            <w:pPr>
              <w:pStyle w:val="Other0"/>
              <w:framePr w:w="11443" w:h="6638" w:hSpace="19" w:vSpace="221" w:wrap="none" w:hAnchor="page" w:x="611" w:y="356"/>
              <w:pBdr>
                <w:top w:val="single" w:sz="0" w:space="0" w:color="000000"/>
                <w:left w:val="single" w:sz="0" w:space="0" w:color="000000"/>
                <w:bottom w:val="single" w:sz="0" w:space="0" w:color="000000"/>
                <w:right w:val="single" w:sz="0" w:space="0" w:color="000000"/>
              </w:pBdr>
              <w:shd w:val="clear" w:color="auto" w:fill="000000"/>
              <w:spacing w:line="240" w:lineRule="auto"/>
              <w:ind w:firstLine="220"/>
              <w:rPr>
                <w:sz w:val="24"/>
                <w:szCs w:val="24"/>
              </w:rPr>
            </w:pPr>
            <w:r>
              <w:rPr>
                <w:rFonts w:ascii="Arial" w:eastAsia="Arial" w:hAnsi="Arial" w:cs="Arial"/>
                <w:b/>
                <w:bCs/>
                <w:color w:val="FFFFFF"/>
                <w:w w:val="70"/>
                <w:sz w:val="24"/>
                <w:szCs w:val="24"/>
              </w:rPr>
              <w:t>a 2 000 g</w:t>
            </w:r>
          </w:p>
        </w:tc>
        <w:tc>
          <w:tcPr>
            <w:tcW w:w="1853" w:type="dxa"/>
            <w:shd w:val="clear" w:color="auto" w:fill="000000"/>
          </w:tcPr>
          <w:p w14:paraId="6B3B142F" w14:textId="77777777" w:rsidR="00924992" w:rsidRDefault="00924992">
            <w:pPr>
              <w:framePr w:w="11443" w:h="6638" w:hSpace="19" w:vSpace="221" w:wrap="none" w:hAnchor="page" w:x="611" w:y="356"/>
              <w:rPr>
                <w:sz w:val="10"/>
                <w:szCs w:val="10"/>
              </w:rPr>
            </w:pPr>
          </w:p>
        </w:tc>
      </w:tr>
      <w:tr w:rsidR="00924992" w14:paraId="346B7A47" w14:textId="77777777">
        <w:tblPrEx>
          <w:tblCellMar>
            <w:top w:w="0" w:type="dxa"/>
            <w:bottom w:w="0" w:type="dxa"/>
          </w:tblCellMar>
        </w:tblPrEx>
        <w:trPr>
          <w:trHeight w:hRule="exact" w:val="298"/>
        </w:trPr>
        <w:tc>
          <w:tcPr>
            <w:tcW w:w="1618" w:type="dxa"/>
            <w:shd w:val="clear" w:color="auto" w:fill="FFFFFF"/>
            <w:vAlign w:val="bottom"/>
          </w:tcPr>
          <w:p w14:paraId="217F3E23" w14:textId="77777777" w:rsidR="00924992" w:rsidRDefault="00924992">
            <w:pPr>
              <w:pStyle w:val="Other0"/>
              <w:framePr w:w="11443" w:h="6638" w:hSpace="19" w:vSpace="221" w:wrap="none" w:hAnchor="page" w:x="611" w:y="356"/>
              <w:spacing w:line="240" w:lineRule="auto"/>
              <w:ind w:firstLine="0"/>
              <w:rPr>
                <w:sz w:val="16"/>
                <w:szCs w:val="16"/>
              </w:rPr>
            </w:pPr>
            <w:r>
              <w:rPr>
                <w:rFonts w:ascii="Times New Roman" w:eastAsia="Times New Roman" w:hAnsi="Times New Roman" w:cs="Times New Roman"/>
                <w:b/>
                <w:bCs/>
                <w:color w:val="000000"/>
                <w:sz w:val="16"/>
                <w:szCs w:val="16"/>
              </w:rPr>
              <w:t>Aminoglucósidos</w:t>
            </w:r>
            <w:r>
              <w:rPr>
                <w:rFonts w:ascii="Times New Roman" w:eastAsia="Times New Roman" w:hAnsi="Times New Roman" w:cs="Times New Roman"/>
                <w:b/>
                <w:bCs/>
                <w:color w:val="000000"/>
                <w:sz w:val="16"/>
                <w:szCs w:val="16"/>
                <w:vertAlign w:val="superscript"/>
              </w:rPr>
              <w:t>2,3</w:t>
            </w:r>
          </w:p>
        </w:tc>
        <w:tc>
          <w:tcPr>
            <w:tcW w:w="1109" w:type="dxa"/>
            <w:shd w:val="clear" w:color="auto" w:fill="FFFFFF"/>
          </w:tcPr>
          <w:p w14:paraId="297F8DFF" w14:textId="77777777" w:rsidR="00924992" w:rsidRDefault="00924992">
            <w:pPr>
              <w:framePr w:w="11443" w:h="6638" w:hSpace="19" w:vSpace="221" w:wrap="none" w:hAnchor="page" w:x="611" w:y="356"/>
              <w:rPr>
                <w:sz w:val="10"/>
                <w:szCs w:val="10"/>
              </w:rPr>
            </w:pPr>
          </w:p>
        </w:tc>
        <w:tc>
          <w:tcPr>
            <w:tcW w:w="1565" w:type="dxa"/>
            <w:shd w:val="clear" w:color="auto" w:fill="FFFFFF"/>
          </w:tcPr>
          <w:p w14:paraId="1D773BD7" w14:textId="77777777" w:rsidR="00924992" w:rsidRDefault="00924992">
            <w:pPr>
              <w:framePr w:w="11443" w:h="6638" w:hSpace="19" w:vSpace="221" w:wrap="none" w:hAnchor="page" w:x="611" w:y="356"/>
              <w:rPr>
                <w:sz w:val="10"/>
                <w:szCs w:val="10"/>
              </w:rPr>
            </w:pPr>
          </w:p>
        </w:tc>
        <w:tc>
          <w:tcPr>
            <w:tcW w:w="1622" w:type="dxa"/>
            <w:shd w:val="clear" w:color="auto" w:fill="FFFFFF"/>
          </w:tcPr>
          <w:p w14:paraId="023F7689" w14:textId="77777777" w:rsidR="00924992" w:rsidRDefault="00924992">
            <w:pPr>
              <w:framePr w:w="11443" w:h="6638" w:hSpace="19" w:vSpace="221" w:wrap="none" w:hAnchor="page" w:x="611" w:y="356"/>
              <w:rPr>
                <w:sz w:val="10"/>
                <w:szCs w:val="10"/>
              </w:rPr>
            </w:pPr>
          </w:p>
        </w:tc>
        <w:tc>
          <w:tcPr>
            <w:tcW w:w="1786" w:type="dxa"/>
            <w:shd w:val="clear" w:color="auto" w:fill="FFFFFF"/>
          </w:tcPr>
          <w:p w14:paraId="57B30790" w14:textId="77777777" w:rsidR="00924992" w:rsidRDefault="00924992">
            <w:pPr>
              <w:framePr w:w="11443" w:h="6638" w:hSpace="19" w:vSpace="221" w:wrap="none" w:hAnchor="page" w:x="611" w:y="356"/>
              <w:rPr>
                <w:sz w:val="10"/>
                <w:szCs w:val="10"/>
              </w:rPr>
            </w:pPr>
          </w:p>
        </w:tc>
        <w:tc>
          <w:tcPr>
            <w:tcW w:w="1891" w:type="dxa"/>
            <w:shd w:val="clear" w:color="auto" w:fill="FFFFFF"/>
          </w:tcPr>
          <w:p w14:paraId="0A35F616" w14:textId="77777777" w:rsidR="00924992" w:rsidRDefault="00924992">
            <w:pPr>
              <w:framePr w:w="11443" w:h="6638" w:hSpace="19" w:vSpace="221" w:wrap="none" w:hAnchor="page" w:x="611" w:y="356"/>
              <w:rPr>
                <w:sz w:val="10"/>
                <w:szCs w:val="10"/>
              </w:rPr>
            </w:pPr>
          </w:p>
        </w:tc>
        <w:tc>
          <w:tcPr>
            <w:tcW w:w="1853" w:type="dxa"/>
            <w:shd w:val="clear" w:color="auto" w:fill="FFFFFF"/>
          </w:tcPr>
          <w:p w14:paraId="532E5B25" w14:textId="77777777" w:rsidR="00924992" w:rsidRDefault="00924992">
            <w:pPr>
              <w:framePr w:w="11443" w:h="6638" w:hSpace="19" w:vSpace="221" w:wrap="none" w:hAnchor="page" w:x="611" w:y="356"/>
              <w:rPr>
                <w:sz w:val="10"/>
                <w:szCs w:val="10"/>
              </w:rPr>
            </w:pPr>
          </w:p>
        </w:tc>
      </w:tr>
      <w:tr w:rsidR="00924992" w14:paraId="51CB7588" w14:textId="77777777">
        <w:tblPrEx>
          <w:tblCellMar>
            <w:top w:w="0" w:type="dxa"/>
            <w:bottom w:w="0" w:type="dxa"/>
          </w:tblCellMar>
        </w:tblPrEx>
        <w:trPr>
          <w:trHeight w:hRule="exact" w:val="197"/>
        </w:trPr>
        <w:tc>
          <w:tcPr>
            <w:tcW w:w="1618" w:type="dxa"/>
            <w:shd w:val="clear" w:color="auto" w:fill="FFFFFF"/>
          </w:tcPr>
          <w:p w14:paraId="1A3EB57C" w14:textId="77777777" w:rsidR="00924992" w:rsidRDefault="00924992">
            <w:pPr>
              <w:pStyle w:val="Other0"/>
              <w:framePr w:w="11443" w:h="6638" w:hSpace="19" w:vSpace="221" w:wrap="none" w:hAnchor="page" w:x="611" w:y="356"/>
              <w:spacing w:line="240" w:lineRule="auto"/>
              <w:ind w:firstLine="0"/>
              <w:rPr>
                <w:sz w:val="16"/>
                <w:szCs w:val="16"/>
              </w:rPr>
            </w:pPr>
            <w:r>
              <w:rPr>
                <w:rFonts w:ascii="Times New Roman" w:eastAsia="Times New Roman" w:hAnsi="Times New Roman" w:cs="Times New Roman"/>
                <w:color w:val="000000"/>
                <w:sz w:val="16"/>
                <w:szCs w:val="16"/>
              </w:rPr>
              <w:t>Amikacina</w:t>
            </w:r>
          </w:p>
        </w:tc>
        <w:tc>
          <w:tcPr>
            <w:tcW w:w="1109" w:type="dxa"/>
            <w:shd w:val="clear" w:color="auto" w:fill="FFFFFF"/>
          </w:tcPr>
          <w:p w14:paraId="72C518A8" w14:textId="77777777" w:rsidR="00924992" w:rsidRDefault="00924992">
            <w:pPr>
              <w:pStyle w:val="Other0"/>
              <w:framePr w:w="11443" w:h="6638" w:hSpace="19" w:vSpace="221" w:wrap="none" w:hAnchor="page" w:x="611" w:y="356"/>
              <w:spacing w:line="240" w:lineRule="auto"/>
              <w:ind w:firstLine="0"/>
              <w:rPr>
                <w:sz w:val="16"/>
                <w:szCs w:val="16"/>
              </w:rPr>
            </w:pPr>
            <w:r>
              <w:rPr>
                <w:rFonts w:ascii="Times New Roman" w:eastAsia="Times New Roman" w:hAnsi="Times New Roman" w:cs="Times New Roman"/>
                <w:color w:val="000000"/>
                <w:sz w:val="16"/>
                <w:szCs w:val="16"/>
              </w:rPr>
              <w:t>IV, IM</w:t>
            </w:r>
          </w:p>
        </w:tc>
        <w:tc>
          <w:tcPr>
            <w:tcW w:w="1565" w:type="dxa"/>
            <w:shd w:val="clear" w:color="auto" w:fill="FFFFFF"/>
          </w:tcPr>
          <w:p w14:paraId="0E4FD13B" w14:textId="77777777" w:rsidR="00924992" w:rsidRDefault="00924992">
            <w:pPr>
              <w:pStyle w:val="Other0"/>
              <w:framePr w:w="11443" w:h="6638" w:hSpace="19" w:vSpace="221" w:wrap="none" w:hAnchor="page" w:x="611" w:y="356"/>
              <w:spacing w:line="240" w:lineRule="auto"/>
              <w:ind w:firstLine="0"/>
              <w:rPr>
                <w:sz w:val="16"/>
                <w:szCs w:val="16"/>
              </w:rPr>
            </w:pPr>
            <w:r>
              <w:rPr>
                <w:rFonts w:ascii="Times New Roman" w:eastAsia="Times New Roman" w:hAnsi="Times New Roman" w:cs="Times New Roman"/>
                <w:color w:val="000000"/>
                <w:sz w:val="16"/>
                <w:szCs w:val="16"/>
              </w:rPr>
              <w:t>7.5 cada 18-24 h</w:t>
            </w:r>
          </w:p>
        </w:tc>
        <w:tc>
          <w:tcPr>
            <w:tcW w:w="1622" w:type="dxa"/>
            <w:shd w:val="clear" w:color="auto" w:fill="FFFFFF"/>
          </w:tcPr>
          <w:p w14:paraId="271A8300" w14:textId="77777777" w:rsidR="00924992" w:rsidRDefault="00924992">
            <w:pPr>
              <w:pStyle w:val="Other0"/>
              <w:framePr w:w="11443" w:h="6638" w:hSpace="19" w:vSpace="221" w:wrap="none" w:hAnchor="page" w:x="611" w:y="356"/>
              <w:spacing w:line="240" w:lineRule="auto"/>
              <w:ind w:firstLine="0"/>
              <w:rPr>
                <w:sz w:val="16"/>
                <w:szCs w:val="16"/>
              </w:rPr>
            </w:pPr>
            <w:r>
              <w:rPr>
                <w:rFonts w:ascii="Times New Roman" w:eastAsia="Times New Roman" w:hAnsi="Times New Roman" w:cs="Times New Roman"/>
                <w:color w:val="000000"/>
                <w:sz w:val="16"/>
                <w:szCs w:val="16"/>
              </w:rPr>
              <w:t>7.5 cada 12 h</w:t>
            </w:r>
          </w:p>
        </w:tc>
        <w:tc>
          <w:tcPr>
            <w:tcW w:w="1786" w:type="dxa"/>
            <w:shd w:val="clear" w:color="auto" w:fill="FFFFFF"/>
          </w:tcPr>
          <w:p w14:paraId="3F20642D" w14:textId="77777777" w:rsidR="00924992" w:rsidRDefault="00924992">
            <w:pPr>
              <w:pStyle w:val="Other0"/>
              <w:framePr w:w="11443" w:h="6638" w:hSpace="19" w:vSpace="221" w:wrap="none" w:hAnchor="page" w:x="611" w:y="356"/>
              <w:spacing w:line="240" w:lineRule="auto"/>
              <w:ind w:firstLine="140"/>
              <w:rPr>
                <w:sz w:val="16"/>
                <w:szCs w:val="16"/>
              </w:rPr>
            </w:pPr>
            <w:r>
              <w:rPr>
                <w:rFonts w:ascii="Times New Roman" w:eastAsia="Times New Roman" w:hAnsi="Times New Roman" w:cs="Times New Roman"/>
                <w:color w:val="000000"/>
                <w:sz w:val="16"/>
                <w:szCs w:val="16"/>
              </w:rPr>
              <w:t>7.5-10 cada 12 h</w:t>
            </w:r>
          </w:p>
        </w:tc>
        <w:tc>
          <w:tcPr>
            <w:tcW w:w="1891" w:type="dxa"/>
            <w:shd w:val="clear" w:color="auto" w:fill="FFFFFF"/>
          </w:tcPr>
          <w:p w14:paraId="58AFEFA2" w14:textId="77777777" w:rsidR="00924992" w:rsidRDefault="00924992">
            <w:pPr>
              <w:pStyle w:val="Other0"/>
              <w:framePr w:w="11443" w:h="6638" w:hSpace="19" w:vSpace="221" w:wrap="none" w:hAnchor="page" w:x="611" w:y="356"/>
              <w:spacing w:line="240" w:lineRule="auto"/>
              <w:ind w:firstLine="220"/>
              <w:rPr>
                <w:sz w:val="16"/>
                <w:szCs w:val="16"/>
              </w:rPr>
            </w:pPr>
            <w:r>
              <w:rPr>
                <w:rFonts w:ascii="Times New Roman" w:eastAsia="Times New Roman" w:hAnsi="Times New Roman" w:cs="Times New Roman"/>
                <w:color w:val="000000"/>
                <w:sz w:val="16"/>
                <w:szCs w:val="16"/>
              </w:rPr>
              <w:t>7.5-10 cada 8 o 12 h</w:t>
            </w:r>
          </w:p>
        </w:tc>
        <w:tc>
          <w:tcPr>
            <w:tcW w:w="1853" w:type="dxa"/>
            <w:shd w:val="clear" w:color="auto" w:fill="FFFFFF"/>
          </w:tcPr>
          <w:p w14:paraId="7088F928" w14:textId="77777777" w:rsidR="00924992" w:rsidRDefault="00924992">
            <w:pPr>
              <w:pStyle w:val="Other0"/>
              <w:framePr w:w="11443" w:h="6638" w:hSpace="19" w:vSpace="221" w:wrap="none" w:hAnchor="page" w:x="611" w:y="356"/>
              <w:spacing w:line="240" w:lineRule="auto"/>
              <w:ind w:firstLine="180"/>
              <w:rPr>
                <w:sz w:val="16"/>
                <w:szCs w:val="16"/>
              </w:rPr>
            </w:pPr>
            <w:r>
              <w:rPr>
                <w:rFonts w:ascii="Times New Roman" w:eastAsia="Times New Roman" w:hAnsi="Times New Roman" w:cs="Times New Roman"/>
                <w:color w:val="000000"/>
                <w:sz w:val="16"/>
                <w:szCs w:val="16"/>
              </w:rPr>
              <w:t>10 cada 8 h</w:t>
            </w:r>
          </w:p>
        </w:tc>
      </w:tr>
      <w:tr w:rsidR="00924992" w14:paraId="1CC665BB" w14:textId="77777777">
        <w:tblPrEx>
          <w:tblCellMar>
            <w:top w:w="0" w:type="dxa"/>
            <w:bottom w:w="0" w:type="dxa"/>
          </w:tblCellMar>
        </w:tblPrEx>
        <w:trPr>
          <w:trHeight w:hRule="exact" w:val="216"/>
        </w:trPr>
        <w:tc>
          <w:tcPr>
            <w:tcW w:w="1618" w:type="dxa"/>
            <w:shd w:val="clear" w:color="auto" w:fill="FFFFFF"/>
            <w:vAlign w:val="bottom"/>
          </w:tcPr>
          <w:p w14:paraId="0568C1F2" w14:textId="77777777" w:rsidR="00924992" w:rsidRDefault="00924992">
            <w:pPr>
              <w:pStyle w:val="Other0"/>
              <w:framePr w:w="11443" w:h="6638" w:hSpace="19" w:vSpace="221" w:wrap="none" w:hAnchor="page" w:x="611" w:y="356"/>
              <w:spacing w:line="240" w:lineRule="auto"/>
              <w:ind w:firstLine="0"/>
              <w:rPr>
                <w:sz w:val="16"/>
                <w:szCs w:val="16"/>
              </w:rPr>
            </w:pPr>
            <w:r>
              <w:rPr>
                <w:rFonts w:ascii="Times New Roman" w:eastAsia="Times New Roman" w:hAnsi="Times New Roman" w:cs="Times New Roman"/>
                <w:color w:val="000000"/>
                <w:sz w:val="16"/>
                <w:szCs w:val="16"/>
              </w:rPr>
              <w:t>Gentamicina</w:t>
            </w:r>
          </w:p>
        </w:tc>
        <w:tc>
          <w:tcPr>
            <w:tcW w:w="1109" w:type="dxa"/>
            <w:shd w:val="clear" w:color="auto" w:fill="FFFFFF"/>
            <w:vAlign w:val="bottom"/>
          </w:tcPr>
          <w:p w14:paraId="1EE504BB" w14:textId="77777777" w:rsidR="00924992" w:rsidRDefault="00924992">
            <w:pPr>
              <w:pStyle w:val="Other0"/>
              <w:framePr w:w="11443" w:h="6638" w:hSpace="19" w:vSpace="221" w:wrap="none" w:hAnchor="page" w:x="611" w:y="356"/>
              <w:spacing w:line="240" w:lineRule="auto"/>
              <w:ind w:firstLine="0"/>
              <w:rPr>
                <w:sz w:val="16"/>
                <w:szCs w:val="16"/>
              </w:rPr>
            </w:pPr>
            <w:r>
              <w:rPr>
                <w:rFonts w:ascii="Times New Roman" w:eastAsia="Times New Roman" w:hAnsi="Times New Roman" w:cs="Times New Roman"/>
                <w:color w:val="000000"/>
                <w:sz w:val="16"/>
                <w:szCs w:val="16"/>
              </w:rPr>
              <w:t>IV, IM</w:t>
            </w:r>
          </w:p>
        </w:tc>
        <w:tc>
          <w:tcPr>
            <w:tcW w:w="1565" w:type="dxa"/>
            <w:shd w:val="clear" w:color="auto" w:fill="FFFFFF"/>
            <w:vAlign w:val="bottom"/>
          </w:tcPr>
          <w:p w14:paraId="52F34D07" w14:textId="77777777" w:rsidR="00924992" w:rsidRDefault="00924992">
            <w:pPr>
              <w:pStyle w:val="Other0"/>
              <w:framePr w:w="11443" w:h="6638" w:hSpace="19" w:vSpace="221" w:wrap="none" w:hAnchor="page" w:x="611" w:y="356"/>
              <w:spacing w:line="240" w:lineRule="auto"/>
              <w:ind w:firstLine="0"/>
              <w:rPr>
                <w:sz w:val="16"/>
                <w:szCs w:val="16"/>
              </w:rPr>
            </w:pPr>
            <w:r>
              <w:rPr>
                <w:rFonts w:ascii="Times New Roman" w:eastAsia="Times New Roman" w:hAnsi="Times New Roman" w:cs="Times New Roman"/>
                <w:color w:val="000000"/>
                <w:sz w:val="16"/>
                <w:szCs w:val="16"/>
              </w:rPr>
              <w:t>2.5 cada 18-24 h</w:t>
            </w:r>
          </w:p>
        </w:tc>
        <w:tc>
          <w:tcPr>
            <w:tcW w:w="1622" w:type="dxa"/>
            <w:shd w:val="clear" w:color="auto" w:fill="FFFFFF"/>
            <w:vAlign w:val="bottom"/>
          </w:tcPr>
          <w:p w14:paraId="5ADEF03D" w14:textId="77777777" w:rsidR="00924992" w:rsidRDefault="00924992">
            <w:pPr>
              <w:pStyle w:val="Other0"/>
              <w:framePr w:w="11443" w:h="6638" w:hSpace="19" w:vSpace="221" w:wrap="none" w:hAnchor="page" w:x="611" w:y="356"/>
              <w:spacing w:line="240" w:lineRule="auto"/>
              <w:ind w:firstLine="0"/>
              <w:rPr>
                <w:sz w:val="16"/>
                <w:szCs w:val="16"/>
              </w:rPr>
            </w:pPr>
            <w:r>
              <w:rPr>
                <w:rFonts w:ascii="Times New Roman" w:eastAsia="Times New Roman" w:hAnsi="Times New Roman" w:cs="Times New Roman"/>
                <w:color w:val="000000"/>
                <w:sz w:val="16"/>
                <w:szCs w:val="16"/>
              </w:rPr>
              <w:t>2.5 cada 12 h</w:t>
            </w:r>
          </w:p>
        </w:tc>
        <w:tc>
          <w:tcPr>
            <w:tcW w:w="1786" w:type="dxa"/>
            <w:shd w:val="clear" w:color="auto" w:fill="FFFFFF"/>
            <w:vAlign w:val="bottom"/>
          </w:tcPr>
          <w:p w14:paraId="35B3472D" w14:textId="77777777" w:rsidR="00924992" w:rsidRDefault="00924992">
            <w:pPr>
              <w:pStyle w:val="Other0"/>
              <w:framePr w:w="11443" w:h="6638" w:hSpace="19" w:vSpace="221" w:wrap="none" w:hAnchor="page" w:x="611" w:y="356"/>
              <w:spacing w:line="240" w:lineRule="auto"/>
              <w:ind w:firstLine="140"/>
              <w:rPr>
                <w:sz w:val="16"/>
                <w:szCs w:val="16"/>
              </w:rPr>
            </w:pPr>
            <w:r>
              <w:rPr>
                <w:rFonts w:ascii="Times New Roman" w:eastAsia="Times New Roman" w:hAnsi="Times New Roman" w:cs="Times New Roman"/>
                <w:color w:val="000000"/>
                <w:sz w:val="16"/>
                <w:szCs w:val="16"/>
              </w:rPr>
              <w:t>2.5 cada 12 h</w:t>
            </w:r>
          </w:p>
        </w:tc>
        <w:tc>
          <w:tcPr>
            <w:tcW w:w="1891" w:type="dxa"/>
            <w:shd w:val="clear" w:color="auto" w:fill="FFFFFF"/>
            <w:vAlign w:val="bottom"/>
          </w:tcPr>
          <w:p w14:paraId="39BE5C38" w14:textId="77777777" w:rsidR="00924992" w:rsidRDefault="00924992">
            <w:pPr>
              <w:pStyle w:val="Other0"/>
              <w:framePr w:w="11443" w:h="6638" w:hSpace="19" w:vSpace="221" w:wrap="none" w:hAnchor="page" w:x="611" w:y="356"/>
              <w:spacing w:line="240" w:lineRule="auto"/>
              <w:ind w:firstLine="220"/>
              <w:rPr>
                <w:sz w:val="16"/>
                <w:szCs w:val="16"/>
              </w:rPr>
            </w:pPr>
            <w:r>
              <w:rPr>
                <w:rFonts w:ascii="Times New Roman" w:eastAsia="Times New Roman" w:hAnsi="Times New Roman" w:cs="Times New Roman"/>
                <w:color w:val="000000"/>
                <w:sz w:val="16"/>
                <w:szCs w:val="16"/>
              </w:rPr>
              <w:t>2.5 cada 8 o 12 h</w:t>
            </w:r>
          </w:p>
        </w:tc>
        <w:tc>
          <w:tcPr>
            <w:tcW w:w="1853" w:type="dxa"/>
            <w:shd w:val="clear" w:color="auto" w:fill="FFFFFF"/>
            <w:vAlign w:val="bottom"/>
          </w:tcPr>
          <w:p w14:paraId="56E4A623" w14:textId="77777777" w:rsidR="00924992" w:rsidRDefault="00924992">
            <w:pPr>
              <w:pStyle w:val="Other0"/>
              <w:framePr w:w="11443" w:h="6638" w:hSpace="19" w:vSpace="221" w:wrap="none" w:hAnchor="page" w:x="611" w:y="356"/>
              <w:spacing w:line="240" w:lineRule="auto"/>
              <w:ind w:firstLine="180"/>
              <w:rPr>
                <w:sz w:val="16"/>
                <w:szCs w:val="16"/>
              </w:rPr>
            </w:pPr>
            <w:r>
              <w:rPr>
                <w:rFonts w:ascii="Times New Roman" w:eastAsia="Times New Roman" w:hAnsi="Times New Roman" w:cs="Times New Roman"/>
                <w:color w:val="000000"/>
                <w:sz w:val="16"/>
                <w:szCs w:val="16"/>
              </w:rPr>
              <w:t>2.5 cada 8 h</w:t>
            </w:r>
          </w:p>
        </w:tc>
      </w:tr>
      <w:tr w:rsidR="00924992" w14:paraId="30E7CA70" w14:textId="77777777">
        <w:tblPrEx>
          <w:tblCellMar>
            <w:top w:w="0" w:type="dxa"/>
            <w:bottom w:w="0" w:type="dxa"/>
          </w:tblCellMar>
        </w:tblPrEx>
        <w:trPr>
          <w:trHeight w:hRule="exact" w:val="216"/>
        </w:trPr>
        <w:tc>
          <w:tcPr>
            <w:tcW w:w="1618" w:type="dxa"/>
            <w:shd w:val="clear" w:color="auto" w:fill="FFFFFF"/>
          </w:tcPr>
          <w:p w14:paraId="023988AF" w14:textId="77777777" w:rsidR="00924992" w:rsidRDefault="00924992">
            <w:pPr>
              <w:pStyle w:val="Other0"/>
              <w:framePr w:w="11443" w:h="6638" w:hSpace="19" w:vSpace="221" w:wrap="none" w:hAnchor="page" w:x="611" w:y="356"/>
              <w:spacing w:line="240" w:lineRule="auto"/>
              <w:ind w:firstLine="0"/>
              <w:rPr>
                <w:sz w:val="16"/>
                <w:szCs w:val="16"/>
              </w:rPr>
            </w:pPr>
            <w:r>
              <w:rPr>
                <w:rFonts w:ascii="Times New Roman" w:eastAsia="Times New Roman" w:hAnsi="Times New Roman" w:cs="Times New Roman"/>
                <w:color w:val="000000"/>
                <w:sz w:val="16"/>
                <w:szCs w:val="16"/>
              </w:rPr>
              <w:t>Neomicina</w:t>
            </w:r>
          </w:p>
        </w:tc>
        <w:tc>
          <w:tcPr>
            <w:tcW w:w="1109" w:type="dxa"/>
            <w:shd w:val="clear" w:color="auto" w:fill="FFFFFF"/>
          </w:tcPr>
          <w:p w14:paraId="743D5B91" w14:textId="77777777" w:rsidR="00924992" w:rsidRDefault="00924992">
            <w:pPr>
              <w:pStyle w:val="Other0"/>
              <w:framePr w:w="11443" w:h="6638" w:hSpace="19" w:vSpace="221" w:wrap="none" w:hAnchor="page" w:x="611" w:y="356"/>
              <w:spacing w:line="240" w:lineRule="auto"/>
              <w:ind w:firstLine="0"/>
              <w:rPr>
                <w:sz w:val="16"/>
                <w:szCs w:val="16"/>
              </w:rPr>
            </w:pPr>
            <w:r>
              <w:rPr>
                <w:rFonts w:ascii="Times New Roman" w:eastAsia="Times New Roman" w:hAnsi="Times New Roman" w:cs="Times New Roman"/>
                <w:color w:val="000000"/>
                <w:sz w:val="16"/>
                <w:szCs w:val="16"/>
              </w:rPr>
              <w:t>PO solamente</w:t>
            </w:r>
          </w:p>
        </w:tc>
        <w:tc>
          <w:tcPr>
            <w:tcW w:w="1565" w:type="dxa"/>
            <w:shd w:val="clear" w:color="auto" w:fill="FFFFFF"/>
          </w:tcPr>
          <w:p w14:paraId="70EEBA25" w14:textId="77777777" w:rsidR="00924992" w:rsidRDefault="00924992">
            <w:pPr>
              <w:framePr w:w="11443" w:h="6638" w:hSpace="19" w:vSpace="221" w:wrap="none" w:hAnchor="page" w:x="611" w:y="356"/>
              <w:rPr>
                <w:sz w:val="10"/>
                <w:szCs w:val="10"/>
              </w:rPr>
            </w:pPr>
          </w:p>
        </w:tc>
        <w:tc>
          <w:tcPr>
            <w:tcW w:w="1622" w:type="dxa"/>
            <w:shd w:val="clear" w:color="auto" w:fill="FFFFFF"/>
          </w:tcPr>
          <w:p w14:paraId="11680093" w14:textId="77777777" w:rsidR="00924992" w:rsidRDefault="00924992">
            <w:pPr>
              <w:pStyle w:val="Other0"/>
              <w:framePr w:w="11443" w:h="6638" w:hSpace="19" w:vSpace="221" w:wrap="none" w:hAnchor="page" w:x="611" w:y="356"/>
              <w:spacing w:line="240" w:lineRule="auto"/>
              <w:ind w:firstLine="0"/>
              <w:rPr>
                <w:sz w:val="16"/>
                <w:szCs w:val="16"/>
              </w:rPr>
            </w:pPr>
            <w:r>
              <w:rPr>
                <w:rFonts w:ascii="Times New Roman" w:eastAsia="Times New Roman" w:hAnsi="Times New Roman" w:cs="Times New Roman"/>
                <w:color w:val="000000"/>
                <w:sz w:val="16"/>
                <w:szCs w:val="16"/>
              </w:rPr>
              <w:t>25 cada 6 h</w:t>
            </w:r>
          </w:p>
        </w:tc>
        <w:tc>
          <w:tcPr>
            <w:tcW w:w="1786" w:type="dxa"/>
            <w:shd w:val="clear" w:color="auto" w:fill="FFFFFF"/>
          </w:tcPr>
          <w:p w14:paraId="5DEAC6DD" w14:textId="77777777" w:rsidR="00924992" w:rsidRDefault="00924992">
            <w:pPr>
              <w:pStyle w:val="Other0"/>
              <w:framePr w:w="11443" w:h="6638" w:hSpace="19" w:vSpace="221" w:wrap="none" w:hAnchor="page" w:x="611" w:y="356"/>
              <w:spacing w:line="240" w:lineRule="auto"/>
              <w:ind w:firstLine="140"/>
              <w:rPr>
                <w:sz w:val="16"/>
                <w:szCs w:val="16"/>
              </w:rPr>
            </w:pPr>
            <w:r>
              <w:rPr>
                <w:rFonts w:ascii="Times New Roman" w:eastAsia="Times New Roman" w:hAnsi="Times New Roman" w:cs="Times New Roman"/>
                <w:color w:val="000000"/>
                <w:sz w:val="16"/>
                <w:szCs w:val="16"/>
              </w:rPr>
              <w:t>25 cada 6 h</w:t>
            </w:r>
          </w:p>
        </w:tc>
        <w:tc>
          <w:tcPr>
            <w:tcW w:w="1891" w:type="dxa"/>
            <w:shd w:val="clear" w:color="auto" w:fill="FFFFFF"/>
          </w:tcPr>
          <w:p w14:paraId="12DC06B9" w14:textId="77777777" w:rsidR="00924992" w:rsidRDefault="00924992">
            <w:pPr>
              <w:pStyle w:val="Other0"/>
              <w:framePr w:w="11443" w:h="6638" w:hSpace="19" w:vSpace="221" w:wrap="none" w:hAnchor="page" w:x="611" w:y="356"/>
              <w:spacing w:line="240" w:lineRule="auto"/>
              <w:ind w:firstLine="220"/>
              <w:rPr>
                <w:sz w:val="16"/>
                <w:szCs w:val="16"/>
              </w:rPr>
            </w:pPr>
            <w:r>
              <w:rPr>
                <w:rFonts w:ascii="Times New Roman" w:eastAsia="Times New Roman" w:hAnsi="Times New Roman" w:cs="Times New Roman"/>
                <w:color w:val="000000"/>
                <w:sz w:val="16"/>
                <w:szCs w:val="16"/>
              </w:rPr>
              <w:t>25 cada 6 h</w:t>
            </w:r>
          </w:p>
        </w:tc>
        <w:tc>
          <w:tcPr>
            <w:tcW w:w="1853" w:type="dxa"/>
            <w:shd w:val="clear" w:color="auto" w:fill="FFFFFF"/>
          </w:tcPr>
          <w:p w14:paraId="1DFA930B" w14:textId="77777777" w:rsidR="00924992" w:rsidRDefault="00924992">
            <w:pPr>
              <w:pStyle w:val="Other0"/>
              <w:framePr w:w="11443" w:h="6638" w:hSpace="19" w:vSpace="221" w:wrap="none" w:hAnchor="page" w:x="611" w:y="356"/>
              <w:spacing w:line="240" w:lineRule="auto"/>
              <w:ind w:firstLine="180"/>
              <w:rPr>
                <w:sz w:val="16"/>
                <w:szCs w:val="16"/>
              </w:rPr>
            </w:pPr>
            <w:r>
              <w:rPr>
                <w:rFonts w:ascii="Times New Roman" w:eastAsia="Times New Roman" w:hAnsi="Times New Roman" w:cs="Times New Roman"/>
                <w:color w:val="000000"/>
                <w:sz w:val="16"/>
                <w:szCs w:val="16"/>
              </w:rPr>
              <w:t>25 cada 6 h</w:t>
            </w:r>
          </w:p>
        </w:tc>
      </w:tr>
      <w:tr w:rsidR="00924992" w14:paraId="738B0B5F" w14:textId="77777777">
        <w:tblPrEx>
          <w:tblCellMar>
            <w:top w:w="0" w:type="dxa"/>
            <w:bottom w:w="0" w:type="dxa"/>
          </w:tblCellMar>
        </w:tblPrEx>
        <w:trPr>
          <w:trHeight w:hRule="exact" w:val="211"/>
        </w:trPr>
        <w:tc>
          <w:tcPr>
            <w:tcW w:w="1618" w:type="dxa"/>
            <w:shd w:val="clear" w:color="auto" w:fill="FFFFFF"/>
            <w:vAlign w:val="bottom"/>
          </w:tcPr>
          <w:p w14:paraId="474E026E" w14:textId="77777777" w:rsidR="00924992" w:rsidRDefault="00924992">
            <w:pPr>
              <w:pStyle w:val="Other0"/>
              <w:framePr w:w="11443" w:h="6638" w:hSpace="19" w:vSpace="221" w:wrap="none" w:hAnchor="page" w:x="611" w:y="356"/>
              <w:spacing w:line="240" w:lineRule="auto"/>
              <w:ind w:firstLine="0"/>
              <w:rPr>
                <w:sz w:val="16"/>
                <w:szCs w:val="16"/>
              </w:rPr>
            </w:pPr>
            <w:r>
              <w:rPr>
                <w:rFonts w:ascii="Times New Roman" w:eastAsia="Times New Roman" w:hAnsi="Times New Roman" w:cs="Times New Roman"/>
                <w:color w:val="000000"/>
                <w:sz w:val="16"/>
                <w:szCs w:val="16"/>
              </w:rPr>
              <w:t>Tobramicina</w:t>
            </w:r>
          </w:p>
        </w:tc>
        <w:tc>
          <w:tcPr>
            <w:tcW w:w="1109" w:type="dxa"/>
            <w:shd w:val="clear" w:color="auto" w:fill="FFFFFF"/>
            <w:vAlign w:val="bottom"/>
          </w:tcPr>
          <w:p w14:paraId="16C00457" w14:textId="77777777" w:rsidR="00924992" w:rsidRDefault="00924992">
            <w:pPr>
              <w:pStyle w:val="Other0"/>
              <w:framePr w:w="11443" w:h="6638" w:hSpace="19" w:vSpace="221" w:wrap="none" w:hAnchor="page" w:x="611" w:y="356"/>
              <w:spacing w:line="240" w:lineRule="auto"/>
              <w:ind w:firstLine="0"/>
              <w:rPr>
                <w:sz w:val="16"/>
                <w:szCs w:val="16"/>
              </w:rPr>
            </w:pPr>
            <w:r>
              <w:rPr>
                <w:rFonts w:ascii="Times New Roman" w:eastAsia="Times New Roman" w:hAnsi="Times New Roman" w:cs="Times New Roman"/>
                <w:color w:val="000000"/>
                <w:sz w:val="16"/>
                <w:szCs w:val="16"/>
              </w:rPr>
              <w:t>IV, IM</w:t>
            </w:r>
          </w:p>
        </w:tc>
        <w:tc>
          <w:tcPr>
            <w:tcW w:w="1565" w:type="dxa"/>
            <w:shd w:val="clear" w:color="auto" w:fill="FFFFFF"/>
            <w:vAlign w:val="bottom"/>
          </w:tcPr>
          <w:p w14:paraId="5F7330EE" w14:textId="77777777" w:rsidR="00924992" w:rsidRDefault="00924992">
            <w:pPr>
              <w:pStyle w:val="Other0"/>
              <w:framePr w:w="11443" w:h="6638" w:hSpace="19" w:vSpace="221" w:wrap="none" w:hAnchor="page" w:x="611" w:y="356"/>
              <w:spacing w:line="240" w:lineRule="auto"/>
              <w:ind w:firstLine="0"/>
              <w:rPr>
                <w:sz w:val="16"/>
                <w:szCs w:val="16"/>
              </w:rPr>
            </w:pPr>
            <w:r>
              <w:rPr>
                <w:rFonts w:ascii="Times New Roman" w:eastAsia="Times New Roman" w:hAnsi="Times New Roman" w:cs="Times New Roman"/>
                <w:color w:val="000000"/>
                <w:sz w:val="16"/>
                <w:szCs w:val="16"/>
              </w:rPr>
              <w:t>2.5 cada 18-24 h</w:t>
            </w:r>
          </w:p>
        </w:tc>
        <w:tc>
          <w:tcPr>
            <w:tcW w:w="1622" w:type="dxa"/>
            <w:shd w:val="clear" w:color="auto" w:fill="FFFFFF"/>
            <w:vAlign w:val="bottom"/>
          </w:tcPr>
          <w:p w14:paraId="6129048F" w14:textId="77777777" w:rsidR="00924992" w:rsidRDefault="00924992">
            <w:pPr>
              <w:pStyle w:val="Other0"/>
              <w:framePr w:w="11443" w:h="6638" w:hSpace="19" w:vSpace="221" w:wrap="none" w:hAnchor="page" w:x="611" w:y="356"/>
              <w:spacing w:line="240" w:lineRule="auto"/>
              <w:ind w:firstLine="0"/>
              <w:rPr>
                <w:sz w:val="16"/>
                <w:szCs w:val="16"/>
              </w:rPr>
            </w:pPr>
            <w:r>
              <w:rPr>
                <w:rFonts w:ascii="Times New Roman" w:eastAsia="Times New Roman" w:hAnsi="Times New Roman" w:cs="Times New Roman"/>
                <w:color w:val="000000"/>
                <w:sz w:val="16"/>
                <w:szCs w:val="16"/>
              </w:rPr>
              <w:t>2.5 cada 12 h</w:t>
            </w:r>
          </w:p>
        </w:tc>
        <w:tc>
          <w:tcPr>
            <w:tcW w:w="1786" w:type="dxa"/>
            <w:shd w:val="clear" w:color="auto" w:fill="FFFFFF"/>
            <w:vAlign w:val="bottom"/>
          </w:tcPr>
          <w:p w14:paraId="7DA0C394" w14:textId="77777777" w:rsidR="00924992" w:rsidRDefault="00924992">
            <w:pPr>
              <w:pStyle w:val="Other0"/>
              <w:framePr w:w="11443" w:h="6638" w:hSpace="19" w:vSpace="221" w:wrap="none" w:hAnchor="page" w:x="611" w:y="356"/>
              <w:spacing w:line="240" w:lineRule="auto"/>
              <w:ind w:firstLine="140"/>
              <w:rPr>
                <w:sz w:val="16"/>
                <w:szCs w:val="16"/>
              </w:rPr>
            </w:pPr>
            <w:r>
              <w:rPr>
                <w:rFonts w:ascii="Times New Roman" w:eastAsia="Times New Roman" w:hAnsi="Times New Roman" w:cs="Times New Roman"/>
                <w:color w:val="000000"/>
                <w:sz w:val="16"/>
                <w:szCs w:val="16"/>
              </w:rPr>
              <w:t>2.5 cada 12 h</w:t>
            </w:r>
          </w:p>
        </w:tc>
        <w:tc>
          <w:tcPr>
            <w:tcW w:w="1891" w:type="dxa"/>
            <w:shd w:val="clear" w:color="auto" w:fill="FFFFFF"/>
            <w:vAlign w:val="bottom"/>
          </w:tcPr>
          <w:p w14:paraId="1B7BF89B" w14:textId="77777777" w:rsidR="00924992" w:rsidRDefault="00924992">
            <w:pPr>
              <w:pStyle w:val="Other0"/>
              <w:framePr w:w="11443" w:h="6638" w:hSpace="19" w:vSpace="221" w:wrap="none" w:hAnchor="page" w:x="611" w:y="356"/>
              <w:spacing w:line="240" w:lineRule="auto"/>
              <w:ind w:firstLine="220"/>
              <w:rPr>
                <w:sz w:val="16"/>
                <w:szCs w:val="16"/>
              </w:rPr>
            </w:pPr>
            <w:r>
              <w:rPr>
                <w:rFonts w:ascii="Times New Roman" w:eastAsia="Times New Roman" w:hAnsi="Times New Roman" w:cs="Times New Roman"/>
                <w:color w:val="000000"/>
                <w:sz w:val="16"/>
                <w:szCs w:val="16"/>
              </w:rPr>
              <w:t>2.5 cada 8 ó 12 h</w:t>
            </w:r>
          </w:p>
        </w:tc>
        <w:tc>
          <w:tcPr>
            <w:tcW w:w="1853" w:type="dxa"/>
            <w:shd w:val="clear" w:color="auto" w:fill="FFFFFF"/>
            <w:vAlign w:val="bottom"/>
          </w:tcPr>
          <w:p w14:paraId="7DFD2540" w14:textId="77777777" w:rsidR="00924992" w:rsidRDefault="00924992">
            <w:pPr>
              <w:pStyle w:val="Other0"/>
              <w:framePr w:w="11443" w:h="6638" w:hSpace="19" w:vSpace="221" w:wrap="none" w:hAnchor="page" w:x="611" w:y="356"/>
              <w:spacing w:line="240" w:lineRule="auto"/>
              <w:ind w:firstLine="180"/>
              <w:rPr>
                <w:sz w:val="16"/>
                <w:szCs w:val="16"/>
              </w:rPr>
            </w:pPr>
            <w:r>
              <w:rPr>
                <w:rFonts w:ascii="Times New Roman" w:eastAsia="Times New Roman" w:hAnsi="Times New Roman" w:cs="Times New Roman"/>
                <w:color w:val="000000"/>
                <w:sz w:val="16"/>
                <w:szCs w:val="16"/>
              </w:rPr>
              <w:t>2.5 cada 8 h</w:t>
            </w:r>
          </w:p>
        </w:tc>
      </w:tr>
      <w:tr w:rsidR="00924992" w14:paraId="2E9861B3" w14:textId="77777777">
        <w:tblPrEx>
          <w:tblCellMar>
            <w:top w:w="0" w:type="dxa"/>
            <w:bottom w:w="0" w:type="dxa"/>
          </w:tblCellMar>
        </w:tblPrEx>
        <w:trPr>
          <w:trHeight w:hRule="exact" w:val="221"/>
        </w:trPr>
        <w:tc>
          <w:tcPr>
            <w:tcW w:w="1618" w:type="dxa"/>
            <w:shd w:val="clear" w:color="auto" w:fill="FFFFFF"/>
            <w:vAlign w:val="bottom"/>
          </w:tcPr>
          <w:p w14:paraId="384036EB" w14:textId="77777777" w:rsidR="00924992" w:rsidRDefault="00924992">
            <w:pPr>
              <w:pStyle w:val="Other0"/>
              <w:framePr w:w="11443" w:h="6638" w:hSpace="19" w:vSpace="221" w:wrap="none" w:hAnchor="page" w:x="611" w:y="356"/>
              <w:spacing w:line="240" w:lineRule="auto"/>
              <w:ind w:firstLine="0"/>
              <w:rPr>
                <w:sz w:val="16"/>
                <w:szCs w:val="16"/>
              </w:rPr>
            </w:pPr>
            <w:r>
              <w:rPr>
                <w:rFonts w:ascii="Times New Roman" w:eastAsia="Times New Roman" w:hAnsi="Times New Roman" w:cs="Times New Roman"/>
                <w:b/>
                <w:bCs/>
                <w:color w:val="000000"/>
                <w:sz w:val="16"/>
                <w:szCs w:val="16"/>
              </w:rPr>
              <w:t>Antiestafilocócicas,</w:t>
            </w:r>
          </w:p>
        </w:tc>
        <w:tc>
          <w:tcPr>
            <w:tcW w:w="1109" w:type="dxa"/>
            <w:shd w:val="clear" w:color="auto" w:fill="FFFFFF"/>
          </w:tcPr>
          <w:p w14:paraId="1287B582" w14:textId="77777777" w:rsidR="00924992" w:rsidRDefault="00924992">
            <w:pPr>
              <w:framePr w:w="11443" w:h="6638" w:hSpace="19" w:vSpace="221" w:wrap="none" w:hAnchor="page" w:x="611" w:y="356"/>
              <w:rPr>
                <w:sz w:val="10"/>
                <w:szCs w:val="10"/>
              </w:rPr>
            </w:pPr>
          </w:p>
        </w:tc>
        <w:tc>
          <w:tcPr>
            <w:tcW w:w="1565" w:type="dxa"/>
            <w:shd w:val="clear" w:color="auto" w:fill="FFFFFF"/>
          </w:tcPr>
          <w:p w14:paraId="7B4AF16C" w14:textId="77777777" w:rsidR="00924992" w:rsidRDefault="00924992">
            <w:pPr>
              <w:framePr w:w="11443" w:h="6638" w:hSpace="19" w:vSpace="221" w:wrap="none" w:hAnchor="page" w:x="611" w:y="356"/>
              <w:rPr>
                <w:sz w:val="10"/>
                <w:szCs w:val="10"/>
              </w:rPr>
            </w:pPr>
          </w:p>
        </w:tc>
        <w:tc>
          <w:tcPr>
            <w:tcW w:w="1622" w:type="dxa"/>
            <w:shd w:val="clear" w:color="auto" w:fill="FFFFFF"/>
          </w:tcPr>
          <w:p w14:paraId="051CBB18" w14:textId="77777777" w:rsidR="00924992" w:rsidRDefault="00924992">
            <w:pPr>
              <w:framePr w:w="11443" w:h="6638" w:hSpace="19" w:vSpace="221" w:wrap="none" w:hAnchor="page" w:x="611" w:y="356"/>
              <w:rPr>
                <w:sz w:val="10"/>
                <w:szCs w:val="10"/>
              </w:rPr>
            </w:pPr>
          </w:p>
        </w:tc>
        <w:tc>
          <w:tcPr>
            <w:tcW w:w="1786" w:type="dxa"/>
            <w:shd w:val="clear" w:color="auto" w:fill="FFFFFF"/>
          </w:tcPr>
          <w:p w14:paraId="3A4228C3" w14:textId="77777777" w:rsidR="00924992" w:rsidRDefault="00924992">
            <w:pPr>
              <w:framePr w:w="11443" w:h="6638" w:hSpace="19" w:vSpace="221" w:wrap="none" w:hAnchor="page" w:x="611" w:y="356"/>
              <w:rPr>
                <w:sz w:val="10"/>
                <w:szCs w:val="10"/>
              </w:rPr>
            </w:pPr>
          </w:p>
        </w:tc>
        <w:tc>
          <w:tcPr>
            <w:tcW w:w="1891" w:type="dxa"/>
            <w:shd w:val="clear" w:color="auto" w:fill="FFFFFF"/>
          </w:tcPr>
          <w:p w14:paraId="17229EA7" w14:textId="77777777" w:rsidR="00924992" w:rsidRDefault="00924992">
            <w:pPr>
              <w:framePr w:w="11443" w:h="6638" w:hSpace="19" w:vSpace="221" w:wrap="none" w:hAnchor="page" w:x="611" w:y="356"/>
              <w:rPr>
                <w:sz w:val="10"/>
                <w:szCs w:val="10"/>
              </w:rPr>
            </w:pPr>
          </w:p>
        </w:tc>
        <w:tc>
          <w:tcPr>
            <w:tcW w:w="1853" w:type="dxa"/>
            <w:shd w:val="clear" w:color="auto" w:fill="FFFFFF"/>
          </w:tcPr>
          <w:p w14:paraId="262D3008" w14:textId="77777777" w:rsidR="00924992" w:rsidRDefault="00924992">
            <w:pPr>
              <w:framePr w:w="11443" w:h="6638" w:hSpace="19" w:vSpace="221" w:wrap="none" w:hAnchor="page" w:x="611" w:y="356"/>
              <w:rPr>
                <w:sz w:val="10"/>
                <w:szCs w:val="10"/>
              </w:rPr>
            </w:pPr>
          </w:p>
        </w:tc>
      </w:tr>
      <w:tr w:rsidR="00924992" w14:paraId="1031F3F0" w14:textId="77777777">
        <w:tblPrEx>
          <w:tblCellMar>
            <w:top w:w="0" w:type="dxa"/>
            <w:bottom w:w="0" w:type="dxa"/>
          </w:tblCellMar>
        </w:tblPrEx>
        <w:trPr>
          <w:trHeight w:hRule="exact" w:val="245"/>
        </w:trPr>
        <w:tc>
          <w:tcPr>
            <w:tcW w:w="1618" w:type="dxa"/>
            <w:shd w:val="clear" w:color="auto" w:fill="FFFFFF"/>
            <w:vAlign w:val="bottom"/>
          </w:tcPr>
          <w:p w14:paraId="26E8CBBF" w14:textId="77777777" w:rsidR="00924992" w:rsidRDefault="00924992">
            <w:pPr>
              <w:pStyle w:val="Other0"/>
              <w:framePr w:w="11443" w:h="6638" w:hSpace="19" w:vSpace="221" w:wrap="none" w:hAnchor="page" w:x="611" w:y="356"/>
              <w:spacing w:line="240" w:lineRule="auto"/>
              <w:ind w:firstLine="180"/>
              <w:rPr>
                <w:sz w:val="16"/>
                <w:szCs w:val="16"/>
              </w:rPr>
            </w:pPr>
            <w:r>
              <w:rPr>
                <w:rFonts w:ascii="Times New Roman" w:eastAsia="Times New Roman" w:hAnsi="Times New Roman" w:cs="Times New Roman"/>
                <w:b/>
                <w:bCs/>
                <w:color w:val="000000"/>
                <w:sz w:val="16"/>
                <w:szCs w:val="16"/>
              </w:rPr>
              <w:t>penicilinas</w:t>
            </w:r>
            <w:r>
              <w:rPr>
                <w:rFonts w:ascii="Times New Roman" w:eastAsia="Times New Roman" w:hAnsi="Times New Roman" w:cs="Times New Roman"/>
                <w:b/>
                <w:bCs/>
                <w:color w:val="000000"/>
                <w:sz w:val="16"/>
                <w:szCs w:val="16"/>
                <w:vertAlign w:val="superscript"/>
              </w:rPr>
              <w:t>4</w:t>
            </w:r>
          </w:p>
        </w:tc>
        <w:tc>
          <w:tcPr>
            <w:tcW w:w="1109" w:type="dxa"/>
            <w:shd w:val="clear" w:color="auto" w:fill="FFFFFF"/>
          </w:tcPr>
          <w:p w14:paraId="4BDD2F4F" w14:textId="77777777" w:rsidR="00924992" w:rsidRDefault="00924992">
            <w:pPr>
              <w:framePr w:w="11443" w:h="6638" w:hSpace="19" w:vSpace="221" w:wrap="none" w:hAnchor="page" w:x="611" w:y="356"/>
              <w:rPr>
                <w:sz w:val="10"/>
                <w:szCs w:val="10"/>
              </w:rPr>
            </w:pPr>
          </w:p>
        </w:tc>
        <w:tc>
          <w:tcPr>
            <w:tcW w:w="1565" w:type="dxa"/>
            <w:shd w:val="clear" w:color="auto" w:fill="FFFFFF"/>
          </w:tcPr>
          <w:p w14:paraId="7F6CCA21" w14:textId="77777777" w:rsidR="00924992" w:rsidRDefault="00924992">
            <w:pPr>
              <w:framePr w:w="11443" w:h="6638" w:hSpace="19" w:vSpace="221" w:wrap="none" w:hAnchor="page" w:x="611" w:y="356"/>
              <w:rPr>
                <w:sz w:val="10"/>
                <w:szCs w:val="10"/>
              </w:rPr>
            </w:pPr>
          </w:p>
        </w:tc>
        <w:tc>
          <w:tcPr>
            <w:tcW w:w="1622" w:type="dxa"/>
            <w:shd w:val="clear" w:color="auto" w:fill="FFFFFF"/>
          </w:tcPr>
          <w:p w14:paraId="0B934B6D" w14:textId="77777777" w:rsidR="00924992" w:rsidRDefault="00924992">
            <w:pPr>
              <w:framePr w:w="11443" w:h="6638" w:hSpace="19" w:vSpace="221" w:wrap="none" w:hAnchor="page" w:x="611" w:y="356"/>
              <w:rPr>
                <w:sz w:val="10"/>
                <w:szCs w:val="10"/>
              </w:rPr>
            </w:pPr>
          </w:p>
        </w:tc>
        <w:tc>
          <w:tcPr>
            <w:tcW w:w="1786" w:type="dxa"/>
            <w:shd w:val="clear" w:color="auto" w:fill="FFFFFF"/>
          </w:tcPr>
          <w:p w14:paraId="2CC15CC1" w14:textId="77777777" w:rsidR="00924992" w:rsidRDefault="00924992">
            <w:pPr>
              <w:framePr w:w="11443" w:h="6638" w:hSpace="19" w:vSpace="221" w:wrap="none" w:hAnchor="page" w:x="611" w:y="356"/>
              <w:rPr>
                <w:sz w:val="10"/>
                <w:szCs w:val="10"/>
              </w:rPr>
            </w:pPr>
          </w:p>
        </w:tc>
        <w:tc>
          <w:tcPr>
            <w:tcW w:w="1891" w:type="dxa"/>
            <w:shd w:val="clear" w:color="auto" w:fill="FFFFFF"/>
          </w:tcPr>
          <w:p w14:paraId="11102EE2" w14:textId="77777777" w:rsidR="00924992" w:rsidRDefault="00924992">
            <w:pPr>
              <w:framePr w:w="11443" w:h="6638" w:hSpace="19" w:vSpace="221" w:wrap="none" w:hAnchor="page" w:x="611" w:y="356"/>
              <w:rPr>
                <w:sz w:val="10"/>
                <w:szCs w:val="10"/>
              </w:rPr>
            </w:pPr>
          </w:p>
        </w:tc>
        <w:tc>
          <w:tcPr>
            <w:tcW w:w="1853" w:type="dxa"/>
            <w:shd w:val="clear" w:color="auto" w:fill="FFFFFF"/>
          </w:tcPr>
          <w:p w14:paraId="34E3549E" w14:textId="77777777" w:rsidR="00924992" w:rsidRDefault="00924992">
            <w:pPr>
              <w:framePr w:w="11443" w:h="6638" w:hSpace="19" w:vSpace="221" w:wrap="none" w:hAnchor="page" w:x="611" w:y="356"/>
              <w:rPr>
                <w:sz w:val="10"/>
                <w:szCs w:val="10"/>
              </w:rPr>
            </w:pPr>
          </w:p>
        </w:tc>
      </w:tr>
      <w:tr w:rsidR="00924992" w14:paraId="095922AB" w14:textId="77777777">
        <w:tblPrEx>
          <w:tblCellMar>
            <w:top w:w="0" w:type="dxa"/>
            <w:bottom w:w="0" w:type="dxa"/>
          </w:tblCellMar>
        </w:tblPrEx>
        <w:trPr>
          <w:trHeight w:hRule="exact" w:val="197"/>
        </w:trPr>
        <w:tc>
          <w:tcPr>
            <w:tcW w:w="1618" w:type="dxa"/>
            <w:shd w:val="clear" w:color="auto" w:fill="FFFFFF"/>
          </w:tcPr>
          <w:p w14:paraId="6767FD0D" w14:textId="77777777" w:rsidR="00924992" w:rsidRDefault="00924992">
            <w:pPr>
              <w:pStyle w:val="Other0"/>
              <w:framePr w:w="11443" w:h="6638" w:hSpace="19" w:vSpace="221" w:wrap="none" w:hAnchor="page" w:x="611" w:y="356"/>
              <w:spacing w:line="240" w:lineRule="auto"/>
              <w:ind w:firstLine="0"/>
              <w:rPr>
                <w:sz w:val="16"/>
                <w:szCs w:val="16"/>
              </w:rPr>
            </w:pPr>
            <w:r>
              <w:rPr>
                <w:rFonts w:ascii="Times New Roman" w:eastAsia="Times New Roman" w:hAnsi="Times New Roman" w:cs="Times New Roman"/>
                <w:color w:val="000000"/>
                <w:sz w:val="16"/>
                <w:szCs w:val="16"/>
              </w:rPr>
              <w:t>Meticilina</w:t>
            </w:r>
          </w:p>
        </w:tc>
        <w:tc>
          <w:tcPr>
            <w:tcW w:w="1109" w:type="dxa"/>
            <w:shd w:val="clear" w:color="auto" w:fill="FFFFFF"/>
          </w:tcPr>
          <w:p w14:paraId="1B63C4C6" w14:textId="77777777" w:rsidR="00924992" w:rsidRDefault="00924992">
            <w:pPr>
              <w:pStyle w:val="Other0"/>
              <w:framePr w:w="11443" w:h="6638" w:hSpace="19" w:vSpace="221" w:wrap="none" w:hAnchor="page" w:x="611" w:y="356"/>
              <w:spacing w:line="240" w:lineRule="auto"/>
              <w:ind w:firstLine="0"/>
              <w:rPr>
                <w:sz w:val="16"/>
                <w:szCs w:val="16"/>
              </w:rPr>
            </w:pPr>
            <w:r>
              <w:rPr>
                <w:rFonts w:ascii="Times New Roman" w:eastAsia="Times New Roman" w:hAnsi="Times New Roman" w:cs="Times New Roman"/>
                <w:color w:val="000000"/>
                <w:sz w:val="16"/>
                <w:szCs w:val="16"/>
              </w:rPr>
              <w:t>IV, IM</w:t>
            </w:r>
          </w:p>
        </w:tc>
        <w:tc>
          <w:tcPr>
            <w:tcW w:w="1565" w:type="dxa"/>
            <w:shd w:val="clear" w:color="auto" w:fill="FFFFFF"/>
          </w:tcPr>
          <w:p w14:paraId="5D80ACBB" w14:textId="77777777" w:rsidR="00924992" w:rsidRDefault="00924992">
            <w:pPr>
              <w:pStyle w:val="Other0"/>
              <w:framePr w:w="11443" w:h="6638" w:hSpace="19" w:vSpace="221" w:wrap="none" w:hAnchor="page" w:x="611" w:y="356"/>
              <w:spacing w:line="240" w:lineRule="auto"/>
              <w:ind w:firstLine="0"/>
              <w:rPr>
                <w:sz w:val="16"/>
                <w:szCs w:val="16"/>
              </w:rPr>
            </w:pPr>
            <w:r>
              <w:rPr>
                <w:rFonts w:ascii="Times New Roman" w:eastAsia="Times New Roman" w:hAnsi="Times New Roman" w:cs="Times New Roman"/>
                <w:color w:val="000000"/>
                <w:sz w:val="16"/>
                <w:szCs w:val="16"/>
              </w:rPr>
              <w:t>25 cada 12 h</w:t>
            </w:r>
          </w:p>
        </w:tc>
        <w:tc>
          <w:tcPr>
            <w:tcW w:w="1622" w:type="dxa"/>
            <w:shd w:val="clear" w:color="auto" w:fill="FFFFFF"/>
          </w:tcPr>
          <w:p w14:paraId="2C6F62BE" w14:textId="77777777" w:rsidR="00924992" w:rsidRDefault="00924992">
            <w:pPr>
              <w:pStyle w:val="Other0"/>
              <w:framePr w:w="11443" w:h="6638" w:hSpace="19" w:vSpace="221" w:wrap="none" w:hAnchor="page" w:x="611" w:y="356"/>
              <w:spacing w:line="240" w:lineRule="auto"/>
              <w:ind w:firstLine="0"/>
              <w:rPr>
                <w:sz w:val="16"/>
                <w:szCs w:val="16"/>
              </w:rPr>
            </w:pPr>
            <w:r>
              <w:rPr>
                <w:rFonts w:ascii="Times New Roman" w:eastAsia="Times New Roman" w:hAnsi="Times New Roman" w:cs="Times New Roman"/>
                <w:color w:val="000000"/>
                <w:sz w:val="16"/>
                <w:szCs w:val="16"/>
              </w:rPr>
              <w:t>25-50 cada 12 h</w:t>
            </w:r>
          </w:p>
        </w:tc>
        <w:tc>
          <w:tcPr>
            <w:tcW w:w="1786" w:type="dxa"/>
            <w:shd w:val="clear" w:color="auto" w:fill="FFFFFF"/>
          </w:tcPr>
          <w:p w14:paraId="482BE093" w14:textId="77777777" w:rsidR="00924992" w:rsidRDefault="00924992">
            <w:pPr>
              <w:pStyle w:val="Other0"/>
              <w:framePr w:w="11443" w:h="6638" w:hSpace="19" w:vSpace="221" w:wrap="none" w:hAnchor="page" w:x="611" w:y="356"/>
              <w:spacing w:line="240" w:lineRule="auto"/>
              <w:ind w:firstLine="140"/>
              <w:rPr>
                <w:sz w:val="16"/>
                <w:szCs w:val="16"/>
              </w:rPr>
            </w:pPr>
            <w:r>
              <w:rPr>
                <w:rFonts w:ascii="Times New Roman" w:eastAsia="Times New Roman" w:hAnsi="Times New Roman" w:cs="Times New Roman"/>
                <w:color w:val="000000"/>
                <w:sz w:val="16"/>
                <w:szCs w:val="16"/>
              </w:rPr>
              <w:t>25-50 cada 8 h</w:t>
            </w:r>
          </w:p>
        </w:tc>
        <w:tc>
          <w:tcPr>
            <w:tcW w:w="1891" w:type="dxa"/>
            <w:shd w:val="clear" w:color="auto" w:fill="FFFFFF"/>
          </w:tcPr>
          <w:p w14:paraId="5653412A" w14:textId="77777777" w:rsidR="00924992" w:rsidRDefault="00924992">
            <w:pPr>
              <w:pStyle w:val="Other0"/>
              <w:framePr w:w="11443" w:h="6638" w:hSpace="19" w:vSpace="221" w:wrap="none" w:hAnchor="page" w:x="611" w:y="356"/>
              <w:spacing w:line="240" w:lineRule="auto"/>
              <w:ind w:firstLine="220"/>
              <w:rPr>
                <w:sz w:val="16"/>
                <w:szCs w:val="16"/>
              </w:rPr>
            </w:pPr>
            <w:r>
              <w:rPr>
                <w:rFonts w:ascii="Times New Roman" w:eastAsia="Times New Roman" w:hAnsi="Times New Roman" w:cs="Times New Roman"/>
                <w:color w:val="000000"/>
                <w:sz w:val="16"/>
                <w:szCs w:val="16"/>
              </w:rPr>
              <w:t>25-50 cada 8 h</w:t>
            </w:r>
          </w:p>
        </w:tc>
        <w:tc>
          <w:tcPr>
            <w:tcW w:w="1853" w:type="dxa"/>
            <w:shd w:val="clear" w:color="auto" w:fill="FFFFFF"/>
          </w:tcPr>
          <w:p w14:paraId="52F7D953" w14:textId="77777777" w:rsidR="00924992" w:rsidRDefault="00924992">
            <w:pPr>
              <w:pStyle w:val="Other0"/>
              <w:framePr w:w="11443" w:h="6638" w:hSpace="19" w:vSpace="221" w:wrap="none" w:hAnchor="page" w:x="611" w:y="356"/>
              <w:spacing w:line="240" w:lineRule="auto"/>
              <w:ind w:firstLine="180"/>
              <w:rPr>
                <w:sz w:val="16"/>
                <w:szCs w:val="16"/>
              </w:rPr>
            </w:pPr>
            <w:r>
              <w:rPr>
                <w:rFonts w:ascii="Times New Roman" w:eastAsia="Times New Roman" w:hAnsi="Times New Roman" w:cs="Times New Roman"/>
                <w:color w:val="000000"/>
                <w:sz w:val="16"/>
                <w:szCs w:val="16"/>
              </w:rPr>
              <w:t>25-50 cada 6 h</w:t>
            </w:r>
          </w:p>
        </w:tc>
      </w:tr>
      <w:tr w:rsidR="00924992" w14:paraId="33538E43" w14:textId="77777777">
        <w:tblPrEx>
          <w:tblCellMar>
            <w:top w:w="0" w:type="dxa"/>
            <w:bottom w:w="0" w:type="dxa"/>
          </w:tblCellMar>
        </w:tblPrEx>
        <w:trPr>
          <w:trHeight w:hRule="exact" w:val="216"/>
        </w:trPr>
        <w:tc>
          <w:tcPr>
            <w:tcW w:w="1618" w:type="dxa"/>
            <w:shd w:val="clear" w:color="auto" w:fill="FFFFFF"/>
            <w:vAlign w:val="bottom"/>
          </w:tcPr>
          <w:p w14:paraId="3B93A19C" w14:textId="77777777" w:rsidR="00924992" w:rsidRDefault="00924992">
            <w:pPr>
              <w:pStyle w:val="Other0"/>
              <w:framePr w:w="11443" w:h="6638" w:hSpace="19" w:vSpace="221" w:wrap="none" w:hAnchor="page" w:x="611" w:y="356"/>
              <w:spacing w:line="240" w:lineRule="auto"/>
              <w:ind w:firstLine="0"/>
              <w:rPr>
                <w:sz w:val="16"/>
                <w:szCs w:val="16"/>
              </w:rPr>
            </w:pPr>
            <w:r>
              <w:rPr>
                <w:rFonts w:ascii="Times New Roman" w:eastAsia="Times New Roman" w:hAnsi="Times New Roman" w:cs="Times New Roman"/>
                <w:color w:val="000000"/>
                <w:sz w:val="16"/>
                <w:szCs w:val="16"/>
              </w:rPr>
              <w:t>Nafcilina</w:t>
            </w:r>
          </w:p>
        </w:tc>
        <w:tc>
          <w:tcPr>
            <w:tcW w:w="1109" w:type="dxa"/>
            <w:shd w:val="clear" w:color="auto" w:fill="FFFFFF"/>
            <w:vAlign w:val="bottom"/>
          </w:tcPr>
          <w:p w14:paraId="29ABACF3" w14:textId="77777777" w:rsidR="00924992" w:rsidRDefault="00924992">
            <w:pPr>
              <w:pStyle w:val="Other0"/>
              <w:framePr w:w="11443" w:h="6638" w:hSpace="19" w:vSpace="221" w:wrap="none" w:hAnchor="page" w:x="611" w:y="356"/>
              <w:spacing w:line="240" w:lineRule="auto"/>
              <w:ind w:firstLine="0"/>
              <w:rPr>
                <w:sz w:val="16"/>
                <w:szCs w:val="16"/>
              </w:rPr>
            </w:pPr>
            <w:r>
              <w:rPr>
                <w:rFonts w:ascii="Times New Roman" w:eastAsia="Times New Roman" w:hAnsi="Times New Roman" w:cs="Times New Roman"/>
                <w:color w:val="000000"/>
                <w:sz w:val="16"/>
                <w:szCs w:val="16"/>
              </w:rPr>
              <w:t>IV, IM</w:t>
            </w:r>
          </w:p>
        </w:tc>
        <w:tc>
          <w:tcPr>
            <w:tcW w:w="1565" w:type="dxa"/>
            <w:shd w:val="clear" w:color="auto" w:fill="FFFFFF"/>
            <w:vAlign w:val="bottom"/>
          </w:tcPr>
          <w:p w14:paraId="3A16A07F" w14:textId="77777777" w:rsidR="00924992" w:rsidRDefault="00924992">
            <w:pPr>
              <w:pStyle w:val="Other0"/>
              <w:framePr w:w="11443" w:h="6638" w:hSpace="19" w:vSpace="221" w:wrap="none" w:hAnchor="page" w:x="611" w:y="356"/>
              <w:spacing w:line="240" w:lineRule="auto"/>
              <w:ind w:firstLine="0"/>
              <w:rPr>
                <w:sz w:val="16"/>
                <w:szCs w:val="16"/>
              </w:rPr>
            </w:pPr>
            <w:r>
              <w:rPr>
                <w:rFonts w:ascii="Times New Roman" w:eastAsia="Times New Roman" w:hAnsi="Times New Roman" w:cs="Times New Roman"/>
                <w:color w:val="000000"/>
                <w:sz w:val="16"/>
                <w:szCs w:val="16"/>
              </w:rPr>
              <w:t>25 cada 12 h</w:t>
            </w:r>
          </w:p>
        </w:tc>
        <w:tc>
          <w:tcPr>
            <w:tcW w:w="1622" w:type="dxa"/>
            <w:shd w:val="clear" w:color="auto" w:fill="FFFFFF"/>
            <w:vAlign w:val="bottom"/>
          </w:tcPr>
          <w:p w14:paraId="11180726" w14:textId="77777777" w:rsidR="00924992" w:rsidRDefault="00924992">
            <w:pPr>
              <w:pStyle w:val="Other0"/>
              <w:framePr w:w="11443" w:h="6638" w:hSpace="19" w:vSpace="221" w:wrap="none" w:hAnchor="page" w:x="611" w:y="356"/>
              <w:spacing w:line="240" w:lineRule="auto"/>
              <w:ind w:firstLine="0"/>
              <w:rPr>
                <w:sz w:val="16"/>
                <w:szCs w:val="16"/>
              </w:rPr>
            </w:pPr>
            <w:r>
              <w:rPr>
                <w:rFonts w:ascii="Times New Roman" w:eastAsia="Times New Roman" w:hAnsi="Times New Roman" w:cs="Times New Roman"/>
                <w:color w:val="000000"/>
                <w:sz w:val="16"/>
                <w:szCs w:val="16"/>
              </w:rPr>
              <w:t>25 cada 12 h</w:t>
            </w:r>
          </w:p>
        </w:tc>
        <w:tc>
          <w:tcPr>
            <w:tcW w:w="1786" w:type="dxa"/>
            <w:shd w:val="clear" w:color="auto" w:fill="FFFFFF"/>
            <w:vAlign w:val="bottom"/>
          </w:tcPr>
          <w:p w14:paraId="61D6FC91" w14:textId="77777777" w:rsidR="00924992" w:rsidRDefault="00924992">
            <w:pPr>
              <w:pStyle w:val="Other0"/>
              <w:framePr w:w="11443" w:h="6638" w:hSpace="19" w:vSpace="221" w:wrap="none" w:hAnchor="page" w:x="611" w:y="356"/>
              <w:spacing w:line="240" w:lineRule="auto"/>
              <w:ind w:firstLine="140"/>
              <w:rPr>
                <w:sz w:val="16"/>
                <w:szCs w:val="16"/>
              </w:rPr>
            </w:pPr>
            <w:r>
              <w:rPr>
                <w:rFonts w:ascii="Times New Roman" w:eastAsia="Times New Roman" w:hAnsi="Times New Roman" w:cs="Times New Roman"/>
                <w:color w:val="000000"/>
                <w:sz w:val="16"/>
                <w:szCs w:val="16"/>
              </w:rPr>
              <w:t>25 cada 8 h</w:t>
            </w:r>
          </w:p>
        </w:tc>
        <w:tc>
          <w:tcPr>
            <w:tcW w:w="1891" w:type="dxa"/>
            <w:shd w:val="clear" w:color="auto" w:fill="FFFFFF"/>
            <w:vAlign w:val="bottom"/>
          </w:tcPr>
          <w:p w14:paraId="0FA4369F" w14:textId="77777777" w:rsidR="00924992" w:rsidRDefault="00924992">
            <w:pPr>
              <w:pStyle w:val="Other0"/>
              <w:framePr w:w="11443" w:h="6638" w:hSpace="19" w:vSpace="221" w:wrap="none" w:hAnchor="page" w:x="611" w:y="356"/>
              <w:spacing w:line="240" w:lineRule="auto"/>
              <w:ind w:firstLine="220"/>
              <w:rPr>
                <w:sz w:val="16"/>
                <w:szCs w:val="16"/>
              </w:rPr>
            </w:pPr>
            <w:r>
              <w:rPr>
                <w:rFonts w:ascii="Times New Roman" w:eastAsia="Times New Roman" w:hAnsi="Times New Roman" w:cs="Times New Roman"/>
                <w:color w:val="000000"/>
                <w:sz w:val="16"/>
                <w:szCs w:val="16"/>
              </w:rPr>
              <w:t>25 cada 8 h</w:t>
            </w:r>
          </w:p>
        </w:tc>
        <w:tc>
          <w:tcPr>
            <w:tcW w:w="1853" w:type="dxa"/>
            <w:shd w:val="clear" w:color="auto" w:fill="FFFFFF"/>
            <w:vAlign w:val="bottom"/>
          </w:tcPr>
          <w:p w14:paraId="29D0337A" w14:textId="77777777" w:rsidR="00924992" w:rsidRDefault="00924992">
            <w:pPr>
              <w:pStyle w:val="Other0"/>
              <w:framePr w:w="11443" w:h="6638" w:hSpace="19" w:vSpace="221" w:wrap="none" w:hAnchor="page" w:x="611" w:y="356"/>
              <w:spacing w:line="240" w:lineRule="auto"/>
              <w:ind w:firstLine="180"/>
              <w:rPr>
                <w:sz w:val="16"/>
                <w:szCs w:val="16"/>
              </w:rPr>
            </w:pPr>
            <w:r>
              <w:rPr>
                <w:rFonts w:ascii="Times New Roman" w:eastAsia="Times New Roman" w:hAnsi="Times New Roman" w:cs="Times New Roman"/>
                <w:color w:val="000000"/>
                <w:sz w:val="16"/>
                <w:szCs w:val="16"/>
              </w:rPr>
              <w:t>25-35 cada 6 h</w:t>
            </w:r>
          </w:p>
        </w:tc>
      </w:tr>
      <w:tr w:rsidR="00924992" w14:paraId="56A3E7AE" w14:textId="77777777">
        <w:tblPrEx>
          <w:tblCellMar>
            <w:top w:w="0" w:type="dxa"/>
            <w:bottom w:w="0" w:type="dxa"/>
          </w:tblCellMar>
        </w:tblPrEx>
        <w:trPr>
          <w:trHeight w:hRule="exact" w:val="216"/>
        </w:trPr>
        <w:tc>
          <w:tcPr>
            <w:tcW w:w="1618" w:type="dxa"/>
            <w:shd w:val="clear" w:color="auto" w:fill="FFFFFF"/>
            <w:vAlign w:val="bottom"/>
          </w:tcPr>
          <w:p w14:paraId="278569FF" w14:textId="77777777" w:rsidR="00924992" w:rsidRDefault="00924992">
            <w:pPr>
              <w:pStyle w:val="Other0"/>
              <w:framePr w:w="11443" w:h="6638" w:hSpace="19" w:vSpace="221" w:wrap="none" w:hAnchor="page" w:x="611" w:y="356"/>
              <w:spacing w:line="240" w:lineRule="auto"/>
              <w:ind w:firstLine="0"/>
              <w:rPr>
                <w:sz w:val="16"/>
                <w:szCs w:val="16"/>
              </w:rPr>
            </w:pPr>
            <w:r>
              <w:rPr>
                <w:rFonts w:ascii="Times New Roman" w:eastAsia="Times New Roman" w:hAnsi="Times New Roman" w:cs="Times New Roman"/>
                <w:color w:val="000000"/>
                <w:sz w:val="16"/>
                <w:szCs w:val="16"/>
              </w:rPr>
              <w:t>Oxacilina</w:t>
            </w:r>
          </w:p>
        </w:tc>
        <w:tc>
          <w:tcPr>
            <w:tcW w:w="1109" w:type="dxa"/>
            <w:shd w:val="clear" w:color="auto" w:fill="FFFFFF"/>
            <w:vAlign w:val="bottom"/>
          </w:tcPr>
          <w:p w14:paraId="44402451" w14:textId="77777777" w:rsidR="00924992" w:rsidRDefault="00924992">
            <w:pPr>
              <w:pStyle w:val="Other0"/>
              <w:framePr w:w="11443" w:h="6638" w:hSpace="19" w:vSpace="221" w:wrap="none" w:hAnchor="page" w:x="611" w:y="356"/>
              <w:spacing w:line="240" w:lineRule="auto"/>
              <w:ind w:firstLine="0"/>
              <w:rPr>
                <w:sz w:val="16"/>
                <w:szCs w:val="16"/>
              </w:rPr>
            </w:pPr>
            <w:r>
              <w:rPr>
                <w:rFonts w:ascii="Times New Roman" w:eastAsia="Times New Roman" w:hAnsi="Times New Roman" w:cs="Times New Roman"/>
                <w:color w:val="000000"/>
                <w:sz w:val="16"/>
                <w:szCs w:val="16"/>
              </w:rPr>
              <w:t>IV, IM</w:t>
            </w:r>
          </w:p>
        </w:tc>
        <w:tc>
          <w:tcPr>
            <w:tcW w:w="1565" w:type="dxa"/>
            <w:shd w:val="clear" w:color="auto" w:fill="FFFFFF"/>
            <w:vAlign w:val="bottom"/>
          </w:tcPr>
          <w:p w14:paraId="6BBE189B" w14:textId="77777777" w:rsidR="00924992" w:rsidRDefault="00924992">
            <w:pPr>
              <w:pStyle w:val="Other0"/>
              <w:framePr w:w="11443" w:h="6638" w:hSpace="19" w:vSpace="221" w:wrap="none" w:hAnchor="page" w:x="611" w:y="356"/>
              <w:spacing w:line="240" w:lineRule="auto"/>
              <w:ind w:firstLine="0"/>
              <w:rPr>
                <w:sz w:val="16"/>
                <w:szCs w:val="16"/>
              </w:rPr>
            </w:pPr>
            <w:r>
              <w:rPr>
                <w:rFonts w:ascii="Times New Roman" w:eastAsia="Times New Roman" w:hAnsi="Times New Roman" w:cs="Times New Roman"/>
                <w:color w:val="000000"/>
                <w:sz w:val="16"/>
                <w:szCs w:val="16"/>
              </w:rPr>
              <w:t>25 cada 12 h</w:t>
            </w:r>
          </w:p>
        </w:tc>
        <w:tc>
          <w:tcPr>
            <w:tcW w:w="1622" w:type="dxa"/>
            <w:shd w:val="clear" w:color="auto" w:fill="FFFFFF"/>
            <w:vAlign w:val="bottom"/>
          </w:tcPr>
          <w:p w14:paraId="76C2E2B3" w14:textId="77777777" w:rsidR="00924992" w:rsidRDefault="00924992">
            <w:pPr>
              <w:pStyle w:val="Other0"/>
              <w:framePr w:w="11443" w:h="6638" w:hSpace="19" w:vSpace="221" w:wrap="none" w:hAnchor="page" w:x="611" w:y="356"/>
              <w:spacing w:line="240" w:lineRule="auto"/>
              <w:ind w:firstLine="0"/>
              <w:rPr>
                <w:sz w:val="16"/>
                <w:szCs w:val="16"/>
              </w:rPr>
            </w:pPr>
            <w:r>
              <w:rPr>
                <w:rFonts w:ascii="Times New Roman" w:eastAsia="Times New Roman" w:hAnsi="Times New Roman" w:cs="Times New Roman"/>
                <w:color w:val="000000"/>
                <w:sz w:val="16"/>
                <w:szCs w:val="16"/>
              </w:rPr>
              <w:t>25-50 cada 12 h</w:t>
            </w:r>
          </w:p>
        </w:tc>
        <w:tc>
          <w:tcPr>
            <w:tcW w:w="1786" w:type="dxa"/>
            <w:shd w:val="clear" w:color="auto" w:fill="FFFFFF"/>
            <w:vAlign w:val="bottom"/>
          </w:tcPr>
          <w:p w14:paraId="2D7FD88D" w14:textId="77777777" w:rsidR="00924992" w:rsidRDefault="00924992">
            <w:pPr>
              <w:pStyle w:val="Other0"/>
              <w:framePr w:w="11443" w:h="6638" w:hSpace="19" w:vSpace="221" w:wrap="none" w:hAnchor="page" w:x="611" w:y="356"/>
              <w:spacing w:line="240" w:lineRule="auto"/>
              <w:ind w:firstLine="140"/>
              <w:rPr>
                <w:sz w:val="16"/>
                <w:szCs w:val="16"/>
              </w:rPr>
            </w:pPr>
            <w:r>
              <w:rPr>
                <w:rFonts w:ascii="Times New Roman" w:eastAsia="Times New Roman" w:hAnsi="Times New Roman" w:cs="Times New Roman"/>
                <w:color w:val="000000"/>
                <w:sz w:val="16"/>
                <w:szCs w:val="16"/>
              </w:rPr>
              <w:t>25-50 cada 8 h</w:t>
            </w:r>
          </w:p>
        </w:tc>
        <w:tc>
          <w:tcPr>
            <w:tcW w:w="1891" w:type="dxa"/>
            <w:shd w:val="clear" w:color="auto" w:fill="FFFFFF"/>
            <w:vAlign w:val="bottom"/>
          </w:tcPr>
          <w:p w14:paraId="1CA365E0" w14:textId="77777777" w:rsidR="00924992" w:rsidRDefault="00924992">
            <w:pPr>
              <w:pStyle w:val="Other0"/>
              <w:framePr w:w="11443" w:h="6638" w:hSpace="19" w:vSpace="221" w:wrap="none" w:hAnchor="page" w:x="611" w:y="356"/>
              <w:spacing w:line="240" w:lineRule="auto"/>
              <w:ind w:firstLine="220"/>
              <w:rPr>
                <w:sz w:val="16"/>
                <w:szCs w:val="16"/>
              </w:rPr>
            </w:pPr>
            <w:r>
              <w:rPr>
                <w:rFonts w:ascii="Times New Roman" w:eastAsia="Times New Roman" w:hAnsi="Times New Roman" w:cs="Times New Roman"/>
                <w:color w:val="000000"/>
                <w:sz w:val="16"/>
                <w:szCs w:val="16"/>
              </w:rPr>
              <w:t>25-50 cada 8 h</w:t>
            </w:r>
          </w:p>
        </w:tc>
        <w:tc>
          <w:tcPr>
            <w:tcW w:w="1853" w:type="dxa"/>
            <w:shd w:val="clear" w:color="auto" w:fill="FFFFFF"/>
            <w:vAlign w:val="bottom"/>
          </w:tcPr>
          <w:p w14:paraId="4388153F" w14:textId="77777777" w:rsidR="00924992" w:rsidRDefault="00924992">
            <w:pPr>
              <w:pStyle w:val="Other0"/>
              <w:framePr w:w="11443" w:h="6638" w:hSpace="19" w:vSpace="221" w:wrap="none" w:hAnchor="page" w:x="611" w:y="356"/>
              <w:spacing w:line="240" w:lineRule="auto"/>
              <w:ind w:firstLine="180"/>
              <w:rPr>
                <w:sz w:val="16"/>
                <w:szCs w:val="16"/>
              </w:rPr>
            </w:pPr>
            <w:r>
              <w:rPr>
                <w:rFonts w:ascii="Times New Roman" w:eastAsia="Times New Roman" w:hAnsi="Times New Roman" w:cs="Times New Roman"/>
                <w:color w:val="000000"/>
                <w:sz w:val="16"/>
                <w:szCs w:val="16"/>
              </w:rPr>
              <w:t>25-50 cada 6 h</w:t>
            </w:r>
          </w:p>
        </w:tc>
      </w:tr>
      <w:tr w:rsidR="00924992" w14:paraId="10187B52" w14:textId="77777777">
        <w:tblPrEx>
          <w:tblCellMar>
            <w:top w:w="0" w:type="dxa"/>
            <w:bottom w:w="0" w:type="dxa"/>
          </w:tblCellMar>
        </w:tblPrEx>
        <w:trPr>
          <w:trHeight w:hRule="exact" w:val="216"/>
        </w:trPr>
        <w:tc>
          <w:tcPr>
            <w:tcW w:w="1618" w:type="dxa"/>
            <w:shd w:val="clear" w:color="auto" w:fill="FFFFFF"/>
            <w:vAlign w:val="bottom"/>
          </w:tcPr>
          <w:p w14:paraId="68FBD739" w14:textId="77777777" w:rsidR="00924992" w:rsidRDefault="00924992">
            <w:pPr>
              <w:pStyle w:val="Other0"/>
              <w:framePr w:w="11443" w:h="6638" w:hSpace="19" w:vSpace="221" w:wrap="none" w:hAnchor="page" w:x="611" w:y="356"/>
              <w:spacing w:line="240" w:lineRule="auto"/>
              <w:ind w:firstLine="0"/>
              <w:rPr>
                <w:sz w:val="16"/>
                <w:szCs w:val="16"/>
              </w:rPr>
            </w:pPr>
            <w:r>
              <w:rPr>
                <w:rFonts w:ascii="Times New Roman" w:eastAsia="Times New Roman" w:hAnsi="Times New Roman" w:cs="Times New Roman"/>
                <w:b/>
                <w:bCs/>
                <w:color w:val="000000"/>
                <w:sz w:val="16"/>
                <w:szCs w:val="16"/>
              </w:rPr>
              <w:t>Aztreonam</w:t>
            </w:r>
          </w:p>
        </w:tc>
        <w:tc>
          <w:tcPr>
            <w:tcW w:w="1109" w:type="dxa"/>
            <w:shd w:val="clear" w:color="auto" w:fill="FFFFFF"/>
            <w:vAlign w:val="bottom"/>
          </w:tcPr>
          <w:p w14:paraId="207C9DD2" w14:textId="77777777" w:rsidR="00924992" w:rsidRDefault="00924992">
            <w:pPr>
              <w:pStyle w:val="Other0"/>
              <w:framePr w:w="11443" w:h="6638" w:hSpace="19" w:vSpace="221" w:wrap="none" w:hAnchor="page" w:x="611" w:y="356"/>
              <w:spacing w:line="240" w:lineRule="auto"/>
              <w:ind w:firstLine="0"/>
              <w:rPr>
                <w:sz w:val="16"/>
                <w:szCs w:val="16"/>
              </w:rPr>
            </w:pPr>
            <w:r>
              <w:rPr>
                <w:rFonts w:ascii="Times New Roman" w:eastAsia="Times New Roman" w:hAnsi="Times New Roman" w:cs="Times New Roman"/>
                <w:color w:val="000000"/>
                <w:sz w:val="16"/>
                <w:szCs w:val="16"/>
              </w:rPr>
              <w:t>IV, IM</w:t>
            </w:r>
          </w:p>
        </w:tc>
        <w:tc>
          <w:tcPr>
            <w:tcW w:w="1565" w:type="dxa"/>
            <w:shd w:val="clear" w:color="auto" w:fill="FFFFFF"/>
            <w:vAlign w:val="bottom"/>
          </w:tcPr>
          <w:p w14:paraId="67BF3B48" w14:textId="77777777" w:rsidR="00924992" w:rsidRDefault="00924992">
            <w:pPr>
              <w:pStyle w:val="Other0"/>
              <w:framePr w:w="11443" w:h="6638" w:hSpace="19" w:vSpace="221" w:wrap="none" w:hAnchor="page" w:x="611" w:y="356"/>
              <w:spacing w:line="240" w:lineRule="auto"/>
              <w:ind w:firstLine="0"/>
              <w:rPr>
                <w:sz w:val="16"/>
                <w:szCs w:val="16"/>
              </w:rPr>
            </w:pPr>
            <w:r>
              <w:rPr>
                <w:rFonts w:ascii="Times New Roman" w:eastAsia="Times New Roman" w:hAnsi="Times New Roman" w:cs="Times New Roman"/>
                <w:color w:val="000000"/>
                <w:sz w:val="16"/>
                <w:szCs w:val="16"/>
              </w:rPr>
              <w:t>30 cada 12 h</w:t>
            </w:r>
          </w:p>
        </w:tc>
        <w:tc>
          <w:tcPr>
            <w:tcW w:w="1622" w:type="dxa"/>
            <w:shd w:val="clear" w:color="auto" w:fill="FFFFFF"/>
            <w:vAlign w:val="bottom"/>
          </w:tcPr>
          <w:p w14:paraId="2E5229A0" w14:textId="77777777" w:rsidR="00924992" w:rsidRDefault="00924992">
            <w:pPr>
              <w:pStyle w:val="Other0"/>
              <w:framePr w:w="11443" w:h="6638" w:hSpace="19" w:vSpace="221" w:wrap="none" w:hAnchor="page" w:x="611" w:y="356"/>
              <w:spacing w:line="240" w:lineRule="auto"/>
              <w:ind w:firstLine="0"/>
              <w:rPr>
                <w:sz w:val="16"/>
                <w:szCs w:val="16"/>
              </w:rPr>
            </w:pPr>
            <w:r>
              <w:rPr>
                <w:rFonts w:ascii="Times New Roman" w:eastAsia="Times New Roman" w:hAnsi="Times New Roman" w:cs="Times New Roman"/>
                <w:color w:val="000000"/>
                <w:sz w:val="16"/>
                <w:szCs w:val="16"/>
              </w:rPr>
              <w:t>30 cada 12 h</w:t>
            </w:r>
          </w:p>
        </w:tc>
        <w:tc>
          <w:tcPr>
            <w:tcW w:w="1786" w:type="dxa"/>
            <w:shd w:val="clear" w:color="auto" w:fill="FFFFFF"/>
            <w:vAlign w:val="bottom"/>
          </w:tcPr>
          <w:p w14:paraId="2113AB41" w14:textId="77777777" w:rsidR="00924992" w:rsidRDefault="00924992">
            <w:pPr>
              <w:pStyle w:val="Other0"/>
              <w:framePr w:w="11443" w:h="6638" w:hSpace="19" w:vSpace="221" w:wrap="none" w:hAnchor="page" w:x="611" w:y="356"/>
              <w:spacing w:line="240" w:lineRule="auto"/>
              <w:ind w:firstLine="140"/>
              <w:rPr>
                <w:sz w:val="16"/>
                <w:szCs w:val="16"/>
              </w:rPr>
            </w:pPr>
            <w:r>
              <w:rPr>
                <w:rFonts w:ascii="Times New Roman" w:eastAsia="Times New Roman" w:hAnsi="Times New Roman" w:cs="Times New Roman"/>
                <w:color w:val="000000"/>
                <w:sz w:val="16"/>
                <w:szCs w:val="16"/>
              </w:rPr>
              <w:t>30 cada 8 h</w:t>
            </w:r>
          </w:p>
        </w:tc>
        <w:tc>
          <w:tcPr>
            <w:tcW w:w="1891" w:type="dxa"/>
            <w:shd w:val="clear" w:color="auto" w:fill="FFFFFF"/>
            <w:vAlign w:val="bottom"/>
          </w:tcPr>
          <w:p w14:paraId="0A9DA513" w14:textId="77777777" w:rsidR="00924992" w:rsidRDefault="00924992">
            <w:pPr>
              <w:pStyle w:val="Other0"/>
              <w:framePr w:w="11443" w:h="6638" w:hSpace="19" w:vSpace="221" w:wrap="none" w:hAnchor="page" w:x="611" w:y="356"/>
              <w:spacing w:line="240" w:lineRule="auto"/>
              <w:ind w:firstLine="220"/>
              <w:rPr>
                <w:sz w:val="16"/>
                <w:szCs w:val="16"/>
              </w:rPr>
            </w:pPr>
            <w:r>
              <w:rPr>
                <w:rFonts w:ascii="Times New Roman" w:eastAsia="Times New Roman" w:hAnsi="Times New Roman" w:cs="Times New Roman"/>
                <w:color w:val="000000"/>
                <w:sz w:val="16"/>
                <w:szCs w:val="16"/>
              </w:rPr>
              <w:t>30 cada 8 h</w:t>
            </w:r>
          </w:p>
        </w:tc>
        <w:tc>
          <w:tcPr>
            <w:tcW w:w="1853" w:type="dxa"/>
            <w:shd w:val="clear" w:color="auto" w:fill="FFFFFF"/>
            <w:vAlign w:val="bottom"/>
          </w:tcPr>
          <w:p w14:paraId="5CD26FD1" w14:textId="77777777" w:rsidR="00924992" w:rsidRDefault="00924992">
            <w:pPr>
              <w:pStyle w:val="Other0"/>
              <w:framePr w:w="11443" w:h="6638" w:hSpace="19" w:vSpace="221" w:wrap="none" w:hAnchor="page" w:x="611" w:y="356"/>
              <w:spacing w:line="240" w:lineRule="auto"/>
              <w:ind w:firstLine="180"/>
              <w:rPr>
                <w:sz w:val="16"/>
                <w:szCs w:val="16"/>
              </w:rPr>
            </w:pPr>
            <w:r>
              <w:rPr>
                <w:rFonts w:ascii="Times New Roman" w:eastAsia="Times New Roman" w:hAnsi="Times New Roman" w:cs="Times New Roman"/>
                <w:color w:val="000000"/>
                <w:sz w:val="16"/>
                <w:szCs w:val="16"/>
              </w:rPr>
              <w:t>30 cada 6 h</w:t>
            </w:r>
          </w:p>
        </w:tc>
      </w:tr>
      <w:tr w:rsidR="00924992" w14:paraId="25DA92FE" w14:textId="77777777">
        <w:tblPrEx>
          <w:tblCellMar>
            <w:top w:w="0" w:type="dxa"/>
            <w:bottom w:w="0" w:type="dxa"/>
          </w:tblCellMar>
        </w:tblPrEx>
        <w:trPr>
          <w:trHeight w:hRule="exact" w:val="235"/>
        </w:trPr>
        <w:tc>
          <w:tcPr>
            <w:tcW w:w="1618" w:type="dxa"/>
            <w:shd w:val="clear" w:color="auto" w:fill="FFFFFF"/>
            <w:vAlign w:val="bottom"/>
          </w:tcPr>
          <w:p w14:paraId="163FBCD4" w14:textId="77777777" w:rsidR="00924992" w:rsidRDefault="00924992">
            <w:pPr>
              <w:pStyle w:val="Other0"/>
              <w:framePr w:w="11443" w:h="6638" w:hSpace="19" w:vSpace="221" w:wrap="none" w:hAnchor="page" w:x="611" w:y="356"/>
              <w:spacing w:line="240" w:lineRule="auto"/>
              <w:ind w:firstLine="0"/>
              <w:rPr>
                <w:sz w:val="16"/>
                <w:szCs w:val="16"/>
              </w:rPr>
            </w:pPr>
            <w:r>
              <w:rPr>
                <w:rFonts w:ascii="Times New Roman" w:eastAsia="Times New Roman" w:hAnsi="Times New Roman" w:cs="Times New Roman"/>
                <w:b/>
                <w:bCs/>
                <w:color w:val="000000"/>
                <w:sz w:val="16"/>
                <w:szCs w:val="16"/>
              </w:rPr>
              <w:t>Carbapenémicos</w:t>
            </w:r>
            <w:r>
              <w:rPr>
                <w:rFonts w:ascii="Times New Roman" w:eastAsia="Times New Roman" w:hAnsi="Times New Roman" w:cs="Times New Roman"/>
                <w:b/>
                <w:bCs/>
                <w:color w:val="000000"/>
                <w:sz w:val="16"/>
                <w:szCs w:val="16"/>
                <w:vertAlign w:val="superscript"/>
              </w:rPr>
              <w:t>5</w:t>
            </w:r>
          </w:p>
        </w:tc>
        <w:tc>
          <w:tcPr>
            <w:tcW w:w="1109" w:type="dxa"/>
            <w:shd w:val="clear" w:color="auto" w:fill="FFFFFF"/>
          </w:tcPr>
          <w:p w14:paraId="263BC1CC" w14:textId="77777777" w:rsidR="00924992" w:rsidRDefault="00924992">
            <w:pPr>
              <w:framePr w:w="11443" w:h="6638" w:hSpace="19" w:vSpace="221" w:wrap="none" w:hAnchor="page" w:x="611" w:y="356"/>
              <w:rPr>
                <w:sz w:val="10"/>
                <w:szCs w:val="10"/>
              </w:rPr>
            </w:pPr>
          </w:p>
        </w:tc>
        <w:tc>
          <w:tcPr>
            <w:tcW w:w="1565" w:type="dxa"/>
            <w:shd w:val="clear" w:color="auto" w:fill="FFFFFF"/>
          </w:tcPr>
          <w:p w14:paraId="5D866C19" w14:textId="77777777" w:rsidR="00924992" w:rsidRDefault="00924992">
            <w:pPr>
              <w:framePr w:w="11443" w:h="6638" w:hSpace="19" w:vSpace="221" w:wrap="none" w:hAnchor="page" w:x="611" w:y="356"/>
              <w:rPr>
                <w:sz w:val="10"/>
                <w:szCs w:val="10"/>
              </w:rPr>
            </w:pPr>
          </w:p>
        </w:tc>
        <w:tc>
          <w:tcPr>
            <w:tcW w:w="1622" w:type="dxa"/>
            <w:shd w:val="clear" w:color="auto" w:fill="FFFFFF"/>
          </w:tcPr>
          <w:p w14:paraId="08EDF5BE" w14:textId="77777777" w:rsidR="00924992" w:rsidRDefault="00924992">
            <w:pPr>
              <w:framePr w:w="11443" w:h="6638" w:hSpace="19" w:vSpace="221" w:wrap="none" w:hAnchor="page" w:x="611" w:y="356"/>
              <w:rPr>
                <w:sz w:val="10"/>
                <w:szCs w:val="10"/>
              </w:rPr>
            </w:pPr>
          </w:p>
        </w:tc>
        <w:tc>
          <w:tcPr>
            <w:tcW w:w="1786" w:type="dxa"/>
            <w:shd w:val="clear" w:color="auto" w:fill="FFFFFF"/>
          </w:tcPr>
          <w:p w14:paraId="2BF93AC3" w14:textId="77777777" w:rsidR="00924992" w:rsidRDefault="00924992">
            <w:pPr>
              <w:framePr w:w="11443" w:h="6638" w:hSpace="19" w:vSpace="221" w:wrap="none" w:hAnchor="page" w:x="611" w:y="356"/>
              <w:rPr>
                <w:sz w:val="10"/>
                <w:szCs w:val="10"/>
              </w:rPr>
            </w:pPr>
          </w:p>
        </w:tc>
        <w:tc>
          <w:tcPr>
            <w:tcW w:w="1891" w:type="dxa"/>
            <w:shd w:val="clear" w:color="auto" w:fill="FFFFFF"/>
          </w:tcPr>
          <w:p w14:paraId="13502249" w14:textId="77777777" w:rsidR="00924992" w:rsidRDefault="00924992">
            <w:pPr>
              <w:framePr w:w="11443" w:h="6638" w:hSpace="19" w:vSpace="221" w:wrap="none" w:hAnchor="page" w:x="611" w:y="356"/>
              <w:rPr>
                <w:sz w:val="10"/>
                <w:szCs w:val="10"/>
              </w:rPr>
            </w:pPr>
          </w:p>
        </w:tc>
        <w:tc>
          <w:tcPr>
            <w:tcW w:w="1853" w:type="dxa"/>
            <w:shd w:val="clear" w:color="auto" w:fill="FFFFFF"/>
          </w:tcPr>
          <w:p w14:paraId="043FFD06" w14:textId="77777777" w:rsidR="00924992" w:rsidRDefault="00924992">
            <w:pPr>
              <w:framePr w:w="11443" w:h="6638" w:hSpace="19" w:vSpace="221" w:wrap="none" w:hAnchor="page" w:x="611" w:y="356"/>
              <w:rPr>
                <w:sz w:val="10"/>
                <w:szCs w:val="10"/>
              </w:rPr>
            </w:pPr>
          </w:p>
        </w:tc>
      </w:tr>
      <w:tr w:rsidR="00924992" w14:paraId="20632720" w14:textId="77777777">
        <w:tblPrEx>
          <w:tblCellMar>
            <w:top w:w="0" w:type="dxa"/>
            <w:bottom w:w="0" w:type="dxa"/>
          </w:tblCellMar>
        </w:tblPrEx>
        <w:trPr>
          <w:trHeight w:hRule="exact" w:val="211"/>
        </w:trPr>
        <w:tc>
          <w:tcPr>
            <w:tcW w:w="1618" w:type="dxa"/>
            <w:shd w:val="clear" w:color="auto" w:fill="FFFFFF"/>
          </w:tcPr>
          <w:p w14:paraId="4D45DC82" w14:textId="77777777" w:rsidR="00924992" w:rsidRDefault="00924992">
            <w:pPr>
              <w:pStyle w:val="Other0"/>
              <w:framePr w:w="11443" w:h="6638" w:hSpace="19" w:vSpace="221" w:wrap="none" w:hAnchor="page" w:x="611" w:y="356"/>
              <w:spacing w:line="240" w:lineRule="auto"/>
              <w:ind w:firstLine="0"/>
              <w:rPr>
                <w:sz w:val="16"/>
                <w:szCs w:val="16"/>
              </w:rPr>
            </w:pPr>
            <w:r>
              <w:rPr>
                <w:rFonts w:ascii="Times New Roman" w:eastAsia="Times New Roman" w:hAnsi="Times New Roman" w:cs="Times New Roman"/>
                <w:color w:val="000000"/>
                <w:sz w:val="16"/>
                <w:szCs w:val="16"/>
              </w:rPr>
              <w:t>Imipenem/cilastatina</w:t>
            </w:r>
          </w:p>
        </w:tc>
        <w:tc>
          <w:tcPr>
            <w:tcW w:w="1109" w:type="dxa"/>
            <w:shd w:val="clear" w:color="auto" w:fill="FFFFFF"/>
          </w:tcPr>
          <w:p w14:paraId="0C2956F3" w14:textId="77777777" w:rsidR="00924992" w:rsidRDefault="00924992">
            <w:pPr>
              <w:pStyle w:val="Other0"/>
              <w:framePr w:w="11443" w:h="6638" w:hSpace="19" w:vSpace="221" w:wrap="none" w:hAnchor="page" w:x="611" w:y="356"/>
              <w:spacing w:line="240" w:lineRule="auto"/>
              <w:ind w:firstLine="0"/>
              <w:rPr>
                <w:sz w:val="16"/>
                <w:szCs w:val="16"/>
              </w:rPr>
            </w:pPr>
            <w:r>
              <w:rPr>
                <w:rFonts w:ascii="Times New Roman" w:eastAsia="Times New Roman" w:hAnsi="Times New Roman" w:cs="Times New Roman"/>
                <w:color w:val="000000"/>
                <w:sz w:val="16"/>
                <w:szCs w:val="16"/>
              </w:rPr>
              <w:t>IV</w:t>
            </w:r>
          </w:p>
        </w:tc>
        <w:tc>
          <w:tcPr>
            <w:tcW w:w="1565" w:type="dxa"/>
            <w:shd w:val="clear" w:color="auto" w:fill="FFFFFF"/>
          </w:tcPr>
          <w:p w14:paraId="28F95516" w14:textId="77777777" w:rsidR="00924992" w:rsidRDefault="00924992">
            <w:pPr>
              <w:pStyle w:val="Other0"/>
              <w:framePr w:w="11443" w:h="6638" w:hSpace="19" w:vSpace="221" w:wrap="none" w:hAnchor="page" w:x="611" w:y="356"/>
              <w:spacing w:line="240" w:lineRule="auto"/>
              <w:ind w:firstLine="0"/>
              <w:rPr>
                <w:sz w:val="16"/>
                <w:szCs w:val="16"/>
              </w:rPr>
            </w:pPr>
            <w:r>
              <w:rPr>
                <w:rFonts w:ascii="Times New Roman" w:eastAsia="Times New Roman" w:hAnsi="Times New Roman" w:cs="Times New Roman"/>
                <w:color w:val="000000"/>
                <w:sz w:val="16"/>
                <w:szCs w:val="16"/>
              </w:rPr>
              <w:t>25 cada 12 h</w:t>
            </w:r>
          </w:p>
        </w:tc>
        <w:tc>
          <w:tcPr>
            <w:tcW w:w="1622" w:type="dxa"/>
            <w:shd w:val="clear" w:color="auto" w:fill="FFFFFF"/>
          </w:tcPr>
          <w:p w14:paraId="0041F84D" w14:textId="77777777" w:rsidR="00924992" w:rsidRDefault="00924992">
            <w:pPr>
              <w:pStyle w:val="Other0"/>
              <w:framePr w:w="11443" w:h="6638" w:hSpace="19" w:vSpace="221" w:wrap="none" w:hAnchor="page" w:x="611" w:y="356"/>
              <w:spacing w:line="240" w:lineRule="auto"/>
              <w:ind w:firstLine="0"/>
              <w:rPr>
                <w:sz w:val="16"/>
                <w:szCs w:val="16"/>
              </w:rPr>
            </w:pPr>
            <w:r>
              <w:rPr>
                <w:rFonts w:ascii="Times New Roman" w:eastAsia="Times New Roman" w:hAnsi="Times New Roman" w:cs="Times New Roman"/>
                <w:color w:val="000000"/>
                <w:sz w:val="16"/>
                <w:szCs w:val="16"/>
              </w:rPr>
              <w:t>25 cada 12 h</w:t>
            </w:r>
          </w:p>
        </w:tc>
        <w:tc>
          <w:tcPr>
            <w:tcW w:w="1786" w:type="dxa"/>
            <w:shd w:val="clear" w:color="auto" w:fill="FFFFFF"/>
          </w:tcPr>
          <w:p w14:paraId="7DDF4423" w14:textId="77777777" w:rsidR="00924992" w:rsidRDefault="00924992">
            <w:pPr>
              <w:pStyle w:val="Other0"/>
              <w:framePr w:w="11443" w:h="6638" w:hSpace="19" w:vSpace="221" w:wrap="none" w:hAnchor="page" w:x="611" w:y="356"/>
              <w:spacing w:line="240" w:lineRule="auto"/>
              <w:ind w:firstLine="140"/>
              <w:rPr>
                <w:sz w:val="16"/>
                <w:szCs w:val="16"/>
              </w:rPr>
            </w:pPr>
            <w:r>
              <w:rPr>
                <w:rFonts w:ascii="Times New Roman" w:eastAsia="Times New Roman" w:hAnsi="Times New Roman" w:cs="Times New Roman"/>
                <w:color w:val="000000"/>
                <w:sz w:val="16"/>
                <w:szCs w:val="16"/>
              </w:rPr>
              <w:t>25 cada 12 h</w:t>
            </w:r>
          </w:p>
        </w:tc>
        <w:tc>
          <w:tcPr>
            <w:tcW w:w="1891" w:type="dxa"/>
            <w:shd w:val="clear" w:color="auto" w:fill="FFFFFF"/>
          </w:tcPr>
          <w:p w14:paraId="7945EC52" w14:textId="77777777" w:rsidR="00924992" w:rsidRDefault="00924992">
            <w:pPr>
              <w:pStyle w:val="Other0"/>
              <w:framePr w:w="11443" w:h="6638" w:hSpace="19" w:vSpace="221" w:wrap="none" w:hAnchor="page" w:x="611" w:y="356"/>
              <w:spacing w:line="240" w:lineRule="auto"/>
              <w:ind w:firstLine="220"/>
              <w:rPr>
                <w:sz w:val="16"/>
                <w:szCs w:val="16"/>
              </w:rPr>
            </w:pPr>
            <w:r>
              <w:rPr>
                <w:rFonts w:ascii="Times New Roman" w:eastAsia="Times New Roman" w:hAnsi="Times New Roman" w:cs="Times New Roman"/>
                <w:color w:val="000000"/>
                <w:sz w:val="16"/>
                <w:szCs w:val="16"/>
              </w:rPr>
              <w:t>25 cada 8 h</w:t>
            </w:r>
          </w:p>
        </w:tc>
        <w:tc>
          <w:tcPr>
            <w:tcW w:w="1853" w:type="dxa"/>
            <w:shd w:val="clear" w:color="auto" w:fill="FFFFFF"/>
          </w:tcPr>
          <w:p w14:paraId="0A880CE3" w14:textId="77777777" w:rsidR="00924992" w:rsidRDefault="00924992">
            <w:pPr>
              <w:pStyle w:val="Other0"/>
              <w:framePr w:w="11443" w:h="6638" w:hSpace="19" w:vSpace="221" w:wrap="none" w:hAnchor="page" w:x="611" w:y="356"/>
              <w:spacing w:line="240" w:lineRule="auto"/>
              <w:ind w:firstLine="180"/>
              <w:rPr>
                <w:sz w:val="16"/>
                <w:szCs w:val="16"/>
              </w:rPr>
            </w:pPr>
            <w:r>
              <w:rPr>
                <w:rFonts w:ascii="Times New Roman" w:eastAsia="Times New Roman" w:hAnsi="Times New Roman" w:cs="Times New Roman"/>
                <w:color w:val="000000"/>
                <w:sz w:val="16"/>
                <w:szCs w:val="16"/>
              </w:rPr>
              <w:t>25 cada 8 h</w:t>
            </w:r>
          </w:p>
        </w:tc>
      </w:tr>
      <w:tr w:rsidR="00924992" w14:paraId="5FDC733C" w14:textId="77777777">
        <w:tblPrEx>
          <w:tblCellMar>
            <w:top w:w="0" w:type="dxa"/>
            <w:bottom w:w="0" w:type="dxa"/>
          </w:tblCellMar>
        </w:tblPrEx>
        <w:trPr>
          <w:trHeight w:hRule="exact" w:val="221"/>
        </w:trPr>
        <w:tc>
          <w:tcPr>
            <w:tcW w:w="1618" w:type="dxa"/>
            <w:shd w:val="clear" w:color="auto" w:fill="FFFFFF"/>
            <w:vAlign w:val="bottom"/>
          </w:tcPr>
          <w:p w14:paraId="16E0B51E" w14:textId="77777777" w:rsidR="00924992" w:rsidRDefault="00924992">
            <w:pPr>
              <w:pStyle w:val="Other0"/>
              <w:framePr w:w="11443" w:h="6638" w:hSpace="19" w:vSpace="221" w:wrap="none" w:hAnchor="page" w:x="611" w:y="356"/>
              <w:spacing w:line="240" w:lineRule="auto"/>
              <w:ind w:firstLine="0"/>
              <w:rPr>
                <w:sz w:val="16"/>
                <w:szCs w:val="16"/>
              </w:rPr>
            </w:pPr>
            <w:r>
              <w:rPr>
                <w:rFonts w:ascii="Times New Roman" w:eastAsia="Times New Roman" w:hAnsi="Times New Roman" w:cs="Times New Roman"/>
                <w:b/>
                <w:bCs/>
                <w:color w:val="000000"/>
                <w:sz w:val="16"/>
                <w:szCs w:val="16"/>
              </w:rPr>
              <w:t>Cefalosporinas</w:t>
            </w:r>
          </w:p>
        </w:tc>
        <w:tc>
          <w:tcPr>
            <w:tcW w:w="1109" w:type="dxa"/>
            <w:shd w:val="clear" w:color="auto" w:fill="FFFFFF"/>
          </w:tcPr>
          <w:p w14:paraId="4591061B" w14:textId="77777777" w:rsidR="00924992" w:rsidRDefault="00924992">
            <w:pPr>
              <w:framePr w:w="11443" w:h="6638" w:hSpace="19" w:vSpace="221" w:wrap="none" w:hAnchor="page" w:x="611" w:y="356"/>
              <w:rPr>
                <w:sz w:val="10"/>
                <w:szCs w:val="10"/>
              </w:rPr>
            </w:pPr>
          </w:p>
        </w:tc>
        <w:tc>
          <w:tcPr>
            <w:tcW w:w="1565" w:type="dxa"/>
            <w:shd w:val="clear" w:color="auto" w:fill="FFFFFF"/>
          </w:tcPr>
          <w:p w14:paraId="67A41B37" w14:textId="77777777" w:rsidR="00924992" w:rsidRDefault="00924992">
            <w:pPr>
              <w:framePr w:w="11443" w:h="6638" w:hSpace="19" w:vSpace="221" w:wrap="none" w:hAnchor="page" w:x="611" w:y="356"/>
              <w:rPr>
                <w:sz w:val="10"/>
                <w:szCs w:val="10"/>
              </w:rPr>
            </w:pPr>
          </w:p>
        </w:tc>
        <w:tc>
          <w:tcPr>
            <w:tcW w:w="1622" w:type="dxa"/>
            <w:shd w:val="clear" w:color="auto" w:fill="FFFFFF"/>
          </w:tcPr>
          <w:p w14:paraId="1DB4EBEB" w14:textId="77777777" w:rsidR="00924992" w:rsidRDefault="00924992">
            <w:pPr>
              <w:framePr w:w="11443" w:h="6638" w:hSpace="19" w:vSpace="221" w:wrap="none" w:hAnchor="page" w:x="611" w:y="356"/>
              <w:rPr>
                <w:sz w:val="10"/>
                <w:szCs w:val="10"/>
              </w:rPr>
            </w:pPr>
          </w:p>
        </w:tc>
        <w:tc>
          <w:tcPr>
            <w:tcW w:w="1786" w:type="dxa"/>
            <w:shd w:val="clear" w:color="auto" w:fill="FFFFFF"/>
          </w:tcPr>
          <w:p w14:paraId="40CB4F2B" w14:textId="77777777" w:rsidR="00924992" w:rsidRDefault="00924992">
            <w:pPr>
              <w:framePr w:w="11443" w:h="6638" w:hSpace="19" w:vSpace="221" w:wrap="none" w:hAnchor="page" w:x="611" w:y="356"/>
              <w:rPr>
                <w:sz w:val="10"/>
                <w:szCs w:val="10"/>
              </w:rPr>
            </w:pPr>
          </w:p>
        </w:tc>
        <w:tc>
          <w:tcPr>
            <w:tcW w:w="1891" w:type="dxa"/>
            <w:shd w:val="clear" w:color="auto" w:fill="FFFFFF"/>
          </w:tcPr>
          <w:p w14:paraId="52A8F252" w14:textId="77777777" w:rsidR="00924992" w:rsidRDefault="00924992">
            <w:pPr>
              <w:framePr w:w="11443" w:h="6638" w:hSpace="19" w:vSpace="221" w:wrap="none" w:hAnchor="page" w:x="611" w:y="356"/>
              <w:rPr>
                <w:sz w:val="10"/>
                <w:szCs w:val="10"/>
              </w:rPr>
            </w:pPr>
          </w:p>
        </w:tc>
        <w:tc>
          <w:tcPr>
            <w:tcW w:w="1853" w:type="dxa"/>
            <w:shd w:val="clear" w:color="auto" w:fill="FFFFFF"/>
          </w:tcPr>
          <w:p w14:paraId="36651B7E" w14:textId="77777777" w:rsidR="00924992" w:rsidRDefault="00924992">
            <w:pPr>
              <w:framePr w:w="11443" w:h="6638" w:hSpace="19" w:vSpace="221" w:wrap="none" w:hAnchor="page" w:x="611" w:y="356"/>
              <w:rPr>
                <w:sz w:val="10"/>
                <w:szCs w:val="10"/>
              </w:rPr>
            </w:pPr>
          </w:p>
        </w:tc>
      </w:tr>
      <w:tr w:rsidR="00924992" w14:paraId="4393867D" w14:textId="77777777">
        <w:tblPrEx>
          <w:tblCellMar>
            <w:top w:w="0" w:type="dxa"/>
            <w:bottom w:w="0" w:type="dxa"/>
          </w:tblCellMar>
        </w:tblPrEx>
        <w:trPr>
          <w:trHeight w:hRule="exact" w:val="202"/>
        </w:trPr>
        <w:tc>
          <w:tcPr>
            <w:tcW w:w="1618" w:type="dxa"/>
            <w:shd w:val="clear" w:color="auto" w:fill="FFFFFF"/>
          </w:tcPr>
          <w:p w14:paraId="273DA30F" w14:textId="77777777" w:rsidR="00924992" w:rsidRDefault="00924992">
            <w:pPr>
              <w:pStyle w:val="Other0"/>
              <w:framePr w:w="11443" w:h="6638" w:hSpace="19" w:vSpace="221" w:wrap="none" w:hAnchor="page" w:x="611" w:y="356"/>
              <w:spacing w:line="240" w:lineRule="auto"/>
              <w:ind w:firstLine="0"/>
              <w:rPr>
                <w:sz w:val="16"/>
                <w:szCs w:val="16"/>
              </w:rPr>
            </w:pPr>
            <w:r>
              <w:rPr>
                <w:rFonts w:ascii="Times New Roman" w:eastAsia="Times New Roman" w:hAnsi="Times New Roman" w:cs="Times New Roman"/>
                <w:color w:val="000000"/>
                <w:sz w:val="16"/>
                <w:szCs w:val="16"/>
              </w:rPr>
              <w:t>Cefotaxima</w:t>
            </w:r>
          </w:p>
        </w:tc>
        <w:tc>
          <w:tcPr>
            <w:tcW w:w="1109" w:type="dxa"/>
            <w:shd w:val="clear" w:color="auto" w:fill="FFFFFF"/>
          </w:tcPr>
          <w:p w14:paraId="02A53D43" w14:textId="77777777" w:rsidR="00924992" w:rsidRDefault="00924992">
            <w:pPr>
              <w:pStyle w:val="Other0"/>
              <w:framePr w:w="11443" w:h="6638" w:hSpace="19" w:vSpace="221" w:wrap="none" w:hAnchor="page" w:x="611" w:y="356"/>
              <w:spacing w:line="240" w:lineRule="auto"/>
              <w:ind w:firstLine="0"/>
              <w:rPr>
                <w:sz w:val="16"/>
                <w:szCs w:val="16"/>
              </w:rPr>
            </w:pPr>
            <w:r>
              <w:rPr>
                <w:rFonts w:ascii="Times New Roman" w:eastAsia="Times New Roman" w:hAnsi="Times New Roman" w:cs="Times New Roman"/>
                <w:color w:val="000000"/>
                <w:sz w:val="16"/>
                <w:szCs w:val="16"/>
              </w:rPr>
              <w:t>IV, IM</w:t>
            </w:r>
          </w:p>
        </w:tc>
        <w:tc>
          <w:tcPr>
            <w:tcW w:w="1565" w:type="dxa"/>
            <w:shd w:val="clear" w:color="auto" w:fill="FFFFFF"/>
          </w:tcPr>
          <w:p w14:paraId="182BD968" w14:textId="77777777" w:rsidR="00924992" w:rsidRDefault="00924992">
            <w:pPr>
              <w:pStyle w:val="Other0"/>
              <w:framePr w:w="11443" w:h="6638" w:hSpace="19" w:vSpace="221" w:wrap="none" w:hAnchor="page" w:x="611" w:y="356"/>
              <w:spacing w:line="240" w:lineRule="auto"/>
              <w:ind w:firstLine="0"/>
              <w:rPr>
                <w:sz w:val="16"/>
                <w:szCs w:val="16"/>
              </w:rPr>
            </w:pPr>
            <w:r>
              <w:rPr>
                <w:rFonts w:ascii="Times New Roman" w:eastAsia="Times New Roman" w:hAnsi="Times New Roman" w:cs="Times New Roman"/>
                <w:color w:val="000000"/>
                <w:sz w:val="16"/>
                <w:szCs w:val="16"/>
              </w:rPr>
              <w:t>50 cada 12 h</w:t>
            </w:r>
          </w:p>
        </w:tc>
        <w:tc>
          <w:tcPr>
            <w:tcW w:w="1622" w:type="dxa"/>
            <w:shd w:val="clear" w:color="auto" w:fill="FFFFFF"/>
          </w:tcPr>
          <w:p w14:paraId="654028BF" w14:textId="77777777" w:rsidR="00924992" w:rsidRDefault="00924992">
            <w:pPr>
              <w:pStyle w:val="Other0"/>
              <w:framePr w:w="11443" w:h="6638" w:hSpace="19" w:vSpace="221" w:wrap="none" w:hAnchor="page" w:x="611" w:y="356"/>
              <w:spacing w:line="240" w:lineRule="auto"/>
              <w:ind w:firstLine="0"/>
              <w:rPr>
                <w:sz w:val="16"/>
                <w:szCs w:val="16"/>
              </w:rPr>
            </w:pPr>
            <w:r>
              <w:rPr>
                <w:rFonts w:ascii="Times New Roman" w:eastAsia="Times New Roman" w:hAnsi="Times New Roman" w:cs="Times New Roman"/>
                <w:color w:val="000000"/>
                <w:sz w:val="16"/>
                <w:szCs w:val="16"/>
              </w:rPr>
              <w:t>50 cada 12 h</w:t>
            </w:r>
          </w:p>
        </w:tc>
        <w:tc>
          <w:tcPr>
            <w:tcW w:w="1786" w:type="dxa"/>
            <w:shd w:val="clear" w:color="auto" w:fill="FFFFFF"/>
          </w:tcPr>
          <w:p w14:paraId="6968208B" w14:textId="77777777" w:rsidR="00924992" w:rsidRDefault="00924992">
            <w:pPr>
              <w:pStyle w:val="Other0"/>
              <w:framePr w:w="11443" w:h="6638" w:hSpace="19" w:vSpace="221" w:wrap="none" w:hAnchor="page" w:x="611" w:y="356"/>
              <w:spacing w:line="240" w:lineRule="auto"/>
              <w:ind w:firstLine="140"/>
              <w:rPr>
                <w:sz w:val="16"/>
                <w:szCs w:val="16"/>
              </w:rPr>
            </w:pPr>
            <w:r>
              <w:rPr>
                <w:rFonts w:ascii="Times New Roman" w:eastAsia="Times New Roman" w:hAnsi="Times New Roman" w:cs="Times New Roman"/>
                <w:color w:val="000000"/>
                <w:sz w:val="16"/>
                <w:szCs w:val="16"/>
              </w:rPr>
              <w:t>50 cada 8 o 12 h</w:t>
            </w:r>
          </w:p>
        </w:tc>
        <w:tc>
          <w:tcPr>
            <w:tcW w:w="1891" w:type="dxa"/>
            <w:shd w:val="clear" w:color="auto" w:fill="FFFFFF"/>
          </w:tcPr>
          <w:p w14:paraId="5AB569AF" w14:textId="77777777" w:rsidR="00924992" w:rsidRDefault="00924992">
            <w:pPr>
              <w:pStyle w:val="Other0"/>
              <w:framePr w:w="11443" w:h="6638" w:hSpace="19" w:vSpace="221" w:wrap="none" w:hAnchor="page" w:x="611" w:y="356"/>
              <w:spacing w:line="240" w:lineRule="auto"/>
              <w:ind w:firstLine="220"/>
              <w:rPr>
                <w:sz w:val="16"/>
                <w:szCs w:val="16"/>
              </w:rPr>
            </w:pPr>
            <w:r>
              <w:rPr>
                <w:rFonts w:ascii="Times New Roman" w:eastAsia="Times New Roman" w:hAnsi="Times New Roman" w:cs="Times New Roman"/>
                <w:color w:val="000000"/>
                <w:sz w:val="16"/>
                <w:szCs w:val="16"/>
              </w:rPr>
              <w:t>50 cada 8 h</w:t>
            </w:r>
          </w:p>
        </w:tc>
        <w:tc>
          <w:tcPr>
            <w:tcW w:w="1853" w:type="dxa"/>
            <w:shd w:val="clear" w:color="auto" w:fill="FFFFFF"/>
          </w:tcPr>
          <w:p w14:paraId="7CA43BB5" w14:textId="77777777" w:rsidR="00924992" w:rsidRDefault="00924992">
            <w:pPr>
              <w:pStyle w:val="Other0"/>
              <w:framePr w:w="11443" w:h="6638" w:hSpace="19" w:vSpace="221" w:wrap="none" w:hAnchor="page" w:x="611" w:y="356"/>
              <w:spacing w:line="240" w:lineRule="auto"/>
              <w:ind w:firstLine="180"/>
              <w:rPr>
                <w:sz w:val="16"/>
                <w:szCs w:val="16"/>
              </w:rPr>
            </w:pPr>
            <w:r>
              <w:rPr>
                <w:rFonts w:ascii="Times New Roman" w:eastAsia="Times New Roman" w:hAnsi="Times New Roman" w:cs="Times New Roman"/>
                <w:color w:val="000000"/>
                <w:sz w:val="16"/>
                <w:szCs w:val="16"/>
              </w:rPr>
              <w:t>50 cada 6 u 8 h</w:t>
            </w:r>
          </w:p>
        </w:tc>
      </w:tr>
      <w:tr w:rsidR="00924992" w14:paraId="21C14F33" w14:textId="77777777">
        <w:tblPrEx>
          <w:tblCellMar>
            <w:top w:w="0" w:type="dxa"/>
            <w:bottom w:w="0" w:type="dxa"/>
          </w:tblCellMar>
        </w:tblPrEx>
        <w:trPr>
          <w:trHeight w:hRule="exact" w:val="221"/>
        </w:trPr>
        <w:tc>
          <w:tcPr>
            <w:tcW w:w="1618" w:type="dxa"/>
            <w:shd w:val="clear" w:color="auto" w:fill="FFFFFF"/>
          </w:tcPr>
          <w:p w14:paraId="0D9B4D71" w14:textId="77777777" w:rsidR="00924992" w:rsidRDefault="00924992">
            <w:pPr>
              <w:pStyle w:val="Other0"/>
              <w:framePr w:w="11443" w:h="6638" w:hSpace="19" w:vSpace="221" w:wrap="none" w:hAnchor="page" w:x="611" w:y="356"/>
              <w:spacing w:line="240" w:lineRule="auto"/>
              <w:ind w:firstLine="0"/>
              <w:rPr>
                <w:sz w:val="16"/>
                <w:szCs w:val="16"/>
              </w:rPr>
            </w:pPr>
            <w:r>
              <w:rPr>
                <w:rFonts w:ascii="Times New Roman" w:eastAsia="Times New Roman" w:hAnsi="Times New Roman" w:cs="Times New Roman"/>
                <w:color w:val="000000"/>
                <w:sz w:val="16"/>
                <w:szCs w:val="16"/>
              </w:rPr>
              <w:t>Ceftazidima</w:t>
            </w:r>
          </w:p>
        </w:tc>
        <w:tc>
          <w:tcPr>
            <w:tcW w:w="1109" w:type="dxa"/>
            <w:shd w:val="clear" w:color="auto" w:fill="FFFFFF"/>
          </w:tcPr>
          <w:p w14:paraId="19F6AE56" w14:textId="77777777" w:rsidR="00924992" w:rsidRDefault="00924992">
            <w:pPr>
              <w:pStyle w:val="Other0"/>
              <w:framePr w:w="11443" w:h="6638" w:hSpace="19" w:vSpace="221" w:wrap="none" w:hAnchor="page" w:x="611" w:y="356"/>
              <w:spacing w:line="240" w:lineRule="auto"/>
              <w:ind w:firstLine="0"/>
              <w:rPr>
                <w:sz w:val="16"/>
                <w:szCs w:val="16"/>
              </w:rPr>
            </w:pPr>
            <w:r>
              <w:rPr>
                <w:rFonts w:ascii="Times New Roman" w:eastAsia="Times New Roman" w:hAnsi="Times New Roman" w:cs="Times New Roman"/>
                <w:color w:val="000000"/>
                <w:sz w:val="16"/>
                <w:szCs w:val="16"/>
              </w:rPr>
              <w:t>IV, IM</w:t>
            </w:r>
          </w:p>
        </w:tc>
        <w:tc>
          <w:tcPr>
            <w:tcW w:w="1565" w:type="dxa"/>
            <w:shd w:val="clear" w:color="auto" w:fill="FFFFFF"/>
          </w:tcPr>
          <w:p w14:paraId="278ADB41" w14:textId="77777777" w:rsidR="00924992" w:rsidRDefault="00924992">
            <w:pPr>
              <w:pStyle w:val="Other0"/>
              <w:framePr w:w="11443" w:h="6638" w:hSpace="19" w:vSpace="221" w:wrap="none" w:hAnchor="page" w:x="611" w:y="356"/>
              <w:spacing w:line="240" w:lineRule="auto"/>
              <w:ind w:firstLine="0"/>
              <w:rPr>
                <w:sz w:val="16"/>
                <w:szCs w:val="16"/>
              </w:rPr>
            </w:pPr>
            <w:r>
              <w:rPr>
                <w:rFonts w:ascii="Times New Roman" w:eastAsia="Times New Roman" w:hAnsi="Times New Roman" w:cs="Times New Roman"/>
                <w:color w:val="000000"/>
                <w:sz w:val="16"/>
                <w:szCs w:val="16"/>
              </w:rPr>
              <w:t>50 cada 12 h</w:t>
            </w:r>
          </w:p>
        </w:tc>
        <w:tc>
          <w:tcPr>
            <w:tcW w:w="1622" w:type="dxa"/>
            <w:shd w:val="clear" w:color="auto" w:fill="FFFFFF"/>
          </w:tcPr>
          <w:p w14:paraId="150A276E" w14:textId="77777777" w:rsidR="00924992" w:rsidRDefault="00924992">
            <w:pPr>
              <w:pStyle w:val="Other0"/>
              <w:framePr w:w="11443" w:h="6638" w:hSpace="19" w:vSpace="221" w:wrap="none" w:hAnchor="page" w:x="611" w:y="356"/>
              <w:spacing w:line="240" w:lineRule="auto"/>
              <w:ind w:firstLine="0"/>
              <w:rPr>
                <w:sz w:val="16"/>
                <w:szCs w:val="16"/>
              </w:rPr>
            </w:pPr>
            <w:r>
              <w:rPr>
                <w:rFonts w:ascii="Times New Roman" w:eastAsia="Times New Roman" w:hAnsi="Times New Roman" w:cs="Times New Roman"/>
                <w:color w:val="000000"/>
                <w:sz w:val="16"/>
                <w:szCs w:val="16"/>
              </w:rPr>
              <w:t>50 cada 12 h</w:t>
            </w:r>
          </w:p>
        </w:tc>
        <w:tc>
          <w:tcPr>
            <w:tcW w:w="1786" w:type="dxa"/>
            <w:shd w:val="clear" w:color="auto" w:fill="FFFFFF"/>
          </w:tcPr>
          <w:p w14:paraId="41976022" w14:textId="77777777" w:rsidR="00924992" w:rsidRDefault="00924992">
            <w:pPr>
              <w:pStyle w:val="Other0"/>
              <w:framePr w:w="11443" w:h="6638" w:hSpace="19" w:vSpace="221" w:wrap="none" w:hAnchor="page" w:x="611" w:y="356"/>
              <w:spacing w:line="240" w:lineRule="auto"/>
              <w:ind w:firstLine="140"/>
              <w:rPr>
                <w:sz w:val="16"/>
                <w:szCs w:val="16"/>
              </w:rPr>
            </w:pPr>
            <w:r>
              <w:rPr>
                <w:rFonts w:ascii="Times New Roman" w:eastAsia="Times New Roman" w:hAnsi="Times New Roman" w:cs="Times New Roman"/>
                <w:color w:val="000000"/>
                <w:sz w:val="16"/>
                <w:szCs w:val="16"/>
              </w:rPr>
              <w:t>50 cada 8 o 12 h</w:t>
            </w:r>
          </w:p>
        </w:tc>
        <w:tc>
          <w:tcPr>
            <w:tcW w:w="1891" w:type="dxa"/>
            <w:shd w:val="clear" w:color="auto" w:fill="FFFFFF"/>
          </w:tcPr>
          <w:p w14:paraId="674FC287" w14:textId="77777777" w:rsidR="00924992" w:rsidRDefault="00924992">
            <w:pPr>
              <w:pStyle w:val="Other0"/>
              <w:framePr w:w="11443" w:h="6638" w:hSpace="19" w:vSpace="221" w:wrap="none" w:hAnchor="page" w:x="611" w:y="356"/>
              <w:spacing w:line="240" w:lineRule="auto"/>
              <w:ind w:firstLine="220"/>
              <w:rPr>
                <w:sz w:val="16"/>
                <w:szCs w:val="16"/>
              </w:rPr>
            </w:pPr>
            <w:r>
              <w:rPr>
                <w:rFonts w:ascii="Times New Roman" w:eastAsia="Times New Roman" w:hAnsi="Times New Roman" w:cs="Times New Roman"/>
                <w:color w:val="000000"/>
                <w:sz w:val="16"/>
                <w:szCs w:val="16"/>
              </w:rPr>
              <w:t>50 cada 8 h</w:t>
            </w:r>
          </w:p>
        </w:tc>
        <w:tc>
          <w:tcPr>
            <w:tcW w:w="1853" w:type="dxa"/>
            <w:shd w:val="clear" w:color="auto" w:fill="FFFFFF"/>
          </w:tcPr>
          <w:p w14:paraId="79E6AE80" w14:textId="77777777" w:rsidR="00924992" w:rsidRDefault="00924992">
            <w:pPr>
              <w:pStyle w:val="Other0"/>
              <w:framePr w:w="11443" w:h="6638" w:hSpace="19" w:vSpace="221" w:wrap="none" w:hAnchor="page" w:x="611" w:y="356"/>
              <w:spacing w:line="240" w:lineRule="auto"/>
              <w:ind w:firstLine="180"/>
              <w:rPr>
                <w:sz w:val="16"/>
                <w:szCs w:val="16"/>
              </w:rPr>
            </w:pPr>
            <w:r>
              <w:rPr>
                <w:rFonts w:ascii="Times New Roman" w:eastAsia="Times New Roman" w:hAnsi="Times New Roman" w:cs="Times New Roman"/>
                <w:color w:val="000000"/>
                <w:sz w:val="16"/>
                <w:szCs w:val="16"/>
              </w:rPr>
              <w:t>50 cada 8 h</w:t>
            </w:r>
          </w:p>
        </w:tc>
      </w:tr>
      <w:tr w:rsidR="00924992" w14:paraId="541159A6" w14:textId="77777777">
        <w:tblPrEx>
          <w:tblCellMar>
            <w:top w:w="0" w:type="dxa"/>
            <w:bottom w:w="0" w:type="dxa"/>
          </w:tblCellMar>
        </w:tblPrEx>
        <w:trPr>
          <w:trHeight w:hRule="exact" w:val="221"/>
        </w:trPr>
        <w:tc>
          <w:tcPr>
            <w:tcW w:w="1618" w:type="dxa"/>
            <w:shd w:val="clear" w:color="auto" w:fill="FFFFFF"/>
            <w:vAlign w:val="bottom"/>
          </w:tcPr>
          <w:p w14:paraId="1008242F" w14:textId="77777777" w:rsidR="00924992" w:rsidRDefault="00924992">
            <w:pPr>
              <w:pStyle w:val="Other0"/>
              <w:framePr w:w="11443" w:h="6638" w:hSpace="19" w:vSpace="221" w:wrap="none" w:hAnchor="page" w:x="611" w:y="356"/>
              <w:spacing w:line="240" w:lineRule="auto"/>
              <w:ind w:firstLine="0"/>
              <w:rPr>
                <w:sz w:val="16"/>
                <w:szCs w:val="16"/>
              </w:rPr>
            </w:pPr>
            <w:r>
              <w:rPr>
                <w:rFonts w:ascii="Times New Roman" w:eastAsia="Times New Roman" w:hAnsi="Times New Roman" w:cs="Times New Roman"/>
                <w:color w:val="000000"/>
                <w:sz w:val="16"/>
                <w:szCs w:val="16"/>
              </w:rPr>
              <w:t>Ceftriaxona</w:t>
            </w:r>
            <w:r>
              <w:rPr>
                <w:rFonts w:ascii="Times New Roman" w:eastAsia="Times New Roman" w:hAnsi="Times New Roman" w:cs="Times New Roman"/>
                <w:color w:val="000000"/>
                <w:sz w:val="16"/>
                <w:szCs w:val="16"/>
                <w:vertAlign w:val="superscript"/>
              </w:rPr>
              <w:t>6</w:t>
            </w:r>
          </w:p>
        </w:tc>
        <w:tc>
          <w:tcPr>
            <w:tcW w:w="1109" w:type="dxa"/>
            <w:shd w:val="clear" w:color="auto" w:fill="FFFFFF"/>
            <w:vAlign w:val="bottom"/>
          </w:tcPr>
          <w:p w14:paraId="2360CB95" w14:textId="77777777" w:rsidR="00924992" w:rsidRDefault="00924992">
            <w:pPr>
              <w:pStyle w:val="Other0"/>
              <w:framePr w:w="11443" w:h="6638" w:hSpace="19" w:vSpace="221" w:wrap="none" w:hAnchor="page" w:x="611" w:y="356"/>
              <w:spacing w:line="240" w:lineRule="auto"/>
              <w:ind w:firstLine="0"/>
              <w:rPr>
                <w:sz w:val="16"/>
                <w:szCs w:val="16"/>
              </w:rPr>
            </w:pPr>
            <w:r>
              <w:rPr>
                <w:rFonts w:ascii="Times New Roman" w:eastAsia="Times New Roman" w:hAnsi="Times New Roman" w:cs="Times New Roman"/>
                <w:color w:val="000000"/>
                <w:sz w:val="16"/>
                <w:szCs w:val="16"/>
              </w:rPr>
              <w:t>IV, IM</w:t>
            </w:r>
          </w:p>
        </w:tc>
        <w:tc>
          <w:tcPr>
            <w:tcW w:w="1565" w:type="dxa"/>
            <w:shd w:val="clear" w:color="auto" w:fill="FFFFFF"/>
            <w:vAlign w:val="bottom"/>
          </w:tcPr>
          <w:p w14:paraId="536EE8EC" w14:textId="77777777" w:rsidR="00924992" w:rsidRDefault="00924992">
            <w:pPr>
              <w:pStyle w:val="Other0"/>
              <w:framePr w:w="11443" w:h="6638" w:hSpace="19" w:vSpace="221" w:wrap="none" w:hAnchor="page" w:x="611" w:y="356"/>
              <w:spacing w:line="240" w:lineRule="auto"/>
              <w:ind w:firstLine="0"/>
              <w:rPr>
                <w:sz w:val="16"/>
                <w:szCs w:val="16"/>
              </w:rPr>
            </w:pPr>
            <w:r>
              <w:rPr>
                <w:rFonts w:ascii="Times New Roman" w:eastAsia="Times New Roman" w:hAnsi="Times New Roman" w:cs="Times New Roman"/>
                <w:color w:val="000000"/>
                <w:sz w:val="16"/>
                <w:szCs w:val="16"/>
              </w:rPr>
              <w:t>50 cada 24 h</w:t>
            </w:r>
          </w:p>
        </w:tc>
        <w:tc>
          <w:tcPr>
            <w:tcW w:w="1622" w:type="dxa"/>
            <w:shd w:val="clear" w:color="auto" w:fill="FFFFFF"/>
            <w:vAlign w:val="bottom"/>
          </w:tcPr>
          <w:p w14:paraId="60EA7EBF" w14:textId="77777777" w:rsidR="00924992" w:rsidRDefault="00924992">
            <w:pPr>
              <w:pStyle w:val="Other0"/>
              <w:framePr w:w="11443" w:h="6638" w:hSpace="19" w:vSpace="221" w:wrap="none" w:hAnchor="page" w:x="611" w:y="356"/>
              <w:spacing w:line="240" w:lineRule="auto"/>
              <w:ind w:firstLine="0"/>
              <w:rPr>
                <w:sz w:val="16"/>
                <w:szCs w:val="16"/>
              </w:rPr>
            </w:pPr>
            <w:r>
              <w:rPr>
                <w:rFonts w:ascii="Times New Roman" w:eastAsia="Times New Roman" w:hAnsi="Times New Roman" w:cs="Times New Roman"/>
                <w:color w:val="000000"/>
                <w:sz w:val="16"/>
                <w:szCs w:val="16"/>
              </w:rPr>
              <w:t>50 cada 24-36 h</w:t>
            </w:r>
          </w:p>
        </w:tc>
        <w:tc>
          <w:tcPr>
            <w:tcW w:w="1786" w:type="dxa"/>
            <w:shd w:val="clear" w:color="auto" w:fill="FFFFFF"/>
            <w:vAlign w:val="bottom"/>
          </w:tcPr>
          <w:p w14:paraId="1F0D5D80" w14:textId="77777777" w:rsidR="00924992" w:rsidRDefault="00924992">
            <w:pPr>
              <w:pStyle w:val="Other0"/>
              <w:framePr w:w="11443" w:h="6638" w:hSpace="19" w:vSpace="221" w:wrap="none" w:hAnchor="page" w:x="611" w:y="356"/>
              <w:spacing w:line="240" w:lineRule="auto"/>
              <w:ind w:firstLine="140"/>
              <w:rPr>
                <w:sz w:val="16"/>
                <w:szCs w:val="16"/>
              </w:rPr>
            </w:pPr>
            <w:r>
              <w:rPr>
                <w:rFonts w:ascii="Times New Roman" w:eastAsia="Times New Roman" w:hAnsi="Times New Roman" w:cs="Times New Roman"/>
                <w:color w:val="000000"/>
                <w:sz w:val="16"/>
                <w:szCs w:val="16"/>
              </w:rPr>
              <w:t>50 cada 24 h</w:t>
            </w:r>
          </w:p>
        </w:tc>
        <w:tc>
          <w:tcPr>
            <w:tcW w:w="1891" w:type="dxa"/>
            <w:shd w:val="clear" w:color="auto" w:fill="FFFFFF"/>
            <w:vAlign w:val="bottom"/>
          </w:tcPr>
          <w:p w14:paraId="5EC8B17E" w14:textId="77777777" w:rsidR="00924992" w:rsidRDefault="00924992">
            <w:pPr>
              <w:pStyle w:val="Other0"/>
              <w:framePr w:w="11443" w:h="6638" w:hSpace="19" w:vSpace="221" w:wrap="none" w:hAnchor="page" w:x="611" w:y="356"/>
              <w:spacing w:line="240" w:lineRule="auto"/>
              <w:ind w:firstLine="220"/>
              <w:rPr>
                <w:sz w:val="16"/>
                <w:szCs w:val="16"/>
              </w:rPr>
            </w:pPr>
            <w:r>
              <w:rPr>
                <w:rFonts w:ascii="Times New Roman" w:eastAsia="Times New Roman" w:hAnsi="Times New Roman" w:cs="Times New Roman"/>
                <w:color w:val="000000"/>
                <w:sz w:val="16"/>
                <w:szCs w:val="16"/>
              </w:rPr>
              <w:t>50 cada 24 h</w:t>
            </w:r>
          </w:p>
        </w:tc>
        <w:tc>
          <w:tcPr>
            <w:tcW w:w="1853" w:type="dxa"/>
            <w:shd w:val="clear" w:color="auto" w:fill="FFFFFF"/>
            <w:vAlign w:val="bottom"/>
          </w:tcPr>
          <w:p w14:paraId="544E1F3D" w14:textId="77777777" w:rsidR="00924992" w:rsidRDefault="00924992">
            <w:pPr>
              <w:pStyle w:val="Other0"/>
              <w:framePr w:w="11443" w:h="6638" w:hSpace="19" w:vSpace="221" w:wrap="none" w:hAnchor="page" w:x="611" w:y="356"/>
              <w:spacing w:line="240" w:lineRule="auto"/>
              <w:ind w:firstLine="180"/>
              <w:rPr>
                <w:sz w:val="16"/>
                <w:szCs w:val="16"/>
              </w:rPr>
            </w:pPr>
            <w:r>
              <w:rPr>
                <w:rFonts w:ascii="Times New Roman" w:eastAsia="Times New Roman" w:hAnsi="Times New Roman" w:cs="Times New Roman"/>
                <w:color w:val="000000"/>
                <w:sz w:val="16"/>
                <w:szCs w:val="16"/>
              </w:rPr>
              <w:t>50-75 cada 24 h</w:t>
            </w:r>
          </w:p>
        </w:tc>
      </w:tr>
      <w:tr w:rsidR="00924992" w14:paraId="441FF8E9" w14:textId="77777777">
        <w:tblPrEx>
          <w:tblCellMar>
            <w:top w:w="0" w:type="dxa"/>
            <w:bottom w:w="0" w:type="dxa"/>
          </w:tblCellMar>
        </w:tblPrEx>
        <w:trPr>
          <w:trHeight w:hRule="exact" w:val="216"/>
        </w:trPr>
        <w:tc>
          <w:tcPr>
            <w:tcW w:w="1618" w:type="dxa"/>
            <w:shd w:val="clear" w:color="auto" w:fill="FFFFFF"/>
            <w:vAlign w:val="bottom"/>
          </w:tcPr>
          <w:p w14:paraId="38A92420" w14:textId="77777777" w:rsidR="00924992" w:rsidRDefault="00924992">
            <w:pPr>
              <w:pStyle w:val="Other0"/>
              <w:framePr w:w="11443" w:h="6638" w:hSpace="19" w:vSpace="221" w:wrap="none" w:hAnchor="page" w:x="611" w:y="356"/>
              <w:spacing w:line="240" w:lineRule="auto"/>
              <w:ind w:firstLine="0"/>
              <w:rPr>
                <w:sz w:val="16"/>
                <w:szCs w:val="16"/>
              </w:rPr>
            </w:pPr>
            <w:r>
              <w:rPr>
                <w:rFonts w:ascii="Times New Roman" w:eastAsia="Times New Roman" w:hAnsi="Times New Roman" w:cs="Times New Roman"/>
                <w:b/>
                <w:bCs/>
                <w:color w:val="000000"/>
                <w:sz w:val="16"/>
                <w:szCs w:val="16"/>
              </w:rPr>
              <w:t>Clindamicina</w:t>
            </w:r>
          </w:p>
        </w:tc>
        <w:tc>
          <w:tcPr>
            <w:tcW w:w="1109" w:type="dxa"/>
            <w:shd w:val="clear" w:color="auto" w:fill="FFFFFF"/>
            <w:vAlign w:val="bottom"/>
          </w:tcPr>
          <w:p w14:paraId="4BDBABE7" w14:textId="77777777" w:rsidR="00924992" w:rsidRDefault="00924992">
            <w:pPr>
              <w:pStyle w:val="Other0"/>
              <w:framePr w:w="11443" w:h="6638" w:hSpace="19" w:vSpace="221" w:wrap="none" w:hAnchor="page" w:x="611" w:y="356"/>
              <w:spacing w:line="240" w:lineRule="auto"/>
              <w:ind w:firstLine="0"/>
              <w:rPr>
                <w:sz w:val="16"/>
                <w:szCs w:val="16"/>
              </w:rPr>
            </w:pPr>
            <w:r>
              <w:rPr>
                <w:rFonts w:ascii="Times New Roman" w:eastAsia="Times New Roman" w:hAnsi="Times New Roman" w:cs="Times New Roman"/>
                <w:color w:val="000000"/>
                <w:sz w:val="16"/>
                <w:szCs w:val="16"/>
              </w:rPr>
              <w:t>IV, IM, PO</w:t>
            </w:r>
          </w:p>
        </w:tc>
        <w:tc>
          <w:tcPr>
            <w:tcW w:w="1565" w:type="dxa"/>
            <w:shd w:val="clear" w:color="auto" w:fill="FFFFFF"/>
            <w:vAlign w:val="bottom"/>
          </w:tcPr>
          <w:p w14:paraId="455E934F" w14:textId="77777777" w:rsidR="00924992" w:rsidRDefault="00924992">
            <w:pPr>
              <w:pStyle w:val="Other0"/>
              <w:framePr w:w="11443" w:h="6638" w:hSpace="19" w:vSpace="221" w:wrap="none" w:hAnchor="page" w:x="611" w:y="356"/>
              <w:spacing w:line="240" w:lineRule="auto"/>
              <w:ind w:firstLine="0"/>
              <w:rPr>
                <w:sz w:val="16"/>
                <w:szCs w:val="16"/>
              </w:rPr>
            </w:pPr>
            <w:r>
              <w:rPr>
                <w:rFonts w:ascii="Times New Roman" w:eastAsia="Times New Roman" w:hAnsi="Times New Roman" w:cs="Times New Roman"/>
                <w:color w:val="000000"/>
                <w:sz w:val="16"/>
                <w:szCs w:val="16"/>
              </w:rPr>
              <w:t>5 cada 12 h</w:t>
            </w:r>
          </w:p>
        </w:tc>
        <w:tc>
          <w:tcPr>
            <w:tcW w:w="1622" w:type="dxa"/>
            <w:shd w:val="clear" w:color="auto" w:fill="FFFFFF"/>
            <w:vAlign w:val="bottom"/>
          </w:tcPr>
          <w:p w14:paraId="58462819" w14:textId="77777777" w:rsidR="00924992" w:rsidRDefault="00924992">
            <w:pPr>
              <w:pStyle w:val="Other0"/>
              <w:framePr w:w="11443" w:h="6638" w:hSpace="19" w:vSpace="221" w:wrap="none" w:hAnchor="page" w:x="611" w:y="356"/>
              <w:spacing w:line="240" w:lineRule="auto"/>
              <w:ind w:firstLine="0"/>
              <w:rPr>
                <w:sz w:val="16"/>
                <w:szCs w:val="16"/>
              </w:rPr>
            </w:pPr>
            <w:r>
              <w:rPr>
                <w:rFonts w:ascii="Times New Roman" w:eastAsia="Times New Roman" w:hAnsi="Times New Roman" w:cs="Times New Roman"/>
                <w:color w:val="000000"/>
                <w:sz w:val="16"/>
                <w:szCs w:val="16"/>
              </w:rPr>
              <w:t>5 cada 12 h</w:t>
            </w:r>
          </w:p>
        </w:tc>
        <w:tc>
          <w:tcPr>
            <w:tcW w:w="1786" w:type="dxa"/>
            <w:shd w:val="clear" w:color="auto" w:fill="FFFFFF"/>
            <w:vAlign w:val="bottom"/>
          </w:tcPr>
          <w:p w14:paraId="167D1E3A" w14:textId="77777777" w:rsidR="00924992" w:rsidRDefault="00924992">
            <w:pPr>
              <w:pStyle w:val="Other0"/>
              <w:framePr w:w="11443" w:h="6638" w:hSpace="19" w:vSpace="221" w:wrap="none" w:hAnchor="page" w:x="611" w:y="356"/>
              <w:spacing w:line="240" w:lineRule="auto"/>
              <w:ind w:firstLine="140"/>
              <w:rPr>
                <w:sz w:val="16"/>
                <w:szCs w:val="16"/>
              </w:rPr>
            </w:pPr>
            <w:r>
              <w:rPr>
                <w:rFonts w:ascii="Times New Roman" w:eastAsia="Times New Roman" w:hAnsi="Times New Roman" w:cs="Times New Roman"/>
                <w:color w:val="000000"/>
                <w:sz w:val="16"/>
                <w:szCs w:val="16"/>
              </w:rPr>
              <w:t>5 cada 8 h</w:t>
            </w:r>
          </w:p>
        </w:tc>
        <w:tc>
          <w:tcPr>
            <w:tcW w:w="1891" w:type="dxa"/>
            <w:shd w:val="clear" w:color="auto" w:fill="FFFFFF"/>
            <w:vAlign w:val="bottom"/>
          </w:tcPr>
          <w:p w14:paraId="58FD5410" w14:textId="77777777" w:rsidR="00924992" w:rsidRDefault="00924992">
            <w:pPr>
              <w:pStyle w:val="Other0"/>
              <w:framePr w:w="11443" w:h="6638" w:hSpace="19" w:vSpace="221" w:wrap="none" w:hAnchor="page" w:x="611" w:y="356"/>
              <w:spacing w:line="240" w:lineRule="auto"/>
              <w:ind w:firstLine="220"/>
              <w:rPr>
                <w:sz w:val="16"/>
                <w:szCs w:val="16"/>
              </w:rPr>
            </w:pPr>
            <w:r>
              <w:rPr>
                <w:rFonts w:ascii="Times New Roman" w:eastAsia="Times New Roman" w:hAnsi="Times New Roman" w:cs="Times New Roman"/>
                <w:color w:val="000000"/>
                <w:sz w:val="16"/>
                <w:szCs w:val="16"/>
              </w:rPr>
              <w:t>5 cada 8 h</w:t>
            </w:r>
          </w:p>
        </w:tc>
        <w:tc>
          <w:tcPr>
            <w:tcW w:w="1853" w:type="dxa"/>
            <w:shd w:val="clear" w:color="auto" w:fill="FFFFFF"/>
            <w:vAlign w:val="bottom"/>
          </w:tcPr>
          <w:p w14:paraId="098EBE1C" w14:textId="77777777" w:rsidR="00924992" w:rsidRDefault="00924992">
            <w:pPr>
              <w:pStyle w:val="Other0"/>
              <w:framePr w:w="11443" w:h="6638" w:hSpace="19" w:vSpace="221" w:wrap="none" w:hAnchor="page" w:x="611" w:y="356"/>
              <w:spacing w:line="240" w:lineRule="auto"/>
              <w:ind w:firstLine="180"/>
              <w:rPr>
                <w:sz w:val="16"/>
                <w:szCs w:val="16"/>
              </w:rPr>
            </w:pPr>
            <w:r>
              <w:rPr>
                <w:rFonts w:ascii="Times New Roman" w:eastAsia="Times New Roman" w:hAnsi="Times New Roman" w:cs="Times New Roman"/>
                <w:color w:val="000000"/>
                <w:sz w:val="16"/>
                <w:szCs w:val="16"/>
              </w:rPr>
              <w:t>5-7.5 cada 6 h</w:t>
            </w:r>
          </w:p>
        </w:tc>
      </w:tr>
      <w:tr w:rsidR="00924992" w14:paraId="17556257" w14:textId="77777777">
        <w:tblPrEx>
          <w:tblCellMar>
            <w:top w:w="0" w:type="dxa"/>
            <w:bottom w:w="0" w:type="dxa"/>
          </w:tblCellMar>
        </w:tblPrEx>
        <w:trPr>
          <w:trHeight w:hRule="exact" w:val="216"/>
        </w:trPr>
        <w:tc>
          <w:tcPr>
            <w:tcW w:w="1618" w:type="dxa"/>
            <w:shd w:val="clear" w:color="auto" w:fill="FFFFFF"/>
          </w:tcPr>
          <w:p w14:paraId="199CDA17" w14:textId="77777777" w:rsidR="00924992" w:rsidRDefault="00924992">
            <w:pPr>
              <w:pStyle w:val="Other0"/>
              <w:framePr w:w="11443" w:h="6638" w:hSpace="19" w:vSpace="221" w:wrap="none" w:hAnchor="page" w:x="611" w:y="356"/>
              <w:spacing w:line="240" w:lineRule="auto"/>
              <w:ind w:firstLine="0"/>
              <w:rPr>
                <w:sz w:val="16"/>
                <w:szCs w:val="16"/>
              </w:rPr>
            </w:pPr>
            <w:r>
              <w:rPr>
                <w:rFonts w:ascii="Times New Roman" w:eastAsia="Times New Roman" w:hAnsi="Times New Roman" w:cs="Times New Roman"/>
                <w:b/>
                <w:bCs/>
                <w:color w:val="000000"/>
                <w:sz w:val="16"/>
                <w:szCs w:val="16"/>
              </w:rPr>
              <w:t>Eritromicina</w:t>
            </w:r>
          </w:p>
        </w:tc>
        <w:tc>
          <w:tcPr>
            <w:tcW w:w="1109" w:type="dxa"/>
            <w:shd w:val="clear" w:color="auto" w:fill="FFFFFF"/>
          </w:tcPr>
          <w:p w14:paraId="316756DC" w14:textId="77777777" w:rsidR="00924992" w:rsidRDefault="00924992">
            <w:pPr>
              <w:pStyle w:val="Other0"/>
              <w:framePr w:w="11443" w:h="6638" w:hSpace="19" w:vSpace="221" w:wrap="none" w:hAnchor="page" w:x="611" w:y="356"/>
              <w:spacing w:line="240" w:lineRule="auto"/>
              <w:ind w:firstLine="0"/>
              <w:rPr>
                <w:sz w:val="16"/>
                <w:szCs w:val="16"/>
              </w:rPr>
            </w:pPr>
            <w:r>
              <w:rPr>
                <w:rFonts w:ascii="Times New Roman" w:eastAsia="Times New Roman" w:hAnsi="Times New Roman" w:cs="Times New Roman"/>
                <w:color w:val="000000"/>
                <w:sz w:val="16"/>
                <w:szCs w:val="16"/>
              </w:rPr>
              <w:t>PO</w:t>
            </w:r>
          </w:p>
        </w:tc>
        <w:tc>
          <w:tcPr>
            <w:tcW w:w="1565" w:type="dxa"/>
            <w:shd w:val="clear" w:color="auto" w:fill="FFFFFF"/>
          </w:tcPr>
          <w:p w14:paraId="647BF9BB" w14:textId="77777777" w:rsidR="00924992" w:rsidRDefault="00924992">
            <w:pPr>
              <w:pStyle w:val="Other0"/>
              <w:framePr w:w="11443" w:h="6638" w:hSpace="19" w:vSpace="221" w:wrap="none" w:hAnchor="page" w:x="611" w:y="356"/>
              <w:spacing w:line="240" w:lineRule="auto"/>
              <w:ind w:firstLine="0"/>
              <w:rPr>
                <w:sz w:val="16"/>
                <w:szCs w:val="16"/>
              </w:rPr>
            </w:pPr>
            <w:r>
              <w:rPr>
                <w:rFonts w:ascii="Times New Roman" w:eastAsia="Times New Roman" w:hAnsi="Times New Roman" w:cs="Times New Roman"/>
                <w:color w:val="000000"/>
                <w:sz w:val="16"/>
                <w:szCs w:val="16"/>
              </w:rPr>
              <w:t>10 cada 12 h</w:t>
            </w:r>
          </w:p>
        </w:tc>
        <w:tc>
          <w:tcPr>
            <w:tcW w:w="1622" w:type="dxa"/>
            <w:shd w:val="clear" w:color="auto" w:fill="FFFFFF"/>
          </w:tcPr>
          <w:p w14:paraId="0328638A" w14:textId="77777777" w:rsidR="00924992" w:rsidRDefault="00924992">
            <w:pPr>
              <w:pStyle w:val="Other0"/>
              <w:framePr w:w="11443" w:h="6638" w:hSpace="19" w:vSpace="221" w:wrap="none" w:hAnchor="page" w:x="611" w:y="356"/>
              <w:spacing w:line="240" w:lineRule="auto"/>
              <w:ind w:firstLine="0"/>
              <w:rPr>
                <w:sz w:val="16"/>
                <w:szCs w:val="16"/>
              </w:rPr>
            </w:pPr>
            <w:r>
              <w:rPr>
                <w:rFonts w:ascii="Times New Roman" w:eastAsia="Times New Roman" w:hAnsi="Times New Roman" w:cs="Times New Roman"/>
                <w:color w:val="000000"/>
                <w:sz w:val="16"/>
                <w:szCs w:val="16"/>
              </w:rPr>
              <w:t>10 cada 12 h</w:t>
            </w:r>
          </w:p>
        </w:tc>
        <w:tc>
          <w:tcPr>
            <w:tcW w:w="1786" w:type="dxa"/>
            <w:shd w:val="clear" w:color="auto" w:fill="FFFFFF"/>
          </w:tcPr>
          <w:p w14:paraId="3F7F4820" w14:textId="77777777" w:rsidR="00924992" w:rsidRDefault="00924992">
            <w:pPr>
              <w:pStyle w:val="Other0"/>
              <w:framePr w:w="11443" w:h="6638" w:hSpace="19" w:vSpace="221" w:wrap="none" w:hAnchor="page" w:x="611" w:y="356"/>
              <w:spacing w:line="240" w:lineRule="auto"/>
              <w:ind w:firstLine="140"/>
              <w:rPr>
                <w:sz w:val="16"/>
                <w:szCs w:val="16"/>
              </w:rPr>
            </w:pPr>
            <w:r>
              <w:rPr>
                <w:rFonts w:ascii="Times New Roman" w:eastAsia="Times New Roman" w:hAnsi="Times New Roman" w:cs="Times New Roman"/>
                <w:color w:val="000000"/>
                <w:sz w:val="16"/>
                <w:szCs w:val="16"/>
              </w:rPr>
              <w:t>10 cada 12 h</w:t>
            </w:r>
          </w:p>
        </w:tc>
        <w:tc>
          <w:tcPr>
            <w:tcW w:w="1891" w:type="dxa"/>
            <w:shd w:val="clear" w:color="auto" w:fill="FFFFFF"/>
          </w:tcPr>
          <w:p w14:paraId="10FEC6CD" w14:textId="77777777" w:rsidR="00924992" w:rsidRDefault="00924992">
            <w:pPr>
              <w:pStyle w:val="Other0"/>
              <w:framePr w:w="11443" w:h="6638" w:hSpace="19" w:vSpace="221" w:wrap="none" w:hAnchor="page" w:x="611" w:y="356"/>
              <w:spacing w:line="240" w:lineRule="auto"/>
              <w:ind w:firstLine="220"/>
              <w:rPr>
                <w:sz w:val="16"/>
                <w:szCs w:val="16"/>
              </w:rPr>
            </w:pPr>
            <w:r>
              <w:rPr>
                <w:rFonts w:ascii="Times New Roman" w:eastAsia="Times New Roman" w:hAnsi="Times New Roman" w:cs="Times New Roman"/>
                <w:color w:val="000000"/>
                <w:sz w:val="16"/>
                <w:szCs w:val="16"/>
              </w:rPr>
              <w:t>10 cada 8 h</w:t>
            </w:r>
          </w:p>
        </w:tc>
        <w:tc>
          <w:tcPr>
            <w:tcW w:w="1853" w:type="dxa"/>
            <w:shd w:val="clear" w:color="auto" w:fill="FFFFFF"/>
          </w:tcPr>
          <w:p w14:paraId="191D626B" w14:textId="77777777" w:rsidR="00924992" w:rsidRDefault="00924992">
            <w:pPr>
              <w:pStyle w:val="Other0"/>
              <w:framePr w:w="11443" w:h="6638" w:hSpace="19" w:vSpace="221" w:wrap="none" w:hAnchor="page" w:x="611" w:y="356"/>
              <w:spacing w:line="240" w:lineRule="auto"/>
              <w:ind w:firstLine="180"/>
              <w:rPr>
                <w:sz w:val="16"/>
                <w:szCs w:val="16"/>
              </w:rPr>
            </w:pPr>
            <w:r>
              <w:rPr>
                <w:rFonts w:ascii="Times New Roman" w:eastAsia="Times New Roman" w:hAnsi="Times New Roman" w:cs="Times New Roman"/>
                <w:color w:val="000000"/>
                <w:sz w:val="16"/>
                <w:szCs w:val="16"/>
              </w:rPr>
              <w:t>10 cada 8 h</w:t>
            </w:r>
          </w:p>
        </w:tc>
      </w:tr>
      <w:tr w:rsidR="00924992" w14:paraId="7E1E9DFA" w14:textId="77777777">
        <w:tblPrEx>
          <w:tblCellMar>
            <w:top w:w="0" w:type="dxa"/>
            <w:bottom w:w="0" w:type="dxa"/>
          </w:tblCellMar>
        </w:tblPrEx>
        <w:trPr>
          <w:trHeight w:hRule="exact" w:val="216"/>
        </w:trPr>
        <w:tc>
          <w:tcPr>
            <w:tcW w:w="1618" w:type="dxa"/>
            <w:shd w:val="clear" w:color="auto" w:fill="FFFFFF"/>
            <w:vAlign w:val="bottom"/>
          </w:tcPr>
          <w:p w14:paraId="41AA5150" w14:textId="77777777" w:rsidR="00924992" w:rsidRDefault="00924992">
            <w:pPr>
              <w:pStyle w:val="Other0"/>
              <w:framePr w:w="11443" w:h="6638" w:hSpace="19" w:vSpace="221" w:wrap="none" w:hAnchor="page" w:x="611" w:y="356"/>
              <w:spacing w:line="240" w:lineRule="auto"/>
              <w:ind w:firstLine="0"/>
              <w:rPr>
                <w:sz w:val="16"/>
                <w:szCs w:val="16"/>
              </w:rPr>
            </w:pPr>
            <w:r>
              <w:rPr>
                <w:rFonts w:ascii="Times New Roman" w:eastAsia="Times New Roman" w:hAnsi="Times New Roman" w:cs="Times New Roman"/>
                <w:b/>
                <w:bCs/>
                <w:color w:val="000000"/>
                <w:sz w:val="16"/>
                <w:szCs w:val="16"/>
              </w:rPr>
              <w:t>Metronidazol</w:t>
            </w:r>
            <w:r>
              <w:rPr>
                <w:rFonts w:ascii="Times New Roman" w:eastAsia="Times New Roman" w:hAnsi="Times New Roman" w:cs="Times New Roman"/>
                <w:b/>
                <w:bCs/>
                <w:color w:val="000000"/>
                <w:sz w:val="16"/>
                <w:szCs w:val="16"/>
                <w:vertAlign w:val="superscript"/>
              </w:rPr>
              <w:t>5</w:t>
            </w:r>
          </w:p>
        </w:tc>
        <w:tc>
          <w:tcPr>
            <w:tcW w:w="1109" w:type="dxa"/>
            <w:shd w:val="clear" w:color="auto" w:fill="FFFFFF"/>
            <w:vAlign w:val="bottom"/>
          </w:tcPr>
          <w:p w14:paraId="3DFE3C42" w14:textId="77777777" w:rsidR="00924992" w:rsidRDefault="00924992">
            <w:pPr>
              <w:pStyle w:val="Other0"/>
              <w:framePr w:w="11443" w:h="6638" w:hSpace="19" w:vSpace="221" w:wrap="none" w:hAnchor="page" w:x="611" w:y="356"/>
              <w:spacing w:line="240" w:lineRule="auto"/>
              <w:ind w:firstLine="0"/>
              <w:rPr>
                <w:sz w:val="16"/>
                <w:szCs w:val="16"/>
              </w:rPr>
            </w:pPr>
            <w:r>
              <w:rPr>
                <w:rFonts w:ascii="Times New Roman" w:eastAsia="Times New Roman" w:hAnsi="Times New Roman" w:cs="Times New Roman"/>
                <w:color w:val="000000"/>
                <w:sz w:val="16"/>
                <w:szCs w:val="16"/>
              </w:rPr>
              <w:t>IV, PO</w:t>
            </w:r>
          </w:p>
        </w:tc>
        <w:tc>
          <w:tcPr>
            <w:tcW w:w="1565" w:type="dxa"/>
            <w:shd w:val="clear" w:color="auto" w:fill="FFFFFF"/>
            <w:vAlign w:val="bottom"/>
          </w:tcPr>
          <w:p w14:paraId="5D5A93C8" w14:textId="77777777" w:rsidR="00924992" w:rsidRDefault="00924992">
            <w:pPr>
              <w:pStyle w:val="Other0"/>
              <w:framePr w:w="11443" w:h="6638" w:hSpace="19" w:vSpace="221" w:wrap="none" w:hAnchor="page" w:x="611" w:y="356"/>
              <w:spacing w:line="240" w:lineRule="auto"/>
              <w:ind w:firstLine="0"/>
              <w:rPr>
                <w:sz w:val="16"/>
                <w:szCs w:val="16"/>
              </w:rPr>
            </w:pPr>
            <w:r>
              <w:rPr>
                <w:rFonts w:ascii="Times New Roman" w:eastAsia="Times New Roman" w:hAnsi="Times New Roman" w:cs="Times New Roman"/>
                <w:color w:val="000000"/>
                <w:sz w:val="16"/>
                <w:szCs w:val="16"/>
              </w:rPr>
              <w:t>7.5 cada 24-48 h</w:t>
            </w:r>
          </w:p>
        </w:tc>
        <w:tc>
          <w:tcPr>
            <w:tcW w:w="1622" w:type="dxa"/>
            <w:shd w:val="clear" w:color="auto" w:fill="FFFFFF"/>
            <w:vAlign w:val="bottom"/>
          </w:tcPr>
          <w:p w14:paraId="76E43765" w14:textId="77777777" w:rsidR="00924992" w:rsidRDefault="00924992">
            <w:pPr>
              <w:pStyle w:val="Other0"/>
              <w:framePr w:w="11443" w:h="6638" w:hSpace="19" w:vSpace="221" w:wrap="none" w:hAnchor="page" w:x="611" w:y="356"/>
              <w:spacing w:line="240" w:lineRule="auto"/>
              <w:ind w:firstLine="0"/>
              <w:rPr>
                <w:sz w:val="16"/>
                <w:szCs w:val="16"/>
              </w:rPr>
            </w:pPr>
            <w:r>
              <w:rPr>
                <w:rFonts w:ascii="Times New Roman" w:eastAsia="Times New Roman" w:hAnsi="Times New Roman" w:cs="Times New Roman"/>
                <w:color w:val="000000"/>
                <w:sz w:val="16"/>
                <w:szCs w:val="16"/>
              </w:rPr>
              <w:t>7.5 cada 24 h</w:t>
            </w:r>
          </w:p>
        </w:tc>
        <w:tc>
          <w:tcPr>
            <w:tcW w:w="1786" w:type="dxa"/>
            <w:shd w:val="clear" w:color="auto" w:fill="FFFFFF"/>
            <w:vAlign w:val="bottom"/>
          </w:tcPr>
          <w:p w14:paraId="2C2E126E" w14:textId="77777777" w:rsidR="00924992" w:rsidRDefault="00924992">
            <w:pPr>
              <w:pStyle w:val="Other0"/>
              <w:framePr w:w="11443" w:h="6638" w:hSpace="19" w:vSpace="221" w:wrap="none" w:hAnchor="page" w:x="611" w:y="356"/>
              <w:spacing w:line="240" w:lineRule="auto"/>
              <w:ind w:firstLine="140"/>
              <w:rPr>
                <w:sz w:val="16"/>
                <w:szCs w:val="16"/>
              </w:rPr>
            </w:pPr>
            <w:r>
              <w:rPr>
                <w:rFonts w:ascii="Times New Roman" w:eastAsia="Times New Roman" w:hAnsi="Times New Roman" w:cs="Times New Roman"/>
                <w:color w:val="000000"/>
                <w:sz w:val="16"/>
                <w:szCs w:val="16"/>
              </w:rPr>
              <w:t>7.5 cada 12 h</w:t>
            </w:r>
          </w:p>
        </w:tc>
        <w:tc>
          <w:tcPr>
            <w:tcW w:w="1891" w:type="dxa"/>
            <w:shd w:val="clear" w:color="auto" w:fill="FFFFFF"/>
            <w:vAlign w:val="bottom"/>
          </w:tcPr>
          <w:p w14:paraId="7E85DFCC" w14:textId="77777777" w:rsidR="00924992" w:rsidRDefault="00924992">
            <w:pPr>
              <w:pStyle w:val="Other0"/>
              <w:framePr w:w="11443" w:h="6638" w:hSpace="19" w:vSpace="221" w:wrap="none" w:hAnchor="page" w:x="611" w:y="356"/>
              <w:spacing w:line="240" w:lineRule="auto"/>
              <w:ind w:firstLine="220"/>
              <w:rPr>
                <w:sz w:val="16"/>
                <w:szCs w:val="16"/>
              </w:rPr>
            </w:pPr>
            <w:r>
              <w:rPr>
                <w:rFonts w:ascii="Times New Roman" w:eastAsia="Times New Roman" w:hAnsi="Times New Roman" w:cs="Times New Roman"/>
                <w:color w:val="000000"/>
                <w:sz w:val="16"/>
                <w:szCs w:val="16"/>
              </w:rPr>
              <w:t>7.5 cada 12 h</w:t>
            </w:r>
          </w:p>
        </w:tc>
        <w:tc>
          <w:tcPr>
            <w:tcW w:w="1853" w:type="dxa"/>
            <w:shd w:val="clear" w:color="auto" w:fill="FFFFFF"/>
            <w:vAlign w:val="bottom"/>
          </w:tcPr>
          <w:p w14:paraId="70E78D24" w14:textId="77777777" w:rsidR="00924992" w:rsidRDefault="00924992">
            <w:pPr>
              <w:pStyle w:val="Other0"/>
              <w:framePr w:w="11443" w:h="6638" w:hSpace="19" w:vSpace="221" w:wrap="none" w:hAnchor="page" w:x="611" w:y="356"/>
              <w:spacing w:line="240" w:lineRule="auto"/>
              <w:ind w:firstLine="180"/>
              <w:rPr>
                <w:sz w:val="16"/>
                <w:szCs w:val="16"/>
              </w:rPr>
            </w:pPr>
            <w:r>
              <w:rPr>
                <w:rFonts w:ascii="Times New Roman" w:eastAsia="Times New Roman" w:hAnsi="Times New Roman" w:cs="Times New Roman"/>
                <w:color w:val="000000"/>
                <w:sz w:val="16"/>
                <w:szCs w:val="16"/>
              </w:rPr>
              <w:t>15 cada 12 h</w:t>
            </w:r>
          </w:p>
        </w:tc>
      </w:tr>
      <w:tr w:rsidR="00924992" w14:paraId="75D732CB" w14:textId="77777777">
        <w:tblPrEx>
          <w:tblCellMar>
            <w:top w:w="0" w:type="dxa"/>
            <w:bottom w:w="0" w:type="dxa"/>
          </w:tblCellMar>
        </w:tblPrEx>
        <w:trPr>
          <w:trHeight w:hRule="exact" w:val="221"/>
        </w:trPr>
        <w:tc>
          <w:tcPr>
            <w:tcW w:w="1618" w:type="dxa"/>
            <w:shd w:val="clear" w:color="auto" w:fill="FFFFFF"/>
          </w:tcPr>
          <w:p w14:paraId="779F826B" w14:textId="77777777" w:rsidR="00924992" w:rsidRDefault="00924992">
            <w:pPr>
              <w:pStyle w:val="Other0"/>
              <w:framePr w:w="11443" w:h="6638" w:hSpace="19" w:vSpace="221" w:wrap="none" w:hAnchor="page" w:x="611" w:y="356"/>
              <w:spacing w:line="240" w:lineRule="auto"/>
              <w:ind w:firstLine="0"/>
              <w:rPr>
                <w:sz w:val="16"/>
                <w:szCs w:val="16"/>
              </w:rPr>
            </w:pPr>
            <w:r>
              <w:rPr>
                <w:rFonts w:ascii="Times New Roman" w:eastAsia="Times New Roman" w:hAnsi="Times New Roman" w:cs="Times New Roman"/>
                <w:b/>
                <w:bCs/>
                <w:color w:val="000000"/>
                <w:sz w:val="16"/>
                <w:szCs w:val="16"/>
              </w:rPr>
              <w:t>Penicilinas</w:t>
            </w:r>
          </w:p>
        </w:tc>
        <w:tc>
          <w:tcPr>
            <w:tcW w:w="1109" w:type="dxa"/>
            <w:shd w:val="clear" w:color="auto" w:fill="FFFFFF"/>
          </w:tcPr>
          <w:p w14:paraId="3D5B33CA" w14:textId="77777777" w:rsidR="00924992" w:rsidRDefault="00924992">
            <w:pPr>
              <w:framePr w:w="11443" w:h="6638" w:hSpace="19" w:vSpace="221" w:wrap="none" w:hAnchor="page" w:x="611" w:y="356"/>
              <w:rPr>
                <w:sz w:val="10"/>
                <w:szCs w:val="10"/>
              </w:rPr>
            </w:pPr>
          </w:p>
        </w:tc>
        <w:tc>
          <w:tcPr>
            <w:tcW w:w="1565" w:type="dxa"/>
            <w:shd w:val="clear" w:color="auto" w:fill="FFFFFF"/>
          </w:tcPr>
          <w:p w14:paraId="6EDE9C07" w14:textId="77777777" w:rsidR="00924992" w:rsidRDefault="00924992">
            <w:pPr>
              <w:framePr w:w="11443" w:h="6638" w:hSpace="19" w:vSpace="221" w:wrap="none" w:hAnchor="page" w:x="611" w:y="356"/>
              <w:rPr>
                <w:sz w:val="10"/>
                <w:szCs w:val="10"/>
              </w:rPr>
            </w:pPr>
          </w:p>
        </w:tc>
        <w:tc>
          <w:tcPr>
            <w:tcW w:w="1622" w:type="dxa"/>
            <w:shd w:val="clear" w:color="auto" w:fill="FFFFFF"/>
          </w:tcPr>
          <w:p w14:paraId="6D14BBF7" w14:textId="77777777" w:rsidR="00924992" w:rsidRDefault="00924992">
            <w:pPr>
              <w:framePr w:w="11443" w:h="6638" w:hSpace="19" w:vSpace="221" w:wrap="none" w:hAnchor="page" w:x="611" w:y="356"/>
              <w:rPr>
                <w:sz w:val="10"/>
                <w:szCs w:val="10"/>
              </w:rPr>
            </w:pPr>
          </w:p>
        </w:tc>
        <w:tc>
          <w:tcPr>
            <w:tcW w:w="1786" w:type="dxa"/>
            <w:shd w:val="clear" w:color="auto" w:fill="FFFFFF"/>
          </w:tcPr>
          <w:p w14:paraId="4F7BE3A6" w14:textId="77777777" w:rsidR="00924992" w:rsidRDefault="00924992">
            <w:pPr>
              <w:framePr w:w="11443" w:h="6638" w:hSpace="19" w:vSpace="221" w:wrap="none" w:hAnchor="page" w:x="611" w:y="356"/>
              <w:rPr>
                <w:sz w:val="10"/>
                <w:szCs w:val="10"/>
              </w:rPr>
            </w:pPr>
          </w:p>
        </w:tc>
        <w:tc>
          <w:tcPr>
            <w:tcW w:w="1891" w:type="dxa"/>
            <w:shd w:val="clear" w:color="auto" w:fill="FFFFFF"/>
          </w:tcPr>
          <w:p w14:paraId="5ED926F4" w14:textId="77777777" w:rsidR="00924992" w:rsidRDefault="00924992">
            <w:pPr>
              <w:framePr w:w="11443" w:h="6638" w:hSpace="19" w:vSpace="221" w:wrap="none" w:hAnchor="page" w:x="611" w:y="356"/>
              <w:rPr>
                <w:sz w:val="10"/>
                <w:szCs w:val="10"/>
              </w:rPr>
            </w:pPr>
          </w:p>
        </w:tc>
        <w:tc>
          <w:tcPr>
            <w:tcW w:w="1853" w:type="dxa"/>
            <w:shd w:val="clear" w:color="auto" w:fill="FFFFFF"/>
          </w:tcPr>
          <w:p w14:paraId="4BB83BB4" w14:textId="77777777" w:rsidR="00924992" w:rsidRDefault="00924992">
            <w:pPr>
              <w:framePr w:w="11443" w:h="6638" w:hSpace="19" w:vSpace="221" w:wrap="none" w:hAnchor="page" w:x="611" w:y="356"/>
              <w:rPr>
                <w:sz w:val="10"/>
                <w:szCs w:val="10"/>
              </w:rPr>
            </w:pPr>
          </w:p>
        </w:tc>
      </w:tr>
      <w:tr w:rsidR="00924992" w14:paraId="6BB6647F" w14:textId="77777777">
        <w:tblPrEx>
          <w:tblCellMar>
            <w:top w:w="0" w:type="dxa"/>
            <w:bottom w:w="0" w:type="dxa"/>
          </w:tblCellMar>
        </w:tblPrEx>
        <w:trPr>
          <w:trHeight w:hRule="exact" w:val="235"/>
        </w:trPr>
        <w:tc>
          <w:tcPr>
            <w:tcW w:w="1618" w:type="dxa"/>
            <w:shd w:val="clear" w:color="auto" w:fill="FFFFFF"/>
            <w:vAlign w:val="bottom"/>
          </w:tcPr>
          <w:p w14:paraId="5BC47DBF" w14:textId="77777777" w:rsidR="00924992" w:rsidRDefault="00924992">
            <w:pPr>
              <w:pStyle w:val="Other0"/>
              <w:framePr w:w="11443" w:h="6638" w:hSpace="19" w:vSpace="221" w:wrap="none" w:hAnchor="page" w:x="611" w:y="356"/>
              <w:spacing w:line="240" w:lineRule="auto"/>
              <w:ind w:firstLine="0"/>
              <w:rPr>
                <w:sz w:val="16"/>
                <w:szCs w:val="16"/>
              </w:rPr>
            </w:pPr>
            <w:r>
              <w:rPr>
                <w:rFonts w:ascii="Times New Roman" w:eastAsia="Times New Roman" w:hAnsi="Times New Roman" w:cs="Times New Roman"/>
                <w:color w:val="000000"/>
                <w:sz w:val="16"/>
                <w:szCs w:val="16"/>
              </w:rPr>
              <w:t>Ampicilina</w:t>
            </w:r>
            <w:r>
              <w:rPr>
                <w:rFonts w:ascii="Times New Roman" w:eastAsia="Times New Roman" w:hAnsi="Times New Roman" w:cs="Times New Roman"/>
                <w:color w:val="000000"/>
                <w:sz w:val="16"/>
                <w:szCs w:val="16"/>
                <w:vertAlign w:val="superscript"/>
              </w:rPr>
              <w:t>4</w:t>
            </w:r>
          </w:p>
        </w:tc>
        <w:tc>
          <w:tcPr>
            <w:tcW w:w="1109" w:type="dxa"/>
            <w:shd w:val="clear" w:color="auto" w:fill="FFFFFF"/>
            <w:vAlign w:val="bottom"/>
          </w:tcPr>
          <w:p w14:paraId="1C18E6B9" w14:textId="77777777" w:rsidR="00924992" w:rsidRDefault="00924992">
            <w:pPr>
              <w:pStyle w:val="Other0"/>
              <w:framePr w:w="11443" w:h="6638" w:hSpace="19" w:vSpace="221" w:wrap="none" w:hAnchor="page" w:x="611" w:y="356"/>
              <w:spacing w:line="240" w:lineRule="auto"/>
              <w:ind w:firstLine="0"/>
              <w:rPr>
                <w:sz w:val="16"/>
                <w:szCs w:val="16"/>
              </w:rPr>
            </w:pPr>
            <w:r>
              <w:rPr>
                <w:rFonts w:ascii="Times New Roman" w:eastAsia="Times New Roman" w:hAnsi="Times New Roman" w:cs="Times New Roman"/>
                <w:color w:val="000000"/>
                <w:sz w:val="16"/>
                <w:szCs w:val="16"/>
              </w:rPr>
              <w:t>IV, IM</w:t>
            </w:r>
          </w:p>
        </w:tc>
        <w:tc>
          <w:tcPr>
            <w:tcW w:w="1565" w:type="dxa"/>
            <w:shd w:val="clear" w:color="auto" w:fill="FFFFFF"/>
            <w:vAlign w:val="bottom"/>
          </w:tcPr>
          <w:p w14:paraId="025814FD" w14:textId="77777777" w:rsidR="00924992" w:rsidRDefault="00924992">
            <w:pPr>
              <w:pStyle w:val="Other0"/>
              <w:framePr w:w="11443" w:h="6638" w:hSpace="19" w:vSpace="221" w:wrap="none" w:hAnchor="page" w:x="611" w:y="356"/>
              <w:spacing w:line="240" w:lineRule="auto"/>
              <w:ind w:firstLine="0"/>
              <w:rPr>
                <w:sz w:val="16"/>
                <w:szCs w:val="16"/>
              </w:rPr>
            </w:pPr>
            <w:r>
              <w:rPr>
                <w:rFonts w:ascii="Times New Roman" w:eastAsia="Times New Roman" w:hAnsi="Times New Roman" w:cs="Times New Roman"/>
                <w:color w:val="000000"/>
                <w:sz w:val="16"/>
                <w:szCs w:val="16"/>
              </w:rPr>
              <w:t>25-50 cada 12 h</w:t>
            </w:r>
          </w:p>
        </w:tc>
        <w:tc>
          <w:tcPr>
            <w:tcW w:w="1622" w:type="dxa"/>
            <w:shd w:val="clear" w:color="auto" w:fill="FFFFFF"/>
            <w:vAlign w:val="bottom"/>
          </w:tcPr>
          <w:p w14:paraId="0829CFDB" w14:textId="77777777" w:rsidR="00924992" w:rsidRDefault="00924992">
            <w:pPr>
              <w:pStyle w:val="Other0"/>
              <w:framePr w:w="11443" w:h="6638" w:hSpace="19" w:vSpace="221" w:wrap="none" w:hAnchor="page" w:x="611" w:y="356"/>
              <w:spacing w:line="240" w:lineRule="auto"/>
              <w:ind w:firstLine="0"/>
              <w:rPr>
                <w:sz w:val="16"/>
                <w:szCs w:val="16"/>
              </w:rPr>
            </w:pPr>
            <w:r>
              <w:rPr>
                <w:rFonts w:ascii="Times New Roman" w:eastAsia="Times New Roman" w:hAnsi="Times New Roman" w:cs="Times New Roman"/>
                <w:color w:val="000000"/>
                <w:sz w:val="16"/>
                <w:szCs w:val="16"/>
              </w:rPr>
              <w:t>25-50 cada 12 h</w:t>
            </w:r>
          </w:p>
        </w:tc>
        <w:tc>
          <w:tcPr>
            <w:tcW w:w="1786" w:type="dxa"/>
            <w:shd w:val="clear" w:color="auto" w:fill="FFFFFF"/>
            <w:vAlign w:val="bottom"/>
          </w:tcPr>
          <w:p w14:paraId="4717C2E7" w14:textId="77777777" w:rsidR="00924992" w:rsidRDefault="00924992">
            <w:pPr>
              <w:pStyle w:val="Other0"/>
              <w:framePr w:w="11443" w:h="6638" w:hSpace="19" w:vSpace="221" w:wrap="none" w:hAnchor="page" w:x="611" w:y="356"/>
              <w:spacing w:line="240" w:lineRule="auto"/>
              <w:ind w:firstLine="140"/>
              <w:rPr>
                <w:sz w:val="16"/>
                <w:szCs w:val="16"/>
              </w:rPr>
            </w:pPr>
            <w:r>
              <w:rPr>
                <w:rFonts w:ascii="Times New Roman" w:eastAsia="Times New Roman" w:hAnsi="Times New Roman" w:cs="Times New Roman"/>
                <w:color w:val="000000"/>
                <w:sz w:val="16"/>
                <w:szCs w:val="16"/>
              </w:rPr>
              <w:t>25-50 cada 8 h</w:t>
            </w:r>
          </w:p>
        </w:tc>
        <w:tc>
          <w:tcPr>
            <w:tcW w:w="1891" w:type="dxa"/>
            <w:shd w:val="clear" w:color="auto" w:fill="FFFFFF"/>
            <w:vAlign w:val="bottom"/>
          </w:tcPr>
          <w:p w14:paraId="759CE72E" w14:textId="77777777" w:rsidR="00924992" w:rsidRDefault="00924992">
            <w:pPr>
              <w:pStyle w:val="Other0"/>
              <w:framePr w:w="11443" w:h="6638" w:hSpace="19" w:vSpace="221" w:wrap="none" w:hAnchor="page" w:x="611" w:y="356"/>
              <w:spacing w:line="240" w:lineRule="auto"/>
              <w:ind w:firstLine="220"/>
              <w:rPr>
                <w:sz w:val="16"/>
                <w:szCs w:val="16"/>
              </w:rPr>
            </w:pPr>
            <w:r>
              <w:rPr>
                <w:rFonts w:ascii="Times New Roman" w:eastAsia="Times New Roman" w:hAnsi="Times New Roman" w:cs="Times New Roman"/>
                <w:color w:val="000000"/>
                <w:sz w:val="16"/>
                <w:szCs w:val="16"/>
              </w:rPr>
              <w:t>25-50 cada 8 h</w:t>
            </w:r>
          </w:p>
        </w:tc>
        <w:tc>
          <w:tcPr>
            <w:tcW w:w="1853" w:type="dxa"/>
            <w:shd w:val="clear" w:color="auto" w:fill="FFFFFF"/>
            <w:vAlign w:val="bottom"/>
          </w:tcPr>
          <w:p w14:paraId="1F5DC760" w14:textId="77777777" w:rsidR="00924992" w:rsidRDefault="00924992">
            <w:pPr>
              <w:pStyle w:val="Other0"/>
              <w:framePr w:w="11443" w:h="6638" w:hSpace="19" w:vSpace="221" w:wrap="none" w:hAnchor="page" w:x="611" w:y="356"/>
              <w:spacing w:line="240" w:lineRule="auto"/>
              <w:ind w:firstLine="180"/>
              <w:rPr>
                <w:sz w:val="16"/>
                <w:szCs w:val="16"/>
              </w:rPr>
            </w:pPr>
            <w:r>
              <w:rPr>
                <w:rFonts w:ascii="Times New Roman" w:eastAsia="Times New Roman" w:hAnsi="Times New Roman" w:cs="Times New Roman"/>
                <w:color w:val="000000"/>
                <w:sz w:val="16"/>
                <w:szCs w:val="16"/>
              </w:rPr>
              <w:t>25-50 cada 6 h</w:t>
            </w:r>
          </w:p>
        </w:tc>
      </w:tr>
      <w:tr w:rsidR="00924992" w14:paraId="4EB5F1BD" w14:textId="77777777">
        <w:tblPrEx>
          <w:tblCellMar>
            <w:top w:w="0" w:type="dxa"/>
            <w:bottom w:w="0" w:type="dxa"/>
          </w:tblCellMar>
        </w:tblPrEx>
        <w:trPr>
          <w:trHeight w:hRule="exact" w:val="211"/>
        </w:trPr>
        <w:tc>
          <w:tcPr>
            <w:tcW w:w="1618" w:type="dxa"/>
            <w:shd w:val="clear" w:color="auto" w:fill="FFFFFF"/>
            <w:vAlign w:val="bottom"/>
          </w:tcPr>
          <w:p w14:paraId="4F3A45EF" w14:textId="77777777" w:rsidR="00924992" w:rsidRDefault="00924992">
            <w:pPr>
              <w:pStyle w:val="Other0"/>
              <w:framePr w:w="11443" w:h="6638" w:hSpace="19" w:vSpace="221" w:wrap="none" w:hAnchor="page" w:x="611" w:y="356"/>
              <w:spacing w:line="240" w:lineRule="auto"/>
              <w:ind w:firstLine="0"/>
              <w:rPr>
                <w:sz w:val="16"/>
                <w:szCs w:val="16"/>
              </w:rPr>
            </w:pPr>
            <w:r>
              <w:rPr>
                <w:rFonts w:ascii="Times New Roman" w:eastAsia="Times New Roman" w:hAnsi="Times New Roman" w:cs="Times New Roman"/>
                <w:color w:val="000000"/>
                <w:sz w:val="16"/>
                <w:szCs w:val="16"/>
              </w:rPr>
              <w:t>Penicilina G,</w:t>
            </w:r>
            <w:r>
              <w:rPr>
                <w:rFonts w:ascii="Times New Roman" w:eastAsia="Times New Roman" w:hAnsi="Times New Roman" w:cs="Times New Roman"/>
                <w:color w:val="000000"/>
                <w:sz w:val="16"/>
                <w:szCs w:val="16"/>
                <w:vertAlign w:val="superscript"/>
              </w:rPr>
              <w:t>4</w:t>
            </w:r>
            <w:r>
              <w:rPr>
                <w:rFonts w:ascii="Times New Roman" w:eastAsia="Times New Roman" w:hAnsi="Times New Roman" w:cs="Times New Roman"/>
                <w:color w:val="000000"/>
                <w:sz w:val="16"/>
                <w:szCs w:val="16"/>
              </w:rPr>
              <w:t xml:space="preserve"> acuosa</w:t>
            </w:r>
          </w:p>
        </w:tc>
        <w:tc>
          <w:tcPr>
            <w:tcW w:w="1109" w:type="dxa"/>
            <w:shd w:val="clear" w:color="auto" w:fill="FFFFFF"/>
            <w:vAlign w:val="bottom"/>
          </w:tcPr>
          <w:p w14:paraId="0999CDF3" w14:textId="77777777" w:rsidR="00924992" w:rsidRDefault="00924992">
            <w:pPr>
              <w:pStyle w:val="Other0"/>
              <w:framePr w:w="11443" w:h="6638" w:hSpace="19" w:vSpace="221" w:wrap="none" w:hAnchor="page" w:x="611" w:y="356"/>
              <w:spacing w:line="240" w:lineRule="auto"/>
              <w:ind w:firstLine="0"/>
              <w:rPr>
                <w:sz w:val="16"/>
                <w:szCs w:val="16"/>
              </w:rPr>
            </w:pPr>
            <w:r>
              <w:rPr>
                <w:rFonts w:ascii="Times New Roman" w:eastAsia="Times New Roman" w:hAnsi="Times New Roman" w:cs="Times New Roman"/>
                <w:color w:val="000000"/>
                <w:sz w:val="16"/>
                <w:szCs w:val="16"/>
              </w:rPr>
              <w:t>IV, IM</w:t>
            </w:r>
          </w:p>
        </w:tc>
        <w:tc>
          <w:tcPr>
            <w:tcW w:w="1565" w:type="dxa"/>
            <w:shd w:val="clear" w:color="auto" w:fill="FFFFFF"/>
            <w:vAlign w:val="bottom"/>
          </w:tcPr>
          <w:p w14:paraId="6C7E9ADF" w14:textId="77777777" w:rsidR="00924992" w:rsidRDefault="00924992">
            <w:pPr>
              <w:pStyle w:val="Other0"/>
              <w:framePr w:w="11443" w:h="6638" w:hSpace="19" w:vSpace="221" w:wrap="none" w:hAnchor="page" w:x="611" w:y="356"/>
              <w:spacing w:line="240" w:lineRule="auto"/>
              <w:ind w:firstLine="0"/>
              <w:rPr>
                <w:sz w:val="16"/>
                <w:szCs w:val="16"/>
              </w:rPr>
            </w:pPr>
            <w:r>
              <w:rPr>
                <w:rFonts w:ascii="Times New Roman" w:eastAsia="Times New Roman" w:hAnsi="Times New Roman" w:cs="Times New Roman"/>
                <w:color w:val="000000"/>
                <w:sz w:val="16"/>
                <w:szCs w:val="16"/>
              </w:rPr>
              <w:t>25 000-50 000</w:t>
            </w:r>
          </w:p>
        </w:tc>
        <w:tc>
          <w:tcPr>
            <w:tcW w:w="1622" w:type="dxa"/>
            <w:shd w:val="clear" w:color="auto" w:fill="FFFFFF"/>
            <w:vAlign w:val="bottom"/>
          </w:tcPr>
          <w:p w14:paraId="500854AC" w14:textId="77777777" w:rsidR="00924992" w:rsidRDefault="00924992">
            <w:pPr>
              <w:pStyle w:val="Other0"/>
              <w:framePr w:w="11443" w:h="6638" w:hSpace="19" w:vSpace="221" w:wrap="none" w:hAnchor="page" w:x="611" w:y="356"/>
              <w:spacing w:line="240" w:lineRule="auto"/>
              <w:ind w:firstLine="0"/>
              <w:rPr>
                <w:sz w:val="16"/>
                <w:szCs w:val="16"/>
              </w:rPr>
            </w:pPr>
            <w:r>
              <w:rPr>
                <w:rFonts w:ascii="Times New Roman" w:eastAsia="Times New Roman" w:hAnsi="Times New Roman" w:cs="Times New Roman"/>
                <w:color w:val="000000"/>
                <w:sz w:val="16"/>
                <w:szCs w:val="16"/>
              </w:rPr>
              <w:t>25 000-50 000</w:t>
            </w:r>
          </w:p>
        </w:tc>
        <w:tc>
          <w:tcPr>
            <w:tcW w:w="1786" w:type="dxa"/>
            <w:shd w:val="clear" w:color="auto" w:fill="FFFFFF"/>
            <w:vAlign w:val="bottom"/>
          </w:tcPr>
          <w:p w14:paraId="6AA52778" w14:textId="77777777" w:rsidR="00924992" w:rsidRDefault="00924992">
            <w:pPr>
              <w:pStyle w:val="Other0"/>
              <w:framePr w:w="11443" w:h="6638" w:hSpace="19" w:vSpace="221" w:wrap="none" w:hAnchor="page" w:x="611" w:y="356"/>
              <w:spacing w:line="240" w:lineRule="auto"/>
              <w:ind w:firstLine="140"/>
              <w:rPr>
                <w:sz w:val="16"/>
                <w:szCs w:val="16"/>
              </w:rPr>
            </w:pPr>
            <w:r>
              <w:rPr>
                <w:rFonts w:ascii="Times New Roman" w:eastAsia="Times New Roman" w:hAnsi="Times New Roman" w:cs="Times New Roman"/>
                <w:color w:val="000000"/>
                <w:sz w:val="16"/>
                <w:szCs w:val="16"/>
              </w:rPr>
              <w:t>25 000-50 000</w:t>
            </w:r>
          </w:p>
        </w:tc>
        <w:tc>
          <w:tcPr>
            <w:tcW w:w="1891" w:type="dxa"/>
            <w:shd w:val="clear" w:color="auto" w:fill="FFFFFF"/>
            <w:vAlign w:val="bottom"/>
          </w:tcPr>
          <w:p w14:paraId="5CE81064" w14:textId="77777777" w:rsidR="00924992" w:rsidRDefault="00924992">
            <w:pPr>
              <w:pStyle w:val="Other0"/>
              <w:framePr w:w="11443" w:h="6638" w:hSpace="19" w:vSpace="221" w:wrap="none" w:hAnchor="page" w:x="611" w:y="356"/>
              <w:spacing w:line="240" w:lineRule="auto"/>
              <w:ind w:firstLine="220"/>
              <w:rPr>
                <w:sz w:val="16"/>
                <w:szCs w:val="16"/>
              </w:rPr>
            </w:pPr>
            <w:r>
              <w:rPr>
                <w:rFonts w:ascii="Times New Roman" w:eastAsia="Times New Roman" w:hAnsi="Times New Roman" w:cs="Times New Roman"/>
                <w:color w:val="000000"/>
                <w:sz w:val="16"/>
                <w:szCs w:val="16"/>
              </w:rPr>
              <w:t>25 000-50 000</w:t>
            </w:r>
          </w:p>
        </w:tc>
        <w:tc>
          <w:tcPr>
            <w:tcW w:w="1853" w:type="dxa"/>
            <w:shd w:val="clear" w:color="auto" w:fill="FFFFFF"/>
            <w:vAlign w:val="bottom"/>
          </w:tcPr>
          <w:p w14:paraId="4DC9B873" w14:textId="77777777" w:rsidR="00924992" w:rsidRDefault="00924992">
            <w:pPr>
              <w:pStyle w:val="Other0"/>
              <w:framePr w:w="11443" w:h="6638" w:hSpace="19" w:vSpace="221" w:wrap="none" w:hAnchor="page" w:x="611" w:y="356"/>
              <w:spacing w:line="240" w:lineRule="auto"/>
              <w:ind w:firstLine="180"/>
              <w:rPr>
                <w:sz w:val="16"/>
                <w:szCs w:val="16"/>
              </w:rPr>
            </w:pPr>
            <w:r>
              <w:rPr>
                <w:rFonts w:ascii="Times New Roman" w:eastAsia="Times New Roman" w:hAnsi="Times New Roman" w:cs="Times New Roman"/>
                <w:color w:val="000000"/>
                <w:sz w:val="16"/>
                <w:szCs w:val="16"/>
              </w:rPr>
              <w:t>25 000-50 000</w:t>
            </w:r>
          </w:p>
        </w:tc>
      </w:tr>
      <w:tr w:rsidR="00924992" w14:paraId="60A66233" w14:textId="77777777">
        <w:tblPrEx>
          <w:tblCellMar>
            <w:top w:w="0" w:type="dxa"/>
            <w:bottom w:w="0" w:type="dxa"/>
          </w:tblCellMar>
        </w:tblPrEx>
        <w:trPr>
          <w:trHeight w:hRule="exact" w:val="211"/>
        </w:trPr>
        <w:tc>
          <w:tcPr>
            <w:tcW w:w="1618" w:type="dxa"/>
            <w:shd w:val="clear" w:color="auto" w:fill="FFFFFF"/>
          </w:tcPr>
          <w:p w14:paraId="3507B0F5" w14:textId="77777777" w:rsidR="00924992" w:rsidRDefault="00924992">
            <w:pPr>
              <w:framePr w:w="11443" w:h="6638" w:hSpace="19" w:vSpace="221" w:wrap="none" w:hAnchor="page" w:x="611" w:y="356"/>
              <w:rPr>
                <w:sz w:val="10"/>
                <w:szCs w:val="10"/>
              </w:rPr>
            </w:pPr>
          </w:p>
        </w:tc>
        <w:tc>
          <w:tcPr>
            <w:tcW w:w="1109" w:type="dxa"/>
            <w:shd w:val="clear" w:color="auto" w:fill="FFFFFF"/>
          </w:tcPr>
          <w:p w14:paraId="031C83EB" w14:textId="77777777" w:rsidR="00924992" w:rsidRDefault="00924992">
            <w:pPr>
              <w:framePr w:w="11443" w:h="6638" w:hSpace="19" w:vSpace="221" w:wrap="none" w:hAnchor="page" w:x="611" w:y="356"/>
              <w:rPr>
                <w:sz w:val="10"/>
                <w:szCs w:val="10"/>
              </w:rPr>
            </w:pPr>
          </w:p>
        </w:tc>
        <w:tc>
          <w:tcPr>
            <w:tcW w:w="1565" w:type="dxa"/>
            <w:shd w:val="clear" w:color="auto" w:fill="FFFFFF"/>
          </w:tcPr>
          <w:p w14:paraId="77FD8AD6" w14:textId="77777777" w:rsidR="00924992" w:rsidRDefault="00924992">
            <w:pPr>
              <w:pStyle w:val="Other0"/>
              <w:framePr w:w="11443" w:h="6638" w:hSpace="19" w:vSpace="221" w:wrap="none" w:hAnchor="page" w:x="611" w:y="356"/>
              <w:spacing w:line="240" w:lineRule="auto"/>
              <w:ind w:firstLine="160"/>
              <w:rPr>
                <w:sz w:val="16"/>
                <w:szCs w:val="16"/>
              </w:rPr>
            </w:pPr>
            <w:r>
              <w:rPr>
                <w:rFonts w:ascii="Times New Roman" w:eastAsia="Times New Roman" w:hAnsi="Times New Roman" w:cs="Times New Roman"/>
                <w:color w:val="000000"/>
                <w:sz w:val="16"/>
                <w:szCs w:val="16"/>
              </w:rPr>
              <w:t>U cada 12 h</w:t>
            </w:r>
          </w:p>
        </w:tc>
        <w:tc>
          <w:tcPr>
            <w:tcW w:w="1622" w:type="dxa"/>
            <w:shd w:val="clear" w:color="auto" w:fill="FFFFFF"/>
          </w:tcPr>
          <w:p w14:paraId="54C423FC" w14:textId="77777777" w:rsidR="00924992" w:rsidRDefault="00924992">
            <w:pPr>
              <w:pStyle w:val="Other0"/>
              <w:framePr w:w="11443" w:h="6638" w:hSpace="19" w:vSpace="221" w:wrap="none" w:hAnchor="page" w:x="611" w:y="356"/>
              <w:spacing w:line="240" w:lineRule="auto"/>
              <w:ind w:firstLine="160"/>
              <w:rPr>
                <w:sz w:val="16"/>
                <w:szCs w:val="16"/>
              </w:rPr>
            </w:pPr>
            <w:r>
              <w:rPr>
                <w:rFonts w:ascii="Times New Roman" w:eastAsia="Times New Roman" w:hAnsi="Times New Roman" w:cs="Times New Roman"/>
                <w:color w:val="000000"/>
                <w:sz w:val="16"/>
                <w:szCs w:val="16"/>
              </w:rPr>
              <w:t>U cada 12 h</w:t>
            </w:r>
          </w:p>
        </w:tc>
        <w:tc>
          <w:tcPr>
            <w:tcW w:w="1786" w:type="dxa"/>
            <w:shd w:val="clear" w:color="auto" w:fill="FFFFFF"/>
          </w:tcPr>
          <w:p w14:paraId="03A56F37" w14:textId="77777777" w:rsidR="00924992" w:rsidRDefault="00924992">
            <w:pPr>
              <w:pStyle w:val="Other0"/>
              <w:framePr w:w="11443" w:h="6638" w:hSpace="19" w:vSpace="221" w:wrap="none" w:hAnchor="page" w:x="611" w:y="356"/>
              <w:spacing w:line="240" w:lineRule="auto"/>
              <w:ind w:firstLine="240"/>
              <w:rPr>
                <w:sz w:val="16"/>
                <w:szCs w:val="16"/>
              </w:rPr>
            </w:pPr>
            <w:r>
              <w:rPr>
                <w:rFonts w:ascii="Times New Roman" w:eastAsia="Times New Roman" w:hAnsi="Times New Roman" w:cs="Times New Roman"/>
                <w:color w:val="000000"/>
                <w:sz w:val="16"/>
                <w:szCs w:val="16"/>
              </w:rPr>
              <w:t>U cada 8 h</w:t>
            </w:r>
          </w:p>
        </w:tc>
        <w:tc>
          <w:tcPr>
            <w:tcW w:w="1891" w:type="dxa"/>
            <w:shd w:val="clear" w:color="auto" w:fill="FFFFFF"/>
          </w:tcPr>
          <w:p w14:paraId="7CA83D56" w14:textId="77777777" w:rsidR="00924992" w:rsidRDefault="00924992">
            <w:pPr>
              <w:pStyle w:val="Other0"/>
              <w:framePr w:w="11443" w:h="6638" w:hSpace="19" w:vSpace="221" w:wrap="none" w:hAnchor="page" w:x="611" w:y="356"/>
              <w:spacing w:line="240" w:lineRule="auto"/>
              <w:ind w:firstLine="360"/>
              <w:rPr>
                <w:sz w:val="16"/>
                <w:szCs w:val="16"/>
              </w:rPr>
            </w:pPr>
            <w:r>
              <w:rPr>
                <w:rFonts w:ascii="Times New Roman" w:eastAsia="Times New Roman" w:hAnsi="Times New Roman" w:cs="Times New Roman"/>
                <w:color w:val="000000"/>
                <w:sz w:val="16"/>
                <w:szCs w:val="16"/>
              </w:rPr>
              <w:t>U cada 8 h</w:t>
            </w:r>
          </w:p>
        </w:tc>
        <w:tc>
          <w:tcPr>
            <w:tcW w:w="1853" w:type="dxa"/>
            <w:shd w:val="clear" w:color="auto" w:fill="FFFFFF"/>
          </w:tcPr>
          <w:p w14:paraId="5D45FA76" w14:textId="77777777" w:rsidR="00924992" w:rsidRDefault="00924992">
            <w:pPr>
              <w:pStyle w:val="Other0"/>
              <w:framePr w:w="11443" w:h="6638" w:hSpace="19" w:vSpace="221" w:wrap="none" w:hAnchor="page" w:x="611" w:y="356"/>
              <w:spacing w:line="240" w:lineRule="auto"/>
              <w:ind w:firstLine="280"/>
              <w:rPr>
                <w:sz w:val="16"/>
                <w:szCs w:val="16"/>
              </w:rPr>
            </w:pPr>
            <w:r>
              <w:rPr>
                <w:rFonts w:ascii="Times New Roman" w:eastAsia="Times New Roman" w:hAnsi="Times New Roman" w:cs="Times New Roman"/>
                <w:color w:val="000000"/>
                <w:sz w:val="16"/>
                <w:szCs w:val="16"/>
              </w:rPr>
              <w:t>U cada 6 h</w:t>
            </w:r>
          </w:p>
        </w:tc>
      </w:tr>
      <w:tr w:rsidR="00924992" w14:paraId="0B694C0B" w14:textId="77777777">
        <w:tblPrEx>
          <w:tblCellMar>
            <w:top w:w="0" w:type="dxa"/>
            <w:bottom w:w="0" w:type="dxa"/>
          </w:tblCellMar>
        </w:tblPrEx>
        <w:trPr>
          <w:trHeight w:hRule="exact" w:val="216"/>
        </w:trPr>
        <w:tc>
          <w:tcPr>
            <w:tcW w:w="1618" w:type="dxa"/>
            <w:shd w:val="clear" w:color="auto" w:fill="FFFFFF"/>
            <w:vAlign w:val="bottom"/>
          </w:tcPr>
          <w:p w14:paraId="6A12167E" w14:textId="77777777" w:rsidR="00924992" w:rsidRDefault="00924992">
            <w:pPr>
              <w:pStyle w:val="Other0"/>
              <w:framePr w:w="11443" w:h="6638" w:hSpace="19" w:vSpace="221" w:wrap="none" w:hAnchor="page" w:x="611" w:y="356"/>
              <w:spacing w:line="240" w:lineRule="auto"/>
              <w:ind w:firstLine="0"/>
              <w:rPr>
                <w:sz w:val="16"/>
                <w:szCs w:val="16"/>
              </w:rPr>
            </w:pPr>
            <w:r>
              <w:rPr>
                <w:rFonts w:ascii="Times New Roman" w:eastAsia="Times New Roman" w:hAnsi="Times New Roman" w:cs="Times New Roman"/>
                <w:color w:val="000000"/>
                <w:sz w:val="16"/>
                <w:szCs w:val="16"/>
              </w:rPr>
              <w:t>Penicilina G</w:t>
            </w:r>
          </w:p>
        </w:tc>
        <w:tc>
          <w:tcPr>
            <w:tcW w:w="1109" w:type="dxa"/>
            <w:shd w:val="clear" w:color="auto" w:fill="FFFFFF"/>
            <w:vAlign w:val="bottom"/>
          </w:tcPr>
          <w:p w14:paraId="52F5C30D" w14:textId="77777777" w:rsidR="00924992" w:rsidRDefault="00924992">
            <w:pPr>
              <w:pStyle w:val="Other0"/>
              <w:framePr w:w="11443" w:h="6638" w:hSpace="19" w:vSpace="221" w:wrap="none" w:hAnchor="page" w:x="611" w:y="356"/>
              <w:spacing w:line="240" w:lineRule="auto"/>
              <w:ind w:firstLine="0"/>
              <w:rPr>
                <w:sz w:val="16"/>
                <w:szCs w:val="16"/>
              </w:rPr>
            </w:pPr>
            <w:r>
              <w:rPr>
                <w:rFonts w:ascii="Times New Roman" w:eastAsia="Times New Roman" w:hAnsi="Times New Roman" w:cs="Times New Roman"/>
                <w:color w:val="000000"/>
                <w:sz w:val="16"/>
                <w:szCs w:val="16"/>
              </w:rPr>
              <w:t>IM</w:t>
            </w:r>
          </w:p>
        </w:tc>
        <w:tc>
          <w:tcPr>
            <w:tcW w:w="1565" w:type="dxa"/>
            <w:shd w:val="clear" w:color="auto" w:fill="FFFFFF"/>
          </w:tcPr>
          <w:p w14:paraId="3948BD6A" w14:textId="77777777" w:rsidR="00924992" w:rsidRDefault="00924992">
            <w:pPr>
              <w:framePr w:w="11443" w:h="6638" w:hSpace="19" w:vSpace="221" w:wrap="none" w:hAnchor="page" w:x="611" w:y="356"/>
              <w:rPr>
                <w:sz w:val="10"/>
                <w:szCs w:val="10"/>
              </w:rPr>
            </w:pPr>
          </w:p>
        </w:tc>
        <w:tc>
          <w:tcPr>
            <w:tcW w:w="1622" w:type="dxa"/>
            <w:shd w:val="clear" w:color="auto" w:fill="FFFFFF"/>
            <w:vAlign w:val="bottom"/>
          </w:tcPr>
          <w:p w14:paraId="3697505E" w14:textId="77777777" w:rsidR="00924992" w:rsidRDefault="00924992">
            <w:pPr>
              <w:pStyle w:val="Other0"/>
              <w:framePr w:w="11443" w:h="6638" w:hSpace="19" w:vSpace="221" w:wrap="none" w:hAnchor="page" w:x="611" w:y="356"/>
              <w:spacing w:line="240" w:lineRule="auto"/>
              <w:ind w:firstLine="0"/>
              <w:rPr>
                <w:sz w:val="16"/>
                <w:szCs w:val="16"/>
              </w:rPr>
            </w:pPr>
            <w:r>
              <w:rPr>
                <w:rFonts w:ascii="Times New Roman" w:eastAsia="Times New Roman" w:hAnsi="Times New Roman" w:cs="Times New Roman"/>
                <w:color w:val="000000"/>
                <w:sz w:val="16"/>
                <w:szCs w:val="16"/>
              </w:rPr>
              <w:t>50 000 U cada 24 h</w:t>
            </w:r>
          </w:p>
        </w:tc>
        <w:tc>
          <w:tcPr>
            <w:tcW w:w="1786" w:type="dxa"/>
            <w:shd w:val="clear" w:color="auto" w:fill="FFFFFF"/>
            <w:vAlign w:val="bottom"/>
          </w:tcPr>
          <w:p w14:paraId="65F2FD37" w14:textId="77777777" w:rsidR="00924992" w:rsidRDefault="00924992">
            <w:pPr>
              <w:pStyle w:val="Other0"/>
              <w:framePr w:w="11443" w:h="6638" w:hSpace="19" w:vSpace="221" w:wrap="none" w:hAnchor="page" w:x="611" w:y="356"/>
              <w:spacing w:line="240" w:lineRule="auto"/>
              <w:ind w:firstLine="140"/>
              <w:rPr>
                <w:sz w:val="16"/>
                <w:szCs w:val="16"/>
              </w:rPr>
            </w:pPr>
            <w:r>
              <w:rPr>
                <w:rFonts w:ascii="Times New Roman" w:eastAsia="Times New Roman" w:hAnsi="Times New Roman" w:cs="Times New Roman"/>
                <w:color w:val="000000"/>
                <w:sz w:val="16"/>
                <w:szCs w:val="16"/>
              </w:rPr>
              <w:t>50 000 U cada 24 h</w:t>
            </w:r>
          </w:p>
        </w:tc>
        <w:tc>
          <w:tcPr>
            <w:tcW w:w="1891" w:type="dxa"/>
            <w:shd w:val="clear" w:color="auto" w:fill="FFFFFF"/>
            <w:vAlign w:val="bottom"/>
          </w:tcPr>
          <w:p w14:paraId="35E9035E" w14:textId="77777777" w:rsidR="00924992" w:rsidRDefault="00924992">
            <w:pPr>
              <w:pStyle w:val="Other0"/>
              <w:framePr w:w="11443" w:h="6638" w:hSpace="19" w:vSpace="221" w:wrap="none" w:hAnchor="page" w:x="611" w:y="356"/>
              <w:spacing w:line="240" w:lineRule="auto"/>
              <w:ind w:firstLine="220"/>
              <w:rPr>
                <w:sz w:val="16"/>
                <w:szCs w:val="16"/>
              </w:rPr>
            </w:pPr>
            <w:r>
              <w:rPr>
                <w:rFonts w:ascii="Times New Roman" w:eastAsia="Times New Roman" w:hAnsi="Times New Roman" w:cs="Times New Roman"/>
                <w:color w:val="000000"/>
                <w:sz w:val="16"/>
                <w:szCs w:val="16"/>
              </w:rPr>
              <w:t>50 000 U cada 24 h</w:t>
            </w:r>
          </w:p>
        </w:tc>
        <w:tc>
          <w:tcPr>
            <w:tcW w:w="1853" w:type="dxa"/>
            <w:shd w:val="clear" w:color="auto" w:fill="FFFFFF"/>
            <w:vAlign w:val="bottom"/>
          </w:tcPr>
          <w:p w14:paraId="47330590" w14:textId="77777777" w:rsidR="00924992" w:rsidRDefault="00924992">
            <w:pPr>
              <w:pStyle w:val="Other0"/>
              <w:framePr w:w="11443" w:h="6638" w:hSpace="19" w:vSpace="221" w:wrap="none" w:hAnchor="page" w:x="611" w:y="356"/>
              <w:spacing w:line="240" w:lineRule="auto"/>
              <w:ind w:firstLine="180"/>
              <w:rPr>
                <w:sz w:val="16"/>
                <w:szCs w:val="16"/>
              </w:rPr>
            </w:pPr>
            <w:r>
              <w:rPr>
                <w:rFonts w:ascii="Times New Roman" w:eastAsia="Times New Roman" w:hAnsi="Times New Roman" w:cs="Times New Roman"/>
                <w:color w:val="000000"/>
                <w:sz w:val="16"/>
                <w:szCs w:val="16"/>
              </w:rPr>
              <w:t>50 000 U cada 24 h</w:t>
            </w:r>
          </w:p>
        </w:tc>
      </w:tr>
    </w:tbl>
    <w:p w14:paraId="6196F698" w14:textId="77777777" w:rsidR="00924992" w:rsidRDefault="00924992">
      <w:pPr>
        <w:framePr w:w="11443" w:h="6638" w:hSpace="19" w:vSpace="221" w:wrap="none" w:hAnchor="page" w:x="611" w:y="356"/>
        <w:spacing w:line="1" w:lineRule="exact"/>
      </w:pPr>
    </w:p>
    <w:p w14:paraId="777F12B0" w14:textId="77777777" w:rsidR="00924992" w:rsidRDefault="00924992">
      <w:pPr>
        <w:pStyle w:val="Tablecaption0"/>
        <w:framePr w:w="11309" w:h="197" w:wrap="none" w:hAnchor="page" w:x="765" w:y="7018"/>
        <w:spacing w:line="240" w:lineRule="auto"/>
        <w:ind w:left="0"/>
        <w:jc w:val="both"/>
        <w:rPr>
          <w:sz w:val="16"/>
          <w:szCs w:val="16"/>
        </w:rPr>
      </w:pPr>
      <w:r>
        <w:rPr>
          <w:color w:val="000000"/>
          <w:sz w:val="16"/>
          <w:szCs w:val="16"/>
        </w:rPr>
        <w:t>procaínica</w:t>
      </w:r>
    </w:p>
    <w:p w14:paraId="60FCD23C" w14:textId="77777777" w:rsidR="00924992" w:rsidRDefault="00924992">
      <w:pPr>
        <w:pStyle w:val="Bodytext80"/>
        <w:framePr w:w="168" w:h="4930" w:hRule="exact" w:wrap="none" w:hAnchor="page" w:x="12390" w:y="2142"/>
        <w:tabs>
          <w:tab w:val="left" w:pos="4637"/>
        </w:tabs>
        <w:textDirection w:val="tbRl"/>
        <w:rPr>
          <w:sz w:val="16"/>
          <w:szCs w:val="16"/>
        </w:rPr>
      </w:pPr>
      <w:r>
        <w:t>CUADROS DE DOSIS DE ANTIMICROBIANOS</w:t>
      </w:r>
      <w:r>
        <w:tab/>
      </w:r>
      <w:r>
        <w:rPr>
          <w:sz w:val="16"/>
          <w:szCs w:val="16"/>
        </w:rPr>
        <w:t>731</w:t>
      </w:r>
    </w:p>
    <w:p w14:paraId="5E1A4201" w14:textId="77777777" w:rsidR="00924992" w:rsidRDefault="00924992">
      <w:pPr>
        <w:spacing w:line="360" w:lineRule="exact"/>
      </w:pPr>
    </w:p>
    <w:p w14:paraId="30630405" w14:textId="77777777" w:rsidR="00924992" w:rsidRDefault="00924992">
      <w:pPr>
        <w:spacing w:line="360" w:lineRule="exact"/>
      </w:pPr>
    </w:p>
    <w:p w14:paraId="619DFD9E" w14:textId="77777777" w:rsidR="00924992" w:rsidRDefault="00924992">
      <w:pPr>
        <w:spacing w:line="360" w:lineRule="exact"/>
      </w:pPr>
    </w:p>
    <w:p w14:paraId="05179362" w14:textId="77777777" w:rsidR="00924992" w:rsidRDefault="00924992">
      <w:pPr>
        <w:spacing w:line="360" w:lineRule="exact"/>
      </w:pPr>
    </w:p>
    <w:p w14:paraId="747DC92D" w14:textId="77777777" w:rsidR="00924992" w:rsidRDefault="00924992">
      <w:pPr>
        <w:spacing w:line="360" w:lineRule="exact"/>
      </w:pPr>
    </w:p>
    <w:p w14:paraId="189BB47E" w14:textId="77777777" w:rsidR="00924992" w:rsidRDefault="00924992">
      <w:pPr>
        <w:spacing w:line="360" w:lineRule="exact"/>
      </w:pPr>
    </w:p>
    <w:p w14:paraId="2868040A" w14:textId="77777777" w:rsidR="00924992" w:rsidRDefault="00924992">
      <w:pPr>
        <w:spacing w:line="360" w:lineRule="exact"/>
      </w:pPr>
    </w:p>
    <w:p w14:paraId="396FCB4D" w14:textId="77777777" w:rsidR="00924992" w:rsidRDefault="00924992">
      <w:pPr>
        <w:spacing w:line="360" w:lineRule="exact"/>
      </w:pPr>
    </w:p>
    <w:p w14:paraId="10D71062" w14:textId="77777777" w:rsidR="00924992" w:rsidRDefault="00924992">
      <w:pPr>
        <w:spacing w:line="360" w:lineRule="exact"/>
      </w:pPr>
    </w:p>
    <w:p w14:paraId="259C370D" w14:textId="77777777" w:rsidR="00924992" w:rsidRDefault="00924992">
      <w:pPr>
        <w:spacing w:line="360" w:lineRule="exact"/>
      </w:pPr>
    </w:p>
    <w:p w14:paraId="74F8B115" w14:textId="77777777" w:rsidR="00924992" w:rsidRDefault="00924992">
      <w:pPr>
        <w:spacing w:line="360" w:lineRule="exact"/>
      </w:pPr>
    </w:p>
    <w:p w14:paraId="03AE57C9" w14:textId="77777777" w:rsidR="00924992" w:rsidRDefault="00924992">
      <w:pPr>
        <w:spacing w:line="360" w:lineRule="exact"/>
      </w:pPr>
    </w:p>
    <w:p w14:paraId="526A75E3" w14:textId="77777777" w:rsidR="00924992" w:rsidRDefault="00924992">
      <w:pPr>
        <w:spacing w:line="360" w:lineRule="exact"/>
      </w:pPr>
    </w:p>
    <w:p w14:paraId="59396453" w14:textId="77777777" w:rsidR="00924992" w:rsidRDefault="00924992">
      <w:pPr>
        <w:spacing w:line="360" w:lineRule="exact"/>
      </w:pPr>
    </w:p>
    <w:p w14:paraId="09CA9C59" w14:textId="77777777" w:rsidR="00924992" w:rsidRDefault="00924992">
      <w:pPr>
        <w:spacing w:line="360" w:lineRule="exact"/>
      </w:pPr>
    </w:p>
    <w:p w14:paraId="3CDCADCA" w14:textId="77777777" w:rsidR="00924992" w:rsidRDefault="00924992">
      <w:pPr>
        <w:spacing w:line="360" w:lineRule="exact"/>
      </w:pPr>
    </w:p>
    <w:p w14:paraId="790405B5" w14:textId="77777777" w:rsidR="00924992" w:rsidRDefault="00924992">
      <w:pPr>
        <w:spacing w:line="360" w:lineRule="exact"/>
      </w:pPr>
    </w:p>
    <w:p w14:paraId="2A5BDD1A" w14:textId="77777777" w:rsidR="00924992" w:rsidRDefault="00924992">
      <w:pPr>
        <w:spacing w:line="360" w:lineRule="exact"/>
      </w:pPr>
    </w:p>
    <w:p w14:paraId="213DFB19" w14:textId="77777777" w:rsidR="00924992" w:rsidRDefault="00924992">
      <w:pPr>
        <w:spacing w:line="360" w:lineRule="exact"/>
      </w:pPr>
    </w:p>
    <w:p w14:paraId="61D6C0F3" w14:textId="77777777" w:rsidR="00924992" w:rsidRDefault="00924992">
      <w:pPr>
        <w:spacing w:after="373" w:line="1" w:lineRule="exact"/>
      </w:pPr>
    </w:p>
    <w:p w14:paraId="06B52670" w14:textId="77777777" w:rsidR="00924992" w:rsidRDefault="00924992">
      <w:pPr>
        <w:spacing w:line="1" w:lineRule="exact"/>
        <w:sectPr w:rsidR="00924992" w:rsidSect="00924992">
          <w:headerReference w:type="even" r:id="rId239"/>
          <w:headerReference w:type="default" r:id="rId240"/>
          <w:footerReference w:type="even" r:id="rId241"/>
          <w:footerReference w:type="default" r:id="rId242"/>
          <w:footnotePr>
            <w:numFmt w:val="chicago"/>
          </w:footnotePr>
          <w:pgSz w:w="13022" w:h="8501" w:orient="landscape"/>
          <w:pgMar w:top="902" w:right="466" w:bottom="327" w:left="610" w:header="0" w:footer="3" w:gutter="0"/>
          <w:cols w:space="720"/>
          <w:noEndnote/>
          <w:docGrid w:linePitch="360"/>
          <w15:footnoteColumns w:val="1"/>
        </w:sectPr>
      </w:pPr>
    </w:p>
    <w:p w14:paraId="6E904956" w14:textId="77777777" w:rsidR="00924992" w:rsidRDefault="00924992">
      <w:pPr>
        <w:spacing w:line="1" w:lineRule="exact"/>
      </w:pPr>
      <w:r>
        <w:rPr>
          <w:noProof/>
        </w:rPr>
        <mc:AlternateContent>
          <mc:Choice Requires="wps">
            <w:drawing>
              <wp:anchor distT="0" distB="365125" distL="114300" distR="324485" simplePos="0" relativeHeight="251664384" behindDoc="0" locked="0" layoutInCell="1" allowOverlap="1" wp14:anchorId="67B3BD28" wp14:editId="756C8C28">
                <wp:simplePos x="0" y="0"/>
                <wp:positionH relativeFrom="page">
                  <wp:posOffset>414655</wp:posOffset>
                </wp:positionH>
                <wp:positionV relativeFrom="paragraph">
                  <wp:posOffset>231775</wp:posOffset>
                </wp:positionV>
                <wp:extent cx="6849110" cy="688975"/>
                <wp:effectExtent l="0" t="0" r="0" b="0"/>
                <wp:wrapTopAndBottom/>
                <wp:docPr id="2215" name="Shape 2215"/>
                <wp:cNvGraphicFramePr/>
                <a:graphic xmlns:a="http://schemas.openxmlformats.org/drawingml/2006/main">
                  <a:graphicData uri="http://schemas.microsoft.com/office/word/2010/wordprocessingShape">
                    <wps:wsp>
                      <wps:cNvSpPr txBox="1"/>
                      <wps:spPr>
                        <a:xfrm>
                          <a:off x="0" y="0"/>
                          <a:ext cx="6849110" cy="688975"/>
                        </a:xfrm>
                        <a:prstGeom prst="rect">
                          <a:avLst/>
                        </a:prstGeom>
                        <a:noFill/>
                      </wps:spPr>
                      <wps:txbx>
                        <w:txbxContent>
                          <w:tbl>
                            <w:tblPr>
                              <w:tblOverlap w:val="never"/>
                              <w:tblW w:w="0" w:type="auto"/>
                              <w:tblLayout w:type="fixed"/>
                              <w:tblCellMar>
                                <w:left w:w="10" w:type="dxa"/>
                                <w:right w:w="10" w:type="dxa"/>
                              </w:tblCellMar>
                              <w:tblLook w:val="04A0" w:firstRow="1" w:lastRow="0" w:firstColumn="1" w:lastColumn="0" w:noHBand="0" w:noVBand="1"/>
                            </w:tblPr>
                            <w:tblGrid>
                              <w:gridCol w:w="1186"/>
                              <w:gridCol w:w="994"/>
                              <w:gridCol w:w="2078"/>
                              <w:gridCol w:w="3206"/>
                              <w:gridCol w:w="3322"/>
                            </w:tblGrid>
                            <w:tr w:rsidR="00924992" w14:paraId="218D0925" w14:textId="77777777">
                              <w:tblPrEx>
                                <w:tblCellMar>
                                  <w:top w:w="0" w:type="dxa"/>
                                  <w:bottom w:w="0" w:type="dxa"/>
                                </w:tblCellMar>
                              </w:tblPrEx>
                              <w:trPr>
                                <w:trHeight w:hRule="exact" w:val="250"/>
                                <w:tblHeader/>
                              </w:trPr>
                              <w:tc>
                                <w:tcPr>
                                  <w:tcW w:w="1186" w:type="dxa"/>
                                  <w:shd w:val="clear" w:color="auto" w:fill="000000"/>
                                </w:tcPr>
                                <w:p w14:paraId="62FD8B70" w14:textId="77777777" w:rsidR="00924992" w:rsidRDefault="00924992">
                                  <w:pPr>
                                    <w:rPr>
                                      <w:sz w:val="10"/>
                                      <w:szCs w:val="10"/>
                                    </w:rPr>
                                  </w:pPr>
                                </w:p>
                              </w:tc>
                              <w:tc>
                                <w:tcPr>
                                  <w:tcW w:w="994" w:type="dxa"/>
                                  <w:shd w:val="clear" w:color="auto" w:fill="000000"/>
                                </w:tcPr>
                                <w:p w14:paraId="33DB427F" w14:textId="77777777" w:rsidR="00924992" w:rsidRDefault="00924992">
                                  <w:pPr>
                                    <w:rPr>
                                      <w:sz w:val="10"/>
                                      <w:szCs w:val="10"/>
                                    </w:rPr>
                                  </w:pPr>
                                </w:p>
                              </w:tc>
                              <w:tc>
                                <w:tcPr>
                                  <w:tcW w:w="2078" w:type="dxa"/>
                                  <w:shd w:val="clear" w:color="auto" w:fill="000000"/>
                                </w:tcPr>
                                <w:p w14:paraId="7D92D0CF" w14:textId="77777777" w:rsidR="00924992" w:rsidRDefault="00924992">
                                  <w:pPr>
                                    <w:pStyle w:val="Other0"/>
                                    <w:pBdr>
                                      <w:top w:val="single" w:sz="0" w:space="0" w:color="000000"/>
                                      <w:left w:val="single" w:sz="0" w:space="0" w:color="000000"/>
                                      <w:bottom w:val="single" w:sz="0" w:space="0" w:color="000000"/>
                                      <w:right w:val="single" w:sz="0" w:space="0" w:color="000000"/>
                                    </w:pBdr>
                                    <w:shd w:val="clear" w:color="auto" w:fill="000000"/>
                                    <w:spacing w:line="240" w:lineRule="auto"/>
                                    <w:ind w:firstLine="540"/>
                                    <w:rPr>
                                      <w:sz w:val="24"/>
                                      <w:szCs w:val="24"/>
                                    </w:rPr>
                                  </w:pPr>
                                  <w:r>
                                    <w:rPr>
                                      <w:rFonts w:ascii="Arial" w:eastAsia="Arial" w:hAnsi="Arial" w:cs="Arial"/>
                                      <w:b/>
                                      <w:bCs/>
                                      <w:color w:val="FFFFFF"/>
                                      <w:w w:val="70"/>
                                      <w:sz w:val="24"/>
                                      <w:szCs w:val="24"/>
                                    </w:rPr>
                                    <w:t>Lactantes de 0</w:t>
                                  </w:r>
                                </w:p>
                              </w:tc>
                              <w:tc>
                                <w:tcPr>
                                  <w:tcW w:w="3206" w:type="dxa"/>
                                  <w:shd w:val="clear" w:color="auto" w:fill="000000"/>
                                </w:tcPr>
                                <w:p w14:paraId="04618AC4" w14:textId="77777777" w:rsidR="00924992" w:rsidRDefault="00924992">
                                  <w:pPr>
                                    <w:pStyle w:val="Other0"/>
                                    <w:pBdr>
                                      <w:top w:val="single" w:sz="0" w:space="0" w:color="000000"/>
                                      <w:left w:val="single" w:sz="0" w:space="0" w:color="000000"/>
                                      <w:bottom w:val="single" w:sz="0" w:space="0" w:color="000000"/>
                                      <w:right w:val="single" w:sz="0" w:space="0" w:color="000000"/>
                                    </w:pBdr>
                                    <w:shd w:val="clear" w:color="auto" w:fill="000000"/>
                                    <w:spacing w:line="240" w:lineRule="auto"/>
                                    <w:ind w:firstLine="0"/>
                                    <w:jc w:val="center"/>
                                    <w:rPr>
                                      <w:sz w:val="24"/>
                                      <w:szCs w:val="24"/>
                                    </w:rPr>
                                  </w:pPr>
                                  <w:r>
                                    <w:rPr>
                                      <w:rFonts w:ascii="Arial" w:eastAsia="Arial" w:hAnsi="Arial" w:cs="Arial"/>
                                      <w:b/>
                                      <w:bCs/>
                                      <w:color w:val="FFFFFF"/>
                                      <w:w w:val="70"/>
                                      <w:sz w:val="24"/>
                                      <w:szCs w:val="24"/>
                                    </w:rPr>
                                    <w:t>Menores de una semana</w:t>
                                  </w:r>
                                </w:p>
                              </w:tc>
                              <w:tc>
                                <w:tcPr>
                                  <w:tcW w:w="3322" w:type="dxa"/>
                                  <w:shd w:val="clear" w:color="auto" w:fill="000000"/>
                                </w:tcPr>
                                <w:p w14:paraId="2D153488" w14:textId="77777777" w:rsidR="00924992" w:rsidRDefault="00924992">
                                  <w:pPr>
                                    <w:pStyle w:val="Other0"/>
                                    <w:pBdr>
                                      <w:top w:val="single" w:sz="0" w:space="0" w:color="000000"/>
                                      <w:left w:val="single" w:sz="0" w:space="0" w:color="000000"/>
                                      <w:bottom w:val="single" w:sz="0" w:space="0" w:color="000000"/>
                                      <w:right w:val="single" w:sz="0" w:space="0" w:color="000000"/>
                                    </w:pBdr>
                                    <w:shd w:val="clear" w:color="auto" w:fill="000000"/>
                                    <w:spacing w:line="240" w:lineRule="auto"/>
                                    <w:ind w:firstLine="680"/>
                                    <w:rPr>
                                      <w:sz w:val="24"/>
                                      <w:szCs w:val="24"/>
                                    </w:rPr>
                                  </w:pPr>
                                  <w:r>
                                    <w:rPr>
                                      <w:rFonts w:ascii="Arial" w:eastAsia="Arial" w:hAnsi="Arial" w:cs="Arial"/>
                                      <w:b/>
                                      <w:bCs/>
                                      <w:color w:val="FFFFFF"/>
                                      <w:w w:val="70"/>
                                      <w:sz w:val="24"/>
                                      <w:szCs w:val="24"/>
                                    </w:rPr>
                                    <w:t>Lactantes de una semana</w:t>
                                  </w:r>
                                </w:p>
                              </w:tc>
                            </w:tr>
                            <w:tr w:rsidR="00924992" w14:paraId="36CFD7D5" w14:textId="77777777">
                              <w:tblPrEx>
                                <w:tblCellMar>
                                  <w:top w:w="0" w:type="dxa"/>
                                  <w:bottom w:w="0" w:type="dxa"/>
                                </w:tblCellMar>
                              </w:tblPrEx>
                              <w:trPr>
                                <w:trHeight w:hRule="exact" w:val="269"/>
                              </w:trPr>
                              <w:tc>
                                <w:tcPr>
                                  <w:tcW w:w="1186" w:type="dxa"/>
                                  <w:shd w:val="clear" w:color="auto" w:fill="000000"/>
                                </w:tcPr>
                                <w:p w14:paraId="3AA48BB6" w14:textId="77777777" w:rsidR="00924992" w:rsidRDefault="00924992">
                                  <w:pPr>
                                    <w:rPr>
                                      <w:sz w:val="10"/>
                                      <w:szCs w:val="10"/>
                                    </w:rPr>
                                  </w:pPr>
                                </w:p>
                              </w:tc>
                              <w:tc>
                                <w:tcPr>
                                  <w:tcW w:w="994" w:type="dxa"/>
                                  <w:shd w:val="clear" w:color="auto" w:fill="000000"/>
                                </w:tcPr>
                                <w:p w14:paraId="55909298" w14:textId="77777777" w:rsidR="00924992" w:rsidRDefault="00924992">
                                  <w:pPr>
                                    <w:rPr>
                                      <w:sz w:val="10"/>
                                      <w:szCs w:val="10"/>
                                    </w:rPr>
                                  </w:pPr>
                                </w:p>
                              </w:tc>
                              <w:tc>
                                <w:tcPr>
                                  <w:tcW w:w="2078" w:type="dxa"/>
                                  <w:shd w:val="clear" w:color="auto" w:fill="000000"/>
                                  <w:vAlign w:val="bottom"/>
                                </w:tcPr>
                                <w:p w14:paraId="2654A404" w14:textId="77777777" w:rsidR="00924992" w:rsidRDefault="00924992">
                                  <w:pPr>
                                    <w:pStyle w:val="Other0"/>
                                    <w:pBdr>
                                      <w:top w:val="single" w:sz="0" w:space="0" w:color="000000"/>
                                      <w:left w:val="single" w:sz="0" w:space="0" w:color="000000"/>
                                      <w:bottom w:val="single" w:sz="0" w:space="0" w:color="000000"/>
                                      <w:right w:val="single" w:sz="0" w:space="0" w:color="000000"/>
                                    </w:pBdr>
                                    <w:shd w:val="clear" w:color="auto" w:fill="000000"/>
                                    <w:spacing w:line="240" w:lineRule="auto"/>
                                    <w:ind w:firstLine="260"/>
                                    <w:rPr>
                                      <w:sz w:val="24"/>
                                      <w:szCs w:val="24"/>
                                    </w:rPr>
                                  </w:pPr>
                                  <w:r>
                                    <w:rPr>
                                      <w:rFonts w:ascii="Arial" w:eastAsia="Arial" w:hAnsi="Arial" w:cs="Arial"/>
                                      <w:b/>
                                      <w:bCs/>
                                      <w:color w:val="FFFFFF"/>
                                      <w:w w:val="70"/>
                                      <w:sz w:val="24"/>
                                      <w:szCs w:val="24"/>
                                      <w:u w:val="single"/>
                                    </w:rPr>
                                    <w:t>a 4 semanas de edad</w:t>
                                  </w:r>
                                </w:p>
                              </w:tc>
                              <w:tc>
                                <w:tcPr>
                                  <w:tcW w:w="3206" w:type="dxa"/>
                                  <w:shd w:val="clear" w:color="auto" w:fill="000000"/>
                                  <w:vAlign w:val="bottom"/>
                                </w:tcPr>
                                <w:p w14:paraId="1824FC48" w14:textId="77777777" w:rsidR="00924992" w:rsidRDefault="00924992">
                                  <w:pPr>
                                    <w:pStyle w:val="Other0"/>
                                    <w:pBdr>
                                      <w:top w:val="single" w:sz="0" w:space="0" w:color="000000"/>
                                      <w:left w:val="single" w:sz="0" w:space="0" w:color="000000"/>
                                      <w:bottom w:val="single" w:sz="0" w:space="0" w:color="000000"/>
                                      <w:right w:val="single" w:sz="0" w:space="0" w:color="000000"/>
                                    </w:pBdr>
                                    <w:shd w:val="clear" w:color="auto" w:fill="000000"/>
                                    <w:spacing w:line="240" w:lineRule="auto"/>
                                    <w:ind w:firstLine="0"/>
                                    <w:jc w:val="center"/>
                                    <w:rPr>
                                      <w:sz w:val="24"/>
                                      <w:szCs w:val="24"/>
                                    </w:rPr>
                                  </w:pPr>
                                  <w:r>
                                    <w:rPr>
                                      <w:rFonts w:ascii="Arial" w:eastAsia="Arial" w:hAnsi="Arial" w:cs="Arial"/>
                                      <w:b/>
                                      <w:bCs/>
                                      <w:color w:val="FFFFFF"/>
                                      <w:w w:val="70"/>
                                      <w:sz w:val="24"/>
                                      <w:szCs w:val="24"/>
                                    </w:rPr>
                                    <w:t>de edad</w:t>
                                  </w:r>
                                </w:p>
                              </w:tc>
                              <w:tc>
                                <w:tcPr>
                                  <w:tcW w:w="3322" w:type="dxa"/>
                                  <w:shd w:val="clear" w:color="auto" w:fill="000000"/>
                                  <w:vAlign w:val="bottom"/>
                                </w:tcPr>
                                <w:p w14:paraId="5DEF0CED" w14:textId="77777777" w:rsidR="00924992" w:rsidRDefault="00924992">
                                  <w:pPr>
                                    <w:pStyle w:val="Other0"/>
                                    <w:pBdr>
                                      <w:top w:val="single" w:sz="0" w:space="0" w:color="000000"/>
                                      <w:left w:val="single" w:sz="0" w:space="0" w:color="000000"/>
                                      <w:bottom w:val="single" w:sz="0" w:space="0" w:color="000000"/>
                                      <w:right w:val="single" w:sz="0" w:space="0" w:color="000000"/>
                                    </w:pBdr>
                                    <w:shd w:val="clear" w:color="auto" w:fill="000000"/>
                                    <w:spacing w:line="240" w:lineRule="auto"/>
                                    <w:ind w:firstLine="940"/>
                                    <w:rPr>
                                      <w:sz w:val="24"/>
                                      <w:szCs w:val="24"/>
                                    </w:rPr>
                                  </w:pPr>
                                  <w:r>
                                    <w:rPr>
                                      <w:rFonts w:ascii="Arial" w:eastAsia="Arial" w:hAnsi="Arial" w:cs="Arial"/>
                                      <w:b/>
                                      <w:bCs/>
                                      <w:color w:val="FFFFFF"/>
                                      <w:w w:val="70"/>
                                      <w:sz w:val="24"/>
                                      <w:szCs w:val="24"/>
                                    </w:rPr>
                                    <w:t>de edad o mayores</w:t>
                                  </w:r>
                                </w:p>
                              </w:tc>
                            </w:tr>
                            <w:tr w:rsidR="00924992" w14:paraId="7C36AE62" w14:textId="77777777">
                              <w:tblPrEx>
                                <w:tblCellMar>
                                  <w:top w:w="0" w:type="dxa"/>
                                  <w:bottom w:w="0" w:type="dxa"/>
                                </w:tblCellMar>
                              </w:tblPrEx>
                              <w:trPr>
                                <w:trHeight w:hRule="exact" w:val="288"/>
                              </w:trPr>
                              <w:tc>
                                <w:tcPr>
                                  <w:tcW w:w="1186" w:type="dxa"/>
                                  <w:shd w:val="clear" w:color="auto" w:fill="000000"/>
                                  <w:vAlign w:val="bottom"/>
                                </w:tcPr>
                                <w:p w14:paraId="5E97EA42" w14:textId="77777777" w:rsidR="00924992" w:rsidRDefault="00924992">
                                  <w:pPr>
                                    <w:pStyle w:val="Other0"/>
                                    <w:pBdr>
                                      <w:top w:val="single" w:sz="0" w:space="0" w:color="000000"/>
                                      <w:left w:val="single" w:sz="0" w:space="0" w:color="000000"/>
                                      <w:bottom w:val="single" w:sz="0" w:space="0" w:color="000000"/>
                                      <w:right w:val="single" w:sz="0" w:space="0" w:color="000000"/>
                                    </w:pBdr>
                                    <w:shd w:val="clear" w:color="auto" w:fill="000000"/>
                                    <w:spacing w:line="240" w:lineRule="auto"/>
                                    <w:ind w:firstLine="0"/>
                                    <w:rPr>
                                      <w:sz w:val="24"/>
                                      <w:szCs w:val="24"/>
                                    </w:rPr>
                                  </w:pPr>
                                  <w:r>
                                    <w:rPr>
                                      <w:rFonts w:ascii="Arial" w:eastAsia="Arial" w:hAnsi="Arial" w:cs="Arial"/>
                                      <w:b/>
                                      <w:bCs/>
                                      <w:color w:val="FFFFFF"/>
                                      <w:w w:val="70"/>
                                      <w:sz w:val="24"/>
                                      <w:szCs w:val="24"/>
                                    </w:rPr>
                                    <w:t>Fármaco</w:t>
                                  </w:r>
                                </w:p>
                              </w:tc>
                              <w:tc>
                                <w:tcPr>
                                  <w:tcW w:w="994" w:type="dxa"/>
                                  <w:shd w:val="clear" w:color="auto" w:fill="000000"/>
                                  <w:vAlign w:val="bottom"/>
                                </w:tcPr>
                                <w:p w14:paraId="0502C4B1" w14:textId="77777777" w:rsidR="00924992" w:rsidRDefault="00924992">
                                  <w:pPr>
                                    <w:pStyle w:val="Other0"/>
                                    <w:pBdr>
                                      <w:top w:val="single" w:sz="0" w:space="0" w:color="000000"/>
                                      <w:left w:val="single" w:sz="0" w:space="0" w:color="000000"/>
                                      <w:bottom w:val="single" w:sz="0" w:space="0" w:color="000000"/>
                                      <w:right w:val="single" w:sz="0" w:space="0" w:color="000000"/>
                                    </w:pBdr>
                                    <w:shd w:val="clear" w:color="auto" w:fill="000000"/>
                                    <w:spacing w:line="240" w:lineRule="auto"/>
                                    <w:ind w:firstLine="460"/>
                                    <w:rPr>
                                      <w:sz w:val="24"/>
                                      <w:szCs w:val="24"/>
                                    </w:rPr>
                                  </w:pPr>
                                  <w:r>
                                    <w:rPr>
                                      <w:rFonts w:ascii="Arial" w:eastAsia="Arial" w:hAnsi="Arial" w:cs="Arial"/>
                                      <w:b/>
                                      <w:bCs/>
                                      <w:color w:val="FFFFFF"/>
                                      <w:w w:val="70"/>
                                      <w:sz w:val="24"/>
                                      <w:szCs w:val="24"/>
                                    </w:rPr>
                                    <w:t>Vía</w:t>
                                  </w:r>
                                </w:p>
                              </w:tc>
                              <w:tc>
                                <w:tcPr>
                                  <w:tcW w:w="2078" w:type="dxa"/>
                                  <w:tcBorders>
                                    <w:top w:val="single" w:sz="4" w:space="0" w:color="auto"/>
                                  </w:tcBorders>
                                  <w:shd w:val="clear" w:color="auto" w:fill="000000"/>
                                  <w:vAlign w:val="bottom"/>
                                </w:tcPr>
                                <w:p w14:paraId="56405E31" w14:textId="77777777" w:rsidR="00924992" w:rsidRDefault="00924992">
                                  <w:pPr>
                                    <w:pStyle w:val="Other0"/>
                                    <w:pBdr>
                                      <w:top w:val="single" w:sz="0" w:space="0" w:color="000000"/>
                                      <w:left w:val="single" w:sz="0" w:space="0" w:color="000000"/>
                                      <w:bottom w:val="single" w:sz="0" w:space="0" w:color="000000"/>
                                      <w:right w:val="single" w:sz="0" w:space="0" w:color="000000"/>
                                    </w:pBdr>
                                    <w:shd w:val="clear" w:color="auto" w:fill="000000"/>
                                    <w:spacing w:line="240" w:lineRule="auto"/>
                                    <w:ind w:firstLine="540"/>
                                    <w:rPr>
                                      <w:sz w:val="24"/>
                                      <w:szCs w:val="24"/>
                                    </w:rPr>
                                  </w:pPr>
                                  <w:r>
                                    <w:rPr>
                                      <w:rFonts w:ascii="Arial" w:eastAsia="Arial" w:hAnsi="Arial" w:cs="Arial"/>
                                      <w:b/>
                                      <w:bCs/>
                                      <w:color w:val="FFFFFF"/>
                                      <w:w w:val="70"/>
                                      <w:sz w:val="24"/>
                                      <w:szCs w:val="24"/>
                                    </w:rPr>
                                    <w:t>BW &lt;1 200 g</w:t>
                                  </w:r>
                                </w:p>
                              </w:tc>
                              <w:tc>
                                <w:tcPr>
                                  <w:tcW w:w="3206" w:type="dxa"/>
                                  <w:tcBorders>
                                    <w:top w:val="single" w:sz="4" w:space="0" w:color="auto"/>
                                  </w:tcBorders>
                                  <w:shd w:val="clear" w:color="auto" w:fill="000000"/>
                                  <w:vAlign w:val="bottom"/>
                                </w:tcPr>
                                <w:p w14:paraId="7E6A57DC" w14:textId="77777777" w:rsidR="00924992" w:rsidRDefault="00924992">
                                  <w:pPr>
                                    <w:pStyle w:val="Other0"/>
                                    <w:pBdr>
                                      <w:top w:val="single" w:sz="0" w:space="0" w:color="000000"/>
                                      <w:left w:val="single" w:sz="0" w:space="0" w:color="000000"/>
                                      <w:bottom w:val="single" w:sz="0" w:space="0" w:color="000000"/>
                                      <w:right w:val="single" w:sz="0" w:space="0" w:color="000000"/>
                                    </w:pBdr>
                                    <w:shd w:val="clear" w:color="auto" w:fill="000000"/>
                                    <w:tabs>
                                      <w:tab w:val="left" w:pos="1694"/>
                                    </w:tabs>
                                    <w:spacing w:line="240" w:lineRule="auto"/>
                                    <w:ind w:firstLine="0"/>
                                    <w:rPr>
                                      <w:sz w:val="24"/>
                                      <w:szCs w:val="24"/>
                                    </w:rPr>
                                  </w:pPr>
                                  <w:r>
                                    <w:rPr>
                                      <w:rFonts w:ascii="Arial" w:eastAsia="Arial" w:hAnsi="Arial" w:cs="Arial"/>
                                      <w:b/>
                                      <w:bCs/>
                                      <w:color w:val="FFFFFF"/>
                                      <w:w w:val="70"/>
                                      <w:sz w:val="24"/>
                                      <w:szCs w:val="24"/>
                                    </w:rPr>
                                    <w:t xml:space="preserve">BW </w:t>
                                  </w:r>
                                  <w:r>
                                    <w:rPr>
                                      <w:rFonts w:ascii="Arial" w:eastAsia="Arial" w:hAnsi="Arial" w:cs="Arial"/>
                                      <w:color w:val="FFFFFF"/>
                                    </w:rPr>
                                    <w:t>&lt;</w:t>
                                  </w:r>
                                  <w:r>
                                    <w:rPr>
                                      <w:rFonts w:ascii="Arial" w:eastAsia="Arial" w:hAnsi="Arial" w:cs="Arial"/>
                                      <w:b/>
                                      <w:bCs/>
                                      <w:color w:val="FFFFFF"/>
                                      <w:w w:val="70"/>
                                      <w:sz w:val="24"/>
                                      <w:szCs w:val="24"/>
                                    </w:rPr>
                                    <w:t>1 200</w:t>
                                  </w:r>
                                  <w:r>
                                    <w:rPr>
                                      <w:rFonts w:ascii="Arial" w:eastAsia="Arial" w:hAnsi="Arial" w:cs="Arial"/>
                                      <w:b/>
                                      <w:bCs/>
                                      <w:color w:val="FFFFFF"/>
                                      <w:w w:val="70"/>
                                      <w:sz w:val="24"/>
                                      <w:szCs w:val="24"/>
                                    </w:rPr>
                                    <w:tab/>
                                    <w:t>BW &gt;2 000 g</w:t>
                                  </w:r>
                                </w:p>
                              </w:tc>
                              <w:tc>
                                <w:tcPr>
                                  <w:tcW w:w="3322" w:type="dxa"/>
                                  <w:tcBorders>
                                    <w:top w:val="single" w:sz="4" w:space="0" w:color="auto"/>
                                  </w:tcBorders>
                                  <w:shd w:val="clear" w:color="auto" w:fill="000000"/>
                                  <w:vAlign w:val="bottom"/>
                                </w:tcPr>
                                <w:p w14:paraId="50B99FDC" w14:textId="77777777" w:rsidR="00924992" w:rsidRDefault="00924992">
                                  <w:pPr>
                                    <w:pStyle w:val="Other0"/>
                                    <w:pBdr>
                                      <w:top w:val="single" w:sz="0" w:space="0" w:color="000000"/>
                                      <w:left w:val="single" w:sz="0" w:space="0" w:color="000000"/>
                                      <w:bottom w:val="single" w:sz="0" w:space="0" w:color="000000"/>
                                      <w:right w:val="single" w:sz="0" w:space="0" w:color="000000"/>
                                    </w:pBdr>
                                    <w:shd w:val="clear" w:color="auto" w:fill="000000"/>
                                    <w:tabs>
                                      <w:tab w:val="left" w:pos="2238"/>
                                    </w:tabs>
                                    <w:spacing w:line="240" w:lineRule="auto"/>
                                    <w:ind w:firstLine="400"/>
                                    <w:rPr>
                                      <w:sz w:val="24"/>
                                      <w:szCs w:val="24"/>
                                    </w:rPr>
                                  </w:pPr>
                                  <w:r>
                                    <w:rPr>
                                      <w:rFonts w:ascii="Arial" w:eastAsia="Arial" w:hAnsi="Arial" w:cs="Arial"/>
                                      <w:b/>
                                      <w:bCs/>
                                      <w:color w:val="FFFFFF"/>
                                      <w:w w:val="70"/>
                                      <w:sz w:val="24"/>
                                      <w:szCs w:val="24"/>
                                    </w:rPr>
                                    <w:t xml:space="preserve">BW </w:t>
                                  </w:r>
                                  <w:r>
                                    <w:rPr>
                                      <w:rFonts w:ascii="Arial" w:eastAsia="Arial" w:hAnsi="Arial" w:cs="Arial"/>
                                      <w:color w:val="FFFFFF"/>
                                    </w:rPr>
                                    <w:t>&lt;</w:t>
                                  </w:r>
                                  <w:r>
                                    <w:rPr>
                                      <w:rFonts w:ascii="Arial" w:eastAsia="Arial" w:hAnsi="Arial" w:cs="Arial"/>
                                      <w:b/>
                                      <w:bCs/>
                                      <w:color w:val="FFFFFF"/>
                                      <w:w w:val="70"/>
                                      <w:sz w:val="24"/>
                                      <w:szCs w:val="24"/>
                                    </w:rPr>
                                    <w:t>1 200</w:t>
                                  </w:r>
                                  <w:r>
                                    <w:rPr>
                                      <w:rFonts w:ascii="Arial" w:eastAsia="Arial" w:hAnsi="Arial" w:cs="Arial"/>
                                      <w:b/>
                                      <w:bCs/>
                                      <w:color w:val="FFFFFF"/>
                                      <w:w w:val="70"/>
                                      <w:sz w:val="24"/>
                                      <w:szCs w:val="24"/>
                                    </w:rPr>
                                    <w:tab/>
                                    <w:t>BW &gt;2 000 g</w:t>
                                  </w:r>
                                </w:p>
                              </w:tc>
                            </w:tr>
                            <w:tr w:rsidR="00924992" w14:paraId="410DB41D" w14:textId="77777777">
                              <w:tblPrEx>
                                <w:tblCellMar>
                                  <w:top w:w="0" w:type="dxa"/>
                                  <w:bottom w:w="0" w:type="dxa"/>
                                </w:tblCellMar>
                              </w:tblPrEx>
                              <w:trPr>
                                <w:trHeight w:hRule="exact" w:val="278"/>
                              </w:trPr>
                              <w:tc>
                                <w:tcPr>
                                  <w:tcW w:w="1186" w:type="dxa"/>
                                  <w:shd w:val="clear" w:color="auto" w:fill="000000"/>
                                </w:tcPr>
                                <w:p w14:paraId="58CCE248" w14:textId="77777777" w:rsidR="00924992" w:rsidRDefault="00924992">
                                  <w:pPr>
                                    <w:rPr>
                                      <w:sz w:val="10"/>
                                      <w:szCs w:val="10"/>
                                    </w:rPr>
                                  </w:pPr>
                                </w:p>
                              </w:tc>
                              <w:tc>
                                <w:tcPr>
                                  <w:tcW w:w="994" w:type="dxa"/>
                                  <w:shd w:val="clear" w:color="auto" w:fill="000000"/>
                                </w:tcPr>
                                <w:p w14:paraId="4711C796" w14:textId="77777777" w:rsidR="00924992" w:rsidRDefault="00924992">
                                  <w:pPr>
                                    <w:rPr>
                                      <w:sz w:val="10"/>
                                      <w:szCs w:val="10"/>
                                    </w:rPr>
                                  </w:pPr>
                                </w:p>
                              </w:tc>
                              <w:tc>
                                <w:tcPr>
                                  <w:tcW w:w="2078" w:type="dxa"/>
                                  <w:shd w:val="clear" w:color="auto" w:fill="000000"/>
                                </w:tcPr>
                                <w:p w14:paraId="1022A0C2" w14:textId="77777777" w:rsidR="00924992" w:rsidRDefault="00924992">
                                  <w:pPr>
                                    <w:rPr>
                                      <w:sz w:val="10"/>
                                      <w:szCs w:val="10"/>
                                    </w:rPr>
                                  </w:pPr>
                                </w:p>
                              </w:tc>
                              <w:tc>
                                <w:tcPr>
                                  <w:tcW w:w="3206" w:type="dxa"/>
                                  <w:shd w:val="clear" w:color="auto" w:fill="000000"/>
                                  <w:vAlign w:val="bottom"/>
                                </w:tcPr>
                                <w:p w14:paraId="1B7DEF19" w14:textId="77777777" w:rsidR="00924992" w:rsidRDefault="00924992">
                                  <w:pPr>
                                    <w:pStyle w:val="Other0"/>
                                    <w:pBdr>
                                      <w:top w:val="single" w:sz="0" w:space="0" w:color="000000"/>
                                      <w:left w:val="single" w:sz="0" w:space="0" w:color="000000"/>
                                      <w:bottom w:val="single" w:sz="0" w:space="0" w:color="000000"/>
                                      <w:right w:val="single" w:sz="0" w:space="0" w:color="000000"/>
                                    </w:pBdr>
                                    <w:shd w:val="clear" w:color="auto" w:fill="000000"/>
                                    <w:spacing w:line="240" w:lineRule="auto"/>
                                    <w:ind w:firstLine="0"/>
                                    <w:rPr>
                                      <w:sz w:val="24"/>
                                      <w:szCs w:val="24"/>
                                    </w:rPr>
                                  </w:pPr>
                                  <w:r>
                                    <w:rPr>
                                      <w:rFonts w:ascii="Arial" w:eastAsia="Arial" w:hAnsi="Arial" w:cs="Arial"/>
                                      <w:b/>
                                      <w:bCs/>
                                      <w:color w:val="FFFFFF"/>
                                      <w:w w:val="70"/>
                                      <w:sz w:val="24"/>
                                      <w:szCs w:val="24"/>
                                    </w:rPr>
                                    <w:t>a 2 000 g</w:t>
                                  </w:r>
                                </w:p>
                              </w:tc>
                              <w:tc>
                                <w:tcPr>
                                  <w:tcW w:w="3322" w:type="dxa"/>
                                  <w:shd w:val="clear" w:color="auto" w:fill="000000"/>
                                  <w:vAlign w:val="bottom"/>
                                </w:tcPr>
                                <w:p w14:paraId="494A4389" w14:textId="77777777" w:rsidR="00924992" w:rsidRDefault="00924992">
                                  <w:pPr>
                                    <w:pStyle w:val="Other0"/>
                                    <w:pBdr>
                                      <w:top w:val="single" w:sz="0" w:space="0" w:color="000000"/>
                                      <w:left w:val="single" w:sz="0" w:space="0" w:color="000000"/>
                                      <w:bottom w:val="single" w:sz="0" w:space="0" w:color="000000"/>
                                      <w:right w:val="single" w:sz="0" w:space="0" w:color="000000"/>
                                    </w:pBdr>
                                    <w:shd w:val="clear" w:color="auto" w:fill="000000"/>
                                    <w:spacing w:line="240" w:lineRule="auto"/>
                                    <w:ind w:firstLine="400"/>
                                    <w:rPr>
                                      <w:sz w:val="24"/>
                                      <w:szCs w:val="24"/>
                                    </w:rPr>
                                  </w:pPr>
                                  <w:r>
                                    <w:rPr>
                                      <w:rFonts w:ascii="Arial" w:eastAsia="Arial" w:hAnsi="Arial" w:cs="Arial"/>
                                      <w:b/>
                                      <w:bCs/>
                                      <w:color w:val="FFFFFF"/>
                                      <w:w w:val="70"/>
                                      <w:sz w:val="24"/>
                                      <w:szCs w:val="24"/>
                                    </w:rPr>
                                    <w:t>a 2 000 g</w:t>
                                  </w:r>
                                </w:p>
                              </w:tc>
                            </w:tr>
                          </w:tbl>
                          <w:p w14:paraId="45C3921A" w14:textId="77777777" w:rsidR="00924992" w:rsidRDefault="00924992">
                            <w:pPr>
                              <w:spacing w:line="1" w:lineRule="exact"/>
                            </w:pPr>
                          </w:p>
                        </w:txbxContent>
                      </wps:txbx>
                      <wps:bodyPr lIns="0" tIns="0" rIns="0" bIns="0"/>
                    </wps:wsp>
                  </a:graphicData>
                </a:graphic>
              </wp:anchor>
            </w:drawing>
          </mc:Choice>
          <mc:Fallback>
            <w:pict>
              <v:shape w14:anchorId="67B3BD28" id="Shape 2215" o:spid="_x0000_s1030" type="#_x0000_t202" style="position:absolute;margin-left:32.65pt;margin-top:18.25pt;width:539.3pt;height:54.25pt;z-index:251664384;visibility:visible;mso-wrap-style:square;mso-wrap-distance-left:9pt;mso-wrap-distance-top:0;mso-wrap-distance-right:25.55pt;mso-wrap-distance-bottom:28.75pt;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" filled="f" stroked="f">
                <v:textbox inset="0,0,0,0">
                  <w:txbxContent>
                    <w:tbl>
                      <w:tblPr>
                        <w:tblOverlap w:val="never"/>
                        <w:tblW w:w="0" w:type="auto"/>
                        <w:tblLayout w:type="fixed"/>
                        <w:tblCellMar>
                          <w:left w:w="10" w:type="dxa"/>
                          <w:right w:w="10" w:type="dxa"/>
                        </w:tblCellMar>
                        <w:tblLook w:val="04A0" w:firstRow="1" w:lastRow="0" w:firstColumn="1" w:lastColumn="0" w:noHBand="0" w:noVBand="1"/>
                      </w:tblPr>
                      <w:tblGrid>
                        <w:gridCol w:w="1186"/>
                        <w:gridCol w:w="994"/>
                        <w:gridCol w:w="2078"/>
                        <w:gridCol w:w="3206"/>
                        <w:gridCol w:w="3322"/>
                      </w:tblGrid>
                      <w:tr w:rsidR="00924992" w14:paraId="218D0925" w14:textId="77777777">
                        <w:tblPrEx>
                          <w:tblCellMar>
                            <w:top w:w="0" w:type="dxa"/>
                            <w:bottom w:w="0" w:type="dxa"/>
                          </w:tblCellMar>
                        </w:tblPrEx>
                        <w:trPr>
                          <w:trHeight w:hRule="exact" w:val="250"/>
                          <w:tblHeader/>
                        </w:trPr>
                        <w:tc>
                          <w:tcPr>
                            <w:tcW w:w="1186" w:type="dxa"/>
                            <w:shd w:val="clear" w:color="auto" w:fill="000000"/>
                          </w:tcPr>
                          <w:p w14:paraId="62FD8B70" w14:textId="77777777" w:rsidR="00924992" w:rsidRDefault="00924992">
                            <w:pPr>
                              <w:rPr>
                                <w:sz w:val="10"/>
                                <w:szCs w:val="10"/>
                              </w:rPr>
                            </w:pPr>
                          </w:p>
                        </w:tc>
                        <w:tc>
                          <w:tcPr>
                            <w:tcW w:w="994" w:type="dxa"/>
                            <w:shd w:val="clear" w:color="auto" w:fill="000000"/>
                          </w:tcPr>
                          <w:p w14:paraId="33DB427F" w14:textId="77777777" w:rsidR="00924992" w:rsidRDefault="00924992">
                            <w:pPr>
                              <w:rPr>
                                <w:sz w:val="10"/>
                                <w:szCs w:val="10"/>
                              </w:rPr>
                            </w:pPr>
                          </w:p>
                        </w:tc>
                        <w:tc>
                          <w:tcPr>
                            <w:tcW w:w="2078" w:type="dxa"/>
                            <w:shd w:val="clear" w:color="auto" w:fill="000000"/>
                          </w:tcPr>
                          <w:p w14:paraId="7D92D0CF" w14:textId="77777777" w:rsidR="00924992" w:rsidRDefault="00924992">
                            <w:pPr>
                              <w:pStyle w:val="Other0"/>
                              <w:pBdr>
                                <w:top w:val="single" w:sz="0" w:space="0" w:color="000000"/>
                                <w:left w:val="single" w:sz="0" w:space="0" w:color="000000"/>
                                <w:bottom w:val="single" w:sz="0" w:space="0" w:color="000000"/>
                                <w:right w:val="single" w:sz="0" w:space="0" w:color="000000"/>
                              </w:pBdr>
                              <w:shd w:val="clear" w:color="auto" w:fill="000000"/>
                              <w:spacing w:line="240" w:lineRule="auto"/>
                              <w:ind w:firstLine="540"/>
                              <w:rPr>
                                <w:sz w:val="24"/>
                                <w:szCs w:val="24"/>
                              </w:rPr>
                            </w:pPr>
                            <w:r>
                              <w:rPr>
                                <w:rFonts w:ascii="Arial" w:eastAsia="Arial" w:hAnsi="Arial" w:cs="Arial"/>
                                <w:b/>
                                <w:bCs/>
                                <w:color w:val="FFFFFF"/>
                                <w:w w:val="70"/>
                                <w:sz w:val="24"/>
                                <w:szCs w:val="24"/>
                              </w:rPr>
                              <w:t>Lactantes de 0</w:t>
                            </w:r>
                          </w:p>
                        </w:tc>
                        <w:tc>
                          <w:tcPr>
                            <w:tcW w:w="3206" w:type="dxa"/>
                            <w:shd w:val="clear" w:color="auto" w:fill="000000"/>
                          </w:tcPr>
                          <w:p w14:paraId="04618AC4" w14:textId="77777777" w:rsidR="00924992" w:rsidRDefault="00924992">
                            <w:pPr>
                              <w:pStyle w:val="Other0"/>
                              <w:pBdr>
                                <w:top w:val="single" w:sz="0" w:space="0" w:color="000000"/>
                                <w:left w:val="single" w:sz="0" w:space="0" w:color="000000"/>
                                <w:bottom w:val="single" w:sz="0" w:space="0" w:color="000000"/>
                                <w:right w:val="single" w:sz="0" w:space="0" w:color="000000"/>
                              </w:pBdr>
                              <w:shd w:val="clear" w:color="auto" w:fill="000000"/>
                              <w:spacing w:line="240" w:lineRule="auto"/>
                              <w:ind w:firstLine="0"/>
                              <w:jc w:val="center"/>
                              <w:rPr>
                                <w:sz w:val="24"/>
                                <w:szCs w:val="24"/>
                              </w:rPr>
                            </w:pPr>
                            <w:r>
                              <w:rPr>
                                <w:rFonts w:ascii="Arial" w:eastAsia="Arial" w:hAnsi="Arial" w:cs="Arial"/>
                                <w:b/>
                                <w:bCs/>
                                <w:color w:val="FFFFFF"/>
                                <w:w w:val="70"/>
                                <w:sz w:val="24"/>
                                <w:szCs w:val="24"/>
                              </w:rPr>
                              <w:t>Menores de una semana</w:t>
                            </w:r>
                          </w:p>
                        </w:tc>
                        <w:tc>
                          <w:tcPr>
                            <w:tcW w:w="3322" w:type="dxa"/>
                            <w:shd w:val="clear" w:color="auto" w:fill="000000"/>
                          </w:tcPr>
                          <w:p w14:paraId="2D153488" w14:textId="77777777" w:rsidR="00924992" w:rsidRDefault="00924992">
                            <w:pPr>
                              <w:pStyle w:val="Other0"/>
                              <w:pBdr>
                                <w:top w:val="single" w:sz="0" w:space="0" w:color="000000"/>
                                <w:left w:val="single" w:sz="0" w:space="0" w:color="000000"/>
                                <w:bottom w:val="single" w:sz="0" w:space="0" w:color="000000"/>
                                <w:right w:val="single" w:sz="0" w:space="0" w:color="000000"/>
                              </w:pBdr>
                              <w:shd w:val="clear" w:color="auto" w:fill="000000"/>
                              <w:spacing w:line="240" w:lineRule="auto"/>
                              <w:ind w:firstLine="680"/>
                              <w:rPr>
                                <w:sz w:val="24"/>
                                <w:szCs w:val="24"/>
                              </w:rPr>
                            </w:pPr>
                            <w:r>
                              <w:rPr>
                                <w:rFonts w:ascii="Arial" w:eastAsia="Arial" w:hAnsi="Arial" w:cs="Arial"/>
                                <w:b/>
                                <w:bCs/>
                                <w:color w:val="FFFFFF"/>
                                <w:w w:val="70"/>
                                <w:sz w:val="24"/>
                                <w:szCs w:val="24"/>
                              </w:rPr>
                              <w:t>Lactantes de una semana</w:t>
                            </w:r>
                          </w:p>
                        </w:tc>
                      </w:tr>
                      <w:tr w:rsidR="00924992" w14:paraId="36CFD7D5" w14:textId="77777777">
                        <w:tblPrEx>
                          <w:tblCellMar>
                            <w:top w:w="0" w:type="dxa"/>
                            <w:bottom w:w="0" w:type="dxa"/>
                          </w:tblCellMar>
                        </w:tblPrEx>
                        <w:trPr>
                          <w:trHeight w:hRule="exact" w:val="269"/>
                        </w:trPr>
                        <w:tc>
                          <w:tcPr>
                            <w:tcW w:w="1186" w:type="dxa"/>
                            <w:shd w:val="clear" w:color="auto" w:fill="000000"/>
                          </w:tcPr>
                          <w:p w14:paraId="3AA48BB6" w14:textId="77777777" w:rsidR="00924992" w:rsidRDefault="00924992">
                            <w:pPr>
                              <w:rPr>
                                <w:sz w:val="10"/>
                                <w:szCs w:val="10"/>
                              </w:rPr>
                            </w:pPr>
                          </w:p>
                        </w:tc>
                        <w:tc>
                          <w:tcPr>
                            <w:tcW w:w="994" w:type="dxa"/>
                            <w:shd w:val="clear" w:color="auto" w:fill="000000"/>
                          </w:tcPr>
                          <w:p w14:paraId="55909298" w14:textId="77777777" w:rsidR="00924992" w:rsidRDefault="00924992">
                            <w:pPr>
                              <w:rPr>
                                <w:sz w:val="10"/>
                                <w:szCs w:val="10"/>
                              </w:rPr>
                            </w:pPr>
                          </w:p>
                        </w:tc>
                        <w:tc>
                          <w:tcPr>
                            <w:tcW w:w="2078" w:type="dxa"/>
                            <w:shd w:val="clear" w:color="auto" w:fill="000000"/>
                            <w:vAlign w:val="bottom"/>
                          </w:tcPr>
                          <w:p w14:paraId="2654A404" w14:textId="77777777" w:rsidR="00924992" w:rsidRDefault="00924992">
                            <w:pPr>
                              <w:pStyle w:val="Other0"/>
                              <w:pBdr>
                                <w:top w:val="single" w:sz="0" w:space="0" w:color="000000"/>
                                <w:left w:val="single" w:sz="0" w:space="0" w:color="000000"/>
                                <w:bottom w:val="single" w:sz="0" w:space="0" w:color="000000"/>
                                <w:right w:val="single" w:sz="0" w:space="0" w:color="000000"/>
                              </w:pBdr>
                              <w:shd w:val="clear" w:color="auto" w:fill="000000"/>
                              <w:spacing w:line="240" w:lineRule="auto"/>
                              <w:ind w:firstLine="260"/>
                              <w:rPr>
                                <w:sz w:val="24"/>
                                <w:szCs w:val="24"/>
                              </w:rPr>
                            </w:pPr>
                            <w:r>
                              <w:rPr>
                                <w:rFonts w:ascii="Arial" w:eastAsia="Arial" w:hAnsi="Arial" w:cs="Arial"/>
                                <w:b/>
                                <w:bCs/>
                                <w:color w:val="FFFFFF"/>
                                <w:w w:val="70"/>
                                <w:sz w:val="24"/>
                                <w:szCs w:val="24"/>
                                <w:u w:val="single"/>
                              </w:rPr>
                              <w:t>a 4 semanas de edad</w:t>
                            </w:r>
                          </w:p>
                        </w:tc>
                        <w:tc>
                          <w:tcPr>
                            <w:tcW w:w="3206" w:type="dxa"/>
                            <w:shd w:val="clear" w:color="auto" w:fill="000000"/>
                            <w:vAlign w:val="bottom"/>
                          </w:tcPr>
                          <w:p w14:paraId="1824FC48" w14:textId="77777777" w:rsidR="00924992" w:rsidRDefault="00924992">
                            <w:pPr>
                              <w:pStyle w:val="Other0"/>
                              <w:pBdr>
                                <w:top w:val="single" w:sz="0" w:space="0" w:color="000000"/>
                                <w:left w:val="single" w:sz="0" w:space="0" w:color="000000"/>
                                <w:bottom w:val="single" w:sz="0" w:space="0" w:color="000000"/>
                                <w:right w:val="single" w:sz="0" w:space="0" w:color="000000"/>
                              </w:pBdr>
                              <w:shd w:val="clear" w:color="auto" w:fill="000000"/>
                              <w:spacing w:line="240" w:lineRule="auto"/>
                              <w:ind w:firstLine="0"/>
                              <w:jc w:val="center"/>
                              <w:rPr>
                                <w:sz w:val="24"/>
                                <w:szCs w:val="24"/>
                              </w:rPr>
                            </w:pPr>
                            <w:r>
                              <w:rPr>
                                <w:rFonts w:ascii="Arial" w:eastAsia="Arial" w:hAnsi="Arial" w:cs="Arial"/>
                                <w:b/>
                                <w:bCs/>
                                <w:color w:val="FFFFFF"/>
                                <w:w w:val="70"/>
                                <w:sz w:val="24"/>
                                <w:szCs w:val="24"/>
                              </w:rPr>
                              <w:t>de edad</w:t>
                            </w:r>
                          </w:p>
                        </w:tc>
                        <w:tc>
                          <w:tcPr>
                            <w:tcW w:w="3322" w:type="dxa"/>
                            <w:shd w:val="clear" w:color="auto" w:fill="000000"/>
                            <w:vAlign w:val="bottom"/>
                          </w:tcPr>
                          <w:p w14:paraId="5DEF0CED" w14:textId="77777777" w:rsidR="00924992" w:rsidRDefault="00924992">
                            <w:pPr>
                              <w:pStyle w:val="Other0"/>
                              <w:pBdr>
                                <w:top w:val="single" w:sz="0" w:space="0" w:color="000000"/>
                                <w:left w:val="single" w:sz="0" w:space="0" w:color="000000"/>
                                <w:bottom w:val="single" w:sz="0" w:space="0" w:color="000000"/>
                                <w:right w:val="single" w:sz="0" w:space="0" w:color="000000"/>
                              </w:pBdr>
                              <w:shd w:val="clear" w:color="auto" w:fill="000000"/>
                              <w:spacing w:line="240" w:lineRule="auto"/>
                              <w:ind w:firstLine="940"/>
                              <w:rPr>
                                <w:sz w:val="24"/>
                                <w:szCs w:val="24"/>
                              </w:rPr>
                            </w:pPr>
                            <w:r>
                              <w:rPr>
                                <w:rFonts w:ascii="Arial" w:eastAsia="Arial" w:hAnsi="Arial" w:cs="Arial"/>
                                <w:b/>
                                <w:bCs/>
                                <w:color w:val="FFFFFF"/>
                                <w:w w:val="70"/>
                                <w:sz w:val="24"/>
                                <w:szCs w:val="24"/>
                              </w:rPr>
                              <w:t>de edad o mayores</w:t>
                            </w:r>
                          </w:p>
                        </w:tc>
                      </w:tr>
                      <w:tr w:rsidR="00924992" w14:paraId="7C36AE62" w14:textId="77777777">
                        <w:tblPrEx>
                          <w:tblCellMar>
                            <w:top w:w="0" w:type="dxa"/>
                            <w:bottom w:w="0" w:type="dxa"/>
                          </w:tblCellMar>
                        </w:tblPrEx>
                        <w:trPr>
                          <w:trHeight w:hRule="exact" w:val="288"/>
                        </w:trPr>
                        <w:tc>
                          <w:tcPr>
                            <w:tcW w:w="1186" w:type="dxa"/>
                            <w:shd w:val="clear" w:color="auto" w:fill="000000"/>
                            <w:vAlign w:val="bottom"/>
                          </w:tcPr>
                          <w:p w14:paraId="5E97EA42" w14:textId="77777777" w:rsidR="00924992" w:rsidRDefault="00924992">
                            <w:pPr>
                              <w:pStyle w:val="Other0"/>
                              <w:pBdr>
                                <w:top w:val="single" w:sz="0" w:space="0" w:color="000000"/>
                                <w:left w:val="single" w:sz="0" w:space="0" w:color="000000"/>
                                <w:bottom w:val="single" w:sz="0" w:space="0" w:color="000000"/>
                                <w:right w:val="single" w:sz="0" w:space="0" w:color="000000"/>
                              </w:pBdr>
                              <w:shd w:val="clear" w:color="auto" w:fill="000000"/>
                              <w:spacing w:line="240" w:lineRule="auto"/>
                              <w:ind w:firstLine="0"/>
                              <w:rPr>
                                <w:sz w:val="24"/>
                                <w:szCs w:val="24"/>
                              </w:rPr>
                            </w:pPr>
                            <w:r>
                              <w:rPr>
                                <w:rFonts w:ascii="Arial" w:eastAsia="Arial" w:hAnsi="Arial" w:cs="Arial"/>
                                <w:b/>
                                <w:bCs/>
                                <w:color w:val="FFFFFF"/>
                                <w:w w:val="70"/>
                                <w:sz w:val="24"/>
                                <w:szCs w:val="24"/>
                              </w:rPr>
                              <w:t>Fármaco</w:t>
                            </w:r>
                          </w:p>
                        </w:tc>
                        <w:tc>
                          <w:tcPr>
                            <w:tcW w:w="994" w:type="dxa"/>
                            <w:shd w:val="clear" w:color="auto" w:fill="000000"/>
                            <w:vAlign w:val="bottom"/>
                          </w:tcPr>
                          <w:p w14:paraId="0502C4B1" w14:textId="77777777" w:rsidR="00924992" w:rsidRDefault="00924992">
                            <w:pPr>
                              <w:pStyle w:val="Other0"/>
                              <w:pBdr>
                                <w:top w:val="single" w:sz="0" w:space="0" w:color="000000"/>
                                <w:left w:val="single" w:sz="0" w:space="0" w:color="000000"/>
                                <w:bottom w:val="single" w:sz="0" w:space="0" w:color="000000"/>
                                <w:right w:val="single" w:sz="0" w:space="0" w:color="000000"/>
                              </w:pBdr>
                              <w:shd w:val="clear" w:color="auto" w:fill="000000"/>
                              <w:spacing w:line="240" w:lineRule="auto"/>
                              <w:ind w:firstLine="460"/>
                              <w:rPr>
                                <w:sz w:val="24"/>
                                <w:szCs w:val="24"/>
                              </w:rPr>
                            </w:pPr>
                            <w:r>
                              <w:rPr>
                                <w:rFonts w:ascii="Arial" w:eastAsia="Arial" w:hAnsi="Arial" w:cs="Arial"/>
                                <w:b/>
                                <w:bCs/>
                                <w:color w:val="FFFFFF"/>
                                <w:w w:val="70"/>
                                <w:sz w:val="24"/>
                                <w:szCs w:val="24"/>
                              </w:rPr>
                              <w:t>Vía</w:t>
                            </w:r>
                          </w:p>
                        </w:tc>
                        <w:tc>
                          <w:tcPr>
                            <w:tcW w:w="2078" w:type="dxa"/>
                            <w:tcBorders>
                              <w:top w:val="single" w:sz="4" w:space="0" w:color="auto"/>
                            </w:tcBorders>
                            <w:shd w:val="clear" w:color="auto" w:fill="000000"/>
                            <w:vAlign w:val="bottom"/>
                          </w:tcPr>
                          <w:p w14:paraId="56405E31" w14:textId="77777777" w:rsidR="00924992" w:rsidRDefault="00924992">
                            <w:pPr>
                              <w:pStyle w:val="Other0"/>
                              <w:pBdr>
                                <w:top w:val="single" w:sz="0" w:space="0" w:color="000000"/>
                                <w:left w:val="single" w:sz="0" w:space="0" w:color="000000"/>
                                <w:bottom w:val="single" w:sz="0" w:space="0" w:color="000000"/>
                                <w:right w:val="single" w:sz="0" w:space="0" w:color="000000"/>
                              </w:pBdr>
                              <w:shd w:val="clear" w:color="auto" w:fill="000000"/>
                              <w:spacing w:line="240" w:lineRule="auto"/>
                              <w:ind w:firstLine="540"/>
                              <w:rPr>
                                <w:sz w:val="24"/>
                                <w:szCs w:val="24"/>
                              </w:rPr>
                            </w:pPr>
                            <w:r>
                              <w:rPr>
                                <w:rFonts w:ascii="Arial" w:eastAsia="Arial" w:hAnsi="Arial" w:cs="Arial"/>
                                <w:b/>
                                <w:bCs/>
                                <w:color w:val="FFFFFF"/>
                                <w:w w:val="70"/>
                                <w:sz w:val="24"/>
                                <w:szCs w:val="24"/>
                              </w:rPr>
                              <w:t>BW &lt;1 200 g</w:t>
                            </w:r>
                          </w:p>
                        </w:tc>
                        <w:tc>
                          <w:tcPr>
                            <w:tcW w:w="3206" w:type="dxa"/>
                            <w:tcBorders>
                              <w:top w:val="single" w:sz="4" w:space="0" w:color="auto"/>
                            </w:tcBorders>
                            <w:shd w:val="clear" w:color="auto" w:fill="000000"/>
                            <w:vAlign w:val="bottom"/>
                          </w:tcPr>
                          <w:p w14:paraId="7E6A57DC" w14:textId="77777777" w:rsidR="00924992" w:rsidRDefault="00924992">
                            <w:pPr>
                              <w:pStyle w:val="Other0"/>
                              <w:pBdr>
                                <w:top w:val="single" w:sz="0" w:space="0" w:color="000000"/>
                                <w:left w:val="single" w:sz="0" w:space="0" w:color="000000"/>
                                <w:bottom w:val="single" w:sz="0" w:space="0" w:color="000000"/>
                                <w:right w:val="single" w:sz="0" w:space="0" w:color="000000"/>
                              </w:pBdr>
                              <w:shd w:val="clear" w:color="auto" w:fill="000000"/>
                              <w:tabs>
                                <w:tab w:val="left" w:pos="1694"/>
                              </w:tabs>
                              <w:spacing w:line="240" w:lineRule="auto"/>
                              <w:ind w:firstLine="0"/>
                              <w:rPr>
                                <w:sz w:val="24"/>
                                <w:szCs w:val="24"/>
                              </w:rPr>
                            </w:pPr>
                            <w:r>
                              <w:rPr>
                                <w:rFonts w:ascii="Arial" w:eastAsia="Arial" w:hAnsi="Arial" w:cs="Arial"/>
                                <w:b/>
                                <w:bCs/>
                                <w:color w:val="FFFFFF"/>
                                <w:w w:val="70"/>
                                <w:sz w:val="24"/>
                                <w:szCs w:val="24"/>
                              </w:rPr>
                              <w:t xml:space="preserve">BW </w:t>
                            </w:r>
                            <w:r>
                              <w:rPr>
                                <w:rFonts w:ascii="Arial" w:eastAsia="Arial" w:hAnsi="Arial" w:cs="Arial"/>
                                <w:color w:val="FFFFFF"/>
                              </w:rPr>
                              <w:t>&lt;</w:t>
                            </w:r>
                            <w:r>
                              <w:rPr>
                                <w:rFonts w:ascii="Arial" w:eastAsia="Arial" w:hAnsi="Arial" w:cs="Arial"/>
                                <w:b/>
                                <w:bCs/>
                                <w:color w:val="FFFFFF"/>
                                <w:w w:val="70"/>
                                <w:sz w:val="24"/>
                                <w:szCs w:val="24"/>
                              </w:rPr>
                              <w:t>1 200</w:t>
                            </w:r>
                            <w:r>
                              <w:rPr>
                                <w:rFonts w:ascii="Arial" w:eastAsia="Arial" w:hAnsi="Arial" w:cs="Arial"/>
                                <w:b/>
                                <w:bCs/>
                                <w:color w:val="FFFFFF"/>
                                <w:w w:val="70"/>
                                <w:sz w:val="24"/>
                                <w:szCs w:val="24"/>
                              </w:rPr>
                              <w:tab/>
                              <w:t>BW &gt;2 000 g</w:t>
                            </w:r>
                          </w:p>
                        </w:tc>
                        <w:tc>
                          <w:tcPr>
                            <w:tcW w:w="3322" w:type="dxa"/>
                            <w:tcBorders>
                              <w:top w:val="single" w:sz="4" w:space="0" w:color="auto"/>
                            </w:tcBorders>
                            <w:shd w:val="clear" w:color="auto" w:fill="000000"/>
                            <w:vAlign w:val="bottom"/>
                          </w:tcPr>
                          <w:p w14:paraId="50B99FDC" w14:textId="77777777" w:rsidR="00924992" w:rsidRDefault="00924992">
                            <w:pPr>
                              <w:pStyle w:val="Other0"/>
                              <w:pBdr>
                                <w:top w:val="single" w:sz="0" w:space="0" w:color="000000"/>
                                <w:left w:val="single" w:sz="0" w:space="0" w:color="000000"/>
                                <w:bottom w:val="single" w:sz="0" w:space="0" w:color="000000"/>
                                <w:right w:val="single" w:sz="0" w:space="0" w:color="000000"/>
                              </w:pBdr>
                              <w:shd w:val="clear" w:color="auto" w:fill="000000"/>
                              <w:tabs>
                                <w:tab w:val="left" w:pos="2238"/>
                              </w:tabs>
                              <w:spacing w:line="240" w:lineRule="auto"/>
                              <w:ind w:firstLine="400"/>
                              <w:rPr>
                                <w:sz w:val="24"/>
                                <w:szCs w:val="24"/>
                              </w:rPr>
                            </w:pPr>
                            <w:r>
                              <w:rPr>
                                <w:rFonts w:ascii="Arial" w:eastAsia="Arial" w:hAnsi="Arial" w:cs="Arial"/>
                                <w:b/>
                                <w:bCs/>
                                <w:color w:val="FFFFFF"/>
                                <w:w w:val="70"/>
                                <w:sz w:val="24"/>
                                <w:szCs w:val="24"/>
                              </w:rPr>
                              <w:t xml:space="preserve">BW </w:t>
                            </w:r>
                            <w:r>
                              <w:rPr>
                                <w:rFonts w:ascii="Arial" w:eastAsia="Arial" w:hAnsi="Arial" w:cs="Arial"/>
                                <w:color w:val="FFFFFF"/>
                              </w:rPr>
                              <w:t>&lt;</w:t>
                            </w:r>
                            <w:r>
                              <w:rPr>
                                <w:rFonts w:ascii="Arial" w:eastAsia="Arial" w:hAnsi="Arial" w:cs="Arial"/>
                                <w:b/>
                                <w:bCs/>
                                <w:color w:val="FFFFFF"/>
                                <w:w w:val="70"/>
                                <w:sz w:val="24"/>
                                <w:szCs w:val="24"/>
                              </w:rPr>
                              <w:t>1 200</w:t>
                            </w:r>
                            <w:r>
                              <w:rPr>
                                <w:rFonts w:ascii="Arial" w:eastAsia="Arial" w:hAnsi="Arial" w:cs="Arial"/>
                                <w:b/>
                                <w:bCs/>
                                <w:color w:val="FFFFFF"/>
                                <w:w w:val="70"/>
                                <w:sz w:val="24"/>
                                <w:szCs w:val="24"/>
                              </w:rPr>
                              <w:tab/>
                              <w:t>BW &gt;2 000 g</w:t>
                            </w:r>
                          </w:p>
                        </w:tc>
                      </w:tr>
                      <w:tr w:rsidR="00924992" w14:paraId="410DB41D" w14:textId="77777777">
                        <w:tblPrEx>
                          <w:tblCellMar>
                            <w:top w:w="0" w:type="dxa"/>
                            <w:bottom w:w="0" w:type="dxa"/>
                          </w:tblCellMar>
                        </w:tblPrEx>
                        <w:trPr>
                          <w:trHeight w:hRule="exact" w:val="278"/>
                        </w:trPr>
                        <w:tc>
                          <w:tcPr>
                            <w:tcW w:w="1186" w:type="dxa"/>
                            <w:shd w:val="clear" w:color="auto" w:fill="000000"/>
                          </w:tcPr>
                          <w:p w14:paraId="58CCE248" w14:textId="77777777" w:rsidR="00924992" w:rsidRDefault="00924992">
                            <w:pPr>
                              <w:rPr>
                                <w:sz w:val="10"/>
                                <w:szCs w:val="10"/>
                              </w:rPr>
                            </w:pPr>
                          </w:p>
                        </w:tc>
                        <w:tc>
                          <w:tcPr>
                            <w:tcW w:w="994" w:type="dxa"/>
                            <w:shd w:val="clear" w:color="auto" w:fill="000000"/>
                          </w:tcPr>
                          <w:p w14:paraId="4711C796" w14:textId="77777777" w:rsidR="00924992" w:rsidRDefault="00924992">
                            <w:pPr>
                              <w:rPr>
                                <w:sz w:val="10"/>
                                <w:szCs w:val="10"/>
                              </w:rPr>
                            </w:pPr>
                          </w:p>
                        </w:tc>
                        <w:tc>
                          <w:tcPr>
                            <w:tcW w:w="2078" w:type="dxa"/>
                            <w:shd w:val="clear" w:color="auto" w:fill="000000"/>
                          </w:tcPr>
                          <w:p w14:paraId="1022A0C2" w14:textId="77777777" w:rsidR="00924992" w:rsidRDefault="00924992">
                            <w:pPr>
                              <w:rPr>
                                <w:sz w:val="10"/>
                                <w:szCs w:val="10"/>
                              </w:rPr>
                            </w:pPr>
                          </w:p>
                        </w:tc>
                        <w:tc>
                          <w:tcPr>
                            <w:tcW w:w="3206" w:type="dxa"/>
                            <w:shd w:val="clear" w:color="auto" w:fill="000000"/>
                            <w:vAlign w:val="bottom"/>
                          </w:tcPr>
                          <w:p w14:paraId="1B7DEF19" w14:textId="77777777" w:rsidR="00924992" w:rsidRDefault="00924992">
                            <w:pPr>
                              <w:pStyle w:val="Other0"/>
                              <w:pBdr>
                                <w:top w:val="single" w:sz="0" w:space="0" w:color="000000"/>
                                <w:left w:val="single" w:sz="0" w:space="0" w:color="000000"/>
                                <w:bottom w:val="single" w:sz="0" w:space="0" w:color="000000"/>
                                <w:right w:val="single" w:sz="0" w:space="0" w:color="000000"/>
                              </w:pBdr>
                              <w:shd w:val="clear" w:color="auto" w:fill="000000"/>
                              <w:spacing w:line="240" w:lineRule="auto"/>
                              <w:ind w:firstLine="0"/>
                              <w:rPr>
                                <w:sz w:val="24"/>
                                <w:szCs w:val="24"/>
                              </w:rPr>
                            </w:pPr>
                            <w:r>
                              <w:rPr>
                                <w:rFonts w:ascii="Arial" w:eastAsia="Arial" w:hAnsi="Arial" w:cs="Arial"/>
                                <w:b/>
                                <w:bCs/>
                                <w:color w:val="FFFFFF"/>
                                <w:w w:val="70"/>
                                <w:sz w:val="24"/>
                                <w:szCs w:val="24"/>
                              </w:rPr>
                              <w:t>a 2 000 g</w:t>
                            </w:r>
                          </w:p>
                        </w:tc>
                        <w:tc>
                          <w:tcPr>
                            <w:tcW w:w="3322" w:type="dxa"/>
                            <w:shd w:val="clear" w:color="auto" w:fill="000000"/>
                            <w:vAlign w:val="bottom"/>
                          </w:tcPr>
                          <w:p w14:paraId="494A4389" w14:textId="77777777" w:rsidR="00924992" w:rsidRDefault="00924992">
                            <w:pPr>
                              <w:pStyle w:val="Other0"/>
                              <w:pBdr>
                                <w:top w:val="single" w:sz="0" w:space="0" w:color="000000"/>
                                <w:left w:val="single" w:sz="0" w:space="0" w:color="000000"/>
                                <w:bottom w:val="single" w:sz="0" w:space="0" w:color="000000"/>
                                <w:right w:val="single" w:sz="0" w:space="0" w:color="000000"/>
                              </w:pBdr>
                              <w:shd w:val="clear" w:color="auto" w:fill="000000"/>
                              <w:spacing w:line="240" w:lineRule="auto"/>
                              <w:ind w:firstLine="400"/>
                              <w:rPr>
                                <w:sz w:val="24"/>
                                <w:szCs w:val="24"/>
                              </w:rPr>
                            </w:pPr>
                            <w:r>
                              <w:rPr>
                                <w:rFonts w:ascii="Arial" w:eastAsia="Arial" w:hAnsi="Arial" w:cs="Arial"/>
                                <w:b/>
                                <w:bCs/>
                                <w:color w:val="FFFFFF"/>
                                <w:w w:val="70"/>
                                <w:sz w:val="24"/>
                                <w:szCs w:val="24"/>
                              </w:rPr>
                              <w:t>a 2 000 g</w:t>
                            </w:r>
                          </w:p>
                        </w:tc>
                      </w:tr>
                    </w:tbl>
                    <w:p w14:paraId="45C3921A" w14:textId="77777777" w:rsidR="00924992" w:rsidRDefault="00924992">
                      <w:pPr>
                        <w:spacing w:line="1" w:lineRule="exact"/>
                      </w:pPr>
                    </w:p>
                  </w:txbxContent>
                </v:textbox>
                <w10:wrap type="topAndBottom" anchorx="page"/>
              </v:shape>
            </w:pict>
          </mc:Fallback>
        </mc:AlternateContent>
      </w:r>
      <w:r>
        <w:rPr>
          <w:noProof/>
        </w:rPr>
        <mc:AlternateContent>
          <mc:Choice Requires="wps">
            <w:drawing>
              <wp:anchor distT="768350" distB="63500" distL="123190" distR="114935" simplePos="0" relativeHeight="251665408" behindDoc="0" locked="0" layoutInCell="1" allowOverlap="1" wp14:anchorId="6049D88F" wp14:editId="0C05D3DF">
                <wp:simplePos x="0" y="0"/>
                <wp:positionH relativeFrom="page">
                  <wp:posOffset>423545</wp:posOffset>
                </wp:positionH>
                <wp:positionV relativeFrom="paragraph">
                  <wp:posOffset>1000125</wp:posOffset>
                </wp:positionV>
                <wp:extent cx="7430770" cy="271145"/>
                <wp:effectExtent l="0" t="0" r="0" b="0"/>
                <wp:wrapTopAndBottom/>
                <wp:docPr id="2217" name="Shape 2217"/>
                <wp:cNvGraphicFramePr/>
                <a:graphic xmlns:a="http://schemas.openxmlformats.org/drawingml/2006/main">
                  <a:graphicData uri="http://schemas.microsoft.com/office/word/2010/wordprocessingShape">
                    <wps:wsp>
                      <wps:cNvSpPr txBox="1"/>
                      <wps:spPr>
                        <a:xfrm>
                          <a:off x="0" y="0"/>
                          <a:ext cx="7430770" cy="271145"/>
                        </a:xfrm>
                        <a:prstGeom prst="rect">
                          <a:avLst/>
                        </a:prstGeom>
                        <a:noFill/>
                      </wps:spPr>
                      <wps:txbx>
                        <w:txbxContent>
                          <w:tbl>
                            <w:tblPr>
                              <w:tblOverlap w:val="never"/>
                              <w:tblW w:w="0" w:type="auto"/>
                              <w:tblLayout w:type="fixed"/>
                              <w:tblCellMar>
                                <w:left w:w="10" w:type="dxa"/>
                                <w:right w:w="10" w:type="dxa"/>
                              </w:tblCellMar>
                              <w:tblLook w:val="04A0" w:firstRow="1" w:lastRow="0" w:firstColumn="1" w:lastColumn="0" w:noHBand="0" w:noVBand="1"/>
                            </w:tblPr>
                            <w:tblGrid>
                              <w:gridCol w:w="9466"/>
                              <w:gridCol w:w="2237"/>
                            </w:tblGrid>
                            <w:tr w:rsidR="00924992" w14:paraId="1E5BEED2" w14:textId="77777777">
                              <w:tblPrEx>
                                <w:tblCellMar>
                                  <w:top w:w="0" w:type="dxa"/>
                                  <w:bottom w:w="0" w:type="dxa"/>
                                </w:tblCellMar>
                              </w:tblPrEx>
                              <w:trPr>
                                <w:trHeight w:hRule="exact" w:val="427"/>
                                <w:tblHeader/>
                              </w:trPr>
                              <w:tc>
                                <w:tcPr>
                                  <w:tcW w:w="9466" w:type="dxa"/>
                                  <w:tcBorders>
                                    <w:bottom w:val="single" w:sz="4" w:space="0" w:color="auto"/>
                                  </w:tcBorders>
                                  <w:shd w:val="clear" w:color="auto" w:fill="FFFFFF"/>
                                </w:tcPr>
                                <w:p w14:paraId="065CEA7C" w14:textId="77777777" w:rsidR="00924992" w:rsidRDefault="00924992">
                                  <w:pPr>
                                    <w:pStyle w:val="Other0"/>
                                    <w:tabs>
                                      <w:tab w:val="left" w:pos="1570"/>
                                      <w:tab w:val="left" w:pos="1853"/>
                                      <w:tab w:val="left" w:pos="2712"/>
                                      <w:tab w:val="left" w:pos="4243"/>
                                      <w:tab w:val="left" w:pos="5942"/>
                                      <w:tab w:val="left" w:pos="7877"/>
                                    </w:tabs>
                                    <w:spacing w:line="240" w:lineRule="auto"/>
                                    <w:ind w:firstLine="0"/>
                                    <w:rPr>
                                      <w:sz w:val="16"/>
                                      <w:szCs w:val="16"/>
                                    </w:rPr>
                                  </w:pPr>
                                  <w:r>
                                    <w:rPr>
                                      <w:rFonts w:ascii="Times New Roman" w:eastAsia="Times New Roman" w:hAnsi="Times New Roman" w:cs="Times New Roman"/>
                                      <w:color w:val="000000"/>
                                      <w:sz w:val="16"/>
                                      <w:szCs w:val="16"/>
                                    </w:rPr>
                                    <w:t>Ticarcilina</w:t>
                                  </w:r>
                                  <w:r>
                                    <w:rPr>
                                      <w:rFonts w:ascii="Times New Roman" w:eastAsia="Times New Roman" w:hAnsi="Times New Roman" w:cs="Times New Roman"/>
                                      <w:color w:val="000000"/>
                                      <w:sz w:val="16"/>
                                      <w:szCs w:val="16"/>
                                    </w:rPr>
                                    <w:tab/>
                                    <w:t>IV,</w:t>
                                  </w:r>
                                  <w:r>
                                    <w:rPr>
                                      <w:rFonts w:ascii="Times New Roman" w:eastAsia="Times New Roman" w:hAnsi="Times New Roman" w:cs="Times New Roman"/>
                                      <w:color w:val="000000"/>
                                      <w:sz w:val="16"/>
                                      <w:szCs w:val="16"/>
                                    </w:rPr>
                                    <w:tab/>
                                    <w:t>IM</w:t>
                                  </w:r>
                                  <w:r>
                                    <w:rPr>
                                      <w:rFonts w:ascii="Times New Roman" w:eastAsia="Times New Roman" w:hAnsi="Times New Roman" w:cs="Times New Roman"/>
                                      <w:color w:val="000000"/>
                                      <w:sz w:val="16"/>
                                      <w:szCs w:val="16"/>
                                    </w:rPr>
                                    <w:tab/>
                                    <w:t>75 cada 12 h</w:t>
                                  </w:r>
                                  <w:r>
                                    <w:rPr>
                                      <w:rFonts w:ascii="Times New Roman" w:eastAsia="Times New Roman" w:hAnsi="Times New Roman" w:cs="Times New Roman"/>
                                      <w:color w:val="000000"/>
                                      <w:sz w:val="16"/>
                                      <w:szCs w:val="16"/>
                                    </w:rPr>
                                    <w:tab/>
                                    <w:t>75 cada 12 h</w:t>
                                  </w:r>
                                  <w:r>
                                    <w:rPr>
                                      <w:rFonts w:ascii="Times New Roman" w:eastAsia="Times New Roman" w:hAnsi="Times New Roman" w:cs="Times New Roman"/>
                                      <w:color w:val="000000"/>
                                      <w:sz w:val="16"/>
                                      <w:szCs w:val="16"/>
                                    </w:rPr>
                                    <w:tab/>
                                    <w:t>75 cada 8 h</w:t>
                                  </w:r>
                                  <w:r>
                                    <w:rPr>
                                      <w:rFonts w:ascii="Times New Roman" w:eastAsia="Times New Roman" w:hAnsi="Times New Roman" w:cs="Times New Roman"/>
                                      <w:color w:val="000000"/>
                                      <w:sz w:val="16"/>
                                      <w:szCs w:val="16"/>
                                    </w:rPr>
                                    <w:tab/>
                                    <w:t>75 cada 8 h</w:t>
                                  </w:r>
                                </w:p>
                                <w:p w14:paraId="359C4FEB" w14:textId="77777777" w:rsidR="00924992" w:rsidRDefault="00924992">
                                  <w:pPr>
                                    <w:pStyle w:val="Other0"/>
                                    <w:tabs>
                                      <w:tab w:val="left" w:pos="1579"/>
                                      <w:tab w:val="left" w:pos="2736"/>
                                      <w:tab w:val="left" w:pos="4253"/>
                                      <w:tab w:val="left" w:pos="5952"/>
                                      <w:tab w:val="left" w:pos="7171"/>
                                      <w:tab w:val="left" w:pos="7901"/>
                                      <w:tab w:val="left" w:pos="9072"/>
                                    </w:tabs>
                                    <w:spacing w:line="240" w:lineRule="auto"/>
                                    <w:ind w:firstLine="0"/>
                                    <w:rPr>
                                      <w:sz w:val="16"/>
                                      <w:szCs w:val="16"/>
                                    </w:rPr>
                                  </w:pPr>
                                  <w:r>
                                    <w:rPr>
                                      <w:rFonts w:ascii="Times New Roman" w:eastAsia="Times New Roman" w:hAnsi="Times New Roman" w:cs="Times New Roman"/>
                                      <w:b/>
                                      <w:bCs/>
                                      <w:color w:val="000000"/>
                                      <w:sz w:val="16"/>
                                      <w:szCs w:val="16"/>
                                    </w:rPr>
                                    <w:t>Vancomicina</w:t>
                                  </w:r>
                                  <w:r>
                                    <w:rPr>
                                      <w:rFonts w:ascii="Times New Roman" w:eastAsia="Times New Roman" w:hAnsi="Times New Roman" w:cs="Times New Roman"/>
                                      <w:b/>
                                      <w:bCs/>
                                      <w:color w:val="000000"/>
                                      <w:sz w:val="16"/>
                                      <w:szCs w:val="16"/>
                                      <w:vertAlign w:val="superscript"/>
                                    </w:rPr>
                                    <w:t xml:space="preserve">      </w:t>
                                  </w:r>
                                  <w:r>
                                    <w:rPr>
                                      <w:rFonts w:ascii="Times New Roman" w:eastAsia="Times New Roman" w:hAnsi="Times New Roman" w:cs="Times New Roman"/>
                                      <w:b/>
                                      <w:bCs/>
                                      <w:color w:val="000000"/>
                                      <w:sz w:val="16"/>
                                      <w:szCs w:val="16"/>
                                    </w:rPr>
                                    <w:tab/>
                                  </w:r>
                                  <w:r>
                                    <w:rPr>
                                      <w:rFonts w:ascii="Times New Roman" w:eastAsia="Times New Roman" w:hAnsi="Times New Roman" w:cs="Times New Roman"/>
                                      <w:color w:val="000000"/>
                                      <w:sz w:val="16"/>
                                      <w:szCs w:val="16"/>
                                    </w:rPr>
                                    <w:t>IV</w:t>
                                  </w:r>
                                  <w:r>
                                    <w:rPr>
                                      <w:rFonts w:ascii="Times New Roman" w:eastAsia="Times New Roman" w:hAnsi="Times New Roman" w:cs="Times New Roman"/>
                                      <w:color w:val="000000"/>
                                      <w:sz w:val="16"/>
                                      <w:szCs w:val="16"/>
                                    </w:rPr>
                                    <w:tab/>
                                    <w:t>15 cada 24 h</w:t>
                                  </w:r>
                                  <w:r>
                                    <w:rPr>
                                      <w:rFonts w:ascii="Times New Roman" w:eastAsia="Times New Roman" w:hAnsi="Times New Roman" w:cs="Times New Roman"/>
                                      <w:color w:val="000000"/>
                                      <w:sz w:val="16"/>
                                      <w:szCs w:val="16"/>
                                    </w:rPr>
                                    <w:tab/>
                                    <w:t>10-15 cada 12-18 h</w:t>
                                  </w:r>
                                  <w:r>
                                    <w:rPr>
                                      <w:rFonts w:ascii="Times New Roman" w:eastAsia="Times New Roman" w:hAnsi="Times New Roman" w:cs="Times New Roman"/>
                                      <w:color w:val="000000"/>
                                      <w:sz w:val="16"/>
                                      <w:szCs w:val="16"/>
                                    </w:rPr>
                                    <w:tab/>
                                    <w:t>10-15 cada 8-12</w:t>
                                  </w:r>
                                  <w:r>
                                    <w:rPr>
                                      <w:rFonts w:ascii="Times New Roman" w:eastAsia="Times New Roman" w:hAnsi="Times New Roman" w:cs="Times New Roman"/>
                                      <w:color w:val="000000"/>
                                      <w:sz w:val="16"/>
                                      <w:szCs w:val="16"/>
                                    </w:rPr>
                                    <w:tab/>
                                    <w:t>h</w:t>
                                  </w:r>
                                  <w:r>
                                    <w:rPr>
                                      <w:rFonts w:ascii="Times New Roman" w:eastAsia="Times New Roman" w:hAnsi="Times New Roman" w:cs="Times New Roman"/>
                                      <w:color w:val="000000"/>
                                      <w:sz w:val="16"/>
                                      <w:szCs w:val="16"/>
                                    </w:rPr>
                                    <w:tab/>
                                    <w:t>10-15 cada 8-12</w:t>
                                  </w:r>
                                  <w:r>
                                    <w:rPr>
                                      <w:rFonts w:ascii="Times New Roman" w:eastAsia="Times New Roman" w:hAnsi="Times New Roman" w:cs="Times New Roman"/>
                                      <w:color w:val="000000"/>
                                      <w:sz w:val="16"/>
                                      <w:szCs w:val="16"/>
                                    </w:rPr>
                                    <w:tab/>
                                    <w:t>h</w:t>
                                  </w:r>
                                </w:p>
                              </w:tc>
                              <w:tc>
                                <w:tcPr>
                                  <w:tcW w:w="2237" w:type="dxa"/>
                                  <w:tcBorders>
                                    <w:bottom w:val="single" w:sz="4" w:space="0" w:color="auto"/>
                                    <w:right w:val="single" w:sz="4" w:space="0" w:color="auto"/>
                                  </w:tcBorders>
                                  <w:shd w:val="clear" w:color="auto" w:fill="FFFFFF"/>
                                </w:tcPr>
                                <w:p w14:paraId="48B2BF0A" w14:textId="77777777" w:rsidR="00924992" w:rsidRDefault="00924992">
                                  <w:pPr>
                                    <w:pStyle w:val="Other0"/>
                                    <w:spacing w:line="240" w:lineRule="auto"/>
                                    <w:ind w:firstLine="260"/>
                                    <w:rPr>
                                      <w:sz w:val="16"/>
                                      <w:szCs w:val="16"/>
                                    </w:rPr>
                                  </w:pPr>
                                  <w:r>
                                    <w:rPr>
                                      <w:rFonts w:ascii="Times New Roman" w:eastAsia="Times New Roman" w:hAnsi="Times New Roman" w:cs="Times New Roman"/>
                                      <w:color w:val="000000"/>
                                      <w:sz w:val="16"/>
                                      <w:szCs w:val="16"/>
                                    </w:rPr>
                                    <w:t>75 cada 6 h</w:t>
                                  </w:r>
                                </w:p>
                                <w:p w14:paraId="0C57C637" w14:textId="77777777" w:rsidR="00924992" w:rsidRDefault="00924992">
                                  <w:pPr>
                                    <w:pStyle w:val="Other0"/>
                                    <w:spacing w:line="240" w:lineRule="auto"/>
                                    <w:ind w:firstLine="260"/>
                                    <w:rPr>
                                      <w:sz w:val="16"/>
                                      <w:szCs w:val="16"/>
                                    </w:rPr>
                                  </w:pPr>
                                  <w:r>
                                    <w:rPr>
                                      <w:rFonts w:ascii="Times New Roman" w:eastAsia="Times New Roman" w:hAnsi="Times New Roman" w:cs="Times New Roman"/>
                                      <w:color w:val="000000"/>
                                      <w:sz w:val="16"/>
                                      <w:szCs w:val="16"/>
                                    </w:rPr>
                                    <w:t>10-15 cada 6 u 8 h</w:t>
                                  </w:r>
                                </w:p>
                              </w:tc>
                            </w:tr>
                          </w:tbl>
                          <w:p w14:paraId="47E5A2AA" w14:textId="77777777" w:rsidR="00924992" w:rsidRDefault="00924992">
                            <w:pPr>
                              <w:spacing w:line="1" w:lineRule="exact"/>
                            </w:pPr>
                          </w:p>
                        </w:txbxContent>
                      </wps:txbx>
                      <wps:bodyPr lIns="0" tIns="0" rIns="0" bIns="0"/>
                    </wps:wsp>
                  </a:graphicData>
                </a:graphic>
              </wp:anchor>
            </w:drawing>
          </mc:Choice>
          <mc:Fallback>
            <w:pict>
              <v:shape w14:anchorId="6049D88F" id="Shape 2217" o:spid="_x0000_s1031" type="#_x0000_t202" style="position:absolute;margin-left:33.35pt;margin-top:78.75pt;width:585.1pt;height:21.35pt;z-index:251665408;visibility:visible;mso-wrap-style:square;mso-wrap-distance-left:9.7pt;mso-wrap-distance-top:60.5pt;mso-wrap-distance-right:9.05pt;mso-wrap-distance-bottom:5pt;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" filled="f" stroked="f">
                <v:textbox inset="0,0,0,0">
                  <w:txbxContent>
                    <w:tbl>
                      <w:tblPr>
                        <w:tblOverlap w:val="never"/>
                        <w:tblW w:w="0" w:type="auto"/>
                        <w:tblLayout w:type="fixed"/>
                        <w:tblCellMar>
                          <w:left w:w="10" w:type="dxa"/>
                          <w:right w:w="10" w:type="dxa"/>
                        </w:tblCellMar>
                        <w:tblLook w:val="04A0" w:firstRow="1" w:lastRow="0" w:firstColumn="1" w:lastColumn="0" w:noHBand="0" w:noVBand="1"/>
                      </w:tblPr>
                      <w:tblGrid>
                        <w:gridCol w:w="9466"/>
                        <w:gridCol w:w="2237"/>
                      </w:tblGrid>
                      <w:tr w:rsidR="00924992" w14:paraId="1E5BEED2" w14:textId="77777777">
                        <w:tblPrEx>
                          <w:tblCellMar>
                            <w:top w:w="0" w:type="dxa"/>
                            <w:bottom w:w="0" w:type="dxa"/>
                          </w:tblCellMar>
                        </w:tblPrEx>
                        <w:trPr>
                          <w:trHeight w:hRule="exact" w:val="427"/>
                          <w:tblHeader/>
                        </w:trPr>
                        <w:tc>
                          <w:tcPr>
                            <w:tcW w:w="9466" w:type="dxa"/>
                            <w:tcBorders>
                              <w:bottom w:val="single" w:sz="4" w:space="0" w:color="auto"/>
                            </w:tcBorders>
                            <w:shd w:val="clear" w:color="auto" w:fill="FFFFFF"/>
                          </w:tcPr>
                          <w:p w14:paraId="065CEA7C" w14:textId="77777777" w:rsidR="00924992" w:rsidRDefault="00924992">
                            <w:pPr>
                              <w:pStyle w:val="Other0"/>
                              <w:tabs>
                                <w:tab w:val="left" w:pos="1570"/>
                                <w:tab w:val="left" w:pos="1853"/>
                                <w:tab w:val="left" w:pos="2712"/>
                                <w:tab w:val="left" w:pos="4243"/>
                                <w:tab w:val="left" w:pos="5942"/>
                                <w:tab w:val="left" w:pos="7877"/>
                              </w:tabs>
                              <w:spacing w:line="240" w:lineRule="auto"/>
                              <w:ind w:firstLine="0"/>
                              <w:rPr>
                                <w:sz w:val="16"/>
                                <w:szCs w:val="16"/>
                              </w:rPr>
                            </w:pPr>
                            <w:r>
                              <w:rPr>
                                <w:rFonts w:ascii="Times New Roman" w:eastAsia="Times New Roman" w:hAnsi="Times New Roman" w:cs="Times New Roman"/>
                                <w:color w:val="000000"/>
                                <w:sz w:val="16"/>
                                <w:szCs w:val="16"/>
                              </w:rPr>
                              <w:t>Ticarcilina</w:t>
                            </w:r>
                            <w:r>
                              <w:rPr>
                                <w:rFonts w:ascii="Times New Roman" w:eastAsia="Times New Roman" w:hAnsi="Times New Roman" w:cs="Times New Roman"/>
                                <w:color w:val="000000"/>
                                <w:sz w:val="16"/>
                                <w:szCs w:val="16"/>
                              </w:rPr>
                              <w:tab/>
                              <w:t>IV,</w:t>
                            </w:r>
                            <w:r>
                              <w:rPr>
                                <w:rFonts w:ascii="Times New Roman" w:eastAsia="Times New Roman" w:hAnsi="Times New Roman" w:cs="Times New Roman"/>
                                <w:color w:val="000000"/>
                                <w:sz w:val="16"/>
                                <w:szCs w:val="16"/>
                              </w:rPr>
                              <w:tab/>
                              <w:t>IM</w:t>
                            </w:r>
                            <w:r>
                              <w:rPr>
                                <w:rFonts w:ascii="Times New Roman" w:eastAsia="Times New Roman" w:hAnsi="Times New Roman" w:cs="Times New Roman"/>
                                <w:color w:val="000000"/>
                                <w:sz w:val="16"/>
                                <w:szCs w:val="16"/>
                              </w:rPr>
                              <w:tab/>
                              <w:t>75 cada 12 h</w:t>
                            </w:r>
                            <w:r>
                              <w:rPr>
                                <w:rFonts w:ascii="Times New Roman" w:eastAsia="Times New Roman" w:hAnsi="Times New Roman" w:cs="Times New Roman"/>
                                <w:color w:val="000000"/>
                                <w:sz w:val="16"/>
                                <w:szCs w:val="16"/>
                              </w:rPr>
                              <w:tab/>
                              <w:t>75 cada 12 h</w:t>
                            </w:r>
                            <w:r>
                              <w:rPr>
                                <w:rFonts w:ascii="Times New Roman" w:eastAsia="Times New Roman" w:hAnsi="Times New Roman" w:cs="Times New Roman"/>
                                <w:color w:val="000000"/>
                                <w:sz w:val="16"/>
                                <w:szCs w:val="16"/>
                              </w:rPr>
                              <w:tab/>
                              <w:t>75 cada 8 h</w:t>
                            </w:r>
                            <w:r>
                              <w:rPr>
                                <w:rFonts w:ascii="Times New Roman" w:eastAsia="Times New Roman" w:hAnsi="Times New Roman" w:cs="Times New Roman"/>
                                <w:color w:val="000000"/>
                                <w:sz w:val="16"/>
                                <w:szCs w:val="16"/>
                              </w:rPr>
                              <w:tab/>
                              <w:t>75 cada 8 h</w:t>
                            </w:r>
                          </w:p>
                          <w:p w14:paraId="359C4FEB" w14:textId="77777777" w:rsidR="00924992" w:rsidRDefault="00924992">
                            <w:pPr>
                              <w:pStyle w:val="Other0"/>
                              <w:tabs>
                                <w:tab w:val="left" w:pos="1579"/>
                                <w:tab w:val="left" w:pos="2736"/>
                                <w:tab w:val="left" w:pos="4253"/>
                                <w:tab w:val="left" w:pos="5952"/>
                                <w:tab w:val="left" w:pos="7171"/>
                                <w:tab w:val="left" w:pos="7901"/>
                                <w:tab w:val="left" w:pos="9072"/>
                              </w:tabs>
                              <w:spacing w:line="240" w:lineRule="auto"/>
                              <w:ind w:firstLine="0"/>
                              <w:rPr>
                                <w:sz w:val="16"/>
                                <w:szCs w:val="16"/>
                              </w:rPr>
                            </w:pPr>
                            <w:r>
                              <w:rPr>
                                <w:rFonts w:ascii="Times New Roman" w:eastAsia="Times New Roman" w:hAnsi="Times New Roman" w:cs="Times New Roman"/>
                                <w:b/>
                                <w:bCs/>
                                <w:color w:val="000000"/>
                                <w:sz w:val="16"/>
                                <w:szCs w:val="16"/>
                              </w:rPr>
                              <w:t>Vancomicina</w:t>
                            </w:r>
                            <w:r>
                              <w:rPr>
                                <w:rFonts w:ascii="Times New Roman" w:eastAsia="Times New Roman" w:hAnsi="Times New Roman" w:cs="Times New Roman"/>
                                <w:b/>
                                <w:bCs/>
                                <w:color w:val="000000"/>
                                <w:sz w:val="16"/>
                                <w:szCs w:val="16"/>
                                <w:vertAlign w:val="superscript"/>
                              </w:rPr>
                              <w:t xml:space="preserve">      </w:t>
                            </w:r>
                            <w:r>
                              <w:rPr>
                                <w:rFonts w:ascii="Times New Roman" w:eastAsia="Times New Roman" w:hAnsi="Times New Roman" w:cs="Times New Roman"/>
                                <w:b/>
                                <w:bCs/>
                                <w:color w:val="000000"/>
                                <w:sz w:val="16"/>
                                <w:szCs w:val="16"/>
                              </w:rPr>
                              <w:tab/>
                            </w:r>
                            <w:r>
                              <w:rPr>
                                <w:rFonts w:ascii="Times New Roman" w:eastAsia="Times New Roman" w:hAnsi="Times New Roman" w:cs="Times New Roman"/>
                                <w:color w:val="000000"/>
                                <w:sz w:val="16"/>
                                <w:szCs w:val="16"/>
                              </w:rPr>
                              <w:t>IV</w:t>
                            </w:r>
                            <w:r>
                              <w:rPr>
                                <w:rFonts w:ascii="Times New Roman" w:eastAsia="Times New Roman" w:hAnsi="Times New Roman" w:cs="Times New Roman"/>
                                <w:color w:val="000000"/>
                                <w:sz w:val="16"/>
                                <w:szCs w:val="16"/>
                              </w:rPr>
                              <w:tab/>
                              <w:t>15 cada 24 h</w:t>
                            </w:r>
                            <w:r>
                              <w:rPr>
                                <w:rFonts w:ascii="Times New Roman" w:eastAsia="Times New Roman" w:hAnsi="Times New Roman" w:cs="Times New Roman"/>
                                <w:color w:val="000000"/>
                                <w:sz w:val="16"/>
                                <w:szCs w:val="16"/>
                              </w:rPr>
                              <w:tab/>
                              <w:t>10-15 cada 12-18 h</w:t>
                            </w:r>
                            <w:r>
                              <w:rPr>
                                <w:rFonts w:ascii="Times New Roman" w:eastAsia="Times New Roman" w:hAnsi="Times New Roman" w:cs="Times New Roman"/>
                                <w:color w:val="000000"/>
                                <w:sz w:val="16"/>
                                <w:szCs w:val="16"/>
                              </w:rPr>
                              <w:tab/>
                              <w:t>10-15 cada 8-12</w:t>
                            </w:r>
                            <w:r>
                              <w:rPr>
                                <w:rFonts w:ascii="Times New Roman" w:eastAsia="Times New Roman" w:hAnsi="Times New Roman" w:cs="Times New Roman"/>
                                <w:color w:val="000000"/>
                                <w:sz w:val="16"/>
                                <w:szCs w:val="16"/>
                              </w:rPr>
                              <w:tab/>
                              <w:t>h</w:t>
                            </w:r>
                            <w:r>
                              <w:rPr>
                                <w:rFonts w:ascii="Times New Roman" w:eastAsia="Times New Roman" w:hAnsi="Times New Roman" w:cs="Times New Roman"/>
                                <w:color w:val="000000"/>
                                <w:sz w:val="16"/>
                                <w:szCs w:val="16"/>
                              </w:rPr>
                              <w:tab/>
                              <w:t>10-15 cada 8-12</w:t>
                            </w:r>
                            <w:r>
                              <w:rPr>
                                <w:rFonts w:ascii="Times New Roman" w:eastAsia="Times New Roman" w:hAnsi="Times New Roman" w:cs="Times New Roman"/>
                                <w:color w:val="000000"/>
                                <w:sz w:val="16"/>
                                <w:szCs w:val="16"/>
                              </w:rPr>
                              <w:tab/>
                              <w:t>h</w:t>
                            </w:r>
                          </w:p>
                        </w:tc>
                        <w:tc>
                          <w:tcPr>
                            <w:tcW w:w="2237" w:type="dxa"/>
                            <w:tcBorders>
                              <w:bottom w:val="single" w:sz="4" w:space="0" w:color="auto"/>
                              <w:right w:val="single" w:sz="4" w:space="0" w:color="auto"/>
                            </w:tcBorders>
                            <w:shd w:val="clear" w:color="auto" w:fill="FFFFFF"/>
                          </w:tcPr>
                          <w:p w14:paraId="48B2BF0A" w14:textId="77777777" w:rsidR="00924992" w:rsidRDefault="00924992">
                            <w:pPr>
                              <w:pStyle w:val="Other0"/>
                              <w:spacing w:line="240" w:lineRule="auto"/>
                              <w:ind w:firstLine="260"/>
                              <w:rPr>
                                <w:sz w:val="16"/>
                                <w:szCs w:val="16"/>
                              </w:rPr>
                            </w:pPr>
                            <w:r>
                              <w:rPr>
                                <w:rFonts w:ascii="Times New Roman" w:eastAsia="Times New Roman" w:hAnsi="Times New Roman" w:cs="Times New Roman"/>
                                <w:color w:val="000000"/>
                                <w:sz w:val="16"/>
                                <w:szCs w:val="16"/>
                              </w:rPr>
                              <w:t>75 cada 6 h</w:t>
                            </w:r>
                          </w:p>
                          <w:p w14:paraId="0C57C637" w14:textId="77777777" w:rsidR="00924992" w:rsidRDefault="00924992">
                            <w:pPr>
                              <w:pStyle w:val="Other0"/>
                              <w:spacing w:line="240" w:lineRule="auto"/>
                              <w:ind w:firstLine="260"/>
                              <w:rPr>
                                <w:sz w:val="16"/>
                                <w:szCs w:val="16"/>
                              </w:rPr>
                            </w:pPr>
                            <w:r>
                              <w:rPr>
                                <w:rFonts w:ascii="Times New Roman" w:eastAsia="Times New Roman" w:hAnsi="Times New Roman" w:cs="Times New Roman"/>
                                <w:color w:val="000000"/>
                                <w:sz w:val="16"/>
                                <w:szCs w:val="16"/>
                              </w:rPr>
                              <w:t>10-15 cada 6 u 8 h</w:t>
                            </w:r>
                          </w:p>
                        </w:tc>
                      </w:tr>
                    </w:tbl>
                    <w:p w14:paraId="47E5A2AA" w14:textId="77777777" w:rsidR="00924992" w:rsidRDefault="00924992">
                      <w:pPr>
                        <w:spacing w:line="1" w:lineRule="exact"/>
                      </w:pPr>
                    </w:p>
                  </w:txbxContent>
                </v:textbox>
                <w10:wrap type="topAndBottom" anchorx="page"/>
              </v:shape>
            </w:pict>
          </mc:Fallback>
        </mc:AlternateContent>
      </w:r>
      <w:r>
        <w:rPr>
          <w:noProof/>
        </w:rPr>
        <mc:AlternateContent>
          <mc:Choice Requires="wps">
            <w:drawing>
              <wp:anchor distT="0" distB="0" distL="0" distR="0" simplePos="0" relativeHeight="251666432" behindDoc="0" locked="0" layoutInCell="1" allowOverlap="1" wp14:anchorId="569DD765" wp14:editId="005D1F2D">
                <wp:simplePos x="0" y="0"/>
                <wp:positionH relativeFrom="page">
                  <wp:posOffset>7867015</wp:posOffset>
                </wp:positionH>
                <wp:positionV relativeFrom="paragraph">
                  <wp:posOffset>30480</wp:posOffset>
                </wp:positionV>
                <wp:extent cx="106680" cy="3148330"/>
                <wp:effectExtent l="0" t="0" r="0" b="0"/>
                <wp:wrapSquare wrapText="bothSides"/>
                <wp:docPr id="2219" name="Shape 2219"/>
                <wp:cNvGraphicFramePr/>
                <a:graphic xmlns:a="http://schemas.openxmlformats.org/drawingml/2006/main">
                  <a:graphicData uri="http://schemas.microsoft.com/office/word/2010/wordprocessingShape">
                    <wps:wsp>
                      <wps:cNvSpPr txBox="1"/>
                      <wps:spPr>
                        <a:xfrm>
                          <a:off x="0" y="0"/>
                          <a:ext cx="106680" cy="3148330"/>
                        </a:xfrm>
                        <a:prstGeom prst="rect">
                          <a:avLst/>
                        </a:prstGeom>
                        <a:noFill/>
                      </wps:spPr>
                      <wps:txbx>
                        <w:txbxContent>
                          <w:p w14:paraId="02173A75" w14:textId="77777777" w:rsidR="00924992" w:rsidRDefault="00924992">
                            <w:pPr>
                              <w:pStyle w:val="Bodytext80"/>
                              <w:tabs>
                                <w:tab w:val="left" w:pos="1906"/>
                              </w:tabs>
                            </w:pPr>
                            <w:r>
                              <w:rPr>
                                <w:sz w:val="16"/>
                                <w:szCs w:val="16"/>
                              </w:rPr>
                              <w:t>732</w:t>
                            </w:r>
                            <w:r>
                              <w:rPr>
                                <w:sz w:val="16"/>
                                <w:szCs w:val="16"/>
                              </w:rPr>
                              <w:tab/>
                            </w:r>
                            <w:r>
                              <w:t>CUADROS DE DOSIS DE ANTIMICROBIANOS</w:t>
                            </w:r>
                          </w:p>
                        </w:txbxContent>
                      </wps:txbx>
                      <wps:bodyPr vert="vert" lIns="0" tIns="0" rIns="0" bIns="0" upright="1"/>
                    </wps:wsp>
                  </a:graphicData>
                </a:graphic>
              </wp:anchor>
            </w:drawing>
          </mc:Choice>
          <mc:Fallback>
            <w:pict>
              <v:shape w14:anchorId="569DD765" id="Shape 2219" o:spid="_x0000_s1032" type="#_x0000_t202" style="position:absolute;margin-left:619.45pt;margin-top:2.4pt;width:8.4pt;height:247.9pt;z-index:25166643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" filled="f" stroked="f">
                <v:textbox style="layout-flow:vertical" inset="0,0,0,0">
                  <w:txbxContent>
                    <w:p w14:paraId="02173A75" w14:textId="77777777" w:rsidR="00924992" w:rsidRDefault="00924992">
                      <w:pPr>
                        <w:pStyle w:val="Bodytext80"/>
                        <w:tabs>
                          <w:tab w:val="left" w:pos="1906"/>
                        </w:tabs>
                      </w:pPr>
                      <w:r>
                        <w:rPr>
                          <w:sz w:val="16"/>
                          <w:szCs w:val="16"/>
                        </w:rPr>
                        <w:t>732</w:t>
                      </w:r>
                      <w:r>
                        <w:rPr>
                          <w:sz w:val="16"/>
                          <w:szCs w:val="16"/>
                        </w:rPr>
                        <w:tab/>
                      </w:r>
                      <w:r>
                        <w:t>CUADROS DE DOSIS DE ANTIMICROBIANOS</w:t>
                      </w:r>
                    </w:p>
                  </w:txbxContent>
                </v:textbox>
                <w10:wrap type="square" anchorx="page"/>
              </v:shape>
            </w:pict>
          </mc:Fallback>
        </mc:AlternateContent>
      </w:r>
    </w:p>
    <w:p w14:paraId="305A605B" w14:textId="77777777" w:rsidR="00924992" w:rsidRDefault="00924992">
      <w:pPr>
        <w:pStyle w:val="Heading31"/>
        <w:keepNext/>
        <w:keepLines/>
        <w:ind w:firstLine="420"/>
        <w:rPr>
          <w:sz w:val="16"/>
          <w:szCs w:val="16"/>
        </w:rPr>
      </w:pPr>
      <w:bookmarkStart w:id="249" w:name="bookmark1695"/>
      <w:bookmarkStart w:id="250" w:name="bookmark1696"/>
      <w:bookmarkStart w:id="251" w:name="bookmark1697"/>
      <w:r>
        <w:rPr>
          <w:b w:val="0"/>
          <w:bCs w:val="0"/>
          <w:color w:val="000000"/>
        </w:rPr>
        <w:t xml:space="preserve">Cuadro 4-1. </w:t>
      </w:r>
      <w:r>
        <w:rPr>
          <w:color w:val="000000"/>
        </w:rPr>
        <w:t>Antibacterianos para usar en neonatos: dosis</w:t>
      </w:r>
      <w:r>
        <w:rPr>
          <w:color w:val="000000"/>
          <w:vertAlign w:val="superscript"/>
        </w:rPr>
        <w:t>1</w:t>
      </w:r>
      <w:r>
        <w:rPr>
          <w:color w:val="000000"/>
        </w:rPr>
        <w:t xml:space="preserve"> (mg/kg o U/kg) y frecuencia de administración </w:t>
      </w:r>
      <w:r>
        <w:rPr>
          <w:rFonts w:ascii="Times New Roman" w:eastAsia="Times New Roman" w:hAnsi="Times New Roman" w:cs="Times New Roman"/>
          <w:b w:val="0"/>
          <w:bCs w:val="0"/>
          <w:i/>
          <w:iCs/>
          <w:color w:val="000000"/>
          <w:w w:val="100"/>
          <w:sz w:val="16"/>
          <w:szCs w:val="16"/>
        </w:rPr>
        <w:t>cwrtdnuación</w:t>
      </w:r>
      <w:bookmarkEnd w:id="249"/>
      <w:bookmarkEnd w:id="250"/>
      <w:bookmarkEnd w:id="251"/>
      <w:r>
        <w:br w:type="page"/>
      </w:r>
    </w:p>
    <w:p w14:paraId="162F3D22" w14:textId="77777777" w:rsidR="00924992" w:rsidRDefault="00924992">
      <w:pPr>
        <w:pStyle w:val="Heading31"/>
        <w:keepNext/>
        <w:keepLines/>
        <w:jc w:val="center"/>
      </w:pPr>
      <w:bookmarkStart w:id="252" w:name="bookmark1698"/>
      <w:bookmarkStart w:id="253" w:name="bookmark1699"/>
      <w:bookmarkStart w:id="254" w:name="bookmark1700"/>
      <w:r>
        <w:rPr>
          <w:b w:val="0"/>
          <w:bCs w:val="0"/>
          <w:color w:val="000000"/>
        </w:rPr>
        <w:t xml:space="preserve">Cuadro 4-2. </w:t>
      </w:r>
      <w:r>
        <w:rPr>
          <w:color w:val="000000"/>
        </w:rPr>
        <w:t>Empleo de antibacterianos en niños después del periodo neonatal</w:t>
      </w:r>
      <w:bookmarkEnd w:id="252"/>
      <w:bookmarkEnd w:id="253"/>
      <w:bookmarkEnd w:id="254"/>
    </w:p>
    <w:p w14:paraId="2D48EC10" w14:textId="77777777" w:rsidR="00924992" w:rsidRDefault="00924992">
      <w:pPr>
        <w:pStyle w:val="Heading41"/>
        <w:keepNext/>
        <w:keepLines/>
        <w:pBdr>
          <w:top w:val="single" w:sz="0" w:space="0" w:color="000000"/>
          <w:left w:val="single" w:sz="0" w:space="0" w:color="000000"/>
          <w:bottom w:val="single" w:sz="0" w:space="0" w:color="000000"/>
          <w:right w:val="single" w:sz="0" w:space="0" w:color="000000"/>
        </w:pBdr>
        <w:shd w:val="clear" w:color="auto" w:fill="000000"/>
        <w:tabs>
          <w:tab w:val="left" w:leader="underscore" w:pos="787"/>
          <w:tab w:val="left" w:leader="underscore" w:pos="3941"/>
        </w:tabs>
        <w:jc w:val="center"/>
        <w:sectPr w:rsidR="00924992" w:rsidSect="00924992">
          <w:pgSz w:w="13022" w:h="8501" w:orient="landscape"/>
          <w:pgMar w:top="768" w:right="653" w:bottom="616" w:left="667" w:header="0" w:footer="3" w:gutter="0"/>
          <w:cols w:space="720"/>
          <w:noEndnote/>
          <w:docGrid w:linePitch="360"/>
          <w15:footnoteColumns w:val="1"/>
        </w:sectPr>
      </w:pPr>
      <w:r>
        <w:rPr>
          <w:noProof/>
        </w:rPr>
        <mc:AlternateContent>
          <mc:Choice Requires="wps">
            <w:drawing>
              <wp:anchor distT="0" distB="0" distL="114300" distR="114300" simplePos="0" relativeHeight="251667456" behindDoc="0" locked="0" layoutInCell="1" allowOverlap="1" wp14:anchorId="0F81C0E4" wp14:editId="7FD19F80">
                <wp:simplePos x="0" y="0"/>
                <wp:positionH relativeFrom="page">
                  <wp:posOffset>433070</wp:posOffset>
                </wp:positionH>
                <wp:positionV relativeFrom="margin">
                  <wp:posOffset>396240</wp:posOffset>
                </wp:positionV>
                <wp:extent cx="1426210" cy="365760"/>
                <wp:effectExtent l="0" t="0" r="0" b="0"/>
                <wp:wrapSquare wrapText="right"/>
                <wp:docPr id="2221" name="Shape 2221"/>
                <wp:cNvGraphicFramePr/>
                <a:graphic xmlns:a="http://schemas.openxmlformats.org/drawingml/2006/main">
                  <a:graphicData uri="http://schemas.microsoft.com/office/word/2010/wordprocessingShape">
                    <wps:wsp>
                      <wps:cNvSpPr txBox="1"/>
                      <wps:spPr>
                        <a:xfrm>
                          <a:off x="0" y="0"/>
                          <a:ext cx="1426210" cy="365760"/>
                        </a:xfrm>
                        <a:prstGeom prst="rect">
                          <a:avLst/>
                        </a:prstGeom>
                        <a:solidFill>
                          <a:srgbClr val="000000"/>
                        </a:solidFill>
                      </wps:spPr>
                      <wps:txbx>
                        <w:txbxContent>
                          <w:p w14:paraId="00ED5426" w14:textId="77777777" w:rsidR="00924992" w:rsidRDefault="00924992">
                            <w:pPr>
                              <w:pStyle w:val="Other0"/>
                              <w:pBdr>
                                <w:top w:val="single" w:sz="0" w:space="0" w:color="000000"/>
                                <w:left w:val="single" w:sz="0" w:space="0" w:color="000000"/>
                                <w:bottom w:val="single" w:sz="0" w:space="0" w:color="000000"/>
                                <w:right w:val="single" w:sz="0" w:space="0" w:color="000000"/>
                              </w:pBdr>
                              <w:shd w:val="clear" w:color="auto" w:fill="000000"/>
                              <w:spacing w:line="240" w:lineRule="auto"/>
                              <w:ind w:firstLine="0"/>
                              <w:rPr>
                                <w:sz w:val="24"/>
                                <w:szCs w:val="24"/>
                              </w:rPr>
                            </w:pPr>
                            <w:r>
                              <w:rPr>
                                <w:rFonts w:ascii="Arial" w:eastAsia="Arial" w:hAnsi="Arial" w:cs="Arial"/>
                                <w:b/>
                                <w:bCs/>
                                <w:color w:val="FFFFFF"/>
                                <w:w w:val="70"/>
                                <w:sz w:val="24"/>
                                <w:szCs w:val="24"/>
                              </w:rPr>
                              <w:t>Fármaco, nombre genérico (y comercial)</w:t>
                            </w:r>
                          </w:p>
                        </w:txbxContent>
                      </wps:txbx>
                      <wps:bodyPr lIns="0" tIns="0" rIns="0" bIns="0"/>
                    </wps:wsp>
                  </a:graphicData>
                </a:graphic>
              </wp:anchor>
            </w:drawing>
          </mc:Choice>
          <mc:Fallback>
            <w:pict>
              <v:shape w14:anchorId="0F81C0E4" id="Shape 2221" o:spid="_x0000_s1033" type="#_x0000_t202" style="position:absolute;left:0;text-align:left;margin-left:34.1pt;margin-top:31.2pt;width:112.3pt;height:28.8pt;z-index:251667456;visibility:visible;mso-wrap-style:square;mso-wrap-distance-left:9pt;mso-wrap-distance-top:0;mso-wrap-distance-right:9pt;mso-wrap-distance-bottom:0;mso-position-horizontal:absolute;mso-position-horizontal-relative:page;mso-position-vertical:absolute;mso-position-vertical-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" fillcolor="black" stroked="f">
                <v:textbox inset="0,0,0,0">
                  <w:txbxContent>
                    <w:p w14:paraId="00ED5426" w14:textId="77777777" w:rsidR="00924992" w:rsidRDefault="00924992">
                      <w:pPr>
                        <w:pStyle w:val="Other0"/>
                        <w:pBdr>
                          <w:top w:val="single" w:sz="0" w:space="0" w:color="000000"/>
                          <w:left w:val="single" w:sz="0" w:space="0" w:color="000000"/>
                          <w:bottom w:val="single" w:sz="0" w:space="0" w:color="000000"/>
                          <w:right w:val="single" w:sz="0" w:space="0" w:color="000000"/>
                        </w:pBdr>
                        <w:shd w:val="clear" w:color="auto" w:fill="000000"/>
                        <w:spacing w:line="240" w:lineRule="auto"/>
                        <w:ind w:firstLine="0"/>
                        <w:rPr>
                          <w:sz w:val="24"/>
                          <w:szCs w:val="24"/>
                        </w:rPr>
                      </w:pPr>
                      <w:r>
                        <w:rPr>
                          <w:rFonts w:ascii="Arial" w:eastAsia="Arial" w:hAnsi="Arial" w:cs="Arial"/>
                          <w:b/>
                          <w:bCs/>
                          <w:color w:val="FFFFFF"/>
                          <w:w w:val="70"/>
                          <w:sz w:val="24"/>
                          <w:szCs w:val="24"/>
                        </w:rPr>
                        <w:t>Fármaco, nombre genérico (y comercial)</w:t>
                      </w:r>
                    </w:p>
                  </w:txbxContent>
                </v:textbox>
                <w10:wrap type="square" side="right" anchorx="page" anchory="margin"/>
              </v:shape>
            </w:pict>
          </mc:Fallback>
        </mc:AlternateContent>
      </w:r>
      <w:r>
        <w:rPr>
          <w:noProof/>
        </w:rPr>
        <mc:AlternateContent>
          <mc:Choice Requires="wps">
            <w:drawing>
              <wp:anchor distT="0" distB="0" distL="114300" distR="114300" simplePos="0" relativeHeight="251668480" behindDoc="0" locked="0" layoutInCell="1" allowOverlap="1" wp14:anchorId="27E0F44F" wp14:editId="7C093BA9">
                <wp:simplePos x="0" y="0"/>
                <wp:positionH relativeFrom="page">
                  <wp:posOffset>5005070</wp:posOffset>
                </wp:positionH>
                <wp:positionV relativeFrom="margin">
                  <wp:posOffset>393065</wp:posOffset>
                </wp:positionV>
                <wp:extent cx="2045335" cy="189230"/>
                <wp:effectExtent l="0" t="0" r="0" b="0"/>
                <wp:wrapSquare wrapText="left"/>
                <wp:docPr id="2223" name="Shape 2223"/>
                <wp:cNvGraphicFramePr/>
                <a:graphic xmlns:a="http://schemas.openxmlformats.org/drawingml/2006/main">
                  <a:graphicData uri="http://schemas.microsoft.com/office/word/2010/wordprocessingShape">
                    <wps:wsp>
                      <wps:cNvSpPr txBox="1"/>
                      <wps:spPr>
                        <a:xfrm>
                          <a:off x="0" y="0"/>
                          <a:ext cx="2045335" cy="189230"/>
                        </a:xfrm>
                        <a:prstGeom prst="rect">
                          <a:avLst/>
                        </a:prstGeom>
                        <a:solidFill>
                          <a:srgbClr val="000000"/>
                        </a:solidFill>
                      </wps:spPr>
                      <wps:txbx>
                        <w:txbxContent>
                          <w:p w14:paraId="47EE8E8A" w14:textId="77777777" w:rsidR="00924992" w:rsidRDefault="00924992">
                            <w:pPr>
                              <w:pStyle w:val="Other0"/>
                              <w:pBdr>
                                <w:top w:val="single" w:sz="0" w:space="0" w:color="000000"/>
                                <w:left w:val="single" w:sz="0" w:space="0" w:color="000000"/>
                                <w:bottom w:val="single" w:sz="0" w:space="0" w:color="000000"/>
                                <w:right w:val="single" w:sz="0" w:space="0" w:color="000000"/>
                              </w:pBdr>
                              <w:shd w:val="clear" w:color="auto" w:fill="000000"/>
                              <w:spacing w:line="240" w:lineRule="auto"/>
                              <w:ind w:firstLine="0"/>
                              <w:jc w:val="center"/>
                              <w:rPr>
                                <w:sz w:val="24"/>
                                <w:szCs w:val="24"/>
                              </w:rPr>
                            </w:pPr>
                            <w:r>
                              <w:rPr>
                                <w:rFonts w:ascii="Arial" w:eastAsia="Arial" w:hAnsi="Arial" w:cs="Arial"/>
                                <w:b/>
                                <w:bCs/>
                                <w:color w:val="FFFFFF"/>
                                <w:w w:val="70"/>
                                <w:sz w:val="24"/>
                                <w:szCs w:val="24"/>
                              </w:rPr>
                              <w:t>Infecciones graves Comentarios</w:t>
                            </w:r>
                          </w:p>
                        </w:txbxContent>
                      </wps:txbx>
                      <wps:bodyPr wrap="none" lIns="0" tIns="0" rIns="0" bIns="0"/>
                    </wps:wsp>
                  </a:graphicData>
                </a:graphic>
              </wp:anchor>
            </w:drawing>
          </mc:Choice>
          <mc:Fallback>
            <w:pict>
              <v:shape w14:anchorId="27E0F44F" id="Shape 2223" o:spid="_x0000_s1034" type="#_x0000_t202" style="position:absolute;left:0;text-align:left;margin-left:394.1pt;margin-top:30.95pt;width:161.05pt;height:14.9pt;z-index:251668480;visibility:visible;mso-wrap-style:none;mso-wrap-distance-left:9pt;mso-wrap-distance-top:0;mso-wrap-distance-right:9pt;mso-wrap-distance-bottom:0;mso-position-horizontal:absolute;mso-position-horizontal-relative:page;mso-position-vertical:absolute;mso-position-vertical-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" fillcolor="black" stroked="f">
                <v:textbox inset="0,0,0,0">
                  <w:txbxContent>
                    <w:p w14:paraId="47EE8E8A" w14:textId="77777777" w:rsidR="00924992" w:rsidRDefault="00924992">
                      <w:pPr>
                        <w:pStyle w:val="Other0"/>
                        <w:pBdr>
                          <w:top w:val="single" w:sz="0" w:space="0" w:color="000000"/>
                          <w:left w:val="single" w:sz="0" w:space="0" w:color="000000"/>
                          <w:bottom w:val="single" w:sz="0" w:space="0" w:color="000000"/>
                          <w:right w:val="single" w:sz="0" w:space="0" w:color="000000"/>
                        </w:pBdr>
                        <w:shd w:val="clear" w:color="auto" w:fill="000000"/>
                        <w:spacing w:line="240" w:lineRule="auto"/>
                        <w:ind w:firstLine="0"/>
                        <w:jc w:val="center"/>
                        <w:rPr>
                          <w:sz w:val="24"/>
                          <w:szCs w:val="24"/>
                        </w:rPr>
                      </w:pPr>
                      <w:r>
                        <w:rPr>
                          <w:rFonts w:ascii="Arial" w:eastAsia="Arial" w:hAnsi="Arial" w:cs="Arial"/>
                          <w:b/>
                          <w:bCs/>
                          <w:color w:val="FFFFFF"/>
                          <w:w w:val="70"/>
                          <w:sz w:val="24"/>
                          <w:szCs w:val="24"/>
                        </w:rPr>
                        <w:t>Infecciones graves Comentarios</w:t>
                      </w:r>
                    </w:p>
                  </w:txbxContent>
                </v:textbox>
                <w10:wrap type="square" side="left" anchorx="page" anchory="margin"/>
              </v:shape>
            </w:pict>
          </mc:Fallback>
        </mc:AlternateContent>
      </w:r>
      <w:bookmarkStart w:id="255" w:name="bookmark1701"/>
      <w:bookmarkStart w:id="256" w:name="bookmark1702"/>
      <w:bookmarkStart w:id="257" w:name="bookmark1703"/>
      <w:r>
        <w:rPr>
          <w:color w:val="FFFFFF"/>
        </w:rPr>
        <w:tab/>
      </w:r>
      <w:r>
        <w:rPr>
          <w:color w:val="FFFFFF"/>
          <w:u w:val="single"/>
        </w:rPr>
        <w:t>Dosis por kg de peso al día</w:t>
      </w:r>
      <w:r>
        <w:rPr>
          <w:color w:val="FFFFFF"/>
        </w:rPr>
        <w:tab/>
      </w:r>
      <w:r>
        <w:rPr>
          <w:color w:val="FFFFFF"/>
        </w:rPr>
        <w:br/>
        <w:t>Vía de administración Infecciones leves</w:t>
      </w:r>
      <w:r>
        <w:rPr>
          <w:color w:val="FFFFFF"/>
        </w:rPr>
        <w:br/>
        <w:t>o moderadas</w:t>
      </w:r>
      <w:bookmarkEnd w:id="255"/>
      <w:bookmarkEnd w:id="256"/>
      <w:bookmarkEnd w:id="257"/>
    </w:p>
    <w:p w14:paraId="6194E9D1" w14:textId="77777777" w:rsidR="00924992" w:rsidRDefault="00924992">
      <w:pPr>
        <w:spacing w:line="1" w:lineRule="exact"/>
      </w:pPr>
      <w:r>
        <w:rPr>
          <w:noProof/>
        </w:rPr>
        <mc:AlternateContent>
          <mc:Choice Requires="wps">
            <w:drawing>
              <wp:anchor distT="0" distB="0" distL="114300" distR="114300" simplePos="0" relativeHeight="251669504" behindDoc="0" locked="0" layoutInCell="1" allowOverlap="1" wp14:anchorId="0942AEBF" wp14:editId="5E367BAC">
                <wp:simplePos x="0" y="0"/>
                <wp:positionH relativeFrom="page">
                  <wp:posOffset>423545</wp:posOffset>
                </wp:positionH>
                <wp:positionV relativeFrom="paragraph">
                  <wp:posOffset>12700</wp:posOffset>
                </wp:positionV>
                <wp:extent cx="2313305" cy="3176270"/>
                <wp:effectExtent l="0" t="0" r="0" b="0"/>
                <wp:wrapSquare wrapText="bothSides"/>
                <wp:docPr id="2225" name="Shape 2225"/>
                <wp:cNvGraphicFramePr/>
                <a:graphic xmlns:a="http://schemas.openxmlformats.org/drawingml/2006/main">
                  <a:graphicData uri="http://schemas.microsoft.com/office/word/2010/wordprocessingShape">
                    <wps:wsp>
                      <wps:cNvSpPr txBox="1"/>
                      <wps:spPr>
                        <a:xfrm>
                          <a:off x="0" y="0"/>
                          <a:ext cx="2313305" cy="3176270"/>
                        </a:xfrm>
                        <a:prstGeom prst="rect">
                          <a:avLst/>
                        </a:prstGeom>
                        <a:noFill/>
                      </wps:spPr>
                      <wps:txbx>
                        <w:txbxContent>
                          <w:tbl>
                            <w:tblPr>
                              <w:tblOverlap w:val="never"/>
                              <w:tblW w:w="0" w:type="auto"/>
                              <w:tblLayout w:type="fixed"/>
                              <w:tblCellMar>
                                <w:left w:w="10" w:type="dxa"/>
                                <w:right w:w="10" w:type="dxa"/>
                              </w:tblCellMar>
                              <w:tblLook w:val="04A0" w:firstRow="1" w:lastRow="0" w:firstColumn="1" w:lastColumn="0" w:noHBand="0" w:noVBand="1"/>
                            </w:tblPr>
                            <w:tblGrid>
                              <w:gridCol w:w="2357"/>
                              <w:gridCol w:w="1286"/>
                            </w:tblGrid>
                            <w:tr w:rsidR="00924992" w14:paraId="152F64BA" w14:textId="77777777">
                              <w:tblPrEx>
                                <w:tblCellMar>
                                  <w:top w:w="0" w:type="dxa"/>
                                  <w:bottom w:w="0" w:type="dxa"/>
                                </w:tblCellMar>
                              </w:tblPrEx>
                              <w:trPr>
                                <w:trHeight w:hRule="exact" w:val="226"/>
                                <w:tblHeader/>
                              </w:trPr>
                              <w:tc>
                                <w:tcPr>
                                  <w:tcW w:w="2357" w:type="dxa"/>
                                  <w:shd w:val="clear" w:color="auto" w:fill="FFFFFF"/>
                                  <w:vAlign w:val="bottom"/>
                                </w:tcPr>
                                <w:p w14:paraId="79AF10B2" w14:textId="77777777" w:rsidR="00924992" w:rsidRDefault="00924992">
                                  <w:pPr>
                                    <w:pStyle w:val="Other0"/>
                                    <w:spacing w:line="240" w:lineRule="auto"/>
                                    <w:ind w:firstLine="0"/>
                                    <w:rPr>
                                      <w:sz w:val="16"/>
                                      <w:szCs w:val="16"/>
                                    </w:rPr>
                                  </w:pPr>
                                  <w:r>
                                    <w:rPr>
                                      <w:rFonts w:ascii="Times New Roman" w:eastAsia="Times New Roman" w:hAnsi="Times New Roman" w:cs="Times New Roman"/>
                                      <w:b/>
                                      <w:bCs/>
                                      <w:color w:val="000000"/>
                                      <w:sz w:val="16"/>
                                      <w:szCs w:val="16"/>
                                    </w:rPr>
                                    <w:t>Aminoglucósidos</w:t>
                                  </w:r>
                                  <w:r>
                                    <w:rPr>
                                      <w:rFonts w:ascii="Times New Roman" w:eastAsia="Times New Roman" w:hAnsi="Times New Roman" w:cs="Times New Roman"/>
                                      <w:b/>
                                      <w:bCs/>
                                      <w:color w:val="000000"/>
                                      <w:sz w:val="16"/>
                                      <w:szCs w:val="16"/>
                                      <w:vertAlign w:val="superscript"/>
                                    </w:rPr>
                                    <w:t>1</w:t>
                                  </w:r>
                                </w:p>
                              </w:tc>
                              <w:tc>
                                <w:tcPr>
                                  <w:tcW w:w="1286" w:type="dxa"/>
                                  <w:shd w:val="clear" w:color="auto" w:fill="FFFFFF"/>
                                </w:tcPr>
                                <w:p w14:paraId="4C207B84" w14:textId="77777777" w:rsidR="00924992" w:rsidRDefault="00924992">
                                  <w:pPr>
                                    <w:rPr>
                                      <w:sz w:val="10"/>
                                      <w:szCs w:val="10"/>
                                    </w:rPr>
                                  </w:pPr>
                                </w:p>
                              </w:tc>
                            </w:tr>
                            <w:tr w:rsidR="00924992" w14:paraId="3FD4BD80" w14:textId="77777777">
                              <w:tblPrEx>
                                <w:tblCellMar>
                                  <w:top w:w="0" w:type="dxa"/>
                                  <w:bottom w:w="0" w:type="dxa"/>
                                </w:tblCellMar>
                              </w:tblPrEx>
                              <w:trPr>
                                <w:trHeight w:hRule="exact" w:val="418"/>
                              </w:trPr>
                              <w:tc>
                                <w:tcPr>
                                  <w:tcW w:w="2357" w:type="dxa"/>
                                  <w:shd w:val="clear" w:color="auto" w:fill="FFFFFF"/>
                                </w:tcPr>
                                <w:p w14:paraId="5637EB04" w14:textId="77777777" w:rsidR="00924992" w:rsidRDefault="00924992">
                                  <w:pPr>
                                    <w:pStyle w:val="Other0"/>
                                    <w:spacing w:line="240" w:lineRule="auto"/>
                                    <w:ind w:firstLine="0"/>
                                    <w:rPr>
                                      <w:sz w:val="16"/>
                                      <w:szCs w:val="16"/>
                                    </w:rPr>
                                  </w:pPr>
                                  <w:r>
                                    <w:rPr>
                                      <w:rFonts w:ascii="Times New Roman" w:eastAsia="Times New Roman" w:hAnsi="Times New Roman" w:cs="Times New Roman"/>
                                      <w:color w:val="000000"/>
                                      <w:sz w:val="16"/>
                                      <w:szCs w:val="16"/>
                                    </w:rPr>
                                    <w:t>Amikacina (Amikin)</w:t>
                                  </w:r>
                                </w:p>
                              </w:tc>
                              <w:tc>
                                <w:tcPr>
                                  <w:tcW w:w="1286" w:type="dxa"/>
                                  <w:shd w:val="clear" w:color="auto" w:fill="FFFFFF"/>
                                </w:tcPr>
                                <w:p w14:paraId="3A3FE22D" w14:textId="77777777" w:rsidR="00924992" w:rsidRDefault="00924992">
                                  <w:pPr>
                                    <w:pStyle w:val="Other0"/>
                                    <w:spacing w:line="240" w:lineRule="auto"/>
                                    <w:ind w:firstLine="260"/>
                                    <w:rPr>
                                      <w:sz w:val="16"/>
                                      <w:szCs w:val="16"/>
                                    </w:rPr>
                                  </w:pPr>
                                  <w:r>
                                    <w:rPr>
                                      <w:rFonts w:ascii="Times New Roman" w:eastAsia="Times New Roman" w:hAnsi="Times New Roman" w:cs="Times New Roman"/>
                                      <w:color w:val="000000"/>
                                      <w:sz w:val="16"/>
                                      <w:szCs w:val="16"/>
                                    </w:rPr>
                                    <w:t>IV, IM</w:t>
                                  </w:r>
                                </w:p>
                              </w:tc>
                            </w:tr>
                            <w:tr w:rsidR="00924992" w14:paraId="501D8528" w14:textId="77777777">
                              <w:tblPrEx>
                                <w:tblCellMar>
                                  <w:top w:w="0" w:type="dxa"/>
                                  <w:bottom w:w="0" w:type="dxa"/>
                                </w:tblCellMar>
                              </w:tblPrEx>
                              <w:trPr>
                                <w:trHeight w:hRule="exact" w:val="758"/>
                              </w:trPr>
                              <w:tc>
                                <w:tcPr>
                                  <w:tcW w:w="2357" w:type="dxa"/>
                                  <w:shd w:val="clear" w:color="auto" w:fill="FFFFFF"/>
                                  <w:vAlign w:val="center"/>
                                </w:tcPr>
                                <w:p w14:paraId="5F76B994" w14:textId="77777777" w:rsidR="00924992" w:rsidRDefault="00924992">
                                  <w:pPr>
                                    <w:pStyle w:val="Other0"/>
                                    <w:spacing w:line="240" w:lineRule="auto"/>
                                    <w:ind w:firstLine="0"/>
                                    <w:rPr>
                                      <w:sz w:val="16"/>
                                      <w:szCs w:val="16"/>
                                    </w:rPr>
                                  </w:pPr>
                                  <w:r>
                                    <w:rPr>
                                      <w:rFonts w:ascii="Times New Roman" w:eastAsia="Times New Roman" w:hAnsi="Times New Roman" w:cs="Times New Roman"/>
                                      <w:color w:val="000000"/>
                                      <w:sz w:val="16"/>
                                      <w:szCs w:val="16"/>
                                    </w:rPr>
                                    <w:t>Gentamicina (Garamicina)</w:t>
                                  </w:r>
                                </w:p>
                              </w:tc>
                              <w:tc>
                                <w:tcPr>
                                  <w:tcW w:w="1286" w:type="dxa"/>
                                  <w:shd w:val="clear" w:color="auto" w:fill="FFFFFF"/>
                                  <w:vAlign w:val="center"/>
                                </w:tcPr>
                                <w:p w14:paraId="68BA5A0D" w14:textId="77777777" w:rsidR="00924992" w:rsidRDefault="00924992">
                                  <w:pPr>
                                    <w:pStyle w:val="Other0"/>
                                    <w:spacing w:line="240" w:lineRule="auto"/>
                                    <w:ind w:firstLine="260"/>
                                    <w:rPr>
                                      <w:sz w:val="16"/>
                                      <w:szCs w:val="16"/>
                                    </w:rPr>
                                  </w:pPr>
                                  <w:r>
                                    <w:rPr>
                                      <w:rFonts w:ascii="Times New Roman" w:eastAsia="Times New Roman" w:hAnsi="Times New Roman" w:cs="Times New Roman"/>
                                      <w:color w:val="000000"/>
                                      <w:sz w:val="16"/>
                                      <w:szCs w:val="16"/>
                                    </w:rPr>
                                    <w:t>IV, IM</w:t>
                                  </w:r>
                                </w:p>
                              </w:tc>
                            </w:tr>
                            <w:tr w:rsidR="00924992" w14:paraId="248CC642" w14:textId="77777777">
                              <w:tblPrEx>
                                <w:tblCellMar>
                                  <w:top w:w="0" w:type="dxa"/>
                                  <w:bottom w:w="0" w:type="dxa"/>
                                </w:tblCellMar>
                              </w:tblPrEx>
                              <w:trPr>
                                <w:trHeight w:hRule="exact" w:val="754"/>
                              </w:trPr>
                              <w:tc>
                                <w:tcPr>
                                  <w:tcW w:w="2357" w:type="dxa"/>
                                  <w:shd w:val="clear" w:color="auto" w:fill="FFFFFF"/>
                                  <w:vAlign w:val="center"/>
                                </w:tcPr>
                                <w:p w14:paraId="178A209B" w14:textId="77777777" w:rsidR="00924992" w:rsidRDefault="00924992">
                                  <w:pPr>
                                    <w:pStyle w:val="Other0"/>
                                    <w:spacing w:line="240" w:lineRule="auto"/>
                                    <w:ind w:firstLine="0"/>
                                    <w:rPr>
                                      <w:sz w:val="16"/>
                                      <w:szCs w:val="16"/>
                                    </w:rPr>
                                  </w:pPr>
                                  <w:r>
                                    <w:rPr>
                                      <w:rFonts w:ascii="Times New Roman" w:eastAsia="Times New Roman" w:hAnsi="Times New Roman" w:cs="Times New Roman"/>
                                      <w:color w:val="000000"/>
                                      <w:sz w:val="16"/>
                                      <w:szCs w:val="16"/>
                                    </w:rPr>
                                    <w:t>Kanamicina (Kantrex)</w:t>
                                  </w:r>
                                </w:p>
                              </w:tc>
                              <w:tc>
                                <w:tcPr>
                                  <w:tcW w:w="1286" w:type="dxa"/>
                                  <w:shd w:val="clear" w:color="auto" w:fill="FFFFFF"/>
                                  <w:vAlign w:val="center"/>
                                </w:tcPr>
                                <w:p w14:paraId="2911A251" w14:textId="77777777" w:rsidR="00924992" w:rsidRDefault="00924992">
                                  <w:pPr>
                                    <w:pStyle w:val="Other0"/>
                                    <w:spacing w:line="240" w:lineRule="auto"/>
                                    <w:ind w:firstLine="260"/>
                                    <w:rPr>
                                      <w:sz w:val="16"/>
                                      <w:szCs w:val="16"/>
                                    </w:rPr>
                                  </w:pPr>
                                  <w:r>
                                    <w:rPr>
                                      <w:rFonts w:ascii="Times New Roman" w:eastAsia="Times New Roman" w:hAnsi="Times New Roman" w:cs="Times New Roman"/>
                                      <w:color w:val="000000"/>
                                      <w:sz w:val="16"/>
                                      <w:szCs w:val="16"/>
                                    </w:rPr>
                                    <w:t>IV, IM</w:t>
                                  </w:r>
                                </w:p>
                              </w:tc>
                            </w:tr>
                            <w:tr w:rsidR="00924992" w14:paraId="457B71E6" w14:textId="77777777">
                              <w:tblPrEx>
                                <w:tblCellMar>
                                  <w:top w:w="0" w:type="dxa"/>
                                  <w:bottom w:w="0" w:type="dxa"/>
                                </w:tblCellMar>
                              </w:tblPrEx>
                              <w:trPr>
                                <w:trHeight w:hRule="exact" w:val="547"/>
                              </w:trPr>
                              <w:tc>
                                <w:tcPr>
                                  <w:tcW w:w="2357" w:type="dxa"/>
                                  <w:shd w:val="clear" w:color="auto" w:fill="FFFFFF"/>
                                  <w:vAlign w:val="center"/>
                                </w:tcPr>
                                <w:p w14:paraId="479E9ABB" w14:textId="77777777" w:rsidR="00924992" w:rsidRDefault="00924992">
                                  <w:pPr>
                                    <w:pStyle w:val="Other0"/>
                                    <w:spacing w:line="240" w:lineRule="auto"/>
                                    <w:ind w:firstLine="0"/>
                                    <w:rPr>
                                      <w:sz w:val="16"/>
                                      <w:szCs w:val="16"/>
                                    </w:rPr>
                                  </w:pPr>
                                  <w:r>
                                    <w:rPr>
                                      <w:rFonts w:ascii="Times New Roman" w:eastAsia="Times New Roman" w:hAnsi="Times New Roman" w:cs="Times New Roman"/>
                                      <w:color w:val="000000"/>
                                      <w:sz w:val="16"/>
                                      <w:szCs w:val="16"/>
                                    </w:rPr>
                                    <w:t>Neomicina (numerosos tipos)</w:t>
                                  </w:r>
                                </w:p>
                              </w:tc>
                              <w:tc>
                                <w:tcPr>
                                  <w:tcW w:w="1286" w:type="dxa"/>
                                  <w:shd w:val="clear" w:color="auto" w:fill="FFFFFF"/>
                                  <w:vAlign w:val="center"/>
                                </w:tcPr>
                                <w:p w14:paraId="2AA2E016" w14:textId="77777777" w:rsidR="00924992" w:rsidRDefault="00924992">
                                  <w:pPr>
                                    <w:pStyle w:val="Other0"/>
                                    <w:spacing w:line="240" w:lineRule="auto"/>
                                    <w:ind w:firstLine="260"/>
                                    <w:rPr>
                                      <w:sz w:val="16"/>
                                      <w:szCs w:val="16"/>
                                    </w:rPr>
                                  </w:pPr>
                                  <w:r>
                                    <w:rPr>
                                      <w:rFonts w:ascii="Times New Roman" w:eastAsia="Times New Roman" w:hAnsi="Times New Roman" w:cs="Times New Roman"/>
                                      <w:color w:val="000000"/>
                                      <w:sz w:val="16"/>
                                      <w:szCs w:val="16"/>
                                    </w:rPr>
                                    <w:t>PO solamente</w:t>
                                  </w:r>
                                </w:p>
                              </w:tc>
                            </w:tr>
                            <w:tr w:rsidR="00924992" w14:paraId="0F68EAD4" w14:textId="77777777">
                              <w:tblPrEx>
                                <w:tblCellMar>
                                  <w:top w:w="0" w:type="dxa"/>
                                  <w:bottom w:w="0" w:type="dxa"/>
                                </w:tblCellMar>
                              </w:tblPrEx>
                              <w:trPr>
                                <w:trHeight w:hRule="exact" w:val="533"/>
                              </w:trPr>
                              <w:tc>
                                <w:tcPr>
                                  <w:tcW w:w="2357" w:type="dxa"/>
                                  <w:shd w:val="clear" w:color="auto" w:fill="FFFFFF"/>
                                  <w:vAlign w:val="center"/>
                                </w:tcPr>
                                <w:p w14:paraId="2BCD7074" w14:textId="77777777" w:rsidR="00924992" w:rsidRDefault="00924992">
                                  <w:pPr>
                                    <w:pStyle w:val="Other0"/>
                                    <w:spacing w:line="240" w:lineRule="auto"/>
                                    <w:ind w:firstLine="0"/>
                                    <w:rPr>
                                      <w:sz w:val="16"/>
                                      <w:szCs w:val="16"/>
                                    </w:rPr>
                                  </w:pPr>
                                  <w:r>
                                    <w:rPr>
                                      <w:rFonts w:ascii="Times New Roman" w:eastAsia="Times New Roman" w:hAnsi="Times New Roman" w:cs="Times New Roman"/>
                                      <w:color w:val="000000"/>
                                      <w:sz w:val="16"/>
                                      <w:szCs w:val="16"/>
                                    </w:rPr>
                                    <w:t>Paromomicina (Humatin)</w:t>
                                  </w:r>
                                </w:p>
                              </w:tc>
                              <w:tc>
                                <w:tcPr>
                                  <w:tcW w:w="1286" w:type="dxa"/>
                                  <w:shd w:val="clear" w:color="auto" w:fill="FFFFFF"/>
                                  <w:vAlign w:val="center"/>
                                </w:tcPr>
                                <w:p w14:paraId="035FDB33" w14:textId="77777777" w:rsidR="00924992" w:rsidRDefault="00924992">
                                  <w:pPr>
                                    <w:pStyle w:val="Other0"/>
                                    <w:spacing w:line="240" w:lineRule="auto"/>
                                    <w:ind w:firstLine="260"/>
                                    <w:rPr>
                                      <w:sz w:val="16"/>
                                      <w:szCs w:val="16"/>
                                    </w:rPr>
                                  </w:pPr>
                                  <w:r>
                                    <w:rPr>
                                      <w:rFonts w:ascii="Times New Roman" w:eastAsia="Times New Roman" w:hAnsi="Times New Roman" w:cs="Times New Roman"/>
                                      <w:color w:val="000000"/>
                                      <w:sz w:val="16"/>
                                      <w:szCs w:val="16"/>
                                    </w:rPr>
                                    <w:t>PO</w:t>
                                  </w:r>
                                </w:p>
                              </w:tc>
                            </w:tr>
                            <w:tr w:rsidR="00924992" w14:paraId="31B980F6" w14:textId="77777777">
                              <w:tblPrEx>
                                <w:tblCellMar>
                                  <w:top w:w="0" w:type="dxa"/>
                                  <w:bottom w:w="0" w:type="dxa"/>
                                </w:tblCellMar>
                              </w:tblPrEx>
                              <w:trPr>
                                <w:trHeight w:hRule="exact" w:val="653"/>
                              </w:trPr>
                              <w:tc>
                                <w:tcPr>
                                  <w:tcW w:w="2357" w:type="dxa"/>
                                  <w:shd w:val="clear" w:color="auto" w:fill="FFFFFF"/>
                                  <w:vAlign w:val="center"/>
                                </w:tcPr>
                                <w:p w14:paraId="47057C70" w14:textId="77777777" w:rsidR="00924992" w:rsidRDefault="00924992">
                                  <w:pPr>
                                    <w:pStyle w:val="Other0"/>
                                    <w:spacing w:line="240" w:lineRule="auto"/>
                                    <w:ind w:firstLine="0"/>
                                    <w:rPr>
                                      <w:sz w:val="16"/>
                                      <w:szCs w:val="16"/>
                                    </w:rPr>
                                  </w:pPr>
                                  <w:r>
                                    <w:rPr>
                                      <w:rFonts w:ascii="Times New Roman" w:eastAsia="Times New Roman" w:hAnsi="Times New Roman" w:cs="Times New Roman"/>
                                      <w:color w:val="000000"/>
                                      <w:sz w:val="16"/>
                                      <w:szCs w:val="16"/>
                                    </w:rPr>
                                    <w:t>Tobramicina (Nebcin)</w:t>
                                  </w:r>
                                </w:p>
                              </w:tc>
                              <w:tc>
                                <w:tcPr>
                                  <w:tcW w:w="1286" w:type="dxa"/>
                                  <w:shd w:val="clear" w:color="auto" w:fill="FFFFFF"/>
                                  <w:vAlign w:val="center"/>
                                </w:tcPr>
                                <w:p w14:paraId="3883C215" w14:textId="77777777" w:rsidR="00924992" w:rsidRDefault="00924992">
                                  <w:pPr>
                                    <w:pStyle w:val="Other0"/>
                                    <w:spacing w:line="240" w:lineRule="auto"/>
                                    <w:ind w:firstLine="260"/>
                                    <w:rPr>
                                      <w:sz w:val="16"/>
                                      <w:szCs w:val="16"/>
                                    </w:rPr>
                                  </w:pPr>
                                  <w:r>
                                    <w:rPr>
                                      <w:rFonts w:ascii="Times New Roman" w:eastAsia="Times New Roman" w:hAnsi="Times New Roman" w:cs="Times New Roman"/>
                                      <w:color w:val="000000"/>
                                      <w:sz w:val="16"/>
                                      <w:szCs w:val="16"/>
                                    </w:rPr>
                                    <w:t>IV, IM</w:t>
                                  </w:r>
                                </w:p>
                              </w:tc>
                            </w:tr>
                            <w:tr w:rsidR="00924992" w14:paraId="3D69AF39" w14:textId="77777777">
                              <w:tblPrEx>
                                <w:tblCellMar>
                                  <w:top w:w="0" w:type="dxa"/>
                                  <w:bottom w:w="0" w:type="dxa"/>
                                </w:tblCellMar>
                              </w:tblPrEx>
                              <w:trPr>
                                <w:trHeight w:hRule="exact" w:val="542"/>
                              </w:trPr>
                              <w:tc>
                                <w:tcPr>
                                  <w:tcW w:w="2357" w:type="dxa"/>
                                  <w:shd w:val="clear" w:color="auto" w:fill="FFFFFF"/>
                                  <w:vAlign w:val="center"/>
                                </w:tcPr>
                                <w:p w14:paraId="34953556" w14:textId="77777777" w:rsidR="00924992" w:rsidRDefault="00924992">
                                  <w:pPr>
                                    <w:pStyle w:val="Other0"/>
                                    <w:spacing w:line="240" w:lineRule="auto"/>
                                    <w:ind w:firstLine="0"/>
                                    <w:rPr>
                                      <w:sz w:val="16"/>
                                      <w:szCs w:val="16"/>
                                    </w:rPr>
                                  </w:pPr>
                                  <w:r>
                                    <w:rPr>
                                      <w:rFonts w:ascii="Times New Roman" w:eastAsia="Times New Roman" w:hAnsi="Times New Roman" w:cs="Times New Roman"/>
                                      <w:b/>
                                      <w:bCs/>
                                      <w:color w:val="000000"/>
                                      <w:sz w:val="16"/>
                                      <w:szCs w:val="16"/>
                                    </w:rPr>
                                    <w:t>Aztreonam</w:t>
                                  </w:r>
                                  <w:r>
                                    <w:rPr>
                                      <w:rFonts w:ascii="Times New Roman" w:eastAsia="Times New Roman" w:hAnsi="Times New Roman" w:cs="Times New Roman"/>
                                      <w:b/>
                                      <w:bCs/>
                                      <w:color w:val="000000"/>
                                      <w:sz w:val="16"/>
                                      <w:szCs w:val="16"/>
                                      <w:vertAlign w:val="superscript"/>
                                    </w:rPr>
                                    <w:t>2</w:t>
                                  </w:r>
                                  <w:r>
                                    <w:rPr>
                                      <w:rFonts w:ascii="Times New Roman" w:eastAsia="Times New Roman" w:hAnsi="Times New Roman" w:cs="Times New Roman"/>
                                      <w:b/>
                                      <w:bCs/>
                                      <w:color w:val="000000"/>
                                      <w:sz w:val="16"/>
                                      <w:szCs w:val="16"/>
                                    </w:rPr>
                                    <w:t xml:space="preserve"> </w:t>
                                  </w:r>
                                  <w:r>
                                    <w:rPr>
                                      <w:rFonts w:ascii="Times New Roman" w:eastAsia="Times New Roman" w:hAnsi="Times New Roman" w:cs="Times New Roman"/>
                                      <w:color w:val="000000"/>
                                      <w:sz w:val="16"/>
                                      <w:szCs w:val="16"/>
                                    </w:rPr>
                                    <w:t>(Azactam)</w:t>
                                  </w:r>
                                </w:p>
                              </w:tc>
                              <w:tc>
                                <w:tcPr>
                                  <w:tcW w:w="1286" w:type="dxa"/>
                                  <w:shd w:val="clear" w:color="auto" w:fill="FFFFFF"/>
                                  <w:vAlign w:val="center"/>
                                </w:tcPr>
                                <w:p w14:paraId="5B2BE128" w14:textId="77777777" w:rsidR="00924992" w:rsidRDefault="00924992">
                                  <w:pPr>
                                    <w:pStyle w:val="Other0"/>
                                    <w:spacing w:line="240" w:lineRule="auto"/>
                                    <w:ind w:firstLine="260"/>
                                    <w:rPr>
                                      <w:sz w:val="16"/>
                                      <w:szCs w:val="16"/>
                                    </w:rPr>
                                  </w:pPr>
                                  <w:r>
                                    <w:rPr>
                                      <w:rFonts w:ascii="Times New Roman" w:eastAsia="Times New Roman" w:hAnsi="Times New Roman" w:cs="Times New Roman"/>
                                      <w:color w:val="000000"/>
                                      <w:sz w:val="16"/>
                                      <w:szCs w:val="16"/>
                                    </w:rPr>
                                    <w:t>IV, IM</w:t>
                                  </w:r>
                                </w:p>
                              </w:tc>
                            </w:tr>
                            <w:tr w:rsidR="00924992" w14:paraId="0914746A" w14:textId="77777777">
                              <w:tblPrEx>
                                <w:tblCellMar>
                                  <w:top w:w="0" w:type="dxa"/>
                                  <w:bottom w:w="0" w:type="dxa"/>
                                </w:tblCellMar>
                              </w:tblPrEx>
                              <w:trPr>
                                <w:trHeight w:hRule="exact" w:val="341"/>
                              </w:trPr>
                              <w:tc>
                                <w:tcPr>
                                  <w:tcW w:w="2357" w:type="dxa"/>
                                  <w:shd w:val="clear" w:color="auto" w:fill="FFFFFF"/>
                                  <w:vAlign w:val="bottom"/>
                                </w:tcPr>
                                <w:p w14:paraId="1A73E292" w14:textId="77777777" w:rsidR="00924992" w:rsidRDefault="00924992">
                                  <w:pPr>
                                    <w:pStyle w:val="Other0"/>
                                    <w:spacing w:line="240" w:lineRule="auto"/>
                                    <w:ind w:firstLine="0"/>
                                    <w:rPr>
                                      <w:sz w:val="16"/>
                                      <w:szCs w:val="16"/>
                                    </w:rPr>
                                  </w:pPr>
                                  <w:r>
                                    <w:rPr>
                                      <w:rFonts w:ascii="Times New Roman" w:eastAsia="Times New Roman" w:hAnsi="Times New Roman" w:cs="Times New Roman"/>
                                      <w:b/>
                                      <w:bCs/>
                                      <w:color w:val="000000"/>
                                      <w:sz w:val="16"/>
                                      <w:szCs w:val="16"/>
                                    </w:rPr>
                                    <w:t>Carbapenémicos</w:t>
                                  </w:r>
                                </w:p>
                              </w:tc>
                              <w:tc>
                                <w:tcPr>
                                  <w:tcW w:w="1286" w:type="dxa"/>
                                  <w:shd w:val="clear" w:color="auto" w:fill="FFFFFF"/>
                                </w:tcPr>
                                <w:p w14:paraId="6AC7ABBD" w14:textId="77777777" w:rsidR="00924992" w:rsidRDefault="00924992">
                                  <w:pPr>
                                    <w:rPr>
                                      <w:sz w:val="10"/>
                                      <w:szCs w:val="10"/>
                                    </w:rPr>
                                  </w:pPr>
                                </w:p>
                              </w:tc>
                            </w:tr>
                            <w:tr w:rsidR="00924992" w14:paraId="10182DB4" w14:textId="77777777">
                              <w:tblPrEx>
                                <w:tblCellMar>
                                  <w:top w:w="0" w:type="dxa"/>
                                  <w:bottom w:w="0" w:type="dxa"/>
                                </w:tblCellMar>
                              </w:tblPrEx>
                              <w:trPr>
                                <w:trHeight w:hRule="exact" w:val="230"/>
                              </w:trPr>
                              <w:tc>
                                <w:tcPr>
                                  <w:tcW w:w="2357" w:type="dxa"/>
                                  <w:shd w:val="clear" w:color="auto" w:fill="FFFFFF"/>
                                </w:tcPr>
                                <w:p w14:paraId="70C2B8A2" w14:textId="77777777" w:rsidR="00924992" w:rsidRDefault="00924992">
                                  <w:pPr>
                                    <w:pStyle w:val="Other0"/>
                                    <w:spacing w:line="240" w:lineRule="auto"/>
                                    <w:ind w:firstLine="0"/>
                                    <w:rPr>
                                      <w:sz w:val="16"/>
                                      <w:szCs w:val="16"/>
                                    </w:rPr>
                                  </w:pPr>
                                  <w:r>
                                    <w:rPr>
                                      <w:rFonts w:ascii="Times New Roman" w:eastAsia="Times New Roman" w:hAnsi="Times New Roman" w:cs="Times New Roman"/>
                                      <w:color w:val="000000"/>
                                      <w:sz w:val="16"/>
                                      <w:szCs w:val="16"/>
                                    </w:rPr>
                                    <w:t>Imipenem</w:t>
                                  </w:r>
                                  <w:r>
                                    <w:rPr>
                                      <w:rFonts w:ascii="Times New Roman" w:eastAsia="Times New Roman" w:hAnsi="Times New Roman" w:cs="Times New Roman"/>
                                      <w:color w:val="000000"/>
                                      <w:sz w:val="16"/>
                                      <w:szCs w:val="16"/>
                                      <w:vertAlign w:val="superscript"/>
                                    </w:rPr>
                                    <w:t>2,4</w:t>
                                  </w:r>
                                  <w:r>
                                    <w:rPr>
                                      <w:rFonts w:ascii="Times New Roman" w:eastAsia="Times New Roman" w:hAnsi="Times New Roman" w:cs="Times New Roman"/>
                                      <w:color w:val="000000"/>
                                      <w:sz w:val="16"/>
                                      <w:szCs w:val="16"/>
                                    </w:rPr>
                                    <w:t xml:space="preserve"> (Primaxin)</w:t>
                                  </w:r>
                                </w:p>
                              </w:tc>
                              <w:tc>
                                <w:tcPr>
                                  <w:tcW w:w="1286" w:type="dxa"/>
                                  <w:shd w:val="clear" w:color="auto" w:fill="FFFFFF"/>
                                </w:tcPr>
                                <w:p w14:paraId="79320C8B" w14:textId="77777777" w:rsidR="00924992" w:rsidRDefault="00924992">
                                  <w:pPr>
                                    <w:pStyle w:val="Other0"/>
                                    <w:spacing w:line="240" w:lineRule="auto"/>
                                    <w:ind w:firstLine="260"/>
                                    <w:rPr>
                                      <w:sz w:val="16"/>
                                      <w:szCs w:val="16"/>
                                    </w:rPr>
                                  </w:pPr>
                                  <w:r>
                                    <w:rPr>
                                      <w:rFonts w:ascii="Times New Roman" w:eastAsia="Times New Roman" w:hAnsi="Times New Roman" w:cs="Times New Roman"/>
                                      <w:color w:val="000000"/>
                                      <w:sz w:val="16"/>
                                      <w:szCs w:val="16"/>
                                    </w:rPr>
                                    <w:t>IV, IM</w:t>
                                  </w:r>
                                </w:p>
                              </w:tc>
                            </w:tr>
                          </w:tbl>
                          <w:p w14:paraId="0A9E19F3" w14:textId="77777777" w:rsidR="00924992" w:rsidRDefault="00924992">
                            <w:pPr>
                              <w:spacing w:line="1" w:lineRule="exact"/>
                            </w:pPr>
                          </w:p>
                        </w:txbxContent>
                      </wps:txbx>
                      <wps:bodyPr lIns="0" tIns="0" rIns="0" bIns="0"/>
                    </wps:wsp>
                  </a:graphicData>
                </a:graphic>
              </wp:anchor>
            </w:drawing>
          </mc:Choice>
          <mc:Fallback>
            <w:pict>
              <v:shape w14:anchorId="0942AEBF" id="Shape 2225" o:spid="_x0000_s1035" type="#_x0000_t202" style="position:absolute;margin-left:33.35pt;margin-top:1pt;width:182.15pt;height:250.1pt;z-index:251669504;visibility:visible;mso-wrap-style:square;mso-wrap-distance-left:9pt;mso-wrap-distance-top:0;mso-wrap-distance-right:9pt;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" filled="f" stroked="f">
                <v:textbox inset="0,0,0,0">
                  <w:txbxContent>
                    <w:tbl>
                      <w:tblPr>
                        <w:tblOverlap w:val="never"/>
                        <w:tblW w:w="0" w:type="auto"/>
                        <w:tblLayout w:type="fixed"/>
                        <w:tblCellMar>
                          <w:left w:w="10" w:type="dxa"/>
                          <w:right w:w="10" w:type="dxa"/>
                        </w:tblCellMar>
                        <w:tblLook w:val="04A0" w:firstRow="1" w:lastRow="0" w:firstColumn="1" w:lastColumn="0" w:noHBand="0" w:noVBand="1"/>
                      </w:tblPr>
                      <w:tblGrid>
                        <w:gridCol w:w="2357"/>
                        <w:gridCol w:w="1286"/>
                      </w:tblGrid>
                      <w:tr w:rsidR="00924992" w14:paraId="152F64BA" w14:textId="77777777">
                        <w:tblPrEx>
                          <w:tblCellMar>
                            <w:top w:w="0" w:type="dxa"/>
                            <w:bottom w:w="0" w:type="dxa"/>
                          </w:tblCellMar>
                        </w:tblPrEx>
                        <w:trPr>
                          <w:trHeight w:hRule="exact" w:val="226"/>
                          <w:tblHeader/>
                        </w:trPr>
                        <w:tc>
                          <w:tcPr>
                            <w:tcW w:w="2357" w:type="dxa"/>
                            <w:shd w:val="clear" w:color="auto" w:fill="FFFFFF"/>
                            <w:vAlign w:val="bottom"/>
                          </w:tcPr>
                          <w:p w14:paraId="79AF10B2" w14:textId="77777777" w:rsidR="00924992" w:rsidRDefault="00924992">
                            <w:pPr>
                              <w:pStyle w:val="Other0"/>
                              <w:spacing w:line="240" w:lineRule="auto"/>
                              <w:ind w:firstLine="0"/>
                              <w:rPr>
                                <w:sz w:val="16"/>
                                <w:szCs w:val="16"/>
                              </w:rPr>
                            </w:pPr>
                            <w:r>
                              <w:rPr>
                                <w:rFonts w:ascii="Times New Roman" w:eastAsia="Times New Roman" w:hAnsi="Times New Roman" w:cs="Times New Roman"/>
                                <w:b/>
                                <w:bCs/>
                                <w:color w:val="000000"/>
                                <w:sz w:val="16"/>
                                <w:szCs w:val="16"/>
                              </w:rPr>
                              <w:t>Aminoglucósidos</w:t>
                            </w:r>
                            <w:r>
                              <w:rPr>
                                <w:rFonts w:ascii="Times New Roman" w:eastAsia="Times New Roman" w:hAnsi="Times New Roman" w:cs="Times New Roman"/>
                                <w:b/>
                                <w:bCs/>
                                <w:color w:val="000000"/>
                                <w:sz w:val="16"/>
                                <w:szCs w:val="16"/>
                                <w:vertAlign w:val="superscript"/>
                              </w:rPr>
                              <w:t>1</w:t>
                            </w:r>
                          </w:p>
                        </w:tc>
                        <w:tc>
                          <w:tcPr>
                            <w:tcW w:w="1286" w:type="dxa"/>
                            <w:shd w:val="clear" w:color="auto" w:fill="FFFFFF"/>
                          </w:tcPr>
                          <w:p w14:paraId="4C207B84" w14:textId="77777777" w:rsidR="00924992" w:rsidRDefault="00924992">
                            <w:pPr>
                              <w:rPr>
                                <w:sz w:val="10"/>
                                <w:szCs w:val="10"/>
                              </w:rPr>
                            </w:pPr>
                          </w:p>
                        </w:tc>
                      </w:tr>
                      <w:tr w:rsidR="00924992" w14:paraId="3FD4BD80" w14:textId="77777777">
                        <w:tblPrEx>
                          <w:tblCellMar>
                            <w:top w:w="0" w:type="dxa"/>
                            <w:bottom w:w="0" w:type="dxa"/>
                          </w:tblCellMar>
                        </w:tblPrEx>
                        <w:trPr>
                          <w:trHeight w:hRule="exact" w:val="418"/>
                        </w:trPr>
                        <w:tc>
                          <w:tcPr>
                            <w:tcW w:w="2357" w:type="dxa"/>
                            <w:shd w:val="clear" w:color="auto" w:fill="FFFFFF"/>
                          </w:tcPr>
                          <w:p w14:paraId="5637EB04" w14:textId="77777777" w:rsidR="00924992" w:rsidRDefault="00924992">
                            <w:pPr>
                              <w:pStyle w:val="Other0"/>
                              <w:spacing w:line="240" w:lineRule="auto"/>
                              <w:ind w:firstLine="0"/>
                              <w:rPr>
                                <w:sz w:val="16"/>
                                <w:szCs w:val="16"/>
                              </w:rPr>
                            </w:pPr>
                            <w:r>
                              <w:rPr>
                                <w:rFonts w:ascii="Times New Roman" w:eastAsia="Times New Roman" w:hAnsi="Times New Roman" w:cs="Times New Roman"/>
                                <w:color w:val="000000"/>
                                <w:sz w:val="16"/>
                                <w:szCs w:val="16"/>
                              </w:rPr>
                              <w:t>Amikacina (Amikin)</w:t>
                            </w:r>
                          </w:p>
                        </w:tc>
                        <w:tc>
                          <w:tcPr>
                            <w:tcW w:w="1286" w:type="dxa"/>
                            <w:shd w:val="clear" w:color="auto" w:fill="FFFFFF"/>
                          </w:tcPr>
                          <w:p w14:paraId="3A3FE22D" w14:textId="77777777" w:rsidR="00924992" w:rsidRDefault="00924992">
                            <w:pPr>
                              <w:pStyle w:val="Other0"/>
                              <w:spacing w:line="240" w:lineRule="auto"/>
                              <w:ind w:firstLine="260"/>
                              <w:rPr>
                                <w:sz w:val="16"/>
                                <w:szCs w:val="16"/>
                              </w:rPr>
                            </w:pPr>
                            <w:r>
                              <w:rPr>
                                <w:rFonts w:ascii="Times New Roman" w:eastAsia="Times New Roman" w:hAnsi="Times New Roman" w:cs="Times New Roman"/>
                                <w:color w:val="000000"/>
                                <w:sz w:val="16"/>
                                <w:szCs w:val="16"/>
                              </w:rPr>
                              <w:t>IV, IM</w:t>
                            </w:r>
                          </w:p>
                        </w:tc>
                      </w:tr>
                      <w:tr w:rsidR="00924992" w14:paraId="501D8528" w14:textId="77777777">
                        <w:tblPrEx>
                          <w:tblCellMar>
                            <w:top w:w="0" w:type="dxa"/>
                            <w:bottom w:w="0" w:type="dxa"/>
                          </w:tblCellMar>
                        </w:tblPrEx>
                        <w:trPr>
                          <w:trHeight w:hRule="exact" w:val="758"/>
                        </w:trPr>
                        <w:tc>
                          <w:tcPr>
                            <w:tcW w:w="2357" w:type="dxa"/>
                            <w:shd w:val="clear" w:color="auto" w:fill="FFFFFF"/>
                            <w:vAlign w:val="center"/>
                          </w:tcPr>
                          <w:p w14:paraId="5F76B994" w14:textId="77777777" w:rsidR="00924992" w:rsidRDefault="00924992">
                            <w:pPr>
                              <w:pStyle w:val="Other0"/>
                              <w:spacing w:line="240" w:lineRule="auto"/>
                              <w:ind w:firstLine="0"/>
                              <w:rPr>
                                <w:sz w:val="16"/>
                                <w:szCs w:val="16"/>
                              </w:rPr>
                            </w:pPr>
                            <w:r>
                              <w:rPr>
                                <w:rFonts w:ascii="Times New Roman" w:eastAsia="Times New Roman" w:hAnsi="Times New Roman" w:cs="Times New Roman"/>
                                <w:color w:val="000000"/>
                                <w:sz w:val="16"/>
                                <w:szCs w:val="16"/>
                              </w:rPr>
                              <w:t>Gentamicina (Garamicina)</w:t>
                            </w:r>
                          </w:p>
                        </w:tc>
                        <w:tc>
                          <w:tcPr>
                            <w:tcW w:w="1286" w:type="dxa"/>
                            <w:shd w:val="clear" w:color="auto" w:fill="FFFFFF"/>
                            <w:vAlign w:val="center"/>
                          </w:tcPr>
                          <w:p w14:paraId="68BA5A0D" w14:textId="77777777" w:rsidR="00924992" w:rsidRDefault="00924992">
                            <w:pPr>
                              <w:pStyle w:val="Other0"/>
                              <w:spacing w:line="240" w:lineRule="auto"/>
                              <w:ind w:firstLine="260"/>
                              <w:rPr>
                                <w:sz w:val="16"/>
                                <w:szCs w:val="16"/>
                              </w:rPr>
                            </w:pPr>
                            <w:r>
                              <w:rPr>
                                <w:rFonts w:ascii="Times New Roman" w:eastAsia="Times New Roman" w:hAnsi="Times New Roman" w:cs="Times New Roman"/>
                                <w:color w:val="000000"/>
                                <w:sz w:val="16"/>
                                <w:szCs w:val="16"/>
                              </w:rPr>
                              <w:t>IV, IM</w:t>
                            </w:r>
                          </w:p>
                        </w:tc>
                      </w:tr>
                      <w:tr w:rsidR="00924992" w14:paraId="248CC642" w14:textId="77777777">
                        <w:tblPrEx>
                          <w:tblCellMar>
                            <w:top w:w="0" w:type="dxa"/>
                            <w:bottom w:w="0" w:type="dxa"/>
                          </w:tblCellMar>
                        </w:tblPrEx>
                        <w:trPr>
                          <w:trHeight w:hRule="exact" w:val="754"/>
                        </w:trPr>
                        <w:tc>
                          <w:tcPr>
                            <w:tcW w:w="2357" w:type="dxa"/>
                            <w:shd w:val="clear" w:color="auto" w:fill="FFFFFF"/>
                            <w:vAlign w:val="center"/>
                          </w:tcPr>
                          <w:p w14:paraId="178A209B" w14:textId="77777777" w:rsidR="00924992" w:rsidRDefault="00924992">
                            <w:pPr>
                              <w:pStyle w:val="Other0"/>
                              <w:spacing w:line="240" w:lineRule="auto"/>
                              <w:ind w:firstLine="0"/>
                              <w:rPr>
                                <w:sz w:val="16"/>
                                <w:szCs w:val="16"/>
                              </w:rPr>
                            </w:pPr>
                            <w:r>
                              <w:rPr>
                                <w:rFonts w:ascii="Times New Roman" w:eastAsia="Times New Roman" w:hAnsi="Times New Roman" w:cs="Times New Roman"/>
                                <w:color w:val="000000"/>
                                <w:sz w:val="16"/>
                                <w:szCs w:val="16"/>
                              </w:rPr>
                              <w:t>Kanamicina (Kantrex)</w:t>
                            </w:r>
                          </w:p>
                        </w:tc>
                        <w:tc>
                          <w:tcPr>
                            <w:tcW w:w="1286" w:type="dxa"/>
                            <w:shd w:val="clear" w:color="auto" w:fill="FFFFFF"/>
                            <w:vAlign w:val="center"/>
                          </w:tcPr>
                          <w:p w14:paraId="2911A251" w14:textId="77777777" w:rsidR="00924992" w:rsidRDefault="00924992">
                            <w:pPr>
                              <w:pStyle w:val="Other0"/>
                              <w:spacing w:line="240" w:lineRule="auto"/>
                              <w:ind w:firstLine="260"/>
                              <w:rPr>
                                <w:sz w:val="16"/>
                                <w:szCs w:val="16"/>
                              </w:rPr>
                            </w:pPr>
                            <w:r>
                              <w:rPr>
                                <w:rFonts w:ascii="Times New Roman" w:eastAsia="Times New Roman" w:hAnsi="Times New Roman" w:cs="Times New Roman"/>
                                <w:color w:val="000000"/>
                                <w:sz w:val="16"/>
                                <w:szCs w:val="16"/>
                              </w:rPr>
                              <w:t>IV, IM</w:t>
                            </w:r>
                          </w:p>
                        </w:tc>
                      </w:tr>
                      <w:tr w:rsidR="00924992" w14:paraId="457B71E6" w14:textId="77777777">
                        <w:tblPrEx>
                          <w:tblCellMar>
                            <w:top w:w="0" w:type="dxa"/>
                            <w:bottom w:w="0" w:type="dxa"/>
                          </w:tblCellMar>
                        </w:tblPrEx>
                        <w:trPr>
                          <w:trHeight w:hRule="exact" w:val="547"/>
                        </w:trPr>
                        <w:tc>
                          <w:tcPr>
                            <w:tcW w:w="2357" w:type="dxa"/>
                            <w:shd w:val="clear" w:color="auto" w:fill="FFFFFF"/>
                            <w:vAlign w:val="center"/>
                          </w:tcPr>
                          <w:p w14:paraId="479E9ABB" w14:textId="77777777" w:rsidR="00924992" w:rsidRDefault="00924992">
                            <w:pPr>
                              <w:pStyle w:val="Other0"/>
                              <w:spacing w:line="240" w:lineRule="auto"/>
                              <w:ind w:firstLine="0"/>
                              <w:rPr>
                                <w:sz w:val="16"/>
                                <w:szCs w:val="16"/>
                              </w:rPr>
                            </w:pPr>
                            <w:r>
                              <w:rPr>
                                <w:rFonts w:ascii="Times New Roman" w:eastAsia="Times New Roman" w:hAnsi="Times New Roman" w:cs="Times New Roman"/>
                                <w:color w:val="000000"/>
                                <w:sz w:val="16"/>
                                <w:szCs w:val="16"/>
                              </w:rPr>
                              <w:t>Neomicina (numerosos tipos)</w:t>
                            </w:r>
                          </w:p>
                        </w:tc>
                        <w:tc>
                          <w:tcPr>
                            <w:tcW w:w="1286" w:type="dxa"/>
                            <w:shd w:val="clear" w:color="auto" w:fill="FFFFFF"/>
                            <w:vAlign w:val="center"/>
                          </w:tcPr>
                          <w:p w14:paraId="2AA2E016" w14:textId="77777777" w:rsidR="00924992" w:rsidRDefault="00924992">
                            <w:pPr>
                              <w:pStyle w:val="Other0"/>
                              <w:spacing w:line="240" w:lineRule="auto"/>
                              <w:ind w:firstLine="260"/>
                              <w:rPr>
                                <w:sz w:val="16"/>
                                <w:szCs w:val="16"/>
                              </w:rPr>
                            </w:pPr>
                            <w:r>
                              <w:rPr>
                                <w:rFonts w:ascii="Times New Roman" w:eastAsia="Times New Roman" w:hAnsi="Times New Roman" w:cs="Times New Roman"/>
                                <w:color w:val="000000"/>
                                <w:sz w:val="16"/>
                                <w:szCs w:val="16"/>
                              </w:rPr>
                              <w:t>PO solamente</w:t>
                            </w:r>
                          </w:p>
                        </w:tc>
                      </w:tr>
                      <w:tr w:rsidR="00924992" w14:paraId="0F68EAD4" w14:textId="77777777">
                        <w:tblPrEx>
                          <w:tblCellMar>
                            <w:top w:w="0" w:type="dxa"/>
                            <w:bottom w:w="0" w:type="dxa"/>
                          </w:tblCellMar>
                        </w:tblPrEx>
                        <w:trPr>
                          <w:trHeight w:hRule="exact" w:val="533"/>
                        </w:trPr>
                        <w:tc>
                          <w:tcPr>
                            <w:tcW w:w="2357" w:type="dxa"/>
                            <w:shd w:val="clear" w:color="auto" w:fill="FFFFFF"/>
                            <w:vAlign w:val="center"/>
                          </w:tcPr>
                          <w:p w14:paraId="2BCD7074" w14:textId="77777777" w:rsidR="00924992" w:rsidRDefault="00924992">
                            <w:pPr>
                              <w:pStyle w:val="Other0"/>
                              <w:spacing w:line="240" w:lineRule="auto"/>
                              <w:ind w:firstLine="0"/>
                              <w:rPr>
                                <w:sz w:val="16"/>
                                <w:szCs w:val="16"/>
                              </w:rPr>
                            </w:pPr>
                            <w:r>
                              <w:rPr>
                                <w:rFonts w:ascii="Times New Roman" w:eastAsia="Times New Roman" w:hAnsi="Times New Roman" w:cs="Times New Roman"/>
                                <w:color w:val="000000"/>
                                <w:sz w:val="16"/>
                                <w:szCs w:val="16"/>
                              </w:rPr>
                              <w:t>Paromomicina (Humatin)</w:t>
                            </w:r>
                          </w:p>
                        </w:tc>
                        <w:tc>
                          <w:tcPr>
                            <w:tcW w:w="1286" w:type="dxa"/>
                            <w:shd w:val="clear" w:color="auto" w:fill="FFFFFF"/>
                            <w:vAlign w:val="center"/>
                          </w:tcPr>
                          <w:p w14:paraId="035FDB33" w14:textId="77777777" w:rsidR="00924992" w:rsidRDefault="00924992">
                            <w:pPr>
                              <w:pStyle w:val="Other0"/>
                              <w:spacing w:line="240" w:lineRule="auto"/>
                              <w:ind w:firstLine="260"/>
                              <w:rPr>
                                <w:sz w:val="16"/>
                                <w:szCs w:val="16"/>
                              </w:rPr>
                            </w:pPr>
                            <w:r>
                              <w:rPr>
                                <w:rFonts w:ascii="Times New Roman" w:eastAsia="Times New Roman" w:hAnsi="Times New Roman" w:cs="Times New Roman"/>
                                <w:color w:val="000000"/>
                                <w:sz w:val="16"/>
                                <w:szCs w:val="16"/>
                              </w:rPr>
                              <w:t>PO</w:t>
                            </w:r>
                          </w:p>
                        </w:tc>
                      </w:tr>
                      <w:tr w:rsidR="00924992" w14:paraId="31B980F6" w14:textId="77777777">
                        <w:tblPrEx>
                          <w:tblCellMar>
                            <w:top w:w="0" w:type="dxa"/>
                            <w:bottom w:w="0" w:type="dxa"/>
                          </w:tblCellMar>
                        </w:tblPrEx>
                        <w:trPr>
                          <w:trHeight w:hRule="exact" w:val="653"/>
                        </w:trPr>
                        <w:tc>
                          <w:tcPr>
                            <w:tcW w:w="2357" w:type="dxa"/>
                            <w:shd w:val="clear" w:color="auto" w:fill="FFFFFF"/>
                            <w:vAlign w:val="center"/>
                          </w:tcPr>
                          <w:p w14:paraId="47057C70" w14:textId="77777777" w:rsidR="00924992" w:rsidRDefault="00924992">
                            <w:pPr>
                              <w:pStyle w:val="Other0"/>
                              <w:spacing w:line="240" w:lineRule="auto"/>
                              <w:ind w:firstLine="0"/>
                              <w:rPr>
                                <w:sz w:val="16"/>
                                <w:szCs w:val="16"/>
                              </w:rPr>
                            </w:pPr>
                            <w:r>
                              <w:rPr>
                                <w:rFonts w:ascii="Times New Roman" w:eastAsia="Times New Roman" w:hAnsi="Times New Roman" w:cs="Times New Roman"/>
                                <w:color w:val="000000"/>
                                <w:sz w:val="16"/>
                                <w:szCs w:val="16"/>
                              </w:rPr>
                              <w:t>Tobramicina (Nebcin)</w:t>
                            </w:r>
                          </w:p>
                        </w:tc>
                        <w:tc>
                          <w:tcPr>
                            <w:tcW w:w="1286" w:type="dxa"/>
                            <w:shd w:val="clear" w:color="auto" w:fill="FFFFFF"/>
                            <w:vAlign w:val="center"/>
                          </w:tcPr>
                          <w:p w14:paraId="3883C215" w14:textId="77777777" w:rsidR="00924992" w:rsidRDefault="00924992">
                            <w:pPr>
                              <w:pStyle w:val="Other0"/>
                              <w:spacing w:line="240" w:lineRule="auto"/>
                              <w:ind w:firstLine="260"/>
                              <w:rPr>
                                <w:sz w:val="16"/>
                                <w:szCs w:val="16"/>
                              </w:rPr>
                            </w:pPr>
                            <w:r>
                              <w:rPr>
                                <w:rFonts w:ascii="Times New Roman" w:eastAsia="Times New Roman" w:hAnsi="Times New Roman" w:cs="Times New Roman"/>
                                <w:color w:val="000000"/>
                                <w:sz w:val="16"/>
                                <w:szCs w:val="16"/>
                              </w:rPr>
                              <w:t>IV, IM</w:t>
                            </w:r>
                          </w:p>
                        </w:tc>
                      </w:tr>
                      <w:tr w:rsidR="00924992" w14:paraId="3D69AF39" w14:textId="77777777">
                        <w:tblPrEx>
                          <w:tblCellMar>
                            <w:top w:w="0" w:type="dxa"/>
                            <w:bottom w:w="0" w:type="dxa"/>
                          </w:tblCellMar>
                        </w:tblPrEx>
                        <w:trPr>
                          <w:trHeight w:hRule="exact" w:val="542"/>
                        </w:trPr>
                        <w:tc>
                          <w:tcPr>
                            <w:tcW w:w="2357" w:type="dxa"/>
                            <w:shd w:val="clear" w:color="auto" w:fill="FFFFFF"/>
                            <w:vAlign w:val="center"/>
                          </w:tcPr>
                          <w:p w14:paraId="34953556" w14:textId="77777777" w:rsidR="00924992" w:rsidRDefault="00924992">
                            <w:pPr>
                              <w:pStyle w:val="Other0"/>
                              <w:spacing w:line="240" w:lineRule="auto"/>
                              <w:ind w:firstLine="0"/>
                              <w:rPr>
                                <w:sz w:val="16"/>
                                <w:szCs w:val="16"/>
                              </w:rPr>
                            </w:pPr>
                            <w:r>
                              <w:rPr>
                                <w:rFonts w:ascii="Times New Roman" w:eastAsia="Times New Roman" w:hAnsi="Times New Roman" w:cs="Times New Roman"/>
                                <w:b/>
                                <w:bCs/>
                                <w:color w:val="000000"/>
                                <w:sz w:val="16"/>
                                <w:szCs w:val="16"/>
                              </w:rPr>
                              <w:t>Aztreonam</w:t>
                            </w:r>
                            <w:r>
                              <w:rPr>
                                <w:rFonts w:ascii="Times New Roman" w:eastAsia="Times New Roman" w:hAnsi="Times New Roman" w:cs="Times New Roman"/>
                                <w:b/>
                                <w:bCs/>
                                <w:color w:val="000000"/>
                                <w:sz w:val="16"/>
                                <w:szCs w:val="16"/>
                                <w:vertAlign w:val="superscript"/>
                              </w:rPr>
                              <w:t>2</w:t>
                            </w:r>
                            <w:r>
                              <w:rPr>
                                <w:rFonts w:ascii="Times New Roman" w:eastAsia="Times New Roman" w:hAnsi="Times New Roman" w:cs="Times New Roman"/>
                                <w:b/>
                                <w:bCs/>
                                <w:color w:val="000000"/>
                                <w:sz w:val="16"/>
                                <w:szCs w:val="16"/>
                              </w:rPr>
                              <w:t xml:space="preserve"> </w:t>
                            </w:r>
                            <w:r>
                              <w:rPr>
                                <w:rFonts w:ascii="Times New Roman" w:eastAsia="Times New Roman" w:hAnsi="Times New Roman" w:cs="Times New Roman"/>
                                <w:color w:val="000000"/>
                                <w:sz w:val="16"/>
                                <w:szCs w:val="16"/>
                              </w:rPr>
                              <w:t>(Azactam)</w:t>
                            </w:r>
                          </w:p>
                        </w:tc>
                        <w:tc>
                          <w:tcPr>
                            <w:tcW w:w="1286" w:type="dxa"/>
                            <w:shd w:val="clear" w:color="auto" w:fill="FFFFFF"/>
                            <w:vAlign w:val="center"/>
                          </w:tcPr>
                          <w:p w14:paraId="5B2BE128" w14:textId="77777777" w:rsidR="00924992" w:rsidRDefault="00924992">
                            <w:pPr>
                              <w:pStyle w:val="Other0"/>
                              <w:spacing w:line="240" w:lineRule="auto"/>
                              <w:ind w:firstLine="260"/>
                              <w:rPr>
                                <w:sz w:val="16"/>
                                <w:szCs w:val="16"/>
                              </w:rPr>
                            </w:pPr>
                            <w:r>
                              <w:rPr>
                                <w:rFonts w:ascii="Times New Roman" w:eastAsia="Times New Roman" w:hAnsi="Times New Roman" w:cs="Times New Roman"/>
                                <w:color w:val="000000"/>
                                <w:sz w:val="16"/>
                                <w:szCs w:val="16"/>
                              </w:rPr>
                              <w:t>IV, IM</w:t>
                            </w:r>
                          </w:p>
                        </w:tc>
                      </w:tr>
                      <w:tr w:rsidR="00924992" w14:paraId="0914746A" w14:textId="77777777">
                        <w:tblPrEx>
                          <w:tblCellMar>
                            <w:top w:w="0" w:type="dxa"/>
                            <w:bottom w:w="0" w:type="dxa"/>
                          </w:tblCellMar>
                        </w:tblPrEx>
                        <w:trPr>
                          <w:trHeight w:hRule="exact" w:val="341"/>
                        </w:trPr>
                        <w:tc>
                          <w:tcPr>
                            <w:tcW w:w="2357" w:type="dxa"/>
                            <w:shd w:val="clear" w:color="auto" w:fill="FFFFFF"/>
                            <w:vAlign w:val="bottom"/>
                          </w:tcPr>
                          <w:p w14:paraId="1A73E292" w14:textId="77777777" w:rsidR="00924992" w:rsidRDefault="00924992">
                            <w:pPr>
                              <w:pStyle w:val="Other0"/>
                              <w:spacing w:line="240" w:lineRule="auto"/>
                              <w:ind w:firstLine="0"/>
                              <w:rPr>
                                <w:sz w:val="16"/>
                                <w:szCs w:val="16"/>
                              </w:rPr>
                            </w:pPr>
                            <w:r>
                              <w:rPr>
                                <w:rFonts w:ascii="Times New Roman" w:eastAsia="Times New Roman" w:hAnsi="Times New Roman" w:cs="Times New Roman"/>
                                <w:b/>
                                <w:bCs/>
                                <w:color w:val="000000"/>
                                <w:sz w:val="16"/>
                                <w:szCs w:val="16"/>
                              </w:rPr>
                              <w:t>Carbapenémicos</w:t>
                            </w:r>
                          </w:p>
                        </w:tc>
                        <w:tc>
                          <w:tcPr>
                            <w:tcW w:w="1286" w:type="dxa"/>
                            <w:shd w:val="clear" w:color="auto" w:fill="FFFFFF"/>
                          </w:tcPr>
                          <w:p w14:paraId="6AC7ABBD" w14:textId="77777777" w:rsidR="00924992" w:rsidRDefault="00924992">
                            <w:pPr>
                              <w:rPr>
                                <w:sz w:val="10"/>
                                <w:szCs w:val="10"/>
                              </w:rPr>
                            </w:pPr>
                          </w:p>
                        </w:tc>
                      </w:tr>
                      <w:tr w:rsidR="00924992" w14:paraId="10182DB4" w14:textId="77777777">
                        <w:tblPrEx>
                          <w:tblCellMar>
                            <w:top w:w="0" w:type="dxa"/>
                            <w:bottom w:w="0" w:type="dxa"/>
                          </w:tblCellMar>
                        </w:tblPrEx>
                        <w:trPr>
                          <w:trHeight w:hRule="exact" w:val="230"/>
                        </w:trPr>
                        <w:tc>
                          <w:tcPr>
                            <w:tcW w:w="2357" w:type="dxa"/>
                            <w:shd w:val="clear" w:color="auto" w:fill="FFFFFF"/>
                          </w:tcPr>
                          <w:p w14:paraId="70C2B8A2" w14:textId="77777777" w:rsidR="00924992" w:rsidRDefault="00924992">
                            <w:pPr>
                              <w:pStyle w:val="Other0"/>
                              <w:spacing w:line="240" w:lineRule="auto"/>
                              <w:ind w:firstLine="0"/>
                              <w:rPr>
                                <w:sz w:val="16"/>
                                <w:szCs w:val="16"/>
                              </w:rPr>
                            </w:pPr>
                            <w:r>
                              <w:rPr>
                                <w:rFonts w:ascii="Times New Roman" w:eastAsia="Times New Roman" w:hAnsi="Times New Roman" w:cs="Times New Roman"/>
                                <w:color w:val="000000"/>
                                <w:sz w:val="16"/>
                                <w:szCs w:val="16"/>
                              </w:rPr>
                              <w:t>Imipenem</w:t>
                            </w:r>
                            <w:r>
                              <w:rPr>
                                <w:rFonts w:ascii="Times New Roman" w:eastAsia="Times New Roman" w:hAnsi="Times New Roman" w:cs="Times New Roman"/>
                                <w:color w:val="000000"/>
                                <w:sz w:val="16"/>
                                <w:szCs w:val="16"/>
                                <w:vertAlign w:val="superscript"/>
                              </w:rPr>
                              <w:t>2,4</w:t>
                            </w:r>
                            <w:r>
                              <w:rPr>
                                <w:rFonts w:ascii="Times New Roman" w:eastAsia="Times New Roman" w:hAnsi="Times New Roman" w:cs="Times New Roman"/>
                                <w:color w:val="000000"/>
                                <w:sz w:val="16"/>
                                <w:szCs w:val="16"/>
                              </w:rPr>
                              <w:t xml:space="preserve"> (Primaxin)</w:t>
                            </w:r>
                          </w:p>
                        </w:tc>
                        <w:tc>
                          <w:tcPr>
                            <w:tcW w:w="1286" w:type="dxa"/>
                            <w:shd w:val="clear" w:color="auto" w:fill="FFFFFF"/>
                          </w:tcPr>
                          <w:p w14:paraId="79320C8B" w14:textId="77777777" w:rsidR="00924992" w:rsidRDefault="00924992">
                            <w:pPr>
                              <w:pStyle w:val="Other0"/>
                              <w:spacing w:line="240" w:lineRule="auto"/>
                              <w:ind w:firstLine="260"/>
                              <w:rPr>
                                <w:sz w:val="16"/>
                                <w:szCs w:val="16"/>
                              </w:rPr>
                            </w:pPr>
                            <w:r>
                              <w:rPr>
                                <w:rFonts w:ascii="Times New Roman" w:eastAsia="Times New Roman" w:hAnsi="Times New Roman" w:cs="Times New Roman"/>
                                <w:color w:val="000000"/>
                                <w:sz w:val="16"/>
                                <w:szCs w:val="16"/>
                              </w:rPr>
                              <w:t>IV, IM</w:t>
                            </w:r>
                          </w:p>
                        </w:tc>
                      </w:tr>
                    </w:tbl>
                    <w:p w14:paraId="0A9E19F3" w14:textId="77777777" w:rsidR="00924992" w:rsidRDefault="00924992">
                      <w:pPr>
                        <w:spacing w:line="1" w:lineRule="exact"/>
                      </w:pPr>
                    </w:p>
                  </w:txbxContent>
                </v:textbox>
                <w10:wrap type="square" anchorx="page"/>
              </v:shape>
            </w:pict>
          </mc:Fallback>
        </mc:AlternateContent>
      </w:r>
      <w:r>
        <w:rPr>
          <w:noProof/>
        </w:rPr>
        <mc:AlternateContent>
          <mc:Choice Requires="wps">
            <w:drawing>
              <wp:anchor distT="101600" distB="330200" distL="114300" distR="114300" simplePos="0" relativeHeight="251670528" behindDoc="0" locked="0" layoutInCell="1" allowOverlap="1" wp14:anchorId="6B336EB7" wp14:editId="2F2B5EA3">
                <wp:simplePos x="0" y="0"/>
                <wp:positionH relativeFrom="page">
                  <wp:posOffset>3654425</wp:posOffset>
                </wp:positionH>
                <wp:positionV relativeFrom="paragraph">
                  <wp:posOffset>137160</wp:posOffset>
                </wp:positionV>
                <wp:extent cx="603250" cy="560705"/>
                <wp:effectExtent l="0" t="0" r="0" b="0"/>
                <wp:wrapTopAndBottom/>
                <wp:docPr id="2227" name="Shape 2227"/>
                <wp:cNvGraphicFramePr/>
                <a:graphic xmlns:a="http://schemas.openxmlformats.org/drawingml/2006/main">
                  <a:graphicData uri="http://schemas.microsoft.com/office/word/2010/wordprocessingShape">
                    <wps:wsp>
                      <wps:cNvSpPr txBox="1"/>
                      <wps:spPr>
                        <a:xfrm>
                          <a:off x="0" y="0"/>
                          <a:ext cx="603250" cy="560705"/>
                        </a:xfrm>
                        <a:prstGeom prst="rect">
                          <a:avLst/>
                        </a:prstGeom>
                        <a:noFill/>
                      </wps:spPr>
                      <wps:txbx>
                        <w:txbxContent>
                          <w:p w14:paraId="7E94E8DF" w14:textId="77777777" w:rsidR="00924992" w:rsidRDefault="00924992">
                            <w:pPr>
                              <w:pStyle w:val="Bodytext20"/>
                              <w:spacing w:after="440" w:line="240" w:lineRule="auto"/>
                            </w:pPr>
                            <w:r>
                              <w:rPr>
                                <w:color w:val="000000"/>
                              </w:rPr>
                              <w:t>Inapropiados</w:t>
                            </w:r>
                          </w:p>
                          <w:p w14:paraId="31B6BF5B" w14:textId="77777777" w:rsidR="00924992" w:rsidRDefault="00924992">
                            <w:pPr>
                              <w:pStyle w:val="Bodytext20"/>
                              <w:spacing w:line="240" w:lineRule="auto"/>
                            </w:pPr>
                            <w:r>
                              <w:rPr>
                                <w:color w:val="000000"/>
                              </w:rPr>
                              <w:t>Inapropiada</w:t>
                            </w:r>
                          </w:p>
                        </w:txbxContent>
                      </wps:txbx>
                      <wps:bodyPr lIns="0" tIns="0" rIns="0" bIns="0"/>
                    </wps:wsp>
                  </a:graphicData>
                </a:graphic>
              </wp:anchor>
            </w:drawing>
          </mc:Choice>
          <mc:Fallback>
            <w:pict>
              <v:shape w14:anchorId="6B336EB7" id="Shape 2227" o:spid="_x0000_s1036" type="#_x0000_t202" style="position:absolute;margin-left:287.75pt;margin-top:10.8pt;width:47.5pt;height:44.15pt;z-index:251670528;visibility:visible;mso-wrap-style:square;mso-wrap-distance-left:9pt;mso-wrap-distance-top:8pt;mso-wrap-distance-right:9pt;mso-wrap-distance-bottom:26pt;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" filled="f" stroked="f">
                <v:textbox inset="0,0,0,0">
                  <w:txbxContent>
                    <w:p w14:paraId="7E94E8DF" w14:textId="77777777" w:rsidR="00924992" w:rsidRDefault="00924992">
                      <w:pPr>
                        <w:pStyle w:val="Bodytext20"/>
                        <w:spacing w:after="440" w:line="240" w:lineRule="auto"/>
                      </w:pPr>
                      <w:r>
                        <w:rPr>
                          <w:color w:val="000000"/>
                        </w:rPr>
                        <w:t>Inapropiados</w:t>
                      </w:r>
                    </w:p>
                    <w:p w14:paraId="31B6BF5B" w14:textId="77777777" w:rsidR="00924992" w:rsidRDefault="00924992">
                      <w:pPr>
                        <w:pStyle w:val="Bodytext20"/>
                        <w:spacing w:line="240" w:lineRule="auto"/>
                      </w:pPr>
                      <w:r>
                        <w:rPr>
                          <w:color w:val="000000"/>
                        </w:rPr>
                        <w:t>Inapropiada</w:t>
                      </w:r>
                    </w:p>
                  </w:txbxContent>
                </v:textbox>
                <w10:wrap type="topAndBottom" anchorx="page"/>
              </v:shape>
            </w:pict>
          </mc:Fallback>
        </mc:AlternateContent>
      </w:r>
      <w:r>
        <w:rPr>
          <w:noProof/>
        </w:rPr>
        <mc:AlternateContent>
          <mc:Choice Requires="wps">
            <w:drawing>
              <wp:anchor distT="0" distB="0" distL="114300" distR="114300" simplePos="0" relativeHeight="251671552" behindDoc="0" locked="0" layoutInCell="1" allowOverlap="1" wp14:anchorId="2DDA6C4E" wp14:editId="2F79C50D">
                <wp:simplePos x="0" y="0"/>
                <wp:positionH relativeFrom="page">
                  <wp:posOffset>7867015</wp:posOffset>
                </wp:positionH>
                <wp:positionV relativeFrom="paragraph">
                  <wp:posOffset>435610</wp:posOffset>
                </wp:positionV>
                <wp:extent cx="106680" cy="3145790"/>
                <wp:effectExtent l="0" t="0" r="0" b="0"/>
                <wp:wrapSquare wrapText="bothSides"/>
                <wp:docPr id="2229" name="Shape 2229"/>
                <wp:cNvGraphicFramePr/>
                <a:graphic xmlns:a="http://schemas.openxmlformats.org/drawingml/2006/main">
                  <a:graphicData uri="http://schemas.microsoft.com/office/word/2010/wordprocessingShape">
                    <wps:wsp>
                      <wps:cNvSpPr txBox="1"/>
                      <wps:spPr>
                        <a:xfrm>
                          <a:off x="0" y="0"/>
                          <a:ext cx="106680" cy="3145790"/>
                        </a:xfrm>
                        <a:prstGeom prst="rect">
                          <a:avLst/>
                        </a:prstGeom>
                        <a:noFill/>
                      </wps:spPr>
                      <wps:txbx>
                        <w:txbxContent>
                          <w:p w14:paraId="5231C037" w14:textId="77777777" w:rsidR="00924992" w:rsidRDefault="00924992">
                            <w:pPr>
                              <w:pStyle w:val="Bodytext80"/>
                              <w:tabs>
                                <w:tab w:val="left" w:pos="4637"/>
                              </w:tabs>
                              <w:rPr>
                                <w:sz w:val="16"/>
                                <w:szCs w:val="16"/>
                              </w:rPr>
                            </w:pPr>
                            <w:r>
                              <w:t>CUADROS DE DOSIS DE ANTIMICROBIANOS</w:t>
                            </w:r>
                            <w:r>
                              <w:tab/>
                            </w:r>
                            <w:r>
                              <w:rPr>
                                <w:sz w:val="16"/>
                                <w:szCs w:val="16"/>
                              </w:rPr>
                              <w:t>733</w:t>
                            </w:r>
                          </w:p>
                        </w:txbxContent>
                      </wps:txbx>
                      <wps:bodyPr vert="vert" lIns="0" tIns="0" rIns="0" bIns="0" upright="1"/>
                    </wps:wsp>
                  </a:graphicData>
                </a:graphic>
              </wp:anchor>
            </w:drawing>
          </mc:Choice>
          <mc:Fallback>
            <w:pict>
              <v:shape w14:anchorId="2DDA6C4E" id="Shape 2229" o:spid="_x0000_s1037" type="#_x0000_t202" style="position:absolute;margin-left:619.45pt;margin-top:34.3pt;width:8.4pt;height:247.7pt;z-index:251671552;visibility:visible;mso-wrap-style:square;mso-wrap-distance-left:9pt;mso-wrap-distance-top:0;mso-wrap-distance-right:9pt;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" filled="f" stroked="f">
                <v:textbox style="layout-flow:vertical" inset="0,0,0,0">
                  <w:txbxContent>
                    <w:p w14:paraId="5231C037" w14:textId="77777777" w:rsidR="00924992" w:rsidRDefault="00924992">
                      <w:pPr>
                        <w:pStyle w:val="Bodytext80"/>
                        <w:tabs>
                          <w:tab w:val="left" w:pos="4637"/>
                        </w:tabs>
                        <w:rPr>
                          <w:sz w:val="16"/>
                          <w:szCs w:val="16"/>
                        </w:rPr>
                      </w:pPr>
                      <w:r>
                        <w:t>CUADROS DE DOSIS DE ANTIMICROBIANOS</w:t>
                      </w:r>
                      <w:r>
                        <w:tab/>
                      </w:r>
                      <w:r>
                        <w:rPr>
                          <w:sz w:val="16"/>
                          <w:szCs w:val="16"/>
                        </w:rPr>
                        <w:t>733</w:t>
                      </w:r>
                    </w:p>
                  </w:txbxContent>
                </v:textbox>
                <w10:wrap type="square" anchorx="page"/>
              </v:shape>
            </w:pict>
          </mc:Fallback>
        </mc:AlternateContent>
      </w:r>
    </w:p>
    <w:p w14:paraId="28DAE61F" w14:textId="77777777" w:rsidR="00924992" w:rsidRDefault="00924992">
      <w:pPr>
        <w:pStyle w:val="Bodytext20"/>
        <w:spacing w:after="420" w:line="295" w:lineRule="auto"/>
      </w:pPr>
      <w:r>
        <w:rPr>
          <w:color w:val="000000"/>
        </w:rPr>
        <w:t>Inapropiada</w:t>
      </w:r>
    </w:p>
    <w:p w14:paraId="70BAFC04" w14:textId="77777777" w:rsidR="00924992" w:rsidRDefault="00924992">
      <w:pPr>
        <w:pStyle w:val="Bodytext20"/>
        <w:spacing w:after="200" w:line="295" w:lineRule="auto"/>
      </w:pPr>
      <w:r>
        <w:rPr>
          <w:color w:val="000000"/>
        </w:rPr>
        <w:t>100 mg en 4 dosis</w:t>
      </w:r>
    </w:p>
    <w:p w14:paraId="50630D9A" w14:textId="77777777" w:rsidR="00924992" w:rsidRDefault="00924992">
      <w:pPr>
        <w:pStyle w:val="Bodytext20"/>
        <w:spacing w:line="307" w:lineRule="auto"/>
      </w:pPr>
      <w:r>
        <w:rPr>
          <w:color w:val="000000"/>
        </w:rPr>
        <w:t xml:space="preserve">30 mg en 3 dosis (dosis máxima diaria para adulto, </w:t>
      </w:r>
      <w:r>
        <w:rPr>
          <w:color w:val="000000"/>
          <w:vertAlign w:val="superscript"/>
        </w:rPr>
        <w:t>4</w:t>
      </w:r>
      <w:r>
        <w:rPr>
          <w:color w:val="000000"/>
        </w:rPr>
        <w:t xml:space="preserve"> g)</w:t>
      </w:r>
    </w:p>
    <w:p w14:paraId="030DB95F" w14:textId="77777777" w:rsidR="00924992" w:rsidRDefault="00924992">
      <w:pPr>
        <w:pStyle w:val="Bodytext20"/>
        <w:spacing w:after="420" w:line="230" w:lineRule="auto"/>
      </w:pPr>
      <w:r>
        <w:rPr>
          <w:color w:val="000000"/>
        </w:rPr>
        <w:t>Inapropiada</w:t>
      </w:r>
    </w:p>
    <w:p w14:paraId="408D1E9E" w14:textId="77777777" w:rsidR="00924992" w:rsidRDefault="00924992">
      <w:pPr>
        <w:pStyle w:val="Bodytext20"/>
        <w:spacing w:after="200"/>
      </w:pPr>
      <w:r>
        <w:rPr>
          <w:color w:val="000000"/>
        </w:rPr>
        <w:t>90 mg en 3 dosis (dosis diaria del adulto, 3 g)</w:t>
      </w:r>
    </w:p>
    <w:p w14:paraId="00DC7A95" w14:textId="77777777" w:rsidR="00924992" w:rsidRDefault="00924992">
      <w:pPr>
        <w:pStyle w:val="Bodytext20"/>
      </w:pPr>
      <w:r>
        <w:rPr>
          <w:color w:val="000000"/>
        </w:rPr>
        <w:t>40-60 mg en 4 dosis (dosis diaria del adulto, 1-2 g) 15-22.5 mg en 3 dosis (dosis diaria del adulto, 15 mg/kg; dosis máxima, 1.5 g)</w:t>
      </w:r>
    </w:p>
    <w:p w14:paraId="25574ED1" w14:textId="77777777" w:rsidR="00924992" w:rsidRDefault="00924992">
      <w:pPr>
        <w:pStyle w:val="Bodytext20"/>
        <w:spacing w:after="420"/>
      </w:pPr>
      <w:r>
        <w:rPr>
          <w:color w:val="000000"/>
        </w:rPr>
        <w:t>3-7.5 mg en 3 dosis (la dosis diaria del adulto es igual)</w:t>
      </w:r>
    </w:p>
    <w:p w14:paraId="2177739B" w14:textId="77777777" w:rsidR="00924992" w:rsidRDefault="00924992">
      <w:pPr>
        <w:pStyle w:val="Bodytext20"/>
        <w:spacing w:after="200"/>
      </w:pPr>
      <w:r>
        <w:rPr>
          <w:color w:val="000000"/>
        </w:rPr>
        <w:t>15-22.5 mg en 3 dosis (dosis diaria del adulto, 1-1.5 g)</w:t>
      </w:r>
    </w:p>
    <w:p w14:paraId="7E9AD1D1" w14:textId="77777777" w:rsidR="00924992" w:rsidRDefault="00924992">
      <w:pPr>
        <w:pStyle w:val="Bodytext20"/>
        <w:spacing w:after="200"/>
      </w:pPr>
      <w:r>
        <w:rPr>
          <w:color w:val="000000"/>
        </w:rPr>
        <w:t>100 mg en 4 dosis</w:t>
      </w:r>
    </w:p>
    <w:p w14:paraId="14703295" w14:textId="77777777" w:rsidR="00924992" w:rsidRDefault="00924992">
      <w:pPr>
        <w:pStyle w:val="Bodytext20"/>
        <w:spacing w:after="420"/>
        <w:jc w:val="both"/>
      </w:pPr>
      <w:r>
        <w:rPr>
          <w:color w:val="000000"/>
        </w:rPr>
        <w:t>Inapropiada</w:t>
      </w:r>
    </w:p>
    <w:p w14:paraId="2F512C5C" w14:textId="77777777" w:rsidR="00924992" w:rsidRDefault="00924992">
      <w:pPr>
        <w:pStyle w:val="Bodytext20"/>
      </w:pPr>
      <w:r>
        <w:rPr>
          <w:color w:val="000000"/>
        </w:rPr>
        <w:t>3-7.5 mg en 3 dosis (dosis diaria del adulto, 3-5 mg en 3 dosis)</w:t>
      </w:r>
    </w:p>
    <w:p w14:paraId="581FA208" w14:textId="77777777" w:rsidR="00924992" w:rsidRDefault="00924992">
      <w:pPr>
        <w:pStyle w:val="Bodytext20"/>
      </w:pPr>
      <w:r>
        <w:rPr>
          <w:color w:val="000000"/>
        </w:rPr>
        <w:t>120 mg en 4 dosis</w:t>
      </w:r>
    </w:p>
    <w:p w14:paraId="5097FA3A" w14:textId="77777777" w:rsidR="00924992" w:rsidRDefault="00924992">
      <w:pPr>
        <w:pStyle w:val="Bodytext20"/>
        <w:spacing w:after="200"/>
      </w:pPr>
      <w:r>
        <w:rPr>
          <w:color w:val="000000"/>
        </w:rPr>
        <w:t>(dosis diaria del adulto, 8 g)</w:t>
      </w:r>
    </w:p>
    <w:p w14:paraId="71675D6E" w14:textId="77777777" w:rsidR="00924992" w:rsidRDefault="00924992">
      <w:pPr>
        <w:pStyle w:val="Bodytext20"/>
        <w:spacing w:after="200"/>
      </w:pPr>
      <w:r>
        <w:rPr>
          <w:color w:val="000000"/>
        </w:rPr>
        <w:t>60 mg en 4 dosis (dosis diaria del adulto, 2-4 g)</w:t>
      </w:r>
    </w:p>
    <w:p w14:paraId="2578476A" w14:textId="77777777" w:rsidR="00924992" w:rsidRDefault="00924992">
      <w:pPr>
        <w:pStyle w:val="Bodytext20"/>
      </w:pPr>
      <w:r>
        <w:rPr>
          <w:color w:val="000000"/>
        </w:rPr>
        <w:t>Algunos consultores recomiendan 30 mg en 3 dosis.</w:t>
      </w:r>
    </w:p>
    <w:p w14:paraId="12586A21" w14:textId="77777777" w:rsidR="00924992" w:rsidRDefault="00924992">
      <w:pPr>
        <w:pStyle w:val="Bodytext20"/>
      </w:pPr>
      <w:r>
        <w:rPr>
          <w:color w:val="000000"/>
        </w:rPr>
        <w:t>Una dosis diaria</w:t>
      </w:r>
    </w:p>
    <w:p w14:paraId="64EC2570" w14:textId="77777777" w:rsidR="00924992" w:rsidRDefault="00924992">
      <w:pPr>
        <w:pStyle w:val="Bodytext20"/>
      </w:pPr>
      <w:r>
        <w:rPr>
          <w:color w:val="000000"/>
        </w:rPr>
        <w:t>(5-6 mg/kg cada 24 h) está en investigación en niños.</w:t>
      </w:r>
    </w:p>
    <w:p w14:paraId="52653565" w14:textId="77777777" w:rsidR="00924992" w:rsidRDefault="00924992">
      <w:pPr>
        <w:pStyle w:val="Bodytext20"/>
      </w:pPr>
      <w:r>
        <w:rPr>
          <w:color w:val="000000"/>
        </w:rPr>
        <w:t>Algunos consultores recomiendan 30 mg en 3 dosis.</w:t>
      </w:r>
    </w:p>
    <w:p w14:paraId="0FBE3943" w14:textId="77777777" w:rsidR="00924992" w:rsidRDefault="00924992">
      <w:pPr>
        <w:pStyle w:val="Bodytext20"/>
        <w:spacing w:after="640"/>
      </w:pPr>
      <w:r>
        <w:rPr>
          <w:color w:val="000000"/>
        </w:rPr>
        <w:t>Contra algunas infecciones intestinales.</w:t>
      </w:r>
    </w:p>
    <w:p w14:paraId="0FA78374" w14:textId="77777777" w:rsidR="00924992" w:rsidRDefault="00924992">
      <w:pPr>
        <w:pStyle w:val="Bodytext20"/>
        <w:spacing w:after="640"/>
      </w:pPr>
      <w:r>
        <w:rPr>
          <w:color w:val="000000"/>
        </w:rPr>
        <w:t>Está en fase de investigación en niños una dosis al día (5-6 mg/kg cada 24 h).</w:t>
      </w:r>
    </w:p>
    <w:p w14:paraId="286AB0E4" w14:textId="77777777" w:rsidR="00924992" w:rsidRDefault="00924992">
      <w:pPr>
        <w:pStyle w:val="Bodytext20"/>
      </w:pPr>
      <w:r>
        <w:rPr>
          <w:color w:val="000000"/>
        </w:rPr>
        <w:t>Debe usarse con cautela</w:t>
      </w:r>
    </w:p>
    <w:p w14:paraId="2010D3B3" w14:textId="77777777" w:rsidR="00924992" w:rsidRDefault="00924992">
      <w:pPr>
        <w:pStyle w:val="Bodytext20"/>
        <w:sectPr w:rsidR="00924992" w:rsidSect="00924992">
          <w:type w:val="continuous"/>
          <w:pgSz w:w="13022" w:h="8501" w:orient="landscape"/>
          <w:pgMar w:top="1080" w:right="1099" w:bottom="304" w:left="5750" w:header="0" w:footer="3" w:gutter="0"/>
          <w:cols w:num="3" w:space="100"/>
          <w:noEndnote/>
          <w:docGrid w:linePitch="360"/>
          <w15:footnoteColumns w:val="1"/>
        </w:sectPr>
      </w:pPr>
      <w:r>
        <w:rPr>
          <w:color w:val="000000"/>
        </w:rPr>
        <w:t>al tratar la meningitis ante la posibilidad de convulsiones.</w:t>
      </w:r>
    </w:p>
    <w:p w14:paraId="40964EB2" w14:textId="77777777" w:rsidR="00924992" w:rsidRDefault="00924992">
      <w:pPr>
        <w:pStyle w:val="Heading31"/>
        <w:keepNext/>
        <w:keepLines/>
        <w:framePr w:w="8122" w:h="322" w:wrap="none" w:hAnchor="page" w:x="2267" w:y="1"/>
        <w:rPr>
          <w:sz w:val="16"/>
          <w:szCs w:val="16"/>
        </w:rPr>
      </w:pPr>
      <w:bookmarkStart w:id="258" w:name="bookmark1704"/>
      <w:bookmarkStart w:id="259" w:name="bookmark1705"/>
      <w:bookmarkStart w:id="260" w:name="bookmark1706"/>
      <w:r>
        <w:rPr>
          <w:b w:val="0"/>
          <w:bCs w:val="0"/>
          <w:color w:val="000000"/>
        </w:rPr>
        <w:t xml:space="preserve">Cuadro 4-2. </w:t>
      </w:r>
      <w:r>
        <w:rPr>
          <w:color w:val="000000"/>
        </w:rPr>
        <w:t xml:space="preserve">Empleo de antibacterianos en niños después del periodo neonatal </w:t>
      </w:r>
      <w:r>
        <w:rPr>
          <w:rFonts w:ascii="Times New Roman" w:eastAsia="Times New Roman" w:hAnsi="Times New Roman" w:cs="Times New Roman"/>
          <w:b w:val="0"/>
          <w:bCs w:val="0"/>
          <w:i/>
          <w:iCs/>
          <w:color w:val="000000"/>
          <w:w w:val="100"/>
          <w:sz w:val="16"/>
          <w:szCs w:val="16"/>
        </w:rPr>
        <w:t>continuación</w:t>
      </w:r>
      <w:bookmarkEnd w:id="258"/>
      <w:bookmarkEnd w:id="259"/>
      <w:bookmarkEnd w:id="260"/>
    </w:p>
    <w:p w14:paraId="6155E63E" w14:textId="77777777" w:rsidR="00924992" w:rsidRDefault="00924992">
      <w:pPr>
        <w:pStyle w:val="Heading41"/>
        <w:keepNext/>
        <w:keepLines/>
        <w:framePr w:w="2275" w:h="298" w:wrap="none" w:hAnchor="page" w:x="4023" w:y="332"/>
        <w:pBdr>
          <w:top w:val="single" w:sz="0" w:space="0" w:color="000000"/>
          <w:left w:val="single" w:sz="0" w:space="0" w:color="000000"/>
          <w:bottom w:val="single" w:sz="0" w:space="0" w:color="000000"/>
          <w:right w:val="single" w:sz="0" w:space="0" w:color="000000"/>
        </w:pBdr>
        <w:shd w:val="clear" w:color="auto" w:fill="000000"/>
      </w:pPr>
      <w:bookmarkStart w:id="261" w:name="bookmark1707"/>
      <w:bookmarkStart w:id="262" w:name="bookmark1708"/>
      <w:bookmarkStart w:id="263" w:name="bookmark1709"/>
      <w:r>
        <w:rPr>
          <w:color w:val="FFFFFF"/>
        </w:rPr>
        <w:t>Dosis por kg de peso al día</w:t>
      </w:r>
      <w:bookmarkEnd w:id="261"/>
      <w:bookmarkEnd w:id="262"/>
      <w:bookmarkEnd w:id="263"/>
    </w:p>
    <w:tbl>
      <w:tblPr>
        <w:tblOverlap w:val="never"/>
        <w:tblW w:w="0" w:type="auto"/>
        <w:tblLayout w:type="fixed"/>
        <w:tblCellMar>
          <w:left w:w="10" w:type="dxa"/>
          <w:right w:w="10" w:type="dxa"/>
        </w:tblCellMar>
        <w:tblLook w:val="04A0" w:firstRow="1" w:lastRow="0" w:firstColumn="1" w:lastColumn="0" w:noHBand="0" w:noVBand="1"/>
      </w:tblPr>
      <w:tblGrid>
        <w:gridCol w:w="2462"/>
        <w:gridCol w:w="2338"/>
        <w:gridCol w:w="2400"/>
        <w:gridCol w:w="2126"/>
        <w:gridCol w:w="2117"/>
      </w:tblGrid>
      <w:tr w:rsidR="00924992" w14:paraId="4BECF4EC" w14:textId="77777777">
        <w:tblPrEx>
          <w:tblCellMar>
            <w:top w:w="0" w:type="dxa"/>
            <w:bottom w:w="0" w:type="dxa"/>
          </w:tblCellMar>
        </w:tblPrEx>
        <w:trPr>
          <w:trHeight w:hRule="exact" w:val="605"/>
        </w:trPr>
        <w:tc>
          <w:tcPr>
            <w:tcW w:w="2462" w:type="dxa"/>
            <w:shd w:val="clear" w:color="auto" w:fill="000000"/>
            <w:vAlign w:val="bottom"/>
          </w:tcPr>
          <w:p w14:paraId="376EC1B9" w14:textId="77777777" w:rsidR="00924992" w:rsidRDefault="00924992">
            <w:pPr>
              <w:pStyle w:val="Other0"/>
              <w:framePr w:w="11443" w:h="5890" w:wrap="none" w:hAnchor="page" w:x="606" w:y="615"/>
              <w:pBdr>
                <w:top w:val="single" w:sz="0" w:space="0" w:color="000000"/>
                <w:left w:val="single" w:sz="0" w:space="0" w:color="000000"/>
                <w:bottom w:val="single" w:sz="0" w:space="0" w:color="000000"/>
                <w:right w:val="single" w:sz="0" w:space="0" w:color="000000"/>
              </w:pBdr>
              <w:shd w:val="clear" w:color="auto" w:fill="000000"/>
              <w:spacing w:line="259" w:lineRule="auto"/>
              <w:ind w:firstLine="0"/>
              <w:rPr>
                <w:sz w:val="24"/>
                <w:szCs w:val="24"/>
              </w:rPr>
            </w:pPr>
            <w:r>
              <w:rPr>
                <w:rFonts w:ascii="Arial" w:eastAsia="Arial" w:hAnsi="Arial" w:cs="Arial"/>
                <w:b/>
                <w:bCs/>
                <w:color w:val="FFFFFF"/>
                <w:w w:val="70"/>
                <w:sz w:val="24"/>
                <w:szCs w:val="24"/>
              </w:rPr>
              <w:t>Fármaco, nombre genérico (y comercial)</w:t>
            </w:r>
          </w:p>
        </w:tc>
        <w:tc>
          <w:tcPr>
            <w:tcW w:w="2338" w:type="dxa"/>
            <w:tcBorders>
              <w:top w:val="single" w:sz="4" w:space="0" w:color="auto"/>
            </w:tcBorders>
            <w:shd w:val="clear" w:color="auto" w:fill="000000"/>
          </w:tcPr>
          <w:p w14:paraId="2F0AB0F2" w14:textId="77777777" w:rsidR="00924992" w:rsidRDefault="00924992">
            <w:pPr>
              <w:pStyle w:val="Other0"/>
              <w:framePr w:w="11443" w:h="5890" w:wrap="none" w:hAnchor="page" w:x="606" w:y="615"/>
              <w:pBdr>
                <w:top w:val="single" w:sz="0" w:space="0" w:color="000000"/>
                <w:left w:val="single" w:sz="0" w:space="0" w:color="000000"/>
                <w:bottom w:val="single" w:sz="0" w:space="0" w:color="000000"/>
                <w:right w:val="single" w:sz="0" w:space="0" w:color="000000"/>
              </w:pBdr>
              <w:shd w:val="clear" w:color="auto" w:fill="000000"/>
              <w:spacing w:line="240" w:lineRule="auto"/>
              <w:ind w:firstLine="200"/>
              <w:rPr>
                <w:sz w:val="24"/>
                <w:szCs w:val="24"/>
              </w:rPr>
            </w:pPr>
            <w:r>
              <w:rPr>
                <w:rFonts w:ascii="Arial" w:eastAsia="Arial" w:hAnsi="Arial" w:cs="Arial"/>
                <w:b/>
                <w:bCs/>
                <w:color w:val="FFFFFF"/>
                <w:w w:val="70"/>
                <w:sz w:val="24"/>
                <w:szCs w:val="24"/>
              </w:rPr>
              <w:t>Vía de administración</w:t>
            </w:r>
          </w:p>
        </w:tc>
        <w:tc>
          <w:tcPr>
            <w:tcW w:w="2400" w:type="dxa"/>
            <w:tcBorders>
              <w:top w:val="single" w:sz="4" w:space="0" w:color="auto"/>
            </w:tcBorders>
            <w:shd w:val="clear" w:color="auto" w:fill="000000"/>
            <w:vAlign w:val="bottom"/>
          </w:tcPr>
          <w:p w14:paraId="48330C7B" w14:textId="77777777" w:rsidR="00924992" w:rsidRDefault="00924992">
            <w:pPr>
              <w:pStyle w:val="Other0"/>
              <w:framePr w:w="11443" w:h="5890" w:wrap="none" w:hAnchor="page" w:x="606" w:y="615"/>
              <w:pBdr>
                <w:top w:val="single" w:sz="0" w:space="0" w:color="000000"/>
                <w:left w:val="single" w:sz="0" w:space="0" w:color="000000"/>
                <w:bottom w:val="single" w:sz="0" w:space="0" w:color="000000"/>
                <w:right w:val="single" w:sz="0" w:space="0" w:color="000000"/>
              </w:pBdr>
              <w:shd w:val="clear" w:color="auto" w:fill="000000"/>
              <w:spacing w:line="264" w:lineRule="auto"/>
              <w:ind w:left="340" w:firstLine="0"/>
              <w:rPr>
                <w:sz w:val="24"/>
                <w:szCs w:val="24"/>
              </w:rPr>
            </w:pPr>
            <w:r>
              <w:rPr>
                <w:rFonts w:ascii="Arial" w:eastAsia="Arial" w:hAnsi="Arial" w:cs="Arial"/>
                <w:b/>
                <w:bCs/>
                <w:color w:val="FFFFFF"/>
                <w:w w:val="70"/>
                <w:sz w:val="24"/>
                <w:szCs w:val="24"/>
              </w:rPr>
              <w:t>Infecciones leves o moderadas</w:t>
            </w:r>
          </w:p>
        </w:tc>
        <w:tc>
          <w:tcPr>
            <w:tcW w:w="2126" w:type="dxa"/>
            <w:shd w:val="clear" w:color="auto" w:fill="000000"/>
          </w:tcPr>
          <w:p w14:paraId="697298FB" w14:textId="77777777" w:rsidR="00924992" w:rsidRDefault="00924992">
            <w:pPr>
              <w:pStyle w:val="Other0"/>
              <w:framePr w:w="11443" w:h="5890" w:wrap="none" w:hAnchor="page" w:x="606" w:y="615"/>
              <w:pBdr>
                <w:top w:val="single" w:sz="0" w:space="0" w:color="000000"/>
                <w:left w:val="single" w:sz="0" w:space="0" w:color="000000"/>
                <w:bottom w:val="single" w:sz="0" w:space="0" w:color="000000"/>
                <w:right w:val="single" w:sz="0" w:space="0" w:color="000000"/>
              </w:pBdr>
              <w:shd w:val="clear" w:color="auto" w:fill="000000"/>
              <w:spacing w:line="240" w:lineRule="auto"/>
              <w:ind w:firstLine="0"/>
              <w:rPr>
                <w:sz w:val="24"/>
                <w:szCs w:val="24"/>
              </w:rPr>
            </w:pPr>
            <w:r>
              <w:rPr>
                <w:rFonts w:ascii="Arial" w:eastAsia="Arial" w:hAnsi="Arial" w:cs="Arial"/>
                <w:b/>
                <w:bCs/>
                <w:color w:val="FFFFFF"/>
                <w:w w:val="70"/>
                <w:sz w:val="24"/>
                <w:szCs w:val="24"/>
              </w:rPr>
              <w:t>Infecciones graves</w:t>
            </w:r>
          </w:p>
        </w:tc>
        <w:tc>
          <w:tcPr>
            <w:tcW w:w="2117" w:type="dxa"/>
            <w:shd w:val="clear" w:color="auto" w:fill="000000"/>
          </w:tcPr>
          <w:p w14:paraId="6C63CE44" w14:textId="77777777" w:rsidR="00924992" w:rsidRDefault="00924992">
            <w:pPr>
              <w:pStyle w:val="Other0"/>
              <w:framePr w:w="11443" w:h="5890" w:wrap="none" w:hAnchor="page" w:x="606" w:y="615"/>
              <w:pBdr>
                <w:top w:val="single" w:sz="0" w:space="0" w:color="000000"/>
                <w:left w:val="single" w:sz="0" w:space="0" w:color="000000"/>
                <w:bottom w:val="single" w:sz="0" w:space="0" w:color="000000"/>
                <w:right w:val="single" w:sz="0" w:space="0" w:color="000000"/>
              </w:pBdr>
              <w:shd w:val="clear" w:color="auto" w:fill="000000"/>
              <w:spacing w:line="240" w:lineRule="auto"/>
              <w:ind w:firstLine="0"/>
              <w:rPr>
                <w:sz w:val="24"/>
                <w:szCs w:val="24"/>
              </w:rPr>
            </w:pPr>
            <w:r>
              <w:rPr>
                <w:rFonts w:ascii="Arial" w:eastAsia="Arial" w:hAnsi="Arial" w:cs="Arial"/>
                <w:b/>
                <w:bCs/>
                <w:color w:val="FFFFFF"/>
                <w:w w:val="70"/>
                <w:sz w:val="24"/>
                <w:szCs w:val="24"/>
              </w:rPr>
              <w:t>Comentarios</w:t>
            </w:r>
          </w:p>
        </w:tc>
      </w:tr>
      <w:tr w:rsidR="00924992" w14:paraId="070F52BE" w14:textId="77777777">
        <w:tblPrEx>
          <w:tblCellMar>
            <w:top w:w="0" w:type="dxa"/>
            <w:bottom w:w="0" w:type="dxa"/>
          </w:tblCellMar>
        </w:tblPrEx>
        <w:trPr>
          <w:trHeight w:hRule="exact" w:val="619"/>
        </w:trPr>
        <w:tc>
          <w:tcPr>
            <w:tcW w:w="2462" w:type="dxa"/>
            <w:shd w:val="clear" w:color="auto" w:fill="FFFFFF"/>
          </w:tcPr>
          <w:p w14:paraId="5C7CE311" w14:textId="77777777" w:rsidR="00924992" w:rsidRDefault="00924992">
            <w:pPr>
              <w:pStyle w:val="Other0"/>
              <w:framePr w:w="11443" w:h="5890" w:wrap="none" w:hAnchor="page" w:x="606" w:y="615"/>
              <w:spacing w:before="80" w:line="240" w:lineRule="auto"/>
              <w:ind w:firstLine="0"/>
              <w:rPr>
                <w:sz w:val="16"/>
                <w:szCs w:val="16"/>
              </w:rPr>
            </w:pPr>
            <w:r>
              <w:rPr>
                <w:rFonts w:ascii="Times New Roman" w:eastAsia="Times New Roman" w:hAnsi="Times New Roman" w:cs="Times New Roman"/>
                <w:color w:val="000000"/>
                <w:sz w:val="16"/>
                <w:szCs w:val="16"/>
              </w:rPr>
              <w:t>Meropenem</w:t>
            </w:r>
            <w:r>
              <w:rPr>
                <w:rFonts w:ascii="Times New Roman" w:eastAsia="Times New Roman" w:hAnsi="Times New Roman" w:cs="Times New Roman"/>
                <w:color w:val="000000"/>
                <w:sz w:val="16"/>
                <w:szCs w:val="16"/>
                <w:vertAlign w:val="superscript"/>
              </w:rPr>
              <w:t>2,4</w:t>
            </w:r>
            <w:r>
              <w:rPr>
                <w:rFonts w:ascii="Times New Roman" w:eastAsia="Times New Roman" w:hAnsi="Times New Roman" w:cs="Times New Roman"/>
                <w:color w:val="000000"/>
                <w:sz w:val="16"/>
                <w:szCs w:val="16"/>
              </w:rPr>
              <w:t xml:space="preserve"> (Merrem)</w:t>
            </w:r>
          </w:p>
        </w:tc>
        <w:tc>
          <w:tcPr>
            <w:tcW w:w="2338" w:type="dxa"/>
            <w:shd w:val="clear" w:color="auto" w:fill="FFFFFF"/>
          </w:tcPr>
          <w:p w14:paraId="3E1FDB24" w14:textId="77777777" w:rsidR="00924992" w:rsidRDefault="00924992">
            <w:pPr>
              <w:pStyle w:val="Other0"/>
              <w:framePr w:w="11443" w:h="5890" w:wrap="none" w:hAnchor="page" w:x="606" w:y="615"/>
              <w:spacing w:before="80" w:line="240" w:lineRule="auto"/>
              <w:ind w:firstLine="200"/>
              <w:rPr>
                <w:sz w:val="16"/>
                <w:szCs w:val="16"/>
              </w:rPr>
            </w:pPr>
            <w:r>
              <w:rPr>
                <w:rFonts w:ascii="Times New Roman" w:eastAsia="Times New Roman" w:hAnsi="Times New Roman" w:cs="Times New Roman"/>
                <w:color w:val="000000"/>
                <w:sz w:val="16"/>
                <w:szCs w:val="16"/>
              </w:rPr>
              <w:t>IV</w:t>
            </w:r>
          </w:p>
        </w:tc>
        <w:tc>
          <w:tcPr>
            <w:tcW w:w="2400" w:type="dxa"/>
            <w:shd w:val="clear" w:color="auto" w:fill="FFFFFF"/>
            <w:vAlign w:val="center"/>
          </w:tcPr>
          <w:p w14:paraId="6726D75B" w14:textId="77777777" w:rsidR="00924992" w:rsidRDefault="00924992">
            <w:pPr>
              <w:pStyle w:val="Other0"/>
              <w:framePr w:w="11443" w:h="5890" w:wrap="none" w:hAnchor="page" w:x="606" w:y="615"/>
              <w:spacing w:line="283" w:lineRule="auto"/>
              <w:ind w:left="440" w:hanging="100"/>
              <w:rPr>
                <w:sz w:val="16"/>
                <w:szCs w:val="16"/>
              </w:rPr>
            </w:pPr>
            <w:r>
              <w:rPr>
                <w:rFonts w:ascii="Times New Roman" w:eastAsia="Times New Roman" w:hAnsi="Times New Roman" w:cs="Times New Roman"/>
                <w:color w:val="000000"/>
                <w:sz w:val="16"/>
                <w:szCs w:val="16"/>
              </w:rPr>
              <w:t>60 mg en 3 dosis (dosis diaria del adulto, 4 g)</w:t>
            </w:r>
          </w:p>
        </w:tc>
        <w:tc>
          <w:tcPr>
            <w:tcW w:w="2126" w:type="dxa"/>
            <w:shd w:val="clear" w:color="auto" w:fill="FFFFFF"/>
            <w:vAlign w:val="center"/>
          </w:tcPr>
          <w:p w14:paraId="5820B1BF" w14:textId="77777777" w:rsidR="00924992" w:rsidRDefault="00924992">
            <w:pPr>
              <w:pStyle w:val="Other0"/>
              <w:framePr w:w="11443" w:h="5890" w:wrap="none" w:hAnchor="page" w:x="606" w:y="615"/>
              <w:spacing w:line="283" w:lineRule="auto"/>
              <w:ind w:left="160" w:hanging="160"/>
              <w:rPr>
                <w:sz w:val="16"/>
                <w:szCs w:val="16"/>
              </w:rPr>
            </w:pPr>
            <w:r>
              <w:rPr>
                <w:rFonts w:ascii="Times New Roman" w:eastAsia="Times New Roman" w:hAnsi="Times New Roman" w:cs="Times New Roman"/>
                <w:color w:val="000000"/>
                <w:sz w:val="16"/>
                <w:szCs w:val="16"/>
              </w:rPr>
              <w:t>60-120 mg en 3 dosis (dosis diaria del adulto, 4-6 g)</w:t>
            </w:r>
          </w:p>
        </w:tc>
        <w:tc>
          <w:tcPr>
            <w:tcW w:w="2117" w:type="dxa"/>
            <w:shd w:val="clear" w:color="auto" w:fill="FFFFFF"/>
            <w:vAlign w:val="center"/>
          </w:tcPr>
          <w:p w14:paraId="794FD79B" w14:textId="77777777" w:rsidR="00924992" w:rsidRDefault="00924992">
            <w:pPr>
              <w:pStyle w:val="Other0"/>
              <w:framePr w:w="11443" w:h="5890" w:wrap="none" w:hAnchor="page" w:x="606" w:y="615"/>
              <w:spacing w:line="283" w:lineRule="auto"/>
              <w:ind w:left="160" w:hanging="160"/>
              <w:rPr>
                <w:sz w:val="16"/>
                <w:szCs w:val="16"/>
              </w:rPr>
            </w:pPr>
            <w:r>
              <w:rPr>
                <w:rFonts w:ascii="Times New Roman" w:eastAsia="Times New Roman" w:hAnsi="Times New Roman" w:cs="Times New Roman"/>
                <w:color w:val="000000"/>
                <w:sz w:val="16"/>
                <w:szCs w:val="16"/>
              </w:rPr>
              <w:t>Se usan dosis mayores para tratar la meningitis.</w:t>
            </w:r>
          </w:p>
        </w:tc>
      </w:tr>
      <w:tr w:rsidR="00924992" w14:paraId="6CC9A2F9" w14:textId="77777777">
        <w:tblPrEx>
          <w:tblCellMar>
            <w:top w:w="0" w:type="dxa"/>
            <w:bottom w:w="0" w:type="dxa"/>
          </w:tblCellMar>
        </w:tblPrEx>
        <w:trPr>
          <w:trHeight w:hRule="exact" w:val="1627"/>
        </w:trPr>
        <w:tc>
          <w:tcPr>
            <w:tcW w:w="2462" w:type="dxa"/>
            <w:shd w:val="clear" w:color="auto" w:fill="FFFFFF"/>
            <w:vAlign w:val="bottom"/>
          </w:tcPr>
          <w:p w14:paraId="71E5F932" w14:textId="77777777" w:rsidR="00924992" w:rsidRDefault="00924992">
            <w:pPr>
              <w:pStyle w:val="Other0"/>
              <w:framePr w:w="11443" w:h="5890" w:wrap="none" w:hAnchor="page" w:x="606" w:y="615"/>
              <w:spacing w:after="1100" w:line="240" w:lineRule="auto"/>
              <w:ind w:firstLine="0"/>
              <w:rPr>
                <w:sz w:val="16"/>
                <w:szCs w:val="16"/>
              </w:rPr>
            </w:pPr>
            <w:r>
              <w:rPr>
                <w:rFonts w:ascii="Times New Roman" w:eastAsia="Times New Roman" w:hAnsi="Times New Roman" w:cs="Times New Roman"/>
                <w:color w:val="000000"/>
                <w:sz w:val="16"/>
                <w:szCs w:val="16"/>
              </w:rPr>
              <w:t>Ertapenem (Invanz)</w:t>
            </w:r>
          </w:p>
          <w:p w14:paraId="1E95D985" w14:textId="77777777" w:rsidR="00924992" w:rsidRDefault="00924992">
            <w:pPr>
              <w:pStyle w:val="Other0"/>
              <w:framePr w:w="11443" w:h="5890" w:wrap="none" w:hAnchor="page" w:x="606" w:y="615"/>
              <w:spacing w:line="240" w:lineRule="auto"/>
              <w:ind w:firstLine="0"/>
              <w:rPr>
                <w:sz w:val="16"/>
                <w:szCs w:val="16"/>
              </w:rPr>
            </w:pPr>
            <w:r>
              <w:rPr>
                <w:rFonts w:ascii="Times New Roman" w:eastAsia="Times New Roman" w:hAnsi="Times New Roman" w:cs="Times New Roman"/>
                <w:b/>
                <w:bCs/>
                <w:color w:val="000000"/>
                <w:sz w:val="16"/>
                <w:szCs w:val="16"/>
              </w:rPr>
              <w:t>Cefalosporinas</w:t>
            </w:r>
            <w:r>
              <w:rPr>
                <w:rFonts w:ascii="Times New Roman" w:eastAsia="Times New Roman" w:hAnsi="Times New Roman" w:cs="Times New Roman"/>
                <w:b/>
                <w:bCs/>
                <w:color w:val="000000"/>
                <w:sz w:val="16"/>
                <w:szCs w:val="16"/>
                <w:vertAlign w:val="superscript"/>
              </w:rPr>
              <w:t>2</w:t>
            </w:r>
          </w:p>
        </w:tc>
        <w:tc>
          <w:tcPr>
            <w:tcW w:w="2338" w:type="dxa"/>
            <w:shd w:val="clear" w:color="auto" w:fill="FFFFFF"/>
          </w:tcPr>
          <w:p w14:paraId="75C67B96" w14:textId="77777777" w:rsidR="00924992" w:rsidRDefault="00924992">
            <w:pPr>
              <w:pStyle w:val="Other0"/>
              <w:framePr w:w="11443" w:h="5890" w:wrap="none" w:hAnchor="page" w:x="606" w:y="615"/>
              <w:spacing w:before="100" w:line="240" w:lineRule="auto"/>
              <w:ind w:firstLine="200"/>
              <w:rPr>
                <w:sz w:val="16"/>
                <w:szCs w:val="16"/>
              </w:rPr>
            </w:pPr>
            <w:r>
              <w:rPr>
                <w:rFonts w:ascii="Times New Roman" w:eastAsia="Times New Roman" w:hAnsi="Times New Roman" w:cs="Times New Roman"/>
                <w:color w:val="000000"/>
                <w:sz w:val="16"/>
                <w:szCs w:val="16"/>
              </w:rPr>
              <w:t>IV</w:t>
            </w:r>
          </w:p>
        </w:tc>
        <w:tc>
          <w:tcPr>
            <w:tcW w:w="2400" w:type="dxa"/>
            <w:shd w:val="clear" w:color="auto" w:fill="FFFFFF"/>
          </w:tcPr>
          <w:p w14:paraId="5A801324" w14:textId="77777777" w:rsidR="00924992" w:rsidRDefault="00924992">
            <w:pPr>
              <w:pStyle w:val="Other0"/>
              <w:framePr w:w="11443" w:h="5890" w:wrap="none" w:hAnchor="page" w:x="606" w:y="615"/>
              <w:spacing w:before="100" w:line="240" w:lineRule="auto"/>
              <w:ind w:firstLine="440"/>
              <w:rPr>
                <w:sz w:val="16"/>
                <w:szCs w:val="16"/>
              </w:rPr>
            </w:pPr>
            <w:r>
              <w:rPr>
                <w:rFonts w:ascii="Times New Roman" w:eastAsia="Times New Roman" w:hAnsi="Times New Roman" w:cs="Times New Roman"/>
                <w:color w:val="000000"/>
                <w:sz w:val="16"/>
                <w:szCs w:val="16"/>
              </w:rPr>
              <w:t>Inapropiado</w:t>
            </w:r>
          </w:p>
        </w:tc>
        <w:tc>
          <w:tcPr>
            <w:tcW w:w="2126" w:type="dxa"/>
            <w:shd w:val="clear" w:color="auto" w:fill="FFFFFF"/>
          </w:tcPr>
          <w:p w14:paraId="7E6B2A69" w14:textId="77777777" w:rsidR="00924992" w:rsidRDefault="00924992">
            <w:pPr>
              <w:pStyle w:val="Other0"/>
              <w:framePr w:w="11443" w:h="5890" w:wrap="none" w:hAnchor="page" w:x="606" w:y="615"/>
              <w:spacing w:before="100" w:line="240" w:lineRule="auto"/>
              <w:ind w:firstLine="160"/>
              <w:rPr>
                <w:sz w:val="16"/>
                <w:szCs w:val="16"/>
              </w:rPr>
            </w:pPr>
            <w:r>
              <w:rPr>
                <w:rFonts w:ascii="Times New Roman" w:eastAsia="Times New Roman" w:hAnsi="Times New Roman" w:cs="Times New Roman"/>
                <w:color w:val="000000"/>
                <w:sz w:val="16"/>
                <w:szCs w:val="16"/>
              </w:rPr>
              <w:t>1 g cada 24 h</w:t>
            </w:r>
          </w:p>
        </w:tc>
        <w:tc>
          <w:tcPr>
            <w:tcW w:w="2117" w:type="dxa"/>
            <w:shd w:val="clear" w:color="auto" w:fill="FFFFFF"/>
          </w:tcPr>
          <w:p w14:paraId="7046F248" w14:textId="77777777" w:rsidR="00924992" w:rsidRDefault="00924992">
            <w:pPr>
              <w:pStyle w:val="Other0"/>
              <w:framePr w:w="11443" w:h="5890" w:wrap="none" w:hAnchor="page" w:x="606" w:y="615"/>
              <w:spacing w:before="100" w:line="283" w:lineRule="auto"/>
              <w:ind w:left="160" w:hanging="160"/>
              <w:rPr>
                <w:sz w:val="15"/>
                <w:szCs w:val="15"/>
              </w:rPr>
            </w:pPr>
            <w:r>
              <w:rPr>
                <w:rFonts w:ascii="Times New Roman" w:eastAsia="Times New Roman" w:hAnsi="Times New Roman" w:cs="Times New Roman"/>
                <w:color w:val="000000"/>
                <w:sz w:val="16"/>
                <w:szCs w:val="16"/>
              </w:rPr>
              <w:t xml:space="preserve">No se ha aprobado su uso en personas menores de 18 años. No es activo contra especies de </w:t>
            </w:r>
            <w:r>
              <w:rPr>
                <w:rFonts w:ascii="Times New Roman" w:eastAsia="Times New Roman" w:hAnsi="Times New Roman" w:cs="Times New Roman"/>
                <w:i/>
                <w:iCs/>
                <w:color w:val="000000"/>
                <w:sz w:val="16"/>
                <w:szCs w:val="16"/>
              </w:rPr>
              <w:t>Pseudomonas</w:t>
            </w:r>
            <w:r>
              <w:rPr>
                <w:rFonts w:ascii="Times New Roman" w:eastAsia="Times New Roman" w:hAnsi="Times New Roman" w:cs="Times New Roman"/>
                <w:color w:val="000000"/>
                <w:sz w:val="16"/>
                <w:szCs w:val="16"/>
              </w:rPr>
              <w:t xml:space="preserve"> ni de </w:t>
            </w:r>
            <w:r>
              <w:rPr>
                <w:rFonts w:ascii="Times New Roman" w:eastAsia="Times New Roman" w:hAnsi="Times New Roman" w:cs="Times New Roman"/>
                <w:i/>
                <w:iCs/>
                <w:color w:val="000000"/>
                <w:sz w:val="16"/>
                <w:szCs w:val="16"/>
              </w:rPr>
              <w:t>Actinobacter</w:t>
            </w:r>
            <w:r>
              <w:rPr>
                <w:rFonts w:ascii="Times New Roman" w:eastAsia="Times New Roman" w:hAnsi="Times New Roman" w:cs="Times New Roman"/>
                <w:i/>
                <w:iCs/>
                <w:color w:val="000000"/>
                <w:sz w:val="15"/>
                <w:szCs w:val="15"/>
              </w:rPr>
              <w:t>.</w:t>
            </w:r>
          </w:p>
        </w:tc>
      </w:tr>
      <w:tr w:rsidR="00924992" w14:paraId="1AB113BF" w14:textId="77777777">
        <w:tblPrEx>
          <w:tblCellMar>
            <w:top w:w="0" w:type="dxa"/>
            <w:bottom w:w="0" w:type="dxa"/>
          </w:tblCellMar>
        </w:tblPrEx>
        <w:trPr>
          <w:trHeight w:hRule="exact" w:val="970"/>
        </w:trPr>
        <w:tc>
          <w:tcPr>
            <w:tcW w:w="2462" w:type="dxa"/>
            <w:shd w:val="clear" w:color="auto" w:fill="FFFFFF"/>
          </w:tcPr>
          <w:p w14:paraId="0E7E1D2D" w14:textId="77777777" w:rsidR="00924992" w:rsidRDefault="00924992">
            <w:pPr>
              <w:pStyle w:val="Other0"/>
              <w:framePr w:w="11443" w:h="5890" w:wrap="none" w:hAnchor="page" w:x="606" w:y="615"/>
              <w:spacing w:line="240" w:lineRule="auto"/>
              <w:ind w:firstLine="0"/>
              <w:rPr>
                <w:sz w:val="16"/>
                <w:szCs w:val="16"/>
              </w:rPr>
            </w:pPr>
            <w:r>
              <w:rPr>
                <w:rFonts w:ascii="Times New Roman" w:eastAsia="Times New Roman" w:hAnsi="Times New Roman" w:cs="Times New Roman"/>
                <w:color w:val="000000"/>
                <w:sz w:val="16"/>
                <w:szCs w:val="16"/>
              </w:rPr>
              <w:t>Cefaclor (Ceclor)</w:t>
            </w:r>
          </w:p>
        </w:tc>
        <w:tc>
          <w:tcPr>
            <w:tcW w:w="2338" w:type="dxa"/>
            <w:shd w:val="clear" w:color="auto" w:fill="FFFFFF"/>
          </w:tcPr>
          <w:p w14:paraId="1731FE6C" w14:textId="77777777" w:rsidR="00924992" w:rsidRDefault="00924992">
            <w:pPr>
              <w:pStyle w:val="Other0"/>
              <w:framePr w:w="11443" w:h="5890" w:wrap="none" w:hAnchor="page" w:x="606" w:y="615"/>
              <w:spacing w:line="240" w:lineRule="auto"/>
              <w:ind w:firstLine="200"/>
              <w:rPr>
                <w:sz w:val="16"/>
                <w:szCs w:val="16"/>
              </w:rPr>
            </w:pPr>
            <w:r>
              <w:rPr>
                <w:rFonts w:ascii="Times New Roman" w:eastAsia="Times New Roman" w:hAnsi="Times New Roman" w:cs="Times New Roman"/>
                <w:color w:val="000000"/>
                <w:sz w:val="16"/>
                <w:szCs w:val="16"/>
              </w:rPr>
              <w:t>PO</w:t>
            </w:r>
          </w:p>
        </w:tc>
        <w:tc>
          <w:tcPr>
            <w:tcW w:w="2400" w:type="dxa"/>
            <w:shd w:val="clear" w:color="auto" w:fill="FFFFFF"/>
          </w:tcPr>
          <w:p w14:paraId="73FA3C1D" w14:textId="77777777" w:rsidR="00924992" w:rsidRDefault="00924992">
            <w:pPr>
              <w:pStyle w:val="Other0"/>
              <w:framePr w:w="11443" w:h="5890" w:wrap="none" w:hAnchor="page" w:x="606" w:y="615"/>
              <w:spacing w:line="283" w:lineRule="auto"/>
              <w:ind w:left="440" w:hanging="100"/>
              <w:rPr>
                <w:sz w:val="16"/>
                <w:szCs w:val="16"/>
              </w:rPr>
            </w:pPr>
            <w:r>
              <w:rPr>
                <w:rFonts w:ascii="Times New Roman" w:eastAsia="Times New Roman" w:hAnsi="Times New Roman" w:cs="Times New Roman"/>
                <w:color w:val="000000"/>
                <w:sz w:val="16"/>
                <w:szCs w:val="16"/>
              </w:rPr>
              <w:t>20-40 mg en 2 a 3 dosis (dosis diaria del adulto,</w:t>
            </w:r>
          </w:p>
          <w:p w14:paraId="61E11E4B" w14:textId="77777777" w:rsidR="00924992" w:rsidRDefault="00924992">
            <w:pPr>
              <w:pStyle w:val="Other0"/>
              <w:framePr w:w="11443" w:h="5890" w:wrap="none" w:hAnchor="page" w:x="606" w:y="615"/>
              <w:spacing w:line="283" w:lineRule="auto"/>
              <w:ind w:firstLine="440"/>
              <w:rPr>
                <w:sz w:val="16"/>
                <w:szCs w:val="16"/>
              </w:rPr>
            </w:pPr>
            <w:r>
              <w:rPr>
                <w:rFonts w:ascii="Times New Roman" w:eastAsia="Times New Roman" w:hAnsi="Times New Roman" w:cs="Times New Roman"/>
                <w:color w:val="000000"/>
                <w:sz w:val="16"/>
                <w:szCs w:val="16"/>
              </w:rPr>
              <w:t>750 mg-1.5 g)</w:t>
            </w:r>
          </w:p>
        </w:tc>
        <w:tc>
          <w:tcPr>
            <w:tcW w:w="2126" w:type="dxa"/>
            <w:shd w:val="clear" w:color="auto" w:fill="FFFFFF"/>
          </w:tcPr>
          <w:p w14:paraId="14540388" w14:textId="77777777" w:rsidR="00924992" w:rsidRDefault="00924992">
            <w:pPr>
              <w:pStyle w:val="Other0"/>
              <w:framePr w:w="11443" w:h="5890" w:wrap="none" w:hAnchor="page" w:x="606" w:y="615"/>
              <w:spacing w:line="240" w:lineRule="auto"/>
              <w:ind w:firstLine="0"/>
              <w:rPr>
                <w:sz w:val="16"/>
                <w:szCs w:val="16"/>
              </w:rPr>
            </w:pPr>
            <w:r>
              <w:rPr>
                <w:rFonts w:ascii="Times New Roman" w:eastAsia="Times New Roman" w:hAnsi="Times New Roman" w:cs="Times New Roman"/>
                <w:color w:val="000000"/>
                <w:sz w:val="16"/>
                <w:szCs w:val="16"/>
              </w:rPr>
              <w:t>Inapropiado</w:t>
            </w:r>
          </w:p>
        </w:tc>
        <w:tc>
          <w:tcPr>
            <w:tcW w:w="2117" w:type="dxa"/>
            <w:shd w:val="clear" w:color="auto" w:fill="FFFFFF"/>
          </w:tcPr>
          <w:p w14:paraId="76183B8A" w14:textId="77777777" w:rsidR="00924992" w:rsidRDefault="00924992">
            <w:pPr>
              <w:pStyle w:val="Other0"/>
              <w:framePr w:w="11443" w:h="5890" w:wrap="none" w:hAnchor="page" w:x="606" w:y="615"/>
              <w:spacing w:line="283" w:lineRule="auto"/>
              <w:ind w:left="160" w:hanging="160"/>
              <w:rPr>
                <w:sz w:val="16"/>
                <w:szCs w:val="16"/>
              </w:rPr>
            </w:pPr>
            <w:r>
              <w:rPr>
                <w:rFonts w:ascii="Times New Roman" w:eastAsia="Times New Roman" w:hAnsi="Times New Roman" w:cs="Times New Roman"/>
                <w:color w:val="000000"/>
                <w:sz w:val="16"/>
                <w:szCs w:val="16"/>
              </w:rPr>
              <w:t>Se ha demostrado la eficacia de un régimen con dos dosis diarias para tratar la otitis media aguda.</w:t>
            </w:r>
          </w:p>
        </w:tc>
      </w:tr>
      <w:tr w:rsidR="00924992" w14:paraId="1A0FB9AA" w14:textId="77777777">
        <w:tblPrEx>
          <w:tblCellMar>
            <w:top w:w="0" w:type="dxa"/>
            <w:bottom w:w="0" w:type="dxa"/>
          </w:tblCellMar>
        </w:tblPrEx>
        <w:trPr>
          <w:trHeight w:hRule="exact" w:val="763"/>
        </w:trPr>
        <w:tc>
          <w:tcPr>
            <w:tcW w:w="2462" w:type="dxa"/>
            <w:shd w:val="clear" w:color="auto" w:fill="FFFFFF"/>
          </w:tcPr>
          <w:p w14:paraId="164F4E8C" w14:textId="77777777" w:rsidR="00924992" w:rsidRDefault="00924992">
            <w:pPr>
              <w:pStyle w:val="Other0"/>
              <w:framePr w:w="11443" w:h="5890" w:wrap="none" w:hAnchor="page" w:x="606" w:y="615"/>
              <w:spacing w:before="100" w:line="240" w:lineRule="auto"/>
              <w:ind w:firstLine="0"/>
              <w:rPr>
                <w:sz w:val="16"/>
                <w:szCs w:val="16"/>
              </w:rPr>
            </w:pPr>
            <w:r>
              <w:rPr>
                <w:rFonts w:ascii="Times New Roman" w:eastAsia="Times New Roman" w:hAnsi="Times New Roman" w:cs="Times New Roman"/>
                <w:color w:val="000000"/>
                <w:sz w:val="16"/>
                <w:szCs w:val="16"/>
              </w:rPr>
              <w:t>Cefadroxil (Duricef, Ultracef)</w:t>
            </w:r>
          </w:p>
        </w:tc>
        <w:tc>
          <w:tcPr>
            <w:tcW w:w="2338" w:type="dxa"/>
            <w:shd w:val="clear" w:color="auto" w:fill="FFFFFF"/>
          </w:tcPr>
          <w:p w14:paraId="7B850142" w14:textId="77777777" w:rsidR="00924992" w:rsidRDefault="00924992">
            <w:pPr>
              <w:pStyle w:val="Other0"/>
              <w:framePr w:w="11443" w:h="5890" w:wrap="none" w:hAnchor="page" w:x="606" w:y="615"/>
              <w:spacing w:before="100" w:line="240" w:lineRule="auto"/>
              <w:ind w:firstLine="200"/>
              <w:rPr>
                <w:sz w:val="16"/>
                <w:szCs w:val="16"/>
              </w:rPr>
            </w:pPr>
            <w:r>
              <w:rPr>
                <w:rFonts w:ascii="Times New Roman" w:eastAsia="Times New Roman" w:hAnsi="Times New Roman" w:cs="Times New Roman"/>
                <w:color w:val="000000"/>
                <w:sz w:val="16"/>
                <w:szCs w:val="16"/>
              </w:rPr>
              <w:t>PO</w:t>
            </w:r>
          </w:p>
        </w:tc>
        <w:tc>
          <w:tcPr>
            <w:tcW w:w="2400" w:type="dxa"/>
            <w:shd w:val="clear" w:color="auto" w:fill="FFFFFF"/>
            <w:vAlign w:val="bottom"/>
          </w:tcPr>
          <w:p w14:paraId="388E4E38" w14:textId="77777777" w:rsidR="00924992" w:rsidRDefault="00924992">
            <w:pPr>
              <w:pStyle w:val="Other0"/>
              <w:framePr w:w="11443" w:h="5890" w:wrap="none" w:hAnchor="page" w:x="606" w:y="615"/>
              <w:spacing w:line="283" w:lineRule="auto"/>
              <w:ind w:left="440" w:hanging="100"/>
              <w:rPr>
                <w:sz w:val="16"/>
                <w:szCs w:val="16"/>
              </w:rPr>
            </w:pPr>
            <w:r>
              <w:rPr>
                <w:rFonts w:ascii="Times New Roman" w:eastAsia="Times New Roman" w:hAnsi="Times New Roman" w:cs="Times New Roman"/>
                <w:color w:val="000000"/>
                <w:sz w:val="16"/>
                <w:szCs w:val="16"/>
              </w:rPr>
              <w:t>30 mg en 2 dosis (dosis diaria máxima del adulto,</w:t>
            </w:r>
          </w:p>
          <w:p w14:paraId="465B7CF4" w14:textId="77777777" w:rsidR="00924992" w:rsidRDefault="00924992">
            <w:pPr>
              <w:pStyle w:val="Other0"/>
              <w:framePr w:w="11443" w:h="5890" w:wrap="none" w:hAnchor="page" w:x="606" w:y="615"/>
              <w:spacing w:line="283" w:lineRule="auto"/>
              <w:ind w:firstLine="440"/>
              <w:rPr>
                <w:sz w:val="16"/>
                <w:szCs w:val="16"/>
              </w:rPr>
            </w:pPr>
            <w:r>
              <w:rPr>
                <w:rFonts w:ascii="Times New Roman" w:eastAsia="Times New Roman" w:hAnsi="Times New Roman" w:cs="Times New Roman"/>
                <w:color w:val="000000"/>
                <w:sz w:val="16"/>
                <w:szCs w:val="16"/>
                <w:vertAlign w:val="superscript"/>
              </w:rPr>
              <w:t>2</w:t>
            </w:r>
            <w:r>
              <w:rPr>
                <w:rFonts w:ascii="Times New Roman" w:eastAsia="Times New Roman" w:hAnsi="Times New Roman" w:cs="Times New Roman"/>
                <w:color w:val="000000"/>
                <w:sz w:val="16"/>
                <w:szCs w:val="16"/>
              </w:rPr>
              <w:t xml:space="preserve"> g)</w:t>
            </w:r>
          </w:p>
        </w:tc>
        <w:tc>
          <w:tcPr>
            <w:tcW w:w="2126" w:type="dxa"/>
            <w:shd w:val="clear" w:color="auto" w:fill="FFFFFF"/>
          </w:tcPr>
          <w:p w14:paraId="3ED588D6" w14:textId="77777777" w:rsidR="00924992" w:rsidRDefault="00924992">
            <w:pPr>
              <w:pStyle w:val="Other0"/>
              <w:framePr w:w="11443" w:h="5890" w:wrap="none" w:hAnchor="page" w:x="606" w:y="615"/>
              <w:spacing w:before="100" w:line="240" w:lineRule="auto"/>
              <w:ind w:firstLine="0"/>
              <w:rPr>
                <w:sz w:val="16"/>
                <w:szCs w:val="16"/>
              </w:rPr>
            </w:pPr>
            <w:r>
              <w:rPr>
                <w:rFonts w:ascii="Times New Roman" w:eastAsia="Times New Roman" w:hAnsi="Times New Roman" w:cs="Times New Roman"/>
                <w:color w:val="000000"/>
                <w:sz w:val="16"/>
                <w:szCs w:val="16"/>
              </w:rPr>
              <w:t>Inapropiado</w:t>
            </w:r>
          </w:p>
        </w:tc>
        <w:tc>
          <w:tcPr>
            <w:tcW w:w="2117" w:type="dxa"/>
            <w:shd w:val="clear" w:color="auto" w:fill="FFFFFF"/>
          </w:tcPr>
          <w:p w14:paraId="20EF5EAC" w14:textId="77777777" w:rsidR="00924992" w:rsidRDefault="00924992">
            <w:pPr>
              <w:framePr w:w="11443" w:h="5890" w:wrap="none" w:hAnchor="page" w:x="606" w:y="615"/>
              <w:rPr>
                <w:sz w:val="10"/>
                <w:szCs w:val="10"/>
              </w:rPr>
            </w:pPr>
          </w:p>
        </w:tc>
      </w:tr>
      <w:tr w:rsidR="00924992" w14:paraId="4295E736" w14:textId="77777777">
        <w:tblPrEx>
          <w:tblCellMar>
            <w:top w:w="0" w:type="dxa"/>
            <w:bottom w:w="0" w:type="dxa"/>
          </w:tblCellMar>
        </w:tblPrEx>
        <w:trPr>
          <w:trHeight w:hRule="exact" w:val="643"/>
        </w:trPr>
        <w:tc>
          <w:tcPr>
            <w:tcW w:w="2462" w:type="dxa"/>
            <w:shd w:val="clear" w:color="auto" w:fill="FFFFFF"/>
          </w:tcPr>
          <w:p w14:paraId="685265AE" w14:textId="77777777" w:rsidR="00924992" w:rsidRDefault="00924992">
            <w:pPr>
              <w:pStyle w:val="Other0"/>
              <w:framePr w:w="11443" w:h="5890" w:wrap="none" w:hAnchor="page" w:x="606" w:y="615"/>
              <w:spacing w:line="240" w:lineRule="auto"/>
              <w:ind w:firstLine="0"/>
              <w:rPr>
                <w:sz w:val="16"/>
                <w:szCs w:val="16"/>
              </w:rPr>
            </w:pPr>
            <w:r>
              <w:rPr>
                <w:rFonts w:ascii="Times New Roman" w:eastAsia="Times New Roman" w:hAnsi="Times New Roman" w:cs="Times New Roman"/>
                <w:color w:val="000000"/>
                <w:sz w:val="16"/>
                <w:szCs w:val="16"/>
              </w:rPr>
              <w:t>Cefalexina (Keflex)</w:t>
            </w:r>
          </w:p>
        </w:tc>
        <w:tc>
          <w:tcPr>
            <w:tcW w:w="2338" w:type="dxa"/>
            <w:shd w:val="clear" w:color="auto" w:fill="FFFFFF"/>
          </w:tcPr>
          <w:p w14:paraId="3C13A385" w14:textId="77777777" w:rsidR="00924992" w:rsidRDefault="00924992">
            <w:pPr>
              <w:pStyle w:val="Other0"/>
              <w:framePr w:w="11443" w:h="5890" w:wrap="none" w:hAnchor="page" w:x="606" w:y="615"/>
              <w:spacing w:line="240" w:lineRule="auto"/>
              <w:ind w:firstLine="200"/>
              <w:rPr>
                <w:sz w:val="16"/>
                <w:szCs w:val="16"/>
              </w:rPr>
            </w:pPr>
            <w:r>
              <w:rPr>
                <w:rFonts w:ascii="Times New Roman" w:eastAsia="Times New Roman" w:hAnsi="Times New Roman" w:cs="Times New Roman"/>
                <w:color w:val="000000"/>
                <w:sz w:val="16"/>
                <w:szCs w:val="16"/>
              </w:rPr>
              <w:t>PO</w:t>
            </w:r>
          </w:p>
        </w:tc>
        <w:tc>
          <w:tcPr>
            <w:tcW w:w="2400" w:type="dxa"/>
            <w:shd w:val="clear" w:color="auto" w:fill="FFFFFF"/>
            <w:vAlign w:val="bottom"/>
          </w:tcPr>
          <w:p w14:paraId="587500F4" w14:textId="77777777" w:rsidR="00924992" w:rsidRDefault="00924992">
            <w:pPr>
              <w:pStyle w:val="Other0"/>
              <w:framePr w:w="11443" w:h="5890" w:wrap="none" w:hAnchor="page" w:x="606" w:y="615"/>
              <w:spacing w:line="283" w:lineRule="auto"/>
              <w:ind w:left="440" w:hanging="100"/>
              <w:rPr>
                <w:sz w:val="16"/>
                <w:szCs w:val="16"/>
              </w:rPr>
            </w:pPr>
            <w:r>
              <w:rPr>
                <w:rFonts w:ascii="Times New Roman" w:eastAsia="Times New Roman" w:hAnsi="Times New Roman" w:cs="Times New Roman"/>
                <w:color w:val="000000"/>
                <w:sz w:val="16"/>
                <w:szCs w:val="16"/>
              </w:rPr>
              <w:t>25-50 mg en 3 a 4 dosis (dosis diaria del adulto,</w:t>
            </w:r>
          </w:p>
          <w:p w14:paraId="1BB2701A" w14:textId="77777777" w:rsidR="00924992" w:rsidRDefault="00924992">
            <w:pPr>
              <w:pStyle w:val="Other0"/>
              <w:framePr w:w="11443" w:h="5890" w:wrap="none" w:hAnchor="page" w:x="606" w:y="615"/>
              <w:spacing w:line="283" w:lineRule="auto"/>
              <w:ind w:firstLine="440"/>
              <w:rPr>
                <w:sz w:val="16"/>
                <w:szCs w:val="16"/>
              </w:rPr>
            </w:pPr>
            <w:r>
              <w:rPr>
                <w:rFonts w:ascii="Times New Roman" w:eastAsia="Times New Roman" w:hAnsi="Times New Roman" w:cs="Times New Roman"/>
                <w:color w:val="000000"/>
                <w:sz w:val="16"/>
                <w:szCs w:val="16"/>
              </w:rPr>
              <w:t>1-4 g)</w:t>
            </w:r>
          </w:p>
        </w:tc>
        <w:tc>
          <w:tcPr>
            <w:tcW w:w="2126" w:type="dxa"/>
            <w:shd w:val="clear" w:color="auto" w:fill="FFFFFF"/>
          </w:tcPr>
          <w:p w14:paraId="278358A8" w14:textId="77777777" w:rsidR="00924992" w:rsidRDefault="00924992">
            <w:pPr>
              <w:pStyle w:val="Other0"/>
              <w:framePr w:w="11443" w:h="5890" w:wrap="none" w:hAnchor="page" w:x="606" w:y="615"/>
              <w:spacing w:line="240" w:lineRule="auto"/>
              <w:ind w:firstLine="0"/>
              <w:rPr>
                <w:sz w:val="16"/>
                <w:szCs w:val="16"/>
              </w:rPr>
            </w:pPr>
            <w:r>
              <w:rPr>
                <w:rFonts w:ascii="Times New Roman" w:eastAsia="Times New Roman" w:hAnsi="Times New Roman" w:cs="Times New Roman"/>
                <w:color w:val="000000"/>
                <w:sz w:val="16"/>
                <w:szCs w:val="16"/>
              </w:rPr>
              <w:t>Inapropiado</w:t>
            </w:r>
          </w:p>
        </w:tc>
        <w:tc>
          <w:tcPr>
            <w:tcW w:w="2117" w:type="dxa"/>
            <w:shd w:val="clear" w:color="auto" w:fill="FFFFFF"/>
          </w:tcPr>
          <w:p w14:paraId="74ECFC3F" w14:textId="77777777" w:rsidR="00924992" w:rsidRDefault="00924992">
            <w:pPr>
              <w:framePr w:w="11443" w:h="5890" w:wrap="none" w:hAnchor="page" w:x="606" w:y="615"/>
              <w:rPr>
                <w:sz w:val="10"/>
                <w:szCs w:val="10"/>
              </w:rPr>
            </w:pPr>
          </w:p>
        </w:tc>
      </w:tr>
      <w:tr w:rsidR="00924992" w14:paraId="2308A797" w14:textId="77777777">
        <w:tblPrEx>
          <w:tblCellMar>
            <w:top w:w="0" w:type="dxa"/>
            <w:bottom w:w="0" w:type="dxa"/>
          </w:tblCellMar>
        </w:tblPrEx>
        <w:trPr>
          <w:trHeight w:hRule="exact" w:val="662"/>
        </w:trPr>
        <w:tc>
          <w:tcPr>
            <w:tcW w:w="2462" w:type="dxa"/>
            <w:shd w:val="clear" w:color="auto" w:fill="FFFFFF"/>
          </w:tcPr>
          <w:p w14:paraId="0BD3D2DE" w14:textId="77777777" w:rsidR="00924992" w:rsidRDefault="00924992">
            <w:pPr>
              <w:pStyle w:val="Other0"/>
              <w:framePr w:w="11443" w:h="5890" w:wrap="none" w:hAnchor="page" w:x="606" w:y="615"/>
              <w:spacing w:line="240" w:lineRule="auto"/>
              <w:ind w:firstLine="0"/>
              <w:rPr>
                <w:sz w:val="16"/>
                <w:szCs w:val="16"/>
              </w:rPr>
            </w:pPr>
            <w:r>
              <w:rPr>
                <w:rFonts w:ascii="Times New Roman" w:eastAsia="Times New Roman" w:hAnsi="Times New Roman" w:cs="Times New Roman"/>
                <w:color w:val="000000"/>
                <w:sz w:val="16"/>
                <w:szCs w:val="16"/>
              </w:rPr>
              <w:t>Cefalotina (Keflin)</w:t>
            </w:r>
          </w:p>
        </w:tc>
        <w:tc>
          <w:tcPr>
            <w:tcW w:w="2338" w:type="dxa"/>
            <w:shd w:val="clear" w:color="auto" w:fill="FFFFFF"/>
          </w:tcPr>
          <w:p w14:paraId="584D56BA" w14:textId="77777777" w:rsidR="00924992" w:rsidRDefault="00924992">
            <w:pPr>
              <w:pStyle w:val="Other0"/>
              <w:framePr w:w="11443" w:h="5890" w:wrap="none" w:hAnchor="page" w:x="606" w:y="615"/>
              <w:spacing w:line="240" w:lineRule="auto"/>
              <w:ind w:firstLine="200"/>
              <w:rPr>
                <w:sz w:val="16"/>
                <w:szCs w:val="16"/>
              </w:rPr>
            </w:pPr>
            <w:r>
              <w:rPr>
                <w:rFonts w:ascii="Times New Roman" w:eastAsia="Times New Roman" w:hAnsi="Times New Roman" w:cs="Times New Roman"/>
                <w:color w:val="000000"/>
                <w:sz w:val="16"/>
                <w:szCs w:val="16"/>
              </w:rPr>
              <w:t>IV, IM</w:t>
            </w:r>
          </w:p>
        </w:tc>
        <w:tc>
          <w:tcPr>
            <w:tcW w:w="2400" w:type="dxa"/>
            <w:shd w:val="clear" w:color="auto" w:fill="FFFFFF"/>
          </w:tcPr>
          <w:p w14:paraId="2A0513BC" w14:textId="77777777" w:rsidR="00924992" w:rsidRDefault="00924992">
            <w:pPr>
              <w:pStyle w:val="Other0"/>
              <w:framePr w:w="11443" w:h="5890" w:wrap="none" w:hAnchor="page" w:x="606" w:y="615"/>
              <w:spacing w:line="283" w:lineRule="auto"/>
              <w:ind w:left="440" w:hanging="100"/>
              <w:rPr>
                <w:sz w:val="16"/>
                <w:szCs w:val="16"/>
              </w:rPr>
            </w:pPr>
            <w:r>
              <w:rPr>
                <w:rFonts w:ascii="Times New Roman" w:eastAsia="Times New Roman" w:hAnsi="Times New Roman" w:cs="Times New Roman"/>
                <w:color w:val="000000"/>
                <w:sz w:val="16"/>
                <w:szCs w:val="16"/>
              </w:rPr>
              <w:t>80-100 mg en 4 dosis (dosis diaria del adulto,</w:t>
            </w:r>
          </w:p>
          <w:p w14:paraId="1FD2D7EF" w14:textId="77777777" w:rsidR="00924992" w:rsidRDefault="00924992">
            <w:pPr>
              <w:pStyle w:val="Other0"/>
              <w:framePr w:w="11443" w:h="5890" w:wrap="none" w:hAnchor="page" w:x="606" w:y="615"/>
              <w:spacing w:line="283" w:lineRule="auto"/>
              <w:ind w:firstLine="440"/>
              <w:rPr>
                <w:sz w:val="16"/>
                <w:szCs w:val="16"/>
              </w:rPr>
            </w:pPr>
            <w:r>
              <w:rPr>
                <w:rFonts w:ascii="Times New Roman" w:eastAsia="Times New Roman" w:hAnsi="Times New Roman" w:cs="Times New Roman"/>
                <w:color w:val="000000"/>
                <w:sz w:val="16"/>
                <w:szCs w:val="16"/>
              </w:rPr>
              <w:t>2-4 g)</w:t>
            </w:r>
          </w:p>
        </w:tc>
        <w:tc>
          <w:tcPr>
            <w:tcW w:w="2126" w:type="dxa"/>
            <w:shd w:val="clear" w:color="auto" w:fill="FFFFFF"/>
          </w:tcPr>
          <w:p w14:paraId="76B2ADFC" w14:textId="77777777" w:rsidR="00924992" w:rsidRDefault="00924992">
            <w:pPr>
              <w:pStyle w:val="Other0"/>
              <w:framePr w:w="11443" w:h="5890" w:wrap="none" w:hAnchor="page" w:x="606" w:y="615"/>
              <w:spacing w:line="283" w:lineRule="auto"/>
              <w:ind w:firstLine="0"/>
              <w:jc w:val="center"/>
              <w:rPr>
                <w:sz w:val="16"/>
                <w:szCs w:val="16"/>
              </w:rPr>
            </w:pPr>
            <w:r>
              <w:rPr>
                <w:rFonts w:ascii="Times New Roman" w:eastAsia="Times New Roman" w:hAnsi="Times New Roman" w:cs="Times New Roman"/>
                <w:color w:val="000000"/>
                <w:sz w:val="16"/>
                <w:szCs w:val="16"/>
              </w:rPr>
              <w:t>100-150 mg en 4 a 6 dosis (dosis diaria del adulto,</w:t>
            </w:r>
          </w:p>
          <w:p w14:paraId="3FC9854C" w14:textId="77777777" w:rsidR="00924992" w:rsidRDefault="00924992">
            <w:pPr>
              <w:pStyle w:val="Other0"/>
              <w:framePr w:w="11443" w:h="5890" w:wrap="none" w:hAnchor="page" w:x="606" w:y="615"/>
              <w:spacing w:line="283" w:lineRule="auto"/>
              <w:ind w:firstLine="160"/>
              <w:rPr>
                <w:sz w:val="16"/>
                <w:szCs w:val="16"/>
              </w:rPr>
            </w:pPr>
            <w:r>
              <w:rPr>
                <w:rFonts w:ascii="Times New Roman" w:eastAsia="Times New Roman" w:hAnsi="Times New Roman" w:cs="Times New Roman"/>
                <w:color w:val="000000"/>
                <w:sz w:val="16"/>
                <w:szCs w:val="16"/>
              </w:rPr>
              <w:t>8-12 g)</w:t>
            </w:r>
          </w:p>
        </w:tc>
        <w:tc>
          <w:tcPr>
            <w:tcW w:w="2117" w:type="dxa"/>
            <w:shd w:val="clear" w:color="auto" w:fill="FFFFFF"/>
          </w:tcPr>
          <w:p w14:paraId="310B8C0D" w14:textId="77777777" w:rsidR="00924992" w:rsidRDefault="00924992">
            <w:pPr>
              <w:framePr w:w="11443" w:h="5890" w:wrap="none" w:hAnchor="page" w:x="606" w:y="615"/>
              <w:rPr>
                <w:sz w:val="10"/>
                <w:szCs w:val="10"/>
              </w:rPr>
            </w:pPr>
          </w:p>
        </w:tc>
      </w:tr>
    </w:tbl>
    <w:p w14:paraId="1E120FAB" w14:textId="77777777" w:rsidR="00924992" w:rsidRDefault="00924992">
      <w:pPr>
        <w:framePr w:w="11443" w:h="5890" w:wrap="none" w:hAnchor="page" w:x="606" w:y="615"/>
        <w:spacing w:line="1" w:lineRule="exact"/>
      </w:pPr>
    </w:p>
    <w:p w14:paraId="35EFD55C" w14:textId="77777777" w:rsidR="00924992" w:rsidRDefault="00924992">
      <w:pPr>
        <w:pStyle w:val="Bodytext80"/>
        <w:framePr w:w="168" w:h="4958" w:hRule="exact" w:wrap="none" w:hAnchor="page" w:x="12390" w:y="44"/>
        <w:tabs>
          <w:tab w:val="left" w:pos="1906"/>
        </w:tabs>
        <w:textDirection w:val="tbRl"/>
      </w:pPr>
      <w:r>
        <w:rPr>
          <w:sz w:val="16"/>
          <w:szCs w:val="16"/>
        </w:rPr>
        <w:t>734</w:t>
      </w:r>
      <w:r>
        <w:rPr>
          <w:sz w:val="16"/>
          <w:szCs w:val="16"/>
        </w:rPr>
        <w:tab/>
      </w:r>
      <w:r>
        <w:t>CUADROS DE DOSIS DE ANTIMICROBIANOS</w:t>
      </w:r>
    </w:p>
    <w:p w14:paraId="4CD8F3C7" w14:textId="77777777" w:rsidR="00924992" w:rsidRDefault="00924992">
      <w:pPr>
        <w:spacing w:line="360" w:lineRule="exact"/>
      </w:pPr>
    </w:p>
    <w:p w14:paraId="3A0CEC77" w14:textId="77777777" w:rsidR="00924992" w:rsidRDefault="00924992">
      <w:pPr>
        <w:spacing w:line="360" w:lineRule="exact"/>
      </w:pPr>
    </w:p>
    <w:p w14:paraId="1CD85C89" w14:textId="77777777" w:rsidR="00924992" w:rsidRDefault="00924992">
      <w:pPr>
        <w:spacing w:line="360" w:lineRule="exact"/>
      </w:pPr>
    </w:p>
    <w:p w14:paraId="3362BC4D" w14:textId="77777777" w:rsidR="00924992" w:rsidRDefault="00924992">
      <w:pPr>
        <w:spacing w:line="360" w:lineRule="exact"/>
      </w:pPr>
    </w:p>
    <w:p w14:paraId="6DDEA937" w14:textId="77777777" w:rsidR="00924992" w:rsidRDefault="00924992">
      <w:pPr>
        <w:spacing w:line="360" w:lineRule="exact"/>
      </w:pPr>
    </w:p>
    <w:p w14:paraId="120E9B9E" w14:textId="77777777" w:rsidR="00924992" w:rsidRDefault="00924992">
      <w:pPr>
        <w:spacing w:line="360" w:lineRule="exact"/>
      </w:pPr>
    </w:p>
    <w:p w14:paraId="5574C0F5" w14:textId="77777777" w:rsidR="00924992" w:rsidRDefault="00924992">
      <w:pPr>
        <w:spacing w:line="360" w:lineRule="exact"/>
      </w:pPr>
    </w:p>
    <w:p w14:paraId="7B1B588F" w14:textId="77777777" w:rsidR="00924992" w:rsidRDefault="00924992">
      <w:pPr>
        <w:spacing w:line="360" w:lineRule="exact"/>
      </w:pPr>
    </w:p>
    <w:p w14:paraId="632152D1" w14:textId="77777777" w:rsidR="00924992" w:rsidRDefault="00924992">
      <w:pPr>
        <w:spacing w:line="360" w:lineRule="exact"/>
      </w:pPr>
    </w:p>
    <w:p w14:paraId="10731949" w14:textId="77777777" w:rsidR="00924992" w:rsidRDefault="00924992">
      <w:pPr>
        <w:spacing w:line="360" w:lineRule="exact"/>
      </w:pPr>
    </w:p>
    <w:p w14:paraId="2A9DB493" w14:textId="77777777" w:rsidR="00924992" w:rsidRDefault="00924992">
      <w:pPr>
        <w:spacing w:line="360" w:lineRule="exact"/>
      </w:pPr>
    </w:p>
    <w:p w14:paraId="7F2547EF" w14:textId="77777777" w:rsidR="00924992" w:rsidRDefault="00924992">
      <w:pPr>
        <w:spacing w:line="360" w:lineRule="exact"/>
      </w:pPr>
    </w:p>
    <w:p w14:paraId="5445A88A" w14:textId="77777777" w:rsidR="00924992" w:rsidRDefault="00924992">
      <w:pPr>
        <w:spacing w:line="360" w:lineRule="exact"/>
      </w:pPr>
    </w:p>
    <w:p w14:paraId="0F5F94C5" w14:textId="77777777" w:rsidR="00924992" w:rsidRDefault="00924992">
      <w:pPr>
        <w:spacing w:line="360" w:lineRule="exact"/>
      </w:pPr>
    </w:p>
    <w:p w14:paraId="60DB0CDA" w14:textId="77777777" w:rsidR="00924992" w:rsidRDefault="00924992">
      <w:pPr>
        <w:spacing w:line="360" w:lineRule="exact"/>
      </w:pPr>
    </w:p>
    <w:p w14:paraId="4E88E561" w14:textId="77777777" w:rsidR="00924992" w:rsidRDefault="00924992">
      <w:pPr>
        <w:spacing w:line="360" w:lineRule="exact"/>
      </w:pPr>
    </w:p>
    <w:p w14:paraId="74D4A070" w14:textId="77777777" w:rsidR="00924992" w:rsidRDefault="00924992">
      <w:pPr>
        <w:spacing w:line="360" w:lineRule="exact"/>
      </w:pPr>
    </w:p>
    <w:p w14:paraId="1C1BDF9A" w14:textId="77777777" w:rsidR="00924992" w:rsidRDefault="00924992">
      <w:pPr>
        <w:spacing w:after="383" w:line="1" w:lineRule="exact"/>
      </w:pPr>
    </w:p>
    <w:p w14:paraId="745DD49C" w14:textId="77777777" w:rsidR="00924992" w:rsidRDefault="00924992">
      <w:pPr>
        <w:spacing w:line="1" w:lineRule="exact"/>
        <w:sectPr w:rsidR="00924992" w:rsidSect="00924992">
          <w:headerReference w:type="even" r:id="rId243"/>
          <w:headerReference w:type="default" r:id="rId244"/>
          <w:footerReference w:type="even" r:id="rId245"/>
          <w:footerReference w:type="default" r:id="rId246"/>
          <w:pgSz w:w="13022" w:h="8501" w:orient="landscape"/>
          <w:pgMar w:top="461" w:right="466" w:bottom="1009" w:left="605" w:header="33" w:footer="3" w:gutter="0"/>
          <w:cols w:space="720"/>
          <w:noEndnote/>
          <w:docGrid w:linePitch="360"/>
          <w15:footnoteColumns w:val="1"/>
        </w:sectPr>
      </w:pPr>
    </w:p>
    <w:p w14:paraId="4EB25151" w14:textId="77777777" w:rsidR="00924992" w:rsidRDefault="00924992">
      <w:pPr>
        <w:pStyle w:val="Heading31"/>
        <w:keepNext/>
        <w:keepLines/>
        <w:spacing w:after="40"/>
        <w:jc w:val="center"/>
        <w:rPr>
          <w:sz w:val="16"/>
          <w:szCs w:val="16"/>
        </w:rPr>
      </w:pPr>
      <w:bookmarkStart w:id="264" w:name="bookmark1710"/>
      <w:bookmarkStart w:id="265" w:name="bookmark1711"/>
      <w:bookmarkStart w:id="266" w:name="bookmark1712"/>
      <w:r>
        <w:rPr>
          <w:b w:val="0"/>
          <w:bCs w:val="0"/>
          <w:color w:val="000000"/>
        </w:rPr>
        <w:t xml:space="preserve">Cuadro 4-2. </w:t>
      </w:r>
      <w:r>
        <w:rPr>
          <w:color w:val="000000"/>
        </w:rPr>
        <w:t xml:space="preserve">Empleo de antibacterianos en niños después del periodo neonatal </w:t>
      </w:r>
      <w:r>
        <w:rPr>
          <w:rFonts w:ascii="Times New Roman" w:eastAsia="Times New Roman" w:hAnsi="Times New Roman" w:cs="Times New Roman"/>
          <w:b w:val="0"/>
          <w:bCs w:val="0"/>
          <w:i/>
          <w:iCs/>
          <w:color w:val="000000"/>
          <w:w w:val="100"/>
          <w:sz w:val="16"/>
          <w:szCs w:val="16"/>
        </w:rPr>
        <w:t>continuación</w:t>
      </w:r>
      <w:bookmarkEnd w:id="264"/>
      <w:bookmarkEnd w:id="265"/>
      <w:bookmarkEnd w:id="266"/>
    </w:p>
    <w:p w14:paraId="29E678F4" w14:textId="77777777" w:rsidR="00924992" w:rsidRDefault="00924992">
      <w:pPr>
        <w:pStyle w:val="Heading41"/>
        <w:keepNext/>
        <w:keepLines/>
        <w:pBdr>
          <w:top w:val="single" w:sz="0" w:space="0" w:color="000000"/>
          <w:left w:val="single" w:sz="0" w:space="0" w:color="000000"/>
          <w:bottom w:val="single" w:sz="0" w:space="0" w:color="000000"/>
          <w:right w:val="single" w:sz="0" w:space="0" w:color="000000"/>
        </w:pBdr>
        <w:shd w:val="clear" w:color="auto" w:fill="000000"/>
        <w:tabs>
          <w:tab w:val="left" w:pos="5098"/>
          <w:tab w:val="left" w:leader="underscore" w:pos="6533"/>
          <w:tab w:val="left" w:leader="underscore" w:pos="6533"/>
        </w:tabs>
        <w:ind w:firstLine="2680"/>
        <w:jc w:val="both"/>
        <w:sectPr w:rsidR="00924992" w:rsidSect="00924992">
          <w:headerReference w:type="even" r:id="rId247"/>
          <w:headerReference w:type="default" r:id="rId248"/>
          <w:footerReference w:type="even" r:id="rId249"/>
          <w:footerReference w:type="default" r:id="rId250"/>
          <w:pgSz w:w="13022" w:h="8501" w:orient="landscape"/>
          <w:pgMar w:top="1080" w:right="975" w:bottom="304" w:left="605" w:header="0" w:footer="3" w:gutter="0"/>
          <w:cols w:space="720"/>
          <w:noEndnote/>
          <w:docGrid w:linePitch="360"/>
          <w15:footnoteColumns w:val="1"/>
        </w:sectPr>
      </w:pPr>
      <w:r>
        <w:rPr>
          <w:noProof/>
        </w:rPr>
        <mc:AlternateContent>
          <mc:Choice Requires="wps">
            <w:drawing>
              <wp:anchor distT="0" distB="0" distL="114300" distR="114300" simplePos="0" relativeHeight="251672576" behindDoc="0" locked="0" layoutInCell="1" allowOverlap="1" wp14:anchorId="6D895FF5" wp14:editId="4A332AD8">
                <wp:simplePos x="0" y="0"/>
                <wp:positionH relativeFrom="page">
                  <wp:posOffset>5005070</wp:posOffset>
                </wp:positionH>
                <wp:positionV relativeFrom="paragraph">
                  <wp:posOffset>177800</wp:posOffset>
                </wp:positionV>
                <wp:extent cx="2045335" cy="189230"/>
                <wp:effectExtent l="0" t="0" r="0" b="0"/>
                <wp:wrapSquare wrapText="left"/>
                <wp:docPr id="2239" name="Shape 2239"/>
                <wp:cNvGraphicFramePr/>
                <a:graphic xmlns:a="http://schemas.openxmlformats.org/drawingml/2006/main">
                  <a:graphicData uri="http://schemas.microsoft.com/office/word/2010/wordprocessingShape">
                    <wps:wsp>
                      <wps:cNvSpPr txBox="1"/>
                      <wps:spPr>
                        <a:xfrm>
                          <a:off x="0" y="0"/>
                          <a:ext cx="2045335" cy="189230"/>
                        </a:xfrm>
                        <a:prstGeom prst="rect">
                          <a:avLst/>
                        </a:prstGeom>
                        <a:solidFill>
                          <a:srgbClr val="000000"/>
                        </a:solidFill>
                      </wps:spPr>
                      <wps:txbx>
                        <w:txbxContent>
                          <w:p w14:paraId="180C5995" w14:textId="77777777" w:rsidR="00924992" w:rsidRDefault="00924992">
                            <w:pPr>
                              <w:pStyle w:val="Other0"/>
                              <w:pBdr>
                                <w:top w:val="single" w:sz="0" w:space="0" w:color="000000"/>
                                <w:left w:val="single" w:sz="0" w:space="0" w:color="000000"/>
                                <w:bottom w:val="single" w:sz="0" w:space="0" w:color="000000"/>
                                <w:right w:val="single" w:sz="0" w:space="0" w:color="000000"/>
                              </w:pBdr>
                              <w:shd w:val="clear" w:color="auto" w:fill="000000"/>
                              <w:spacing w:line="240" w:lineRule="auto"/>
                              <w:ind w:firstLine="0"/>
                              <w:jc w:val="center"/>
                              <w:rPr>
                                <w:sz w:val="24"/>
                                <w:szCs w:val="24"/>
                              </w:rPr>
                            </w:pPr>
                            <w:r>
                              <w:rPr>
                                <w:rFonts w:ascii="Arial" w:eastAsia="Arial" w:hAnsi="Arial" w:cs="Arial"/>
                                <w:b/>
                                <w:bCs/>
                                <w:color w:val="FFFFFF"/>
                                <w:w w:val="70"/>
                                <w:sz w:val="24"/>
                                <w:szCs w:val="24"/>
                              </w:rPr>
                              <w:t>Infecciones graves Comentarios</w:t>
                            </w:r>
                          </w:p>
                        </w:txbxContent>
                      </wps:txbx>
                      <wps:bodyPr wrap="none" lIns="0" tIns="0" rIns="0" bIns="0"/>
                    </wps:wsp>
                  </a:graphicData>
                </a:graphic>
              </wp:anchor>
            </w:drawing>
          </mc:Choice>
          <mc:Fallback>
            <w:pict>
              <v:shape w14:anchorId="6D895FF5" id="Shape 2239" o:spid="_x0000_s1038" type="#_x0000_t202" style="position:absolute;left:0;text-align:left;margin-left:394.1pt;margin-top:14pt;width:161.05pt;height:14.9pt;z-index:251672576;visibility:visible;mso-wrap-style:none;mso-wrap-distance-left:9pt;mso-wrap-distance-top:0;mso-wrap-distance-right:9pt;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" fillcolor="black" stroked="f">
                <v:textbox inset="0,0,0,0">
                  <w:txbxContent>
                    <w:p w14:paraId="180C5995" w14:textId="77777777" w:rsidR="00924992" w:rsidRDefault="00924992">
                      <w:pPr>
                        <w:pStyle w:val="Other0"/>
                        <w:pBdr>
                          <w:top w:val="single" w:sz="0" w:space="0" w:color="000000"/>
                          <w:left w:val="single" w:sz="0" w:space="0" w:color="000000"/>
                          <w:bottom w:val="single" w:sz="0" w:space="0" w:color="000000"/>
                          <w:right w:val="single" w:sz="0" w:space="0" w:color="000000"/>
                        </w:pBdr>
                        <w:shd w:val="clear" w:color="auto" w:fill="000000"/>
                        <w:spacing w:line="240" w:lineRule="auto"/>
                        <w:ind w:firstLine="0"/>
                        <w:jc w:val="center"/>
                        <w:rPr>
                          <w:sz w:val="24"/>
                          <w:szCs w:val="24"/>
                        </w:rPr>
                      </w:pPr>
                      <w:r>
                        <w:rPr>
                          <w:rFonts w:ascii="Arial" w:eastAsia="Arial" w:hAnsi="Arial" w:cs="Arial"/>
                          <w:b/>
                          <w:bCs/>
                          <w:color w:val="FFFFFF"/>
                          <w:w w:val="70"/>
                          <w:sz w:val="24"/>
                          <w:szCs w:val="24"/>
                        </w:rPr>
                        <w:t>Infecciones graves Comentarios</w:t>
                      </w:r>
                    </w:p>
                  </w:txbxContent>
                </v:textbox>
                <w10:wrap type="square" side="left" anchorx="page"/>
              </v:shape>
            </w:pict>
          </mc:Fallback>
        </mc:AlternateContent>
      </w:r>
      <w:bookmarkStart w:id="267" w:name="bookmark1713"/>
      <w:bookmarkStart w:id="268" w:name="bookmark1714"/>
      <w:bookmarkStart w:id="269" w:name="bookmark1715"/>
      <w:r>
        <w:rPr>
          <w:color w:val="FFFFFF"/>
        </w:rPr>
        <w:tab/>
      </w:r>
      <w:r>
        <w:rPr>
          <w:color w:val="FFFFFF"/>
          <w:u w:val="single"/>
        </w:rPr>
        <w:t>Dosis por kg de peso al día</w:t>
      </w:r>
      <w:r>
        <w:rPr>
          <w:color w:val="FFFFFF"/>
        </w:rPr>
        <w:tab/>
        <w:t xml:space="preserve"> Fármaco, nombre genérico Vía de administración Infecciones leves (y comercial)</w:t>
      </w:r>
      <w:r>
        <w:rPr>
          <w:color w:val="FFFFFF"/>
        </w:rPr>
        <w:tab/>
        <w:t>o moderadas</w:t>
      </w:r>
      <w:bookmarkEnd w:id="267"/>
      <w:bookmarkEnd w:id="268"/>
      <w:bookmarkEnd w:id="269"/>
    </w:p>
    <w:p w14:paraId="09BAEB08" w14:textId="77777777" w:rsidR="00924992" w:rsidRDefault="00924992">
      <w:pPr>
        <w:spacing w:line="1" w:lineRule="exact"/>
      </w:pPr>
      <w:r>
        <w:rPr>
          <w:noProof/>
        </w:rPr>
        <mc:AlternateContent>
          <mc:Choice Requires="wps">
            <w:drawing>
              <wp:anchor distT="0" distB="130810" distL="114300" distR="114300" simplePos="0" relativeHeight="251673600" behindDoc="0" locked="0" layoutInCell="1" allowOverlap="1" wp14:anchorId="27FF8F97" wp14:editId="123455A5">
                <wp:simplePos x="0" y="0"/>
                <wp:positionH relativeFrom="page">
                  <wp:posOffset>433070</wp:posOffset>
                </wp:positionH>
                <wp:positionV relativeFrom="paragraph">
                  <wp:posOffset>12700</wp:posOffset>
                </wp:positionV>
                <wp:extent cx="1981200" cy="3303905"/>
                <wp:effectExtent l="0" t="0" r="0" b="0"/>
                <wp:wrapSquare wrapText="bothSides"/>
                <wp:docPr id="2241" name="Shape 2241"/>
                <wp:cNvGraphicFramePr/>
                <a:graphic xmlns:a="http://schemas.openxmlformats.org/drawingml/2006/main">
                  <a:graphicData uri="http://schemas.microsoft.com/office/word/2010/wordprocessingShape">
                    <wps:wsp>
                      <wps:cNvSpPr txBox="1"/>
                      <wps:spPr>
                        <a:xfrm>
                          <a:off x="0" y="0"/>
                          <a:ext cx="1981200" cy="3303905"/>
                        </a:xfrm>
                        <a:prstGeom prst="rect">
                          <a:avLst/>
                        </a:prstGeom>
                        <a:noFill/>
                      </wps:spPr>
                      <wps:txbx>
                        <w:txbxContent>
                          <w:tbl>
                            <w:tblPr>
                              <w:tblOverlap w:val="never"/>
                              <w:tblW w:w="0" w:type="auto"/>
                              <w:tblLayout w:type="fixed"/>
                              <w:tblCellMar>
                                <w:left w:w="10" w:type="dxa"/>
                                <w:right w:w="10" w:type="dxa"/>
                              </w:tblCellMar>
                              <w:tblLook w:val="04A0" w:firstRow="1" w:lastRow="0" w:firstColumn="1" w:lastColumn="0" w:noHBand="0" w:noVBand="1"/>
                            </w:tblPr>
                            <w:tblGrid>
                              <w:gridCol w:w="2146"/>
                              <w:gridCol w:w="974"/>
                            </w:tblGrid>
                            <w:tr w:rsidR="00924992" w14:paraId="061FFA30" w14:textId="77777777">
                              <w:tblPrEx>
                                <w:tblCellMar>
                                  <w:top w:w="0" w:type="dxa"/>
                                  <w:bottom w:w="0" w:type="dxa"/>
                                </w:tblCellMar>
                              </w:tblPrEx>
                              <w:trPr>
                                <w:trHeight w:hRule="exact" w:val="427"/>
                                <w:tblHeader/>
                              </w:trPr>
                              <w:tc>
                                <w:tcPr>
                                  <w:tcW w:w="2146" w:type="dxa"/>
                                  <w:shd w:val="clear" w:color="auto" w:fill="FFFFFF"/>
                                </w:tcPr>
                                <w:p w14:paraId="1362148C" w14:textId="77777777" w:rsidR="00924992" w:rsidRDefault="00924992">
                                  <w:pPr>
                                    <w:pStyle w:val="Other0"/>
                                    <w:spacing w:line="240" w:lineRule="auto"/>
                                    <w:ind w:firstLine="0"/>
                                    <w:rPr>
                                      <w:sz w:val="16"/>
                                      <w:szCs w:val="16"/>
                                    </w:rPr>
                                  </w:pPr>
                                  <w:r>
                                    <w:rPr>
                                      <w:rFonts w:ascii="Times New Roman" w:eastAsia="Times New Roman" w:hAnsi="Times New Roman" w:cs="Times New Roman"/>
                                      <w:color w:val="000000"/>
                                      <w:sz w:val="16"/>
                                      <w:szCs w:val="16"/>
                                    </w:rPr>
                                    <w:t>Cefdinir (Omnicef)</w:t>
                                  </w:r>
                                </w:p>
                              </w:tc>
                              <w:tc>
                                <w:tcPr>
                                  <w:tcW w:w="974" w:type="dxa"/>
                                  <w:shd w:val="clear" w:color="auto" w:fill="FFFFFF"/>
                                </w:tcPr>
                                <w:p w14:paraId="34BB079E" w14:textId="77777777" w:rsidR="00924992" w:rsidRDefault="00924992">
                                  <w:pPr>
                                    <w:pStyle w:val="Other0"/>
                                    <w:spacing w:line="240" w:lineRule="auto"/>
                                    <w:ind w:firstLine="460"/>
                                    <w:rPr>
                                      <w:sz w:val="16"/>
                                      <w:szCs w:val="16"/>
                                    </w:rPr>
                                  </w:pPr>
                                  <w:r>
                                    <w:rPr>
                                      <w:rFonts w:ascii="Times New Roman" w:eastAsia="Times New Roman" w:hAnsi="Times New Roman" w:cs="Times New Roman"/>
                                      <w:color w:val="000000"/>
                                      <w:sz w:val="16"/>
                                      <w:szCs w:val="16"/>
                                    </w:rPr>
                                    <w:t>PO</w:t>
                                  </w:r>
                                </w:p>
                              </w:tc>
                            </w:tr>
                            <w:tr w:rsidR="00924992" w14:paraId="44A3ADB4" w14:textId="77777777">
                              <w:tblPrEx>
                                <w:tblCellMar>
                                  <w:top w:w="0" w:type="dxa"/>
                                  <w:bottom w:w="0" w:type="dxa"/>
                                </w:tblCellMar>
                              </w:tblPrEx>
                              <w:trPr>
                                <w:trHeight w:hRule="exact" w:val="552"/>
                              </w:trPr>
                              <w:tc>
                                <w:tcPr>
                                  <w:tcW w:w="2146" w:type="dxa"/>
                                  <w:shd w:val="clear" w:color="auto" w:fill="FFFFFF"/>
                                  <w:vAlign w:val="center"/>
                                </w:tcPr>
                                <w:p w14:paraId="13CDC959" w14:textId="77777777" w:rsidR="00924992" w:rsidRDefault="00924992">
                                  <w:pPr>
                                    <w:pStyle w:val="Other0"/>
                                    <w:spacing w:line="240" w:lineRule="auto"/>
                                    <w:ind w:firstLine="0"/>
                                    <w:rPr>
                                      <w:sz w:val="16"/>
                                      <w:szCs w:val="16"/>
                                    </w:rPr>
                                  </w:pPr>
                                  <w:r>
                                    <w:rPr>
                                      <w:rFonts w:ascii="Times New Roman" w:eastAsia="Times New Roman" w:hAnsi="Times New Roman" w:cs="Times New Roman"/>
                                      <w:color w:val="000000"/>
                                      <w:sz w:val="16"/>
                                      <w:szCs w:val="16"/>
                                    </w:rPr>
                                    <w:t>Cefditorén (Spectracef)</w:t>
                                  </w:r>
                                </w:p>
                              </w:tc>
                              <w:tc>
                                <w:tcPr>
                                  <w:tcW w:w="974" w:type="dxa"/>
                                  <w:shd w:val="clear" w:color="auto" w:fill="FFFFFF"/>
                                  <w:vAlign w:val="center"/>
                                </w:tcPr>
                                <w:p w14:paraId="58B220DD" w14:textId="77777777" w:rsidR="00924992" w:rsidRDefault="00924992">
                                  <w:pPr>
                                    <w:pStyle w:val="Other0"/>
                                    <w:spacing w:line="240" w:lineRule="auto"/>
                                    <w:ind w:firstLine="460"/>
                                    <w:rPr>
                                      <w:sz w:val="16"/>
                                      <w:szCs w:val="16"/>
                                    </w:rPr>
                                  </w:pPr>
                                  <w:r>
                                    <w:rPr>
                                      <w:rFonts w:ascii="Times New Roman" w:eastAsia="Times New Roman" w:hAnsi="Times New Roman" w:cs="Times New Roman"/>
                                      <w:color w:val="000000"/>
                                      <w:sz w:val="16"/>
                                      <w:szCs w:val="16"/>
                                    </w:rPr>
                                    <w:t>PO</w:t>
                                  </w:r>
                                </w:p>
                              </w:tc>
                            </w:tr>
                            <w:tr w:rsidR="00924992" w14:paraId="14726EA0" w14:textId="77777777">
                              <w:tblPrEx>
                                <w:tblCellMar>
                                  <w:top w:w="0" w:type="dxa"/>
                                  <w:bottom w:w="0" w:type="dxa"/>
                                </w:tblCellMar>
                              </w:tblPrEx>
                              <w:trPr>
                                <w:trHeight w:hRule="exact" w:val="542"/>
                              </w:trPr>
                              <w:tc>
                                <w:tcPr>
                                  <w:tcW w:w="2146" w:type="dxa"/>
                                  <w:shd w:val="clear" w:color="auto" w:fill="FFFFFF"/>
                                  <w:vAlign w:val="center"/>
                                </w:tcPr>
                                <w:p w14:paraId="564BB00D" w14:textId="77777777" w:rsidR="00924992" w:rsidRDefault="00924992">
                                  <w:pPr>
                                    <w:pStyle w:val="Other0"/>
                                    <w:spacing w:line="240" w:lineRule="auto"/>
                                    <w:ind w:firstLine="0"/>
                                    <w:rPr>
                                      <w:sz w:val="16"/>
                                      <w:szCs w:val="16"/>
                                    </w:rPr>
                                  </w:pPr>
                                  <w:r>
                                    <w:rPr>
                                      <w:rFonts w:ascii="Times New Roman" w:eastAsia="Times New Roman" w:hAnsi="Times New Roman" w:cs="Times New Roman"/>
                                      <w:color w:val="000000"/>
                                      <w:sz w:val="16"/>
                                      <w:szCs w:val="16"/>
                                    </w:rPr>
                                    <w:t>Cefepima (Maxipime)</w:t>
                                  </w:r>
                                </w:p>
                              </w:tc>
                              <w:tc>
                                <w:tcPr>
                                  <w:tcW w:w="974" w:type="dxa"/>
                                  <w:shd w:val="clear" w:color="auto" w:fill="FFFFFF"/>
                                  <w:vAlign w:val="center"/>
                                </w:tcPr>
                                <w:p w14:paraId="30ADBE83" w14:textId="77777777" w:rsidR="00924992" w:rsidRDefault="00924992">
                                  <w:pPr>
                                    <w:pStyle w:val="Other0"/>
                                    <w:spacing w:line="240" w:lineRule="auto"/>
                                    <w:ind w:firstLine="0"/>
                                    <w:jc w:val="right"/>
                                    <w:rPr>
                                      <w:sz w:val="16"/>
                                      <w:szCs w:val="16"/>
                                    </w:rPr>
                                  </w:pPr>
                                  <w:r>
                                    <w:rPr>
                                      <w:rFonts w:ascii="Times New Roman" w:eastAsia="Times New Roman" w:hAnsi="Times New Roman" w:cs="Times New Roman"/>
                                      <w:color w:val="000000"/>
                                      <w:sz w:val="16"/>
                                      <w:szCs w:val="16"/>
                                    </w:rPr>
                                    <w:t>IV, IM</w:t>
                                  </w:r>
                                </w:p>
                              </w:tc>
                            </w:tr>
                            <w:tr w:rsidR="00924992" w14:paraId="4B5F0FDB" w14:textId="77777777">
                              <w:tblPrEx>
                                <w:tblCellMar>
                                  <w:top w:w="0" w:type="dxa"/>
                                  <w:bottom w:w="0" w:type="dxa"/>
                                </w:tblCellMar>
                              </w:tblPrEx>
                              <w:trPr>
                                <w:trHeight w:hRule="exact" w:val="634"/>
                              </w:trPr>
                              <w:tc>
                                <w:tcPr>
                                  <w:tcW w:w="2146" w:type="dxa"/>
                                  <w:shd w:val="clear" w:color="auto" w:fill="FFFFFF"/>
                                  <w:vAlign w:val="center"/>
                                </w:tcPr>
                                <w:p w14:paraId="050AAB19" w14:textId="77777777" w:rsidR="00924992" w:rsidRDefault="00924992">
                                  <w:pPr>
                                    <w:pStyle w:val="Other0"/>
                                    <w:spacing w:line="240" w:lineRule="auto"/>
                                    <w:ind w:firstLine="0"/>
                                    <w:rPr>
                                      <w:sz w:val="16"/>
                                      <w:szCs w:val="16"/>
                                    </w:rPr>
                                  </w:pPr>
                                  <w:r>
                                    <w:rPr>
                                      <w:rFonts w:ascii="Times New Roman" w:eastAsia="Times New Roman" w:hAnsi="Times New Roman" w:cs="Times New Roman"/>
                                      <w:color w:val="000000"/>
                                      <w:sz w:val="16"/>
                                      <w:szCs w:val="16"/>
                                    </w:rPr>
                                    <w:t>Cefonicid (Monocid)</w:t>
                                  </w:r>
                                </w:p>
                              </w:tc>
                              <w:tc>
                                <w:tcPr>
                                  <w:tcW w:w="974" w:type="dxa"/>
                                  <w:shd w:val="clear" w:color="auto" w:fill="FFFFFF"/>
                                  <w:vAlign w:val="center"/>
                                </w:tcPr>
                                <w:p w14:paraId="05528FB0" w14:textId="77777777" w:rsidR="00924992" w:rsidRDefault="00924992">
                                  <w:pPr>
                                    <w:pStyle w:val="Other0"/>
                                    <w:spacing w:line="240" w:lineRule="auto"/>
                                    <w:ind w:firstLine="0"/>
                                    <w:jc w:val="right"/>
                                    <w:rPr>
                                      <w:sz w:val="16"/>
                                      <w:szCs w:val="16"/>
                                    </w:rPr>
                                  </w:pPr>
                                  <w:r>
                                    <w:rPr>
                                      <w:rFonts w:ascii="Times New Roman" w:eastAsia="Times New Roman" w:hAnsi="Times New Roman" w:cs="Times New Roman"/>
                                      <w:color w:val="000000"/>
                                      <w:sz w:val="16"/>
                                      <w:szCs w:val="16"/>
                                    </w:rPr>
                                    <w:t>IV, IM</w:t>
                                  </w:r>
                                </w:p>
                              </w:tc>
                            </w:tr>
                            <w:tr w:rsidR="00924992" w14:paraId="6CF8A537" w14:textId="77777777">
                              <w:tblPrEx>
                                <w:tblCellMar>
                                  <w:top w:w="0" w:type="dxa"/>
                                  <w:bottom w:w="0" w:type="dxa"/>
                                </w:tblCellMar>
                              </w:tblPrEx>
                              <w:trPr>
                                <w:trHeight w:hRule="exact" w:val="653"/>
                              </w:trPr>
                              <w:tc>
                                <w:tcPr>
                                  <w:tcW w:w="2146" w:type="dxa"/>
                                  <w:shd w:val="clear" w:color="auto" w:fill="FFFFFF"/>
                                  <w:vAlign w:val="center"/>
                                </w:tcPr>
                                <w:p w14:paraId="18F011E3" w14:textId="77777777" w:rsidR="00924992" w:rsidRDefault="00924992">
                                  <w:pPr>
                                    <w:pStyle w:val="Other0"/>
                                    <w:spacing w:line="240" w:lineRule="auto"/>
                                    <w:ind w:firstLine="0"/>
                                    <w:rPr>
                                      <w:sz w:val="16"/>
                                      <w:szCs w:val="16"/>
                                    </w:rPr>
                                  </w:pPr>
                                  <w:r>
                                    <w:rPr>
                                      <w:rFonts w:ascii="Times New Roman" w:eastAsia="Times New Roman" w:hAnsi="Times New Roman" w:cs="Times New Roman"/>
                                      <w:color w:val="000000"/>
                                      <w:sz w:val="16"/>
                                      <w:szCs w:val="16"/>
                                    </w:rPr>
                                    <w:t>Cefoperazona (Cefobid)</w:t>
                                  </w:r>
                                </w:p>
                              </w:tc>
                              <w:tc>
                                <w:tcPr>
                                  <w:tcW w:w="974" w:type="dxa"/>
                                  <w:shd w:val="clear" w:color="auto" w:fill="FFFFFF"/>
                                  <w:vAlign w:val="center"/>
                                </w:tcPr>
                                <w:p w14:paraId="4CEAF653" w14:textId="77777777" w:rsidR="00924992" w:rsidRDefault="00924992">
                                  <w:pPr>
                                    <w:pStyle w:val="Other0"/>
                                    <w:spacing w:line="240" w:lineRule="auto"/>
                                    <w:ind w:firstLine="0"/>
                                    <w:jc w:val="right"/>
                                    <w:rPr>
                                      <w:sz w:val="16"/>
                                      <w:szCs w:val="16"/>
                                    </w:rPr>
                                  </w:pPr>
                                  <w:r>
                                    <w:rPr>
                                      <w:rFonts w:ascii="Times New Roman" w:eastAsia="Times New Roman" w:hAnsi="Times New Roman" w:cs="Times New Roman"/>
                                      <w:color w:val="000000"/>
                                      <w:sz w:val="16"/>
                                      <w:szCs w:val="16"/>
                                    </w:rPr>
                                    <w:t>IV, IM</w:t>
                                  </w:r>
                                </w:p>
                              </w:tc>
                            </w:tr>
                            <w:tr w:rsidR="00924992" w14:paraId="1E9C3BEF" w14:textId="77777777">
                              <w:tblPrEx>
                                <w:tblCellMar>
                                  <w:top w:w="0" w:type="dxa"/>
                                  <w:bottom w:w="0" w:type="dxa"/>
                                </w:tblCellMar>
                              </w:tblPrEx>
                              <w:trPr>
                                <w:trHeight w:hRule="exact" w:val="643"/>
                              </w:trPr>
                              <w:tc>
                                <w:tcPr>
                                  <w:tcW w:w="2146" w:type="dxa"/>
                                  <w:shd w:val="clear" w:color="auto" w:fill="FFFFFF"/>
                                  <w:vAlign w:val="center"/>
                                </w:tcPr>
                                <w:p w14:paraId="19E731BC" w14:textId="77777777" w:rsidR="00924992" w:rsidRDefault="00924992">
                                  <w:pPr>
                                    <w:pStyle w:val="Other0"/>
                                    <w:spacing w:line="240" w:lineRule="auto"/>
                                    <w:ind w:firstLine="0"/>
                                    <w:rPr>
                                      <w:sz w:val="16"/>
                                      <w:szCs w:val="16"/>
                                    </w:rPr>
                                  </w:pPr>
                                  <w:r>
                                    <w:rPr>
                                      <w:rFonts w:ascii="Times New Roman" w:eastAsia="Times New Roman" w:hAnsi="Times New Roman" w:cs="Times New Roman"/>
                                      <w:color w:val="000000"/>
                                      <w:sz w:val="16"/>
                                      <w:szCs w:val="16"/>
                                    </w:rPr>
                                    <w:t>Cefotaxima (Claforan)</w:t>
                                  </w:r>
                                </w:p>
                              </w:tc>
                              <w:tc>
                                <w:tcPr>
                                  <w:tcW w:w="974" w:type="dxa"/>
                                  <w:shd w:val="clear" w:color="auto" w:fill="FFFFFF"/>
                                  <w:vAlign w:val="center"/>
                                </w:tcPr>
                                <w:p w14:paraId="556BAB6C" w14:textId="77777777" w:rsidR="00924992" w:rsidRDefault="00924992">
                                  <w:pPr>
                                    <w:pStyle w:val="Other0"/>
                                    <w:spacing w:line="240" w:lineRule="auto"/>
                                    <w:ind w:firstLine="0"/>
                                    <w:jc w:val="right"/>
                                    <w:rPr>
                                      <w:sz w:val="16"/>
                                      <w:szCs w:val="16"/>
                                    </w:rPr>
                                  </w:pPr>
                                  <w:r>
                                    <w:rPr>
                                      <w:rFonts w:ascii="Times New Roman" w:eastAsia="Times New Roman" w:hAnsi="Times New Roman" w:cs="Times New Roman"/>
                                      <w:color w:val="000000"/>
                                      <w:sz w:val="16"/>
                                      <w:szCs w:val="16"/>
                                    </w:rPr>
                                    <w:t>IV, IM</w:t>
                                  </w:r>
                                </w:p>
                              </w:tc>
                            </w:tr>
                            <w:tr w:rsidR="00924992" w14:paraId="4430E1B4" w14:textId="77777777">
                              <w:tblPrEx>
                                <w:tblCellMar>
                                  <w:top w:w="0" w:type="dxa"/>
                                  <w:bottom w:w="0" w:type="dxa"/>
                                </w:tblCellMar>
                              </w:tblPrEx>
                              <w:trPr>
                                <w:trHeight w:hRule="exact" w:val="648"/>
                              </w:trPr>
                              <w:tc>
                                <w:tcPr>
                                  <w:tcW w:w="2146" w:type="dxa"/>
                                  <w:shd w:val="clear" w:color="auto" w:fill="FFFFFF"/>
                                  <w:vAlign w:val="center"/>
                                </w:tcPr>
                                <w:p w14:paraId="6AB3F04D" w14:textId="77777777" w:rsidR="00924992" w:rsidRDefault="00924992">
                                  <w:pPr>
                                    <w:pStyle w:val="Other0"/>
                                    <w:spacing w:line="240" w:lineRule="auto"/>
                                    <w:ind w:firstLine="0"/>
                                    <w:rPr>
                                      <w:sz w:val="16"/>
                                      <w:szCs w:val="16"/>
                                    </w:rPr>
                                  </w:pPr>
                                  <w:r>
                                    <w:rPr>
                                      <w:rFonts w:ascii="Times New Roman" w:eastAsia="Times New Roman" w:hAnsi="Times New Roman" w:cs="Times New Roman"/>
                                      <w:color w:val="000000"/>
                                      <w:sz w:val="16"/>
                                      <w:szCs w:val="16"/>
                                    </w:rPr>
                                    <w:t>Cefotetán (Cefotan)</w:t>
                                  </w:r>
                                </w:p>
                              </w:tc>
                              <w:tc>
                                <w:tcPr>
                                  <w:tcW w:w="974" w:type="dxa"/>
                                  <w:shd w:val="clear" w:color="auto" w:fill="FFFFFF"/>
                                  <w:vAlign w:val="center"/>
                                </w:tcPr>
                                <w:p w14:paraId="1416A7D2" w14:textId="77777777" w:rsidR="00924992" w:rsidRDefault="00924992">
                                  <w:pPr>
                                    <w:pStyle w:val="Other0"/>
                                    <w:spacing w:line="240" w:lineRule="auto"/>
                                    <w:ind w:firstLine="0"/>
                                    <w:jc w:val="right"/>
                                    <w:rPr>
                                      <w:sz w:val="16"/>
                                      <w:szCs w:val="16"/>
                                    </w:rPr>
                                  </w:pPr>
                                  <w:r>
                                    <w:rPr>
                                      <w:rFonts w:ascii="Times New Roman" w:eastAsia="Times New Roman" w:hAnsi="Times New Roman" w:cs="Times New Roman"/>
                                      <w:color w:val="000000"/>
                                      <w:sz w:val="16"/>
                                      <w:szCs w:val="16"/>
                                    </w:rPr>
                                    <w:t>IV, IM</w:t>
                                  </w:r>
                                </w:p>
                              </w:tc>
                            </w:tr>
                            <w:tr w:rsidR="00924992" w14:paraId="67FC4B08" w14:textId="77777777">
                              <w:tblPrEx>
                                <w:tblCellMar>
                                  <w:top w:w="0" w:type="dxa"/>
                                  <w:bottom w:w="0" w:type="dxa"/>
                                </w:tblCellMar>
                              </w:tblPrEx>
                              <w:trPr>
                                <w:trHeight w:hRule="exact" w:val="648"/>
                              </w:trPr>
                              <w:tc>
                                <w:tcPr>
                                  <w:tcW w:w="2146" w:type="dxa"/>
                                  <w:shd w:val="clear" w:color="auto" w:fill="FFFFFF"/>
                                  <w:vAlign w:val="center"/>
                                </w:tcPr>
                                <w:p w14:paraId="224F9BFF" w14:textId="77777777" w:rsidR="00924992" w:rsidRDefault="00924992">
                                  <w:pPr>
                                    <w:pStyle w:val="Other0"/>
                                    <w:spacing w:line="240" w:lineRule="auto"/>
                                    <w:ind w:firstLine="0"/>
                                    <w:rPr>
                                      <w:sz w:val="16"/>
                                      <w:szCs w:val="16"/>
                                    </w:rPr>
                                  </w:pPr>
                                  <w:r>
                                    <w:rPr>
                                      <w:rFonts w:ascii="Times New Roman" w:eastAsia="Times New Roman" w:hAnsi="Times New Roman" w:cs="Times New Roman"/>
                                      <w:color w:val="000000"/>
                                      <w:sz w:val="16"/>
                                      <w:szCs w:val="16"/>
                                    </w:rPr>
                                    <w:t>Cefoxitina (Mefoxin)</w:t>
                                  </w:r>
                                </w:p>
                              </w:tc>
                              <w:tc>
                                <w:tcPr>
                                  <w:tcW w:w="974" w:type="dxa"/>
                                  <w:shd w:val="clear" w:color="auto" w:fill="FFFFFF"/>
                                  <w:vAlign w:val="center"/>
                                </w:tcPr>
                                <w:p w14:paraId="632044CD" w14:textId="77777777" w:rsidR="00924992" w:rsidRDefault="00924992">
                                  <w:pPr>
                                    <w:pStyle w:val="Other0"/>
                                    <w:spacing w:line="240" w:lineRule="auto"/>
                                    <w:ind w:firstLine="0"/>
                                    <w:jc w:val="right"/>
                                    <w:rPr>
                                      <w:sz w:val="16"/>
                                      <w:szCs w:val="16"/>
                                    </w:rPr>
                                  </w:pPr>
                                  <w:r>
                                    <w:rPr>
                                      <w:rFonts w:ascii="Times New Roman" w:eastAsia="Times New Roman" w:hAnsi="Times New Roman" w:cs="Times New Roman"/>
                                      <w:color w:val="000000"/>
                                      <w:sz w:val="16"/>
                                      <w:szCs w:val="16"/>
                                    </w:rPr>
                                    <w:t>IV, IM</w:t>
                                  </w:r>
                                </w:p>
                              </w:tc>
                            </w:tr>
                            <w:tr w:rsidR="00924992" w14:paraId="78C0D7EF" w14:textId="77777777">
                              <w:tblPrEx>
                                <w:tblCellMar>
                                  <w:top w:w="0" w:type="dxa"/>
                                  <w:bottom w:w="0" w:type="dxa"/>
                                </w:tblCellMar>
                              </w:tblPrEx>
                              <w:trPr>
                                <w:trHeight w:hRule="exact" w:val="456"/>
                              </w:trPr>
                              <w:tc>
                                <w:tcPr>
                                  <w:tcW w:w="2146" w:type="dxa"/>
                                  <w:shd w:val="clear" w:color="auto" w:fill="FFFFFF"/>
                                  <w:vAlign w:val="bottom"/>
                                </w:tcPr>
                                <w:p w14:paraId="54D75496" w14:textId="77777777" w:rsidR="00924992" w:rsidRDefault="00924992">
                                  <w:pPr>
                                    <w:pStyle w:val="Other0"/>
                                    <w:spacing w:line="240" w:lineRule="auto"/>
                                    <w:ind w:firstLine="0"/>
                                    <w:rPr>
                                      <w:sz w:val="16"/>
                                      <w:szCs w:val="16"/>
                                    </w:rPr>
                                  </w:pPr>
                                  <w:r>
                                    <w:rPr>
                                      <w:rFonts w:ascii="Times New Roman" w:eastAsia="Times New Roman" w:hAnsi="Times New Roman" w:cs="Times New Roman"/>
                                      <w:color w:val="000000"/>
                                      <w:sz w:val="16"/>
                                      <w:szCs w:val="16"/>
                                    </w:rPr>
                                    <w:t>Cefpodoxima proxetilo</w:t>
                                  </w:r>
                                </w:p>
                              </w:tc>
                              <w:tc>
                                <w:tcPr>
                                  <w:tcW w:w="974" w:type="dxa"/>
                                  <w:shd w:val="clear" w:color="auto" w:fill="FFFFFF"/>
                                  <w:vAlign w:val="bottom"/>
                                </w:tcPr>
                                <w:p w14:paraId="63D4E0CC" w14:textId="77777777" w:rsidR="00924992" w:rsidRDefault="00924992">
                                  <w:pPr>
                                    <w:pStyle w:val="Other0"/>
                                    <w:spacing w:line="240" w:lineRule="auto"/>
                                    <w:ind w:firstLine="460"/>
                                    <w:rPr>
                                      <w:sz w:val="16"/>
                                      <w:szCs w:val="16"/>
                                    </w:rPr>
                                  </w:pPr>
                                  <w:r>
                                    <w:rPr>
                                      <w:rFonts w:ascii="Times New Roman" w:eastAsia="Times New Roman" w:hAnsi="Times New Roman" w:cs="Times New Roman"/>
                                      <w:color w:val="000000"/>
                                      <w:sz w:val="16"/>
                                      <w:szCs w:val="16"/>
                                    </w:rPr>
                                    <w:t>PO</w:t>
                                  </w:r>
                                </w:p>
                              </w:tc>
                            </w:tr>
                          </w:tbl>
                          <w:p w14:paraId="1928E642" w14:textId="77777777" w:rsidR="00924992" w:rsidRDefault="00924992">
                            <w:pPr>
                              <w:spacing w:line="1" w:lineRule="exact"/>
                            </w:pPr>
                          </w:p>
                        </w:txbxContent>
                      </wps:txbx>
                      <wps:bodyPr lIns="0" tIns="0" rIns="0" bIns="0"/>
                    </wps:wsp>
                  </a:graphicData>
                </a:graphic>
              </wp:anchor>
            </w:drawing>
          </mc:Choice>
          <mc:Fallback>
            <w:pict>
              <v:shape w14:anchorId="27FF8F97" id="Shape 2241" o:spid="_x0000_s1039" type="#_x0000_t202" style="position:absolute;margin-left:34.1pt;margin-top:1pt;width:156pt;height:260.15pt;z-index:251673600;visibility:visible;mso-wrap-style:square;mso-wrap-distance-left:9pt;mso-wrap-distance-top:0;mso-wrap-distance-right:9pt;mso-wrap-distance-bottom:10.3pt;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" filled="f" stroked="f">
                <v:textbox inset="0,0,0,0">
                  <w:txbxContent>
                    <w:tbl>
                      <w:tblPr>
                        <w:tblOverlap w:val="never"/>
                        <w:tblW w:w="0" w:type="auto"/>
                        <w:tblLayout w:type="fixed"/>
                        <w:tblCellMar>
                          <w:left w:w="10" w:type="dxa"/>
                          <w:right w:w="10" w:type="dxa"/>
                        </w:tblCellMar>
                        <w:tblLook w:val="04A0" w:firstRow="1" w:lastRow="0" w:firstColumn="1" w:lastColumn="0" w:noHBand="0" w:noVBand="1"/>
                      </w:tblPr>
                      <w:tblGrid>
                        <w:gridCol w:w="2146"/>
                        <w:gridCol w:w="974"/>
                      </w:tblGrid>
                      <w:tr w:rsidR="00924992" w14:paraId="061FFA30" w14:textId="77777777">
                        <w:tblPrEx>
                          <w:tblCellMar>
                            <w:top w:w="0" w:type="dxa"/>
                            <w:bottom w:w="0" w:type="dxa"/>
                          </w:tblCellMar>
                        </w:tblPrEx>
                        <w:trPr>
                          <w:trHeight w:hRule="exact" w:val="427"/>
                          <w:tblHeader/>
                        </w:trPr>
                        <w:tc>
                          <w:tcPr>
                            <w:tcW w:w="2146" w:type="dxa"/>
                            <w:shd w:val="clear" w:color="auto" w:fill="FFFFFF"/>
                          </w:tcPr>
                          <w:p w14:paraId="1362148C" w14:textId="77777777" w:rsidR="00924992" w:rsidRDefault="00924992">
                            <w:pPr>
                              <w:pStyle w:val="Other0"/>
                              <w:spacing w:line="240" w:lineRule="auto"/>
                              <w:ind w:firstLine="0"/>
                              <w:rPr>
                                <w:sz w:val="16"/>
                                <w:szCs w:val="16"/>
                              </w:rPr>
                            </w:pPr>
                            <w:r>
                              <w:rPr>
                                <w:rFonts w:ascii="Times New Roman" w:eastAsia="Times New Roman" w:hAnsi="Times New Roman" w:cs="Times New Roman"/>
                                <w:color w:val="000000"/>
                                <w:sz w:val="16"/>
                                <w:szCs w:val="16"/>
                              </w:rPr>
                              <w:t>Cefdinir (Omnicef)</w:t>
                            </w:r>
                          </w:p>
                        </w:tc>
                        <w:tc>
                          <w:tcPr>
                            <w:tcW w:w="974" w:type="dxa"/>
                            <w:shd w:val="clear" w:color="auto" w:fill="FFFFFF"/>
                          </w:tcPr>
                          <w:p w14:paraId="34BB079E" w14:textId="77777777" w:rsidR="00924992" w:rsidRDefault="00924992">
                            <w:pPr>
                              <w:pStyle w:val="Other0"/>
                              <w:spacing w:line="240" w:lineRule="auto"/>
                              <w:ind w:firstLine="460"/>
                              <w:rPr>
                                <w:sz w:val="16"/>
                                <w:szCs w:val="16"/>
                              </w:rPr>
                            </w:pPr>
                            <w:r>
                              <w:rPr>
                                <w:rFonts w:ascii="Times New Roman" w:eastAsia="Times New Roman" w:hAnsi="Times New Roman" w:cs="Times New Roman"/>
                                <w:color w:val="000000"/>
                                <w:sz w:val="16"/>
                                <w:szCs w:val="16"/>
                              </w:rPr>
                              <w:t>PO</w:t>
                            </w:r>
                          </w:p>
                        </w:tc>
                      </w:tr>
                      <w:tr w:rsidR="00924992" w14:paraId="44A3ADB4" w14:textId="77777777">
                        <w:tblPrEx>
                          <w:tblCellMar>
                            <w:top w:w="0" w:type="dxa"/>
                            <w:bottom w:w="0" w:type="dxa"/>
                          </w:tblCellMar>
                        </w:tblPrEx>
                        <w:trPr>
                          <w:trHeight w:hRule="exact" w:val="552"/>
                        </w:trPr>
                        <w:tc>
                          <w:tcPr>
                            <w:tcW w:w="2146" w:type="dxa"/>
                            <w:shd w:val="clear" w:color="auto" w:fill="FFFFFF"/>
                            <w:vAlign w:val="center"/>
                          </w:tcPr>
                          <w:p w14:paraId="13CDC959" w14:textId="77777777" w:rsidR="00924992" w:rsidRDefault="00924992">
                            <w:pPr>
                              <w:pStyle w:val="Other0"/>
                              <w:spacing w:line="240" w:lineRule="auto"/>
                              <w:ind w:firstLine="0"/>
                              <w:rPr>
                                <w:sz w:val="16"/>
                                <w:szCs w:val="16"/>
                              </w:rPr>
                            </w:pPr>
                            <w:r>
                              <w:rPr>
                                <w:rFonts w:ascii="Times New Roman" w:eastAsia="Times New Roman" w:hAnsi="Times New Roman" w:cs="Times New Roman"/>
                                <w:color w:val="000000"/>
                                <w:sz w:val="16"/>
                                <w:szCs w:val="16"/>
                              </w:rPr>
                              <w:t>Cefditorén (Spectracef)</w:t>
                            </w:r>
                          </w:p>
                        </w:tc>
                        <w:tc>
                          <w:tcPr>
                            <w:tcW w:w="974" w:type="dxa"/>
                            <w:shd w:val="clear" w:color="auto" w:fill="FFFFFF"/>
                            <w:vAlign w:val="center"/>
                          </w:tcPr>
                          <w:p w14:paraId="58B220DD" w14:textId="77777777" w:rsidR="00924992" w:rsidRDefault="00924992">
                            <w:pPr>
                              <w:pStyle w:val="Other0"/>
                              <w:spacing w:line="240" w:lineRule="auto"/>
                              <w:ind w:firstLine="460"/>
                              <w:rPr>
                                <w:sz w:val="16"/>
                                <w:szCs w:val="16"/>
                              </w:rPr>
                            </w:pPr>
                            <w:r>
                              <w:rPr>
                                <w:rFonts w:ascii="Times New Roman" w:eastAsia="Times New Roman" w:hAnsi="Times New Roman" w:cs="Times New Roman"/>
                                <w:color w:val="000000"/>
                                <w:sz w:val="16"/>
                                <w:szCs w:val="16"/>
                              </w:rPr>
                              <w:t>PO</w:t>
                            </w:r>
                          </w:p>
                        </w:tc>
                      </w:tr>
                      <w:tr w:rsidR="00924992" w14:paraId="14726EA0" w14:textId="77777777">
                        <w:tblPrEx>
                          <w:tblCellMar>
                            <w:top w:w="0" w:type="dxa"/>
                            <w:bottom w:w="0" w:type="dxa"/>
                          </w:tblCellMar>
                        </w:tblPrEx>
                        <w:trPr>
                          <w:trHeight w:hRule="exact" w:val="542"/>
                        </w:trPr>
                        <w:tc>
                          <w:tcPr>
                            <w:tcW w:w="2146" w:type="dxa"/>
                            <w:shd w:val="clear" w:color="auto" w:fill="FFFFFF"/>
                            <w:vAlign w:val="center"/>
                          </w:tcPr>
                          <w:p w14:paraId="564BB00D" w14:textId="77777777" w:rsidR="00924992" w:rsidRDefault="00924992">
                            <w:pPr>
                              <w:pStyle w:val="Other0"/>
                              <w:spacing w:line="240" w:lineRule="auto"/>
                              <w:ind w:firstLine="0"/>
                              <w:rPr>
                                <w:sz w:val="16"/>
                                <w:szCs w:val="16"/>
                              </w:rPr>
                            </w:pPr>
                            <w:r>
                              <w:rPr>
                                <w:rFonts w:ascii="Times New Roman" w:eastAsia="Times New Roman" w:hAnsi="Times New Roman" w:cs="Times New Roman"/>
                                <w:color w:val="000000"/>
                                <w:sz w:val="16"/>
                                <w:szCs w:val="16"/>
                              </w:rPr>
                              <w:t>Cefepima (Maxipime)</w:t>
                            </w:r>
                          </w:p>
                        </w:tc>
                        <w:tc>
                          <w:tcPr>
                            <w:tcW w:w="974" w:type="dxa"/>
                            <w:shd w:val="clear" w:color="auto" w:fill="FFFFFF"/>
                            <w:vAlign w:val="center"/>
                          </w:tcPr>
                          <w:p w14:paraId="30ADBE83" w14:textId="77777777" w:rsidR="00924992" w:rsidRDefault="00924992">
                            <w:pPr>
                              <w:pStyle w:val="Other0"/>
                              <w:spacing w:line="240" w:lineRule="auto"/>
                              <w:ind w:firstLine="0"/>
                              <w:jc w:val="right"/>
                              <w:rPr>
                                <w:sz w:val="16"/>
                                <w:szCs w:val="16"/>
                              </w:rPr>
                            </w:pPr>
                            <w:r>
                              <w:rPr>
                                <w:rFonts w:ascii="Times New Roman" w:eastAsia="Times New Roman" w:hAnsi="Times New Roman" w:cs="Times New Roman"/>
                                <w:color w:val="000000"/>
                                <w:sz w:val="16"/>
                                <w:szCs w:val="16"/>
                              </w:rPr>
                              <w:t>IV, IM</w:t>
                            </w:r>
                          </w:p>
                        </w:tc>
                      </w:tr>
                      <w:tr w:rsidR="00924992" w14:paraId="4B5F0FDB" w14:textId="77777777">
                        <w:tblPrEx>
                          <w:tblCellMar>
                            <w:top w:w="0" w:type="dxa"/>
                            <w:bottom w:w="0" w:type="dxa"/>
                          </w:tblCellMar>
                        </w:tblPrEx>
                        <w:trPr>
                          <w:trHeight w:hRule="exact" w:val="634"/>
                        </w:trPr>
                        <w:tc>
                          <w:tcPr>
                            <w:tcW w:w="2146" w:type="dxa"/>
                            <w:shd w:val="clear" w:color="auto" w:fill="FFFFFF"/>
                            <w:vAlign w:val="center"/>
                          </w:tcPr>
                          <w:p w14:paraId="050AAB19" w14:textId="77777777" w:rsidR="00924992" w:rsidRDefault="00924992">
                            <w:pPr>
                              <w:pStyle w:val="Other0"/>
                              <w:spacing w:line="240" w:lineRule="auto"/>
                              <w:ind w:firstLine="0"/>
                              <w:rPr>
                                <w:sz w:val="16"/>
                                <w:szCs w:val="16"/>
                              </w:rPr>
                            </w:pPr>
                            <w:r>
                              <w:rPr>
                                <w:rFonts w:ascii="Times New Roman" w:eastAsia="Times New Roman" w:hAnsi="Times New Roman" w:cs="Times New Roman"/>
                                <w:color w:val="000000"/>
                                <w:sz w:val="16"/>
                                <w:szCs w:val="16"/>
                              </w:rPr>
                              <w:t>Cefonicid (Monocid)</w:t>
                            </w:r>
                          </w:p>
                        </w:tc>
                        <w:tc>
                          <w:tcPr>
                            <w:tcW w:w="974" w:type="dxa"/>
                            <w:shd w:val="clear" w:color="auto" w:fill="FFFFFF"/>
                            <w:vAlign w:val="center"/>
                          </w:tcPr>
                          <w:p w14:paraId="05528FB0" w14:textId="77777777" w:rsidR="00924992" w:rsidRDefault="00924992">
                            <w:pPr>
                              <w:pStyle w:val="Other0"/>
                              <w:spacing w:line="240" w:lineRule="auto"/>
                              <w:ind w:firstLine="0"/>
                              <w:jc w:val="right"/>
                              <w:rPr>
                                <w:sz w:val="16"/>
                                <w:szCs w:val="16"/>
                              </w:rPr>
                            </w:pPr>
                            <w:r>
                              <w:rPr>
                                <w:rFonts w:ascii="Times New Roman" w:eastAsia="Times New Roman" w:hAnsi="Times New Roman" w:cs="Times New Roman"/>
                                <w:color w:val="000000"/>
                                <w:sz w:val="16"/>
                                <w:szCs w:val="16"/>
                              </w:rPr>
                              <w:t>IV, IM</w:t>
                            </w:r>
                          </w:p>
                        </w:tc>
                      </w:tr>
                      <w:tr w:rsidR="00924992" w14:paraId="6CF8A537" w14:textId="77777777">
                        <w:tblPrEx>
                          <w:tblCellMar>
                            <w:top w:w="0" w:type="dxa"/>
                            <w:bottom w:w="0" w:type="dxa"/>
                          </w:tblCellMar>
                        </w:tblPrEx>
                        <w:trPr>
                          <w:trHeight w:hRule="exact" w:val="653"/>
                        </w:trPr>
                        <w:tc>
                          <w:tcPr>
                            <w:tcW w:w="2146" w:type="dxa"/>
                            <w:shd w:val="clear" w:color="auto" w:fill="FFFFFF"/>
                            <w:vAlign w:val="center"/>
                          </w:tcPr>
                          <w:p w14:paraId="18F011E3" w14:textId="77777777" w:rsidR="00924992" w:rsidRDefault="00924992">
                            <w:pPr>
                              <w:pStyle w:val="Other0"/>
                              <w:spacing w:line="240" w:lineRule="auto"/>
                              <w:ind w:firstLine="0"/>
                              <w:rPr>
                                <w:sz w:val="16"/>
                                <w:szCs w:val="16"/>
                              </w:rPr>
                            </w:pPr>
                            <w:r>
                              <w:rPr>
                                <w:rFonts w:ascii="Times New Roman" w:eastAsia="Times New Roman" w:hAnsi="Times New Roman" w:cs="Times New Roman"/>
                                <w:color w:val="000000"/>
                                <w:sz w:val="16"/>
                                <w:szCs w:val="16"/>
                              </w:rPr>
                              <w:t>Cefoperazona (Cefobid)</w:t>
                            </w:r>
                          </w:p>
                        </w:tc>
                        <w:tc>
                          <w:tcPr>
                            <w:tcW w:w="974" w:type="dxa"/>
                            <w:shd w:val="clear" w:color="auto" w:fill="FFFFFF"/>
                            <w:vAlign w:val="center"/>
                          </w:tcPr>
                          <w:p w14:paraId="4CEAF653" w14:textId="77777777" w:rsidR="00924992" w:rsidRDefault="00924992">
                            <w:pPr>
                              <w:pStyle w:val="Other0"/>
                              <w:spacing w:line="240" w:lineRule="auto"/>
                              <w:ind w:firstLine="0"/>
                              <w:jc w:val="right"/>
                              <w:rPr>
                                <w:sz w:val="16"/>
                                <w:szCs w:val="16"/>
                              </w:rPr>
                            </w:pPr>
                            <w:r>
                              <w:rPr>
                                <w:rFonts w:ascii="Times New Roman" w:eastAsia="Times New Roman" w:hAnsi="Times New Roman" w:cs="Times New Roman"/>
                                <w:color w:val="000000"/>
                                <w:sz w:val="16"/>
                                <w:szCs w:val="16"/>
                              </w:rPr>
                              <w:t>IV, IM</w:t>
                            </w:r>
                          </w:p>
                        </w:tc>
                      </w:tr>
                      <w:tr w:rsidR="00924992" w14:paraId="1E9C3BEF" w14:textId="77777777">
                        <w:tblPrEx>
                          <w:tblCellMar>
                            <w:top w:w="0" w:type="dxa"/>
                            <w:bottom w:w="0" w:type="dxa"/>
                          </w:tblCellMar>
                        </w:tblPrEx>
                        <w:trPr>
                          <w:trHeight w:hRule="exact" w:val="643"/>
                        </w:trPr>
                        <w:tc>
                          <w:tcPr>
                            <w:tcW w:w="2146" w:type="dxa"/>
                            <w:shd w:val="clear" w:color="auto" w:fill="FFFFFF"/>
                            <w:vAlign w:val="center"/>
                          </w:tcPr>
                          <w:p w14:paraId="19E731BC" w14:textId="77777777" w:rsidR="00924992" w:rsidRDefault="00924992">
                            <w:pPr>
                              <w:pStyle w:val="Other0"/>
                              <w:spacing w:line="240" w:lineRule="auto"/>
                              <w:ind w:firstLine="0"/>
                              <w:rPr>
                                <w:sz w:val="16"/>
                                <w:szCs w:val="16"/>
                              </w:rPr>
                            </w:pPr>
                            <w:r>
                              <w:rPr>
                                <w:rFonts w:ascii="Times New Roman" w:eastAsia="Times New Roman" w:hAnsi="Times New Roman" w:cs="Times New Roman"/>
                                <w:color w:val="000000"/>
                                <w:sz w:val="16"/>
                                <w:szCs w:val="16"/>
                              </w:rPr>
                              <w:t>Cefotaxima (Claforan)</w:t>
                            </w:r>
                          </w:p>
                        </w:tc>
                        <w:tc>
                          <w:tcPr>
                            <w:tcW w:w="974" w:type="dxa"/>
                            <w:shd w:val="clear" w:color="auto" w:fill="FFFFFF"/>
                            <w:vAlign w:val="center"/>
                          </w:tcPr>
                          <w:p w14:paraId="556BAB6C" w14:textId="77777777" w:rsidR="00924992" w:rsidRDefault="00924992">
                            <w:pPr>
                              <w:pStyle w:val="Other0"/>
                              <w:spacing w:line="240" w:lineRule="auto"/>
                              <w:ind w:firstLine="0"/>
                              <w:jc w:val="right"/>
                              <w:rPr>
                                <w:sz w:val="16"/>
                                <w:szCs w:val="16"/>
                              </w:rPr>
                            </w:pPr>
                            <w:r>
                              <w:rPr>
                                <w:rFonts w:ascii="Times New Roman" w:eastAsia="Times New Roman" w:hAnsi="Times New Roman" w:cs="Times New Roman"/>
                                <w:color w:val="000000"/>
                                <w:sz w:val="16"/>
                                <w:szCs w:val="16"/>
                              </w:rPr>
                              <w:t>IV, IM</w:t>
                            </w:r>
                          </w:p>
                        </w:tc>
                      </w:tr>
                      <w:tr w:rsidR="00924992" w14:paraId="4430E1B4" w14:textId="77777777">
                        <w:tblPrEx>
                          <w:tblCellMar>
                            <w:top w:w="0" w:type="dxa"/>
                            <w:bottom w:w="0" w:type="dxa"/>
                          </w:tblCellMar>
                        </w:tblPrEx>
                        <w:trPr>
                          <w:trHeight w:hRule="exact" w:val="648"/>
                        </w:trPr>
                        <w:tc>
                          <w:tcPr>
                            <w:tcW w:w="2146" w:type="dxa"/>
                            <w:shd w:val="clear" w:color="auto" w:fill="FFFFFF"/>
                            <w:vAlign w:val="center"/>
                          </w:tcPr>
                          <w:p w14:paraId="6AB3F04D" w14:textId="77777777" w:rsidR="00924992" w:rsidRDefault="00924992">
                            <w:pPr>
                              <w:pStyle w:val="Other0"/>
                              <w:spacing w:line="240" w:lineRule="auto"/>
                              <w:ind w:firstLine="0"/>
                              <w:rPr>
                                <w:sz w:val="16"/>
                                <w:szCs w:val="16"/>
                              </w:rPr>
                            </w:pPr>
                            <w:r>
                              <w:rPr>
                                <w:rFonts w:ascii="Times New Roman" w:eastAsia="Times New Roman" w:hAnsi="Times New Roman" w:cs="Times New Roman"/>
                                <w:color w:val="000000"/>
                                <w:sz w:val="16"/>
                                <w:szCs w:val="16"/>
                              </w:rPr>
                              <w:t>Cefotetán (Cefotan)</w:t>
                            </w:r>
                          </w:p>
                        </w:tc>
                        <w:tc>
                          <w:tcPr>
                            <w:tcW w:w="974" w:type="dxa"/>
                            <w:shd w:val="clear" w:color="auto" w:fill="FFFFFF"/>
                            <w:vAlign w:val="center"/>
                          </w:tcPr>
                          <w:p w14:paraId="1416A7D2" w14:textId="77777777" w:rsidR="00924992" w:rsidRDefault="00924992">
                            <w:pPr>
                              <w:pStyle w:val="Other0"/>
                              <w:spacing w:line="240" w:lineRule="auto"/>
                              <w:ind w:firstLine="0"/>
                              <w:jc w:val="right"/>
                              <w:rPr>
                                <w:sz w:val="16"/>
                                <w:szCs w:val="16"/>
                              </w:rPr>
                            </w:pPr>
                            <w:r>
                              <w:rPr>
                                <w:rFonts w:ascii="Times New Roman" w:eastAsia="Times New Roman" w:hAnsi="Times New Roman" w:cs="Times New Roman"/>
                                <w:color w:val="000000"/>
                                <w:sz w:val="16"/>
                                <w:szCs w:val="16"/>
                              </w:rPr>
                              <w:t>IV, IM</w:t>
                            </w:r>
                          </w:p>
                        </w:tc>
                      </w:tr>
                      <w:tr w:rsidR="00924992" w14:paraId="67FC4B08" w14:textId="77777777">
                        <w:tblPrEx>
                          <w:tblCellMar>
                            <w:top w:w="0" w:type="dxa"/>
                            <w:bottom w:w="0" w:type="dxa"/>
                          </w:tblCellMar>
                        </w:tblPrEx>
                        <w:trPr>
                          <w:trHeight w:hRule="exact" w:val="648"/>
                        </w:trPr>
                        <w:tc>
                          <w:tcPr>
                            <w:tcW w:w="2146" w:type="dxa"/>
                            <w:shd w:val="clear" w:color="auto" w:fill="FFFFFF"/>
                            <w:vAlign w:val="center"/>
                          </w:tcPr>
                          <w:p w14:paraId="224F9BFF" w14:textId="77777777" w:rsidR="00924992" w:rsidRDefault="00924992">
                            <w:pPr>
                              <w:pStyle w:val="Other0"/>
                              <w:spacing w:line="240" w:lineRule="auto"/>
                              <w:ind w:firstLine="0"/>
                              <w:rPr>
                                <w:sz w:val="16"/>
                                <w:szCs w:val="16"/>
                              </w:rPr>
                            </w:pPr>
                            <w:r>
                              <w:rPr>
                                <w:rFonts w:ascii="Times New Roman" w:eastAsia="Times New Roman" w:hAnsi="Times New Roman" w:cs="Times New Roman"/>
                                <w:color w:val="000000"/>
                                <w:sz w:val="16"/>
                                <w:szCs w:val="16"/>
                              </w:rPr>
                              <w:t>Cefoxitina (Mefoxin)</w:t>
                            </w:r>
                          </w:p>
                        </w:tc>
                        <w:tc>
                          <w:tcPr>
                            <w:tcW w:w="974" w:type="dxa"/>
                            <w:shd w:val="clear" w:color="auto" w:fill="FFFFFF"/>
                            <w:vAlign w:val="center"/>
                          </w:tcPr>
                          <w:p w14:paraId="632044CD" w14:textId="77777777" w:rsidR="00924992" w:rsidRDefault="00924992">
                            <w:pPr>
                              <w:pStyle w:val="Other0"/>
                              <w:spacing w:line="240" w:lineRule="auto"/>
                              <w:ind w:firstLine="0"/>
                              <w:jc w:val="right"/>
                              <w:rPr>
                                <w:sz w:val="16"/>
                                <w:szCs w:val="16"/>
                              </w:rPr>
                            </w:pPr>
                            <w:r>
                              <w:rPr>
                                <w:rFonts w:ascii="Times New Roman" w:eastAsia="Times New Roman" w:hAnsi="Times New Roman" w:cs="Times New Roman"/>
                                <w:color w:val="000000"/>
                                <w:sz w:val="16"/>
                                <w:szCs w:val="16"/>
                              </w:rPr>
                              <w:t>IV, IM</w:t>
                            </w:r>
                          </w:p>
                        </w:tc>
                      </w:tr>
                      <w:tr w:rsidR="00924992" w14:paraId="78C0D7EF" w14:textId="77777777">
                        <w:tblPrEx>
                          <w:tblCellMar>
                            <w:top w:w="0" w:type="dxa"/>
                            <w:bottom w:w="0" w:type="dxa"/>
                          </w:tblCellMar>
                        </w:tblPrEx>
                        <w:trPr>
                          <w:trHeight w:hRule="exact" w:val="456"/>
                        </w:trPr>
                        <w:tc>
                          <w:tcPr>
                            <w:tcW w:w="2146" w:type="dxa"/>
                            <w:shd w:val="clear" w:color="auto" w:fill="FFFFFF"/>
                            <w:vAlign w:val="bottom"/>
                          </w:tcPr>
                          <w:p w14:paraId="54D75496" w14:textId="77777777" w:rsidR="00924992" w:rsidRDefault="00924992">
                            <w:pPr>
                              <w:pStyle w:val="Other0"/>
                              <w:spacing w:line="240" w:lineRule="auto"/>
                              <w:ind w:firstLine="0"/>
                              <w:rPr>
                                <w:sz w:val="16"/>
                                <w:szCs w:val="16"/>
                              </w:rPr>
                            </w:pPr>
                            <w:r>
                              <w:rPr>
                                <w:rFonts w:ascii="Times New Roman" w:eastAsia="Times New Roman" w:hAnsi="Times New Roman" w:cs="Times New Roman"/>
                                <w:color w:val="000000"/>
                                <w:sz w:val="16"/>
                                <w:szCs w:val="16"/>
                              </w:rPr>
                              <w:t>Cefpodoxima proxetilo</w:t>
                            </w:r>
                          </w:p>
                        </w:tc>
                        <w:tc>
                          <w:tcPr>
                            <w:tcW w:w="974" w:type="dxa"/>
                            <w:shd w:val="clear" w:color="auto" w:fill="FFFFFF"/>
                            <w:vAlign w:val="bottom"/>
                          </w:tcPr>
                          <w:p w14:paraId="63D4E0CC" w14:textId="77777777" w:rsidR="00924992" w:rsidRDefault="00924992">
                            <w:pPr>
                              <w:pStyle w:val="Other0"/>
                              <w:spacing w:line="240" w:lineRule="auto"/>
                              <w:ind w:firstLine="460"/>
                              <w:rPr>
                                <w:sz w:val="16"/>
                                <w:szCs w:val="16"/>
                              </w:rPr>
                            </w:pPr>
                            <w:r>
                              <w:rPr>
                                <w:rFonts w:ascii="Times New Roman" w:eastAsia="Times New Roman" w:hAnsi="Times New Roman" w:cs="Times New Roman"/>
                                <w:color w:val="000000"/>
                                <w:sz w:val="16"/>
                                <w:szCs w:val="16"/>
                              </w:rPr>
                              <w:t>PO</w:t>
                            </w:r>
                          </w:p>
                        </w:tc>
                      </w:tr>
                    </w:tbl>
                    <w:p w14:paraId="1928E642" w14:textId="77777777" w:rsidR="00924992" w:rsidRDefault="00924992">
                      <w:pPr>
                        <w:spacing w:line="1" w:lineRule="exact"/>
                      </w:pPr>
                    </w:p>
                  </w:txbxContent>
                </v:textbox>
                <w10:wrap type="square" anchorx="page"/>
              </v:shape>
            </w:pict>
          </mc:Fallback>
        </mc:AlternateContent>
      </w:r>
      <w:r>
        <w:rPr>
          <w:noProof/>
        </w:rPr>
        <mc:AlternateContent>
          <mc:Choice Requires="wps">
            <w:drawing>
              <wp:anchor distT="0" distB="0" distL="0" distR="0" simplePos="0" relativeHeight="251785216" behindDoc="0" locked="0" layoutInCell="1" allowOverlap="1" wp14:anchorId="7CC660D9" wp14:editId="617E50BA">
                <wp:simplePos x="0" y="0"/>
                <wp:positionH relativeFrom="page">
                  <wp:posOffset>500380</wp:posOffset>
                </wp:positionH>
                <wp:positionV relativeFrom="paragraph">
                  <wp:posOffset>3307715</wp:posOffset>
                </wp:positionV>
                <wp:extent cx="393065" cy="140335"/>
                <wp:effectExtent l="0" t="0" r="0" b="0"/>
                <wp:wrapNone/>
                <wp:docPr id="2243" name="Shape 2243"/>
                <wp:cNvGraphicFramePr/>
                <a:graphic xmlns:a="http://schemas.openxmlformats.org/drawingml/2006/main">
                  <a:graphicData uri="http://schemas.microsoft.com/office/word/2010/wordprocessingShape">
                    <wps:wsp>
                      <wps:cNvSpPr txBox="1"/>
                      <wps:spPr>
                        <a:xfrm>
                          <a:off x="0" y="0"/>
                          <a:ext cx="393065" cy="140335"/>
                        </a:xfrm>
                        <a:prstGeom prst="rect">
                          <a:avLst/>
                        </a:prstGeom>
                        <a:noFill/>
                      </wps:spPr>
                      <wps:txbx>
                        <w:txbxContent>
                          <w:p w14:paraId="5E47EF87" w14:textId="77777777" w:rsidR="00924992" w:rsidRDefault="00924992">
                            <w:pPr>
                              <w:pStyle w:val="Tablecaption0"/>
                              <w:spacing w:line="240" w:lineRule="auto"/>
                              <w:ind w:left="0"/>
                              <w:rPr>
                                <w:sz w:val="16"/>
                                <w:szCs w:val="16"/>
                              </w:rPr>
                            </w:pPr>
                            <w:r>
                              <w:rPr>
                                <w:color w:val="000000"/>
                                <w:sz w:val="16"/>
                                <w:szCs w:val="16"/>
                              </w:rPr>
                              <w:t>(Vantin)</w:t>
                            </w:r>
                          </w:p>
                        </w:txbxContent>
                      </wps:txbx>
                      <wps:bodyPr lIns="0" tIns="0" rIns="0" bIns="0"/>
                    </wps:wsp>
                  </a:graphicData>
                </a:graphic>
              </wp:anchor>
            </w:drawing>
          </mc:Choice>
          <mc:Fallback>
            <w:pict>
              <v:shape w14:anchorId="7CC660D9" id="Shape 2243" o:spid="_x0000_s1040" type="#_x0000_t202" style="position:absolute;margin-left:39.4pt;margin-top:260.45pt;width:30.95pt;height:11.05pt;z-index:25178521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" filled="f" stroked="f">
                <v:textbox inset="0,0,0,0">
                  <w:txbxContent>
                    <w:p w14:paraId="5E47EF87" w14:textId="77777777" w:rsidR="00924992" w:rsidRDefault="00924992">
                      <w:pPr>
                        <w:pStyle w:val="Tablecaption0"/>
                        <w:spacing w:line="240" w:lineRule="auto"/>
                        <w:ind w:left="0"/>
                        <w:rPr>
                          <w:sz w:val="16"/>
                          <w:szCs w:val="16"/>
                        </w:rPr>
                      </w:pPr>
                      <w:r>
                        <w:rPr>
                          <w:color w:val="000000"/>
                          <w:sz w:val="16"/>
                          <w:szCs w:val="16"/>
                        </w:rPr>
                        <w:t>(Vantin)</w:t>
                      </w:r>
                    </w:p>
                  </w:txbxContent>
                </v:textbox>
                <w10:wrap anchorx="page"/>
              </v:shape>
            </w:pict>
          </mc:Fallback>
        </mc:AlternateContent>
      </w:r>
      <w:r>
        <w:rPr>
          <w:noProof/>
        </w:rPr>
        <mc:AlternateContent>
          <mc:Choice Requires="wps">
            <w:drawing>
              <wp:anchor distT="0" distB="0" distL="114300" distR="114300" simplePos="0" relativeHeight="251674624" behindDoc="0" locked="0" layoutInCell="1" allowOverlap="1" wp14:anchorId="45EBDEFD" wp14:editId="04D66D93">
                <wp:simplePos x="0" y="0"/>
                <wp:positionH relativeFrom="page">
                  <wp:posOffset>7867015</wp:posOffset>
                </wp:positionH>
                <wp:positionV relativeFrom="paragraph">
                  <wp:posOffset>433070</wp:posOffset>
                </wp:positionV>
                <wp:extent cx="106680" cy="3145790"/>
                <wp:effectExtent l="0" t="0" r="0" b="0"/>
                <wp:wrapSquare wrapText="bothSides"/>
                <wp:docPr id="2245" name="Shape 2245"/>
                <wp:cNvGraphicFramePr/>
                <a:graphic xmlns:a="http://schemas.openxmlformats.org/drawingml/2006/main">
                  <a:graphicData uri="http://schemas.microsoft.com/office/word/2010/wordprocessingShape">
                    <wps:wsp>
                      <wps:cNvSpPr txBox="1"/>
                      <wps:spPr>
                        <a:xfrm>
                          <a:off x="0" y="0"/>
                          <a:ext cx="106680" cy="3145790"/>
                        </a:xfrm>
                        <a:prstGeom prst="rect">
                          <a:avLst/>
                        </a:prstGeom>
                        <a:noFill/>
                      </wps:spPr>
                      <wps:txbx>
                        <w:txbxContent>
                          <w:p w14:paraId="564BAA68" w14:textId="77777777" w:rsidR="00924992" w:rsidRDefault="00924992">
                            <w:pPr>
                              <w:pStyle w:val="Bodytext80"/>
                              <w:tabs>
                                <w:tab w:val="left" w:pos="4637"/>
                              </w:tabs>
                              <w:rPr>
                                <w:sz w:val="16"/>
                                <w:szCs w:val="16"/>
                              </w:rPr>
                            </w:pPr>
                            <w:r>
                              <w:t>CUADROS DE DOSIS DE ANTIMICROBIANOS</w:t>
                            </w:r>
                            <w:r>
                              <w:tab/>
                            </w:r>
                            <w:r>
                              <w:rPr>
                                <w:sz w:val="16"/>
                                <w:szCs w:val="16"/>
                              </w:rPr>
                              <w:t>735</w:t>
                            </w:r>
                          </w:p>
                        </w:txbxContent>
                      </wps:txbx>
                      <wps:bodyPr vert="vert" lIns="0" tIns="0" rIns="0" bIns="0" upright="1"/>
                    </wps:wsp>
                  </a:graphicData>
                </a:graphic>
              </wp:anchor>
            </w:drawing>
          </mc:Choice>
          <mc:Fallback>
            <w:pict>
              <v:shape w14:anchorId="45EBDEFD" id="Shape 2245" o:spid="_x0000_s1041" type="#_x0000_t202" style="position:absolute;margin-left:619.45pt;margin-top:34.1pt;width:8.4pt;height:247.7pt;z-index:251674624;visibility:visible;mso-wrap-style:square;mso-wrap-distance-left:9pt;mso-wrap-distance-top:0;mso-wrap-distance-right:9pt;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" filled="f" stroked="f">
                <v:textbox style="layout-flow:vertical" inset="0,0,0,0">
                  <w:txbxContent>
                    <w:p w14:paraId="564BAA68" w14:textId="77777777" w:rsidR="00924992" w:rsidRDefault="00924992">
                      <w:pPr>
                        <w:pStyle w:val="Bodytext80"/>
                        <w:tabs>
                          <w:tab w:val="left" w:pos="4637"/>
                        </w:tabs>
                        <w:rPr>
                          <w:sz w:val="16"/>
                          <w:szCs w:val="16"/>
                        </w:rPr>
                      </w:pPr>
                      <w:r>
                        <w:t>CUADROS DE DOSIS DE ANTIMICROBIANOS</w:t>
                      </w:r>
                      <w:r>
                        <w:tab/>
                      </w:r>
                      <w:r>
                        <w:rPr>
                          <w:sz w:val="16"/>
                          <w:szCs w:val="16"/>
                        </w:rPr>
                        <w:t>735</w:t>
                      </w:r>
                    </w:p>
                  </w:txbxContent>
                </v:textbox>
                <w10:wrap type="square" anchorx="page"/>
              </v:shape>
            </w:pict>
          </mc:Fallback>
        </mc:AlternateContent>
      </w:r>
    </w:p>
    <w:p w14:paraId="62D742D5" w14:textId="77777777" w:rsidR="00924992" w:rsidRDefault="00924992">
      <w:pPr>
        <w:pStyle w:val="Bodytext20"/>
      </w:pPr>
      <w:r>
        <w:rPr>
          <w:color w:val="000000"/>
        </w:rPr>
        <w:t>14 mg en 1 o 2 dosis</w:t>
      </w:r>
    </w:p>
    <w:p w14:paraId="772BD6AB" w14:textId="77777777" w:rsidR="00924992" w:rsidRDefault="00924992">
      <w:pPr>
        <w:pStyle w:val="Bodytext20"/>
        <w:spacing w:after="200"/>
      </w:pPr>
      <w:r>
        <w:rPr>
          <w:color w:val="000000"/>
        </w:rPr>
        <w:t>(dosis máxima 600 mg/día)</w:t>
      </w:r>
    </w:p>
    <w:p w14:paraId="67D75089" w14:textId="77777777" w:rsidR="00924992" w:rsidRDefault="00924992">
      <w:pPr>
        <w:pStyle w:val="Bodytext20"/>
        <w:spacing w:after="200"/>
      </w:pPr>
      <w:r>
        <w:rPr>
          <w:color w:val="000000"/>
        </w:rPr>
        <w:t>800 mg en 2 dosis</w:t>
      </w:r>
    </w:p>
    <w:p w14:paraId="4A397FB2" w14:textId="77777777" w:rsidR="00924992" w:rsidRDefault="00924992">
      <w:pPr>
        <w:pStyle w:val="Bodytext20"/>
      </w:pPr>
      <w:r>
        <w:rPr>
          <w:color w:val="000000"/>
        </w:rPr>
        <w:t>100-150 mg en 3 dosis (dosis diaria del adulto,</w:t>
      </w:r>
    </w:p>
    <w:p w14:paraId="1AE4A708" w14:textId="77777777" w:rsidR="00924992" w:rsidRDefault="00924992">
      <w:pPr>
        <w:pStyle w:val="Bodytext20"/>
        <w:spacing w:line="240" w:lineRule="auto"/>
      </w:pPr>
      <w:r>
        <w:rPr>
          <w:color w:val="000000"/>
        </w:rPr>
        <w:t>1-2 g)</w:t>
      </w:r>
    </w:p>
    <w:p w14:paraId="50E8AFCD" w14:textId="77777777" w:rsidR="00924992" w:rsidRDefault="00924992">
      <w:pPr>
        <w:pStyle w:val="Bodytext20"/>
      </w:pPr>
      <w:r>
        <w:rPr>
          <w:color w:val="000000"/>
        </w:rPr>
        <w:t>20-40 mg en una dosis (dosis diaria máxima del adulto, 2 g)</w:t>
      </w:r>
    </w:p>
    <w:p w14:paraId="09AD39C5" w14:textId="77777777" w:rsidR="00924992" w:rsidRDefault="00924992">
      <w:pPr>
        <w:pStyle w:val="Bodytext20"/>
      </w:pPr>
      <w:r>
        <w:rPr>
          <w:color w:val="000000"/>
        </w:rPr>
        <w:t>100-150 mg en 2 o 3 dosis (dosis diaria máxima del adulto, 4 g)</w:t>
      </w:r>
    </w:p>
    <w:p w14:paraId="558DFC6D" w14:textId="77777777" w:rsidR="00924992" w:rsidRDefault="00924992">
      <w:pPr>
        <w:pStyle w:val="Bodytext20"/>
      </w:pPr>
      <w:r>
        <w:rPr>
          <w:color w:val="000000"/>
        </w:rPr>
        <w:t>75-100 mg 3 o 4 dosis (dosis diaria del adulto,</w:t>
      </w:r>
    </w:p>
    <w:p w14:paraId="4319D4D6" w14:textId="77777777" w:rsidR="00924992" w:rsidRDefault="00924992">
      <w:pPr>
        <w:pStyle w:val="Bodytext20"/>
      </w:pPr>
      <w:r>
        <w:rPr>
          <w:color w:val="000000"/>
        </w:rPr>
        <w:t>4-6 g)</w:t>
      </w:r>
    </w:p>
    <w:p w14:paraId="5106FD84" w14:textId="77777777" w:rsidR="00924992" w:rsidRDefault="00924992">
      <w:pPr>
        <w:pStyle w:val="Bodytext20"/>
        <w:spacing w:after="420"/>
      </w:pPr>
      <w:r>
        <w:rPr>
          <w:color w:val="000000"/>
        </w:rPr>
        <w:t>Inapropiado</w:t>
      </w:r>
    </w:p>
    <w:p w14:paraId="1438A0C0" w14:textId="77777777" w:rsidR="00924992" w:rsidRDefault="00924992">
      <w:pPr>
        <w:pStyle w:val="Bodytext20"/>
      </w:pPr>
      <w:r>
        <w:rPr>
          <w:color w:val="000000"/>
        </w:rPr>
        <w:t>80-100 mg en 3 a 4 dosis (dosis diaria del adulto,</w:t>
      </w:r>
    </w:p>
    <w:p w14:paraId="5B7B9986" w14:textId="77777777" w:rsidR="00924992" w:rsidRDefault="00924992">
      <w:pPr>
        <w:pStyle w:val="Bodytext20"/>
      </w:pPr>
      <w:r>
        <w:rPr>
          <w:color w:val="000000"/>
        </w:rPr>
        <w:t>3-4 g)</w:t>
      </w:r>
    </w:p>
    <w:p w14:paraId="2FBD973A" w14:textId="77777777" w:rsidR="00924992" w:rsidRDefault="00924992">
      <w:pPr>
        <w:pStyle w:val="Bodytext20"/>
        <w:spacing w:after="200"/>
      </w:pPr>
      <w:r>
        <w:rPr>
          <w:color w:val="000000"/>
        </w:rPr>
        <w:t>10 mg en 2 dosis (dosis diaria máxima del adulto, 800 mg)</w:t>
      </w:r>
    </w:p>
    <w:p w14:paraId="175F54FA" w14:textId="77777777" w:rsidR="00924992" w:rsidRDefault="00924992">
      <w:pPr>
        <w:pStyle w:val="Bodytext20"/>
        <w:spacing w:after="420"/>
      </w:pPr>
      <w:r>
        <w:rPr>
          <w:color w:val="000000"/>
        </w:rPr>
        <w:t>Inapropiado</w:t>
      </w:r>
    </w:p>
    <w:p w14:paraId="3F4BCA8B" w14:textId="77777777" w:rsidR="00924992" w:rsidRDefault="00924992">
      <w:pPr>
        <w:pStyle w:val="Bodytext20"/>
        <w:spacing w:after="200"/>
      </w:pPr>
      <w:r>
        <w:rPr>
          <w:color w:val="000000"/>
        </w:rPr>
        <w:t>No se dispone de datos</w:t>
      </w:r>
    </w:p>
    <w:p w14:paraId="59A61A86" w14:textId="77777777" w:rsidR="00924992" w:rsidRDefault="00924992">
      <w:pPr>
        <w:pStyle w:val="Bodytext20"/>
        <w:spacing w:after="200"/>
      </w:pPr>
      <w:r>
        <w:rPr>
          <w:color w:val="000000"/>
        </w:rPr>
        <w:t>150 mg en 3 dosis (dosis diaria del adulto, 2-4 g)</w:t>
      </w:r>
    </w:p>
    <w:p w14:paraId="54547353" w14:textId="77777777" w:rsidR="00924992" w:rsidRDefault="00924992">
      <w:pPr>
        <w:pStyle w:val="Bodytext20"/>
        <w:spacing w:after="420"/>
      </w:pPr>
      <w:r>
        <w:rPr>
          <w:color w:val="000000"/>
        </w:rPr>
        <w:t>No se dispone de datos</w:t>
      </w:r>
    </w:p>
    <w:p w14:paraId="46D91F87" w14:textId="77777777" w:rsidR="00924992" w:rsidRDefault="00924992">
      <w:pPr>
        <w:pStyle w:val="Bodytext20"/>
        <w:spacing w:after="420"/>
      </w:pPr>
      <w:r>
        <w:rPr>
          <w:color w:val="000000"/>
        </w:rPr>
        <w:t>No se dispone de datos</w:t>
      </w:r>
    </w:p>
    <w:p w14:paraId="129B58DC" w14:textId="77777777" w:rsidR="00924992" w:rsidRDefault="00924992">
      <w:pPr>
        <w:pStyle w:val="Bodytext20"/>
      </w:pPr>
      <w:r>
        <w:rPr>
          <w:color w:val="000000"/>
        </w:rPr>
        <w:t>150-200 mg en 3 o 4 dosis (dosis diaria del adulto,</w:t>
      </w:r>
    </w:p>
    <w:p w14:paraId="6CACA917" w14:textId="77777777" w:rsidR="00924992" w:rsidRDefault="00924992">
      <w:pPr>
        <w:pStyle w:val="Bodytext20"/>
      </w:pPr>
      <w:r>
        <w:rPr>
          <w:color w:val="000000"/>
        </w:rPr>
        <w:t>8-10 g)</w:t>
      </w:r>
    </w:p>
    <w:p w14:paraId="36DFC7E6" w14:textId="77777777" w:rsidR="00924992" w:rsidRDefault="00924992">
      <w:pPr>
        <w:pStyle w:val="Bodytext20"/>
      </w:pPr>
      <w:r>
        <w:rPr>
          <w:color w:val="000000"/>
        </w:rPr>
        <w:t>40-80 mg en 2 dosis (dosis diaria máxima del adulto, 6 g)</w:t>
      </w:r>
    </w:p>
    <w:p w14:paraId="420495CD" w14:textId="77777777" w:rsidR="00924992" w:rsidRDefault="00924992">
      <w:pPr>
        <w:pStyle w:val="Bodytext20"/>
      </w:pPr>
      <w:r>
        <w:rPr>
          <w:color w:val="000000"/>
        </w:rPr>
        <w:t>80-160 mg en 4 a 6 dosis (dosis diaria del adulto, 6-12 g)</w:t>
      </w:r>
    </w:p>
    <w:p w14:paraId="44F3ABBE" w14:textId="77777777" w:rsidR="00924992" w:rsidRDefault="00924992">
      <w:pPr>
        <w:pStyle w:val="Bodytext20"/>
        <w:spacing w:after="420"/>
      </w:pPr>
      <w:r>
        <w:rPr>
          <w:color w:val="000000"/>
        </w:rPr>
        <w:t>Inapropiada</w:t>
      </w:r>
    </w:p>
    <w:p w14:paraId="531082CC" w14:textId="77777777" w:rsidR="00924992" w:rsidRDefault="00924992">
      <w:pPr>
        <w:pStyle w:val="Bodytext20"/>
      </w:pPr>
      <w:r>
        <w:rPr>
          <w:color w:val="000000"/>
        </w:rPr>
        <w:t>Actividad inadecuada contra neumococos resistentes.</w:t>
      </w:r>
    </w:p>
    <w:p w14:paraId="3B769FBB" w14:textId="77777777" w:rsidR="00924992" w:rsidRDefault="00924992">
      <w:pPr>
        <w:pStyle w:val="Bodytext20"/>
      </w:pPr>
      <w:r>
        <w:rPr>
          <w:color w:val="000000"/>
        </w:rPr>
        <w:t>No se ha aprobado para niños menores de 12 años.</w:t>
      </w:r>
    </w:p>
    <w:p w14:paraId="50DA97AF" w14:textId="77777777" w:rsidR="00924992" w:rsidRDefault="00924992">
      <w:pPr>
        <w:pStyle w:val="Bodytext20"/>
      </w:pPr>
      <w:r>
        <w:rPr>
          <w:color w:val="000000"/>
        </w:rPr>
        <w:t>No se ha aprobado para tratamiento de la meningitis.</w:t>
      </w:r>
    </w:p>
    <w:p w14:paraId="6CF9EABD" w14:textId="77777777" w:rsidR="00924992" w:rsidRDefault="00924992">
      <w:pPr>
        <w:pStyle w:val="Bodytext20"/>
        <w:spacing w:after="200"/>
      </w:pPr>
      <w:r>
        <w:rPr>
          <w:color w:val="000000"/>
        </w:rPr>
        <w:t>No se ha aprobado para utilizar en niños.</w:t>
      </w:r>
    </w:p>
    <w:p w14:paraId="4AAF5084" w14:textId="77777777" w:rsidR="00924992" w:rsidRDefault="00924992">
      <w:pPr>
        <w:pStyle w:val="Bodytext20"/>
        <w:spacing w:after="200"/>
      </w:pPr>
      <w:r>
        <w:rPr>
          <w:color w:val="000000"/>
        </w:rPr>
        <w:t>No se ha aprobado para utilizar en niños.</w:t>
      </w:r>
    </w:p>
    <w:p w14:paraId="42B0BB88" w14:textId="77777777" w:rsidR="00924992" w:rsidRDefault="00924992">
      <w:pPr>
        <w:pStyle w:val="Bodytext20"/>
      </w:pPr>
      <w:r>
        <w:rPr>
          <w:color w:val="000000"/>
        </w:rPr>
        <w:t>Para tratar la meningitis se puede usar un régimen de 300 mg en 3 o 4 dosis.</w:t>
      </w:r>
    </w:p>
    <w:p w14:paraId="1117399C" w14:textId="77777777" w:rsidR="00924992" w:rsidRDefault="00924992">
      <w:pPr>
        <w:pStyle w:val="Bodytext20"/>
        <w:spacing w:after="200"/>
        <w:sectPr w:rsidR="00924992" w:rsidSect="00924992">
          <w:type w:val="continuous"/>
          <w:pgSz w:w="13022" w:h="8501" w:orient="landscape"/>
          <w:pgMar w:top="1080" w:right="1041" w:bottom="304" w:left="5750" w:header="0" w:footer="3" w:gutter="0"/>
          <w:cols w:num="3" w:space="100"/>
          <w:noEndnote/>
          <w:docGrid w:linePitch="360"/>
          <w15:footnoteColumns w:val="1"/>
        </w:sectPr>
      </w:pPr>
      <w:r>
        <w:rPr>
          <w:color w:val="000000"/>
        </w:rPr>
        <w:t>No se ha aprobado para usar en niños.</w:t>
      </w:r>
    </w:p>
    <w:p w14:paraId="4309CA0C" w14:textId="77777777" w:rsidR="00924992" w:rsidRDefault="00924992">
      <w:pPr>
        <w:pStyle w:val="Heading31"/>
        <w:keepNext/>
        <w:keepLines/>
        <w:framePr w:w="8122" w:h="322" w:wrap="none" w:hAnchor="page" w:x="2286" w:y="1"/>
        <w:rPr>
          <w:sz w:val="16"/>
          <w:szCs w:val="16"/>
        </w:rPr>
      </w:pPr>
      <w:bookmarkStart w:id="270" w:name="bookmark1716"/>
      <w:bookmarkStart w:id="271" w:name="bookmark1717"/>
      <w:bookmarkStart w:id="272" w:name="bookmark1718"/>
      <w:r>
        <w:rPr>
          <w:b w:val="0"/>
          <w:bCs w:val="0"/>
          <w:color w:val="000000"/>
        </w:rPr>
        <w:t xml:space="preserve">Cuadro 4-2. </w:t>
      </w:r>
      <w:r>
        <w:rPr>
          <w:color w:val="000000"/>
        </w:rPr>
        <w:t xml:space="preserve">Empleo de antibacterianos en niños después del periodo neonatal </w:t>
      </w:r>
      <w:r>
        <w:rPr>
          <w:rFonts w:ascii="Times New Roman" w:eastAsia="Times New Roman" w:hAnsi="Times New Roman" w:cs="Times New Roman"/>
          <w:b w:val="0"/>
          <w:bCs w:val="0"/>
          <w:i/>
          <w:iCs/>
          <w:color w:val="000000"/>
          <w:w w:val="100"/>
          <w:sz w:val="16"/>
          <w:szCs w:val="16"/>
        </w:rPr>
        <w:t>continuación</w:t>
      </w:r>
      <w:bookmarkEnd w:id="270"/>
      <w:bookmarkEnd w:id="271"/>
      <w:bookmarkEnd w:id="272"/>
    </w:p>
    <w:p w14:paraId="699906EC" w14:textId="77777777" w:rsidR="00924992" w:rsidRDefault="00924992">
      <w:pPr>
        <w:pStyle w:val="Heading41"/>
        <w:keepNext/>
        <w:keepLines/>
        <w:framePr w:w="6547" w:h="864" w:wrap="none" w:hAnchor="page" w:x="683" w:y="351"/>
        <w:pBdr>
          <w:top w:val="single" w:sz="0" w:space="0" w:color="000000"/>
          <w:left w:val="single" w:sz="0" w:space="0" w:color="000000"/>
          <w:bottom w:val="single" w:sz="0" w:space="0" w:color="000000"/>
          <w:right w:val="single" w:sz="0" w:space="0" w:color="000000"/>
        </w:pBdr>
        <w:shd w:val="clear" w:color="auto" w:fill="000000"/>
        <w:tabs>
          <w:tab w:val="left" w:leader="underscore" w:pos="3374"/>
          <w:tab w:val="left" w:pos="5098"/>
          <w:tab w:val="left" w:leader="underscore" w:pos="6509"/>
        </w:tabs>
        <w:ind w:firstLine="2600"/>
        <w:jc w:val="both"/>
      </w:pPr>
      <w:bookmarkStart w:id="273" w:name="bookmark1719"/>
      <w:bookmarkStart w:id="274" w:name="bookmark1720"/>
      <w:bookmarkStart w:id="275" w:name="bookmark1721"/>
      <w:r>
        <w:rPr>
          <w:color w:val="FFFFFF"/>
        </w:rPr>
        <w:tab/>
      </w:r>
      <w:r>
        <w:rPr>
          <w:color w:val="FFFFFF"/>
          <w:u w:val="single"/>
        </w:rPr>
        <w:t>Dosis por kg de peso al día</w:t>
      </w:r>
      <w:r>
        <w:rPr>
          <w:color w:val="FFFFFF"/>
        </w:rPr>
        <w:tab/>
        <w:t xml:space="preserve"> Fármaco, nombre genérico Vía de administración Infecciones leves (y comercial)</w:t>
      </w:r>
      <w:r>
        <w:rPr>
          <w:color w:val="FFFFFF"/>
        </w:rPr>
        <w:tab/>
        <w:t>o moderadas</w:t>
      </w:r>
      <w:bookmarkEnd w:id="273"/>
      <w:bookmarkEnd w:id="274"/>
      <w:bookmarkEnd w:id="275"/>
    </w:p>
    <w:p w14:paraId="2EAB8066" w14:textId="77777777" w:rsidR="00924992" w:rsidRDefault="00924992">
      <w:pPr>
        <w:pStyle w:val="Heading41"/>
        <w:keepNext/>
        <w:keepLines/>
        <w:framePr w:w="3221" w:h="298" w:wrap="none" w:hAnchor="page" w:x="7883" w:y="630"/>
        <w:pBdr>
          <w:top w:val="single" w:sz="0" w:space="0" w:color="000000"/>
          <w:left w:val="single" w:sz="0" w:space="0" w:color="000000"/>
          <w:bottom w:val="single" w:sz="0" w:space="0" w:color="000000"/>
          <w:right w:val="single" w:sz="0" w:space="0" w:color="000000"/>
        </w:pBdr>
        <w:shd w:val="clear" w:color="auto" w:fill="000000"/>
        <w:jc w:val="center"/>
      </w:pPr>
      <w:bookmarkStart w:id="276" w:name="bookmark1722"/>
      <w:bookmarkStart w:id="277" w:name="bookmark1723"/>
      <w:bookmarkStart w:id="278" w:name="bookmark1724"/>
      <w:r>
        <w:rPr>
          <w:color w:val="FFFFFF"/>
        </w:rPr>
        <w:t>Infecciones graves Comentarios</w:t>
      </w:r>
      <w:bookmarkEnd w:id="276"/>
      <w:bookmarkEnd w:id="277"/>
      <w:bookmarkEnd w:id="278"/>
    </w:p>
    <w:p w14:paraId="04699BC8" w14:textId="77777777" w:rsidR="00924992" w:rsidRDefault="00924992">
      <w:pPr>
        <w:pStyle w:val="Bodytext20"/>
        <w:framePr w:w="2832" w:h="235" w:wrap="none" w:hAnchor="page" w:x="731" w:y="1283"/>
        <w:tabs>
          <w:tab w:val="left" w:pos="2544"/>
        </w:tabs>
        <w:spacing w:line="240" w:lineRule="auto"/>
      </w:pPr>
      <w:r>
        <w:rPr>
          <w:color w:val="000000"/>
        </w:rPr>
        <w:t>Cefprozilo (Cefzil)</w:t>
      </w:r>
      <w:r>
        <w:rPr>
          <w:color w:val="000000"/>
        </w:rPr>
        <w:tab/>
        <w:t>PO</w:t>
      </w:r>
    </w:p>
    <w:p w14:paraId="6289E926" w14:textId="77777777" w:rsidR="00924992" w:rsidRDefault="00924992">
      <w:pPr>
        <w:pStyle w:val="Bodytext20"/>
        <w:framePr w:w="734" w:h="1090" w:wrap="none" w:hAnchor="page" w:x="683" w:y="1931"/>
        <w:spacing w:line="240" w:lineRule="auto"/>
        <w:jc w:val="both"/>
      </w:pPr>
      <w:r>
        <w:rPr>
          <w:color w:val="000000"/>
        </w:rPr>
        <w:t>Cefradina</w:t>
      </w:r>
    </w:p>
    <w:p w14:paraId="5FC2380F" w14:textId="77777777" w:rsidR="00924992" w:rsidRDefault="00924992">
      <w:pPr>
        <w:pStyle w:val="Bodytext20"/>
        <w:framePr w:w="734" w:h="1090" w:wrap="none" w:hAnchor="page" w:x="683" w:y="1931"/>
        <w:spacing w:after="440" w:line="240" w:lineRule="auto"/>
        <w:jc w:val="both"/>
      </w:pPr>
      <w:r>
        <w:rPr>
          <w:color w:val="000000"/>
        </w:rPr>
        <w:t>(Anspor)</w:t>
      </w:r>
    </w:p>
    <w:p w14:paraId="38ED8ED0" w14:textId="77777777" w:rsidR="00924992" w:rsidRDefault="00924992">
      <w:pPr>
        <w:pStyle w:val="Bodytext20"/>
        <w:framePr w:w="734" w:h="1090" w:wrap="none" w:hAnchor="page" w:x="683" w:y="1931"/>
        <w:spacing w:after="220" w:line="240" w:lineRule="auto"/>
        <w:jc w:val="both"/>
      </w:pPr>
      <w:r>
        <w:rPr>
          <w:color w:val="000000"/>
        </w:rPr>
        <w:t>(Velosef)</w:t>
      </w:r>
    </w:p>
    <w:p w14:paraId="0C8C829B" w14:textId="77777777" w:rsidR="00924992" w:rsidRDefault="00924992">
      <w:pPr>
        <w:pStyle w:val="Bodytext20"/>
        <w:framePr w:w="523" w:h="869" w:wrap="none" w:hAnchor="page" w:x="3279" w:y="2151"/>
        <w:spacing w:after="460" w:line="240" w:lineRule="auto"/>
      </w:pPr>
      <w:r>
        <w:rPr>
          <w:color w:val="000000"/>
        </w:rPr>
        <w:t>PO</w:t>
      </w:r>
    </w:p>
    <w:p w14:paraId="057B1AE7" w14:textId="77777777" w:rsidR="00924992" w:rsidRDefault="00924992">
      <w:pPr>
        <w:pStyle w:val="Bodytext20"/>
        <w:framePr w:w="523" w:h="869" w:wrap="none" w:hAnchor="page" w:x="3279" w:y="2151"/>
        <w:spacing w:line="240" w:lineRule="auto"/>
      </w:pPr>
      <w:r>
        <w:rPr>
          <w:color w:val="000000"/>
        </w:rPr>
        <w:t>IV, IM</w:t>
      </w:r>
    </w:p>
    <w:p w14:paraId="5EC3B1EF" w14:textId="77777777" w:rsidR="00924992" w:rsidRDefault="00924992">
      <w:pPr>
        <w:pStyle w:val="Bodytext20"/>
        <w:framePr w:w="3125" w:h="442" w:wrap="none" w:hAnchor="page" w:x="678" w:y="3227"/>
        <w:spacing w:line="240" w:lineRule="auto"/>
      </w:pPr>
      <w:r>
        <w:rPr>
          <w:color w:val="000000"/>
        </w:rPr>
        <w:t>Ceftazidima (Fortaz, Tazicef,</w:t>
      </w:r>
    </w:p>
    <w:p w14:paraId="148E0980" w14:textId="77777777" w:rsidR="00924992" w:rsidRDefault="00924992">
      <w:pPr>
        <w:pStyle w:val="Bodytext20"/>
        <w:framePr w:w="3125" w:h="442" w:wrap="none" w:hAnchor="page" w:x="678" w:y="3227"/>
        <w:tabs>
          <w:tab w:val="left" w:pos="2597"/>
        </w:tabs>
        <w:spacing w:line="240" w:lineRule="auto"/>
      </w:pPr>
      <w:r>
        <w:rPr>
          <w:color w:val="000000"/>
        </w:rPr>
        <w:t>Tazidima)</w:t>
      </w:r>
      <w:r>
        <w:rPr>
          <w:color w:val="000000"/>
        </w:rPr>
        <w:tab/>
        <w:t>IV, IM</w:t>
      </w:r>
    </w:p>
    <w:p w14:paraId="280F27A7" w14:textId="77777777" w:rsidR="00924992" w:rsidRDefault="00924992">
      <w:pPr>
        <w:pStyle w:val="Bodytext20"/>
        <w:framePr w:w="2021" w:h="2621" w:wrap="none" w:hAnchor="page" w:x="5751" w:y="1283"/>
      </w:pPr>
      <w:r>
        <w:rPr>
          <w:color w:val="000000"/>
        </w:rPr>
        <w:t>15-30 mg en 2 dosis (dosis diaria máxima del adulto,</w:t>
      </w:r>
    </w:p>
    <w:p w14:paraId="6870F553" w14:textId="77777777" w:rsidR="00924992" w:rsidRDefault="00924992">
      <w:pPr>
        <w:pStyle w:val="Bodytext20"/>
        <w:framePr w:w="2021" w:h="2621" w:wrap="none" w:hAnchor="page" w:x="5751" w:y="1283"/>
        <w:spacing w:after="160"/>
      </w:pPr>
      <w:r>
        <w:rPr>
          <w:color w:val="000000"/>
        </w:rPr>
        <w:t>1 g)</w:t>
      </w:r>
    </w:p>
    <w:p w14:paraId="5080722E" w14:textId="77777777" w:rsidR="00924992" w:rsidRDefault="00924992">
      <w:pPr>
        <w:pStyle w:val="Bodytext20"/>
        <w:framePr w:w="2021" w:h="2621" w:wrap="none" w:hAnchor="page" w:x="5751" w:y="1283"/>
      </w:pPr>
      <w:r>
        <w:rPr>
          <w:color w:val="000000"/>
        </w:rPr>
        <w:t>25-50 mg en 2 a 4 dosis (dosis diaria del adulto,</w:t>
      </w:r>
    </w:p>
    <w:p w14:paraId="6AA9204E" w14:textId="77777777" w:rsidR="00924992" w:rsidRDefault="00924992">
      <w:pPr>
        <w:pStyle w:val="Bodytext20"/>
        <w:framePr w:w="2021" w:h="2621" w:wrap="none" w:hAnchor="page" w:x="5751" w:y="1283"/>
      </w:pPr>
      <w:r>
        <w:rPr>
          <w:color w:val="000000"/>
        </w:rPr>
        <w:t>1-4 g)</w:t>
      </w:r>
    </w:p>
    <w:p w14:paraId="7549491E" w14:textId="77777777" w:rsidR="00924992" w:rsidRDefault="00924992">
      <w:pPr>
        <w:pStyle w:val="Bodytext20"/>
        <w:framePr w:w="2021" w:h="2621" w:wrap="none" w:hAnchor="page" w:x="5751" w:y="1283"/>
        <w:spacing w:after="200"/>
      </w:pPr>
      <w:r>
        <w:rPr>
          <w:color w:val="000000"/>
        </w:rPr>
        <w:t>50-100 mg en 4 dosis (dosis diaria del adulto, 2-8 g)</w:t>
      </w:r>
    </w:p>
    <w:p w14:paraId="1786FC9C" w14:textId="77777777" w:rsidR="00924992" w:rsidRDefault="00924992">
      <w:pPr>
        <w:pStyle w:val="Bodytext20"/>
        <w:framePr w:w="2021" w:h="2621" w:wrap="none" w:hAnchor="page" w:x="5751" w:y="1283"/>
        <w:spacing w:after="180"/>
      </w:pPr>
      <w:r>
        <w:rPr>
          <w:color w:val="000000"/>
        </w:rPr>
        <w:t>75-100 mg en 3 dosis (dosis diaria del adulto, 3 g)</w:t>
      </w:r>
    </w:p>
    <w:p w14:paraId="3095B820" w14:textId="77777777" w:rsidR="00924992" w:rsidRDefault="00924992">
      <w:pPr>
        <w:pStyle w:val="Bodytext20"/>
        <w:framePr w:w="883" w:h="235" w:wrap="none" w:hAnchor="page" w:x="7883" w:y="1283"/>
        <w:spacing w:line="240" w:lineRule="auto"/>
      </w:pPr>
      <w:r>
        <w:rPr>
          <w:color w:val="000000"/>
        </w:rPr>
        <w:t>Inapropiada</w:t>
      </w:r>
    </w:p>
    <w:p w14:paraId="7AC57A17" w14:textId="77777777" w:rsidR="00924992" w:rsidRDefault="00924992">
      <w:pPr>
        <w:pStyle w:val="Bodytext20"/>
        <w:framePr w:w="1757" w:h="677" w:wrap="none" w:hAnchor="page" w:x="10019" w:y="1283"/>
      </w:pPr>
      <w:r>
        <w:rPr>
          <w:color w:val="000000"/>
        </w:rPr>
        <w:t>Se recomienda una dosis de 30 mg para tratar la otitis media aguda.</w:t>
      </w:r>
    </w:p>
    <w:p w14:paraId="04E9B5BA" w14:textId="77777777" w:rsidR="00924992" w:rsidRDefault="00924992">
      <w:pPr>
        <w:pStyle w:val="Bodytext20"/>
        <w:framePr w:w="2880" w:h="226" w:wrap="none" w:hAnchor="page" w:x="683" w:y="4523"/>
        <w:tabs>
          <w:tab w:val="left" w:pos="2592"/>
        </w:tabs>
        <w:spacing w:line="240" w:lineRule="auto"/>
      </w:pPr>
      <w:r>
        <w:rPr>
          <w:color w:val="000000"/>
        </w:rPr>
        <w:t>Ceftibutén (Cedax)</w:t>
      </w:r>
      <w:r>
        <w:rPr>
          <w:color w:val="000000"/>
        </w:rPr>
        <w:tab/>
        <w:t>PO</w:t>
      </w:r>
    </w:p>
    <w:p w14:paraId="14ED4D4E" w14:textId="77777777" w:rsidR="00924992" w:rsidRDefault="00924992">
      <w:pPr>
        <w:pStyle w:val="Bodytext20"/>
        <w:framePr w:w="3120" w:h="226" w:wrap="none" w:hAnchor="page" w:x="683" w:y="5603"/>
        <w:tabs>
          <w:tab w:val="left" w:pos="2592"/>
        </w:tabs>
        <w:spacing w:line="240" w:lineRule="auto"/>
      </w:pPr>
      <w:r>
        <w:rPr>
          <w:color w:val="000000"/>
        </w:rPr>
        <w:t>Ceftizoxima (Cefizox)</w:t>
      </w:r>
      <w:r>
        <w:rPr>
          <w:color w:val="000000"/>
        </w:rPr>
        <w:tab/>
        <w:t>IV, IM</w:t>
      </w:r>
    </w:p>
    <w:p w14:paraId="6EBB6DAB" w14:textId="77777777" w:rsidR="00924992" w:rsidRDefault="00924992">
      <w:pPr>
        <w:pStyle w:val="Bodytext20"/>
        <w:framePr w:w="1992" w:h="1757" w:wrap="none" w:hAnchor="page" w:x="5756" w:y="4523"/>
        <w:spacing w:after="200"/>
      </w:pPr>
      <w:r>
        <w:rPr>
          <w:color w:val="000000"/>
        </w:rPr>
        <w:t>9 mg en una dosis (dosis diaria máxima del adulto: consultar instrucciones del fabricante)</w:t>
      </w:r>
    </w:p>
    <w:p w14:paraId="276B2C23" w14:textId="77777777" w:rsidR="00924992" w:rsidRDefault="00924992">
      <w:pPr>
        <w:pStyle w:val="Bodytext20"/>
        <w:framePr w:w="1992" w:h="1757" w:wrap="none" w:hAnchor="page" w:x="5756" w:y="4523"/>
      </w:pPr>
      <w:r>
        <w:rPr>
          <w:color w:val="000000"/>
        </w:rPr>
        <w:t>100-150 mg en 3 dosis (dosis diaria del adulto, 3-4 g)</w:t>
      </w:r>
    </w:p>
    <w:p w14:paraId="55890DA9" w14:textId="77777777" w:rsidR="00924992" w:rsidRDefault="00924992">
      <w:pPr>
        <w:pStyle w:val="Bodytext20"/>
        <w:framePr w:w="1987" w:h="1757" w:wrap="none" w:hAnchor="page" w:x="7883" w:y="2147"/>
        <w:spacing w:after="420"/>
      </w:pPr>
      <w:r>
        <w:rPr>
          <w:color w:val="000000"/>
        </w:rPr>
        <w:t>Inapropiada</w:t>
      </w:r>
    </w:p>
    <w:p w14:paraId="05DDE929" w14:textId="77777777" w:rsidR="00924992" w:rsidRDefault="00924992">
      <w:pPr>
        <w:pStyle w:val="Bodytext20"/>
        <w:framePr w:w="1987" w:h="1757" w:wrap="none" w:hAnchor="page" w:x="7883" w:y="2147"/>
        <w:spacing w:after="200"/>
      </w:pPr>
      <w:r>
        <w:rPr>
          <w:color w:val="000000"/>
        </w:rPr>
        <w:t>100 mg en 4 dosis (dosis diaria del adulto, 6-8 g)</w:t>
      </w:r>
    </w:p>
    <w:p w14:paraId="2D46786D" w14:textId="77777777" w:rsidR="00924992" w:rsidRDefault="00924992">
      <w:pPr>
        <w:pStyle w:val="Bodytext20"/>
        <w:framePr w:w="1987" w:h="1757" w:wrap="none" w:hAnchor="page" w:x="7883" w:y="2147"/>
        <w:spacing w:after="300"/>
      </w:pPr>
      <w:r>
        <w:rPr>
          <w:color w:val="000000"/>
        </w:rPr>
        <w:t>125-150 mg en 3 dosis (dosis diaria del adulto, 6 g)</w:t>
      </w:r>
    </w:p>
    <w:p w14:paraId="0386BFB9" w14:textId="77777777" w:rsidR="00924992" w:rsidRDefault="00924992">
      <w:pPr>
        <w:pStyle w:val="Bodytext20"/>
        <w:framePr w:w="883" w:h="235" w:wrap="none" w:hAnchor="page" w:x="7883" w:y="4523"/>
        <w:spacing w:line="240" w:lineRule="auto"/>
      </w:pPr>
      <w:r>
        <w:rPr>
          <w:color w:val="000000"/>
        </w:rPr>
        <w:t>Inapropiada</w:t>
      </w:r>
    </w:p>
    <w:p w14:paraId="6375D2AE" w14:textId="77777777" w:rsidR="00924992" w:rsidRDefault="00924992">
      <w:pPr>
        <w:pStyle w:val="Bodytext20"/>
        <w:framePr w:w="1910" w:h="677" w:wrap="none" w:hAnchor="page" w:x="7892" w:y="5603"/>
        <w:jc w:val="center"/>
      </w:pPr>
      <w:r>
        <w:rPr>
          <w:color w:val="000000"/>
        </w:rPr>
        <w:t>150-200 mg en 3 a 4 dosis</w:t>
      </w:r>
      <w:r>
        <w:rPr>
          <w:color w:val="000000"/>
        </w:rPr>
        <w:br/>
        <w:t>(dosis diaria del adulto,</w:t>
      </w:r>
      <w:r>
        <w:rPr>
          <w:color w:val="000000"/>
        </w:rPr>
        <w:br/>
        <w:t>4-6 g)</w:t>
      </w:r>
    </w:p>
    <w:p w14:paraId="3A203913" w14:textId="77777777" w:rsidR="00924992" w:rsidRDefault="00924992">
      <w:pPr>
        <w:pStyle w:val="Bodytext20"/>
        <w:framePr w:w="2021" w:h="1973" w:wrap="none" w:hAnchor="page" w:x="10004" w:y="3443"/>
      </w:pPr>
      <w:r>
        <w:rPr>
          <w:color w:val="000000"/>
        </w:rPr>
        <w:t xml:space="preserve">Se ha aprobado sólo cefalosporina con actividad contra </w:t>
      </w:r>
      <w:r>
        <w:rPr>
          <w:i/>
          <w:iCs/>
          <w:color w:val="000000"/>
        </w:rPr>
        <w:t>Pseudomonas</w:t>
      </w:r>
      <w:r>
        <w:rPr>
          <w:color w:val="000000"/>
        </w:rPr>
        <w:t xml:space="preserve"> para usar en niños.</w:t>
      </w:r>
    </w:p>
    <w:p w14:paraId="013A5BE8" w14:textId="77777777" w:rsidR="00924992" w:rsidRDefault="00924992">
      <w:pPr>
        <w:pStyle w:val="Bodytext20"/>
        <w:framePr w:w="2021" w:h="1973" w:wrap="none" w:hAnchor="page" w:x="10004" w:y="3443"/>
      </w:pPr>
      <w:r>
        <w:rPr>
          <w:color w:val="000000"/>
        </w:rPr>
        <w:t>Actividad inadecuada entre neumococos que muestran resistencia intermedia o completa.</w:t>
      </w:r>
    </w:p>
    <w:p w14:paraId="36E48A21" w14:textId="77777777" w:rsidR="00924992" w:rsidRDefault="00924992">
      <w:pPr>
        <w:pStyle w:val="Bodytext80"/>
        <w:framePr w:w="168" w:h="4958" w:hRule="exact" w:wrap="none" w:hAnchor="page" w:x="12390" w:y="39"/>
        <w:tabs>
          <w:tab w:val="left" w:pos="1906"/>
        </w:tabs>
        <w:textDirection w:val="tbRl"/>
      </w:pPr>
      <w:r>
        <w:rPr>
          <w:sz w:val="16"/>
          <w:szCs w:val="16"/>
        </w:rPr>
        <w:t>736</w:t>
      </w:r>
      <w:r>
        <w:rPr>
          <w:sz w:val="16"/>
          <w:szCs w:val="16"/>
        </w:rPr>
        <w:tab/>
      </w:r>
      <w:r>
        <w:t>CUADROS DE DOSIS DE ANTIMICROBIANOS</w:t>
      </w:r>
    </w:p>
    <w:p w14:paraId="7893EC54" w14:textId="77777777" w:rsidR="00924992" w:rsidRDefault="00924992">
      <w:pPr>
        <w:spacing w:line="360" w:lineRule="exact"/>
      </w:pPr>
    </w:p>
    <w:p w14:paraId="5DDE3DBD" w14:textId="77777777" w:rsidR="00924992" w:rsidRDefault="00924992">
      <w:pPr>
        <w:spacing w:line="360" w:lineRule="exact"/>
      </w:pPr>
    </w:p>
    <w:p w14:paraId="31F352CE" w14:textId="77777777" w:rsidR="00924992" w:rsidRDefault="00924992">
      <w:pPr>
        <w:spacing w:line="360" w:lineRule="exact"/>
      </w:pPr>
    </w:p>
    <w:p w14:paraId="5EBC65D3" w14:textId="77777777" w:rsidR="00924992" w:rsidRDefault="00924992">
      <w:pPr>
        <w:spacing w:line="360" w:lineRule="exact"/>
      </w:pPr>
    </w:p>
    <w:p w14:paraId="7C9B4A4E" w14:textId="77777777" w:rsidR="00924992" w:rsidRDefault="00924992">
      <w:pPr>
        <w:spacing w:line="360" w:lineRule="exact"/>
      </w:pPr>
    </w:p>
    <w:p w14:paraId="6C7E9FCC" w14:textId="77777777" w:rsidR="00924992" w:rsidRDefault="00924992">
      <w:pPr>
        <w:spacing w:line="360" w:lineRule="exact"/>
      </w:pPr>
    </w:p>
    <w:p w14:paraId="50C552EA" w14:textId="77777777" w:rsidR="00924992" w:rsidRDefault="00924992">
      <w:pPr>
        <w:spacing w:line="360" w:lineRule="exact"/>
      </w:pPr>
    </w:p>
    <w:p w14:paraId="3D0AB3F3" w14:textId="77777777" w:rsidR="00924992" w:rsidRDefault="00924992">
      <w:pPr>
        <w:spacing w:line="360" w:lineRule="exact"/>
      </w:pPr>
    </w:p>
    <w:p w14:paraId="5EA63C0E" w14:textId="77777777" w:rsidR="00924992" w:rsidRDefault="00924992">
      <w:pPr>
        <w:spacing w:line="360" w:lineRule="exact"/>
      </w:pPr>
    </w:p>
    <w:p w14:paraId="2A5AC991" w14:textId="77777777" w:rsidR="00924992" w:rsidRDefault="00924992">
      <w:pPr>
        <w:spacing w:line="360" w:lineRule="exact"/>
      </w:pPr>
    </w:p>
    <w:p w14:paraId="77F38967" w14:textId="77777777" w:rsidR="00924992" w:rsidRDefault="00924992">
      <w:pPr>
        <w:spacing w:line="360" w:lineRule="exact"/>
      </w:pPr>
    </w:p>
    <w:p w14:paraId="54EB2A6E" w14:textId="77777777" w:rsidR="00924992" w:rsidRDefault="00924992">
      <w:pPr>
        <w:spacing w:line="360" w:lineRule="exact"/>
      </w:pPr>
    </w:p>
    <w:p w14:paraId="5CC79B18" w14:textId="77777777" w:rsidR="00924992" w:rsidRDefault="00924992">
      <w:pPr>
        <w:spacing w:line="360" w:lineRule="exact"/>
      </w:pPr>
    </w:p>
    <w:p w14:paraId="7095DF74" w14:textId="77777777" w:rsidR="00924992" w:rsidRDefault="00924992">
      <w:pPr>
        <w:spacing w:line="360" w:lineRule="exact"/>
      </w:pPr>
    </w:p>
    <w:p w14:paraId="40AA4905" w14:textId="77777777" w:rsidR="00924992" w:rsidRDefault="00924992">
      <w:pPr>
        <w:spacing w:line="360" w:lineRule="exact"/>
      </w:pPr>
    </w:p>
    <w:p w14:paraId="5FC02399" w14:textId="77777777" w:rsidR="00924992" w:rsidRDefault="00924992">
      <w:pPr>
        <w:spacing w:line="360" w:lineRule="exact"/>
      </w:pPr>
    </w:p>
    <w:p w14:paraId="69229C2A" w14:textId="77777777" w:rsidR="00924992" w:rsidRDefault="00924992">
      <w:pPr>
        <w:spacing w:after="517" w:line="1" w:lineRule="exact"/>
      </w:pPr>
    </w:p>
    <w:p w14:paraId="6FCDF390" w14:textId="77777777" w:rsidR="00924992" w:rsidRDefault="00924992">
      <w:pPr>
        <w:spacing w:line="1" w:lineRule="exact"/>
        <w:sectPr w:rsidR="00924992" w:rsidSect="00924992">
          <w:pgSz w:w="13022" w:h="8501" w:orient="landscape"/>
          <w:pgMar w:top="466" w:right="466" w:bottom="1168" w:left="653" w:header="0" w:footer="3" w:gutter="0"/>
          <w:cols w:space="720"/>
          <w:noEndnote/>
          <w:docGrid w:linePitch="360"/>
          <w15:footnoteColumns w:val="1"/>
        </w:sectPr>
      </w:pPr>
    </w:p>
    <w:p w14:paraId="4B05C243" w14:textId="77777777" w:rsidR="00924992" w:rsidRDefault="00924992">
      <w:pPr>
        <w:pStyle w:val="Heading31"/>
        <w:keepNext/>
        <w:keepLines/>
        <w:framePr w:w="8122" w:h="317" w:wrap="none" w:hAnchor="page" w:x="2286" w:y="1"/>
        <w:rPr>
          <w:sz w:val="16"/>
          <w:szCs w:val="16"/>
        </w:rPr>
      </w:pPr>
      <w:bookmarkStart w:id="279" w:name="bookmark1725"/>
      <w:bookmarkStart w:id="280" w:name="bookmark1726"/>
      <w:bookmarkStart w:id="281" w:name="bookmark1727"/>
      <w:r>
        <w:rPr>
          <w:b w:val="0"/>
          <w:bCs w:val="0"/>
          <w:color w:val="000000"/>
        </w:rPr>
        <w:t xml:space="preserve">Cuadro 4-2. </w:t>
      </w:r>
      <w:r>
        <w:rPr>
          <w:color w:val="000000"/>
        </w:rPr>
        <w:t xml:space="preserve">Empleo de antibacterianos en niños después del periodo neonatal </w:t>
      </w:r>
      <w:r>
        <w:rPr>
          <w:rFonts w:ascii="Times New Roman" w:eastAsia="Times New Roman" w:hAnsi="Times New Roman" w:cs="Times New Roman"/>
          <w:b w:val="0"/>
          <w:bCs w:val="0"/>
          <w:i/>
          <w:iCs/>
          <w:color w:val="000000"/>
          <w:w w:val="100"/>
          <w:sz w:val="16"/>
          <w:szCs w:val="16"/>
        </w:rPr>
        <w:t>continuación</w:t>
      </w:r>
      <w:bookmarkEnd w:id="279"/>
      <w:bookmarkEnd w:id="280"/>
      <w:bookmarkEnd w:id="281"/>
    </w:p>
    <w:p w14:paraId="36FA745C" w14:textId="77777777" w:rsidR="00924992" w:rsidRDefault="00924992">
      <w:pPr>
        <w:pStyle w:val="Other0"/>
        <w:framePr w:w="6566" w:h="864" w:wrap="none" w:hAnchor="page" w:x="683" w:y="351"/>
        <w:pBdr>
          <w:top w:val="single" w:sz="0" w:space="0" w:color="000000"/>
          <w:left w:val="single" w:sz="0" w:space="0" w:color="000000"/>
          <w:bottom w:val="single" w:sz="0" w:space="0" w:color="000000"/>
          <w:right w:val="single" w:sz="0" w:space="0" w:color="000000"/>
        </w:pBdr>
        <w:shd w:val="clear" w:color="auto" w:fill="000000"/>
        <w:tabs>
          <w:tab w:val="left" w:leader="underscore" w:pos="3374"/>
          <w:tab w:val="left" w:pos="5098"/>
          <w:tab w:val="left" w:leader="underscore" w:pos="6533"/>
        </w:tabs>
        <w:spacing w:line="240" w:lineRule="auto"/>
        <w:ind w:firstLine="2600"/>
        <w:jc w:val="both"/>
        <w:rPr>
          <w:sz w:val="24"/>
          <w:szCs w:val="24"/>
        </w:rPr>
      </w:pPr>
      <w:r>
        <w:rPr>
          <w:rFonts w:ascii="Arial" w:eastAsia="Arial" w:hAnsi="Arial" w:cs="Arial"/>
          <w:b/>
          <w:bCs/>
          <w:color w:val="FFFFFF"/>
          <w:w w:val="70"/>
          <w:sz w:val="24"/>
          <w:szCs w:val="24"/>
        </w:rPr>
        <w:tab/>
      </w:r>
      <w:r>
        <w:rPr>
          <w:rFonts w:ascii="Arial" w:eastAsia="Arial" w:hAnsi="Arial" w:cs="Arial"/>
          <w:b/>
          <w:bCs/>
          <w:color w:val="FFFFFF"/>
          <w:w w:val="70"/>
          <w:sz w:val="24"/>
          <w:szCs w:val="24"/>
          <w:u w:val="single"/>
        </w:rPr>
        <w:t>Dosis por kg de peso al día</w:t>
      </w:r>
      <w:r>
        <w:rPr>
          <w:rFonts w:ascii="Arial" w:eastAsia="Arial" w:hAnsi="Arial" w:cs="Arial"/>
          <w:b/>
          <w:bCs/>
          <w:color w:val="FFFFFF"/>
          <w:w w:val="70"/>
          <w:sz w:val="24"/>
          <w:szCs w:val="24"/>
        </w:rPr>
        <w:tab/>
        <w:t xml:space="preserve"> Fármaco, nombre genérico Vía de administración Infecciones leves (y comercial)</w:t>
      </w:r>
      <w:r>
        <w:rPr>
          <w:rFonts w:ascii="Arial" w:eastAsia="Arial" w:hAnsi="Arial" w:cs="Arial"/>
          <w:b/>
          <w:bCs/>
          <w:color w:val="FFFFFF"/>
          <w:w w:val="70"/>
          <w:sz w:val="24"/>
          <w:szCs w:val="24"/>
        </w:rPr>
        <w:tab/>
        <w:t>o moderadas</w:t>
      </w:r>
    </w:p>
    <w:p w14:paraId="414EB61A" w14:textId="77777777" w:rsidR="00924992" w:rsidRDefault="00924992">
      <w:pPr>
        <w:pStyle w:val="Other0"/>
        <w:framePr w:w="3221" w:h="298" w:wrap="none" w:hAnchor="page" w:x="7883" w:y="630"/>
        <w:pBdr>
          <w:top w:val="single" w:sz="0" w:space="0" w:color="000000"/>
          <w:left w:val="single" w:sz="0" w:space="0" w:color="000000"/>
          <w:bottom w:val="single" w:sz="0" w:space="0" w:color="000000"/>
          <w:right w:val="single" w:sz="0" w:space="0" w:color="000000"/>
        </w:pBdr>
        <w:shd w:val="clear" w:color="auto" w:fill="000000"/>
        <w:spacing w:line="240" w:lineRule="auto"/>
        <w:ind w:firstLine="0"/>
        <w:jc w:val="center"/>
        <w:rPr>
          <w:sz w:val="24"/>
          <w:szCs w:val="24"/>
        </w:rPr>
      </w:pPr>
      <w:r>
        <w:rPr>
          <w:rFonts w:ascii="Arial" w:eastAsia="Arial" w:hAnsi="Arial" w:cs="Arial"/>
          <w:b/>
          <w:bCs/>
          <w:color w:val="FFFFFF"/>
          <w:w w:val="70"/>
          <w:sz w:val="24"/>
          <w:szCs w:val="24"/>
        </w:rPr>
        <w:t>Infecciones graves Comentarios</w:t>
      </w:r>
    </w:p>
    <w:p w14:paraId="03ACE4A2" w14:textId="77777777" w:rsidR="00924992" w:rsidRDefault="00924992">
      <w:pPr>
        <w:pStyle w:val="Bodytext20"/>
        <w:framePr w:w="3120" w:h="235" w:wrap="none" w:hAnchor="page" w:x="683" w:y="1283"/>
        <w:tabs>
          <w:tab w:val="left" w:pos="2592"/>
        </w:tabs>
        <w:spacing w:line="240" w:lineRule="auto"/>
      </w:pPr>
      <w:r>
        <w:rPr>
          <w:color w:val="000000"/>
        </w:rPr>
        <w:t>Ceftriaxona (Rocephin)</w:t>
      </w:r>
      <w:r>
        <w:rPr>
          <w:color w:val="000000"/>
        </w:rPr>
        <w:tab/>
        <w:t>IV, IM</w:t>
      </w:r>
    </w:p>
    <w:p w14:paraId="1ACBBE85" w14:textId="77777777" w:rsidR="00924992" w:rsidRDefault="00924992">
      <w:pPr>
        <w:pStyle w:val="Bodytext20"/>
        <w:framePr w:w="1982" w:h="461" w:wrap="none" w:hAnchor="page" w:x="5761" w:y="1283"/>
      </w:pPr>
      <w:r>
        <w:rPr>
          <w:color w:val="000000"/>
        </w:rPr>
        <w:t>50-75 mg en 1 o 2 dosis (dosis diaria del adulto, 2 g)</w:t>
      </w:r>
    </w:p>
    <w:p w14:paraId="1558B97A" w14:textId="77777777" w:rsidR="00924992" w:rsidRDefault="00924992">
      <w:pPr>
        <w:pStyle w:val="Bodytext20"/>
        <w:framePr w:w="1987" w:h="451" w:wrap="none" w:hAnchor="page" w:x="7883" w:y="1283"/>
        <w:spacing w:line="240" w:lineRule="auto"/>
      </w:pPr>
      <w:r>
        <w:rPr>
          <w:color w:val="000000"/>
        </w:rPr>
        <w:t>80-100 mg en 1 o 2 dosis</w:t>
      </w:r>
    </w:p>
    <w:p w14:paraId="07D049E7" w14:textId="77777777" w:rsidR="00924992" w:rsidRDefault="00924992">
      <w:pPr>
        <w:pStyle w:val="Bodytext20"/>
        <w:framePr w:w="1987" w:h="451" w:wrap="none" w:hAnchor="page" w:x="7883" w:y="1283"/>
        <w:spacing w:line="240" w:lineRule="auto"/>
      </w:pPr>
      <w:r>
        <w:rPr>
          <w:color w:val="000000"/>
        </w:rPr>
        <w:t>(dosis diaria del adulto, 4 g)</w:t>
      </w:r>
    </w:p>
    <w:p w14:paraId="5CAFC875" w14:textId="77777777" w:rsidR="00924992" w:rsidRDefault="00924992">
      <w:pPr>
        <w:pStyle w:val="Bodytext20"/>
        <w:framePr w:w="1843" w:h="888" w:wrap="none" w:hAnchor="page" w:x="10019" w:y="1287"/>
      </w:pPr>
      <w:r>
        <w:rPr>
          <w:color w:val="000000"/>
        </w:rPr>
        <w:t>Dosis mayores son adecuadas en caso de meningitis neumocócica resistente a la penicilina.</w:t>
      </w:r>
    </w:p>
    <w:p w14:paraId="5EAA0A6B" w14:textId="77777777" w:rsidR="00924992" w:rsidRDefault="00924992">
      <w:pPr>
        <w:pStyle w:val="Bodytext20"/>
        <w:framePr w:w="3120" w:h="226" w:wrap="none" w:hAnchor="page" w:x="683" w:y="2363"/>
        <w:tabs>
          <w:tab w:val="left" w:pos="2592"/>
        </w:tabs>
        <w:spacing w:line="240" w:lineRule="auto"/>
      </w:pPr>
      <w:r>
        <w:rPr>
          <w:color w:val="000000"/>
        </w:rPr>
        <w:t>Cefuroxima (Zinacef)</w:t>
      </w:r>
      <w:r>
        <w:rPr>
          <w:color w:val="000000"/>
        </w:rPr>
        <w:tab/>
        <w:t>IV, IM</w:t>
      </w:r>
    </w:p>
    <w:p w14:paraId="3C5E8383" w14:textId="77777777" w:rsidR="00924992" w:rsidRDefault="00924992">
      <w:pPr>
        <w:pStyle w:val="Bodytext20"/>
        <w:framePr w:w="2880" w:h="226" w:wrap="none" w:hAnchor="page" w:x="683" w:y="3227"/>
        <w:tabs>
          <w:tab w:val="left" w:pos="2592"/>
        </w:tabs>
        <w:spacing w:line="240" w:lineRule="auto"/>
      </w:pPr>
      <w:r>
        <w:rPr>
          <w:color w:val="000000"/>
        </w:rPr>
        <w:t>Cefuroxima axetilo (Ceftin)</w:t>
      </w:r>
      <w:r>
        <w:rPr>
          <w:color w:val="000000"/>
        </w:rPr>
        <w:tab/>
        <w:t>PO</w:t>
      </w:r>
    </w:p>
    <w:p w14:paraId="10E80DDD" w14:textId="77777777" w:rsidR="00924992" w:rsidRDefault="00924992">
      <w:pPr>
        <w:pStyle w:val="Bodytext20"/>
        <w:framePr w:w="2880" w:h="226" w:wrap="none" w:hAnchor="page" w:x="683" w:y="4523"/>
        <w:tabs>
          <w:tab w:val="left" w:pos="2592"/>
        </w:tabs>
        <w:spacing w:line="240" w:lineRule="auto"/>
      </w:pPr>
      <w:r>
        <w:rPr>
          <w:color w:val="000000"/>
        </w:rPr>
        <w:t>Loracarbef (Lorabid)</w:t>
      </w:r>
      <w:r>
        <w:rPr>
          <w:color w:val="000000"/>
        </w:rPr>
        <w:tab/>
        <w:t>PO</w:t>
      </w:r>
    </w:p>
    <w:tbl>
      <w:tblPr>
        <w:tblOverlap w:val="never"/>
        <w:tblW w:w="0" w:type="auto"/>
        <w:tblLayout w:type="fixed"/>
        <w:tblCellMar>
          <w:left w:w="10" w:type="dxa"/>
          <w:right w:w="10" w:type="dxa"/>
        </w:tblCellMar>
        <w:tblLook w:val="04A0" w:firstRow="1" w:lastRow="0" w:firstColumn="1" w:lastColumn="0" w:noHBand="0" w:noVBand="1"/>
      </w:tblPr>
      <w:tblGrid>
        <w:gridCol w:w="2098"/>
        <w:gridCol w:w="2136"/>
        <w:gridCol w:w="1891"/>
      </w:tblGrid>
      <w:tr w:rsidR="00924992" w14:paraId="2623DB8D" w14:textId="77777777">
        <w:tblPrEx>
          <w:tblCellMar>
            <w:top w:w="0" w:type="dxa"/>
            <w:bottom w:w="0" w:type="dxa"/>
          </w:tblCellMar>
        </w:tblPrEx>
        <w:trPr>
          <w:trHeight w:hRule="exact" w:val="763"/>
        </w:trPr>
        <w:tc>
          <w:tcPr>
            <w:tcW w:w="2098" w:type="dxa"/>
            <w:shd w:val="clear" w:color="auto" w:fill="FFFFFF"/>
          </w:tcPr>
          <w:p w14:paraId="31687F86" w14:textId="77777777" w:rsidR="00924992" w:rsidRDefault="00924992">
            <w:pPr>
              <w:pStyle w:val="Other0"/>
              <w:framePr w:w="6125" w:h="3043" w:wrap="none" w:hAnchor="page" w:x="5751" w:y="2363"/>
              <w:spacing w:line="283" w:lineRule="auto"/>
              <w:ind w:firstLine="0"/>
              <w:rPr>
                <w:sz w:val="16"/>
                <w:szCs w:val="16"/>
              </w:rPr>
            </w:pPr>
            <w:r>
              <w:rPr>
                <w:rFonts w:ascii="Times New Roman" w:eastAsia="Times New Roman" w:hAnsi="Times New Roman" w:cs="Times New Roman"/>
                <w:color w:val="000000"/>
                <w:sz w:val="16"/>
                <w:szCs w:val="16"/>
              </w:rPr>
              <w:t>75-100 mg en 3 dosis (dosis diaria del adulto,</w:t>
            </w:r>
          </w:p>
          <w:p w14:paraId="10F0FFEA" w14:textId="77777777" w:rsidR="00924992" w:rsidRDefault="00924992">
            <w:pPr>
              <w:pStyle w:val="Other0"/>
              <w:framePr w:w="6125" w:h="3043" w:wrap="none" w:hAnchor="page" w:x="5751" w:y="2363"/>
              <w:spacing w:line="283" w:lineRule="auto"/>
              <w:ind w:firstLine="0"/>
              <w:rPr>
                <w:sz w:val="16"/>
                <w:szCs w:val="16"/>
              </w:rPr>
            </w:pPr>
            <w:r>
              <w:rPr>
                <w:rFonts w:ascii="Times New Roman" w:eastAsia="Times New Roman" w:hAnsi="Times New Roman" w:cs="Times New Roman"/>
                <w:color w:val="000000"/>
                <w:sz w:val="16"/>
                <w:szCs w:val="16"/>
              </w:rPr>
              <w:t>2-4 g)</w:t>
            </w:r>
          </w:p>
        </w:tc>
        <w:tc>
          <w:tcPr>
            <w:tcW w:w="4027" w:type="dxa"/>
            <w:gridSpan w:val="2"/>
            <w:shd w:val="clear" w:color="auto" w:fill="FFFFFF"/>
          </w:tcPr>
          <w:p w14:paraId="08966B62" w14:textId="77777777" w:rsidR="00924992" w:rsidRDefault="00924992">
            <w:pPr>
              <w:pStyle w:val="Other0"/>
              <w:framePr w:w="6125" w:h="3043" w:wrap="none" w:hAnchor="page" w:x="5751" w:y="2363"/>
              <w:tabs>
                <w:tab w:val="left" w:pos="2122"/>
              </w:tabs>
              <w:spacing w:line="283" w:lineRule="auto"/>
              <w:ind w:firstLine="0"/>
              <w:rPr>
                <w:sz w:val="16"/>
                <w:szCs w:val="16"/>
              </w:rPr>
            </w:pPr>
            <w:r>
              <w:rPr>
                <w:rFonts w:ascii="Times New Roman" w:eastAsia="Times New Roman" w:hAnsi="Times New Roman" w:cs="Times New Roman"/>
                <w:color w:val="000000"/>
                <w:sz w:val="16"/>
                <w:szCs w:val="16"/>
              </w:rPr>
              <w:t>100-150 mg en 3 dosis</w:t>
            </w:r>
            <w:r>
              <w:rPr>
                <w:rFonts w:ascii="Times New Roman" w:eastAsia="Times New Roman" w:hAnsi="Times New Roman" w:cs="Times New Roman"/>
                <w:color w:val="000000"/>
                <w:sz w:val="16"/>
                <w:szCs w:val="16"/>
              </w:rPr>
              <w:tab/>
              <w:t>...</w:t>
            </w:r>
          </w:p>
          <w:p w14:paraId="0DA24AFF" w14:textId="77777777" w:rsidR="00924992" w:rsidRDefault="00924992">
            <w:pPr>
              <w:pStyle w:val="Other0"/>
              <w:framePr w:w="6125" w:h="3043" w:wrap="none" w:hAnchor="page" w:x="5751" w:y="2363"/>
              <w:spacing w:line="283" w:lineRule="auto"/>
              <w:ind w:left="140" w:firstLine="0"/>
              <w:rPr>
                <w:sz w:val="16"/>
                <w:szCs w:val="16"/>
              </w:rPr>
            </w:pPr>
            <w:r>
              <w:rPr>
                <w:rFonts w:ascii="Times New Roman" w:eastAsia="Times New Roman" w:hAnsi="Times New Roman" w:cs="Times New Roman"/>
                <w:color w:val="000000"/>
                <w:sz w:val="16"/>
                <w:szCs w:val="16"/>
              </w:rPr>
              <w:t>(dosis diaria del adulto, 4-6 g) Inapropiado</w:t>
            </w:r>
          </w:p>
        </w:tc>
      </w:tr>
      <w:tr w:rsidR="00924992" w14:paraId="51650E94" w14:textId="77777777">
        <w:tblPrEx>
          <w:tblCellMar>
            <w:top w:w="0" w:type="dxa"/>
            <w:bottom w:w="0" w:type="dxa"/>
          </w:tblCellMar>
        </w:tblPrEx>
        <w:trPr>
          <w:trHeight w:hRule="exact" w:val="1296"/>
        </w:trPr>
        <w:tc>
          <w:tcPr>
            <w:tcW w:w="2098" w:type="dxa"/>
            <w:shd w:val="clear" w:color="auto" w:fill="FFFFFF"/>
          </w:tcPr>
          <w:p w14:paraId="48AA6B91" w14:textId="77777777" w:rsidR="00924992" w:rsidRDefault="00924992">
            <w:pPr>
              <w:pStyle w:val="Other0"/>
              <w:framePr w:w="6125" w:h="3043" w:wrap="none" w:hAnchor="page" w:x="5751" w:y="2363"/>
              <w:spacing w:before="100" w:line="283" w:lineRule="auto"/>
              <w:ind w:firstLine="0"/>
              <w:rPr>
                <w:sz w:val="16"/>
                <w:szCs w:val="16"/>
              </w:rPr>
            </w:pPr>
            <w:r>
              <w:rPr>
                <w:rFonts w:ascii="Times New Roman" w:eastAsia="Times New Roman" w:hAnsi="Times New Roman" w:cs="Times New Roman"/>
                <w:color w:val="000000"/>
                <w:sz w:val="16"/>
                <w:szCs w:val="16"/>
              </w:rPr>
              <w:t>20-30 mg en 2 dosis (dosis diaria del adulto, 1-2 g)</w:t>
            </w:r>
          </w:p>
        </w:tc>
        <w:tc>
          <w:tcPr>
            <w:tcW w:w="2136" w:type="dxa"/>
            <w:shd w:val="clear" w:color="auto" w:fill="FFFFFF"/>
          </w:tcPr>
          <w:p w14:paraId="4CED6E1F" w14:textId="77777777" w:rsidR="00924992" w:rsidRDefault="00924992">
            <w:pPr>
              <w:framePr w:w="6125" w:h="3043" w:wrap="none" w:hAnchor="page" w:x="5751" w:y="2363"/>
              <w:rPr>
                <w:sz w:val="10"/>
                <w:szCs w:val="10"/>
              </w:rPr>
            </w:pPr>
          </w:p>
        </w:tc>
        <w:tc>
          <w:tcPr>
            <w:tcW w:w="1891" w:type="dxa"/>
            <w:shd w:val="clear" w:color="auto" w:fill="FFFFFF"/>
            <w:vAlign w:val="center"/>
          </w:tcPr>
          <w:p w14:paraId="4BA669F0" w14:textId="77777777" w:rsidR="00924992" w:rsidRDefault="00924992">
            <w:pPr>
              <w:pStyle w:val="Other0"/>
              <w:framePr w:w="6125" w:h="3043" w:wrap="none" w:hAnchor="page" w:x="5751" w:y="2363"/>
              <w:spacing w:line="283" w:lineRule="auto"/>
              <w:ind w:firstLine="0"/>
              <w:jc w:val="center"/>
              <w:rPr>
                <w:sz w:val="16"/>
                <w:szCs w:val="16"/>
              </w:rPr>
            </w:pPr>
            <w:r>
              <w:rPr>
                <w:rFonts w:ascii="Times New Roman" w:eastAsia="Times New Roman" w:hAnsi="Times New Roman" w:cs="Times New Roman"/>
                <w:color w:val="000000"/>
                <w:sz w:val="16"/>
                <w:szCs w:val="16"/>
              </w:rPr>
              <w:t>Dosis recomendada para tratar otitis media.</w:t>
            </w:r>
          </w:p>
          <w:p w14:paraId="4A3AEB63" w14:textId="77777777" w:rsidR="00924992" w:rsidRDefault="00924992">
            <w:pPr>
              <w:pStyle w:val="Other0"/>
              <w:framePr w:w="6125" w:h="3043" w:wrap="none" w:hAnchor="page" w:x="5751" w:y="2363"/>
              <w:spacing w:line="283" w:lineRule="auto"/>
              <w:ind w:left="140" w:firstLine="0"/>
              <w:rPr>
                <w:sz w:val="16"/>
                <w:szCs w:val="16"/>
              </w:rPr>
            </w:pPr>
            <w:r>
              <w:rPr>
                <w:rFonts w:ascii="Times New Roman" w:eastAsia="Times New Roman" w:hAnsi="Times New Roman" w:cs="Times New Roman"/>
                <w:color w:val="000000"/>
                <w:sz w:val="16"/>
                <w:szCs w:val="16"/>
              </w:rPr>
              <w:t xml:space="preserve">Actividad escasa contra </w:t>
            </w:r>
            <w:r>
              <w:rPr>
                <w:rFonts w:ascii="Times New Roman" w:eastAsia="Times New Roman" w:hAnsi="Times New Roman" w:cs="Times New Roman"/>
                <w:i/>
                <w:iCs/>
                <w:color w:val="000000"/>
                <w:sz w:val="16"/>
                <w:szCs w:val="16"/>
              </w:rPr>
              <w:t xml:space="preserve">Streptococcus pneumoniae </w:t>
            </w:r>
            <w:r>
              <w:rPr>
                <w:rFonts w:ascii="Times New Roman" w:eastAsia="Times New Roman" w:hAnsi="Times New Roman" w:cs="Times New Roman"/>
                <w:color w:val="000000"/>
                <w:sz w:val="16"/>
                <w:szCs w:val="16"/>
              </w:rPr>
              <w:t>resistente a penicilina.</w:t>
            </w:r>
          </w:p>
        </w:tc>
      </w:tr>
      <w:tr w:rsidR="00924992" w14:paraId="739B28FE" w14:textId="77777777">
        <w:tblPrEx>
          <w:tblCellMar>
            <w:top w:w="0" w:type="dxa"/>
            <w:bottom w:w="0" w:type="dxa"/>
          </w:tblCellMar>
        </w:tblPrEx>
        <w:trPr>
          <w:trHeight w:hRule="exact" w:val="984"/>
        </w:trPr>
        <w:tc>
          <w:tcPr>
            <w:tcW w:w="2098" w:type="dxa"/>
            <w:shd w:val="clear" w:color="auto" w:fill="FFFFFF"/>
            <w:vAlign w:val="bottom"/>
          </w:tcPr>
          <w:p w14:paraId="2CED26E6" w14:textId="77777777" w:rsidR="00924992" w:rsidRDefault="00924992">
            <w:pPr>
              <w:pStyle w:val="Other0"/>
              <w:framePr w:w="6125" w:h="3043" w:wrap="none" w:hAnchor="page" w:x="5751" w:y="2363"/>
              <w:spacing w:line="283" w:lineRule="auto"/>
              <w:ind w:firstLine="0"/>
              <w:rPr>
                <w:sz w:val="16"/>
                <w:szCs w:val="16"/>
              </w:rPr>
            </w:pPr>
            <w:r>
              <w:rPr>
                <w:rFonts w:ascii="Times New Roman" w:eastAsia="Times New Roman" w:hAnsi="Times New Roman" w:cs="Times New Roman"/>
                <w:color w:val="000000"/>
                <w:sz w:val="16"/>
                <w:szCs w:val="16"/>
              </w:rPr>
              <w:t>30 mg en otitis media y</w:t>
            </w:r>
          </w:p>
          <w:p w14:paraId="20FA04F2" w14:textId="77777777" w:rsidR="00924992" w:rsidRDefault="00924992">
            <w:pPr>
              <w:pStyle w:val="Other0"/>
              <w:framePr w:w="6125" w:h="3043" w:wrap="none" w:hAnchor="page" w:x="5751" w:y="2363"/>
              <w:spacing w:line="283" w:lineRule="auto"/>
              <w:ind w:firstLine="0"/>
              <w:rPr>
                <w:sz w:val="16"/>
                <w:szCs w:val="16"/>
              </w:rPr>
            </w:pPr>
            <w:r>
              <w:rPr>
                <w:rFonts w:ascii="Times New Roman" w:eastAsia="Times New Roman" w:hAnsi="Times New Roman" w:cs="Times New Roman"/>
                <w:color w:val="000000"/>
                <w:sz w:val="16"/>
                <w:szCs w:val="16"/>
              </w:rPr>
              <w:t>15 mg en otras indicaciones, en 2 dosis (dosis diaria máxima del adulto, 800 mg)</w:t>
            </w:r>
          </w:p>
        </w:tc>
        <w:tc>
          <w:tcPr>
            <w:tcW w:w="2136" w:type="dxa"/>
            <w:shd w:val="clear" w:color="auto" w:fill="FFFFFF"/>
          </w:tcPr>
          <w:p w14:paraId="329C8504" w14:textId="77777777" w:rsidR="00924992" w:rsidRDefault="00924992">
            <w:pPr>
              <w:pStyle w:val="Other0"/>
              <w:framePr w:w="6125" w:h="3043" w:wrap="none" w:hAnchor="page" w:x="5751" w:y="2363"/>
              <w:spacing w:before="100" w:line="240" w:lineRule="auto"/>
              <w:ind w:firstLine="0"/>
              <w:rPr>
                <w:sz w:val="16"/>
                <w:szCs w:val="16"/>
              </w:rPr>
            </w:pPr>
            <w:r>
              <w:rPr>
                <w:rFonts w:ascii="Times New Roman" w:eastAsia="Times New Roman" w:hAnsi="Times New Roman" w:cs="Times New Roman"/>
                <w:color w:val="000000"/>
                <w:sz w:val="16"/>
                <w:szCs w:val="16"/>
              </w:rPr>
              <w:t>Inapropiada</w:t>
            </w:r>
          </w:p>
        </w:tc>
        <w:tc>
          <w:tcPr>
            <w:tcW w:w="1891" w:type="dxa"/>
            <w:shd w:val="clear" w:color="auto" w:fill="FFFFFF"/>
          </w:tcPr>
          <w:p w14:paraId="39A7C0C5" w14:textId="77777777" w:rsidR="00924992" w:rsidRDefault="00924992">
            <w:pPr>
              <w:framePr w:w="6125" w:h="3043" w:wrap="none" w:hAnchor="page" w:x="5751" w:y="2363"/>
              <w:rPr>
                <w:sz w:val="10"/>
                <w:szCs w:val="10"/>
              </w:rPr>
            </w:pPr>
          </w:p>
        </w:tc>
      </w:tr>
    </w:tbl>
    <w:p w14:paraId="228099E7" w14:textId="77777777" w:rsidR="00924992" w:rsidRDefault="00924992">
      <w:pPr>
        <w:framePr w:w="6125" w:h="3043" w:wrap="none" w:hAnchor="page" w:x="5751" w:y="2363"/>
        <w:spacing w:line="1" w:lineRule="exact"/>
      </w:pPr>
    </w:p>
    <w:p w14:paraId="3A9CEFAF" w14:textId="77777777" w:rsidR="00924992" w:rsidRDefault="00924992">
      <w:pPr>
        <w:pStyle w:val="Bodytext20"/>
        <w:framePr w:w="3149" w:h="226" w:wrap="none" w:hAnchor="page" w:x="683" w:y="5603"/>
        <w:tabs>
          <w:tab w:val="left" w:pos="2592"/>
        </w:tabs>
        <w:spacing w:line="240" w:lineRule="auto"/>
      </w:pPr>
      <w:r>
        <w:rPr>
          <w:b/>
          <w:bCs/>
          <w:color w:val="000000"/>
        </w:rPr>
        <w:t>Clindamicina (Cleocin)</w:t>
      </w:r>
      <w:r>
        <w:rPr>
          <w:b/>
          <w:bCs/>
          <w:color w:val="000000"/>
        </w:rPr>
        <w:tab/>
      </w:r>
      <w:r>
        <w:rPr>
          <w:color w:val="000000"/>
        </w:rPr>
        <w:t>IM, IV</w:t>
      </w:r>
    </w:p>
    <w:p w14:paraId="31A3F254" w14:textId="77777777" w:rsidR="00924992" w:rsidRDefault="00924992">
      <w:pPr>
        <w:pStyle w:val="Bodytext20"/>
        <w:framePr w:w="1762" w:h="677" w:wrap="none" w:hAnchor="page" w:x="5766" w:y="5603"/>
        <w:jc w:val="center"/>
      </w:pPr>
      <w:r>
        <w:rPr>
          <w:color w:val="000000"/>
        </w:rPr>
        <w:t>15-25 mg en 3 a 4 dosis</w:t>
      </w:r>
      <w:r>
        <w:rPr>
          <w:color w:val="000000"/>
        </w:rPr>
        <w:br/>
        <w:t>(dosis diaria del adulto,</w:t>
      </w:r>
    </w:p>
    <w:p w14:paraId="79944D9D" w14:textId="77777777" w:rsidR="00924992" w:rsidRDefault="00924992">
      <w:pPr>
        <w:pStyle w:val="Bodytext20"/>
        <w:framePr w:w="1762" w:h="677" w:wrap="none" w:hAnchor="page" w:x="5766" w:y="5603"/>
      </w:pPr>
      <w:r>
        <w:rPr>
          <w:color w:val="000000"/>
        </w:rPr>
        <w:t>600 mg-3.6 g)</w:t>
      </w:r>
    </w:p>
    <w:p w14:paraId="49727CB7" w14:textId="77777777" w:rsidR="00924992" w:rsidRDefault="00924992">
      <w:pPr>
        <w:pStyle w:val="Bodytext20"/>
        <w:framePr w:w="1771" w:h="686" w:wrap="none" w:hAnchor="page" w:x="7883" w:y="5603"/>
        <w:jc w:val="center"/>
      </w:pPr>
      <w:r>
        <w:rPr>
          <w:color w:val="000000"/>
        </w:rPr>
        <w:t>25-40 mg en 3 a 4 dosis</w:t>
      </w:r>
      <w:r>
        <w:rPr>
          <w:color w:val="000000"/>
        </w:rPr>
        <w:br/>
        <w:t>(dosis diaria del adulto,</w:t>
      </w:r>
    </w:p>
    <w:p w14:paraId="48275BE9" w14:textId="77777777" w:rsidR="00924992" w:rsidRDefault="00924992">
      <w:pPr>
        <w:pStyle w:val="Bodytext20"/>
        <w:framePr w:w="1771" w:h="686" w:wrap="none" w:hAnchor="page" w:x="7883" w:y="5603"/>
      </w:pPr>
      <w:r>
        <w:rPr>
          <w:color w:val="000000"/>
        </w:rPr>
        <w:t>1.2-2.7 g)</w:t>
      </w:r>
    </w:p>
    <w:p w14:paraId="28FDD4E9" w14:textId="77777777" w:rsidR="00924992" w:rsidRDefault="00924992">
      <w:pPr>
        <w:pStyle w:val="Bodytext20"/>
        <w:framePr w:w="1930" w:h="1325" w:wrap="none" w:hAnchor="page" w:x="10004" w:y="5603"/>
      </w:pPr>
      <w:r>
        <w:rPr>
          <w:color w:val="000000"/>
        </w:rPr>
        <w:t xml:space="preserve">Activo contra anaerobios, en particular especies de </w:t>
      </w:r>
      <w:r>
        <w:rPr>
          <w:i/>
          <w:iCs/>
          <w:color w:val="000000"/>
        </w:rPr>
        <w:t>Bacteroides.</w:t>
      </w:r>
      <w:r>
        <w:rPr>
          <w:color w:val="000000"/>
        </w:rPr>
        <w:t xml:space="preserve"> Activo contra muchos neumococos resistentes a múltiples fármacos.</w:t>
      </w:r>
    </w:p>
    <w:p w14:paraId="2CDDAB43" w14:textId="77777777" w:rsidR="00924992" w:rsidRDefault="00924992">
      <w:pPr>
        <w:pStyle w:val="Bodytext80"/>
        <w:framePr w:w="168" w:h="4954" w:hRule="exact" w:wrap="none" w:hAnchor="page" w:x="12390" w:y="1964"/>
        <w:tabs>
          <w:tab w:val="left" w:pos="4637"/>
        </w:tabs>
        <w:textDirection w:val="tbRl"/>
        <w:rPr>
          <w:sz w:val="16"/>
          <w:szCs w:val="16"/>
        </w:rPr>
      </w:pPr>
      <w:r>
        <w:t>CUADROS DE DOSIS DE ANTIMICROBIANOS</w:t>
      </w:r>
      <w:r>
        <w:tab/>
      </w:r>
      <w:r>
        <w:rPr>
          <w:sz w:val="16"/>
          <w:szCs w:val="16"/>
        </w:rPr>
        <w:t>737</w:t>
      </w:r>
    </w:p>
    <w:p w14:paraId="4F000128" w14:textId="77777777" w:rsidR="00924992" w:rsidRDefault="00924992">
      <w:pPr>
        <w:spacing w:line="360" w:lineRule="exact"/>
      </w:pPr>
    </w:p>
    <w:p w14:paraId="4E3930E0" w14:textId="77777777" w:rsidR="00924992" w:rsidRDefault="00924992">
      <w:pPr>
        <w:spacing w:line="360" w:lineRule="exact"/>
      </w:pPr>
    </w:p>
    <w:p w14:paraId="0314D6F2" w14:textId="77777777" w:rsidR="00924992" w:rsidRDefault="00924992">
      <w:pPr>
        <w:spacing w:line="360" w:lineRule="exact"/>
      </w:pPr>
    </w:p>
    <w:p w14:paraId="5186C606" w14:textId="77777777" w:rsidR="00924992" w:rsidRDefault="00924992">
      <w:pPr>
        <w:spacing w:line="360" w:lineRule="exact"/>
      </w:pPr>
    </w:p>
    <w:p w14:paraId="3A67B24B" w14:textId="77777777" w:rsidR="00924992" w:rsidRDefault="00924992">
      <w:pPr>
        <w:spacing w:line="360" w:lineRule="exact"/>
      </w:pPr>
    </w:p>
    <w:p w14:paraId="372FB71F" w14:textId="77777777" w:rsidR="00924992" w:rsidRDefault="00924992">
      <w:pPr>
        <w:spacing w:line="360" w:lineRule="exact"/>
      </w:pPr>
    </w:p>
    <w:p w14:paraId="3C90EBDD" w14:textId="77777777" w:rsidR="00924992" w:rsidRDefault="00924992">
      <w:pPr>
        <w:spacing w:line="360" w:lineRule="exact"/>
      </w:pPr>
    </w:p>
    <w:p w14:paraId="1EB561B1" w14:textId="77777777" w:rsidR="00924992" w:rsidRDefault="00924992">
      <w:pPr>
        <w:spacing w:line="360" w:lineRule="exact"/>
      </w:pPr>
    </w:p>
    <w:p w14:paraId="2F718610" w14:textId="77777777" w:rsidR="00924992" w:rsidRDefault="00924992">
      <w:pPr>
        <w:spacing w:line="360" w:lineRule="exact"/>
      </w:pPr>
    </w:p>
    <w:p w14:paraId="3130E795" w14:textId="77777777" w:rsidR="00924992" w:rsidRDefault="00924992">
      <w:pPr>
        <w:spacing w:line="360" w:lineRule="exact"/>
      </w:pPr>
    </w:p>
    <w:p w14:paraId="3C311BD1" w14:textId="77777777" w:rsidR="00924992" w:rsidRDefault="00924992">
      <w:pPr>
        <w:spacing w:line="360" w:lineRule="exact"/>
      </w:pPr>
    </w:p>
    <w:p w14:paraId="4304EEDA" w14:textId="77777777" w:rsidR="00924992" w:rsidRDefault="00924992">
      <w:pPr>
        <w:spacing w:line="360" w:lineRule="exact"/>
      </w:pPr>
    </w:p>
    <w:p w14:paraId="2F4BF770" w14:textId="77777777" w:rsidR="00924992" w:rsidRDefault="00924992">
      <w:pPr>
        <w:spacing w:line="360" w:lineRule="exact"/>
      </w:pPr>
    </w:p>
    <w:p w14:paraId="10606027" w14:textId="77777777" w:rsidR="00924992" w:rsidRDefault="00924992">
      <w:pPr>
        <w:spacing w:line="360" w:lineRule="exact"/>
      </w:pPr>
    </w:p>
    <w:p w14:paraId="5C557130" w14:textId="77777777" w:rsidR="00924992" w:rsidRDefault="00924992">
      <w:pPr>
        <w:spacing w:line="360" w:lineRule="exact"/>
      </w:pPr>
    </w:p>
    <w:p w14:paraId="54E4210B" w14:textId="77777777" w:rsidR="00924992" w:rsidRDefault="00924992">
      <w:pPr>
        <w:spacing w:line="360" w:lineRule="exact"/>
      </w:pPr>
    </w:p>
    <w:p w14:paraId="4ED47E55" w14:textId="77777777" w:rsidR="00924992" w:rsidRDefault="00924992">
      <w:pPr>
        <w:spacing w:line="360" w:lineRule="exact"/>
      </w:pPr>
    </w:p>
    <w:p w14:paraId="48FF6CD4" w14:textId="77777777" w:rsidR="00924992" w:rsidRDefault="00924992">
      <w:pPr>
        <w:spacing w:line="360" w:lineRule="exact"/>
      </w:pPr>
    </w:p>
    <w:p w14:paraId="09FED4B7" w14:textId="77777777" w:rsidR="00924992" w:rsidRDefault="00924992">
      <w:pPr>
        <w:spacing w:after="445" w:line="1" w:lineRule="exact"/>
      </w:pPr>
    </w:p>
    <w:p w14:paraId="10331FD7" w14:textId="77777777" w:rsidR="00924992" w:rsidRDefault="00924992">
      <w:pPr>
        <w:spacing w:line="1" w:lineRule="exact"/>
        <w:sectPr w:rsidR="00924992" w:rsidSect="00924992">
          <w:pgSz w:w="13022" w:h="8501" w:orient="landscape"/>
          <w:pgMar w:top="1080" w:right="466" w:bottom="356" w:left="653" w:header="0" w:footer="3" w:gutter="0"/>
          <w:cols w:space="720"/>
          <w:noEndnote/>
          <w:docGrid w:linePitch="360"/>
          <w15:footnoteColumns w:val="1"/>
        </w:sectPr>
      </w:pPr>
    </w:p>
    <w:p w14:paraId="145926CB" w14:textId="77777777" w:rsidR="00924992" w:rsidRDefault="00924992">
      <w:pPr>
        <w:pStyle w:val="Heading31"/>
        <w:keepNext/>
        <w:keepLines/>
        <w:framePr w:w="8122" w:h="322" w:wrap="none" w:hAnchor="page" w:x="2286" w:y="1"/>
        <w:rPr>
          <w:sz w:val="16"/>
          <w:szCs w:val="16"/>
        </w:rPr>
      </w:pPr>
      <w:bookmarkStart w:id="282" w:name="bookmark1728"/>
      <w:bookmarkStart w:id="283" w:name="bookmark1729"/>
      <w:bookmarkStart w:id="284" w:name="bookmark1730"/>
      <w:r>
        <w:rPr>
          <w:b w:val="0"/>
          <w:bCs w:val="0"/>
          <w:color w:val="000000"/>
        </w:rPr>
        <w:t xml:space="preserve">Cuadro 4-2. </w:t>
      </w:r>
      <w:r>
        <w:rPr>
          <w:color w:val="000000"/>
        </w:rPr>
        <w:t xml:space="preserve">Empleo de antibacterianos en niños después del periodo neonatal </w:t>
      </w:r>
      <w:r>
        <w:rPr>
          <w:rFonts w:ascii="Times New Roman" w:eastAsia="Times New Roman" w:hAnsi="Times New Roman" w:cs="Times New Roman"/>
          <w:b w:val="0"/>
          <w:bCs w:val="0"/>
          <w:i/>
          <w:iCs/>
          <w:color w:val="000000"/>
          <w:w w:val="100"/>
          <w:sz w:val="16"/>
          <w:szCs w:val="16"/>
        </w:rPr>
        <w:t>continuación</w:t>
      </w:r>
      <w:bookmarkEnd w:id="282"/>
      <w:bookmarkEnd w:id="283"/>
      <w:bookmarkEnd w:id="284"/>
    </w:p>
    <w:tbl>
      <w:tblPr>
        <w:tblOverlap w:val="never"/>
        <w:tblW w:w="0" w:type="auto"/>
        <w:tblLayout w:type="fixed"/>
        <w:tblCellMar>
          <w:left w:w="10" w:type="dxa"/>
          <w:right w:w="10" w:type="dxa"/>
        </w:tblCellMar>
        <w:tblLook w:val="04A0" w:firstRow="1" w:lastRow="0" w:firstColumn="1" w:lastColumn="0" w:noHBand="0" w:noVBand="1"/>
      </w:tblPr>
      <w:tblGrid>
        <w:gridCol w:w="2477"/>
        <w:gridCol w:w="2328"/>
        <w:gridCol w:w="2266"/>
        <w:gridCol w:w="2131"/>
        <w:gridCol w:w="2242"/>
      </w:tblGrid>
      <w:tr w:rsidR="00924992" w14:paraId="0D5F749C" w14:textId="77777777">
        <w:tblPrEx>
          <w:tblCellMar>
            <w:top w:w="0" w:type="dxa"/>
            <w:bottom w:w="0" w:type="dxa"/>
          </w:tblCellMar>
        </w:tblPrEx>
        <w:trPr>
          <w:trHeight w:hRule="exact" w:val="854"/>
        </w:trPr>
        <w:tc>
          <w:tcPr>
            <w:tcW w:w="2477" w:type="dxa"/>
            <w:shd w:val="clear" w:color="auto" w:fill="000000"/>
          </w:tcPr>
          <w:p w14:paraId="3B31E940" w14:textId="77777777" w:rsidR="00924992" w:rsidRDefault="00924992">
            <w:pPr>
              <w:pStyle w:val="Other0"/>
              <w:framePr w:w="11443" w:h="2664" w:wrap="none" w:hAnchor="page" w:x="625" w:y="366"/>
              <w:pBdr>
                <w:top w:val="single" w:sz="0" w:space="0" w:color="000000"/>
                <w:left w:val="single" w:sz="0" w:space="0" w:color="000000"/>
                <w:bottom w:val="single" w:sz="0" w:space="0" w:color="000000"/>
                <w:right w:val="single" w:sz="0" w:space="0" w:color="000000"/>
              </w:pBdr>
              <w:shd w:val="clear" w:color="auto" w:fill="000000"/>
              <w:spacing w:line="211" w:lineRule="auto"/>
              <w:ind w:firstLine="0"/>
              <w:rPr>
                <w:sz w:val="24"/>
                <w:szCs w:val="24"/>
              </w:rPr>
            </w:pPr>
            <w:r>
              <w:rPr>
                <w:rFonts w:ascii="Arial" w:eastAsia="Arial" w:hAnsi="Arial" w:cs="Arial"/>
                <w:b/>
                <w:bCs/>
                <w:color w:val="FFFFFF"/>
                <w:w w:val="70"/>
                <w:sz w:val="24"/>
                <w:szCs w:val="24"/>
              </w:rPr>
              <w:t>Dosis por kg de peso al día Fármaco, nombre genérico (y comercial)</w:t>
            </w:r>
          </w:p>
        </w:tc>
        <w:tc>
          <w:tcPr>
            <w:tcW w:w="2328" w:type="dxa"/>
            <w:shd w:val="clear" w:color="auto" w:fill="000000"/>
            <w:vAlign w:val="center"/>
          </w:tcPr>
          <w:p w14:paraId="04CE1C3D" w14:textId="77777777" w:rsidR="00924992" w:rsidRDefault="00924992">
            <w:pPr>
              <w:pStyle w:val="Other0"/>
              <w:framePr w:w="11443" w:h="2664" w:wrap="none" w:hAnchor="page" w:x="625" w:y="366"/>
              <w:pBdr>
                <w:top w:val="single" w:sz="0" w:space="0" w:color="000000"/>
                <w:left w:val="single" w:sz="0" w:space="0" w:color="000000"/>
                <w:bottom w:val="single" w:sz="0" w:space="0" w:color="000000"/>
                <w:right w:val="single" w:sz="0" w:space="0" w:color="000000"/>
              </w:pBdr>
              <w:shd w:val="clear" w:color="auto" w:fill="000000"/>
              <w:spacing w:line="240" w:lineRule="auto"/>
              <w:ind w:firstLine="180"/>
              <w:rPr>
                <w:sz w:val="24"/>
                <w:szCs w:val="24"/>
              </w:rPr>
            </w:pPr>
            <w:r>
              <w:rPr>
                <w:rFonts w:ascii="Arial" w:eastAsia="Arial" w:hAnsi="Arial" w:cs="Arial"/>
                <w:b/>
                <w:bCs/>
                <w:color w:val="FFFFFF"/>
                <w:w w:val="70"/>
                <w:sz w:val="24"/>
                <w:szCs w:val="24"/>
              </w:rPr>
              <w:t>Vía de administración</w:t>
            </w:r>
          </w:p>
        </w:tc>
        <w:tc>
          <w:tcPr>
            <w:tcW w:w="2266" w:type="dxa"/>
            <w:shd w:val="clear" w:color="auto" w:fill="000000"/>
            <w:vAlign w:val="bottom"/>
          </w:tcPr>
          <w:p w14:paraId="721DF76B" w14:textId="77777777" w:rsidR="00924992" w:rsidRDefault="00924992">
            <w:pPr>
              <w:pStyle w:val="Other0"/>
              <w:framePr w:w="11443" w:h="2664" w:wrap="none" w:hAnchor="page" w:x="625" w:y="366"/>
              <w:pBdr>
                <w:top w:val="single" w:sz="0" w:space="0" w:color="000000"/>
                <w:left w:val="single" w:sz="0" w:space="0" w:color="000000"/>
                <w:bottom w:val="single" w:sz="0" w:space="0" w:color="000000"/>
                <w:right w:val="single" w:sz="0" w:space="0" w:color="000000"/>
              </w:pBdr>
              <w:shd w:val="clear" w:color="auto" w:fill="000000"/>
              <w:spacing w:line="214" w:lineRule="auto"/>
              <w:ind w:left="340" w:firstLine="0"/>
              <w:rPr>
                <w:sz w:val="24"/>
                <w:szCs w:val="24"/>
              </w:rPr>
            </w:pPr>
            <w:r>
              <w:rPr>
                <w:rFonts w:ascii="Arial" w:eastAsia="Arial" w:hAnsi="Arial" w:cs="Arial"/>
                <w:b/>
                <w:bCs/>
                <w:color w:val="FFFFFF"/>
                <w:w w:val="70"/>
                <w:sz w:val="24"/>
                <w:szCs w:val="24"/>
              </w:rPr>
              <w:t>Infecciones leves o moderadas</w:t>
            </w:r>
          </w:p>
        </w:tc>
        <w:tc>
          <w:tcPr>
            <w:tcW w:w="2131" w:type="dxa"/>
            <w:shd w:val="clear" w:color="auto" w:fill="000000"/>
            <w:vAlign w:val="center"/>
          </w:tcPr>
          <w:p w14:paraId="02A9CAF9" w14:textId="77777777" w:rsidR="00924992" w:rsidRDefault="00924992">
            <w:pPr>
              <w:pStyle w:val="Other0"/>
              <w:framePr w:w="11443" w:h="2664" w:wrap="none" w:hAnchor="page" w:x="625" w:y="366"/>
              <w:pBdr>
                <w:top w:val="single" w:sz="0" w:space="0" w:color="000000"/>
                <w:left w:val="single" w:sz="0" w:space="0" w:color="000000"/>
                <w:bottom w:val="single" w:sz="0" w:space="0" w:color="000000"/>
                <w:right w:val="single" w:sz="0" w:space="0" w:color="000000"/>
              </w:pBdr>
              <w:shd w:val="clear" w:color="auto" w:fill="000000"/>
              <w:spacing w:line="240" w:lineRule="auto"/>
              <w:ind w:firstLine="200"/>
              <w:rPr>
                <w:sz w:val="24"/>
                <w:szCs w:val="24"/>
              </w:rPr>
            </w:pPr>
            <w:r>
              <w:rPr>
                <w:rFonts w:ascii="Arial" w:eastAsia="Arial" w:hAnsi="Arial" w:cs="Arial"/>
                <w:b/>
                <w:bCs/>
                <w:color w:val="FFFFFF"/>
                <w:w w:val="70"/>
                <w:sz w:val="24"/>
                <w:szCs w:val="24"/>
              </w:rPr>
              <w:t>Infecciones graves</w:t>
            </w:r>
          </w:p>
        </w:tc>
        <w:tc>
          <w:tcPr>
            <w:tcW w:w="2242" w:type="dxa"/>
            <w:shd w:val="clear" w:color="auto" w:fill="000000"/>
            <w:vAlign w:val="center"/>
          </w:tcPr>
          <w:p w14:paraId="46DC52C0" w14:textId="77777777" w:rsidR="00924992" w:rsidRDefault="00924992">
            <w:pPr>
              <w:pStyle w:val="Other0"/>
              <w:framePr w:w="11443" w:h="2664" w:wrap="none" w:hAnchor="page" w:x="625" w:y="366"/>
              <w:pBdr>
                <w:top w:val="single" w:sz="0" w:space="0" w:color="000000"/>
                <w:left w:val="single" w:sz="0" w:space="0" w:color="000000"/>
                <w:bottom w:val="single" w:sz="0" w:space="0" w:color="000000"/>
                <w:right w:val="single" w:sz="0" w:space="0" w:color="000000"/>
              </w:pBdr>
              <w:shd w:val="clear" w:color="auto" w:fill="000000"/>
              <w:spacing w:line="240" w:lineRule="auto"/>
              <w:ind w:firstLine="200"/>
              <w:rPr>
                <w:sz w:val="24"/>
                <w:szCs w:val="24"/>
              </w:rPr>
            </w:pPr>
            <w:r>
              <w:rPr>
                <w:rFonts w:ascii="Arial" w:eastAsia="Arial" w:hAnsi="Arial" w:cs="Arial"/>
                <w:b/>
                <w:bCs/>
                <w:color w:val="FFFFFF"/>
                <w:w w:val="70"/>
                <w:sz w:val="24"/>
                <w:szCs w:val="24"/>
              </w:rPr>
              <w:t>Comentarios</w:t>
            </w:r>
          </w:p>
        </w:tc>
      </w:tr>
      <w:tr w:rsidR="00924992" w14:paraId="12BC2AFC" w14:textId="77777777">
        <w:tblPrEx>
          <w:tblCellMar>
            <w:top w:w="0" w:type="dxa"/>
            <w:bottom w:w="0" w:type="dxa"/>
          </w:tblCellMar>
        </w:tblPrEx>
        <w:trPr>
          <w:trHeight w:hRule="exact" w:val="1147"/>
        </w:trPr>
        <w:tc>
          <w:tcPr>
            <w:tcW w:w="2477" w:type="dxa"/>
            <w:shd w:val="clear" w:color="auto" w:fill="FFFFFF"/>
            <w:vAlign w:val="bottom"/>
          </w:tcPr>
          <w:p w14:paraId="22093B86" w14:textId="77777777" w:rsidR="00924992" w:rsidRDefault="00924992">
            <w:pPr>
              <w:pStyle w:val="Other0"/>
              <w:framePr w:w="11443" w:h="2664" w:wrap="none" w:hAnchor="page" w:x="625" w:y="366"/>
              <w:spacing w:line="240" w:lineRule="auto"/>
              <w:ind w:firstLine="0"/>
              <w:rPr>
                <w:sz w:val="16"/>
                <w:szCs w:val="16"/>
              </w:rPr>
            </w:pPr>
            <w:r>
              <w:rPr>
                <w:rFonts w:ascii="Times New Roman" w:eastAsia="Times New Roman" w:hAnsi="Times New Roman" w:cs="Times New Roman"/>
                <w:b/>
                <w:bCs/>
                <w:color w:val="000000"/>
                <w:sz w:val="16"/>
                <w:szCs w:val="16"/>
              </w:rPr>
              <w:t xml:space="preserve">Cloranfenicol </w:t>
            </w:r>
            <w:r>
              <w:rPr>
                <w:rFonts w:ascii="Times New Roman" w:eastAsia="Times New Roman" w:hAnsi="Times New Roman" w:cs="Times New Roman"/>
                <w:color w:val="000000"/>
                <w:sz w:val="16"/>
                <w:szCs w:val="16"/>
              </w:rPr>
              <w:t>(Chloromycetin)</w:t>
            </w:r>
          </w:p>
        </w:tc>
        <w:tc>
          <w:tcPr>
            <w:tcW w:w="2328" w:type="dxa"/>
            <w:shd w:val="clear" w:color="auto" w:fill="FFFFFF"/>
          </w:tcPr>
          <w:p w14:paraId="573D35A8" w14:textId="77777777" w:rsidR="00924992" w:rsidRDefault="00924992">
            <w:pPr>
              <w:pStyle w:val="Other0"/>
              <w:framePr w:w="11443" w:h="2664" w:wrap="none" w:hAnchor="page" w:x="625" w:y="366"/>
              <w:spacing w:line="240" w:lineRule="auto"/>
              <w:ind w:firstLine="180"/>
              <w:rPr>
                <w:sz w:val="16"/>
                <w:szCs w:val="16"/>
              </w:rPr>
            </w:pPr>
            <w:r>
              <w:rPr>
                <w:rFonts w:ascii="Times New Roman" w:eastAsia="Times New Roman" w:hAnsi="Times New Roman" w:cs="Times New Roman"/>
                <w:color w:val="000000"/>
                <w:sz w:val="16"/>
                <w:szCs w:val="16"/>
              </w:rPr>
              <w:t>PO</w:t>
            </w:r>
          </w:p>
        </w:tc>
        <w:tc>
          <w:tcPr>
            <w:tcW w:w="2266" w:type="dxa"/>
            <w:shd w:val="clear" w:color="auto" w:fill="FFFFFF"/>
          </w:tcPr>
          <w:p w14:paraId="62404DCA" w14:textId="77777777" w:rsidR="00924992" w:rsidRDefault="00924992">
            <w:pPr>
              <w:pStyle w:val="Other0"/>
              <w:framePr w:w="11443" w:h="2664" w:wrap="none" w:hAnchor="page" w:x="625" w:y="366"/>
              <w:spacing w:line="283" w:lineRule="auto"/>
              <w:ind w:left="440" w:hanging="100"/>
              <w:rPr>
                <w:sz w:val="16"/>
                <w:szCs w:val="16"/>
              </w:rPr>
            </w:pPr>
            <w:r>
              <w:rPr>
                <w:rFonts w:ascii="Times New Roman" w:eastAsia="Times New Roman" w:hAnsi="Times New Roman" w:cs="Times New Roman"/>
                <w:color w:val="000000"/>
                <w:sz w:val="16"/>
                <w:szCs w:val="16"/>
              </w:rPr>
              <w:t>10-20 mg en 3 a 4 dosis (dosis diaria del adulto,</w:t>
            </w:r>
          </w:p>
          <w:p w14:paraId="57F51D77" w14:textId="77777777" w:rsidR="00924992" w:rsidRDefault="00924992">
            <w:pPr>
              <w:pStyle w:val="Other0"/>
              <w:framePr w:w="11443" w:h="2664" w:wrap="none" w:hAnchor="page" w:x="625" w:y="366"/>
              <w:spacing w:line="283" w:lineRule="auto"/>
              <w:ind w:firstLine="440"/>
              <w:rPr>
                <w:sz w:val="16"/>
                <w:szCs w:val="16"/>
              </w:rPr>
            </w:pPr>
            <w:r>
              <w:rPr>
                <w:rFonts w:ascii="Times New Roman" w:eastAsia="Times New Roman" w:hAnsi="Times New Roman" w:cs="Times New Roman"/>
                <w:color w:val="000000"/>
                <w:sz w:val="16"/>
                <w:szCs w:val="16"/>
              </w:rPr>
              <w:t>600 mg-1.8 g)</w:t>
            </w:r>
          </w:p>
        </w:tc>
        <w:tc>
          <w:tcPr>
            <w:tcW w:w="2131" w:type="dxa"/>
            <w:shd w:val="clear" w:color="auto" w:fill="FFFFFF"/>
          </w:tcPr>
          <w:p w14:paraId="71784B53" w14:textId="77777777" w:rsidR="00924992" w:rsidRDefault="00924992">
            <w:pPr>
              <w:pStyle w:val="Other0"/>
              <w:framePr w:w="11443" w:h="2664" w:wrap="none" w:hAnchor="page" w:x="625" w:y="366"/>
              <w:spacing w:line="240" w:lineRule="auto"/>
              <w:ind w:firstLine="200"/>
              <w:rPr>
                <w:sz w:val="16"/>
                <w:szCs w:val="16"/>
              </w:rPr>
            </w:pPr>
            <w:r>
              <w:rPr>
                <w:rFonts w:ascii="Times New Roman" w:eastAsia="Times New Roman" w:hAnsi="Times New Roman" w:cs="Times New Roman"/>
                <w:color w:val="000000"/>
                <w:sz w:val="16"/>
                <w:szCs w:val="16"/>
              </w:rPr>
              <w:t>Inapropiada</w:t>
            </w:r>
          </w:p>
        </w:tc>
        <w:tc>
          <w:tcPr>
            <w:tcW w:w="2242" w:type="dxa"/>
            <w:shd w:val="clear" w:color="auto" w:fill="FFFFFF"/>
            <w:vAlign w:val="center"/>
          </w:tcPr>
          <w:p w14:paraId="2EEE9AFA" w14:textId="77777777" w:rsidR="00924992" w:rsidRDefault="00924992">
            <w:pPr>
              <w:pStyle w:val="Other0"/>
              <w:framePr w:w="11443" w:h="2664" w:wrap="none" w:hAnchor="page" w:x="625" w:y="366"/>
              <w:spacing w:line="283" w:lineRule="auto"/>
              <w:ind w:left="300" w:hanging="100"/>
              <w:rPr>
                <w:sz w:val="16"/>
                <w:szCs w:val="16"/>
              </w:rPr>
            </w:pPr>
            <w:r>
              <w:rPr>
                <w:rFonts w:ascii="Times New Roman" w:eastAsia="Times New Roman" w:hAnsi="Times New Roman" w:cs="Times New Roman"/>
                <w:color w:val="000000"/>
                <w:sz w:val="16"/>
                <w:szCs w:val="16"/>
              </w:rPr>
              <w:t>Eficaz contra la otitis media causada por muchos neumococos resistentes a múltiples fármacos.</w:t>
            </w:r>
          </w:p>
        </w:tc>
      </w:tr>
      <w:tr w:rsidR="00924992" w14:paraId="3A20184F" w14:textId="77777777">
        <w:tblPrEx>
          <w:tblCellMar>
            <w:top w:w="0" w:type="dxa"/>
            <w:bottom w:w="0" w:type="dxa"/>
          </w:tblCellMar>
        </w:tblPrEx>
        <w:trPr>
          <w:trHeight w:hRule="exact" w:val="662"/>
        </w:trPr>
        <w:tc>
          <w:tcPr>
            <w:tcW w:w="2477" w:type="dxa"/>
            <w:shd w:val="clear" w:color="auto" w:fill="FFFFFF"/>
          </w:tcPr>
          <w:p w14:paraId="57C9C7EF" w14:textId="77777777" w:rsidR="00924992" w:rsidRDefault="00924992">
            <w:pPr>
              <w:pStyle w:val="Other0"/>
              <w:framePr w:w="11443" w:h="2664" w:wrap="none" w:hAnchor="page" w:x="625" w:y="366"/>
              <w:spacing w:line="240" w:lineRule="auto"/>
              <w:ind w:firstLine="0"/>
              <w:rPr>
                <w:sz w:val="16"/>
                <w:szCs w:val="16"/>
              </w:rPr>
            </w:pPr>
            <w:r>
              <w:rPr>
                <w:rFonts w:ascii="Times New Roman" w:eastAsia="Times New Roman" w:hAnsi="Times New Roman" w:cs="Times New Roman"/>
                <w:color w:val="000000"/>
                <w:sz w:val="16"/>
                <w:szCs w:val="16"/>
              </w:rPr>
              <w:t>Cloranfenicol, succinato</w:t>
            </w:r>
          </w:p>
        </w:tc>
        <w:tc>
          <w:tcPr>
            <w:tcW w:w="2328" w:type="dxa"/>
            <w:shd w:val="clear" w:color="auto" w:fill="FFFFFF"/>
          </w:tcPr>
          <w:p w14:paraId="7307F31D" w14:textId="77777777" w:rsidR="00924992" w:rsidRDefault="00924992">
            <w:pPr>
              <w:pStyle w:val="Other0"/>
              <w:framePr w:w="11443" w:h="2664" w:wrap="none" w:hAnchor="page" w:x="625" w:y="366"/>
              <w:spacing w:line="240" w:lineRule="auto"/>
              <w:ind w:firstLine="180"/>
              <w:rPr>
                <w:sz w:val="16"/>
                <w:szCs w:val="16"/>
              </w:rPr>
            </w:pPr>
            <w:r>
              <w:rPr>
                <w:rFonts w:ascii="Times New Roman" w:eastAsia="Times New Roman" w:hAnsi="Times New Roman" w:cs="Times New Roman"/>
                <w:color w:val="000000"/>
                <w:sz w:val="16"/>
                <w:szCs w:val="16"/>
              </w:rPr>
              <w:t>IV</w:t>
            </w:r>
          </w:p>
        </w:tc>
        <w:tc>
          <w:tcPr>
            <w:tcW w:w="2266" w:type="dxa"/>
            <w:shd w:val="clear" w:color="auto" w:fill="FFFFFF"/>
          </w:tcPr>
          <w:p w14:paraId="130690D4" w14:textId="77777777" w:rsidR="00924992" w:rsidRDefault="00924992">
            <w:pPr>
              <w:pStyle w:val="Other0"/>
              <w:framePr w:w="11443" w:h="2664" w:wrap="none" w:hAnchor="page" w:x="625" w:y="366"/>
              <w:spacing w:line="240" w:lineRule="auto"/>
              <w:ind w:firstLine="340"/>
              <w:rPr>
                <w:sz w:val="16"/>
                <w:szCs w:val="16"/>
              </w:rPr>
            </w:pPr>
            <w:r>
              <w:rPr>
                <w:rFonts w:ascii="Times New Roman" w:eastAsia="Times New Roman" w:hAnsi="Times New Roman" w:cs="Times New Roman"/>
                <w:color w:val="000000"/>
                <w:sz w:val="16"/>
                <w:szCs w:val="16"/>
              </w:rPr>
              <w:t>Inapropiado</w:t>
            </w:r>
          </w:p>
        </w:tc>
        <w:tc>
          <w:tcPr>
            <w:tcW w:w="2131" w:type="dxa"/>
            <w:shd w:val="clear" w:color="auto" w:fill="FFFFFF"/>
          </w:tcPr>
          <w:p w14:paraId="7DEEE110" w14:textId="77777777" w:rsidR="00924992" w:rsidRDefault="00924992">
            <w:pPr>
              <w:pStyle w:val="Other0"/>
              <w:framePr w:w="11443" w:h="2664" w:wrap="none" w:hAnchor="page" w:x="625" w:y="366"/>
              <w:spacing w:line="283" w:lineRule="auto"/>
              <w:ind w:left="300" w:hanging="100"/>
              <w:rPr>
                <w:sz w:val="16"/>
                <w:szCs w:val="16"/>
              </w:rPr>
            </w:pPr>
            <w:r>
              <w:rPr>
                <w:rFonts w:ascii="Times New Roman" w:eastAsia="Times New Roman" w:hAnsi="Times New Roman" w:cs="Times New Roman"/>
                <w:color w:val="000000"/>
                <w:sz w:val="16"/>
                <w:szCs w:val="16"/>
              </w:rPr>
              <w:t>50-100 mg en 4 dosis (dosis diaria del adulto,</w:t>
            </w:r>
          </w:p>
          <w:p w14:paraId="503D3107" w14:textId="77777777" w:rsidR="00924992" w:rsidRDefault="00924992">
            <w:pPr>
              <w:pStyle w:val="Other0"/>
              <w:framePr w:w="11443" w:h="2664" w:wrap="none" w:hAnchor="page" w:x="625" w:y="366"/>
              <w:spacing w:line="283" w:lineRule="auto"/>
              <w:ind w:firstLine="300"/>
              <w:rPr>
                <w:sz w:val="16"/>
                <w:szCs w:val="16"/>
              </w:rPr>
            </w:pPr>
            <w:r>
              <w:rPr>
                <w:rFonts w:ascii="Times New Roman" w:eastAsia="Times New Roman" w:hAnsi="Times New Roman" w:cs="Times New Roman"/>
                <w:color w:val="000000"/>
                <w:sz w:val="16"/>
                <w:szCs w:val="16"/>
              </w:rPr>
              <w:t>2-4 g)</w:t>
            </w:r>
          </w:p>
        </w:tc>
        <w:tc>
          <w:tcPr>
            <w:tcW w:w="2242" w:type="dxa"/>
            <w:shd w:val="clear" w:color="auto" w:fill="FFFFFF"/>
          </w:tcPr>
          <w:p w14:paraId="568EAA17" w14:textId="77777777" w:rsidR="00924992" w:rsidRDefault="00924992">
            <w:pPr>
              <w:pStyle w:val="Other0"/>
              <w:framePr w:w="11443" w:h="2664" w:wrap="none" w:hAnchor="page" w:x="625" w:y="366"/>
              <w:spacing w:line="283" w:lineRule="auto"/>
              <w:ind w:left="300" w:hanging="100"/>
              <w:rPr>
                <w:sz w:val="16"/>
                <w:szCs w:val="16"/>
              </w:rPr>
            </w:pPr>
            <w:r>
              <w:rPr>
                <w:rFonts w:ascii="Times New Roman" w:eastAsia="Times New Roman" w:hAnsi="Times New Roman" w:cs="Times New Roman"/>
                <w:color w:val="000000"/>
                <w:sz w:val="16"/>
                <w:szCs w:val="16"/>
              </w:rPr>
              <w:t>La dosis óptima se determina al medir las concentraciones séricas y</w:t>
            </w:r>
          </w:p>
        </w:tc>
      </w:tr>
    </w:tbl>
    <w:p w14:paraId="7C517460" w14:textId="77777777" w:rsidR="00924992" w:rsidRDefault="00924992">
      <w:pPr>
        <w:framePr w:w="11443" w:h="2664" w:wrap="none" w:hAnchor="page" w:x="625" w:y="366"/>
        <w:spacing w:line="1" w:lineRule="exact"/>
      </w:pPr>
    </w:p>
    <w:p w14:paraId="5BEA735F" w14:textId="77777777" w:rsidR="00924992" w:rsidRDefault="00924992">
      <w:pPr>
        <w:pStyle w:val="Bodytext20"/>
        <w:framePr w:w="1805" w:h="2621" w:wrap="none" w:hAnchor="page" w:x="10115" w:y="3011"/>
      </w:pPr>
      <w:r>
        <w:rPr>
          <w:color w:val="000000"/>
        </w:rPr>
        <w:t>hacer las modificaciones pertinentes para alcanzar concentraciones terapéuticas. Utilizar sólo contra infecciones graves porque a veces surge anemia aplástica después de su administración. En Estados Unidos no se dispone de una presentación ingerible (palmitato).</w:t>
      </w:r>
    </w:p>
    <w:p w14:paraId="4C58DDF3" w14:textId="77777777" w:rsidR="00924992" w:rsidRDefault="00924992">
      <w:pPr>
        <w:pStyle w:val="Bodytext80"/>
        <w:framePr w:w="168" w:h="4958" w:hRule="exact" w:wrap="none" w:hAnchor="page" w:x="12390" w:y="54"/>
        <w:tabs>
          <w:tab w:val="left" w:pos="1906"/>
        </w:tabs>
        <w:textDirection w:val="tbRl"/>
      </w:pPr>
      <w:r>
        <w:rPr>
          <w:sz w:val="16"/>
          <w:szCs w:val="16"/>
        </w:rPr>
        <w:t>738</w:t>
      </w:r>
      <w:r>
        <w:rPr>
          <w:sz w:val="16"/>
          <w:szCs w:val="16"/>
        </w:rPr>
        <w:tab/>
      </w:r>
      <w:r>
        <w:t>CUADROS DE DOSIS DE ANTIMICROBIANOS</w:t>
      </w:r>
    </w:p>
    <w:p w14:paraId="08479656" w14:textId="77777777" w:rsidR="00924992" w:rsidRDefault="00924992">
      <w:pPr>
        <w:spacing w:line="360" w:lineRule="exact"/>
      </w:pPr>
    </w:p>
    <w:p w14:paraId="3D5F19AA" w14:textId="77777777" w:rsidR="00924992" w:rsidRDefault="00924992">
      <w:pPr>
        <w:spacing w:line="360" w:lineRule="exact"/>
      </w:pPr>
    </w:p>
    <w:p w14:paraId="04685FFC" w14:textId="77777777" w:rsidR="00924992" w:rsidRDefault="00924992">
      <w:pPr>
        <w:spacing w:line="360" w:lineRule="exact"/>
      </w:pPr>
    </w:p>
    <w:p w14:paraId="3336F621" w14:textId="77777777" w:rsidR="00924992" w:rsidRDefault="00924992">
      <w:pPr>
        <w:spacing w:line="360" w:lineRule="exact"/>
      </w:pPr>
    </w:p>
    <w:p w14:paraId="5E8D1093" w14:textId="77777777" w:rsidR="00924992" w:rsidRDefault="00924992">
      <w:pPr>
        <w:spacing w:line="360" w:lineRule="exact"/>
      </w:pPr>
    </w:p>
    <w:p w14:paraId="64C1C745" w14:textId="77777777" w:rsidR="00924992" w:rsidRDefault="00924992">
      <w:pPr>
        <w:spacing w:line="360" w:lineRule="exact"/>
      </w:pPr>
    </w:p>
    <w:p w14:paraId="7906832C" w14:textId="77777777" w:rsidR="00924992" w:rsidRDefault="00924992">
      <w:pPr>
        <w:spacing w:line="360" w:lineRule="exact"/>
      </w:pPr>
    </w:p>
    <w:p w14:paraId="09E3186A" w14:textId="77777777" w:rsidR="00924992" w:rsidRDefault="00924992">
      <w:pPr>
        <w:spacing w:line="360" w:lineRule="exact"/>
      </w:pPr>
    </w:p>
    <w:p w14:paraId="682C3D7F" w14:textId="77777777" w:rsidR="00924992" w:rsidRDefault="00924992">
      <w:pPr>
        <w:spacing w:line="360" w:lineRule="exact"/>
      </w:pPr>
    </w:p>
    <w:p w14:paraId="04402AAD" w14:textId="77777777" w:rsidR="00924992" w:rsidRDefault="00924992">
      <w:pPr>
        <w:spacing w:line="360" w:lineRule="exact"/>
      </w:pPr>
    </w:p>
    <w:p w14:paraId="2CB1D3CA" w14:textId="77777777" w:rsidR="00924992" w:rsidRDefault="00924992">
      <w:pPr>
        <w:spacing w:line="360" w:lineRule="exact"/>
      </w:pPr>
    </w:p>
    <w:p w14:paraId="3D16B4EA" w14:textId="77777777" w:rsidR="00924992" w:rsidRDefault="00924992">
      <w:pPr>
        <w:spacing w:line="360" w:lineRule="exact"/>
      </w:pPr>
    </w:p>
    <w:p w14:paraId="2B274841" w14:textId="77777777" w:rsidR="00924992" w:rsidRDefault="00924992">
      <w:pPr>
        <w:spacing w:line="360" w:lineRule="exact"/>
      </w:pPr>
    </w:p>
    <w:p w14:paraId="1D0BB7E3" w14:textId="77777777" w:rsidR="00924992" w:rsidRDefault="00924992">
      <w:pPr>
        <w:spacing w:line="360" w:lineRule="exact"/>
      </w:pPr>
    </w:p>
    <w:p w14:paraId="659A43DF" w14:textId="77777777" w:rsidR="00924992" w:rsidRDefault="00924992">
      <w:pPr>
        <w:spacing w:after="589" w:line="1" w:lineRule="exact"/>
      </w:pPr>
    </w:p>
    <w:p w14:paraId="6A2ABBFE" w14:textId="77777777" w:rsidR="00924992" w:rsidRDefault="00924992">
      <w:pPr>
        <w:spacing w:line="1" w:lineRule="exact"/>
        <w:sectPr w:rsidR="00924992" w:rsidSect="00924992">
          <w:pgSz w:w="13022" w:h="8501" w:orient="landscape"/>
          <w:pgMar w:top="451" w:right="466" w:bottom="1244" w:left="624" w:header="0" w:footer="3" w:gutter="0"/>
          <w:cols w:space="720"/>
          <w:noEndnote/>
          <w:docGrid w:linePitch="360"/>
          <w15:footnoteColumns w:val="1"/>
        </w:sectPr>
      </w:pPr>
    </w:p>
    <w:p w14:paraId="047AF464" w14:textId="77777777" w:rsidR="00924992" w:rsidRDefault="00924992">
      <w:pPr>
        <w:pStyle w:val="Heading31"/>
        <w:keepNext/>
        <w:keepLines/>
        <w:framePr w:w="8122" w:h="322" w:wrap="none" w:hAnchor="page" w:x="2286" w:y="1"/>
        <w:rPr>
          <w:sz w:val="16"/>
          <w:szCs w:val="16"/>
        </w:rPr>
      </w:pPr>
      <w:bookmarkStart w:id="285" w:name="bookmark1731"/>
      <w:bookmarkStart w:id="286" w:name="bookmark1732"/>
      <w:bookmarkStart w:id="287" w:name="bookmark1733"/>
      <w:r>
        <w:rPr>
          <w:b w:val="0"/>
          <w:bCs w:val="0"/>
          <w:color w:val="000000"/>
        </w:rPr>
        <w:t xml:space="preserve">Cuadro 4-2. </w:t>
      </w:r>
      <w:r>
        <w:rPr>
          <w:color w:val="000000"/>
        </w:rPr>
        <w:t xml:space="preserve">Empleo de antibacterianos en niños después del periodo neonatal </w:t>
      </w:r>
      <w:r>
        <w:rPr>
          <w:rFonts w:ascii="Times New Roman" w:eastAsia="Times New Roman" w:hAnsi="Times New Roman" w:cs="Times New Roman"/>
          <w:b w:val="0"/>
          <w:bCs w:val="0"/>
          <w:i/>
          <w:iCs/>
          <w:color w:val="000000"/>
          <w:w w:val="100"/>
          <w:sz w:val="16"/>
          <w:szCs w:val="16"/>
        </w:rPr>
        <w:t>continuación</w:t>
      </w:r>
      <w:bookmarkEnd w:id="285"/>
      <w:bookmarkEnd w:id="286"/>
      <w:bookmarkEnd w:id="287"/>
    </w:p>
    <w:p w14:paraId="7BFE5021" w14:textId="77777777" w:rsidR="00924992" w:rsidRDefault="00924992">
      <w:pPr>
        <w:pStyle w:val="Heading41"/>
        <w:keepNext/>
        <w:keepLines/>
        <w:framePr w:w="6547" w:h="931" w:wrap="none" w:hAnchor="page" w:x="683" w:y="332"/>
        <w:pBdr>
          <w:top w:val="single" w:sz="4" w:space="0" w:color="000000"/>
          <w:left w:val="single" w:sz="4" w:space="0" w:color="000000"/>
          <w:bottom w:val="single" w:sz="4" w:space="0" w:color="000000"/>
          <w:right w:val="single" w:sz="4" w:space="0" w:color="000000"/>
        </w:pBdr>
        <w:shd w:val="clear" w:color="auto" w:fill="000000"/>
        <w:spacing w:line="266" w:lineRule="auto"/>
        <w:ind w:left="3360"/>
      </w:pPr>
      <w:bookmarkStart w:id="288" w:name="bookmark1736"/>
      <w:r>
        <w:rPr>
          <w:color w:val="FFFFFF"/>
        </w:rPr>
        <w:t>Dosis por kg de peso al día</w:t>
      </w:r>
      <w:bookmarkEnd w:id="288"/>
    </w:p>
    <w:p w14:paraId="6654FDD8" w14:textId="77777777" w:rsidR="00924992" w:rsidRDefault="00924992">
      <w:pPr>
        <w:pStyle w:val="Heading41"/>
        <w:keepNext/>
        <w:keepLines/>
        <w:framePr w:w="6547" w:h="931" w:wrap="none" w:hAnchor="page" w:x="683" w:y="332"/>
        <w:pBdr>
          <w:top w:val="single" w:sz="0" w:space="0" w:color="000000"/>
          <w:left w:val="single" w:sz="0" w:space="0" w:color="000000"/>
          <w:bottom w:val="single" w:sz="0" w:space="0" w:color="000000"/>
          <w:right w:val="single" w:sz="0" w:space="0" w:color="000000"/>
        </w:pBdr>
        <w:shd w:val="clear" w:color="auto" w:fill="000000"/>
        <w:tabs>
          <w:tab w:val="left" w:pos="5098"/>
        </w:tabs>
        <w:spacing w:line="266" w:lineRule="auto"/>
      </w:pPr>
      <w:bookmarkStart w:id="289" w:name="bookmark1734"/>
      <w:bookmarkStart w:id="290" w:name="bookmark1735"/>
      <w:bookmarkStart w:id="291" w:name="bookmark1737"/>
      <w:r>
        <w:rPr>
          <w:color w:val="FFFFFF"/>
        </w:rPr>
        <w:t>Fármaco, nombre genérico Vía de administración Infecciones leves (y comercial)</w:t>
      </w:r>
      <w:r>
        <w:rPr>
          <w:color w:val="FFFFFF"/>
        </w:rPr>
        <w:tab/>
        <w:t>o moderadas</w:t>
      </w:r>
      <w:bookmarkEnd w:id="289"/>
      <w:bookmarkEnd w:id="290"/>
      <w:bookmarkEnd w:id="291"/>
    </w:p>
    <w:p w14:paraId="659B2B0C" w14:textId="77777777" w:rsidR="00924992" w:rsidRDefault="00924992">
      <w:pPr>
        <w:pStyle w:val="Heading41"/>
        <w:keepNext/>
        <w:keepLines/>
        <w:framePr w:w="3221" w:h="298" w:wrap="none" w:hAnchor="page" w:x="7883" w:y="630"/>
        <w:pBdr>
          <w:top w:val="single" w:sz="0" w:space="0" w:color="000000"/>
          <w:left w:val="single" w:sz="0" w:space="0" w:color="000000"/>
          <w:bottom w:val="single" w:sz="0" w:space="0" w:color="000000"/>
          <w:right w:val="single" w:sz="0" w:space="0" w:color="000000"/>
        </w:pBdr>
        <w:shd w:val="clear" w:color="auto" w:fill="000000"/>
        <w:jc w:val="center"/>
      </w:pPr>
      <w:bookmarkStart w:id="292" w:name="bookmark1738"/>
      <w:bookmarkStart w:id="293" w:name="bookmark1739"/>
      <w:bookmarkStart w:id="294" w:name="bookmark1740"/>
      <w:r>
        <w:rPr>
          <w:color w:val="FFFFFF"/>
        </w:rPr>
        <w:t>Infecciones graves Comentarios</w:t>
      </w:r>
      <w:bookmarkEnd w:id="292"/>
      <w:bookmarkEnd w:id="293"/>
      <w:bookmarkEnd w:id="294"/>
    </w:p>
    <w:p w14:paraId="0CCF5490" w14:textId="77777777" w:rsidR="00924992" w:rsidRDefault="00924992">
      <w:pPr>
        <w:pStyle w:val="Bodytext20"/>
        <w:framePr w:w="2885" w:h="456" w:wrap="none" w:hAnchor="page" w:x="678" w:y="1287"/>
        <w:spacing w:line="240" w:lineRule="auto"/>
      </w:pPr>
      <w:r>
        <w:rPr>
          <w:b/>
          <w:bCs/>
          <w:color w:val="000000"/>
        </w:rPr>
        <w:t>Fluoroquinolonas</w:t>
      </w:r>
      <w:r>
        <w:rPr>
          <w:b/>
          <w:bCs/>
          <w:color w:val="000000"/>
          <w:vertAlign w:val="superscript"/>
        </w:rPr>
        <w:t>3</w:t>
      </w:r>
    </w:p>
    <w:p w14:paraId="08EBCCB1" w14:textId="77777777" w:rsidR="00924992" w:rsidRDefault="00924992">
      <w:pPr>
        <w:pStyle w:val="Bodytext20"/>
        <w:framePr w:w="2885" w:h="456" w:wrap="none" w:hAnchor="page" w:x="678" w:y="1287"/>
        <w:tabs>
          <w:tab w:val="left" w:pos="2592"/>
        </w:tabs>
        <w:spacing w:line="240" w:lineRule="auto"/>
      </w:pPr>
      <w:r>
        <w:rPr>
          <w:color w:val="000000"/>
        </w:rPr>
        <w:t>Ciprofloxacina (Cipro)</w:t>
      </w:r>
      <w:r>
        <w:rPr>
          <w:color w:val="000000"/>
        </w:rPr>
        <w:tab/>
        <w:t>PO</w:t>
      </w:r>
    </w:p>
    <w:p w14:paraId="59185480" w14:textId="77777777" w:rsidR="00924992" w:rsidRDefault="00924992">
      <w:pPr>
        <w:pStyle w:val="Bodytext20"/>
        <w:framePr w:w="1939" w:h="461" w:wrap="none" w:hAnchor="page" w:x="5756" w:y="1508"/>
        <w:jc w:val="right"/>
      </w:pPr>
      <w:r>
        <w:rPr>
          <w:color w:val="000000"/>
        </w:rPr>
        <w:t>20-30 mg en 2 dosis (dosis diaria del adulto, 0.5-1.5 g)</w:t>
      </w:r>
    </w:p>
    <w:p w14:paraId="156EA72B" w14:textId="77777777" w:rsidR="00924992" w:rsidRDefault="00924992">
      <w:pPr>
        <w:pStyle w:val="Bodytext20"/>
        <w:framePr w:w="2069" w:h="461" w:wrap="none" w:hAnchor="page" w:x="7883" w:y="1508"/>
        <w:ind w:right="400"/>
        <w:jc w:val="right"/>
      </w:pPr>
      <w:r>
        <w:rPr>
          <w:color w:val="000000"/>
        </w:rPr>
        <w:t>30 mg en 2 dosis (dosis diaria del adulto, 1.0-1.5 g)</w:t>
      </w:r>
    </w:p>
    <w:p w14:paraId="510FC8FA" w14:textId="77777777" w:rsidR="00924992" w:rsidRDefault="00924992">
      <w:pPr>
        <w:pStyle w:val="Bodytext20"/>
        <w:framePr w:w="1934" w:h="1733" w:wrap="none" w:hAnchor="page" w:x="10009" w:y="1508"/>
      </w:pPr>
      <w:r>
        <w:rPr>
          <w:color w:val="000000"/>
        </w:rPr>
        <w:t>No se ha aprobado su uso para personas menores de 18 años;</w:t>
      </w:r>
      <w:r>
        <w:rPr>
          <w:color w:val="000000"/>
          <w:vertAlign w:val="superscript"/>
        </w:rPr>
        <w:t>3</w:t>
      </w:r>
      <w:r>
        <w:rPr>
          <w:color w:val="000000"/>
        </w:rPr>
        <w:t xml:space="preserve"> sin embargo, la ciprofloxacina tiene indicaciones selectivas en niños y adolescentes (véase texto, al inicio de esta sección).</w:t>
      </w:r>
    </w:p>
    <w:p w14:paraId="659E0D0A" w14:textId="77777777" w:rsidR="00924992" w:rsidRDefault="00924992">
      <w:pPr>
        <w:pStyle w:val="Bodytext20"/>
        <w:framePr w:w="235" w:h="221" w:wrap="none" w:hAnchor="page" w:x="3279" w:y="3251"/>
        <w:spacing w:line="240" w:lineRule="auto"/>
      </w:pPr>
      <w:r>
        <w:rPr>
          <w:color w:val="000000"/>
        </w:rPr>
        <w:t>IV</w:t>
      </w:r>
    </w:p>
    <w:p w14:paraId="7B6719E3" w14:textId="77777777" w:rsidR="00924992" w:rsidRDefault="00924992">
      <w:pPr>
        <w:pStyle w:val="Bodytext20"/>
        <w:framePr w:w="883" w:h="235" w:wrap="none" w:hAnchor="page" w:x="5756" w:y="3241"/>
        <w:spacing w:line="240" w:lineRule="auto"/>
      </w:pPr>
      <w:r>
        <w:rPr>
          <w:color w:val="000000"/>
        </w:rPr>
        <w:t>Inapropiada</w:t>
      </w:r>
    </w:p>
    <w:p w14:paraId="3D5910D3" w14:textId="77777777" w:rsidR="00924992" w:rsidRDefault="00924992">
      <w:pPr>
        <w:pStyle w:val="Bodytext20"/>
        <w:framePr w:w="2885" w:h="451" w:wrap="none" w:hAnchor="page" w:x="678" w:y="3889"/>
        <w:spacing w:line="240" w:lineRule="auto"/>
      </w:pPr>
      <w:r>
        <w:rPr>
          <w:b/>
          <w:bCs/>
          <w:color w:val="000000"/>
        </w:rPr>
        <w:t>Macrólidos/estreptograminas</w:t>
      </w:r>
    </w:p>
    <w:p w14:paraId="1CE75621" w14:textId="77777777" w:rsidR="00924992" w:rsidRDefault="00924992">
      <w:pPr>
        <w:pStyle w:val="Bodytext20"/>
        <w:framePr w:w="2885" w:h="451" w:wrap="none" w:hAnchor="page" w:x="678" w:y="3889"/>
        <w:spacing w:line="240" w:lineRule="auto"/>
      </w:pPr>
      <w:r>
        <w:rPr>
          <w:color w:val="000000"/>
        </w:rPr>
        <w:t>Eritromicinas (diversos tipos) PO</w:t>
      </w:r>
    </w:p>
    <w:p w14:paraId="71E003E8" w14:textId="77777777" w:rsidR="00924992" w:rsidRDefault="00924992">
      <w:pPr>
        <w:pStyle w:val="Bodytext20"/>
        <w:framePr w:w="235" w:h="221" w:wrap="none" w:hAnchor="page" w:x="3279" w:y="4763"/>
        <w:spacing w:line="240" w:lineRule="auto"/>
      </w:pPr>
      <w:r>
        <w:rPr>
          <w:color w:val="000000"/>
        </w:rPr>
        <w:t>IV</w:t>
      </w:r>
    </w:p>
    <w:p w14:paraId="3A02C5E8" w14:textId="77777777" w:rsidR="00924992" w:rsidRDefault="00924992">
      <w:pPr>
        <w:pStyle w:val="Bodytext20"/>
        <w:framePr w:w="1771" w:h="883" w:wrap="none" w:hAnchor="page" w:x="5756" w:y="4105"/>
      </w:pPr>
      <w:r>
        <w:rPr>
          <w:color w:val="000000"/>
        </w:rPr>
        <w:t>30-50 mg en 2 a 4 dosis (dosis diaria del adulto,</w:t>
      </w:r>
    </w:p>
    <w:p w14:paraId="176F1B0B" w14:textId="77777777" w:rsidR="00924992" w:rsidRDefault="00924992">
      <w:pPr>
        <w:pStyle w:val="Bodytext20"/>
        <w:framePr w:w="1771" w:h="883" w:wrap="none" w:hAnchor="page" w:x="5756" w:y="4105"/>
        <w:spacing w:line="240" w:lineRule="auto"/>
      </w:pPr>
      <w:r>
        <w:rPr>
          <w:color w:val="000000"/>
        </w:rPr>
        <w:t>1-2 g)</w:t>
      </w:r>
    </w:p>
    <w:p w14:paraId="1C6D2C98" w14:textId="77777777" w:rsidR="00924992" w:rsidRDefault="00924992">
      <w:pPr>
        <w:pStyle w:val="Bodytext20"/>
        <w:framePr w:w="1771" w:h="883" w:wrap="none" w:hAnchor="page" w:x="5756" w:y="4105"/>
        <w:spacing w:line="230" w:lineRule="auto"/>
      </w:pPr>
      <w:r>
        <w:rPr>
          <w:color w:val="000000"/>
        </w:rPr>
        <w:t>Inapropiadas</w:t>
      </w:r>
    </w:p>
    <w:p w14:paraId="23549485" w14:textId="77777777" w:rsidR="00924992" w:rsidRDefault="00924992">
      <w:pPr>
        <w:pStyle w:val="Bodytext20"/>
        <w:framePr w:w="2894" w:h="230" w:wrap="none" w:hAnchor="page" w:x="668" w:y="5833"/>
        <w:tabs>
          <w:tab w:val="left" w:pos="2602"/>
        </w:tabs>
        <w:spacing w:line="240" w:lineRule="auto"/>
      </w:pPr>
      <w:r>
        <w:rPr>
          <w:color w:val="000000"/>
        </w:rPr>
        <w:t>Azitromicina (Zithromax)</w:t>
      </w:r>
      <w:r>
        <w:rPr>
          <w:color w:val="000000"/>
        </w:rPr>
        <w:tab/>
        <w:t>PO</w:t>
      </w:r>
    </w:p>
    <w:p w14:paraId="7ED268DC" w14:textId="77777777" w:rsidR="00924992" w:rsidRDefault="00924992">
      <w:pPr>
        <w:pStyle w:val="Bodytext20"/>
        <w:framePr w:w="1766" w:h="677" w:wrap="none" w:hAnchor="page" w:x="5761" w:y="5833"/>
      </w:pPr>
      <w:r>
        <w:rPr>
          <w:color w:val="000000"/>
        </w:rPr>
        <w:t>5-12 mg una vez al día (dosis diaria del adulto,</w:t>
      </w:r>
    </w:p>
    <w:p w14:paraId="690DC91D" w14:textId="77777777" w:rsidR="00924992" w:rsidRDefault="00924992">
      <w:pPr>
        <w:pStyle w:val="Bodytext20"/>
        <w:framePr w:w="1766" w:h="677" w:wrap="none" w:hAnchor="page" w:x="5761" w:y="5833"/>
      </w:pPr>
      <w:r>
        <w:rPr>
          <w:color w:val="000000"/>
        </w:rPr>
        <w:t>600 mg)</w:t>
      </w:r>
    </w:p>
    <w:p w14:paraId="50E94DDA" w14:textId="77777777" w:rsidR="00924992" w:rsidRDefault="00924992">
      <w:pPr>
        <w:pStyle w:val="Bodytext20"/>
        <w:framePr w:w="1925" w:h="2837" w:wrap="none" w:hAnchor="page" w:x="7883" w:y="3241"/>
        <w:spacing w:after="200"/>
      </w:pPr>
      <w:r>
        <w:rPr>
          <w:color w:val="000000"/>
        </w:rPr>
        <w:t>20-30 mg en 2 dosis (dosis diaria del adulto, 400-800 mg en 2 dosis)</w:t>
      </w:r>
    </w:p>
    <w:p w14:paraId="215C88C0" w14:textId="77777777" w:rsidR="00924992" w:rsidRDefault="00924992">
      <w:pPr>
        <w:pStyle w:val="Bodytext20"/>
        <w:framePr w:w="1925" w:h="2837" w:wrap="none" w:hAnchor="page" w:x="7883" w:y="3241"/>
        <w:spacing w:after="400"/>
      </w:pPr>
      <w:r>
        <w:rPr>
          <w:color w:val="000000"/>
        </w:rPr>
        <w:t>Inapropiadas</w:t>
      </w:r>
    </w:p>
    <w:p w14:paraId="75F6FE72" w14:textId="77777777" w:rsidR="00924992" w:rsidRDefault="00924992">
      <w:pPr>
        <w:pStyle w:val="Bodytext20"/>
        <w:framePr w:w="1925" w:h="2837" w:wrap="none" w:hAnchor="page" w:x="7883" w:y="3241"/>
      </w:pPr>
      <w:r>
        <w:rPr>
          <w:color w:val="000000"/>
        </w:rPr>
        <w:t>15-50 mg en 4 dosis</w:t>
      </w:r>
    </w:p>
    <w:p w14:paraId="1F8C4D4F" w14:textId="77777777" w:rsidR="00924992" w:rsidRDefault="00924992">
      <w:pPr>
        <w:pStyle w:val="Bodytext20"/>
        <w:framePr w:w="1925" w:h="2837" w:wrap="none" w:hAnchor="page" w:x="7883" w:y="3241"/>
      </w:pPr>
      <w:r>
        <w:rPr>
          <w:color w:val="000000"/>
        </w:rPr>
        <w:t>(dosis diaria del adulto,</w:t>
      </w:r>
    </w:p>
    <w:p w14:paraId="647E86C5" w14:textId="77777777" w:rsidR="00924992" w:rsidRDefault="00924992">
      <w:pPr>
        <w:pStyle w:val="Bodytext20"/>
        <w:framePr w:w="1925" w:h="2837" w:wrap="none" w:hAnchor="page" w:x="7883" w:y="3241"/>
        <w:spacing w:after="400"/>
      </w:pPr>
      <w:r>
        <w:rPr>
          <w:color w:val="000000"/>
        </w:rPr>
        <w:t>1-4 g)</w:t>
      </w:r>
    </w:p>
    <w:p w14:paraId="650520CF" w14:textId="77777777" w:rsidR="00924992" w:rsidRDefault="00924992">
      <w:pPr>
        <w:pStyle w:val="Bodytext20"/>
        <w:framePr w:w="1925" w:h="2837" w:wrap="none" w:hAnchor="page" w:x="7883" w:y="3241"/>
        <w:spacing w:after="400"/>
      </w:pPr>
      <w:r>
        <w:rPr>
          <w:color w:val="000000"/>
        </w:rPr>
        <w:t>Inapropiada</w:t>
      </w:r>
    </w:p>
    <w:p w14:paraId="10C89EF6" w14:textId="77777777" w:rsidR="00924992" w:rsidRDefault="00924992">
      <w:pPr>
        <w:pStyle w:val="Bodytext20"/>
        <w:framePr w:w="2016" w:h="2794" w:wrap="none" w:hAnchor="page" w:x="10004" w:y="4105"/>
      </w:pPr>
      <w:r>
        <w:rPr>
          <w:color w:val="000000"/>
        </w:rPr>
        <w:t>Se le expende en preparados de base, estearato, etilsuccinato y estolato.</w:t>
      </w:r>
    </w:p>
    <w:p w14:paraId="7B86FD35" w14:textId="77777777" w:rsidR="00924992" w:rsidRDefault="00924992">
      <w:pPr>
        <w:pStyle w:val="Bodytext20"/>
        <w:framePr w:w="2016" w:h="2794" w:wrap="none" w:hAnchor="page" w:x="10004" w:y="4105"/>
      </w:pPr>
      <w:r>
        <w:rPr>
          <w:color w:val="000000"/>
        </w:rPr>
        <w:t>Administrar en goteo continuo o por inyección lenta durante 60 min o más. Pueden ocasionar arritmias cardiacas.</w:t>
      </w:r>
    </w:p>
    <w:p w14:paraId="04ACE327" w14:textId="77777777" w:rsidR="00924992" w:rsidRDefault="00924992">
      <w:pPr>
        <w:pStyle w:val="Bodytext20"/>
        <w:framePr w:w="2016" w:h="2794" w:wrap="none" w:hAnchor="page" w:x="10004" w:y="4105"/>
      </w:pPr>
      <w:r>
        <w:rPr>
          <w:color w:val="000000"/>
        </w:rPr>
        <w:t>Otitis media: 10 mg/kg el primer día; 5 mg/kg por día durante 4 días más. Faringitis: 12 mg/kg al día durante 5 días.</w:t>
      </w:r>
    </w:p>
    <w:p w14:paraId="7792FD3F" w14:textId="77777777" w:rsidR="00924992" w:rsidRDefault="00924992">
      <w:pPr>
        <w:pStyle w:val="Bodytext80"/>
        <w:framePr w:w="168" w:h="4954" w:hRule="exact" w:wrap="none" w:hAnchor="page" w:x="12390" w:y="1945"/>
        <w:tabs>
          <w:tab w:val="left" w:pos="4637"/>
        </w:tabs>
        <w:textDirection w:val="tbRl"/>
        <w:rPr>
          <w:sz w:val="16"/>
          <w:szCs w:val="16"/>
        </w:rPr>
      </w:pPr>
      <w:r>
        <w:t>CUADROS DE DOSIS DE ANTIMICROBIANOS</w:t>
      </w:r>
      <w:r>
        <w:tab/>
      </w:r>
      <w:r>
        <w:rPr>
          <w:sz w:val="16"/>
          <w:szCs w:val="16"/>
        </w:rPr>
        <w:t>739</w:t>
      </w:r>
    </w:p>
    <w:p w14:paraId="5D0A4EEC" w14:textId="77777777" w:rsidR="00924992" w:rsidRDefault="00924992">
      <w:pPr>
        <w:spacing w:line="360" w:lineRule="exact"/>
      </w:pPr>
    </w:p>
    <w:p w14:paraId="6F82A972" w14:textId="77777777" w:rsidR="00924992" w:rsidRDefault="00924992">
      <w:pPr>
        <w:spacing w:line="360" w:lineRule="exact"/>
      </w:pPr>
    </w:p>
    <w:p w14:paraId="02AB61F8" w14:textId="77777777" w:rsidR="00924992" w:rsidRDefault="00924992">
      <w:pPr>
        <w:spacing w:line="360" w:lineRule="exact"/>
      </w:pPr>
    </w:p>
    <w:p w14:paraId="03DA1BC6" w14:textId="77777777" w:rsidR="00924992" w:rsidRDefault="00924992">
      <w:pPr>
        <w:spacing w:line="360" w:lineRule="exact"/>
      </w:pPr>
    </w:p>
    <w:p w14:paraId="616822A4" w14:textId="77777777" w:rsidR="00924992" w:rsidRDefault="00924992">
      <w:pPr>
        <w:spacing w:line="360" w:lineRule="exact"/>
      </w:pPr>
    </w:p>
    <w:p w14:paraId="7305E8C0" w14:textId="77777777" w:rsidR="00924992" w:rsidRDefault="00924992">
      <w:pPr>
        <w:spacing w:line="360" w:lineRule="exact"/>
      </w:pPr>
    </w:p>
    <w:p w14:paraId="44BEEFFB" w14:textId="77777777" w:rsidR="00924992" w:rsidRDefault="00924992">
      <w:pPr>
        <w:spacing w:line="360" w:lineRule="exact"/>
      </w:pPr>
    </w:p>
    <w:p w14:paraId="6C094F1E" w14:textId="77777777" w:rsidR="00924992" w:rsidRDefault="00924992">
      <w:pPr>
        <w:spacing w:line="360" w:lineRule="exact"/>
      </w:pPr>
    </w:p>
    <w:p w14:paraId="3C2D110F" w14:textId="77777777" w:rsidR="00924992" w:rsidRDefault="00924992">
      <w:pPr>
        <w:spacing w:line="360" w:lineRule="exact"/>
      </w:pPr>
    </w:p>
    <w:p w14:paraId="27F43A4D" w14:textId="77777777" w:rsidR="00924992" w:rsidRDefault="00924992">
      <w:pPr>
        <w:spacing w:line="360" w:lineRule="exact"/>
      </w:pPr>
    </w:p>
    <w:p w14:paraId="5F6D6B3F" w14:textId="77777777" w:rsidR="00924992" w:rsidRDefault="00924992">
      <w:pPr>
        <w:spacing w:line="360" w:lineRule="exact"/>
      </w:pPr>
    </w:p>
    <w:p w14:paraId="03B83079" w14:textId="77777777" w:rsidR="00924992" w:rsidRDefault="00924992">
      <w:pPr>
        <w:spacing w:line="360" w:lineRule="exact"/>
      </w:pPr>
    </w:p>
    <w:p w14:paraId="4C284A9A" w14:textId="77777777" w:rsidR="00924992" w:rsidRDefault="00924992">
      <w:pPr>
        <w:spacing w:line="360" w:lineRule="exact"/>
      </w:pPr>
    </w:p>
    <w:p w14:paraId="40C2DC13" w14:textId="77777777" w:rsidR="00924992" w:rsidRDefault="00924992">
      <w:pPr>
        <w:spacing w:line="360" w:lineRule="exact"/>
      </w:pPr>
    </w:p>
    <w:p w14:paraId="0E818E7C" w14:textId="77777777" w:rsidR="00924992" w:rsidRDefault="00924992">
      <w:pPr>
        <w:spacing w:line="360" w:lineRule="exact"/>
      </w:pPr>
    </w:p>
    <w:p w14:paraId="1B43ECC3" w14:textId="77777777" w:rsidR="00924992" w:rsidRDefault="00924992">
      <w:pPr>
        <w:spacing w:line="360" w:lineRule="exact"/>
      </w:pPr>
    </w:p>
    <w:p w14:paraId="17DEB3C8" w14:textId="77777777" w:rsidR="00924992" w:rsidRDefault="00924992">
      <w:pPr>
        <w:spacing w:line="360" w:lineRule="exact"/>
      </w:pPr>
    </w:p>
    <w:p w14:paraId="55A3C94F" w14:textId="77777777" w:rsidR="00924992" w:rsidRDefault="00924992">
      <w:pPr>
        <w:spacing w:line="360" w:lineRule="exact"/>
      </w:pPr>
    </w:p>
    <w:p w14:paraId="076ECABF" w14:textId="77777777" w:rsidR="00924992" w:rsidRDefault="00924992">
      <w:pPr>
        <w:spacing w:after="417" w:line="1" w:lineRule="exact"/>
      </w:pPr>
    </w:p>
    <w:p w14:paraId="4064BC35" w14:textId="77777777" w:rsidR="00924992" w:rsidRDefault="00924992">
      <w:pPr>
        <w:spacing w:line="1" w:lineRule="exact"/>
        <w:sectPr w:rsidR="00924992" w:rsidSect="00924992">
          <w:headerReference w:type="even" r:id="rId251"/>
          <w:headerReference w:type="default" r:id="rId252"/>
          <w:footerReference w:type="even" r:id="rId253"/>
          <w:footerReference w:type="default" r:id="rId254"/>
          <w:pgSz w:w="13022" w:h="8501" w:orient="landscape"/>
          <w:pgMar w:top="1099" w:right="466" w:bottom="370" w:left="653" w:header="671" w:footer="3" w:gutter="0"/>
          <w:cols w:space="720"/>
          <w:noEndnote/>
          <w:docGrid w:linePitch="360"/>
          <w15:footnoteColumns w:val="1"/>
        </w:sectPr>
      </w:pPr>
    </w:p>
    <w:p w14:paraId="73950748" w14:textId="77777777" w:rsidR="00924992" w:rsidRDefault="00924992">
      <w:pPr>
        <w:pStyle w:val="Heading31"/>
        <w:keepNext/>
        <w:keepLines/>
        <w:framePr w:w="8122" w:h="322" w:wrap="none" w:hAnchor="page" w:x="2276" w:y="1"/>
        <w:rPr>
          <w:sz w:val="16"/>
          <w:szCs w:val="16"/>
        </w:rPr>
      </w:pPr>
      <w:bookmarkStart w:id="295" w:name="bookmark1741"/>
      <w:bookmarkStart w:id="296" w:name="bookmark1742"/>
      <w:bookmarkStart w:id="297" w:name="bookmark1743"/>
      <w:r>
        <w:rPr>
          <w:b w:val="0"/>
          <w:bCs w:val="0"/>
          <w:color w:val="000000"/>
        </w:rPr>
        <w:t xml:space="preserve">Cuadro 4-2. </w:t>
      </w:r>
      <w:r>
        <w:rPr>
          <w:color w:val="000000"/>
        </w:rPr>
        <w:t xml:space="preserve">Empleo de antibacterianos en niños después del periodo neonatal </w:t>
      </w:r>
      <w:r>
        <w:rPr>
          <w:rFonts w:ascii="Times New Roman" w:eastAsia="Times New Roman" w:hAnsi="Times New Roman" w:cs="Times New Roman"/>
          <w:b w:val="0"/>
          <w:bCs w:val="0"/>
          <w:i/>
          <w:iCs/>
          <w:color w:val="000000"/>
          <w:w w:val="100"/>
          <w:sz w:val="16"/>
          <w:szCs w:val="16"/>
        </w:rPr>
        <w:t>continuación</w:t>
      </w:r>
      <w:bookmarkEnd w:id="295"/>
      <w:bookmarkEnd w:id="296"/>
      <w:bookmarkEnd w:id="297"/>
    </w:p>
    <w:p w14:paraId="374540AE" w14:textId="77777777" w:rsidR="00924992" w:rsidRDefault="00924992">
      <w:pPr>
        <w:pStyle w:val="Other0"/>
        <w:framePr w:w="2246" w:h="581" w:wrap="none" w:hAnchor="page" w:x="673" w:y="635"/>
        <w:pBdr>
          <w:top w:val="single" w:sz="0" w:space="0" w:color="000000"/>
          <w:left w:val="single" w:sz="0" w:space="0" w:color="000000"/>
          <w:bottom w:val="single" w:sz="0" w:space="0" w:color="000000"/>
          <w:right w:val="single" w:sz="0" w:space="0" w:color="000000"/>
        </w:pBdr>
        <w:shd w:val="clear" w:color="auto" w:fill="000000"/>
        <w:spacing w:line="240" w:lineRule="auto"/>
        <w:ind w:firstLine="0"/>
        <w:rPr>
          <w:sz w:val="24"/>
          <w:szCs w:val="24"/>
        </w:rPr>
      </w:pPr>
      <w:r>
        <w:rPr>
          <w:rFonts w:ascii="Arial" w:eastAsia="Arial" w:hAnsi="Arial" w:cs="Arial"/>
          <w:b/>
          <w:bCs/>
          <w:color w:val="FFFFFF"/>
          <w:w w:val="70"/>
          <w:sz w:val="24"/>
          <w:szCs w:val="24"/>
        </w:rPr>
        <w:t>Fármaco, nombre genérico (y comercial)</w:t>
      </w:r>
    </w:p>
    <w:p w14:paraId="76CF1FDC" w14:textId="77777777" w:rsidR="00924992" w:rsidRDefault="00924992">
      <w:pPr>
        <w:pStyle w:val="Other0"/>
        <w:framePr w:w="3979" w:h="864" w:wrap="none" w:hAnchor="page" w:x="3260" w:y="351"/>
        <w:pBdr>
          <w:top w:val="single" w:sz="0" w:space="0" w:color="000000"/>
          <w:left w:val="single" w:sz="0" w:space="0" w:color="000000"/>
          <w:bottom w:val="single" w:sz="0" w:space="0" w:color="000000"/>
          <w:right w:val="single" w:sz="0" w:space="0" w:color="000000"/>
        </w:pBdr>
        <w:shd w:val="clear" w:color="auto" w:fill="000000"/>
        <w:tabs>
          <w:tab w:val="left" w:leader="underscore" w:pos="773"/>
          <w:tab w:val="left" w:leader="underscore" w:pos="3931"/>
        </w:tabs>
        <w:spacing w:line="240" w:lineRule="auto"/>
        <w:ind w:firstLine="0"/>
        <w:jc w:val="right"/>
        <w:rPr>
          <w:sz w:val="24"/>
          <w:szCs w:val="24"/>
        </w:rPr>
      </w:pPr>
      <w:r>
        <w:rPr>
          <w:rFonts w:ascii="Arial" w:eastAsia="Arial" w:hAnsi="Arial" w:cs="Arial"/>
          <w:b/>
          <w:bCs/>
          <w:color w:val="FFFFFF"/>
          <w:w w:val="70"/>
          <w:sz w:val="24"/>
          <w:szCs w:val="24"/>
        </w:rPr>
        <w:tab/>
      </w:r>
      <w:r>
        <w:rPr>
          <w:rFonts w:ascii="Arial" w:eastAsia="Arial" w:hAnsi="Arial" w:cs="Arial"/>
          <w:b/>
          <w:bCs/>
          <w:color w:val="FFFFFF"/>
          <w:w w:val="70"/>
          <w:sz w:val="24"/>
          <w:szCs w:val="24"/>
          <w:u w:val="single"/>
        </w:rPr>
        <w:t>Dosis por kg de peso al día</w:t>
      </w:r>
      <w:r>
        <w:rPr>
          <w:rFonts w:ascii="Arial" w:eastAsia="Arial" w:hAnsi="Arial" w:cs="Arial"/>
          <w:b/>
          <w:bCs/>
          <w:color w:val="FFFFFF"/>
          <w:w w:val="70"/>
          <w:sz w:val="24"/>
          <w:szCs w:val="24"/>
        </w:rPr>
        <w:tab/>
        <w:t xml:space="preserve"> Vía de administración Infecciones leves o moderadas</w:t>
      </w:r>
    </w:p>
    <w:p w14:paraId="03063429" w14:textId="77777777" w:rsidR="00924992" w:rsidRDefault="00924992">
      <w:pPr>
        <w:pStyle w:val="Other0"/>
        <w:framePr w:w="3221" w:h="298" w:wrap="none" w:hAnchor="page" w:x="7873" w:y="630"/>
        <w:pBdr>
          <w:top w:val="single" w:sz="0" w:space="0" w:color="000000"/>
          <w:left w:val="single" w:sz="0" w:space="0" w:color="000000"/>
          <w:bottom w:val="single" w:sz="0" w:space="0" w:color="000000"/>
          <w:right w:val="single" w:sz="0" w:space="0" w:color="000000"/>
        </w:pBdr>
        <w:shd w:val="clear" w:color="auto" w:fill="000000"/>
        <w:spacing w:line="240" w:lineRule="auto"/>
        <w:ind w:firstLine="0"/>
        <w:jc w:val="center"/>
        <w:rPr>
          <w:sz w:val="24"/>
          <w:szCs w:val="24"/>
        </w:rPr>
      </w:pPr>
      <w:r>
        <w:rPr>
          <w:rFonts w:ascii="Arial" w:eastAsia="Arial" w:hAnsi="Arial" w:cs="Arial"/>
          <w:b/>
          <w:bCs/>
          <w:color w:val="FFFFFF"/>
          <w:w w:val="70"/>
          <w:sz w:val="24"/>
          <w:szCs w:val="24"/>
        </w:rPr>
        <w:t>Infecciones graves Comentarios</w:t>
      </w:r>
    </w:p>
    <w:p w14:paraId="200BB87A" w14:textId="77777777" w:rsidR="00924992" w:rsidRDefault="00924992">
      <w:pPr>
        <w:pStyle w:val="Bodytext20"/>
        <w:framePr w:w="2832" w:h="226" w:wrap="none" w:hAnchor="page" w:x="721" w:y="1283"/>
        <w:tabs>
          <w:tab w:val="left" w:pos="2544"/>
        </w:tabs>
        <w:spacing w:line="240" w:lineRule="auto"/>
      </w:pPr>
      <w:r>
        <w:rPr>
          <w:color w:val="000000"/>
        </w:rPr>
        <w:t>Claritromicina (Biaxin)</w:t>
      </w:r>
      <w:r>
        <w:rPr>
          <w:color w:val="000000"/>
        </w:rPr>
        <w:tab/>
        <w:t>PO</w:t>
      </w:r>
    </w:p>
    <w:p w14:paraId="7CB0E0E8" w14:textId="77777777" w:rsidR="00924992" w:rsidRDefault="00924992">
      <w:pPr>
        <w:pStyle w:val="Bodytext20"/>
        <w:framePr w:w="2827" w:h="446" w:wrap="none" w:hAnchor="page" w:x="673" w:y="1931"/>
        <w:tabs>
          <w:tab w:val="left" w:pos="2592"/>
        </w:tabs>
        <w:spacing w:line="240" w:lineRule="auto"/>
      </w:pPr>
      <w:r>
        <w:rPr>
          <w:color w:val="000000"/>
        </w:rPr>
        <w:t>Quinupristina/dalfopristina</w:t>
      </w:r>
      <w:r>
        <w:rPr>
          <w:color w:val="000000"/>
        </w:rPr>
        <w:tab/>
        <w:t>IV</w:t>
      </w:r>
    </w:p>
    <w:p w14:paraId="28B12B27" w14:textId="77777777" w:rsidR="00924992" w:rsidRDefault="00924992">
      <w:pPr>
        <w:pStyle w:val="Bodytext20"/>
        <w:framePr w:w="2827" w:h="446" w:wrap="none" w:hAnchor="page" w:x="673" w:y="1931"/>
        <w:spacing w:line="240" w:lineRule="auto"/>
      </w:pPr>
      <w:r>
        <w:rPr>
          <w:color w:val="000000"/>
        </w:rPr>
        <w:t>(Synercid)</w:t>
      </w:r>
    </w:p>
    <w:p w14:paraId="2FD14F36" w14:textId="77777777" w:rsidR="00924992" w:rsidRDefault="00924992">
      <w:pPr>
        <w:pStyle w:val="Bodytext20"/>
        <w:framePr w:w="2885" w:h="883" w:wrap="none" w:hAnchor="page" w:x="668" w:y="2795"/>
        <w:tabs>
          <w:tab w:val="left" w:pos="2582"/>
        </w:tabs>
        <w:spacing w:line="240" w:lineRule="auto"/>
      </w:pPr>
      <w:r>
        <w:rPr>
          <w:b/>
          <w:bCs/>
          <w:color w:val="000000"/>
        </w:rPr>
        <w:t>Metenamina, mandelato</w:t>
      </w:r>
      <w:r>
        <w:rPr>
          <w:b/>
          <w:bCs/>
          <w:color w:val="000000"/>
        </w:rPr>
        <w:tab/>
      </w:r>
      <w:r>
        <w:rPr>
          <w:color w:val="000000"/>
        </w:rPr>
        <w:t>PO</w:t>
      </w:r>
    </w:p>
    <w:p w14:paraId="0BD88E81" w14:textId="77777777" w:rsidR="00924992" w:rsidRDefault="00924992">
      <w:pPr>
        <w:pStyle w:val="Bodytext20"/>
        <w:framePr w:w="2885" w:h="883" w:wrap="none" w:hAnchor="page" w:x="668" w:y="2795"/>
        <w:spacing w:after="240" w:line="240" w:lineRule="auto"/>
      </w:pPr>
      <w:r>
        <w:rPr>
          <w:color w:val="000000"/>
        </w:rPr>
        <w:t>de (Mandelamina)</w:t>
      </w:r>
    </w:p>
    <w:p w14:paraId="0DDFB412" w14:textId="77777777" w:rsidR="00924992" w:rsidRDefault="00924992">
      <w:pPr>
        <w:pStyle w:val="Bodytext20"/>
        <w:framePr w:w="2885" w:h="883" w:wrap="none" w:hAnchor="page" w:x="668" w:y="2795"/>
        <w:tabs>
          <w:tab w:val="left" w:pos="2582"/>
        </w:tabs>
        <w:spacing w:after="120" w:line="240" w:lineRule="auto"/>
      </w:pPr>
      <w:r>
        <w:rPr>
          <w:b/>
          <w:bCs/>
          <w:color w:val="000000"/>
        </w:rPr>
        <w:t xml:space="preserve">Metronidazol </w:t>
      </w:r>
      <w:r>
        <w:rPr>
          <w:color w:val="000000"/>
        </w:rPr>
        <w:t>(Flagyl)</w:t>
      </w:r>
      <w:r>
        <w:rPr>
          <w:color w:val="000000"/>
        </w:rPr>
        <w:tab/>
        <w:t>PO</w:t>
      </w:r>
    </w:p>
    <w:p w14:paraId="5A0BDBC6" w14:textId="77777777" w:rsidR="00924992" w:rsidRDefault="00924992">
      <w:pPr>
        <w:pStyle w:val="Bodytext20"/>
        <w:framePr w:w="2890" w:h="226" w:wrap="none" w:hAnchor="page" w:x="663" w:y="4091"/>
        <w:spacing w:line="240" w:lineRule="auto"/>
      </w:pPr>
      <w:r>
        <w:rPr>
          <w:b/>
          <w:bCs/>
          <w:color w:val="000000"/>
        </w:rPr>
        <w:t xml:space="preserve">Nitrofurantoína </w:t>
      </w:r>
      <w:r>
        <w:rPr>
          <w:color w:val="000000"/>
        </w:rPr>
        <w:t>(Furadantin) PO</w:t>
      </w:r>
    </w:p>
    <w:p w14:paraId="13FB0E7A" w14:textId="77777777" w:rsidR="00924992" w:rsidRDefault="00924992">
      <w:pPr>
        <w:pStyle w:val="Bodytext20"/>
        <w:framePr w:w="1920" w:h="3485" w:wrap="none" w:hAnchor="page" w:x="5751" w:y="1283"/>
      </w:pPr>
      <w:r>
        <w:rPr>
          <w:color w:val="000000"/>
        </w:rPr>
        <w:t>15 mg en 2 dosis (dosis diaria máxima del adulto,</w:t>
      </w:r>
    </w:p>
    <w:p w14:paraId="2167261B" w14:textId="77777777" w:rsidR="00924992" w:rsidRDefault="00924992">
      <w:pPr>
        <w:pStyle w:val="Bodytext20"/>
        <w:framePr w:w="1920" w:h="3485" w:wrap="none" w:hAnchor="page" w:x="5751" w:y="1283"/>
      </w:pPr>
      <w:r>
        <w:rPr>
          <w:color w:val="000000"/>
        </w:rPr>
        <w:t>1 g)</w:t>
      </w:r>
    </w:p>
    <w:p w14:paraId="0D2D8DBD" w14:textId="77777777" w:rsidR="00924992" w:rsidRDefault="00924992">
      <w:pPr>
        <w:pStyle w:val="Bodytext20"/>
        <w:framePr w:w="1920" w:h="3485" w:wrap="none" w:hAnchor="page" w:x="5751" w:y="1283"/>
        <w:spacing w:after="420"/>
      </w:pPr>
      <w:r>
        <w:rPr>
          <w:color w:val="000000"/>
        </w:rPr>
        <w:t>15 mg en 2 dosis (dosis diaria del adulto, igual)</w:t>
      </w:r>
    </w:p>
    <w:p w14:paraId="27A33A6B" w14:textId="77777777" w:rsidR="00924992" w:rsidRDefault="00924992">
      <w:pPr>
        <w:pStyle w:val="Bodytext20"/>
        <w:framePr w:w="1920" w:h="3485" w:wrap="none" w:hAnchor="page" w:x="5751" w:y="1283"/>
      </w:pPr>
      <w:r>
        <w:rPr>
          <w:color w:val="000000"/>
        </w:rPr>
        <w:t>50-75 mg en 3 a 4 dosis (dosis diaria del adulto,</w:t>
      </w:r>
    </w:p>
    <w:p w14:paraId="3C04DB89" w14:textId="77777777" w:rsidR="00924992" w:rsidRDefault="00924992">
      <w:pPr>
        <w:pStyle w:val="Bodytext20"/>
        <w:framePr w:w="1920" w:h="3485" w:wrap="none" w:hAnchor="page" w:x="5751" w:y="1283"/>
      </w:pPr>
      <w:r>
        <w:rPr>
          <w:color w:val="000000"/>
        </w:rPr>
        <w:t>2-4 g)</w:t>
      </w:r>
    </w:p>
    <w:p w14:paraId="2166E73F" w14:textId="77777777" w:rsidR="00924992" w:rsidRDefault="00924992">
      <w:pPr>
        <w:pStyle w:val="Bodytext20"/>
        <w:framePr w:w="1920" w:h="3485" w:wrap="none" w:hAnchor="page" w:x="5751" w:y="1283"/>
      </w:pPr>
      <w:r>
        <w:rPr>
          <w:color w:val="000000"/>
        </w:rPr>
        <w:t>15-35 mg en 3 dosis (dosis diaria máxima del adulto,</w:t>
      </w:r>
    </w:p>
    <w:p w14:paraId="03C21283" w14:textId="77777777" w:rsidR="00924992" w:rsidRDefault="00924992">
      <w:pPr>
        <w:pStyle w:val="Bodytext20"/>
        <w:framePr w:w="1920" w:h="3485" w:wrap="none" w:hAnchor="page" w:x="5751" w:y="1283"/>
        <w:spacing w:line="240" w:lineRule="auto"/>
      </w:pPr>
      <w:r>
        <w:rPr>
          <w:color w:val="000000"/>
        </w:rPr>
        <w:t>1-2 g)</w:t>
      </w:r>
    </w:p>
    <w:p w14:paraId="474CEF06" w14:textId="77777777" w:rsidR="00924992" w:rsidRDefault="00924992">
      <w:pPr>
        <w:pStyle w:val="Bodytext20"/>
        <w:framePr w:w="1920" w:h="3485" w:wrap="none" w:hAnchor="page" w:x="5751" w:y="1283"/>
      </w:pPr>
      <w:r>
        <w:rPr>
          <w:color w:val="000000"/>
        </w:rPr>
        <w:t>5-7 mg en 4 dosis (dosis diaria del adulto, 200-400 mg)</w:t>
      </w:r>
    </w:p>
    <w:p w14:paraId="6D7AA54C" w14:textId="77777777" w:rsidR="00924992" w:rsidRDefault="00924992">
      <w:pPr>
        <w:pStyle w:val="Bodytext20"/>
        <w:framePr w:w="1824" w:h="3053" w:wrap="none" w:hAnchor="page" w:x="7873" w:y="1283"/>
        <w:spacing w:after="420"/>
      </w:pPr>
      <w:r>
        <w:rPr>
          <w:color w:val="000000"/>
        </w:rPr>
        <w:t>Inapropiada</w:t>
      </w:r>
    </w:p>
    <w:p w14:paraId="152458F0" w14:textId="77777777" w:rsidR="00924992" w:rsidRDefault="00924992">
      <w:pPr>
        <w:pStyle w:val="Bodytext20"/>
        <w:framePr w:w="1824" w:h="3053" w:wrap="none" w:hAnchor="page" w:x="7873" w:y="1283"/>
        <w:spacing w:after="420"/>
      </w:pPr>
      <w:r>
        <w:rPr>
          <w:color w:val="000000"/>
        </w:rPr>
        <w:t>22.5 mg en 3 dosis (dosis diaria del adulto, igual)</w:t>
      </w:r>
    </w:p>
    <w:p w14:paraId="2E749A46" w14:textId="77777777" w:rsidR="00924992" w:rsidRDefault="00924992">
      <w:pPr>
        <w:pStyle w:val="Bodytext20"/>
        <w:framePr w:w="1824" w:h="3053" w:wrap="none" w:hAnchor="page" w:x="7873" w:y="1283"/>
        <w:spacing w:after="420"/>
      </w:pPr>
      <w:r>
        <w:rPr>
          <w:color w:val="000000"/>
        </w:rPr>
        <w:t>Inapropiada</w:t>
      </w:r>
    </w:p>
    <w:p w14:paraId="4A4F33EA" w14:textId="77777777" w:rsidR="00924992" w:rsidRDefault="00924992">
      <w:pPr>
        <w:pStyle w:val="Bodytext20"/>
        <w:framePr w:w="1824" w:h="3053" w:wrap="none" w:hAnchor="page" w:x="7873" w:y="1283"/>
        <w:spacing w:after="420"/>
      </w:pPr>
      <w:r>
        <w:rPr>
          <w:color w:val="000000"/>
        </w:rPr>
        <w:t>Inapropiada</w:t>
      </w:r>
    </w:p>
    <w:p w14:paraId="5B877298" w14:textId="77777777" w:rsidR="00924992" w:rsidRDefault="00924992">
      <w:pPr>
        <w:pStyle w:val="Bodytext20"/>
        <w:framePr w:w="1824" w:h="3053" w:wrap="none" w:hAnchor="page" w:x="7873" w:y="1283"/>
        <w:spacing w:after="420"/>
      </w:pPr>
      <w:r>
        <w:rPr>
          <w:color w:val="000000"/>
        </w:rPr>
        <w:t>Inapropiada</w:t>
      </w:r>
    </w:p>
    <w:p w14:paraId="76442235" w14:textId="77777777" w:rsidR="00924992" w:rsidRDefault="00924992">
      <w:pPr>
        <w:pStyle w:val="Bodytext20"/>
        <w:framePr w:w="1282" w:h="446" w:wrap="none" w:hAnchor="page" w:x="673" w:y="5171"/>
        <w:spacing w:line="240" w:lineRule="auto"/>
      </w:pPr>
      <w:r>
        <w:rPr>
          <w:b/>
          <w:bCs/>
          <w:color w:val="000000"/>
        </w:rPr>
        <w:t>Oxazolidinonas</w:t>
      </w:r>
    </w:p>
    <w:p w14:paraId="2EE14829" w14:textId="77777777" w:rsidR="00924992" w:rsidRDefault="00924992">
      <w:pPr>
        <w:pStyle w:val="Bodytext20"/>
        <w:framePr w:w="1282" w:h="446" w:wrap="none" w:hAnchor="page" w:x="673" w:y="5171"/>
        <w:spacing w:line="240" w:lineRule="auto"/>
      </w:pPr>
      <w:r>
        <w:rPr>
          <w:color w:val="000000"/>
        </w:rPr>
        <w:t>Linezolid (Zyvox)</w:t>
      </w:r>
    </w:p>
    <w:p w14:paraId="139A1EF2" w14:textId="77777777" w:rsidR="00924992" w:rsidRDefault="00924992">
      <w:pPr>
        <w:pStyle w:val="Bodytext20"/>
        <w:framePr w:w="566" w:h="221" w:wrap="none" w:hAnchor="page" w:x="3270" w:y="5391"/>
        <w:spacing w:line="240" w:lineRule="auto"/>
      </w:pPr>
      <w:r>
        <w:rPr>
          <w:color w:val="000000"/>
        </w:rPr>
        <w:t>PO, IV</w:t>
      </w:r>
    </w:p>
    <w:p w14:paraId="1AA1D96C" w14:textId="77777777" w:rsidR="00924992" w:rsidRDefault="00924992">
      <w:pPr>
        <w:pStyle w:val="Bodytext20"/>
        <w:framePr w:w="1771" w:h="677" w:wrap="none" w:hAnchor="page" w:x="5747" w:y="5387"/>
      </w:pPr>
      <w:r>
        <w:rPr>
          <w:color w:val="000000"/>
        </w:rPr>
        <w:t>20-30 mg en 3 dosis (dosis diaria del adulto,</w:t>
      </w:r>
    </w:p>
    <w:p w14:paraId="4E1EBDDB" w14:textId="77777777" w:rsidR="00924992" w:rsidRDefault="00924992">
      <w:pPr>
        <w:pStyle w:val="Bodytext20"/>
        <w:framePr w:w="1771" w:h="677" w:wrap="none" w:hAnchor="page" w:x="5747" w:y="5387"/>
      </w:pPr>
      <w:r>
        <w:rPr>
          <w:color w:val="000000"/>
        </w:rPr>
        <w:t>800 mg)</w:t>
      </w:r>
    </w:p>
    <w:p w14:paraId="0C664830" w14:textId="77777777" w:rsidR="00924992" w:rsidRDefault="00924992">
      <w:pPr>
        <w:pStyle w:val="Bodytext20"/>
        <w:framePr w:w="2006" w:h="461" w:wrap="none" w:hAnchor="page" w:x="7873" w:y="5387"/>
      </w:pPr>
      <w:r>
        <w:rPr>
          <w:color w:val="000000"/>
        </w:rPr>
        <w:t>20-30 mg en 3 dosis (dosis diaria del adulto, 1 200 mg)</w:t>
      </w:r>
    </w:p>
    <w:p w14:paraId="4AEC13CE" w14:textId="77777777" w:rsidR="00924992" w:rsidRDefault="00924992">
      <w:pPr>
        <w:pStyle w:val="Bodytext20"/>
        <w:framePr w:w="1973" w:h="3917" w:wrap="none" w:hAnchor="page" w:x="9999" w:y="1931"/>
        <w:jc w:val="both"/>
      </w:pPr>
      <w:r>
        <w:rPr>
          <w:color w:val="000000"/>
        </w:rPr>
        <w:t>Eficacia moderada contra</w:t>
      </w:r>
    </w:p>
    <w:p w14:paraId="5DC0B2C8" w14:textId="77777777" w:rsidR="00924992" w:rsidRDefault="00924992">
      <w:pPr>
        <w:pStyle w:val="Bodytext20"/>
        <w:framePr w:w="1973" w:h="3917" w:wrap="none" w:hAnchor="page" w:x="9999" w:y="1931"/>
      </w:pPr>
      <w:r>
        <w:rPr>
          <w:i/>
          <w:iCs/>
          <w:color w:val="000000"/>
        </w:rPr>
        <w:t xml:space="preserve">Enterococcus faecium </w:t>
      </w:r>
      <w:r>
        <w:rPr>
          <w:color w:val="000000"/>
        </w:rPr>
        <w:t>resistente a vancomicina.</w:t>
      </w:r>
    </w:p>
    <w:p w14:paraId="4497808B" w14:textId="77777777" w:rsidR="00924992" w:rsidRDefault="00924992">
      <w:pPr>
        <w:pStyle w:val="Bodytext20"/>
        <w:framePr w:w="1973" w:h="3917" w:wrap="none" w:hAnchor="page" w:x="9999" w:y="1931"/>
      </w:pPr>
      <w:r>
        <w:rPr>
          <w:color w:val="000000"/>
        </w:rPr>
        <w:t>Uso limitado en niños.</w:t>
      </w:r>
    </w:p>
    <w:p w14:paraId="032B1ED4" w14:textId="77777777" w:rsidR="00924992" w:rsidRDefault="00924992">
      <w:pPr>
        <w:pStyle w:val="Bodytext20"/>
        <w:framePr w:w="1973" w:h="3917" w:wrap="none" w:hAnchor="page" w:x="9999" w:y="1931"/>
      </w:pPr>
      <w:r>
        <w:rPr>
          <w:color w:val="000000"/>
        </w:rPr>
        <w:t>No debe usarse en lactantes; el pH de orina debe ajustarse a 5-5.5.</w:t>
      </w:r>
    </w:p>
    <w:p w14:paraId="284A65B0" w14:textId="77777777" w:rsidR="00924992" w:rsidRDefault="00924992">
      <w:pPr>
        <w:pStyle w:val="Bodytext20"/>
        <w:framePr w:w="1973" w:h="3917" w:wrap="none" w:hAnchor="page" w:x="9999" w:y="1931"/>
      </w:pPr>
      <w:r>
        <w:rPr>
          <w:color w:val="000000"/>
        </w:rPr>
        <w:t>No se ha definido su inocuidad en lactantes y niños.</w:t>
      </w:r>
    </w:p>
    <w:p w14:paraId="492BCD08" w14:textId="77777777" w:rsidR="00924992" w:rsidRDefault="00924992">
      <w:pPr>
        <w:pStyle w:val="Bodytext20"/>
        <w:framePr w:w="1973" w:h="3917" w:wrap="none" w:hAnchor="page" w:x="9999" w:y="1931"/>
        <w:spacing w:after="200"/>
      </w:pPr>
      <w:r>
        <w:rPr>
          <w:color w:val="000000"/>
        </w:rPr>
        <w:t>No debe usarse en lactantes de corta edad; la dosis profiláctica es de 1-2 mg/ kg de peso al día en una dosis.</w:t>
      </w:r>
    </w:p>
    <w:p w14:paraId="30659050" w14:textId="77777777" w:rsidR="00924992" w:rsidRDefault="00924992">
      <w:pPr>
        <w:pStyle w:val="Bodytext20"/>
        <w:framePr w:w="1973" w:h="3917" w:wrap="none" w:hAnchor="page" w:x="9999" w:y="1931"/>
        <w:jc w:val="both"/>
      </w:pPr>
      <w:r>
        <w:rPr>
          <w:color w:val="000000"/>
        </w:rPr>
        <w:t>Pueden ocasionar mielosupresión.</w:t>
      </w:r>
    </w:p>
    <w:p w14:paraId="435E0FD3" w14:textId="77777777" w:rsidR="00924992" w:rsidRDefault="00924992">
      <w:pPr>
        <w:pStyle w:val="Bodytext80"/>
        <w:framePr w:w="168" w:h="4958" w:hRule="exact" w:wrap="none" w:hAnchor="page" w:x="12390" w:y="49"/>
        <w:tabs>
          <w:tab w:val="left" w:pos="1906"/>
        </w:tabs>
        <w:textDirection w:val="tbRl"/>
      </w:pPr>
      <w:r>
        <w:rPr>
          <w:sz w:val="16"/>
          <w:szCs w:val="16"/>
        </w:rPr>
        <w:t>740</w:t>
      </w:r>
      <w:r>
        <w:rPr>
          <w:sz w:val="16"/>
          <w:szCs w:val="16"/>
        </w:rPr>
        <w:tab/>
      </w:r>
      <w:r>
        <w:t>CUADROS DE DOSIS DE ANTIMICROBIANOS</w:t>
      </w:r>
    </w:p>
    <w:p w14:paraId="0A91E56D" w14:textId="77777777" w:rsidR="00924992" w:rsidRDefault="00924992">
      <w:pPr>
        <w:spacing w:line="360" w:lineRule="exact"/>
      </w:pPr>
    </w:p>
    <w:p w14:paraId="1A1B3CEC" w14:textId="77777777" w:rsidR="00924992" w:rsidRDefault="00924992">
      <w:pPr>
        <w:spacing w:line="360" w:lineRule="exact"/>
      </w:pPr>
    </w:p>
    <w:p w14:paraId="21FCF7A9" w14:textId="77777777" w:rsidR="00924992" w:rsidRDefault="00924992">
      <w:pPr>
        <w:spacing w:line="360" w:lineRule="exact"/>
      </w:pPr>
    </w:p>
    <w:p w14:paraId="00B5E4A4" w14:textId="77777777" w:rsidR="00924992" w:rsidRDefault="00924992">
      <w:pPr>
        <w:spacing w:line="360" w:lineRule="exact"/>
      </w:pPr>
    </w:p>
    <w:p w14:paraId="5D111DAD" w14:textId="77777777" w:rsidR="00924992" w:rsidRDefault="00924992">
      <w:pPr>
        <w:spacing w:line="360" w:lineRule="exact"/>
      </w:pPr>
    </w:p>
    <w:p w14:paraId="74AC553B" w14:textId="77777777" w:rsidR="00924992" w:rsidRDefault="00924992">
      <w:pPr>
        <w:spacing w:line="360" w:lineRule="exact"/>
      </w:pPr>
    </w:p>
    <w:p w14:paraId="124EA682" w14:textId="77777777" w:rsidR="00924992" w:rsidRDefault="00924992">
      <w:pPr>
        <w:spacing w:line="360" w:lineRule="exact"/>
      </w:pPr>
    </w:p>
    <w:p w14:paraId="6E567642" w14:textId="77777777" w:rsidR="00924992" w:rsidRDefault="00924992">
      <w:pPr>
        <w:spacing w:line="360" w:lineRule="exact"/>
      </w:pPr>
    </w:p>
    <w:p w14:paraId="0603A230" w14:textId="77777777" w:rsidR="00924992" w:rsidRDefault="00924992">
      <w:pPr>
        <w:spacing w:line="360" w:lineRule="exact"/>
      </w:pPr>
    </w:p>
    <w:p w14:paraId="5471C79B" w14:textId="77777777" w:rsidR="00924992" w:rsidRDefault="00924992">
      <w:pPr>
        <w:spacing w:line="360" w:lineRule="exact"/>
      </w:pPr>
    </w:p>
    <w:p w14:paraId="2C0359AE" w14:textId="77777777" w:rsidR="00924992" w:rsidRDefault="00924992">
      <w:pPr>
        <w:spacing w:line="360" w:lineRule="exact"/>
      </w:pPr>
    </w:p>
    <w:p w14:paraId="17942FEC" w14:textId="77777777" w:rsidR="00924992" w:rsidRDefault="00924992">
      <w:pPr>
        <w:spacing w:line="360" w:lineRule="exact"/>
      </w:pPr>
    </w:p>
    <w:p w14:paraId="2AFF1DB1" w14:textId="77777777" w:rsidR="00924992" w:rsidRDefault="00924992">
      <w:pPr>
        <w:spacing w:line="360" w:lineRule="exact"/>
      </w:pPr>
    </w:p>
    <w:p w14:paraId="1822E88B" w14:textId="77777777" w:rsidR="00924992" w:rsidRDefault="00924992">
      <w:pPr>
        <w:spacing w:line="360" w:lineRule="exact"/>
      </w:pPr>
    </w:p>
    <w:p w14:paraId="0E3FDCCA" w14:textId="77777777" w:rsidR="00924992" w:rsidRDefault="00924992">
      <w:pPr>
        <w:spacing w:line="360" w:lineRule="exact"/>
      </w:pPr>
    </w:p>
    <w:p w14:paraId="4305DF04" w14:textId="77777777" w:rsidR="00924992" w:rsidRDefault="00924992">
      <w:pPr>
        <w:spacing w:after="661" w:line="1" w:lineRule="exact"/>
      </w:pPr>
    </w:p>
    <w:p w14:paraId="534967AE" w14:textId="77777777" w:rsidR="00924992" w:rsidRDefault="00924992">
      <w:pPr>
        <w:spacing w:line="1" w:lineRule="exact"/>
        <w:sectPr w:rsidR="00924992" w:rsidSect="00924992">
          <w:pgSz w:w="13022" w:h="8501" w:orient="landscape"/>
          <w:pgMar w:top="456" w:right="465" w:bottom="975" w:left="643" w:header="28" w:footer="3" w:gutter="0"/>
          <w:cols w:space="720"/>
          <w:noEndnote/>
          <w:docGrid w:linePitch="360"/>
          <w15:footnoteColumns w:val="1"/>
        </w:sectPr>
      </w:pPr>
    </w:p>
    <w:p w14:paraId="421B6623" w14:textId="77777777" w:rsidR="00924992" w:rsidRDefault="00924992">
      <w:pPr>
        <w:pStyle w:val="Heading31"/>
        <w:keepNext/>
        <w:keepLines/>
        <w:framePr w:w="8122" w:h="322" w:wrap="none" w:hAnchor="page" w:x="2286" w:y="1"/>
        <w:rPr>
          <w:sz w:val="16"/>
          <w:szCs w:val="16"/>
        </w:rPr>
      </w:pPr>
      <w:bookmarkStart w:id="298" w:name="bookmark1744"/>
      <w:bookmarkStart w:id="299" w:name="bookmark1745"/>
      <w:bookmarkStart w:id="300" w:name="bookmark1746"/>
      <w:r>
        <w:rPr>
          <w:b w:val="0"/>
          <w:bCs w:val="0"/>
          <w:color w:val="000000"/>
        </w:rPr>
        <w:t xml:space="preserve">Cuadro 4-2. </w:t>
      </w:r>
      <w:r>
        <w:rPr>
          <w:color w:val="000000"/>
        </w:rPr>
        <w:t xml:space="preserve">Empleo de antibacterianos en niños después del periodo neonatal </w:t>
      </w:r>
      <w:r>
        <w:rPr>
          <w:rFonts w:ascii="Times New Roman" w:eastAsia="Times New Roman" w:hAnsi="Times New Roman" w:cs="Times New Roman"/>
          <w:b w:val="0"/>
          <w:bCs w:val="0"/>
          <w:i/>
          <w:iCs/>
          <w:color w:val="000000"/>
          <w:w w:val="100"/>
          <w:sz w:val="16"/>
          <w:szCs w:val="16"/>
        </w:rPr>
        <w:t>continuación</w:t>
      </w:r>
      <w:bookmarkEnd w:id="298"/>
      <w:bookmarkEnd w:id="299"/>
      <w:bookmarkEnd w:id="300"/>
    </w:p>
    <w:p w14:paraId="302A2415" w14:textId="77777777" w:rsidR="00924992" w:rsidRDefault="00924992">
      <w:pPr>
        <w:pStyle w:val="Heading41"/>
        <w:keepNext/>
        <w:keepLines/>
        <w:framePr w:w="10435" w:h="864" w:wrap="none" w:hAnchor="page" w:x="668" w:y="351"/>
        <w:pBdr>
          <w:top w:val="single" w:sz="0" w:space="0" w:color="000000"/>
          <w:left w:val="single" w:sz="0" w:space="0" w:color="000000"/>
          <w:bottom w:val="single" w:sz="0" w:space="3" w:color="000000"/>
          <w:right w:val="single" w:sz="0" w:space="0" w:color="000000"/>
        </w:pBdr>
        <w:shd w:val="clear" w:color="auto" w:fill="000000"/>
        <w:tabs>
          <w:tab w:val="left" w:leader="underscore" w:pos="3393"/>
          <w:tab w:val="left" w:leader="underscore" w:pos="6561"/>
        </w:tabs>
        <w:ind w:left="2620"/>
      </w:pPr>
      <w:bookmarkStart w:id="301" w:name="bookmark1749"/>
      <w:r>
        <w:rPr>
          <w:color w:val="FFFFFF"/>
          <w:u w:val="single"/>
        </w:rPr>
        <w:tab/>
        <w:t>Dosis por kg de peso al día</w:t>
      </w:r>
      <w:r>
        <w:rPr>
          <w:color w:val="FFFFFF"/>
          <w:u w:val="single"/>
        </w:rPr>
        <w:tab/>
      </w:r>
      <w:bookmarkEnd w:id="301"/>
    </w:p>
    <w:p w14:paraId="5BB70B86" w14:textId="77777777" w:rsidR="00924992" w:rsidRDefault="00924992">
      <w:pPr>
        <w:pStyle w:val="Heading41"/>
        <w:keepNext/>
        <w:keepLines/>
        <w:framePr w:w="10435" w:h="864" w:wrap="none" w:hAnchor="page" w:x="668" w:y="351"/>
        <w:pBdr>
          <w:top w:val="single" w:sz="0" w:space="0" w:color="000000"/>
          <w:left w:val="single" w:sz="0" w:space="0" w:color="000000"/>
          <w:bottom w:val="single" w:sz="0" w:space="3" w:color="000000"/>
          <w:right w:val="single" w:sz="0" w:space="0" w:color="000000"/>
        </w:pBdr>
        <w:shd w:val="clear" w:color="auto" w:fill="000000"/>
        <w:tabs>
          <w:tab w:val="left" w:pos="5098"/>
        </w:tabs>
      </w:pPr>
      <w:bookmarkStart w:id="302" w:name="bookmark1747"/>
      <w:bookmarkStart w:id="303" w:name="bookmark1748"/>
      <w:bookmarkStart w:id="304" w:name="bookmark1750"/>
      <w:r>
        <w:rPr>
          <w:color w:val="FFFFFF"/>
        </w:rPr>
        <w:t>Fármaco, nombre genérico Vía de administración Infecciones leves Infecciones graves Comentarios (y comercial)</w:t>
      </w:r>
      <w:r>
        <w:rPr>
          <w:color w:val="FFFFFF"/>
        </w:rPr>
        <w:tab/>
        <w:t>o moderadas</w:t>
      </w:r>
      <w:bookmarkEnd w:id="302"/>
      <w:bookmarkEnd w:id="303"/>
      <w:bookmarkEnd w:id="304"/>
    </w:p>
    <w:tbl>
      <w:tblPr>
        <w:tblOverlap w:val="never"/>
        <w:tblW w:w="0" w:type="auto"/>
        <w:tblLayout w:type="fixed"/>
        <w:tblCellMar>
          <w:left w:w="10" w:type="dxa"/>
          <w:right w:w="10" w:type="dxa"/>
        </w:tblCellMar>
        <w:tblLook w:val="04A0" w:firstRow="1" w:lastRow="0" w:firstColumn="1" w:lastColumn="0" w:noHBand="0" w:noVBand="1"/>
      </w:tblPr>
      <w:tblGrid>
        <w:gridCol w:w="2530"/>
        <w:gridCol w:w="1574"/>
        <w:gridCol w:w="3005"/>
        <w:gridCol w:w="2155"/>
        <w:gridCol w:w="2083"/>
      </w:tblGrid>
      <w:tr w:rsidR="00924992" w14:paraId="2748BE77" w14:textId="77777777">
        <w:tblPrEx>
          <w:tblCellMar>
            <w:top w:w="0" w:type="dxa"/>
            <w:bottom w:w="0" w:type="dxa"/>
          </w:tblCellMar>
        </w:tblPrEx>
        <w:trPr>
          <w:trHeight w:hRule="exact" w:val="216"/>
        </w:trPr>
        <w:tc>
          <w:tcPr>
            <w:tcW w:w="2530" w:type="dxa"/>
            <w:shd w:val="clear" w:color="auto" w:fill="FFFFFF"/>
            <w:vAlign w:val="bottom"/>
          </w:tcPr>
          <w:p w14:paraId="184201FA" w14:textId="77777777" w:rsidR="00924992" w:rsidRDefault="00924992">
            <w:pPr>
              <w:pStyle w:val="Other0"/>
              <w:framePr w:w="11347" w:h="4123" w:vSpace="437" w:wrap="none" w:hAnchor="page" w:x="668" w:y="1724"/>
              <w:spacing w:line="240" w:lineRule="auto"/>
              <w:ind w:firstLine="0"/>
              <w:rPr>
                <w:sz w:val="16"/>
                <w:szCs w:val="16"/>
              </w:rPr>
            </w:pPr>
            <w:r>
              <w:rPr>
                <w:rFonts w:ascii="Times New Roman" w:eastAsia="Times New Roman" w:hAnsi="Times New Roman" w:cs="Times New Roman"/>
                <w:color w:val="000000"/>
                <w:sz w:val="16"/>
                <w:szCs w:val="16"/>
              </w:rPr>
              <w:t>Ampicilina (diversos tipos)</w:t>
            </w:r>
          </w:p>
        </w:tc>
        <w:tc>
          <w:tcPr>
            <w:tcW w:w="1574" w:type="dxa"/>
            <w:shd w:val="clear" w:color="auto" w:fill="FFFFFF"/>
            <w:vAlign w:val="bottom"/>
          </w:tcPr>
          <w:p w14:paraId="375295AF" w14:textId="77777777" w:rsidR="00924992" w:rsidRDefault="00924992">
            <w:pPr>
              <w:pStyle w:val="Other0"/>
              <w:framePr w:w="11347" w:h="4123" w:vSpace="437" w:wrap="none" w:hAnchor="page" w:x="668" w:y="1724"/>
              <w:spacing w:line="240" w:lineRule="auto"/>
              <w:ind w:firstLine="0"/>
              <w:rPr>
                <w:sz w:val="16"/>
                <w:szCs w:val="16"/>
              </w:rPr>
            </w:pPr>
            <w:r>
              <w:rPr>
                <w:rFonts w:ascii="Times New Roman" w:eastAsia="Times New Roman" w:hAnsi="Times New Roman" w:cs="Times New Roman"/>
                <w:color w:val="000000"/>
                <w:sz w:val="16"/>
                <w:szCs w:val="16"/>
              </w:rPr>
              <w:t>IV, IM</w:t>
            </w:r>
          </w:p>
        </w:tc>
        <w:tc>
          <w:tcPr>
            <w:tcW w:w="3005" w:type="dxa"/>
            <w:shd w:val="clear" w:color="auto" w:fill="FFFFFF"/>
            <w:vAlign w:val="bottom"/>
          </w:tcPr>
          <w:p w14:paraId="76452773" w14:textId="77777777" w:rsidR="00924992" w:rsidRDefault="00924992">
            <w:pPr>
              <w:pStyle w:val="Other0"/>
              <w:framePr w:w="11347" w:h="4123" w:vSpace="437" w:wrap="none" w:hAnchor="page" w:x="668" w:y="1724"/>
              <w:spacing w:line="240" w:lineRule="auto"/>
              <w:ind w:firstLine="1000"/>
              <w:rPr>
                <w:sz w:val="16"/>
                <w:szCs w:val="16"/>
              </w:rPr>
            </w:pPr>
            <w:r>
              <w:rPr>
                <w:rFonts w:ascii="Times New Roman" w:eastAsia="Times New Roman" w:hAnsi="Times New Roman" w:cs="Times New Roman"/>
                <w:color w:val="000000"/>
                <w:sz w:val="16"/>
                <w:szCs w:val="16"/>
              </w:rPr>
              <w:t>100-150 mg en 4 dosis</w:t>
            </w:r>
          </w:p>
        </w:tc>
        <w:tc>
          <w:tcPr>
            <w:tcW w:w="2155" w:type="dxa"/>
            <w:shd w:val="clear" w:color="auto" w:fill="FFFFFF"/>
            <w:vAlign w:val="bottom"/>
          </w:tcPr>
          <w:p w14:paraId="56074E8D" w14:textId="77777777" w:rsidR="00924992" w:rsidRDefault="00924992">
            <w:pPr>
              <w:pStyle w:val="Other0"/>
              <w:framePr w:w="11347" w:h="4123" w:vSpace="437" w:wrap="none" w:hAnchor="page" w:x="668" w:y="1724"/>
              <w:spacing w:line="240" w:lineRule="auto"/>
              <w:ind w:firstLine="0"/>
              <w:rPr>
                <w:sz w:val="16"/>
                <w:szCs w:val="16"/>
              </w:rPr>
            </w:pPr>
            <w:r>
              <w:rPr>
                <w:rFonts w:ascii="Times New Roman" w:eastAsia="Times New Roman" w:hAnsi="Times New Roman" w:cs="Times New Roman"/>
                <w:color w:val="000000"/>
                <w:sz w:val="16"/>
                <w:szCs w:val="16"/>
              </w:rPr>
              <w:t>200-400 mg en 4 dosis</w:t>
            </w:r>
          </w:p>
        </w:tc>
        <w:tc>
          <w:tcPr>
            <w:tcW w:w="2083" w:type="dxa"/>
            <w:shd w:val="clear" w:color="auto" w:fill="FFFFFF"/>
            <w:vAlign w:val="bottom"/>
          </w:tcPr>
          <w:p w14:paraId="715D6717" w14:textId="77777777" w:rsidR="00924992" w:rsidRDefault="00924992">
            <w:pPr>
              <w:pStyle w:val="Other0"/>
              <w:framePr w:w="11347" w:h="4123" w:vSpace="437" w:wrap="none" w:hAnchor="page" w:x="668" w:y="1724"/>
              <w:spacing w:line="240" w:lineRule="auto"/>
              <w:ind w:firstLine="0"/>
              <w:rPr>
                <w:sz w:val="16"/>
                <w:szCs w:val="16"/>
              </w:rPr>
            </w:pPr>
            <w:r>
              <w:rPr>
                <w:rFonts w:ascii="Times New Roman" w:eastAsia="Times New Roman" w:hAnsi="Times New Roman" w:cs="Times New Roman"/>
                <w:color w:val="000000"/>
                <w:sz w:val="16"/>
                <w:szCs w:val="16"/>
              </w:rPr>
              <w:t>Se recomienda usar una</w:t>
            </w:r>
          </w:p>
        </w:tc>
      </w:tr>
      <w:tr w:rsidR="00924992" w14:paraId="03DDD33A" w14:textId="77777777">
        <w:tblPrEx>
          <w:tblCellMar>
            <w:top w:w="0" w:type="dxa"/>
            <w:bottom w:w="0" w:type="dxa"/>
          </w:tblCellMar>
        </w:tblPrEx>
        <w:trPr>
          <w:trHeight w:hRule="exact" w:val="1085"/>
        </w:trPr>
        <w:tc>
          <w:tcPr>
            <w:tcW w:w="2530" w:type="dxa"/>
            <w:shd w:val="clear" w:color="auto" w:fill="FFFFFF"/>
          </w:tcPr>
          <w:p w14:paraId="2CBF9E4B" w14:textId="77777777" w:rsidR="00924992" w:rsidRDefault="00924992">
            <w:pPr>
              <w:framePr w:w="11347" w:h="4123" w:vSpace="437" w:wrap="none" w:hAnchor="page" w:x="668" w:y="1724"/>
              <w:rPr>
                <w:sz w:val="10"/>
                <w:szCs w:val="10"/>
              </w:rPr>
            </w:pPr>
          </w:p>
        </w:tc>
        <w:tc>
          <w:tcPr>
            <w:tcW w:w="1574" w:type="dxa"/>
            <w:shd w:val="clear" w:color="auto" w:fill="FFFFFF"/>
            <w:vAlign w:val="center"/>
          </w:tcPr>
          <w:p w14:paraId="4E286C87" w14:textId="77777777" w:rsidR="00924992" w:rsidRDefault="00924992">
            <w:pPr>
              <w:pStyle w:val="Other0"/>
              <w:framePr w:w="11347" w:h="4123" w:vSpace="437" w:wrap="none" w:hAnchor="page" w:x="668" w:y="1724"/>
              <w:spacing w:line="240" w:lineRule="auto"/>
              <w:ind w:firstLine="0"/>
              <w:rPr>
                <w:sz w:val="16"/>
                <w:szCs w:val="16"/>
              </w:rPr>
            </w:pPr>
            <w:r>
              <w:rPr>
                <w:rFonts w:ascii="Times New Roman" w:eastAsia="Times New Roman" w:hAnsi="Times New Roman" w:cs="Times New Roman"/>
                <w:color w:val="000000"/>
                <w:sz w:val="16"/>
                <w:szCs w:val="16"/>
              </w:rPr>
              <w:t>PO</w:t>
            </w:r>
          </w:p>
        </w:tc>
        <w:tc>
          <w:tcPr>
            <w:tcW w:w="3005" w:type="dxa"/>
            <w:shd w:val="clear" w:color="auto" w:fill="FFFFFF"/>
            <w:vAlign w:val="bottom"/>
          </w:tcPr>
          <w:p w14:paraId="7FD8433E" w14:textId="77777777" w:rsidR="00924992" w:rsidRDefault="00924992">
            <w:pPr>
              <w:pStyle w:val="Other0"/>
              <w:framePr w:w="11347" w:h="4123" w:vSpace="437" w:wrap="none" w:hAnchor="page" w:x="668" w:y="1724"/>
              <w:spacing w:line="283" w:lineRule="auto"/>
              <w:ind w:left="1100" w:firstLine="0"/>
              <w:rPr>
                <w:sz w:val="16"/>
                <w:szCs w:val="16"/>
              </w:rPr>
            </w:pPr>
            <w:r>
              <w:rPr>
                <w:rFonts w:ascii="Times New Roman" w:eastAsia="Times New Roman" w:hAnsi="Times New Roman" w:cs="Times New Roman"/>
                <w:color w:val="000000"/>
                <w:sz w:val="16"/>
                <w:szCs w:val="16"/>
              </w:rPr>
              <w:t>(dosis diaria del adulto,</w:t>
            </w:r>
          </w:p>
          <w:p w14:paraId="26989750" w14:textId="77777777" w:rsidR="00924992" w:rsidRDefault="00924992">
            <w:pPr>
              <w:pStyle w:val="Other0"/>
              <w:framePr w:w="11347" w:h="4123" w:vSpace="437" w:wrap="none" w:hAnchor="page" w:x="668" w:y="1724"/>
              <w:spacing w:line="240" w:lineRule="auto"/>
              <w:ind w:left="1100" w:firstLine="0"/>
              <w:rPr>
                <w:sz w:val="16"/>
                <w:szCs w:val="16"/>
              </w:rPr>
            </w:pPr>
            <w:r>
              <w:rPr>
                <w:rFonts w:ascii="Times New Roman" w:eastAsia="Times New Roman" w:hAnsi="Times New Roman" w:cs="Times New Roman"/>
                <w:color w:val="000000"/>
                <w:sz w:val="16"/>
                <w:szCs w:val="16"/>
                <w:vertAlign w:val="superscript"/>
              </w:rPr>
              <w:t>2-4</w:t>
            </w:r>
            <w:r>
              <w:rPr>
                <w:rFonts w:ascii="Times New Roman" w:eastAsia="Times New Roman" w:hAnsi="Times New Roman" w:cs="Times New Roman"/>
                <w:color w:val="000000"/>
                <w:sz w:val="16"/>
                <w:szCs w:val="16"/>
              </w:rPr>
              <w:t xml:space="preserve"> g)</w:t>
            </w:r>
          </w:p>
          <w:p w14:paraId="46F1A038" w14:textId="77777777" w:rsidR="00924992" w:rsidRDefault="00924992">
            <w:pPr>
              <w:pStyle w:val="Other0"/>
              <w:framePr w:w="11347" w:h="4123" w:vSpace="437" w:wrap="none" w:hAnchor="page" w:x="668" w:y="1724"/>
              <w:spacing w:line="283" w:lineRule="auto"/>
              <w:ind w:left="1100" w:hanging="100"/>
              <w:rPr>
                <w:sz w:val="16"/>
                <w:szCs w:val="16"/>
              </w:rPr>
            </w:pPr>
            <w:r>
              <w:rPr>
                <w:rFonts w:ascii="Times New Roman" w:eastAsia="Times New Roman" w:hAnsi="Times New Roman" w:cs="Times New Roman"/>
                <w:color w:val="000000"/>
                <w:sz w:val="16"/>
                <w:szCs w:val="16"/>
              </w:rPr>
              <w:t>50-100 mg en 4 dosis (dosis diaria del adulto,</w:t>
            </w:r>
          </w:p>
          <w:p w14:paraId="3E9C5B1C" w14:textId="77777777" w:rsidR="00924992" w:rsidRDefault="00924992">
            <w:pPr>
              <w:pStyle w:val="Other0"/>
              <w:framePr w:w="11347" w:h="4123" w:vSpace="437" w:wrap="none" w:hAnchor="page" w:x="668" w:y="1724"/>
              <w:spacing w:line="283" w:lineRule="auto"/>
              <w:ind w:left="1100" w:firstLine="0"/>
              <w:rPr>
                <w:sz w:val="16"/>
                <w:szCs w:val="16"/>
              </w:rPr>
            </w:pPr>
            <w:r>
              <w:rPr>
                <w:rFonts w:ascii="Times New Roman" w:eastAsia="Times New Roman" w:hAnsi="Times New Roman" w:cs="Times New Roman"/>
                <w:color w:val="000000"/>
                <w:sz w:val="16"/>
                <w:szCs w:val="16"/>
              </w:rPr>
              <w:t>2-4 g)</w:t>
            </w:r>
          </w:p>
        </w:tc>
        <w:tc>
          <w:tcPr>
            <w:tcW w:w="2155" w:type="dxa"/>
            <w:shd w:val="clear" w:color="auto" w:fill="FFFFFF"/>
          </w:tcPr>
          <w:p w14:paraId="0F60280D" w14:textId="77777777" w:rsidR="00924992" w:rsidRDefault="00924992">
            <w:pPr>
              <w:pStyle w:val="Other0"/>
              <w:framePr w:w="11347" w:h="4123" w:vSpace="437" w:wrap="none" w:hAnchor="page" w:x="668" w:y="1724"/>
              <w:spacing w:line="319" w:lineRule="auto"/>
              <w:ind w:left="220" w:firstLine="0"/>
              <w:rPr>
                <w:sz w:val="16"/>
                <w:szCs w:val="16"/>
              </w:rPr>
            </w:pPr>
            <w:r>
              <w:rPr>
                <w:rFonts w:ascii="Times New Roman" w:eastAsia="Times New Roman" w:hAnsi="Times New Roman" w:cs="Times New Roman"/>
                <w:color w:val="000000"/>
                <w:sz w:val="16"/>
                <w:szCs w:val="16"/>
              </w:rPr>
              <w:t>(dosis diaria del adulto, 6-12 g)</w:t>
            </w:r>
          </w:p>
          <w:p w14:paraId="76ED3D42" w14:textId="77777777" w:rsidR="00924992" w:rsidRDefault="00924992">
            <w:pPr>
              <w:pStyle w:val="Other0"/>
              <w:framePr w:w="11347" w:h="4123" w:vSpace="437" w:wrap="none" w:hAnchor="page" w:x="668" w:y="1724"/>
              <w:spacing w:line="240" w:lineRule="auto"/>
              <w:ind w:firstLine="0"/>
              <w:rPr>
                <w:sz w:val="16"/>
                <w:szCs w:val="16"/>
              </w:rPr>
            </w:pPr>
            <w:r>
              <w:rPr>
                <w:rFonts w:ascii="Times New Roman" w:eastAsia="Times New Roman" w:hAnsi="Times New Roman" w:cs="Times New Roman"/>
                <w:color w:val="000000"/>
                <w:sz w:val="16"/>
                <w:szCs w:val="16"/>
              </w:rPr>
              <w:t>Inapropiada</w:t>
            </w:r>
          </w:p>
        </w:tc>
        <w:tc>
          <w:tcPr>
            <w:tcW w:w="2083" w:type="dxa"/>
            <w:shd w:val="clear" w:color="auto" w:fill="FFFFFF"/>
          </w:tcPr>
          <w:p w14:paraId="0653F235" w14:textId="77777777" w:rsidR="00924992" w:rsidRDefault="00924992">
            <w:pPr>
              <w:pStyle w:val="Other0"/>
              <w:framePr w:w="11347" w:h="4123" w:vSpace="437" w:wrap="none" w:hAnchor="page" w:x="668" w:y="1724"/>
              <w:spacing w:line="283" w:lineRule="auto"/>
              <w:ind w:left="200" w:firstLine="0"/>
              <w:rPr>
                <w:sz w:val="16"/>
                <w:szCs w:val="16"/>
              </w:rPr>
            </w:pPr>
            <w:r>
              <w:rPr>
                <w:rFonts w:ascii="Times New Roman" w:eastAsia="Times New Roman" w:hAnsi="Times New Roman" w:cs="Times New Roman"/>
                <w:color w:val="000000"/>
                <w:sz w:val="16"/>
                <w:szCs w:val="16"/>
              </w:rPr>
              <w:t>dosis mayor para tratar la meningitis.</w:t>
            </w:r>
          </w:p>
          <w:p w14:paraId="5D7F9E03" w14:textId="77777777" w:rsidR="00924992" w:rsidRDefault="00924992">
            <w:pPr>
              <w:pStyle w:val="Other0"/>
              <w:framePr w:w="11347" w:h="4123" w:vSpace="437" w:wrap="none" w:hAnchor="page" w:x="668" w:y="1724"/>
              <w:spacing w:line="283" w:lineRule="auto"/>
              <w:ind w:left="200" w:hanging="200"/>
              <w:rPr>
                <w:sz w:val="16"/>
                <w:szCs w:val="16"/>
              </w:rPr>
            </w:pPr>
            <w:r>
              <w:rPr>
                <w:rFonts w:ascii="Times New Roman" w:eastAsia="Times New Roman" w:hAnsi="Times New Roman" w:cs="Times New Roman"/>
                <w:color w:val="000000"/>
                <w:sz w:val="16"/>
                <w:szCs w:val="16"/>
              </w:rPr>
              <w:t>En 20% de los pacientes surge diarrea.</w:t>
            </w:r>
          </w:p>
        </w:tc>
      </w:tr>
      <w:tr w:rsidR="00924992" w14:paraId="03706410" w14:textId="77777777">
        <w:tblPrEx>
          <w:tblCellMar>
            <w:top w:w="0" w:type="dxa"/>
            <w:bottom w:w="0" w:type="dxa"/>
          </w:tblCellMar>
        </w:tblPrEx>
        <w:trPr>
          <w:trHeight w:hRule="exact" w:val="634"/>
        </w:trPr>
        <w:tc>
          <w:tcPr>
            <w:tcW w:w="2530" w:type="dxa"/>
            <w:shd w:val="clear" w:color="auto" w:fill="FFFFFF"/>
          </w:tcPr>
          <w:p w14:paraId="6FFD0E64" w14:textId="77777777" w:rsidR="00924992" w:rsidRDefault="00924992">
            <w:pPr>
              <w:pStyle w:val="Other0"/>
              <w:framePr w:w="11347" w:h="4123" w:vSpace="437" w:wrap="none" w:hAnchor="page" w:x="668" w:y="1724"/>
              <w:spacing w:line="240" w:lineRule="auto"/>
              <w:ind w:firstLine="0"/>
              <w:rPr>
                <w:sz w:val="16"/>
                <w:szCs w:val="16"/>
              </w:rPr>
            </w:pPr>
            <w:r>
              <w:rPr>
                <w:rFonts w:ascii="Times New Roman" w:eastAsia="Times New Roman" w:hAnsi="Times New Roman" w:cs="Times New Roman"/>
                <w:color w:val="000000"/>
                <w:sz w:val="16"/>
                <w:szCs w:val="16"/>
              </w:rPr>
              <w:t>Ampicilina-sulbactam (Unasyn)</w:t>
            </w:r>
          </w:p>
        </w:tc>
        <w:tc>
          <w:tcPr>
            <w:tcW w:w="1574" w:type="dxa"/>
            <w:shd w:val="clear" w:color="auto" w:fill="FFFFFF"/>
          </w:tcPr>
          <w:p w14:paraId="5A1E069E" w14:textId="77777777" w:rsidR="00924992" w:rsidRDefault="00924992">
            <w:pPr>
              <w:pStyle w:val="Other0"/>
              <w:framePr w:w="11347" w:h="4123" w:vSpace="437" w:wrap="none" w:hAnchor="page" w:x="668" w:y="1724"/>
              <w:spacing w:line="240" w:lineRule="auto"/>
              <w:ind w:firstLine="0"/>
              <w:rPr>
                <w:sz w:val="16"/>
                <w:szCs w:val="16"/>
              </w:rPr>
            </w:pPr>
            <w:r>
              <w:rPr>
                <w:rFonts w:ascii="Times New Roman" w:eastAsia="Times New Roman" w:hAnsi="Times New Roman" w:cs="Times New Roman"/>
                <w:color w:val="000000"/>
                <w:sz w:val="16"/>
                <w:szCs w:val="16"/>
              </w:rPr>
              <w:t>IV</w:t>
            </w:r>
          </w:p>
        </w:tc>
        <w:tc>
          <w:tcPr>
            <w:tcW w:w="3005" w:type="dxa"/>
            <w:shd w:val="clear" w:color="auto" w:fill="FFFFFF"/>
          </w:tcPr>
          <w:p w14:paraId="4CF0B1A4" w14:textId="77777777" w:rsidR="00924992" w:rsidRDefault="00924992">
            <w:pPr>
              <w:pStyle w:val="Other0"/>
              <w:framePr w:w="11347" w:h="4123" w:vSpace="437" w:wrap="none" w:hAnchor="page" w:x="668" w:y="1724"/>
              <w:spacing w:line="283" w:lineRule="auto"/>
              <w:ind w:left="1100" w:hanging="100"/>
              <w:rPr>
                <w:sz w:val="16"/>
                <w:szCs w:val="16"/>
              </w:rPr>
            </w:pPr>
            <w:r>
              <w:rPr>
                <w:rFonts w:ascii="Times New Roman" w:eastAsia="Times New Roman" w:hAnsi="Times New Roman" w:cs="Times New Roman"/>
                <w:color w:val="000000"/>
                <w:sz w:val="16"/>
                <w:szCs w:val="16"/>
              </w:rPr>
              <w:t>100-150 mg de ampicilina en 4 dosis</w:t>
            </w:r>
          </w:p>
        </w:tc>
        <w:tc>
          <w:tcPr>
            <w:tcW w:w="2155" w:type="dxa"/>
            <w:shd w:val="clear" w:color="auto" w:fill="FFFFFF"/>
            <w:vAlign w:val="bottom"/>
          </w:tcPr>
          <w:p w14:paraId="48DBBD0A" w14:textId="77777777" w:rsidR="00924992" w:rsidRDefault="00924992">
            <w:pPr>
              <w:pStyle w:val="Other0"/>
              <w:framePr w:w="11347" w:h="4123" w:vSpace="437" w:wrap="none" w:hAnchor="page" w:x="668" w:y="1724"/>
              <w:spacing w:line="283" w:lineRule="auto"/>
              <w:ind w:left="220" w:hanging="220"/>
              <w:rPr>
                <w:sz w:val="16"/>
                <w:szCs w:val="16"/>
              </w:rPr>
            </w:pPr>
            <w:r>
              <w:rPr>
                <w:rFonts w:ascii="Times New Roman" w:eastAsia="Times New Roman" w:hAnsi="Times New Roman" w:cs="Times New Roman"/>
                <w:color w:val="000000"/>
                <w:sz w:val="16"/>
                <w:szCs w:val="16"/>
              </w:rPr>
              <w:t>200-400 mg de ampicilina en 4 dosis (dosis diaria del adulto, 6-12 g)</w:t>
            </w:r>
          </w:p>
        </w:tc>
        <w:tc>
          <w:tcPr>
            <w:tcW w:w="2083" w:type="dxa"/>
            <w:shd w:val="clear" w:color="auto" w:fill="FFFFFF"/>
          </w:tcPr>
          <w:p w14:paraId="30F00805" w14:textId="77777777" w:rsidR="00924992" w:rsidRDefault="00924992">
            <w:pPr>
              <w:pStyle w:val="Other0"/>
              <w:framePr w:w="11347" w:h="4123" w:vSpace="437" w:wrap="none" w:hAnchor="page" w:x="668" w:y="1724"/>
              <w:spacing w:line="283" w:lineRule="auto"/>
              <w:ind w:left="200" w:hanging="200"/>
              <w:rPr>
                <w:sz w:val="16"/>
                <w:szCs w:val="16"/>
              </w:rPr>
            </w:pPr>
            <w:r>
              <w:rPr>
                <w:rFonts w:ascii="Times New Roman" w:eastAsia="Times New Roman" w:hAnsi="Times New Roman" w:cs="Times New Roman"/>
                <w:color w:val="000000"/>
                <w:sz w:val="16"/>
                <w:szCs w:val="16"/>
              </w:rPr>
              <w:t>No se ha aprobado para usar en lactantes y niños.</w:t>
            </w:r>
          </w:p>
        </w:tc>
      </w:tr>
      <w:tr w:rsidR="00924992" w14:paraId="6330A482" w14:textId="77777777">
        <w:tblPrEx>
          <w:tblCellMar>
            <w:top w:w="0" w:type="dxa"/>
            <w:bottom w:w="0" w:type="dxa"/>
          </w:tblCellMar>
        </w:tblPrEx>
        <w:trPr>
          <w:trHeight w:hRule="exact" w:val="1291"/>
        </w:trPr>
        <w:tc>
          <w:tcPr>
            <w:tcW w:w="2530" w:type="dxa"/>
            <w:shd w:val="clear" w:color="auto" w:fill="FFFFFF"/>
          </w:tcPr>
          <w:p w14:paraId="09BB6ECA" w14:textId="77777777" w:rsidR="00924992" w:rsidRDefault="00924992">
            <w:pPr>
              <w:pStyle w:val="Other0"/>
              <w:framePr w:w="11347" w:h="4123" w:vSpace="437" w:wrap="none" w:hAnchor="page" w:x="668" w:y="1724"/>
              <w:spacing w:after="860" w:line="240" w:lineRule="auto"/>
              <w:ind w:firstLine="0"/>
              <w:rPr>
                <w:sz w:val="16"/>
                <w:szCs w:val="16"/>
              </w:rPr>
            </w:pPr>
            <w:r>
              <w:rPr>
                <w:rFonts w:ascii="Times New Roman" w:eastAsia="Times New Roman" w:hAnsi="Times New Roman" w:cs="Times New Roman"/>
                <w:color w:val="000000"/>
                <w:sz w:val="16"/>
                <w:szCs w:val="16"/>
              </w:rPr>
              <w:t>Amoxicilina (diversos tipos)</w:t>
            </w:r>
          </w:p>
          <w:p w14:paraId="7695FEF7" w14:textId="77777777" w:rsidR="00924992" w:rsidRDefault="00924992">
            <w:pPr>
              <w:pStyle w:val="Other0"/>
              <w:framePr w:w="11347" w:h="4123" w:vSpace="437" w:wrap="none" w:hAnchor="page" w:x="668" w:y="1724"/>
              <w:spacing w:line="240" w:lineRule="auto"/>
              <w:ind w:firstLine="0"/>
              <w:rPr>
                <w:sz w:val="16"/>
                <w:szCs w:val="16"/>
              </w:rPr>
            </w:pPr>
            <w:r>
              <w:rPr>
                <w:rFonts w:ascii="Times New Roman" w:eastAsia="Times New Roman" w:hAnsi="Times New Roman" w:cs="Times New Roman"/>
                <w:color w:val="000000"/>
                <w:sz w:val="16"/>
                <w:szCs w:val="16"/>
              </w:rPr>
              <w:t>Amoxicilina-ácido clavulánico</w:t>
            </w:r>
          </w:p>
        </w:tc>
        <w:tc>
          <w:tcPr>
            <w:tcW w:w="1574" w:type="dxa"/>
            <w:shd w:val="clear" w:color="auto" w:fill="FFFFFF"/>
          </w:tcPr>
          <w:p w14:paraId="736343C9" w14:textId="77777777" w:rsidR="00924992" w:rsidRDefault="00924992">
            <w:pPr>
              <w:pStyle w:val="Other0"/>
              <w:framePr w:w="11347" w:h="4123" w:vSpace="437" w:wrap="none" w:hAnchor="page" w:x="668" w:y="1724"/>
              <w:spacing w:line="240" w:lineRule="auto"/>
              <w:ind w:firstLine="0"/>
              <w:rPr>
                <w:sz w:val="16"/>
                <w:szCs w:val="16"/>
              </w:rPr>
            </w:pPr>
            <w:r>
              <w:rPr>
                <w:rFonts w:ascii="Times New Roman" w:eastAsia="Times New Roman" w:hAnsi="Times New Roman" w:cs="Times New Roman"/>
                <w:color w:val="000000"/>
                <w:sz w:val="16"/>
                <w:szCs w:val="16"/>
              </w:rPr>
              <w:t>PO</w:t>
            </w:r>
          </w:p>
        </w:tc>
        <w:tc>
          <w:tcPr>
            <w:tcW w:w="3005" w:type="dxa"/>
            <w:shd w:val="clear" w:color="auto" w:fill="FFFFFF"/>
          </w:tcPr>
          <w:p w14:paraId="422C722D" w14:textId="77777777" w:rsidR="00924992" w:rsidRDefault="00924992">
            <w:pPr>
              <w:pStyle w:val="Other0"/>
              <w:framePr w:w="11347" w:h="4123" w:vSpace="437" w:wrap="none" w:hAnchor="page" w:x="668" w:y="1724"/>
              <w:spacing w:line="283" w:lineRule="auto"/>
              <w:ind w:left="1100" w:hanging="100"/>
              <w:rPr>
                <w:sz w:val="16"/>
                <w:szCs w:val="16"/>
              </w:rPr>
            </w:pPr>
            <w:r>
              <w:rPr>
                <w:rFonts w:ascii="Times New Roman" w:eastAsia="Times New Roman" w:hAnsi="Times New Roman" w:cs="Times New Roman"/>
                <w:color w:val="000000"/>
                <w:sz w:val="16"/>
                <w:szCs w:val="16"/>
              </w:rPr>
              <w:t>25-50 mg en 3 dosis (dosis diaria del adulto, 750 mg-</w:t>
            </w:r>
          </w:p>
          <w:p w14:paraId="3E250170" w14:textId="77777777" w:rsidR="00924992" w:rsidRDefault="00924992">
            <w:pPr>
              <w:pStyle w:val="Other0"/>
              <w:framePr w:w="11347" w:h="4123" w:vSpace="437" w:wrap="none" w:hAnchor="page" w:x="668" w:y="1724"/>
              <w:spacing w:line="283" w:lineRule="auto"/>
              <w:ind w:left="1100" w:firstLine="0"/>
              <w:rPr>
                <w:sz w:val="16"/>
                <w:szCs w:val="16"/>
              </w:rPr>
            </w:pPr>
            <w:r>
              <w:rPr>
                <w:rFonts w:ascii="Times New Roman" w:eastAsia="Times New Roman" w:hAnsi="Times New Roman" w:cs="Times New Roman"/>
                <w:color w:val="000000"/>
                <w:sz w:val="16"/>
                <w:szCs w:val="16"/>
              </w:rPr>
              <w:t>1.5 g)</w:t>
            </w:r>
          </w:p>
        </w:tc>
        <w:tc>
          <w:tcPr>
            <w:tcW w:w="2155" w:type="dxa"/>
            <w:shd w:val="clear" w:color="auto" w:fill="FFFFFF"/>
          </w:tcPr>
          <w:p w14:paraId="2CB4FE67" w14:textId="77777777" w:rsidR="00924992" w:rsidRDefault="00924992">
            <w:pPr>
              <w:pStyle w:val="Other0"/>
              <w:framePr w:w="11347" w:h="4123" w:vSpace="437" w:wrap="none" w:hAnchor="page" w:x="668" w:y="1724"/>
              <w:spacing w:line="240" w:lineRule="auto"/>
              <w:ind w:firstLine="0"/>
              <w:rPr>
                <w:sz w:val="16"/>
                <w:szCs w:val="16"/>
              </w:rPr>
            </w:pPr>
            <w:r>
              <w:rPr>
                <w:rFonts w:ascii="Times New Roman" w:eastAsia="Times New Roman" w:hAnsi="Times New Roman" w:cs="Times New Roman"/>
                <w:color w:val="000000"/>
                <w:sz w:val="16"/>
                <w:szCs w:val="16"/>
              </w:rPr>
              <w:t>Inapropiada</w:t>
            </w:r>
          </w:p>
        </w:tc>
        <w:tc>
          <w:tcPr>
            <w:tcW w:w="2083" w:type="dxa"/>
            <w:shd w:val="clear" w:color="auto" w:fill="FFFFFF"/>
          </w:tcPr>
          <w:p w14:paraId="369091A8" w14:textId="77777777" w:rsidR="00924992" w:rsidRDefault="00924992">
            <w:pPr>
              <w:pStyle w:val="Other0"/>
              <w:framePr w:w="11347" w:h="4123" w:vSpace="437" w:wrap="none" w:hAnchor="page" w:x="668" w:y="1724"/>
              <w:spacing w:line="283" w:lineRule="auto"/>
              <w:ind w:left="200" w:hanging="200"/>
              <w:rPr>
                <w:sz w:val="16"/>
                <w:szCs w:val="16"/>
              </w:rPr>
            </w:pPr>
            <w:r>
              <w:rPr>
                <w:rFonts w:ascii="Times New Roman" w:eastAsia="Times New Roman" w:hAnsi="Times New Roman" w:cs="Times New Roman"/>
                <w:color w:val="000000"/>
                <w:sz w:val="16"/>
                <w:szCs w:val="16"/>
              </w:rPr>
              <w:t>Usar una dosis mayor (80-90 mg en 2 dosis) contra otitis media causada por neumococos resistentes a penicilina.</w:t>
            </w:r>
          </w:p>
        </w:tc>
      </w:tr>
      <w:tr w:rsidR="00924992" w14:paraId="733D533F" w14:textId="77777777">
        <w:tblPrEx>
          <w:tblCellMar>
            <w:top w:w="0" w:type="dxa"/>
            <w:bottom w:w="0" w:type="dxa"/>
          </w:tblCellMar>
        </w:tblPrEx>
        <w:trPr>
          <w:trHeight w:hRule="exact" w:val="437"/>
        </w:trPr>
        <w:tc>
          <w:tcPr>
            <w:tcW w:w="2530" w:type="dxa"/>
            <w:shd w:val="clear" w:color="auto" w:fill="FFFFFF"/>
          </w:tcPr>
          <w:p w14:paraId="5C23FE32" w14:textId="77777777" w:rsidR="00924992" w:rsidRDefault="00924992">
            <w:pPr>
              <w:pStyle w:val="Other0"/>
              <w:framePr w:w="11347" w:h="4123" w:vSpace="437" w:wrap="none" w:hAnchor="page" w:x="668" w:y="1724"/>
              <w:spacing w:line="240" w:lineRule="auto"/>
              <w:ind w:firstLine="0"/>
              <w:rPr>
                <w:sz w:val="16"/>
                <w:szCs w:val="16"/>
              </w:rPr>
            </w:pPr>
            <w:r>
              <w:rPr>
                <w:rFonts w:ascii="Times New Roman" w:eastAsia="Times New Roman" w:hAnsi="Times New Roman" w:cs="Times New Roman"/>
                <w:color w:val="000000"/>
                <w:sz w:val="16"/>
                <w:szCs w:val="16"/>
              </w:rPr>
              <w:t>(Augmentin, razón de 7:1)</w:t>
            </w:r>
          </w:p>
        </w:tc>
        <w:tc>
          <w:tcPr>
            <w:tcW w:w="1574" w:type="dxa"/>
            <w:shd w:val="clear" w:color="auto" w:fill="FFFFFF"/>
          </w:tcPr>
          <w:p w14:paraId="6BDB9E60" w14:textId="77777777" w:rsidR="00924992" w:rsidRDefault="00924992">
            <w:pPr>
              <w:pStyle w:val="Other0"/>
              <w:framePr w:w="11347" w:h="4123" w:vSpace="437" w:wrap="none" w:hAnchor="page" w:x="668" w:y="1724"/>
              <w:spacing w:line="240" w:lineRule="auto"/>
              <w:ind w:firstLine="0"/>
              <w:rPr>
                <w:sz w:val="16"/>
                <w:szCs w:val="16"/>
              </w:rPr>
            </w:pPr>
            <w:r>
              <w:rPr>
                <w:rFonts w:ascii="Times New Roman" w:eastAsia="Times New Roman" w:hAnsi="Times New Roman" w:cs="Times New Roman"/>
                <w:color w:val="000000"/>
                <w:sz w:val="16"/>
                <w:szCs w:val="16"/>
              </w:rPr>
              <w:t>PO</w:t>
            </w:r>
          </w:p>
        </w:tc>
        <w:tc>
          <w:tcPr>
            <w:tcW w:w="3005" w:type="dxa"/>
            <w:shd w:val="clear" w:color="auto" w:fill="FFFFFF"/>
            <w:vAlign w:val="bottom"/>
          </w:tcPr>
          <w:p w14:paraId="6357BD63" w14:textId="77777777" w:rsidR="00924992" w:rsidRDefault="00924992">
            <w:pPr>
              <w:pStyle w:val="Other0"/>
              <w:framePr w:w="11347" w:h="4123" w:vSpace="437" w:wrap="none" w:hAnchor="page" w:x="668" w:y="1724"/>
              <w:spacing w:line="283" w:lineRule="auto"/>
              <w:ind w:left="1100" w:hanging="100"/>
              <w:rPr>
                <w:sz w:val="16"/>
                <w:szCs w:val="16"/>
              </w:rPr>
            </w:pPr>
            <w:r>
              <w:rPr>
                <w:rFonts w:ascii="Times New Roman" w:eastAsia="Times New Roman" w:hAnsi="Times New Roman" w:cs="Times New Roman"/>
                <w:color w:val="000000"/>
                <w:sz w:val="16"/>
                <w:szCs w:val="16"/>
              </w:rPr>
              <w:t>45 mg de amoxicilina en 2 dosis</w:t>
            </w:r>
          </w:p>
        </w:tc>
        <w:tc>
          <w:tcPr>
            <w:tcW w:w="2155" w:type="dxa"/>
            <w:shd w:val="clear" w:color="auto" w:fill="FFFFFF"/>
          </w:tcPr>
          <w:p w14:paraId="38096A30" w14:textId="77777777" w:rsidR="00924992" w:rsidRDefault="00924992">
            <w:pPr>
              <w:pStyle w:val="Other0"/>
              <w:framePr w:w="11347" w:h="4123" w:vSpace="437" w:wrap="none" w:hAnchor="page" w:x="668" w:y="1724"/>
              <w:spacing w:line="240" w:lineRule="auto"/>
              <w:ind w:firstLine="0"/>
              <w:rPr>
                <w:sz w:val="16"/>
                <w:szCs w:val="16"/>
              </w:rPr>
            </w:pPr>
            <w:r>
              <w:rPr>
                <w:rFonts w:ascii="Times New Roman" w:eastAsia="Times New Roman" w:hAnsi="Times New Roman" w:cs="Times New Roman"/>
                <w:color w:val="000000"/>
                <w:sz w:val="16"/>
                <w:szCs w:val="16"/>
              </w:rPr>
              <w:t>Inapropiada</w:t>
            </w:r>
          </w:p>
        </w:tc>
        <w:tc>
          <w:tcPr>
            <w:tcW w:w="2083" w:type="dxa"/>
            <w:shd w:val="clear" w:color="auto" w:fill="FFFFFF"/>
          </w:tcPr>
          <w:p w14:paraId="5C3B8A81" w14:textId="77777777" w:rsidR="00924992" w:rsidRDefault="00924992">
            <w:pPr>
              <w:framePr w:w="11347" w:h="4123" w:vSpace="437" w:wrap="none" w:hAnchor="page" w:x="668" w:y="1724"/>
              <w:rPr>
                <w:sz w:val="10"/>
                <w:szCs w:val="10"/>
              </w:rPr>
            </w:pPr>
          </w:p>
        </w:tc>
      </w:tr>
      <w:tr w:rsidR="00924992" w14:paraId="47DE997E" w14:textId="77777777">
        <w:tblPrEx>
          <w:tblCellMar>
            <w:top w:w="0" w:type="dxa"/>
            <w:bottom w:w="0" w:type="dxa"/>
          </w:tblCellMar>
        </w:tblPrEx>
        <w:trPr>
          <w:trHeight w:hRule="exact" w:val="461"/>
        </w:trPr>
        <w:tc>
          <w:tcPr>
            <w:tcW w:w="2530" w:type="dxa"/>
            <w:shd w:val="clear" w:color="auto" w:fill="FFFFFF"/>
          </w:tcPr>
          <w:p w14:paraId="12AF96AB" w14:textId="77777777" w:rsidR="00924992" w:rsidRDefault="00924992">
            <w:pPr>
              <w:pStyle w:val="Other0"/>
              <w:framePr w:w="11347" w:h="4123" w:vSpace="437" w:wrap="none" w:hAnchor="page" w:x="668" w:y="1724"/>
              <w:spacing w:line="240" w:lineRule="auto"/>
              <w:ind w:firstLine="0"/>
              <w:rPr>
                <w:sz w:val="16"/>
                <w:szCs w:val="16"/>
              </w:rPr>
            </w:pPr>
            <w:r>
              <w:rPr>
                <w:rFonts w:ascii="Times New Roman" w:eastAsia="Times New Roman" w:hAnsi="Times New Roman" w:cs="Times New Roman"/>
                <w:color w:val="000000"/>
                <w:sz w:val="16"/>
                <w:szCs w:val="16"/>
              </w:rPr>
              <w:t>(Augmentin ES-600; razón 14:1)</w:t>
            </w:r>
          </w:p>
        </w:tc>
        <w:tc>
          <w:tcPr>
            <w:tcW w:w="1574" w:type="dxa"/>
            <w:shd w:val="clear" w:color="auto" w:fill="FFFFFF"/>
          </w:tcPr>
          <w:p w14:paraId="7533DE7B" w14:textId="77777777" w:rsidR="00924992" w:rsidRDefault="00924992">
            <w:pPr>
              <w:pStyle w:val="Other0"/>
              <w:framePr w:w="11347" w:h="4123" w:vSpace="437" w:wrap="none" w:hAnchor="page" w:x="668" w:y="1724"/>
              <w:spacing w:line="240" w:lineRule="auto"/>
              <w:ind w:firstLine="0"/>
              <w:rPr>
                <w:sz w:val="16"/>
                <w:szCs w:val="16"/>
              </w:rPr>
            </w:pPr>
            <w:r>
              <w:rPr>
                <w:rFonts w:ascii="Times New Roman" w:eastAsia="Times New Roman" w:hAnsi="Times New Roman" w:cs="Times New Roman"/>
                <w:color w:val="000000"/>
                <w:sz w:val="16"/>
                <w:szCs w:val="16"/>
              </w:rPr>
              <w:t>PO</w:t>
            </w:r>
          </w:p>
        </w:tc>
        <w:tc>
          <w:tcPr>
            <w:tcW w:w="3005" w:type="dxa"/>
            <w:shd w:val="clear" w:color="auto" w:fill="FFFFFF"/>
          </w:tcPr>
          <w:p w14:paraId="61EB1602" w14:textId="77777777" w:rsidR="00924992" w:rsidRDefault="00924992">
            <w:pPr>
              <w:pStyle w:val="Other0"/>
              <w:framePr w:w="11347" w:h="4123" w:vSpace="437" w:wrap="none" w:hAnchor="page" w:x="668" w:y="1724"/>
              <w:spacing w:line="240" w:lineRule="auto"/>
              <w:ind w:firstLine="1000"/>
              <w:rPr>
                <w:sz w:val="16"/>
                <w:szCs w:val="16"/>
              </w:rPr>
            </w:pPr>
            <w:r>
              <w:rPr>
                <w:rFonts w:ascii="Times New Roman" w:eastAsia="Times New Roman" w:hAnsi="Times New Roman" w:cs="Times New Roman"/>
                <w:color w:val="000000"/>
                <w:sz w:val="16"/>
                <w:szCs w:val="16"/>
              </w:rPr>
              <w:t>90 mg de amoxicilina en</w:t>
            </w:r>
          </w:p>
          <w:p w14:paraId="12B8385A" w14:textId="77777777" w:rsidR="00924992" w:rsidRDefault="00924992">
            <w:pPr>
              <w:pStyle w:val="Other0"/>
              <w:framePr w:w="11347" w:h="4123" w:vSpace="437" w:wrap="none" w:hAnchor="page" w:x="668" w:y="1724"/>
              <w:spacing w:line="240" w:lineRule="auto"/>
              <w:ind w:left="1100" w:firstLine="0"/>
              <w:rPr>
                <w:sz w:val="16"/>
                <w:szCs w:val="16"/>
              </w:rPr>
            </w:pPr>
            <w:r>
              <w:rPr>
                <w:rFonts w:ascii="Times New Roman" w:eastAsia="Times New Roman" w:hAnsi="Times New Roman" w:cs="Times New Roman"/>
                <w:color w:val="000000"/>
                <w:sz w:val="16"/>
                <w:szCs w:val="16"/>
              </w:rPr>
              <w:t>2 dosis</w:t>
            </w:r>
          </w:p>
        </w:tc>
        <w:tc>
          <w:tcPr>
            <w:tcW w:w="2155" w:type="dxa"/>
            <w:shd w:val="clear" w:color="auto" w:fill="FFFFFF"/>
          </w:tcPr>
          <w:p w14:paraId="40567E35" w14:textId="77777777" w:rsidR="00924992" w:rsidRDefault="00924992">
            <w:pPr>
              <w:pStyle w:val="Other0"/>
              <w:framePr w:w="11347" w:h="4123" w:vSpace="437" w:wrap="none" w:hAnchor="page" w:x="668" w:y="1724"/>
              <w:spacing w:line="240" w:lineRule="auto"/>
              <w:ind w:firstLine="0"/>
              <w:rPr>
                <w:sz w:val="16"/>
                <w:szCs w:val="16"/>
              </w:rPr>
            </w:pPr>
            <w:r>
              <w:rPr>
                <w:rFonts w:ascii="Times New Roman" w:eastAsia="Times New Roman" w:hAnsi="Times New Roman" w:cs="Times New Roman"/>
                <w:color w:val="000000"/>
                <w:sz w:val="16"/>
                <w:szCs w:val="16"/>
              </w:rPr>
              <w:t>Inapropiada</w:t>
            </w:r>
          </w:p>
        </w:tc>
        <w:tc>
          <w:tcPr>
            <w:tcW w:w="2083" w:type="dxa"/>
            <w:shd w:val="clear" w:color="auto" w:fill="FFFFFF"/>
          </w:tcPr>
          <w:p w14:paraId="513482DB" w14:textId="77777777" w:rsidR="00924992" w:rsidRDefault="00924992">
            <w:pPr>
              <w:pStyle w:val="Other0"/>
              <w:framePr w:w="11347" w:h="4123" w:vSpace="437" w:wrap="none" w:hAnchor="page" w:x="668" w:y="1724"/>
              <w:spacing w:line="240" w:lineRule="auto"/>
              <w:ind w:firstLine="0"/>
              <w:rPr>
                <w:sz w:val="16"/>
                <w:szCs w:val="16"/>
              </w:rPr>
            </w:pPr>
            <w:r>
              <w:rPr>
                <w:rFonts w:ascii="Times New Roman" w:eastAsia="Times New Roman" w:hAnsi="Times New Roman" w:cs="Times New Roman"/>
                <w:color w:val="000000"/>
                <w:sz w:val="16"/>
                <w:szCs w:val="16"/>
              </w:rPr>
              <w:t>Contra otitis media causada</w:t>
            </w:r>
          </w:p>
          <w:p w14:paraId="668CEFF6" w14:textId="77777777" w:rsidR="00924992" w:rsidRDefault="00924992">
            <w:pPr>
              <w:pStyle w:val="Other0"/>
              <w:framePr w:w="11347" w:h="4123" w:vSpace="437" w:wrap="none" w:hAnchor="page" w:x="668" w:y="1724"/>
              <w:spacing w:line="240" w:lineRule="auto"/>
              <w:ind w:firstLine="200"/>
              <w:rPr>
                <w:sz w:val="16"/>
                <w:szCs w:val="16"/>
              </w:rPr>
            </w:pPr>
            <w:r>
              <w:rPr>
                <w:rFonts w:ascii="Times New Roman" w:eastAsia="Times New Roman" w:hAnsi="Times New Roman" w:cs="Times New Roman"/>
                <w:color w:val="000000"/>
                <w:sz w:val="16"/>
                <w:szCs w:val="16"/>
              </w:rPr>
              <w:t>por neumococos</w:t>
            </w:r>
          </w:p>
        </w:tc>
      </w:tr>
    </w:tbl>
    <w:p w14:paraId="41B34A8B" w14:textId="77777777" w:rsidR="00924992" w:rsidRDefault="00924992">
      <w:pPr>
        <w:framePr w:w="11347" w:h="4123" w:vSpace="437" w:wrap="none" w:hAnchor="page" w:x="668" w:y="1724"/>
        <w:spacing w:line="1" w:lineRule="exact"/>
      </w:pPr>
    </w:p>
    <w:p w14:paraId="163F932F" w14:textId="77777777" w:rsidR="00924992" w:rsidRDefault="00924992">
      <w:pPr>
        <w:pStyle w:val="Tablecaption0"/>
        <w:framePr w:w="2290" w:h="456" w:wrap="none" w:hAnchor="page" w:x="678" w:y="1287"/>
        <w:spacing w:line="240" w:lineRule="auto"/>
        <w:ind w:left="0"/>
        <w:rPr>
          <w:sz w:val="16"/>
          <w:szCs w:val="16"/>
        </w:rPr>
      </w:pPr>
      <w:r>
        <w:rPr>
          <w:b/>
          <w:bCs/>
          <w:color w:val="000000"/>
          <w:sz w:val="16"/>
          <w:szCs w:val="16"/>
        </w:rPr>
        <w:t>PENICILINAS</w:t>
      </w:r>
      <w:r>
        <w:rPr>
          <w:b/>
          <w:bCs/>
          <w:color w:val="000000"/>
          <w:sz w:val="16"/>
          <w:szCs w:val="16"/>
          <w:vertAlign w:val="superscript"/>
        </w:rPr>
        <w:t>2</w:t>
      </w:r>
    </w:p>
    <w:p w14:paraId="1FFE4000" w14:textId="77777777" w:rsidR="00924992" w:rsidRDefault="00924992">
      <w:pPr>
        <w:pStyle w:val="Tablecaption0"/>
        <w:framePr w:w="2290" w:h="456" w:wrap="none" w:hAnchor="page" w:x="678" w:y="1287"/>
        <w:spacing w:line="240" w:lineRule="auto"/>
        <w:ind w:left="0"/>
        <w:rPr>
          <w:sz w:val="16"/>
          <w:szCs w:val="16"/>
        </w:rPr>
      </w:pPr>
      <w:r>
        <w:rPr>
          <w:b/>
          <w:bCs/>
          <w:color w:val="000000"/>
          <w:sz w:val="16"/>
          <w:szCs w:val="16"/>
        </w:rPr>
        <w:t>Penicilinas de amplio espectro</w:t>
      </w:r>
    </w:p>
    <w:p w14:paraId="77EA163D" w14:textId="77777777" w:rsidR="00924992" w:rsidRDefault="00924992">
      <w:pPr>
        <w:pStyle w:val="Tablecaption0"/>
        <w:framePr w:w="1560" w:h="677" w:wrap="none" w:hAnchor="page" w:x="10114" w:y="5828"/>
        <w:spacing w:line="283" w:lineRule="auto"/>
        <w:ind w:left="0"/>
        <w:rPr>
          <w:sz w:val="16"/>
          <w:szCs w:val="16"/>
        </w:rPr>
      </w:pPr>
      <w:r>
        <w:rPr>
          <w:color w:val="000000"/>
          <w:sz w:val="16"/>
          <w:szCs w:val="16"/>
        </w:rPr>
        <w:t>resistentes a múltiples fármacos y lactamasa beta-positivos.</w:t>
      </w:r>
    </w:p>
    <w:p w14:paraId="6A6424FC" w14:textId="77777777" w:rsidR="00924992" w:rsidRDefault="00924992">
      <w:pPr>
        <w:pStyle w:val="Bodytext80"/>
        <w:framePr w:w="168" w:h="4930" w:hRule="exact" w:wrap="none" w:hAnchor="page" w:x="12390" w:y="1945"/>
        <w:tabs>
          <w:tab w:val="left" w:pos="4637"/>
        </w:tabs>
        <w:textDirection w:val="tbRl"/>
        <w:rPr>
          <w:sz w:val="16"/>
          <w:szCs w:val="16"/>
        </w:rPr>
      </w:pPr>
      <w:r>
        <w:t>CUADROS DE DOSIS DE ANTIMICROBIANOS</w:t>
      </w:r>
      <w:r>
        <w:tab/>
      </w:r>
      <w:r>
        <w:rPr>
          <w:sz w:val="16"/>
          <w:szCs w:val="16"/>
        </w:rPr>
        <w:t>741</w:t>
      </w:r>
    </w:p>
    <w:p w14:paraId="1EEBB715" w14:textId="77777777" w:rsidR="00924992" w:rsidRDefault="00924992">
      <w:pPr>
        <w:spacing w:line="360" w:lineRule="exact"/>
      </w:pPr>
    </w:p>
    <w:p w14:paraId="53DB6ACF" w14:textId="77777777" w:rsidR="00924992" w:rsidRDefault="00924992">
      <w:pPr>
        <w:spacing w:line="360" w:lineRule="exact"/>
      </w:pPr>
    </w:p>
    <w:p w14:paraId="239D5A4C" w14:textId="77777777" w:rsidR="00924992" w:rsidRDefault="00924992">
      <w:pPr>
        <w:spacing w:line="360" w:lineRule="exact"/>
      </w:pPr>
    </w:p>
    <w:p w14:paraId="669DD9F1" w14:textId="77777777" w:rsidR="00924992" w:rsidRDefault="00924992">
      <w:pPr>
        <w:spacing w:line="360" w:lineRule="exact"/>
      </w:pPr>
    </w:p>
    <w:p w14:paraId="50BEE591" w14:textId="77777777" w:rsidR="00924992" w:rsidRDefault="00924992">
      <w:pPr>
        <w:spacing w:line="360" w:lineRule="exact"/>
      </w:pPr>
    </w:p>
    <w:p w14:paraId="4679BE8C" w14:textId="77777777" w:rsidR="00924992" w:rsidRDefault="00924992">
      <w:pPr>
        <w:spacing w:line="360" w:lineRule="exact"/>
      </w:pPr>
    </w:p>
    <w:p w14:paraId="478FD6A7" w14:textId="77777777" w:rsidR="00924992" w:rsidRDefault="00924992">
      <w:pPr>
        <w:spacing w:line="360" w:lineRule="exact"/>
      </w:pPr>
    </w:p>
    <w:p w14:paraId="742A9DAE" w14:textId="77777777" w:rsidR="00924992" w:rsidRDefault="00924992">
      <w:pPr>
        <w:spacing w:line="360" w:lineRule="exact"/>
      </w:pPr>
    </w:p>
    <w:p w14:paraId="21F01453" w14:textId="77777777" w:rsidR="00924992" w:rsidRDefault="00924992">
      <w:pPr>
        <w:spacing w:line="360" w:lineRule="exact"/>
      </w:pPr>
    </w:p>
    <w:p w14:paraId="12486E3A" w14:textId="77777777" w:rsidR="00924992" w:rsidRDefault="00924992">
      <w:pPr>
        <w:spacing w:line="360" w:lineRule="exact"/>
      </w:pPr>
    </w:p>
    <w:p w14:paraId="7FB951C7" w14:textId="77777777" w:rsidR="00924992" w:rsidRDefault="00924992">
      <w:pPr>
        <w:spacing w:line="360" w:lineRule="exact"/>
      </w:pPr>
    </w:p>
    <w:p w14:paraId="03832DAB" w14:textId="77777777" w:rsidR="00924992" w:rsidRDefault="00924992">
      <w:pPr>
        <w:spacing w:line="360" w:lineRule="exact"/>
      </w:pPr>
    </w:p>
    <w:p w14:paraId="5A7B9BA9" w14:textId="77777777" w:rsidR="00924992" w:rsidRDefault="00924992">
      <w:pPr>
        <w:spacing w:line="360" w:lineRule="exact"/>
      </w:pPr>
    </w:p>
    <w:p w14:paraId="530F987B" w14:textId="77777777" w:rsidR="00924992" w:rsidRDefault="00924992">
      <w:pPr>
        <w:spacing w:line="360" w:lineRule="exact"/>
      </w:pPr>
    </w:p>
    <w:p w14:paraId="18598AB7" w14:textId="77777777" w:rsidR="00924992" w:rsidRDefault="00924992">
      <w:pPr>
        <w:spacing w:line="360" w:lineRule="exact"/>
      </w:pPr>
    </w:p>
    <w:p w14:paraId="3E2B54C3" w14:textId="77777777" w:rsidR="00924992" w:rsidRDefault="00924992">
      <w:pPr>
        <w:spacing w:line="360" w:lineRule="exact"/>
      </w:pPr>
    </w:p>
    <w:p w14:paraId="1F5FA538" w14:textId="77777777" w:rsidR="00924992" w:rsidRDefault="00924992">
      <w:pPr>
        <w:spacing w:line="360" w:lineRule="exact"/>
      </w:pPr>
    </w:p>
    <w:p w14:paraId="335209CB" w14:textId="77777777" w:rsidR="00924992" w:rsidRDefault="00924992">
      <w:pPr>
        <w:spacing w:line="360" w:lineRule="exact"/>
      </w:pPr>
    </w:p>
    <w:p w14:paraId="6D4E9047" w14:textId="77777777" w:rsidR="00924992" w:rsidRDefault="00924992">
      <w:pPr>
        <w:spacing w:after="393" w:line="1" w:lineRule="exact"/>
      </w:pPr>
    </w:p>
    <w:p w14:paraId="7A01E455" w14:textId="77777777" w:rsidR="00924992" w:rsidRDefault="00924992">
      <w:pPr>
        <w:spacing w:line="1" w:lineRule="exact"/>
        <w:sectPr w:rsidR="00924992" w:rsidSect="00924992">
          <w:pgSz w:w="13022" w:h="8501" w:orient="landscape"/>
          <w:pgMar w:top="1099" w:right="466" w:bottom="346" w:left="653" w:header="671" w:footer="3" w:gutter="0"/>
          <w:cols w:space="720"/>
          <w:noEndnote/>
          <w:docGrid w:linePitch="360"/>
          <w15:footnoteColumns w:val="1"/>
        </w:sectPr>
      </w:pPr>
    </w:p>
    <w:p w14:paraId="35A18A7D" w14:textId="77777777" w:rsidR="00924992" w:rsidRDefault="00924992">
      <w:pPr>
        <w:pStyle w:val="Heading31"/>
        <w:keepNext/>
        <w:keepLines/>
        <w:framePr w:w="8122" w:h="322" w:wrap="none" w:hAnchor="page" w:x="2286" w:y="1"/>
        <w:rPr>
          <w:sz w:val="16"/>
          <w:szCs w:val="16"/>
        </w:rPr>
      </w:pPr>
      <w:bookmarkStart w:id="305" w:name="bookmark1751"/>
      <w:bookmarkStart w:id="306" w:name="bookmark1752"/>
      <w:bookmarkStart w:id="307" w:name="bookmark1753"/>
      <w:r>
        <w:rPr>
          <w:b w:val="0"/>
          <w:bCs w:val="0"/>
        </w:rPr>
        <w:t xml:space="preserve">Cuadro 4-2. </w:t>
      </w:r>
      <w:r>
        <w:t xml:space="preserve">Empleo de antibacterianos en niños después del periodo neonatal </w:t>
      </w:r>
      <w:r>
        <w:rPr>
          <w:rFonts w:ascii="Times New Roman" w:eastAsia="Times New Roman" w:hAnsi="Times New Roman" w:cs="Times New Roman"/>
          <w:b w:val="0"/>
          <w:bCs w:val="0"/>
          <w:i/>
          <w:iCs/>
          <w:w w:val="100"/>
          <w:sz w:val="16"/>
          <w:szCs w:val="16"/>
        </w:rPr>
        <w:t>continuación</w:t>
      </w:r>
      <w:bookmarkEnd w:id="305"/>
      <w:bookmarkEnd w:id="306"/>
      <w:bookmarkEnd w:id="307"/>
    </w:p>
    <w:p w14:paraId="114AAFC2" w14:textId="77777777" w:rsidR="00924992" w:rsidRDefault="00924992">
      <w:pPr>
        <w:pStyle w:val="Other0"/>
        <w:framePr w:w="2246" w:h="509" w:wrap="none" w:hAnchor="page" w:x="683" w:y="659"/>
        <w:pBdr>
          <w:top w:val="single" w:sz="0" w:space="0" w:color="231F20"/>
          <w:left w:val="single" w:sz="0" w:space="0" w:color="231F20"/>
          <w:bottom w:val="single" w:sz="0" w:space="0" w:color="231F20"/>
          <w:right w:val="single" w:sz="0" w:space="0" w:color="231F20"/>
        </w:pBdr>
        <w:shd w:val="clear" w:color="auto" w:fill="231F20"/>
        <w:spacing w:line="209" w:lineRule="auto"/>
        <w:ind w:firstLine="0"/>
        <w:rPr>
          <w:sz w:val="24"/>
          <w:szCs w:val="24"/>
        </w:rPr>
      </w:pPr>
      <w:r>
        <w:rPr>
          <w:rFonts w:ascii="Arial" w:eastAsia="Arial" w:hAnsi="Arial" w:cs="Arial"/>
          <w:b/>
          <w:bCs/>
          <w:color w:val="FFFFFF"/>
          <w:w w:val="70"/>
          <w:sz w:val="24"/>
          <w:szCs w:val="24"/>
        </w:rPr>
        <w:t>Fármaco, nombre genérico (y comercial)</w:t>
      </w:r>
    </w:p>
    <w:p w14:paraId="794570DA" w14:textId="77777777" w:rsidR="00924992" w:rsidRDefault="00924992">
      <w:pPr>
        <w:pStyle w:val="Other0"/>
        <w:framePr w:w="3965" w:h="749" w:wrap="none" w:hAnchor="page" w:x="3270" w:y="419"/>
        <w:pBdr>
          <w:top w:val="single" w:sz="0" w:space="0" w:color="231F20"/>
          <w:left w:val="single" w:sz="0" w:space="0" w:color="231F20"/>
          <w:bottom w:val="single" w:sz="0" w:space="0" w:color="231F20"/>
          <w:right w:val="single" w:sz="0" w:space="0" w:color="231F20"/>
        </w:pBdr>
        <w:shd w:val="clear" w:color="auto" w:fill="231F20"/>
        <w:tabs>
          <w:tab w:val="left" w:leader="underscore" w:pos="782"/>
          <w:tab w:val="left" w:leader="underscore" w:pos="3926"/>
        </w:tabs>
        <w:spacing w:line="211" w:lineRule="auto"/>
        <w:ind w:firstLine="0"/>
        <w:jc w:val="right"/>
        <w:rPr>
          <w:sz w:val="24"/>
          <w:szCs w:val="24"/>
        </w:rPr>
      </w:pPr>
      <w:r>
        <w:rPr>
          <w:rFonts w:ascii="Arial" w:eastAsia="Arial" w:hAnsi="Arial" w:cs="Arial"/>
          <w:b/>
          <w:bCs/>
          <w:color w:val="FFFFFF"/>
          <w:w w:val="70"/>
          <w:sz w:val="24"/>
          <w:szCs w:val="24"/>
        </w:rPr>
        <w:tab/>
      </w:r>
      <w:r>
        <w:rPr>
          <w:rFonts w:ascii="Arial" w:eastAsia="Arial" w:hAnsi="Arial" w:cs="Arial"/>
          <w:b/>
          <w:bCs/>
          <w:color w:val="FFFFFF"/>
          <w:w w:val="70"/>
          <w:sz w:val="24"/>
          <w:szCs w:val="24"/>
          <w:u w:val="single"/>
        </w:rPr>
        <w:t>Dosis por kg de peso al día</w:t>
      </w:r>
      <w:r>
        <w:rPr>
          <w:rFonts w:ascii="Arial" w:eastAsia="Arial" w:hAnsi="Arial" w:cs="Arial"/>
          <w:b/>
          <w:bCs/>
          <w:color w:val="FFFFFF"/>
          <w:w w:val="70"/>
          <w:sz w:val="24"/>
          <w:szCs w:val="24"/>
        </w:rPr>
        <w:tab/>
        <w:t xml:space="preserve"> Vía de administración Infecciones leves o moderadas</w:t>
      </w:r>
    </w:p>
    <w:p w14:paraId="7807510E" w14:textId="77777777" w:rsidR="00924992" w:rsidRDefault="00924992">
      <w:pPr>
        <w:pStyle w:val="Other0"/>
        <w:framePr w:w="1570" w:h="298" w:wrap="none" w:hAnchor="page" w:x="7883" w:y="635"/>
        <w:pBdr>
          <w:top w:val="single" w:sz="0" w:space="0" w:color="231F20"/>
          <w:left w:val="single" w:sz="0" w:space="0" w:color="231F20"/>
          <w:bottom w:val="single" w:sz="0" w:space="0" w:color="231F20"/>
          <w:right w:val="single" w:sz="0" w:space="0" w:color="231F20"/>
        </w:pBdr>
        <w:shd w:val="clear" w:color="auto" w:fill="231F20"/>
        <w:spacing w:line="240" w:lineRule="auto"/>
        <w:ind w:firstLine="0"/>
        <w:jc w:val="center"/>
        <w:rPr>
          <w:sz w:val="24"/>
          <w:szCs w:val="24"/>
        </w:rPr>
      </w:pPr>
      <w:r>
        <w:rPr>
          <w:rFonts w:ascii="Arial" w:eastAsia="Arial" w:hAnsi="Arial" w:cs="Arial"/>
          <w:b/>
          <w:bCs/>
          <w:color w:val="FFFFFF"/>
          <w:w w:val="70"/>
          <w:sz w:val="24"/>
          <w:szCs w:val="24"/>
        </w:rPr>
        <w:t>Infecciones graves</w:t>
      </w:r>
    </w:p>
    <w:p w14:paraId="4BBD7BA6" w14:textId="77777777" w:rsidR="00924992" w:rsidRDefault="00924992">
      <w:pPr>
        <w:pStyle w:val="Other0"/>
        <w:framePr w:w="1070" w:h="298" w:wrap="none" w:hAnchor="page" w:x="10033" w:y="635"/>
        <w:pBdr>
          <w:top w:val="single" w:sz="0" w:space="0" w:color="231F20"/>
          <w:left w:val="single" w:sz="0" w:space="0" w:color="231F20"/>
          <w:bottom w:val="single" w:sz="0" w:space="0" w:color="231F20"/>
          <w:right w:val="single" w:sz="0" w:space="0" w:color="231F20"/>
        </w:pBdr>
        <w:shd w:val="clear" w:color="auto" w:fill="231F20"/>
        <w:spacing w:line="240" w:lineRule="auto"/>
        <w:ind w:firstLine="0"/>
        <w:rPr>
          <w:sz w:val="24"/>
          <w:szCs w:val="24"/>
        </w:rPr>
      </w:pPr>
      <w:r>
        <w:rPr>
          <w:rFonts w:ascii="Arial" w:eastAsia="Arial" w:hAnsi="Arial" w:cs="Arial"/>
          <w:b/>
          <w:bCs/>
          <w:color w:val="FFFFFF"/>
          <w:w w:val="70"/>
          <w:sz w:val="24"/>
          <w:szCs w:val="24"/>
        </w:rPr>
        <w:t>Comentarios</w:t>
      </w:r>
    </w:p>
    <w:p w14:paraId="3F3D68FF" w14:textId="77777777" w:rsidR="00924992" w:rsidRDefault="00924992">
      <w:pPr>
        <w:pStyle w:val="Bodytext20"/>
        <w:framePr w:w="2827" w:h="230" w:wrap="none" w:hAnchor="page" w:x="735" w:y="1292"/>
        <w:tabs>
          <w:tab w:val="left" w:pos="2539"/>
        </w:tabs>
        <w:spacing w:line="240" w:lineRule="auto"/>
      </w:pPr>
      <w:r>
        <w:t>(Augmentin XR)</w:t>
      </w:r>
      <w:r>
        <w:tab/>
        <w:t>PO</w:t>
      </w:r>
    </w:p>
    <w:p w14:paraId="31F1C260" w14:textId="77777777" w:rsidR="00924992" w:rsidRDefault="00924992">
      <w:pPr>
        <w:pStyle w:val="Bodytext20"/>
        <w:framePr w:w="3125" w:h="226" w:wrap="none" w:hAnchor="page" w:x="678" w:y="2151"/>
        <w:tabs>
          <w:tab w:val="left" w:pos="2597"/>
        </w:tabs>
        <w:spacing w:line="240" w:lineRule="auto"/>
      </w:pPr>
      <w:r>
        <w:t>Mezlocilina (Mezlin)</w:t>
      </w:r>
      <w:r>
        <w:tab/>
        <w:t>IV, IM</w:t>
      </w:r>
    </w:p>
    <w:p w14:paraId="22BA9825" w14:textId="77777777" w:rsidR="00924992" w:rsidRDefault="00924992">
      <w:pPr>
        <w:pStyle w:val="Bodytext20"/>
        <w:framePr w:w="3120" w:h="235" w:wrap="none" w:hAnchor="page" w:x="683" w:y="2799"/>
        <w:tabs>
          <w:tab w:val="left" w:pos="2592"/>
        </w:tabs>
        <w:spacing w:line="240" w:lineRule="auto"/>
      </w:pPr>
      <w:r>
        <w:t>Piperacilina5 (Pipracil)</w:t>
      </w:r>
      <w:r>
        <w:tab/>
        <w:t>IV, IM</w:t>
      </w:r>
    </w:p>
    <w:p w14:paraId="6B6B90EA" w14:textId="77777777" w:rsidR="00924992" w:rsidRDefault="00924992">
      <w:pPr>
        <w:pStyle w:val="Bodytext20"/>
        <w:framePr w:w="2832" w:h="235" w:wrap="none" w:hAnchor="page" w:x="683" w:y="3447"/>
        <w:tabs>
          <w:tab w:val="left" w:pos="2549"/>
        </w:tabs>
        <w:spacing w:line="240" w:lineRule="auto"/>
      </w:pPr>
      <w:r>
        <w:t>Piperacilina-tazobactam5 (Zosyn)</w:t>
      </w:r>
      <w:r>
        <w:tab/>
        <w:t>IV</w:t>
      </w:r>
    </w:p>
    <w:p w14:paraId="18A35A2B" w14:textId="77777777" w:rsidR="00924992" w:rsidRDefault="00924992">
      <w:pPr>
        <w:pStyle w:val="Bodytext20"/>
        <w:framePr w:w="3125" w:h="226" w:wrap="none" w:hAnchor="page" w:x="678" w:y="3879"/>
        <w:tabs>
          <w:tab w:val="left" w:pos="2597"/>
        </w:tabs>
        <w:spacing w:line="240" w:lineRule="auto"/>
      </w:pPr>
      <w:r>
        <w:t>Ticarcilina (Ticar)</w:t>
      </w:r>
      <w:r>
        <w:tab/>
        <w:t>IV, IM</w:t>
      </w:r>
    </w:p>
    <w:p w14:paraId="4DC6F285" w14:textId="77777777" w:rsidR="00924992" w:rsidRDefault="00924992">
      <w:pPr>
        <w:pStyle w:val="Bodytext20"/>
        <w:framePr w:w="3125" w:h="226" w:wrap="none" w:hAnchor="page" w:x="678" w:y="4527"/>
        <w:spacing w:line="240" w:lineRule="auto"/>
      </w:pPr>
      <w:r>
        <w:t>Ticarcilina-clavulanato (Timentin) IV, IM</w:t>
      </w:r>
    </w:p>
    <w:p w14:paraId="6452BC6B" w14:textId="77777777" w:rsidR="00924992" w:rsidRDefault="00924992">
      <w:pPr>
        <w:pStyle w:val="Bodytext20"/>
        <w:framePr w:w="3120" w:h="677" w:wrap="none" w:hAnchor="page" w:x="683" w:y="4959"/>
      </w:pPr>
      <w:r>
        <w:t>Penicilinas G y V2,5</w:t>
      </w:r>
    </w:p>
    <w:p w14:paraId="5513487C" w14:textId="77777777" w:rsidR="00924992" w:rsidRDefault="00924992">
      <w:pPr>
        <w:pStyle w:val="Bodytext20"/>
        <w:framePr w:w="3120" w:h="677" w:wrap="none" w:hAnchor="page" w:x="683" w:y="4959"/>
      </w:pPr>
      <w:r>
        <w:t>Penicilina G, cristalina, potásica IV, IM o sódica (diversos tipos)</w:t>
      </w:r>
    </w:p>
    <w:p w14:paraId="5FD0A14D" w14:textId="77777777" w:rsidR="00924992" w:rsidRDefault="00924992">
      <w:pPr>
        <w:pStyle w:val="Bodytext20"/>
        <w:framePr w:w="2107" w:h="4133" w:wrap="none" w:hAnchor="page" w:x="5756" w:y="1287"/>
        <w:spacing w:after="420"/>
      </w:pPr>
      <w:r>
        <w:t>2 g, dos veces al día (total, 4 000 mg)</w:t>
      </w:r>
    </w:p>
    <w:p w14:paraId="61C8E229" w14:textId="77777777" w:rsidR="00924992" w:rsidRDefault="00924992">
      <w:pPr>
        <w:pStyle w:val="Bodytext20"/>
        <w:framePr w:w="2107" w:h="4133" w:wrap="none" w:hAnchor="page" w:x="5756" w:y="1287"/>
      </w:pPr>
      <w:r>
        <w:t>100-150 mg en 4 dosis</w:t>
      </w:r>
    </w:p>
    <w:p w14:paraId="72991AE7" w14:textId="77777777" w:rsidR="00924992" w:rsidRDefault="00924992">
      <w:pPr>
        <w:pStyle w:val="Bodytext20"/>
        <w:framePr w:w="2107" w:h="4133" w:wrap="none" w:hAnchor="page" w:x="5756" w:y="1287"/>
      </w:pPr>
      <w:r>
        <w:t>(dosis diaria del adulto,</w:t>
      </w:r>
    </w:p>
    <w:p w14:paraId="76AA1237" w14:textId="77777777" w:rsidR="00924992" w:rsidRDefault="00924992">
      <w:pPr>
        <w:pStyle w:val="Bodytext20"/>
        <w:framePr w:w="2107" w:h="4133" w:wrap="none" w:hAnchor="page" w:x="5756" w:y="1287"/>
      </w:pPr>
      <w:r>
        <w:t>6-8 g)</w:t>
      </w:r>
    </w:p>
    <w:p w14:paraId="7589C362" w14:textId="77777777" w:rsidR="00924992" w:rsidRDefault="00924992">
      <w:pPr>
        <w:pStyle w:val="Bodytext20"/>
        <w:framePr w:w="2107" w:h="4133" w:wrap="none" w:hAnchor="page" w:x="5756" w:y="1287"/>
        <w:spacing w:after="200"/>
      </w:pPr>
      <w:r>
        <w:t>100-150 mg en 4 dosis (dosis diaria del adulto, 6-8 g)</w:t>
      </w:r>
    </w:p>
    <w:p w14:paraId="41198D19" w14:textId="77777777" w:rsidR="00924992" w:rsidRDefault="00924992">
      <w:pPr>
        <w:pStyle w:val="Bodytext20"/>
        <w:framePr w:w="2107" w:h="4133" w:wrap="none" w:hAnchor="page" w:x="5756" w:y="1287"/>
        <w:spacing w:after="200"/>
      </w:pPr>
      <w:r>
        <w:t>Inapropiada</w:t>
      </w:r>
    </w:p>
    <w:p w14:paraId="0C46D3B9" w14:textId="77777777" w:rsidR="00924992" w:rsidRDefault="00924992">
      <w:pPr>
        <w:pStyle w:val="Bodytext20"/>
        <w:framePr w:w="2107" w:h="4133" w:wrap="none" w:hAnchor="page" w:x="5756" w:y="1287"/>
      </w:pPr>
      <w:r>
        <w:t>100-200 mg en 4 dosis (dosis diaria del adulto,</w:t>
      </w:r>
    </w:p>
    <w:p w14:paraId="1435194E" w14:textId="77777777" w:rsidR="00924992" w:rsidRDefault="00924992">
      <w:pPr>
        <w:pStyle w:val="Bodytext20"/>
        <w:framePr w:w="2107" w:h="4133" w:wrap="none" w:hAnchor="page" w:x="5756" w:y="1287"/>
      </w:pPr>
      <w:r>
        <w:t>4-6 g)</w:t>
      </w:r>
    </w:p>
    <w:p w14:paraId="5418888C" w14:textId="77777777" w:rsidR="00924992" w:rsidRDefault="00924992">
      <w:pPr>
        <w:pStyle w:val="Bodytext20"/>
        <w:framePr w:w="2107" w:h="4133" w:wrap="none" w:hAnchor="page" w:x="5756" w:y="1287"/>
        <w:spacing w:after="200"/>
      </w:pPr>
      <w:r>
        <w:t>100-200 mg de ticarcilina en 4 dosis (4-6 g)</w:t>
      </w:r>
    </w:p>
    <w:p w14:paraId="4C3B3A13" w14:textId="77777777" w:rsidR="00924992" w:rsidRDefault="00924992">
      <w:pPr>
        <w:pStyle w:val="Bodytext20"/>
        <w:framePr w:w="2107" w:h="4133" w:wrap="none" w:hAnchor="page" w:x="5756" w:y="1287"/>
        <w:spacing w:after="200"/>
      </w:pPr>
      <w:r>
        <w:t>25 000-50 000 U en 4 dosis</w:t>
      </w:r>
    </w:p>
    <w:p w14:paraId="172FD53A" w14:textId="77777777" w:rsidR="00924992" w:rsidRDefault="00924992">
      <w:pPr>
        <w:pStyle w:val="Bodytext20"/>
        <w:framePr w:w="883" w:h="235" w:wrap="none" w:hAnchor="page" w:x="7883" w:y="1287"/>
        <w:spacing w:line="240" w:lineRule="auto"/>
      </w:pPr>
      <w:r>
        <w:t>Inapropiada</w:t>
      </w:r>
    </w:p>
    <w:p w14:paraId="2113E23F" w14:textId="77777777" w:rsidR="00924992" w:rsidRDefault="00924992">
      <w:pPr>
        <w:pStyle w:val="Bodytext20"/>
        <w:framePr w:w="1733" w:h="859" w:wrap="none" w:hAnchor="page" w:x="10019" w:y="1287"/>
      </w:pPr>
      <w:r>
        <w:t>Se ha aprobado para adultos la presentación ingerible de liberación extendida.</w:t>
      </w:r>
    </w:p>
    <w:p w14:paraId="12DB4C01" w14:textId="77777777" w:rsidR="00924992" w:rsidRDefault="00924992">
      <w:pPr>
        <w:pStyle w:val="Bodytext20"/>
        <w:framePr w:w="2866" w:h="451" w:wrap="none" w:hAnchor="page" w:x="683" w:y="6039"/>
        <w:tabs>
          <w:tab w:val="left" w:pos="2592"/>
        </w:tabs>
        <w:spacing w:line="240" w:lineRule="auto"/>
      </w:pPr>
      <w:r>
        <w:t>Penicilina G procaínica</w:t>
      </w:r>
      <w:r>
        <w:tab/>
        <w:t>IM</w:t>
      </w:r>
    </w:p>
    <w:p w14:paraId="01FF6FEC" w14:textId="77777777" w:rsidR="00924992" w:rsidRDefault="00924992">
      <w:pPr>
        <w:pStyle w:val="Bodytext20"/>
        <w:framePr w:w="2866" w:h="451" w:wrap="none" w:hAnchor="page" w:x="683" w:y="6039"/>
        <w:spacing w:line="240" w:lineRule="auto"/>
      </w:pPr>
      <w:r>
        <w:t>(diversos tipos)</w:t>
      </w:r>
    </w:p>
    <w:p w14:paraId="3F7574FF" w14:textId="77777777" w:rsidR="00924992" w:rsidRDefault="00924992">
      <w:pPr>
        <w:pStyle w:val="Bodytext20"/>
        <w:framePr w:w="1877" w:h="859" w:wrap="none" w:hAnchor="page" w:x="5751" w:y="6044"/>
      </w:pPr>
      <w:r>
        <w:t>25 000-50 000 U en</w:t>
      </w:r>
    </w:p>
    <w:p w14:paraId="18162053" w14:textId="77777777" w:rsidR="00924992" w:rsidRDefault="00924992">
      <w:pPr>
        <w:pStyle w:val="Bodytext20"/>
        <w:framePr w:w="1877" w:h="859" w:wrap="none" w:hAnchor="page" w:x="5751" w:y="6044"/>
      </w:pPr>
      <w:r>
        <w:t>1 a 2 dosis. Dosis máxima del adulto, 4.8 millones U/24 h</w:t>
      </w:r>
    </w:p>
    <w:p w14:paraId="23E2D7C9" w14:textId="77777777" w:rsidR="00924992" w:rsidRDefault="00924992">
      <w:pPr>
        <w:pStyle w:val="Bodytext20"/>
        <w:framePr w:w="1872" w:h="4133" w:wrap="none" w:hAnchor="page" w:x="7883" w:y="2151"/>
      </w:pPr>
      <w:r>
        <w:t>200-300 mg en 4-6 dosis (dosis diaria del adulto, 12-18 g)</w:t>
      </w:r>
    </w:p>
    <w:p w14:paraId="507D065F" w14:textId="77777777" w:rsidR="00924992" w:rsidRDefault="00924992">
      <w:pPr>
        <w:pStyle w:val="Bodytext20"/>
        <w:framePr w:w="1872" w:h="4133" w:wrap="none" w:hAnchor="page" w:x="7883" w:y="2151"/>
      </w:pPr>
      <w:r>
        <w:t>200-300 mg en 4-6 dosis (dosis diaria del adulto, 12-18 g)</w:t>
      </w:r>
    </w:p>
    <w:p w14:paraId="676A47DF" w14:textId="77777777" w:rsidR="00924992" w:rsidRDefault="00924992">
      <w:pPr>
        <w:pStyle w:val="Bodytext20"/>
        <w:framePr w:w="1872" w:h="4133" w:wrap="none" w:hAnchor="page" w:x="7883" w:y="2151"/>
      </w:pPr>
      <w:r>
        <w:t>240 mg de piperacilina en 3 dosis</w:t>
      </w:r>
    </w:p>
    <w:p w14:paraId="73541C49" w14:textId="77777777" w:rsidR="00924992" w:rsidRDefault="00924992">
      <w:pPr>
        <w:pStyle w:val="Bodytext20"/>
        <w:framePr w:w="1872" w:h="4133" w:wrap="none" w:hAnchor="page" w:x="7883" w:y="2151"/>
      </w:pPr>
      <w:r>
        <w:t>200-300 mg en 4 dosis (dosis diaria del adulto, 12-24 g)</w:t>
      </w:r>
    </w:p>
    <w:p w14:paraId="7CCE1A65" w14:textId="77777777" w:rsidR="00924992" w:rsidRDefault="00924992">
      <w:pPr>
        <w:pStyle w:val="Bodytext20"/>
        <w:framePr w:w="1872" w:h="4133" w:wrap="none" w:hAnchor="page" w:x="7883" w:y="2151"/>
        <w:spacing w:after="200"/>
      </w:pPr>
      <w:r>
        <w:t>200-300 mg de ticarcilina en 4 dosis (12-24 g)</w:t>
      </w:r>
    </w:p>
    <w:p w14:paraId="09D79AE4" w14:textId="77777777" w:rsidR="00924992" w:rsidRDefault="00924992">
      <w:pPr>
        <w:pStyle w:val="Bodytext20"/>
        <w:framePr w:w="1872" w:h="4133" w:wrap="none" w:hAnchor="page" w:x="7883" w:y="2151"/>
      </w:pPr>
      <w:r>
        <w:t>250 000-400 000 U en 4-6 dosis. Dosis máxima del adulto, 24 millones de U/24 h</w:t>
      </w:r>
    </w:p>
    <w:p w14:paraId="2F5DDC98" w14:textId="77777777" w:rsidR="00924992" w:rsidRDefault="00924992">
      <w:pPr>
        <w:pStyle w:val="Bodytext20"/>
        <w:framePr w:w="1872" w:h="4133" w:wrap="none" w:hAnchor="page" w:x="7883" w:y="2151"/>
      </w:pPr>
      <w:r>
        <w:t>Inapropiada</w:t>
      </w:r>
    </w:p>
    <w:p w14:paraId="3EE47CCC" w14:textId="77777777" w:rsidR="00924992" w:rsidRDefault="00924992">
      <w:pPr>
        <w:pStyle w:val="Bodytext20"/>
        <w:framePr w:w="1958" w:h="893" w:wrap="none" w:hAnchor="page" w:x="10009" w:y="3447"/>
      </w:pPr>
      <w:r>
        <w:t>No se ha aprobado su uso en niños.</w:t>
      </w:r>
    </w:p>
    <w:p w14:paraId="5E94862F" w14:textId="77777777" w:rsidR="00924992" w:rsidRDefault="00924992">
      <w:pPr>
        <w:pStyle w:val="Bodytext20"/>
        <w:framePr w:w="1958" w:h="893" w:wrap="none" w:hAnchor="page" w:x="10009" w:y="3447"/>
      </w:pPr>
      <w:r>
        <w:t>Contiene 5.2 meq de sodio por gramo.</w:t>
      </w:r>
    </w:p>
    <w:p w14:paraId="02EC9E62" w14:textId="77777777" w:rsidR="00924992" w:rsidRDefault="00924992">
      <w:pPr>
        <w:pStyle w:val="Bodytext20"/>
        <w:framePr w:w="1853" w:h="1325" w:wrap="none" w:hAnchor="page" w:x="10019" w:y="5175"/>
      </w:pPr>
      <w:r>
        <w:t>Las dosis más grandes son adecuadas contra infecciones del sistema nervioso central.</w:t>
      </w:r>
    </w:p>
    <w:p w14:paraId="4A84B8E4" w14:textId="77777777" w:rsidR="00924992" w:rsidRDefault="00924992">
      <w:pPr>
        <w:pStyle w:val="Bodytext20"/>
        <w:framePr w:w="1853" w:h="1325" w:wrap="none" w:hAnchor="page" w:x="10019" w:y="5175"/>
      </w:pPr>
      <w:r>
        <w:t>Contraindicada si hay alergia a la procaína.</w:t>
      </w:r>
    </w:p>
    <w:p w14:paraId="60B5F1DF" w14:textId="77777777" w:rsidR="00924992" w:rsidRDefault="00924992">
      <w:pPr>
        <w:pStyle w:val="Bodytext80"/>
        <w:framePr w:w="168" w:h="4656" w:hRule="exact" w:wrap="none" w:hAnchor="page" w:x="12390" w:y="35"/>
        <w:tabs>
          <w:tab w:val="left" w:pos="2222"/>
        </w:tabs>
        <w:textDirection w:val="tbRl"/>
      </w:pPr>
      <w:r>
        <w:rPr>
          <w:sz w:val="16"/>
          <w:szCs w:val="16"/>
        </w:rPr>
        <w:t>742</w:t>
      </w:r>
      <w:r>
        <w:rPr>
          <w:sz w:val="16"/>
          <w:szCs w:val="16"/>
        </w:rPr>
        <w:tab/>
      </w:r>
      <w:r>
        <w:t>INMUNIZACIONES ACTIVA Y PASIVA</w:t>
      </w:r>
    </w:p>
    <w:p w14:paraId="3F0CF032" w14:textId="77777777" w:rsidR="00924992" w:rsidRDefault="00924992">
      <w:pPr>
        <w:spacing w:line="360" w:lineRule="exact"/>
      </w:pPr>
    </w:p>
    <w:p w14:paraId="6E67957D" w14:textId="77777777" w:rsidR="00924992" w:rsidRDefault="00924992">
      <w:pPr>
        <w:spacing w:line="360" w:lineRule="exact"/>
      </w:pPr>
    </w:p>
    <w:p w14:paraId="16DEC8C2" w14:textId="77777777" w:rsidR="00924992" w:rsidRDefault="00924992">
      <w:pPr>
        <w:spacing w:line="360" w:lineRule="exact"/>
      </w:pPr>
    </w:p>
    <w:p w14:paraId="7BC88720" w14:textId="77777777" w:rsidR="00924992" w:rsidRDefault="00924992">
      <w:pPr>
        <w:spacing w:line="360" w:lineRule="exact"/>
      </w:pPr>
    </w:p>
    <w:p w14:paraId="56F4CFDC" w14:textId="77777777" w:rsidR="00924992" w:rsidRDefault="00924992">
      <w:pPr>
        <w:spacing w:line="360" w:lineRule="exact"/>
      </w:pPr>
    </w:p>
    <w:p w14:paraId="08D700DE" w14:textId="77777777" w:rsidR="00924992" w:rsidRDefault="00924992">
      <w:pPr>
        <w:spacing w:line="360" w:lineRule="exact"/>
      </w:pPr>
    </w:p>
    <w:p w14:paraId="3B49053D" w14:textId="77777777" w:rsidR="00924992" w:rsidRDefault="00924992">
      <w:pPr>
        <w:spacing w:line="360" w:lineRule="exact"/>
      </w:pPr>
    </w:p>
    <w:p w14:paraId="7B5ABEA9" w14:textId="77777777" w:rsidR="00924992" w:rsidRDefault="00924992">
      <w:pPr>
        <w:spacing w:line="360" w:lineRule="exact"/>
      </w:pPr>
    </w:p>
    <w:p w14:paraId="635160DD" w14:textId="77777777" w:rsidR="00924992" w:rsidRDefault="00924992">
      <w:pPr>
        <w:spacing w:line="360" w:lineRule="exact"/>
      </w:pPr>
    </w:p>
    <w:p w14:paraId="43FDE7B6" w14:textId="77777777" w:rsidR="00924992" w:rsidRDefault="00924992">
      <w:pPr>
        <w:spacing w:line="360" w:lineRule="exact"/>
      </w:pPr>
    </w:p>
    <w:p w14:paraId="7EAEFA65" w14:textId="77777777" w:rsidR="00924992" w:rsidRDefault="00924992">
      <w:pPr>
        <w:spacing w:line="360" w:lineRule="exact"/>
      </w:pPr>
    </w:p>
    <w:p w14:paraId="19C8E742" w14:textId="77777777" w:rsidR="00924992" w:rsidRDefault="00924992">
      <w:pPr>
        <w:spacing w:line="360" w:lineRule="exact"/>
      </w:pPr>
    </w:p>
    <w:p w14:paraId="4B5C9E7A" w14:textId="77777777" w:rsidR="00924992" w:rsidRDefault="00924992">
      <w:pPr>
        <w:spacing w:line="360" w:lineRule="exact"/>
      </w:pPr>
    </w:p>
    <w:p w14:paraId="3B387D72" w14:textId="77777777" w:rsidR="00924992" w:rsidRDefault="00924992">
      <w:pPr>
        <w:spacing w:line="360" w:lineRule="exact"/>
      </w:pPr>
    </w:p>
    <w:p w14:paraId="01315110" w14:textId="77777777" w:rsidR="00924992" w:rsidRDefault="00924992">
      <w:pPr>
        <w:spacing w:line="360" w:lineRule="exact"/>
      </w:pPr>
    </w:p>
    <w:p w14:paraId="5BFF93B3" w14:textId="77777777" w:rsidR="00924992" w:rsidRDefault="00924992">
      <w:pPr>
        <w:spacing w:line="360" w:lineRule="exact"/>
      </w:pPr>
    </w:p>
    <w:p w14:paraId="76D21F67" w14:textId="77777777" w:rsidR="00924992" w:rsidRDefault="00924992">
      <w:pPr>
        <w:spacing w:line="360" w:lineRule="exact"/>
      </w:pPr>
    </w:p>
    <w:p w14:paraId="760BB4DD" w14:textId="77777777" w:rsidR="00924992" w:rsidRDefault="00924992">
      <w:pPr>
        <w:spacing w:line="360" w:lineRule="exact"/>
      </w:pPr>
    </w:p>
    <w:p w14:paraId="3A268BA1" w14:textId="77777777" w:rsidR="00924992" w:rsidRDefault="00924992">
      <w:pPr>
        <w:spacing w:after="421" w:line="1" w:lineRule="exact"/>
      </w:pPr>
    </w:p>
    <w:p w14:paraId="73C77760" w14:textId="77777777" w:rsidR="00924992" w:rsidRDefault="00924992">
      <w:pPr>
        <w:spacing w:line="1" w:lineRule="exact"/>
        <w:sectPr w:rsidR="00924992" w:rsidSect="00924992">
          <w:pgSz w:w="13022" w:h="8501" w:orient="landscape"/>
          <w:pgMar w:top="470" w:right="466" w:bottom="994" w:left="653" w:header="42" w:footer="3" w:gutter="0"/>
          <w:cols w:space="720"/>
          <w:noEndnote/>
          <w:docGrid w:linePitch="360"/>
          <w15:footnoteColumns w:val="1"/>
        </w:sectPr>
      </w:pPr>
    </w:p>
    <w:p w14:paraId="463BA08D" w14:textId="77777777" w:rsidR="00924992" w:rsidRDefault="00924992">
      <w:pPr>
        <w:pStyle w:val="Heading31"/>
        <w:keepNext/>
        <w:keepLines/>
        <w:framePr w:w="8122" w:h="317" w:wrap="none" w:hAnchor="page" w:x="2286" w:y="1"/>
        <w:rPr>
          <w:sz w:val="16"/>
          <w:szCs w:val="16"/>
        </w:rPr>
      </w:pPr>
      <w:bookmarkStart w:id="308" w:name="bookmark1754"/>
      <w:bookmarkStart w:id="309" w:name="bookmark1755"/>
      <w:bookmarkStart w:id="310" w:name="bookmark1756"/>
      <w:r>
        <w:rPr>
          <w:b w:val="0"/>
          <w:bCs w:val="0"/>
          <w:color w:val="000000"/>
        </w:rPr>
        <w:t xml:space="preserve">Cuadro 4-2. </w:t>
      </w:r>
      <w:r>
        <w:rPr>
          <w:color w:val="000000"/>
        </w:rPr>
        <w:t xml:space="preserve">Empleo de antibacterianos en niños después del periodo neonatal </w:t>
      </w:r>
      <w:r>
        <w:rPr>
          <w:rFonts w:ascii="Times New Roman" w:eastAsia="Times New Roman" w:hAnsi="Times New Roman" w:cs="Times New Roman"/>
          <w:b w:val="0"/>
          <w:bCs w:val="0"/>
          <w:i/>
          <w:iCs/>
          <w:color w:val="000000"/>
          <w:w w:val="100"/>
          <w:sz w:val="16"/>
          <w:szCs w:val="16"/>
        </w:rPr>
        <w:t>continuación</w:t>
      </w:r>
      <w:bookmarkEnd w:id="308"/>
      <w:bookmarkEnd w:id="309"/>
      <w:bookmarkEnd w:id="310"/>
    </w:p>
    <w:p w14:paraId="788B12AB" w14:textId="77777777" w:rsidR="00924992" w:rsidRDefault="00924992">
      <w:pPr>
        <w:pStyle w:val="Heading41"/>
        <w:keepNext/>
        <w:keepLines/>
        <w:framePr w:w="2275" w:h="298" w:wrap="none" w:hAnchor="page" w:x="4043" w:y="351"/>
        <w:pBdr>
          <w:top w:val="single" w:sz="0" w:space="0" w:color="000000"/>
          <w:left w:val="single" w:sz="0" w:space="0" w:color="000000"/>
          <w:bottom w:val="single" w:sz="0" w:space="0" w:color="000000"/>
          <w:right w:val="single" w:sz="0" w:space="0" w:color="000000"/>
        </w:pBdr>
        <w:shd w:val="clear" w:color="auto" w:fill="000000"/>
      </w:pPr>
      <w:bookmarkStart w:id="311" w:name="bookmark1757"/>
      <w:bookmarkStart w:id="312" w:name="bookmark1758"/>
      <w:bookmarkStart w:id="313" w:name="bookmark1759"/>
      <w:r>
        <w:rPr>
          <w:color w:val="FFFFFF"/>
        </w:rPr>
        <w:t>Dosis por kg de peso al día</w:t>
      </w:r>
      <w:bookmarkEnd w:id="311"/>
      <w:bookmarkEnd w:id="312"/>
      <w:bookmarkEnd w:id="313"/>
    </w:p>
    <w:tbl>
      <w:tblPr>
        <w:tblOverlap w:val="never"/>
        <w:tblW w:w="0" w:type="auto"/>
        <w:tblLayout w:type="fixed"/>
        <w:tblCellMar>
          <w:left w:w="10" w:type="dxa"/>
          <w:right w:w="10" w:type="dxa"/>
        </w:tblCellMar>
        <w:tblLook w:val="04A0" w:firstRow="1" w:lastRow="0" w:firstColumn="1" w:lastColumn="0" w:noHBand="0" w:noVBand="1"/>
      </w:tblPr>
      <w:tblGrid>
        <w:gridCol w:w="2515"/>
        <w:gridCol w:w="2275"/>
        <w:gridCol w:w="2342"/>
        <w:gridCol w:w="2136"/>
        <w:gridCol w:w="2155"/>
      </w:tblGrid>
      <w:tr w:rsidR="00924992" w14:paraId="5772FDE6" w14:textId="77777777">
        <w:tblPrEx>
          <w:tblCellMar>
            <w:top w:w="0" w:type="dxa"/>
            <w:bottom w:w="0" w:type="dxa"/>
          </w:tblCellMar>
        </w:tblPrEx>
        <w:trPr>
          <w:trHeight w:hRule="exact" w:val="576"/>
        </w:trPr>
        <w:tc>
          <w:tcPr>
            <w:tcW w:w="2515" w:type="dxa"/>
            <w:shd w:val="clear" w:color="auto" w:fill="000000"/>
            <w:vAlign w:val="bottom"/>
          </w:tcPr>
          <w:p w14:paraId="0A5814F9" w14:textId="77777777" w:rsidR="00924992" w:rsidRDefault="00924992">
            <w:pPr>
              <w:pStyle w:val="Other0"/>
              <w:framePr w:w="11424" w:h="5640" w:wrap="none" w:hAnchor="page" w:x="635" w:y="639"/>
              <w:pBdr>
                <w:top w:val="single" w:sz="0" w:space="0" w:color="000000"/>
                <w:left w:val="single" w:sz="0" w:space="0" w:color="000000"/>
                <w:bottom w:val="single" w:sz="0" w:space="0" w:color="000000"/>
                <w:right w:val="single" w:sz="0" w:space="0" w:color="000000"/>
              </w:pBdr>
              <w:shd w:val="clear" w:color="auto" w:fill="000000"/>
              <w:spacing w:line="240" w:lineRule="auto"/>
              <w:ind w:firstLine="0"/>
              <w:rPr>
                <w:sz w:val="24"/>
                <w:szCs w:val="24"/>
              </w:rPr>
            </w:pPr>
            <w:r>
              <w:rPr>
                <w:rFonts w:ascii="Arial" w:eastAsia="Arial" w:hAnsi="Arial" w:cs="Arial"/>
                <w:b/>
                <w:bCs/>
                <w:color w:val="FFFFFF"/>
                <w:w w:val="70"/>
                <w:sz w:val="24"/>
                <w:szCs w:val="24"/>
              </w:rPr>
              <w:t>Fármaco, nombre genérico (y comercial)</w:t>
            </w:r>
          </w:p>
        </w:tc>
        <w:tc>
          <w:tcPr>
            <w:tcW w:w="2275" w:type="dxa"/>
            <w:tcBorders>
              <w:top w:val="single" w:sz="4" w:space="0" w:color="auto"/>
            </w:tcBorders>
            <w:shd w:val="clear" w:color="auto" w:fill="000000"/>
          </w:tcPr>
          <w:p w14:paraId="702948D4" w14:textId="77777777" w:rsidR="00924992" w:rsidRDefault="00924992">
            <w:pPr>
              <w:pStyle w:val="Other0"/>
              <w:framePr w:w="11424" w:h="5640" w:wrap="none" w:hAnchor="page" w:x="635" w:y="639"/>
              <w:pBdr>
                <w:top w:val="single" w:sz="0" w:space="0" w:color="000000"/>
                <w:left w:val="single" w:sz="0" w:space="0" w:color="000000"/>
                <w:bottom w:val="single" w:sz="0" w:space="0" w:color="000000"/>
                <w:right w:val="single" w:sz="0" w:space="0" w:color="000000"/>
              </w:pBdr>
              <w:shd w:val="clear" w:color="auto" w:fill="000000"/>
              <w:spacing w:line="240" w:lineRule="auto"/>
              <w:ind w:firstLine="140"/>
              <w:rPr>
                <w:sz w:val="24"/>
                <w:szCs w:val="24"/>
              </w:rPr>
            </w:pPr>
            <w:r>
              <w:rPr>
                <w:rFonts w:ascii="Arial" w:eastAsia="Arial" w:hAnsi="Arial" w:cs="Arial"/>
                <w:b/>
                <w:bCs/>
                <w:color w:val="FFFFFF"/>
                <w:w w:val="70"/>
                <w:sz w:val="24"/>
                <w:szCs w:val="24"/>
              </w:rPr>
              <w:t>Vía de administración</w:t>
            </w:r>
          </w:p>
        </w:tc>
        <w:tc>
          <w:tcPr>
            <w:tcW w:w="2342" w:type="dxa"/>
            <w:tcBorders>
              <w:top w:val="single" w:sz="4" w:space="0" w:color="auto"/>
            </w:tcBorders>
            <w:shd w:val="clear" w:color="auto" w:fill="000000"/>
            <w:vAlign w:val="bottom"/>
          </w:tcPr>
          <w:p w14:paraId="7ADBEBF1" w14:textId="77777777" w:rsidR="00924992" w:rsidRDefault="00924992">
            <w:pPr>
              <w:pStyle w:val="Other0"/>
              <w:framePr w:w="11424" w:h="5640" w:wrap="none" w:hAnchor="page" w:x="635" w:y="639"/>
              <w:pBdr>
                <w:top w:val="single" w:sz="0" w:space="0" w:color="000000"/>
                <w:left w:val="single" w:sz="0" w:space="0" w:color="000000"/>
                <w:bottom w:val="single" w:sz="0" w:space="0" w:color="000000"/>
                <w:right w:val="single" w:sz="0" w:space="0" w:color="000000"/>
              </w:pBdr>
              <w:shd w:val="clear" w:color="auto" w:fill="000000"/>
              <w:spacing w:line="240" w:lineRule="auto"/>
              <w:ind w:left="340" w:firstLine="0"/>
              <w:rPr>
                <w:sz w:val="24"/>
                <w:szCs w:val="24"/>
              </w:rPr>
            </w:pPr>
            <w:r>
              <w:rPr>
                <w:rFonts w:ascii="Arial" w:eastAsia="Arial" w:hAnsi="Arial" w:cs="Arial"/>
                <w:b/>
                <w:bCs/>
                <w:color w:val="FFFFFF"/>
                <w:w w:val="70"/>
                <w:sz w:val="24"/>
                <w:szCs w:val="24"/>
              </w:rPr>
              <w:t>Infecciones leves o moderadas</w:t>
            </w:r>
          </w:p>
        </w:tc>
        <w:tc>
          <w:tcPr>
            <w:tcW w:w="2136" w:type="dxa"/>
            <w:shd w:val="clear" w:color="auto" w:fill="000000"/>
          </w:tcPr>
          <w:p w14:paraId="61F7715D" w14:textId="77777777" w:rsidR="00924992" w:rsidRDefault="00924992">
            <w:pPr>
              <w:pStyle w:val="Other0"/>
              <w:framePr w:w="11424" w:h="5640" w:wrap="none" w:hAnchor="page" w:x="635" w:y="639"/>
              <w:pBdr>
                <w:top w:val="single" w:sz="0" w:space="0" w:color="000000"/>
                <w:left w:val="single" w:sz="0" w:space="0" w:color="000000"/>
                <w:bottom w:val="single" w:sz="0" w:space="0" w:color="000000"/>
                <w:right w:val="single" w:sz="0" w:space="0" w:color="000000"/>
              </w:pBdr>
              <w:shd w:val="clear" w:color="auto" w:fill="000000"/>
              <w:spacing w:line="240" w:lineRule="auto"/>
              <w:ind w:firstLine="0"/>
              <w:rPr>
                <w:sz w:val="24"/>
                <w:szCs w:val="24"/>
              </w:rPr>
            </w:pPr>
            <w:r>
              <w:rPr>
                <w:rFonts w:ascii="Arial" w:eastAsia="Arial" w:hAnsi="Arial" w:cs="Arial"/>
                <w:b/>
                <w:bCs/>
                <w:color w:val="FFFFFF"/>
                <w:w w:val="70"/>
                <w:sz w:val="24"/>
                <w:szCs w:val="24"/>
              </w:rPr>
              <w:t>Infecciones graves</w:t>
            </w:r>
          </w:p>
        </w:tc>
        <w:tc>
          <w:tcPr>
            <w:tcW w:w="2155" w:type="dxa"/>
            <w:shd w:val="clear" w:color="auto" w:fill="000000"/>
          </w:tcPr>
          <w:p w14:paraId="6CC4DD84" w14:textId="77777777" w:rsidR="00924992" w:rsidRDefault="00924992">
            <w:pPr>
              <w:pStyle w:val="Other0"/>
              <w:framePr w:w="11424" w:h="5640" w:wrap="none" w:hAnchor="page" w:x="635" w:y="639"/>
              <w:pBdr>
                <w:top w:val="single" w:sz="0" w:space="0" w:color="000000"/>
                <w:left w:val="single" w:sz="0" w:space="0" w:color="000000"/>
                <w:bottom w:val="single" w:sz="0" w:space="0" w:color="000000"/>
                <w:right w:val="single" w:sz="0" w:space="0" w:color="000000"/>
              </w:pBdr>
              <w:shd w:val="clear" w:color="auto" w:fill="000000"/>
              <w:spacing w:line="240" w:lineRule="auto"/>
              <w:ind w:firstLine="0"/>
              <w:rPr>
                <w:sz w:val="24"/>
                <w:szCs w:val="24"/>
              </w:rPr>
            </w:pPr>
            <w:r>
              <w:rPr>
                <w:rFonts w:ascii="Arial" w:eastAsia="Arial" w:hAnsi="Arial" w:cs="Arial"/>
                <w:b/>
                <w:bCs/>
                <w:color w:val="FFFFFF"/>
                <w:w w:val="70"/>
                <w:sz w:val="24"/>
                <w:szCs w:val="24"/>
              </w:rPr>
              <w:t>Comentarios</w:t>
            </w:r>
          </w:p>
        </w:tc>
      </w:tr>
      <w:tr w:rsidR="00924992" w14:paraId="42E478A2" w14:textId="77777777">
        <w:tblPrEx>
          <w:tblCellMar>
            <w:top w:w="0" w:type="dxa"/>
            <w:bottom w:w="0" w:type="dxa"/>
          </w:tblCellMar>
        </w:tblPrEx>
        <w:trPr>
          <w:trHeight w:hRule="exact" w:val="1157"/>
        </w:trPr>
        <w:tc>
          <w:tcPr>
            <w:tcW w:w="2515" w:type="dxa"/>
            <w:shd w:val="clear" w:color="auto" w:fill="FFFFFF"/>
          </w:tcPr>
          <w:p w14:paraId="71833E96" w14:textId="77777777" w:rsidR="00924992" w:rsidRDefault="00924992">
            <w:pPr>
              <w:pStyle w:val="Other0"/>
              <w:framePr w:w="11424" w:h="5640" w:wrap="none" w:hAnchor="page" w:x="635" w:y="639"/>
              <w:spacing w:line="283" w:lineRule="auto"/>
              <w:ind w:firstLine="140"/>
              <w:rPr>
                <w:sz w:val="16"/>
                <w:szCs w:val="16"/>
              </w:rPr>
            </w:pPr>
            <w:r>
              <w:rPr>
                <w:rFonts w:ascii="Times New Roman" w:eastAsia="Times New Roman" w:hAnsi="Times New Roman" w:cs="Times New Roman"/>
                <w:color w:val="000000"/>
                <w:sz w:val="16"/>
                <w:szCs w:val="16"/>
              </w:rPr>
              <w:t>Penicilina G benzatínica (Bicillin, Permapen)</w:t>
            </w:r>
          </w:p>
        </w:tc>
        <w:tc>
          <w:tcPr>
            <w:tcW w:w="2275" w:type="dxa"/>
            <w:shd w:val="clear" w:color="auto" w:fill="FFFFFF"/>
          </w:tcPr>
          <w:p w14:paraId="5304FF1F" w14:textId="77777777" w:rsidR="00924992" w:rsidRDefault="00924992">
            <w:pPr>
              <w:pStyle w:val="Other0"/>
              <w:framePr w:w="11424" w:h="5640" w:wrap="none" w:hAnchor="page" w:x="635" w:y="639"/>
              <w:spacing w:line="240" w:lineRule="auto"/>
              <w:ind w:firstLine="140"/>
              <w:rPr>
                <w:sz w:val="16"/>
                <w:szCs w:val="16"/>
              </w:rPr>
            </w:pPr>
            <w:r>
              <w:rPr>
                <w:rFonts w:ascii="Times New Roman" w:eastAsia="Times New Roman" w:hAnsi="Times New Roman" w:cs="Times New Roman"/>
                <w:color w:val="000000"/>
                <w:sz w:val="16"/>
                <w:szCs w:val="16"/>
              </w:rPr>
              <w:t>IM</w:t>
            </w:r>
          </w:p>
        </w:tc>
        <w:tc>
          <w:tcPr>
            <w:tcW w:w="2342" w:type="dxa"/>
            <w:shd w:val="clear" w:color="auto" w:fill="FFFFFF"/>
          </w:tcPr>
          <w:p w14:paraId="01BC2135" w14:textId="77777777" w:rsidR="00924992" w:rsidRDefault="00924992">
            <w:pPr>
              <w:pStyle w:val="Other0"/>
              <w:framePr w:w="11424" w:h="5640" w:wrap="none" w:hAnchor="page" w:x="635" w:y="639"/>
              <w:spacing w:line="283" w:lineRule="auto"/>
              <w:ind w:left="440" w:hanging="100"/>
              <w:rPr>
                <w:sz w:val="16"/>
                <w:szCs w:val="16"/>
              </w:rPr>
            </w:pPr>
            <w:r>
              <w:rPr>
                <w:rFonts w:ascii="Times New Roman" w:eastAsia="Times New Roman" w:hAnsi="Times New Roman" w:cs="Times New Roman"/>
                <w:color w:val="000000"/>
                <w:sz w:val="16"/>
                <w:szCs w:val="16"/>
              </w:rPr>
              <w:t>Menos de 27.3 kg de peso corporal: 600 000 U</w:t>
            </w:r>
          </w:p>
          <w:p w14:paraId="295292AC" w14:textId="77777777" w:rsidR="00924992" w:rsidRDefault="00924992">
            <w:pPr>
              <w:pStyle w:val="Other0"/>
              <w:framePr w:w="11424" w:h="5640" w:wrap="none" w:hAnchor="page" w:x="635" w:y="639"/>
              <w:spacing w:line="226" w:lineRule="auto"/>
              <w:ind w:firstLine="340"/>
              <w:rPr>
                <w:sz w:val="16"/>
                <w:szCs w:val="16"/>
              </w:rPr>
            </w:pPr>
            <w:r>
              <w:rPr>
                <w:rFonts w:ascii="Times New Roman" w:eastAsia="Times New Roman" w:hAnsi="Times New Roman" w:cs="Times New Roman"/>
                <w:color w:val="000000"/>
                <w:sz w:val="20"/>
                <w:szCs w:val="20"/>
              </w:rPr>
              <w:t xml:space="preserve">&gt; </w:t>
            </w:r>
            <w:r>
              <w:rPr>
                <w:rFonts w:ascii="Times New Roman" w:eastAsia="Times New Roman" w:hAnsi="Times New Roman" w:cs="Times New Roman"/>
                <w:color w:val="000000"/>
                <w:sz w:val="16"/>
                <w:szCs w:val="16"/>
              </w:rPr>
              <w:t>27.3 kg o más de peso:</w:t>
            </w:r>
          </w:p>
          <w:p w14:paraId="5FD18E9A" w14:textId="77777777" w:rsidR="00924992" w:rsidRDefault="00924992">
            <w:pPr>
              <w:pStyle w:val="Other0"/>
              <w:framePr w:w="11424" w:h="5640" w:wrap="none" w:hAnchor="page" w:x="635" w:y="639"/>
              <w:spacing w:line="283" w:lineRule="auto"/>
              <w:ind w:firstLine="440"/>
              <w:rPr>
                <w:sz w:val="16"/>
                <w:szCs w:val="16"/>
              </w:rPr>
            </w:pPr>
            <w:r>
              <w:rPr>
                <w:rFonts w:ascii="Times New Roman" w:eastAsia="Times New Roman" w:hAnsi="Times New Roman" w:cs="Times New Roman"/>
                <w:color w:val="000000"/>
                <w:sz w:val="16"/>
                <w:szCs w:val="16"/>
              </w:rPr>
              <w:t>1.2 millones de U</w:t>
            </w:r>
          </w:p>
        </w:tc>
        <w:tc>
          <w:tcPr>
            <w:tcW w:w="2136" w:type="dxa"/>
            <w:shd w:val="clear" w:color="auto" w:fill="FFFFFF"/>
          </w:tcPr>
          <w:p w14:paraId="05588AAF" w14:textId="77777777" w:rsidR="00924992" w:rsidRDefault="00924992">
            <w:pPr>
              <w:pStyle w:val="Other0"/>
              <w:framePr w:w="11424" w:h="5640" w:wrap="none" w:hAnchor="page" w:x="635" w:y="639"/>
              <w:spacing w:line="240" w:lineRule="auto"/>
              <w:ind w:firstLine="0"/>
              <w:rPr>
                <w:sz w:val="16"/>
                <w:szCs w:val="16"/>
              </w:rPr>
            </w:pPr>
            <w:r>
              <w:rPr>
                <w:rFonts w:ascii="Times New Roman" w:eastAsia="Times New Roman" w:hAnsi="Times New Roman" w:cs="Times New Roman"/>
                <w:color w:val="000000"/>
                <w:sz w:val="16"/>
                <w:szCs w:val="16"/>
              </w:rPr>
              <w:t>Inapropiada</w:t>
            </w:r>
          </w:p>
        </w:tc>
        <w:tc>
          <w:tcPr>
            <w:tcW w:w="2155" w:type="dxa"/>
            <w:shd w:val="clear" w:color="auto" w:fill="FFFFFF"/>
            <w:vAlign w:val="bottom"/>
          </w:tcPr>
          <w:p w14:paraId="30CCFBCB" w14:textId="77777777" w:rsidR="00924992" w:rsidRDefault="00924992">
            <w:pPr>
              <w:pStyle w:val="Other0"/>
              <w:framePr w:w="11424" w:h="5640" w:wrap="none" w:hAnchor="page" w:x="635" w:y="639"/>
              <w:spacing w:line="283" w:lineRule="auto"/>
              <w:ind w:left="220" w:hanging="220"/>
              <w:rPr>
                <w:sz w:val="16"/>
                <w:szCs w:val="16"/>
              </w:rPr>
            </w:pPr>
            <w:r>
              <w:rPr>
                <w:rFonts w:ascii="Times New Roman" w:eastAsia="Times New Roman" w:hAnsi="Times New Roman" w:cs="Times New Roman"/>
                <w:color w:val="000000"/>
                <w:sz w:val="16"/>
                <w:szCs w:val="16"/>
              </w:rPr>
              <w:t>Su empleo principal es en la prevención de fiebre reumática por tratamiento y profilaxia de infecciones estreptocócicas.</w:t>
            </w:r>
          </w:p>
        </w:tc>
      </w:tr>
      <w:tr w:rsidR="00924992" w14:paraId="0967D9F1" w14:textId="77777777">
        <w:tblPrEx>
          <w:tblCellMar>
            <w:top w:w="0" w:type="dxa"/>
            <w:bottom w:w="0" w:type="dxa"/>
          </w:tblCellMar>
        </w:tblPrEx>
        <w:trPr>
          <w:trHeight w:hRule="exact" w:val="1930"/>
        </w:trPr>
        <w:tc>
          <w:tcPr>
            <w:tcW w:w="2515" w:type="dxa"/>
            <w:shd w:val="clear" w:color="auto" w:fill="FFFFFF"/>
          </w:tcPr>
          <w:p w14:paraId="51F4A92E" w14:textId="77777777" w:rsidR="00924992" w:rsidRDefault="00924992">
            <w:pPr>
              <w:pStyle w:val="Other0"/>
              <w:framePr w:w="11424" w:h="5640" w:wrap="none" w:hAnchor="page" w:x="635" w:y="639"/>
              <w:spacing w:after="620" w:line="295" w:lineRule="auto"/>
              <w:ind w:firstLine="0"/>
              <w:rPr>
                <w:sz w:val="16"/>
                <w:szCs w:val="16"/>
              </w:rPr>
            </w:pPr>
            <w:r>
              <w:rPr>
                <w:rFonts w:ascii="Times New Roman" w:eastAsia="Times New Roman" w:hAnsi="Times New Roman" w:cs="Times New Roman"/>
                <w:color w:val="000000"/>
                <w:sz w:val="16"/>
                <w:szCs w:val="16"/>
              </w:rPr>
              <w:t>Penicilina V (diversos tipos)</w:t>
            </w:r>
          </w:p>
          <w:p w14:paraId="320B2ABF" w14:textId="77777777" w:rsidR="00924992" w:rsidRDefault="00924992">
            <w:pPr>
              <w:pStyle w:val="Other0"/>
              <w:framePr w:w="11424" w:h="5640" w:wrap="none" w:hAnchor="page" w:x="635" w:y="639"/>
              <w:spacing w:line="295" w:lineRule="auto"/>
              <w:ind w:firstLine="0"/>
              <w:rPr>
                <w:sz w:val="16"/>
                <w:szCs w:val="16"/>
              </w:rPr>
            </w:pPr>
            <w:r>
              <w:rPr>
                <w:rFonts w:ascii="Times New Roman" w:eastAsia="Times New Roman" w:hAnsi="Times New Roman" w:cs="Times New Roman"/>
                <w:b/>
                <w:bCs/>
                <w:color w:val="000000"/>
                <w:sz w:val="16"/>
                <w:szCs w:val="16"/>
              </w:rPr>
              <w:t>Penicilinasas, penicilinas resistentes a</w:t>
            </w:r>
            <w:r>
              <w:rPr>
                <w:rFonts w:ascii="Times New Roman" w:eastAsia="Times New Roman" w:hAnsi="Times New Roman" w:cs="Times New Roman"/>
                <w:b/>
                <w:bCs/>
                <w:color w:val="000000"/>
                <w:sz w:val="16"/>
                <w:szCs w:val="16"/>
                <w:vertAlign w:val="superscript"/>
              </w:rPr>
              <w:t>2</w:t>
            </w:r>
          </w:p>
        </w:tc>
        <w:tc>
          <w:tcPr>
            <w:tcW w:w="2275" w:type="dxa"/>
            <w:shd w:val="clear" w:color="auto" w:fill="FFFFFF"/>
          </w:tcPr>
          <w:p w14:paraId="71739D7A" w14:textId="77777777" w:rsidR="00924992" w:rsidRDefault="00924992">
            <w:pPr>
              <w:pStyle w:val="Other0"/>
              <w:framePr w:w="11424" w:h="5640" w:wrap="none" w:hAnchor="page" w:x="635" w:y="639"/>
              <w:spacing w:line="240" w:lineRule="auto"/>
              <w:ind w:firstLine="140"/>
              <w:rPr>
                <w:sz w:val="16"/>
                <w:szCs w:val="16"/>
              </w:rPr>
            </w:pPr>
            <w:r>
              <w:rPr>
                <w:rFonts w:ascii="Times New Roman" w:eastAsia="Times New Roman" w:hAnsi="Times New Roman" w:cs="Times New Roman"/>
                <w:color w:val="000000"/>
                <w:sz w:val="16"/>
                <w:szCs w:val="16"/>
              </w:rPr>
              <w:t>PO</w:t>
            </w:r>
          </w:p>
        </w:tc>
        <w:tc>
          <w:tcPr>
            <w:tcW w:w="2342" w:type="dxa"/>
            <w:shd w:val="clear" w:color="auto" w:fill="FFFFFF"/>
          </w:tcPr>
          <w:p w14:paraId="7B6D4515" w14:textId="77777777" w:rsidR="00924992" w:rsidRDefault="00924992">
            <w:pPr>
              <w:pStyle w:val="Other0"/>
              <w:framePr w:w="11424" w:h="5640" w:wrap="none" w:hAnchor="page" w:x="635" w:y="639"/>
              <w:spacing w:line="283" w:lineRule="auto"/>
              <w:ind w:left="440" w:hanging="100"/>
              <w:rPr>
                <w:sz w:val="16"/>
                <w:szCs w:val="16"/>
              </w:rPr>
            </w:pPr>
            <w:r>
              <w:rPr>
                <w:rFonts w:ascii="Times New Roman" w:eastAsia="Times New Roman" w:hAnsi="Times New Roman" w:cs="Times New Roman"/>
                <w:color w:val="000000"/>
                <w:sz w:val="16"/>
                <w:szCs w:val="16"/>
              </w:rPr>
              <w:t>25 000-50 000 U en 3 o 4 dosis. Dosis máxima del adulto, 500 mg/dosis, cada 6 a 8 h (2 g/24 h)</w:t>
            </w:r>
          </w:p>
        </w:tc>
        <w:tc>
          <w:tcPr>
            <w:tcW w:w="2136" w:type="dxa"/>
            <w:shd w:val="clear" w:color="auto" w:fill="FFFFFF"/>
          </w:tcPr>
          <w:p w14:paraId="2A0028E5" w14:textId="77777777" w:rsidR="00924992" w:rsidRDefault="00924992">
            <w:pPr>
              <w:pStyle w:val="Other0"/>
              <w:framePr w:w="11424" w:h="5640" w:wrap="none" w:hAnchor="page" w:x="635" w:y="639"/>
              <w:spacing w:line="240" w:lineRule="auto"/>
              <w:ind w:firstLine="0"/>
              <w:rPr>
                <w:sz w:val="16"/>
                <w:szCs w:val="16"/>
              </w:rPr>
            </w:pPr>
            <w:r>
              <w:rPr>
                <w:rFonts w:ascii="Times New Roman" w:eastAsia="Times New Roman" w:hAnsi="Times New Roman" w:cs="Times New Roman"/>
                <w:color w:val="000000"/>
                <w:sz w:val="16"/>
                <w:szCs w:val="16"/>
              </w:rPr>
              <w:t>Inapropiada</w:t>
            </w:r>
          </w:p>
        </w:tc>
        <w:tc>
          <w:tcPr>
            <w:tcW w:w="2155" w:type="dxa"/>
            <w:shd w:val="clear" w:color="auto" w:fill="FFFFFF"/>
          </w:tcPr>
          <w:p w14:paraId="632DB32E" w14:textId="77777777" w:rsidR="00924992" w:rsidRDefault="00924992">
            <w:pPr>
              <w:pStyle w:val="Other0"/>
              <w:framePr w:w="11424" w:h="5640" w:wrap="none" w:hAnchor="page" w:x="635" w:y="639"/>
              <w:spacing w:after="420" w:line="283" w:lineRule="auto"/>
              <w:ind w:firstLine="0"/>
              <w:jc w:val="center"/>
              <w:rPr>
                <w:sz w:val="16"/>
                <w:szCs w:val="16"/>
              </w:rPr>
            </w:pPr>
            <w:r>
              <w:rPr>
                <w:rFonts w:ascii="Times New Roman" w:eastAsia="Times New Roman" w:hAnsi="Times New Roman" w:cs="Times New Roman"/>
                <w:color w:val="000000"/>
                <w:sz w:val="16"/>
                <w:szCs w:val="16"/>
              </w:rPr>
              <w:t>Óptimo para administrar con el estómago vacío.</w:t>
            </w:r>
          </w:p>
          <w:p w14:paraId="6B3FCB51" w14:textId="77777777" w:rsidR="00924992" w:rsidRDefault="00924992">
            <w:pPr>
              <w:pStyle w:val="Other0"/>
              <w:framePr w:w="11424" w:h="5640" w:wrap="none" w:hAnchor="page" w:x="635" w:y="639"/>
              <w:spacing w:line="286" w:lineRule="auto"/>
              <w:ind w:left="220" w:hanging="220"/>
              <w:rPr>
                <w:sz w:val="16"/>
                <w:szCs w:val="16"/>
              </w:rPr>
            </w:pPr>
            <w:r>
              <w:rPr>
                <w:rFonts w:ascii="Times New Roman" w:eastAsia="Times New Roman" w:hAnsi="Times New Roman" w:cs="Times New Roman"/>
                <w:color w:val="000000"/>
                <w:sz w:val="16"/>
                <w:szCs w:val="16"/>
              </w:rPr>
              <w:t>Los estafilococos resistentes a meticilina (oxacilina) por lo común también lo son a otras cefalosporinas semisintéticas contra ellos.</w:t>
            </w:r>
          </w:p>
        </w:tc>
      </w:tr>
      <w:tr w:rsidR="00924992" w14:paraId="20EDD646" w14:textId="77777777">
        <w:tblPrEx>
          <w:tblCellMar>
            <w:top w:w="0" w:type="dxa"/>
            <w:bottom w:w="0" w:type="dxa"/>
          </w:tblCellMar>
        </w:tblPrEx>
        <w:trPr>
          <w:trHeight w:hRule="exact" w:val="662"/>
        </w:trPr>
        <w:tc>
          <w:tcPr>
            <w:tcW w:w="2515" w:type="dxa"/>
            <w:shd w:val="clear" w:color="auto" w:fill="FFFFFF"/>
          </w:tcPr>
          <w:p w14:paraId="70209B3C" w14:textId="77777777" w:rsidR="00924992" w:rsidRDefault="00924992">
            <w:pPr>
              <w:pStyle w:val="Other0"/>
              <w:framePr w:w="11424" w:h="5640" w:wrap="none" w:hAnchor="page" w:x="635" w:y="639"/>
              <w:spacing w:line="240" w:lineRule="auto"/>
              <w:ind w:firstLine="0"/>
              <w:rPr>
                <w:sz w:val="16"/>
                <w:szCs w:val="16"/>
              </w:rPr>
            </w:pPr>
            <w:r>
              <w:rPr>
                <w:rFonts w:ascii="Times New Roman" w:eastAsia="Times New Roman" w:hAnsi="Times New Roman" w:cs="Times New Roman"/>
                <w:color w:val="000000"/>
                <w:sz w:val="16"/>
                <w:szCs w:val="16"/>
              </w:rPr>
              <w:t>Meticilina (Staphcillin)</w:t>
            </w:r>
          </w:p>
        </w:tc>
        <w:tc>
          <w:tcPr>
            <w:tcW w:w="2275" w:type="dxa"/>
            <w:shd w:val="clear" w:color="auto" w:fill="FFFFFF"/>
          </w:tcPr>
          <w:p w14:paraId="2DF03ED7" w14:textId="77777777" w:rsidR="00924992" w:rsidRDefault="00924992">
            <w:pPr>
              <w:pStyle w:val="Other0"/>
              <w:framePr w:w="11424" w:h="5640" w:wrap="none" w:hAnchor="page" w:x="635" w:y="639"/>
              <w:spacing w:line="240" w:lineRule="auto"/>
              <w:ind w:firstLine="140"/>
              <w:rPr>
                <w:sz w:val="16"/>
                <w:szCs w:val="16"/>
              </w:rPr>
            </w:pPr>
            <w:r>
              <w:rPr>
                <w:rFonts w:ascii="Times New Roman" w:eastAsia="Times New Roman" w:hAnsi="Times New Roman" w:cs="Times New Roman"/>
                <w:color w:val="000000"/>
                <w:sz w:val="16"/>
                <w:szCs w:val="16"/>
              </w:rPr>
              <w:t>IV, IM</w:t>
            </w:r>
          </w:p>
        </w:tc>
        <w:tc>
          <w:tcPr>
            <w:tcW w:w="2342" w:type="dxa"/>
            <w:shd w:val="clear" w:color="auto" w:fill="FFFFFF"/>
            <w:vAlign w:val="bottom"/>
          </w:tcPr>
          <w:p w14:paraId="74A78343" w14:textId="77777777" w:rsidR="00924992" w:rsidRDefault="00924992">
            <w:pPr>
              <w:pStyle w:val="Other0"/>
              <w:framePr w:w="11424" w:h="5640" w:wrap="none" w:hAnchor="page" w:x="635" w:y="639"/>
              <w:spacing w:line="283" w:lineRule="auto"/>
              <w:ind w:left="440" w:hanging="100"/>
              <w:rPr>
                <w:sz w:val="16"/>
                <w:szCs w:val="16"/>
              </w:rPr>
            </w:pPr>
            <w:r>
              <w:rPr>
                <w:rFonts w:ascii="Times New Roman" w:eastAsia="Times New Roman" w:hAnsi="Times New Roman" w:cs="Times New Roman"/>
                <w:color w:val="000000"/>
                <w:sz w:val="16"/>
                <w:szCs w:val="16"/>
              </w:rPr>
              <w:t>100-150 mg en 4 dosis (dosis diaria del adulto,</w:t>
            </w:r>
          </w:p>
          <w:p w14:paraId="59639447" w14:textId="77777777" w:rsidR="00924992" w:rsidRDefault="00924992">
            <w:pPr>
              <w:pStyle w:val="Other0"/>
              <w:framePr w:w="11424" w:h="5640" w:wrap="none" w:hAnchor="page" w:x="635" w:y="639"/>
              <w:spacing w:line="283" w:lineRule="auto"/>
              <w:ind w:firstLine="440"/>
              <w:rPr>
                <w:sz w:val="16"/>
                <w:szCs w:val="16"/>
              </w:rPr>
            </w:pPr>
            <w:r>
              <w:rPr>
                <w:rFonts w:ascii="Times New Roman" w:eastAsia="Times New Roman" w:hAnsi="Times New Roman" w:cs="Times New Roman"/>
                <w:color w:val="000000"/>
                <w:sz w:val="16"/>
                <w:szCs w:val="16"/>
              </w:rPr>
              <w:t>4-8 g)</w:t>
            </w:r>
          </w:p>
        </w:tc>
        <w:tc>
          <w:tcPr>
            <w:tcW w:w="2136" w:type="dxa"/>
            <w:shd w:val="clear" w:color="auto" w:fill="FFFFFF"/>
            <w:vAlign w:val="bottom"/>
          </w:tcPr>
          <w:p w14:paraId="5C3C5A35" w14:textId="77777777" w:rsidR="00924992" w:rsidRDefault="00924992">
            <w:pPr>
              <w:pStyle w:val="Other0"/>
              <w:framePr w:w="11424" w:h="5640" w:wrap="none" w:hAnchor="page" w:x="635" w:y="639"/>
              <w:spacing w:line="283" w:lineRule="auto"/>
              <w:ind w:firstLine="0"/>
              <w:jc w:val="center"/>
              <w:rPr>
                <w:sz w:val="16"/>
                <w:szCs w:val="16"/>
              </w:rPr>
            </w:pPr>
            <w:r>
              <w:rPr>
                <w:rFonts w:ascii="Times New Roman" w:eastAsia="Times New Roman" w:hAnsi="Times New Roman" w:cs="Times New Roman"/>
                <w:color w:val="000000"/>
                <w:sz w:val="16"/>
                <w:szCs w:val="16"/>
              </w:rPr>
              <w:t>150-200 mg en 4 a 6 dosis (dosis diaria del adulto,</w:t>
            </w:r>
          </w:p>
          <w:p w14:paraId="125D8B1C" w14:textId="77777777" w:rsidR="00924992" w:rsidRDefault="00924992">
            <w:pPr>
              <w:pStyle w:val="Other0"/>
              <w:framePr w:w="11424" w:h="5640" w:wrap="none" w:hAnchor="page" w:x="635" w:y="639"/>
              <w:spacing w:line="283" w:lineRule="auto"/>
              <w:ind w:firstLine="220"/>
              <w:jc w:val="both"/>
              <w:rPr>
                <w:sz w:val="16"/>
                <w:szCs w:val="16"/>
              </w:rPr>
            </w:pPr>
            <w:r>
              <w:rPr>
                <w:rFonts w:ascii="Times New Roman" w:eastAsia="Times New Roman" w:hAnsi="Times New Roman" w:cs="Times New Roman"/>
                <w:color w:val="000000"/>
                <w:sz w:val="16"/>
                <w:szCs w:val="16"/>
              </w:rPr>
              <w:t>4-12 g)</w:t>
            </w:r>
          </w:p>
        </w:tc>
        <w:tc>
          <w:tcPr>
            <w:tcW w:w="2155" w:type="dxa"/>
            <w:shd w:val="clear" w:color="auto" w:fill="FFFFFF"/>
            <w:vAlign w:val="bottom"/>
          </w:tcPr>
          <w:p w14:paraId="29AE5B35" w14:textId="77777777" w:rsidR="00924992" w:rsidRDefault="00924992">
            <w:pPr>
              <w:pStyle w:val="Other0"/>
              <w:framePr w:w="11424" w:h="5640" w:wrap="none" w:hAnchor="page" w:x="635" w:y="639"/>
              <w:spacing w:line="283" w:lineRule="auto"/>
              <w:ind w:left="220" w:hanging="220"/>
              <w:rPr>
                <w:sz w:val="16"/>
                <w:szCs w:val="16"/>
              </w:rPr>
            </w:pPr>
            <w:r>
              <w:rPr>
                <w:rFonts w:ascii="Times New Roman" w:eastAsia="Times New Roman" w:hAnsi="Times New Roman" w:cs="Times New Roman"/>
                <w:color w:val="000000"/>
                <w:sz w:val="16"/>
                <w:szCs w:val="16"/>
              </w:rPr>
              <w:t>En 0 a 4% de los pacientes surge nefritis intersticial (es decir, hematuria).</w:t>
            </w:r>
          </w:p>
        </w:tc>
      </w:tr>
      <w:tr w:rsidR="00924992" w14:paraId="0ACB5600" w14:textId="77777777">
        <w:tblPrEx>
          <w:tblCellMar>
            <w:top w:w="0" w:type="dxa"/>
            <w:bottom w:w="0" w:type="dxa"/>
          </w:tblCellMar>
        </w:tblPrEx>
        <w:trPr>
          <w:trHeight w:hRule="exact" w:val="653"/>
        </w:trPr>
        <w:tc>
          <w:tcPr>
            <w:tcW w:w="2515" w:type="dxa"/>
            <w:shd w:val="clear" w:color="auto" w:fill="FFFFFF"/>
          </w:tcPr>
          <w:p w14:paraId="5F4202FC" w14:textId="77777777" w:rsidR="00924992" w:rsidRDefault="00924992">
            <w:pPr>
              <w:pStyle w:val="Other0"/>
              <w:framePr w:w="11424" w:h="5640" w:wrap="none" w:hAnchor="page" w:x="635" w:y="639"/>
              <w:spacing w:line="240" w:lineRule="auto"/>
              <w:ind w:firstLine="0"/>
              <w:rPr>
                <w:sz w:val="16"/>
                <w:szCs w:val="16"/>
              </w:rPr>
            </w:pPr>
            <w:r>
              <w:rPr>
                <w:rFonts w:ascii="Times New Roman" w:eastAsia="Times New Roman" w:hAnsi="Times New Roman" w:cs="Times New Roman"/>
                <w:color w:val="000000"/>
                <w:sz w:val="16"/>
                <w:szCs w:val="16"/>
              </w:rPr>
              <w:t>Oxacilina (Prostaphlin, Bactocill)</w:t>
            </w:r>
          </w:p>
        </w:tc>
        <w:tc>
          <w:tcPr>
            <w:tcW w:w="2275" w:type="dxa"/>
            <w:shd w:val="clear" w:color="auto" w:fill="FFFFFF"/>
          </w:tcPr>
          <w:p w14:paraId="0279694C" w14:textId="77777777" w:rsidR="00924992" w:rsidRDefault="00924992">
            <w:pPr>
              <w:pStyle w:val="Other0"/>
              <w:framePr w:w="11424" w:h="5640" w:wrap="none" w:hAnchor="page" w:x="635" w:y="639"/>
              <w:spacing w:line="240" w:lineRule="auto"/>
              <w:ind w:firstLine="140"/>
              <w:rPr>
                <w:sz w:val="16"/>
                <w:szCs w:val="16"/>
              </w:rPr>
            </w:pPr>
            <w:r>
              <w:rPr>
                <w:rFonts w:ascii="Times New Roman" w:eastAsia="Times New Roman" w:hAnsi="Times New Roman" w:cs="Times New Roman"/>
                <w:color w:val="000000"/>
                <w:sz w:val="16"/>
                <w:szCs w:val="16"/>
              </w:rPr>
              <w:t>IV, IM</w:t>
            </w:r>
          </w:p>
        </w:tc>
        <w:tc>
          <w:tcPr>
            <w:tcW w:w="2342" w:type="dxa"/>
            <w:shd w:val="clear" w:color="auto" w:fill="FFFFFF"/>
            <w:vAlign w:val="bottom"/>
          </w:tcPr>
          <w:p w14:paraId="06C943BB" w14:textId="77777777" w:rsidR="00924992" w:rsidRDefault="00924992">
            <w:pPr>
              <w:pStyle w:val="Other0"/>
              <w:framePr w:w="11424" w:h="5640" w:wrap="none" w:hAnchor="page" w:x="635" w:y="639"/>
              <w:spacing w:line="283" w:lineRule="auto"/>
              <w:ind w:left="440" w:hanging="100"/>
              <w:rPr>
                <w:sz w:val="16"/>
                <w:szCs w:val="16"/>
              </w:rPr>
            </w:pPr>
            <w:r>
              <w:rPr>
                <w:rFonts w:ascii="Times New Roman" w:eastAsia="Times New Roman" w:hAnsi="Times New Roman" w:cs="Times New Roman"/>
                <w:color w:val="000000"/>
                <w:sz w:val="16"/>
                <w:szCs w:val="16"/>
              </w:rPr>
              <w:t>100-150 mg en 4 dosis (dosis diaria del adulto,</w:t>
            </w:r>
          </w:p>
          <w:p w14:paraId="72381C79" w14:textId="77777777" w:rsidR="00924992" w:rsidRDefault="00924992">
            <w:pPr>
              <w:pStyle w:val="Other0"/>
              <w:framePr w:w="11424" w:h="5640" w:wrap="none" w:hAnchor="page" w:x="635" w:y="639"/>
              <w:spacing w:line="283" w:lineRule="auto"/>
              <w:ind w:firstLine="440"/>
              <w:rPr>
                <w:sz w:val="16"/>
                <w:szCs w:val="16"/>
              </w:rPr>
            </w:pPr>
            <w:r>
              <w:rPr>
                <w:rFonts w:ascii="Times New Roman" w:eastAsia="Times New Roman" w:hAnsi="Times New Roman" w:cs="Times New Roman"/>
                <w:color w:val="000000"/>
                <w:sz w:val="16"/>
                <w:szCs w:val="16"/>
              </w:rPr>
              <w:t>2-4 g)</w:t>
            </w:r>
          </w:p>
        </w:tc>
        <w:tc>
          <w:tcPr>
            <w:tcW w:w="2136" w:type="dxa"/>
            <w:shd w:val="clear" w:color="auto" w:fill="FFFFFF"/>
            <w:vAlign w:val="bottom"/>
          </w:tcPr>
          <w:p w14:paraId="6DA93FFC" w14:textId="77777777" w:rsidR="00924992" w:rsidRDefault="00924992">
            <w:pPr>
              <w:pStyle w:val="Other0"/>
              <w:framePr w:w="11424" w:h="5640" w:wrap="none" w:hAnchor="page" w:x="635" w:y="639"/>
              <w:spacing w:line="283" w:lineRule="auto"/>
              <w:ind w:firstLine="0"/>
              <w:jc w:val="center"/>
              <w:rPr>
                <w:sz w:val="16"/>
                <w:szCs w:val="16"/>
              </w:rPr>
            </w:pPr>
            <w:r>
              <w:rPr>
                <w:rFonts w:ascii="Times New Roman" w:eastAsia="Times New Roman" w:hAnsi="Times New Roman" w:cs="Times New Roman"/>
                <w:color w:val="000000"/>
                <w:sz w:val="16"/>
                <w:szCs w:val="16"/>
              </w:rPr>
              <w:t>150-200 mg en 4 a 6 dosis (dosis diaria del adulto,</w:t>
            </w:r>
          </w:p>
          <w:p w14:paraId="1108A926" w14:textId="77777777" w:rsidR="00924992" w:rsidRDefault="00924992">
            <w:pPr>
              <w:pStyle w:val="Other0"/>
              <w:framePr w:w="11424" w:h="5640" w:wrap="none" w:hAnchor="page" w:x="635" w:y="639"/>
              <w:spacing w:line="283" w:lineRule="auto"/>
              <w:ind w:firstLine="220"/>
              <w:jc w:val="both"/>
              <w:rPr>
                <w:sz w:val="16"/>
                <w:szCs w:val="16"/>
              </w:rPr>
            </w:pPr>
            <w:r>
              <w:rPr>
                <w:rFonts w:ascii="Times New Roman" w:eastAsia="Times New Roman" w:hAnsi="Times New Roman" w:cs="Times New Roman"/>
                <w:color w:val="000000"/>
                <w:sz w:val="16"/>
                <w:szCs w:val="16"/>
              </w:rPr>
              <w:t>4-12 g)</w:t>
            </w:r>
          </w:p>
        </w:tc>
        <w:tc>
          <w:tcPr>
            <w:tcW w:w="2155" w:type="dxa"/>
            <w:shd w:val="clear" w:color="auto" w:fill="FFFFFF"/>
          </w:tcPr>
          <w:p w14:paraId="144DE15D" w14:textId="77777777" w:rsidR="00924992" w:rsidRDefault="00924992">
            <w:pPr>
              <w:framePr w:w="11424" w:h="5640" w:wrap="none" w:hAnchor="page" w:x="635" w:y="639"/>
              <w:rPr>
                <w:sz w:val="10"/>
                <w:szCs w:val="10"/>
              </w:rPr>
            </w:pPr>
          </w:p>
        </w:tc>
      </w:tr>
      <w:tr w:rsidR="00924992" w14:paraId="5BBEDC42" w14:textId="77777777">
        <w:tblPrEx>
          <w:tblCellMar>
            <w:top w:w="0" w:type="dxa"/>
            <w:bottom w:w="0" w:type="dxa"/>
          </w:tblCellMar>
        </w:tblPrEx>
        <w:trPr>
          <w:trHeight w:hRule="exact" w:val="662"/>
        </w:trPr>
        <w:tc>
          <w:tcPr>
            <w:tcW w:w="2515" w:type="dxa"/>
            <w:shd w:val="clear" w:color="auto" w:fill="FFFFFF"/>
          </w:tcPr>
          <w:p w14:paraId="35AEEDBB" w14:textId="77777777" w:rsidR="00924992" w:rsidRDefault="00924992">
            <w:pPr>
              <w:pStyle w:val="Other0"/>
              <w:framePr w:w="11424" w:h="5640" w:wrap="none" w:hAnchor="page" w:x="635" w:y="639"/>
              <w:spacing w:line="240" w:lineRule="auto"/>
              <w:ind w:firstLine="0"/>
              <w:rPr>
                <w:sz w:val="16"/>
                <w:szCs w:val="16"/>
              </w:rPr>
            </w:pPr>
            <w:r>
              <w:rPr>
                <w:rFonts w:ascii="Times New Roman" w:eastAsia="Times New Roman" w:hAnsi="Times New Roman" w:cs="Times New Roman"/>
                <w:color w:val="000000"/>
                <w:sz w:val="16"/>
                <w:szCs w:val="16"/>
              </w:rPr>
              <w:t>Nafcilina (Unipen, Nafcil)</w:t>
            </w:r>
          </w:p>
        </w:tc>
        <w:tc>
          <w:tcPr>
            <w:tcW w:w="2275" w:type="dxa"/>
            <w:shd w:val="clear" w:color="auto" w:fill="FFFFFF"/>
          </w:tcPr>
          <w:p w14:paraId="12E2ED76" w14:textId="77777777" w:rsidR="00924992" w:rsidRDefault="00924992">
            <w:pPr>
              <w:pStyle w:val="Other0"/>
              <w:framePr w:w="11424" w:h="5640" w:wrap="none" w:hAnchor="page" w:x="635" w:y="639"/>
              <w:spacing w:line="240" w:lineRule="auto"/>
              <w:ind w:firstLine="140"/>
              <w:rPr>
                <w:sz w:val="16"/>
                <w:szCs w:val="16"/>
              </w:rPr>
            </w:pPr>
            <w:r>
              <w:rPr>
                <w:rFonts w:ascii="Times New Roman" w:eastAsia="Times New Roman" w:hAnsi="Times New Roman" w:cs="Times New Roman"/>
                <w:color w:val="000000"/>
                <w:sz w:val="16"/>
                <w:szCs w:val="16"/>
              </w:rPr>
              <w:t>IV, IM, PO</w:t>
            </w:r>
          </w:p>
        </w:tc>
        <w:tc>
          <w:tcPr>
            <w:tcW w:w="2342" w:type="dxa"/>
            <w:shd w:val="clear" w:color="auto" w:fill="FFFFFF"/>
          </w:tcPr>
          <w:p w14:paraId="26BC8922" w14:textId="77777777" w:rsidR="00924992" w:rsidRDefault="00924992">
            <w:pPr>
              <w:pStyle w:val="Other0"/>
              <w:framePr w:w="11424" w:h="5640" w:wrap="none" w:hAnchor="page" w:x="635" w:y="639"/>
              <w:spacing w:line="283" w:lineRule="auto"/>
              <w:ind w:left="440" w:hanging="100"/>
              <w:rPr>
                <w:sz w:val="16"/>
                <w:szCs w:val="16"/>
              </w:rPr>
            </w:pPr>
            <w:r>
              <w:rPr>
                <w:rFonts w:ascii="Times New Roman" w:eastAsia="Times New Roman" w:hAnsi="Times New Roman" w:cs="Times New Roman"/>
                <w:color w:val="000000"/>
                <w:sz w:val="16"/>
                <w:szCs w:val="16"/>
              </w:rPr>
              <w:t>50-100 mg en 4 dosis (dosis diaria del adulto,</w:t>
            </w:r>
          </w:p>
          <w:p w14:paraId="29E598D9" w14:textId="77777777" w:rsidR="00924992" w:rsidRDefault="00924992">
            <w:pPr>
              <w:pStyle w:val="Other0"/>
              <w:framePr w:w="11424" w:h="5640" w:wrap="none" w:hAnchor="page" w:x="635" w:y="639"/>
              <w:spacing w:line="283" w:lineRule="auto"/>
              <w:ind w:firstLine="440"/>
              <w:rPr>
                <w:sz w:val="16"/>
                <w:szCs w:val="16"/>
              </w:rPr>
            </w:pPr>
            <w:r>
              <w:rPr>
                <w:rFonts w:ascii="Times New Roman" w:eastAsia="Times New Roman" w:hAnsi="Times New Roman" w:cs="Times New Roman"/>
                <w:color w:val="000000"/>
                <w:sz w:val="16"/>
                <w:szCs w:val="16"/>
              </w:rPr>
              <w:t>2-4 g)</w:t>
            </w:r>
          </w:p>
        </w:tc>
        <w:tc>
          <w:tcPr>
            <w:tcW w:w="2136" w:type="dxa"/>
            <w:shd w:val="clear" w:color="auto" w:fill="FFFFFF"/>
          </w:tcPr>
          <w:p w14:paraId="682578D9" w14:textId="77777777" w:rsidR="00924992" w:rsidRDefault="00924992">
            <w:pPr>
              <w:pStyle w:val="Other0"/>
              <w:framePr w:w="11424" w:h="5640" w:wrap="none" w:hAnchor="page" w:x="635" w:y="639"/>
              <w:spacing w:line="283" w:lineRule="auto"/>
              <w:ind w:left="220" w:hanging="220"/>
              <w:rPr>
                <w:sz w:val="16"/>
                <w:szCs w:val="16"/>
              </w:rPr>
            </w:pPr>
            <w:r>
              <w:rPr>
                <w:rFonts w:ascii="Times New Roman" w:eastAsia="Times New Roman" w:hAnsi="Times New Roman" w:cs="Times New Roman"/>
                <w:color w:val="000000"/>
                <w:sz w:val="16"/>
                <w:szCs w:val="16"/>
              </w:rPr>
              <w:t>100-150 mg en 4 dosis (dosis diaria del adulto,</w:t>
            </w:r>
          </w:p>
          <w:p w14:paraId="009A09A2" w14:textId="77777777" w:rsidR="00924992" w:rsidRDefault="00924992">
            <w:pPr>
              <w:pStyle w:val="Other0"/>
              <w:framePr w:w="11424" w:h="5640" w:wrap="none" w:hAnchor="page" w:x="635" w:y="639"/>
              <w:spacing w:line="283" w:lineRule="auto"/>
              <w:ind w:firstLine="220"/>
              <w:jc w:val="both"/>
              <w:rPr>
                <w:sz w:val="16"/>
                <w:szCs w:val="16"/>
              </w:rPr>
            </w:pPr>
            <w:r>
              <w:rPr>
                <w:rFonts w:ascii="Times New Roman" w:eastAsia="Times New Roman" w:hAnsi="Times New Roman" w:cs="Times New Roman"/>
                <w:color w:val="000000"/>
                <w:sz w:val="16"/>
                <w:szCs w:val="16"/>
              </w:rPr>
              <w:t>4-12 g)</w:t>
            </w:r>
          </w:p>
        </w:tc>
        <w:tc>
          <w:tcPr>
            <w:tcW w:w="2155" w:type="dxa"/>
            <w:shd w:val="clear" w:color="auto" w:fill="FFFFFF"/>
          </w:tcPr>
          <w:p w14:paraId="30703570" w14:textId="77777777" w:rsidR="00924992" w:rsidRDefault="00924992">
            <w:pPr>
              <w:pStyle w:val="Other0"/>
              <w:framePr w:w="11424" w:h="5640" w:wrap="none" w:hAnchor="page" w:x="635" w:y="639"/>
              <w:spacing w:line="283" w:lineRule="auto"/>
              <w:ind w:left="220" w:hanging="220"/>
              <w:rPr>
                <w:sz w:val="16"/>
                <w:szCs w:val="16"/>
              </w:rPr>
            </w:pPr>
            <w:r>
              <w:rPr>
                <w:rFonts w:ascii="Times New Roman" w:eastAsia="Times New Roman" w:hAnsi="Times New Roman" w:cs="Times New Roman"/>
                <w:color w:val="000000"/>
                <w:sz w:val="16"/>
                <w:szCs w:val="16"/>
              </w:rPr>
              <w:t>No se usa la presentación ingerible por su escasa absorción.</w:t>
            </w:r>
          </w:p>
        </w:tc>
      </w:tr>
    </w:tbl>
    <w:p w14:paraId="4414BBC3" w14:textId="77777777" w:rsidR="00924992" w:rsidRDefault="00924992">
      <w:pPr>
        <w:framePr w:w="11424" w:h="5640" w:wrap="none" w:hAnchor="page" w:x="635" w:y="639"/>
        <w:spacing w:line="1" w:lineRule="exact"/>
      </w:pPr>
    </w:p>
    <w:p w14:paraId="6A73F9A9" w14:textId="77777777" w:rsidR="00924992" w:rsidRDefault="00924992">
      <w:pPr>
        <w:pStyle w:val="Bodytext80"/>
        <w:framePr w:w="168" w:h="4954" w:hRule="exact" w:wrap="none" w:hAnchor="page" w:x="12390" w:y="1964"/>
        <w:tabs>
          <w:tab w:val="left" w:pos="4637"/>
        </w:tabs>
        <w:textDirection w:val="tbRl"/>
        <w:rPr>
          <w:sz w:val="16"/>
          <w:szCs w:val="16"/>
        </w:rPr>
      </w:pPr>
      <w:r>
        <w:t>CUADROS DE DOSIS DE ANTIMICROBIANOS</w:t>
      </w:r>
      <w:r>
        <w:tab/>
      </w:r>
      <w:r>
        <w:rPr>
          <w:sz w:val="16"/>
          <w:szCs w:val="16"/>
        </w:rPr>
        <w:t>743</w:t>
      </w:r>
    </w:p>
    <w:p w14:paraId="7E3DAFB8" w14:textId="77777777" w:rsidR="00924992" w:rsidRDefault="00924992">
      <w:pPr>
        <w:spacing w:line="360" w:lineRule="exact"/>
      </w:pPr>
    </w:p>
    <w:p w14:paraId="1F8B1231" w14:textId="77777777" w:rsidR="00924992" w:rsidRDefault="00924992">
      <w:pPr>
        <w:spacing w:line="360" w:lineRule="exact"/>
      </w:pPr>
    </w:p>
    <w:p w14:paraId="3545AE74" w14:textId="77777777" w:rsidR="00924992" w:rsidRDefault="00924992">
      <w:pPr>
        <w:spacing w:line="360" w:lineRule="exact"/>
      </w:pPr>
    </w:p>
    <w:p w14:paraId="4D426B03" w14:textId="77777777" w:rsidR="00924992" w:rsidRDefault="00924992">
      <w:pPr>
        <w:spacing w:line="360" w:lineRule="exact"/>
      </w:pPr>
    </w:p>
    <w:p w14:paraId="081027E3" w14:textId="77777777" w:rsidR="00924992" w:rsidRDefault="00924992">
      <w:pPr>
        <w:spacing w:line="360" w:lineRule="exact"/>
      </w:pPr>
    </w:p>
    <w:p w14:paraId="6ED6E21D" w14:textId="77777777" w:rsidR="00924992" w:rsidRDefault="00924992">
      <w:pPr>
        <w:spacing w:line="360" w:lineRule="exact"/>
      </w:pPr>
    </w:p>
    <w:p w14:paraId="44AD6AA5" w14:textId="77777777" w:rsidR="00924992" w:rsidRDefault="00924992">
      <w:pPr>
        <w:spacing w:line="360" w:lineRule="exact"/>
      </w:pPr>
    </w:p>
    <w:p w14:paraId="4BE11C60" w14:textId="77777777" w:rsidR="00924992" w:rsidRDefault="00924992">
      <w:pPr>
        <w:spacing w:line="360" w:lineRule="exact"/>
      </w:pPr>
    </w:p>
    <w:p w14:paraId="160A5FF3" w14:textId="77777777" w:rsidR="00924992" w:rsidRDefault="00924992">
      <w:pPr>
        <w:spacing w:line="360" w:lineRule="exact"/>
      </w:pPr>
    </w:p>
    <w:p w14:paraId="270FB549" w14:textId="77777777" w:rsidR="00924992" w:rsidRDefault="00924992">
      <w:pPr>
        <w:spacing w:line="360" w:lineRule="exact"/>
      </w:pPr>
    </w:p>
    <w:p w14:paraId="20AA7A5A" w14:textId="77777777" w:rsidR="00924992" w:rsidRDefault="00924992">
      <w:pPr>
        <w:spacing w:line="360" w:lineRule="exact"/>
      </w:pPr>
    </w:p>
    <w:p w14:paraId="47249773" w14:textId="77777777" w:rsidR="00924992" w:rsidRDefault="00924992">
      <w:pPr>
        <w:spacing w:line="360" w:lineRule="exact"/>
      </w:pPr>
    </w:p>
    <w:p w14:paraId="61D2FEED" w14:textId="77777777" w:rsidR="00924992" w:rsidRDefault="00924992">
      <w:pPr>
        <w:spacing w:line="360" w:lineRule="exact"/>
      </w:pPr>
    </w:p>
    <w:p w14:paraId="768AB65E" w14:textId="77777777" w:rsidR="00924992" w:rsidRDefault="00924992">
      <w:pPr>
        <w:spacing w:line="360" w:lineRule="exact"/>
      </w:pPr>
    </w:p>
    <w:p w14:paraId="4283200C" w14:textId="77777777" w:rsidR="00924992" w:rsidRDefault="00924992">
      <w:pPr>
        <w:spacing w:line="360" w:lineRule="exact"/>
      </w:pPr>
    </w:p>
    <w:p w14:paraId="3B71356A" w14:textId="77777777" w:rsidR="00924992" w:rsidRDefault="00924992">
      <w:pPr>
        <w:spacing w:line="360" w:lineRule="exact"/>
      </w:pPr>
    </w:p>
    <w:p w14:paraId="011B012C" w14:textId="77777777" w:rsidR="00924992" w:rsidRDefault="00924992">
      <w:pPr>
        <w:spacing w:line="360" w:lineRule="exact"/>
      </w:pPr>
    </w:p>
    <w:p w14:paraId="0408AA6A" w14:textId="77777777" w:rsidR="00924992" w:rsidRDefault="00924992">
      <w:pPr>
        <w:spacing w:line="360" w:lineRule="exact"/>
      </w:pPr>
    </w:p>
    <w:p w14:paraId="5B7E452D" w14:textId="77777777" w:rsidR="00924992" w:rsidRDefault="00924992">
      <w:pPr>
        <w:spacing w:after="436" w:line="1" w:lineRule="exact"/>
      </w:pPr>
    </w:p>
    <w:p w14:paraId="1630BC2E" w14:textId="77777777" w:rsidR="00924992" w:rsidRDefault="00924992">
      <w:pPr>
        <w:spacing w:line="1" w:lineRule="exact"/>
        <w:sectPr w:rsidR="00924992" w:rsidSect="00924992">
          <w:pgSz w:w="13022" w:h="8501" w:orient="landscape"/>
          <w:pgMar w:top="1080" w:right="466" w:bottom="370" w:left="634" w:header="652" w:footer="3" w:gutter="0"/>
          <w:cols w:space="720"/>
          <w:noEndnote/>
          <w:docGrid w:linePitch="360"/>
          <w15:footnoteColumns w:val="1"/>
        </w:sectPr>
      </w:pPr>
    </w:p>
    <w:p w14:paraId="66AFE95B" w14:textId="77777777" w:rsidR="00924992" w:rsidRDefault="00924992">
      <w:pPr>
        <w:pStyle w:val="Heading31"/>
        <w:keepNext/>
        <w:keepLines/>
        <w:framePr w:w="8122" w:h="322" w:wrap="none" w:hAnchor="page" w:x="2262" w:y="1"/>
        <w:rPr>
          <w:sz w:val="16"/>
          <w:szCs w:val="16"/>
        </w:rPr>
      </w:pPr>
      <w:bookmarkStart w:id="314" w:name="bookmark1760"/>
      <w:bookmarkStart w:id="315" w:name="bookmark1761"/>
      <w:bookmarkStart w:id="316" w:name="bookmark1762"/>
      <w:r>
        <w:rPr>
          <w:b w:val="0"/>
          <w:bCs w:val="0"/>
          <w:color w:val="000000"/>
        </w:rPr>
        <w:t xml:space="preserve">Cuadro 4-2. </w:t>
      </w:r>
      <w:r>
        <w:rPr>
          <w:color w:val="000000"/>
        </w:rPr>
        <w:t xml:space="preserve">Empleo de antibacterianos en niños después del periodo neonatal </w:t>
      </w:r>
      <w:r>
        <w:rPr>
          <w:rFonts w:ascii="Times New Roman" w:eastAsia="Times New Roman" w:hAnsi="Times New Roman" w:cs="Times New Roman"/>
          <w:b w:val="0"/>
          <w:bCs w:val="0"/>
          <w:i/>
          <w:iCs/>
          <w:color w:val="000000"/>
          <w:w w:val="100"/>
          <w:sz w:val="16"/>
          <w:szCs w:val="16"/>
        </w:rPr>
        <w:t>continuación</w:t>
      </w:r>
      <w:bookmarkEnd w:id="314"/>
      <w:bookmarkEnd w:id="315"/>
      <w:bookmarkEnd w:id="316"/>
    </w:p>
    <w:p w14:paraId="05982E31" w14:textId="77777777" w:rsidR="00924992" w:rsidRDefault="00924992">
      <w:pPr>
        <w:pStyle w:val="Heading41"/>
        <w:keepNext/>
        <w:keepLines/>
        <w:framePr w:w="6547" w:h="926" w:wrap="none" w:hAnchor="page" w:x="659" w:y="332"/>
        <w:pBdr>
          <w:top w:val="single" w:sz="4" w:space="0" w:color="000000"/>
          <w:left w:val="single" w:sz="4" w:space="0" w:color="000000"/>
          <w:bottom w:val="single" w:sz="4" w:space="0" w:color="000000"/>
          <w:right w:val="single" w:sz="4" w:space="0" w:color="000000"/>
        </w:pBdr>
        <w:shd w:val="clear" w:color="auto" w:fill="000000"/>
        <w:spacing w:line="264" w:lineRule="auto"/>
        <w:ind w:left="3360"/>
      </w:pPr>
      <w:bookmarkStart w:id="317" w:name="bookmark1765"/>
      <w:r>
        <w:rPr>
          <w:color w:val="FFFFFF"/>
        </w:rPr>
        <w:t>Dosis por kg de peso al día</w:t>
      </w:r>
      <w:bookmarkEnd w:id="317"/>
    </w:p>
    <w:p w14:paraId="3A30B105" w14:textId="77777777" w:rsidR="00924992" w:rsidRDefault="00924992">
      <w:pPr>
        <w:pStyle w:val="Heading41"/>
        <w:keepNext/>
        <w:keepLines/>
        <w:framePr w:w="6547" w:h="926" w:wrap="none" w:hAnchor="page" w:x="659" w:y="332"/>
        <w:pBdr>
          <w:top w:val="single" w:sz="0" w:space="0" w:color="000000"/>
          <w:left w:val="single" w:sz="0" w:space="0" w:color="000000"/>
          <w:bottom w:val="single" w:sz="0" w:space="0" w:color="000000"/>
          <w:right w:val="single" w:sz="0" w:space="0" w:color="000000"/>
        </w:pBdr>
        <w:shd w:val="clear" w:color="auto" w:fill="000000"/>
        <w:tabs>
          <w:tab w:val="left" w:pos="5098"/>
        </w:tabs>
        <w:spacing w:line="264" w:lineRule="auto"/>
      </w:pPr>
      <w:bookmarkStart w:id="318" w:name="bookmark1763"/>
      <w:bookmarkStart w:id="319" w:name="bookmark1764"/>
      <w:bookmarkStart w:id="320" w:name="bookmark1766"/>
      <w:r>
        <w:rPr>
          <w:color w:val="FFFFFF"/>
        </w:rPr>
        <w:t>Fármaco, nombre genérico Vía de administración Infecciones leves (y comercial)</w:t>
      </w:r>
      <w:r>
        <w:rPr>
          <w:color w:val="FFFFFF"/>
        </w:rPr>
        <w:tab/>
        <w:t>o moderadas</w:t>
      </w:r>
      <w:bookmarkEnd w:id="318"/>
      <w:bookmarkEnd w:id="319"/>
      <w:bookmarkEnd w:id="320"/>
    </w:p>
    <w:p w14:paraId="7903CE86" w14:textId="77777777" w:rsidR="00924992" w:rsidRDefault="00924992">
      <w:pPr>
        <w:pStyle w:val="Heading41"/>
        <w:keepNext/>
        <w:keepLines/>
        <w:framePr w:w="3221" w:h="298" w:wrap="none" w:hAnchor="page" w:x="7859" w:y="635"/>
        <w:pBdr>
          <w:top w:val="single" w:sz="0" w:space="0" w:color="000000"/>
          <w:left w:val="single" w:sz="0" w:space="0" w:color="000000"/>
          <w:bottom w:val="single" w:sz="0" w:space="0" w:color="000000"/>
          <w:right w:val="single" w:sz="0" w:space="0" w:color="000000"/>
        </w:pBdr>
        <w:shd w:val="clear" w:color="auto" w:fill="000000"/>
        <w:jc w:val="center"/>
      </w:pPr>
      <w:bookmarkStart w:id="321" w:name="bookmark1767"/>
      <w:bookmarkStart w:id="322" w:name="bookmark1768"/>
      <w:bookmarkStart w:id="323" w:name="bookmark1769"/>
      <w:r>
        <w:rPr>
          <w:color w:val="FFFFFF"/>
        </w:rPr>
        <w:t>Infecciones graves Comentarios</w:t>
      </w:r>
      <w:bookmarkEnd w:id="321"/>
      <w:bookmarkEnd w:id="322"/>
      <w:bookmarkEnd w:id="323"/>
    </w:p>
    <w:tbl>
      <w:tblPr>
        <w:tblOverlap w:val="never"/>
        <w:tblW w:w="0" w:type="auto"/>
        <w:tblLayout w:type="fixed"/>
        <w:tblCellMar>
          <w:left w:w="10" w:type="dxa"/>
          <w:right w:w="10" w:type="dxa"/>
        </w:tblCellMar>
        <w:tblLook w:val="04A0" w:firstRow="1" w:lastRow="0" w:firstColumn="1" w:lastColumn="0" w:noHBand="0" w:noVBand="1"/>
      </w:tblPr>
      <w:tblGrid>
        <w:gridCol w:w="2534"/>
        <w:gridCol w:w="1445"/>
        <w:gridCol w:w="3168"/>
        <w:gridCol w:w="2117"/>
        <w:gridCol w:w="2069"/>
      </w:tblGrid>
      <w:tr w:rsidR="00924992" w14:paraId="20EBB6AA" w14:textId="77777777">
        <w:tblPrEx>
          <w:tblCellMar>
            <w:top w:w="0" w:type="dxa"/>
            <w:bottom w:w="0" w:type="dxa"/>
          </w:tblCellMar>
        </w:tblPrEx>
        <w:trPr>
          <w:trHeight w:hRule="exact" w:val="422"/>
        </w:trPr>
        <w:tc>
          <w:tcPr>
            <w:tcW w:w="2534" w:type="dxa"/>
            <w:shd w:val="clear" w:color="auto" w:fill="FFFFFF"/>
          </w:tcPr>
          <w:p w14:paraId="2216F659" w14:textId="77777777" w:rsidR="00924992" w:rsidRDefault="00924992">
            <w:pPr>
              <w:pStyle w:val="Other0"/>
              <w:framePr w:w="11333" w:h="5160" w:wrap="none" w:hAnchor="page" w:x="654" w:y="1287"/>
              <w:spacing w:line="240" w:lineRule="auto"/>
              <w:ind w:firstLine="0"/>
              <w:rPr>
                <w:sz w:val="16"/>
                <w:szCs w:val="16"/>
              </w:rPr>
            </w:pPr>
            <w:r>
              <w:rPr>
                <w:rFonts w:ascii="Times New Roman" w:eastAsia="Times New Roman" w:hAnsi="Times New Roman" w:cs="Times New Roman"/>
                <w:color w:val="000000"/>
                <w:sz w:val="16"/>
                <w:szCs w:val="16"/>
              </w:rPr>
              <w:t>Cloxacilina (Tegopen, Cloxapen)</w:t>
            </w:r>
          </w:p>
        </w:tc>
        <w:tc>
          <w:tcPr>
            <w:tcW w:w="1445" w:type="dxa"/>
            <w:shd w:val="clear" w:color="auto" w:fill="FFFFFF"/>
          </w:tcPr>
          <w:p w14:paraId="65F57DFC" w14:textId="77777777" w:rsidR="00924992" w:rsidRDefault="00924992">
            <w:pPr>
              <w:pStyle w:val="Other0"/>
              <w:framePr w:w="11333" w:h="5160" w:wrap="none" w:hAnchor="page" w:x="654" w:y="1287"/>
              <w:spacing w:line="240" w:lineRule="auto"/>
              <w:ind w:firstLine="0"/>
              <w:rPr>
                <w:sz w:val="16"/>
                <w:szCs w:val="16"/>
              </w:rPr>
            </w:pPr>
            <w:r>
              <w:rPr>
                <w:rFonts w:ascii="Times New Roman" w:eastAsia="Times New Roman" w:hAnsi="Times New Roman" w:cs="Times New Roman"/>
                <w:color w:val="000000"/>
                <w:sz w:val="16"/>
                <w:szCs w:val="16"/>
              </w:rPr>
              <w:t>PO</w:t>
            </w:r>
          </w:p>
        </w:tc>
        <w:tc>
          <w:tcPr>
            <w:tcW w:w="3168" w:type="dxa"/>
            <w:shd w:val="clear" w:color="auto" w:fill="FFFFFF"/>
            <w:vAlign w:val="bottom"/>
          </w:tcPr>
          <w:p w14:paraId="15EF1B98" w14:textId="77777777" w:rsidR="00924992" w:rsidRDefault="00924992">
            <w:pPr>
              <w:pStyle w:val="Other0"/>
              <w:framePr w:w="11333" w:h="5160" w:wrap="none" w:hAnchor="page" w:x="654" w:y="1287"/>
              <w:spacing w:line="283" w:lineRule="auto"/>
              <w:ind w:left="1200" w:hanging="100"/>
              <w:rPr>
                <w:sz w:val="16"/>
                <w:szCs w:val="16"/>
              </w:rPr>
            </w:pPr>
            <w:r>
              <w:rPr>
                <w:rFonts w:ascii="Times New Roman" w:eastAsia="Times New Roman" w:hAnsi="Times New Roman" w:cs="Times New Roman"/>
                <w:color w:val="000000"/>
                <w:sz w:val="16"/>
                <w:szCs w:val="16"/>
              </w:rPr>
              <w:t>50-100 mg en 4 dosis (dosis diaria del adulto, 2-4 g)</w:t>
            </w:r>
          </w:p>
        </w:tc>
        <w:tc>
          <w:tcPr>
            <w:tcW w:w="4186" w:type="dxa"/>
            <w:gridSpan w:val="2"/>
            <w:shd w:val="clear" w:color="auto" w:fill="FFFFFF"/>
          </w:tcPr>
          <w:p w14:paraId="1102510A" w14:textId="77777777" w:rsidR="00924992" w:rsidRDefault="00924992">
            <w:pPr>
              <w:pStyle w:val="Other0"/>
              <w:framePr w:w="11333" w:h="5160" w:wrap="none" w:hAnchor="page" w:x="654" w:y="1287"/>
              <w:tabs>
                <w:tab w:val="left" w:pos="2131"/>
              </w:tabs>
              <w:spacing w:line="240" w:lineRule="auto"/>
              <w:ind w:firstLine="0"/>
              <w:rPr>
                <w:sz w:val="16"/>
                <w:szCs w:val="16"/>
              </w:rPr>
            </w:pPr>
            <w:r>
              <w:rPr>
                <w:rFonts w:ascii="Times New Roman" w:eastAsia="Times New Roman" w:hAnsi="Times New Roman" w:cs="Times New Roman"/>
                <w:color w:val="000000"/>
                <w:sz w:val="16"/>
                <w:szCs w:val="16"/>
              </w:rPr>
              <w:t>Inapropiada</w:t>
            </w:r>
            <w:r>
              <w:rPr>
                <w:rFonts w:ascii="Times New Roman" w:eastAsia="Times New Roman" w:hAnsi="Times New Roman" w:cs="Times New Roman"/>
                <w:color w:val="000000"/>
                <w:sz w:val="16"/>
                <w:szCs w:val="16"/>
              </w:rPr>
              <w:tab/>
              <w:t>...</w:t>
            </w:r>
          </w:p>
        </w:tc>
      </w:tr>
      <w:tr w:rsidR="00924992" w14:paraId="0ADE597A" w14:textId="77777777">
        <w:tblPrEx>
          <w:tblCellMar>
            <w:top w:w="0" w:type="dxa"/>
            <w:bottom w:w="0" w:type="dxa"/>
          </w:tblCellMar>
        </w:tblPrEx>
        <w:trPr>
          <w:trHeight w:hRule="exact" w:val="864"/>
        </w:trPr>
        <w:tc>
          <w:tcPr>
            <w:tcW w:w="2534" w:type="dxa"/>
            <w:shd w:val="clear" w:color="auto" w:fill="FFFFFF"/>
          </w:tcPr>
          <w:p w14:paraId="0DCB5CEC" w14:textId="77777777" w:rsidR="00924992" w:rsidRDefault="00924992">
            <w:pPr>
              <w:pStyle w:val="Other0"/>
              <w:framePr w:w="11333" w:h="5160" w:wrap="none" w:hAnchor="page" w:x="654" w:y="1287"/>
              <w:spacing w:line="240" w:lineRule="auto"/>
              <w:ind w:firstLine="0"/>
              <w:rPr>
                <w:sz w:val="16"/>
                <w:szCs w:val="16"/>
              </w:rPr>
            </w:pPr>
            <w:r>
              <w:rPr>
                <w:rFonts w:ascii="Times New Roman" w:eastAsia="Times New Roman" w:hAnsi="Times New Roman" w:cs="Times New Roman"/>
                <w:color w:val="000000"/>
                <w:sz w:val="16"/>
                <w:szCs w:val="16"/>
              </w:rPr>
              <w:t>Dicloxacilina (Dynapen, Pathocil)</w:t>
            </w:r>
          </w:p>
        </w:tc>
        <w:tc>
          <w:tcPr>
            <w:tcW w:w="1445" w:type="dxa"/>
            <w:shd w:val="clear" w:color="auto" w:fill="FFFFFF"/>
          </w:tcPr>
          <w:p w14:paraId="4DB86FF3" w14:textId="77777777" w:rsidR="00924992" w:rsidRDefault="00924992">
            <w:pPr>
              <w:pStyle w:val="Other0"/>
              <w:framePr w:w="11333" w:h="5160" w:wrap="none" w:hAnchor="page" w:x="654" w:y="1287"/>
              <w:spacing w:line="240" w:lineRule="auto"/>
              <w:ind w:firstLine="0"/>
              <w:rPr>
                <w:sz w:val="16"/>
                <w:szCs w:val="16"/>
              </w:rPr>
            </w:pPr>
            <w:r>
              <w:rPr>
                <w:rFonts w:ascii="Times New Roman" w:eastAsia="Times New Roman" w:hAnsi="Times New Roman" w:cs="Times New Roman"/>
                <w:color w:val="000000"/>
                <w:sz w:val="16"/>
                <w:szCs w:val="16"/>
              </w:rPr>
              <w:t>PO</w:t>
            </w:r>
          </w:p>
        </w:tc>
        <w:tc>
          <w:tcPr>
            <w:tcW w:w="3168" w:type="dxa"/>
            <w:shd w:val="clear" w:color="auto" w:fill="FFFFFF"/>
          </w:tcPr>
          <w:p w14:paraId="37AB892E" w14:textId="77777777" w:rsidR="00924992" w:rsidRDefault="00924992">
            <w:pPr>
              <w:pStyle w:val="Other0"/>
              <w:framePr w:w="11333" w:h="5160" w:wrap="none" w:hAnchor="page" w:x="654" w:y="1287"/>
              <w:spacing w:line="283" w:lineRule="auto"/>
              <w:ind w:firstLine="0"/>
              <w:jc w:val="right"/>
              <w:rPr>
                <w:sz w:val="16"/>
                <w:szCs w:val="16"/>
              </w:rPr>
            </w:pPr>
            <w:r>
              <w:rPr>
                <w:rFonts w:ascii="Times New Roman" w:eastAsia="Times New Roman" w:hAnsi="Times New Roman" w:cs="Times New Roman"/>
                <w:color w:val="000000"/>
                <w:sz w:val="16"/>
                <w:szCs w:val="16"/>
              </w:rPr>
              <w:t>25-50 mg en 4 dosis (dosis diaria del adulto, 1-2 g)</w:t>
            </w:r>
          </w:p>
        </w:tc>
        <w:tc>
          <w:tcPr>
            <w:tcW w:w="2117" w:type="dxa"/>
            <w:shd w:val="clear" w:color="auto" w:fill="FFFFFF"/>
          </w:tcPr>
          <w:p w14:paraId="4ABA83A0" w14:textId="77777777" w:rsidR="00924992" w:rsidRDefault="00924992">
            <w:pPr>
              <w:pStyle w:val="Other0"/>
              <w:framePr w:w="11333" w:h="5160" w:wrap="none" w:hAnchor="page" w:x="654" w:y="1287"/>
              <w:spacing w:line="240" w:lineRule="auto"/>
              <w:ind w:firstLine="0"/>
              <w:rPr>
                <w:sz w:val="16"/>
                <w:szCs w:val="16"/>
              </w:rPr>
            </w:pPr>
            <w:r>
              <w:rPr>
                <w:rFonts w:ascii="Times New Roman" w:eastAsia="Times New Roman" w:hAnsi="Times New Roman" w:cs="Times New Roman"/>
                <w:color w:val="000000"/>
                <w:sz w:val="16"/>
                <w:szCs w:val="16"/>
              </w:rPr>
              <w:t>Inapropiada</w:t>
            </w:r>
          </w:p>
        </w:tc>
        <w:tc>
          <w:tcPr>
            <w:tcW w:w="2069" w:type="dxa"/>
            <w:shd w:val="clear" w:color="auto" w:fill="FFFFFF"/>
          </w:tcPr>
          <w:p w14:paraId="705869C3" w14:textId="77777777" w:rsidR="00924992" w:rsidRDefault="00924992">
            <w:pPr>
              <w:pStyle w:val="Other0"/>
              <w:framePr w:w="11333" w:h="5160" w:wrap="none" w:hAnchor="page" w:x="654" w:y="1287"/>
              <w:spacing w:line="283" w:lineRule="auto"/>
              <w:ind w:left="180" w:hanging="180"/>
              <w:rPr>
                <w:sz w:val="16"/>
                <w:szCs w:val="16"/>
              </w:rPr>
            </w:pPr>
            <w:r>
              <w:rPr>
                <w:rFonts w:ascii="Times New Roman" w:eastAsia="Times New Roman" w:hAnsi="Times New Roman" w:cs="Times New Roman"/>
                <w:color w:val="000000"/>
                <w:sz w:val="16"/>
                <w:szCs w:val="16"/>
              </w:rPr>
              <w:t>Concentraciones séricas excelentes después de administración por la boca.</w:t>
            </w:r>
          </w:p>
        </w:tc>
      </w:tr>
      <w:tr w:rsidR="00924992" w14:paraId="3920954F" w14:textId="77777777">
        <w:tblPrEx>
          <w:tblCellMar>
            <w:top w:w="0" w:type="dxa"/>
            <w:bottom w:w="0" w:type="dxa"/>
          </w:tblCellMar>
        </w:tblPrEx>
        <w:trPr>
          <w:trHeight w:hRule="exact" w:val="883"/>
        </w:trPr>
        <w:tc>
          <w:tcPr>
            <w:tcW w:w="2534" w:type="dxa"/>
            <w:shd w:val="clear" w:color="auto" w:fill="FFFFFF"/>
          </w:tcPr>
          <w:p w14:paraId="0F1B45B6" w14:textId="77777777" w:rsidR="00924992" w:rsidRDefault="00924992">
            <w:pPr>
              <w:pStyle w:val="Other0"/>
              <w:framePr w:w="11333" w:h="5160" w:wrap="none" w:hAnchor="page" w:x="654" w:y="1287"/>
              <w:spacing w:line="240" w:lineRule="auto"/>
              <w:ind w:firstLine="0"/>
              <w:rPr>
                <w:sz w:val="16"/>
                <w:szCs w:val="16"/>
              </w:rPr>
            </w:pPr>
            <w:r>
              <w:rPr>
                <w:rFonts w:ascii="Times New Roman" w:eastAsia="Times New Roman" w:hAnsi="Times New Roman" w:cs="Times New Roman"/>
                <w:b/>
                <w:bCs/>
                <w:color w:val="000000"/>
                <w:sz w:val="16"/>
                <w:szCs w:val="16"/>
              </w:rPr>
              <w:t xml:space="preserve">Rifampicina </w:t>
            </w:r>
            <w:r>
              <w:rPr>
                <w:rFonts w:ascii="Times New Roman" w:eastAsia="Times New Roman" w:hAnsi="Times New Roman" w:cs="Times New Roman"/>
                <w:color w:val="000000"/>
                <w:sz w:val="16"/>
                <w:szCs w:val="16"/>
              </w:rPr>
              <w:t>(diversos tipos)</w:t>
            </w:r>
          </w:p>
        </w:tc>
        <w:tc>
          <w:tcPr>
            <w:tcW w:w="1445" w:type="dxa"/>
            <w:shd w:val="clear" w:color="auto" w:fill="FFFFFF"/>
          </w:tcPr>
          <w:p w14:paraId="244E06EC" w14:textId="77777777" w:rsidR="00924992" w:rsidRDefault="00924992">
            <w:pPr>
              <w:pStyle w:val="Other0"/>
              <w:framePr w:w="11333" w:h="5160" w:wrap="none" w:hAnchor="page" w:x="654" w:y="1287"/>
              <w:spacing w:line="240" w:lineRule="auto"/>
              <w:ind w:firstLine="0"/>
              <w:rPr>
                <w:sz w:val="16"/>
                <w:szCs w:val="16"/>
              </w:rPr>
            </w:pPr>
            <w:r>
              <w:rPr>
                <w:rFonts w:ascii="Times New Roman" w:eastAsia="Times New Roman" w:hAnsi="Times New Roman" w:cs="Times New Roman"/>
                <w:color w:val="000000"/>
                <w:sz w:val="16"/>
                <w:szCs w:val="16"/>
              </w:rPr>
              <w:t>PO</w:t>
            </w:r>
          </w:p>
        </w:tc>
        <w:tc>
          <w:tcPr>
            <w:tcW w:w="3168" w:type="dxa"/>
            <w:shd w:val="clear" w:color="auto" w:fill="FFFFFF"/>
          </w:tcPr>
          <w:p w14:paraId="606C613A" w14:textId="77777777" w:rsidR="00924992" w:rsidRDefault="00924992">
            <w:pPr>
              <w:pStyle w:val="Other0"/>
              <w:framePr w:w="11333" w:h="5160" w:wrap="none" w:hAnchor="page" w:x="654" w:y="1287"/>
              <w:spacing w:line="283" w:lineRule="auto"/>
              <w:ind w:left="1200" w:hanging="100"/>
              <w:rPr>
                <w:sz w:val="16"/>
                <w:szCs w:val="16"/>
              </w:rPr>
            </w:pPr>
            <w:r>
              <w:rPr>
                <w:rFonts w:ascii="Times New Roman" w:eastAsia="Times New Roman" w:hAnsi="Times New Roman" w:cs="Times New Roman"/>
                <w:color w:val="000000"/>
                <w:sz w:val="16"/>
                <w:szCs w:val="16"/>
              </w:rPr>
              <w:t>10-20 mg en 1 a 2 dosis (dosis diaria del adulto,</w:t>
            </w:r>
          </w:p>
          <w:p w14:paraId="38DAD193" w14:textId="77777777" w:rsidR="00924992" w:rsidRDefault="00924992">
            <w:pPr>
              <w:pStyle w:val="Other0"/>
              <w:framePr w:w="11333" w:h="5160" w:wrap="none" w:hAnchor="page" w:x="654" w:y="1287"/>
              <w:spacing w:line="283" w:lineRule="auto"/>
              <w:ind w:left="1200" w:firstLine="0"/>
              <w:rPr>
                <w:sz w:val="16"/>
                <w:szCs w:val="16"/>
              </w:rPr>
            </w:pPr>
            <w:r>
              <w:rPr>
                <w:rFonts w:ascii="Times New Roman" w:eastAsia="Times New Roman" w:hAnsi="Times New Roman" w:cs="Times New Roman"/>
                <w:color w:val="000000"/>
                <w:sz w:val="16"/>
                <w:szCs w:val="16"/>
              </w:rPr>
              <w:t>600 mg)</w:t>
            </w:r>
          </w:p>
        </w:tc>
        <w:tc>
          <w:tcPr>
            <w:tcW w:w="2117" w:type="dxa"/>
            <w:shd w:val="clear" w:color="auto" w:fill="FFFFFF"/>
          </w:tcPr>
          <w:p w14:paraId="3DA6D6A2" w14:textId="77777777" w:rsidR="00924992" w:rsidRDefault="00924992">
            <w:pPr>
              <w:pStyle w:val="Other0"/>
              <w:framePr w:w="11333" w:h="5160" w:wrap="none" w:hAnchor="page" w:x="654" w:y="1287"/>
              <w:spacing w:line="283" w:lineRule="auto"/>
              <w:ind w:left="160" w:hanging="160"/>
              <w:rPr>
                <w:sz w:val="16"/>
                <w:szCs w:val="16"/>
              </w:rPr>
            </w:pPr>
            <w:r>
              <w:rPr>
                <w:rFonts w:ascii="Times New Roman" w:eastAsia="Times New Roman" w:hAnsi="Times New Roman" w:cs="Times New Roman"/>
                <w:color w:val="000000"/>
                <w:sz w:val="16"/>
                <w:szCs w:val="16"/>
              </w:rPr>
              <w:t>20 mg en 2 dosis. Dosis máxima del adulto, 600 mg/24 h</w:t>
            </w:r>
          </w:p>
        </w:tc>
        <w:tc>
          <w:tcPr>
            <w:tcW w:w="2069" w:type="dxa"/>
            <w:shd w:val="clear" w:color="auto" w:fill="FFFFFF"/>
            <w:vAlign w:val="bottom"/>
          </w:tcPr>
          <w:p w14:paraId="4484E3B6" w14:textId="77777777" w:rsidR="00924992" w:rsidRDefault="00924992">
            <w:pPr>
              <w:pStyle w:val="Other0"/>
              <w:framePr w:w="11333" w:h="5160" w:wrap="none" w:hAnchor="page" w:x="654" w:y="1287"/>
              <w:spacing w:line="283" w:lineRule="auto"/>
              <w:ind w:left="180" w:hanging="180"/>
              <w:rPr>
                <w:sz w:val="16"/>
                <w:szCs w:val="16"/>
              </w:rPr>
            </w:pPr>
            <w:r>
              <w:rPr>
                <w:rFonts w:ascii="Times New Roman" w:eastAsia="Times New Roman" w:hAnsi="Times New Roman" w:cs="Times New Roman"/>
                <w:color w:val="000000"/>
                <w:sz w:val="16"/>
                <w:szCs w:val="16"/>
              </w:rPr>
              <w:t>No debe emplearse como monoterapia, excepto cuando se administra para profilaxia.</w:t>
            </w:r>
          </w:p>
        </w:tc>
      </w:tr>
      <w:tr w:rsidR="00924992" w14:paraId="502952C6" w14:textId="77777777">
        <w:tblPrEx>
          <w:tblCellMar>
            <w:top w:w="0" w:type="dxa"/>
            <w:bottom w:w="0" w:type="dxa"/>
          </w:tblCellMar>
        </w:tblPrEx>
        <w:trPr>
          <w:trHeight w:hRule="exact" w:val="840"/>
        </w:trPr>
        <w:tc>
          <w:tcPr>
            <w:tcW w:w="2534" w:type="dxa"/>
            <w:shd w:val="clear" w:color="auto" w:fill="FFFFFF"/>
            <w:vAlign w:val="bottom"/>
          </w:tcPr>
          <w:p w14:paraId="320CC986" w14:textId="77777777" w:rsidR="00924992" w:rsidRDefault="00924992">
            <w:pPr>
              <w:pStyle w:val="Other0"/>
              <w:framePr w:w="11333" w:h="5160" w:wrap="none" w:hAnchor="page" w:x="654" w:y="1287"/>
              <w:spacing w:line="240" w:lineRule="auto"/>
              <w:ind w:firstLine="0"/>
              <w:rPr>
                <w:sz w:val="16"/>
                <w:szCs w:val="16"/>
              </w:rPr>
            </w:pPr>
            <w:r>
              <w:rPr>
                <w:rFonts w:ascii="Times New Roman" w:eastAsia="Times New Roman" w:hAnsi="Times New Roman" w:cs="Times New Roman"/>
                <w:b/>
                <w:bCs/>
                <w:color w:val="000000"/>
                <w:sz w:val="16"/>
                <w:szCs w:val="16"/>
              </w:rPr>
              <w:t>Sulfonamidas</w:t>
            </w:r>
          </w:p>
        </w:tc>
        <w:tc>
          <w:tcPr>
            <w:tcW w:w="1445" w:type="dxa"/>
            <w:shd w:val="clear" w:color="auto" w:fill="FFFFFF"/>
          </w:tcPr>
          <w:p w14:paraId="2F9BDAA5" w14:textId="77777777" w:rsidR="00924992" w:rsidRDefault="00924992">
            <w:pPr>
              <w:pStyle w:val="Other0"/>
              <w:framePr w:w="11333" w:h="5160" w:wrap="none" w:hAnchor="page" w:x="654" w:y="1287"/>
              <w:spacing w:line="240" w:lineRule="auto"/>
              <w:ind w:firstLine="0"/>
              <w:rPr>
                <w:sz w:val="16"/>
                <w:szCs w:val="16"/>
              </w:rPr>
            </w:pPr>
            <w:r>
              <w:rPr>
                <w:rFonts w:ascii="Times New Roman" w:eastAsia="Times New Roman" w:hAnsi="Times New Roman" w:cs="Times New Roman"/>
                <w:color w:val="000000"/>
                <w:sz w:val="16"/>
                <w:szCs w:val="16"/>
              </w:rPr>
              <w:t>IV</w:t>
            </w:r>
          </w:p>
        </w:tc>
        <w:tc>
          <w:tcPr>
            <w:tcW w:w="3168" w:type="dxa"/>
            <w:shd w:val="clear" w:color="auto" w:fill="FFFFFF"/>
          </w:tcPr>
          <w:p w14:paraId="091FB1EE" w14:textId="77777777" w:rsidR="00924992" w:rsidRDefault="00924992">
            <w:pPr>
              <w:pStyle w:val="Other0"/>
              <w:framePr w:w="11333" w:h="5160" w:wrap="none" w:hAnchor="page" w:x="654" w:y="1287"/>
              <w:spacing w:line="283" w:lineRule="auto"/>
              <w:ind w:firstLine="0"/>
              <w:jc w:val="right"/>
              <w:rPr>
                <w:sz w:val="16"/>
                <w:szCs w:val="16"/>
              </w:rPr>
            </w:pPr>
            <w:r>
              <w:rPr>
                <w:rFonts w:ascii="Times New Roman" w:eastAsia="Times New Roman" w:hAnsi="Times New Roman" w:cs="Times New Roman"/>
                <w:color w:val="000000"/>
                <w:sz w:val="16"/>
                <w:szCs w:val="16"/>
              </w:rPr>
              <w:t>10-20 mg 1 a 2 dosis (dosis diaria del adulto, 600 mg)</w:t>
            </w:r>
          </w:p>
        </w:tc>
        <w:tc>
          <w:tcPr>
            <w:tcW w:w="2117" w:type="dxa"/>
            <w:shd w:val="clear" w:color="auto" w:fill="FFFFFF"/>
          </w:tcPr>
          <w:p w14:paraId="1FF99D9A" w14:textId="77777777" w:rsidR="00924992" w:rsidRDefault="00924992">
            <w:pPr>
              <w:pStyle w:val="Other0"/>
              <w:framePr w:w="11333" w:h="5160" w:wrap="none" w:hAnchor="page" w:x="654" w:y="1287"/>
              <w:spacing w:line="283" w:lineRule="auto"/>
              <w:ind w:left="160" w:hanging="160"/>
              <w:rPr>
                <w:sz w:val="16"/>
                <w:szCs w:val="16"/>
              </w:rPr>
            </w:pPr>
            <w:r>
              <w:rPr>
                <w:rFonts w:ascii="Times New Roman" w:eastAsia="Times New Roman" w:hAnsi="Times New Roman" w:cs="Times New Roman"/>
                <w:color w:val="000000"/>
                <w:sz w:val="16"/>
                <w:szCs w:val="16"/>
              </w:rPr>
              <w:t>20 mg en 2 dosis. Dosis máxima del adulto, 600 mg/24 h</w:t>
            </w:r>
          </w:p>
        </w:tc>
        <w:tc>
          <w:tcPr>
            <w:tcW w:w="2069" w:type="dxa"/>
            <w:shd w:val="clear" w:color="auto" w:fill="FFFFFF"/>
          </w:tcPr>
          <w:p w14:paraId="461FE1E1" w14:textId="77777777" w:rsidR="00924992" w:rsidRDefault="00924992">
            <w:pPr>
              <w:framePr w:w="11333" w:h="5160" w:wrap="none" w:hAnchor="page" w:x="654" w:y="1287"/>
              <w:rPr>
                <w:sz w:val="10"/>
                <w:szCs w:val="10"/>
              </w:rPr>
            </w:pPr>
          </w:p>
        </w:tc>
      </w:tr>
      <w:tr w:rsidR="00924992" w14:paraId="3F21FD59" w14:textId="77777777">
        <w:tblPrEx>
          <w:tblCellMar>
            <w:top w:w="0" w:type="dxa"/>
            <w:bottom w:w="0" w:type="dxa"/>
          </w:tblCellMar>
        </w:tblPrEx>
        <w:trPr>
          <w:trHeight w:hRule="exact" w:val="221"/>
        </w:trPr>
        <w:tc>
          <w:tcPr>
            <w:tcW w:w="2534" w:type="dxa"/>
            <w:shd w:val="clear" w:color="auto" w:fill="FFFFFF"/>
            <w:vAlign w:val="bottom"/>
          </w:tcPr>
          <w:p w14:paraId="5C594E32" w14:textId="77777777" w:rsidR="00924992" w:rsidRDefault="00924992">
            <w:pPr>
              <w:pStyle w:val="Other0"/>
              <w:framePr w:w="11333" w:h="5160" w:wrap="none" w:hAnchor="page" w:x="654" w:y="1287"/>
              <w:spacing w:line="240" w:lineRule="auto"/>
              <w:ind w:firstLine="0"/>
              <w:rPr>
                <w:sz w:val="16"/>
                <w:szCs w:val="16"/>
              </w:rPr>
            </w:pPr>
            <w:r>
              <w:rPr>
                <w:rFonts w:ascii="Times New Roman" w:eastAsia="Times New Roman" w:hAnsi="Times New Roman" w:cs="Times New Roman"/>
                <w:color w:val="000000"/>
                <w:sz w:val="16"/>
                <w:szCs w:val="16"/>
              </w:rPr>
              <w:t>Sulfadiazina</w:t>
            </w:r>
          </w:p>
        </w:tc>
        <w:tc>
          <w:tcPr>
            <w:tcW w:w="1445" w:type="dxa"/>
            <w:shd w:val="clear" w:color="auto" w:fill="FFFFFF"/>
            <w:vAlign w:val="bottom"/>
          </w:tcPr>
          <w:p w14:paraId="6919ACF4" w14:textId="77777777" w:rsidR="00924992" w:rsidRDefault="00924992">
            <w:pPr>
              <w:pStyle w:val="Other0"/>
              <w:framePr w:w="11333" w:h="5160" w:wrap="none" w:hAnchor="page" w:x="654" w:y="1287"/>
              <w:spacing w:line="240" w:lineRule="auto"/>
              <w:ind w:firstLine="0"/>
              <w:rPr>
                <w:sz w:val="16"/>
                <w:szCs w:val="16"/>
              </w:rPr>
            </w:pPr>
            <w:r>
              <w:rPr>
                <w:rFonts w:ascii="Times New Roman" w:eastAsia="Times New Roman" w:hAnsi="Times New Roman" w:cs="Times New Roman"/>
                <w:color w:val="000000"/>
                <w:sz w:val="16"/>
                <w:szCs w:val="16"/>
              </w:rPr>
              <w:t>PO</w:t>
            </w:r>
          </w:p>
        </w:tc>
        <w:tc>
          <w:tcPr>
            <w:tcW w:w="3168" w:type="dxa"/>
            <w:shd w:val="clear" w:color="auto" w:fill="FFFFFF"/>
            <w:vAlign w:val="bottom"/>
          </w:tcPr>
          <w:p w14:paraId="190CEFD9" w14:textId="77777777" w:rsidR="00924992" w:rsidRDefault="00924992">
            <w:pPr>
              <w:pStyle w:val="Other0"/>
              <w:framePr w:w="11333" w:h="5160" w:wrap="none" w:hAnchor="page" w:x="654" w:y="1287"/>
              <w:spacing w:line="240" w:lineRule="auto"/>
              <w:ind w:left="1100" w:firstLine="0"/>
              <w:rPr>
                <w:sz w:val="16"/>
                <w:szCs w:val="16"/>
              </w:rPr>
            </w:pPr>
            <w:r>
              <w:rPr>
                <w:rFonts w:ascii="Times New Roman" w:eastAsia="Times New Roman" w:hAnsi="Times New Roman" w:cs="Times New Roman"/>
                <w:color w:val="000000"/>
                <w:sz w:val="16"/>
                <w:szCs w:val="16"/>
              </w:rPr>
              <w:t>100-150 m g en 4 dosis</w:t>
            </w:r>
          </w:p>
        </w:tc>
        <w:tc>
          <w:tcPr>
            <w:tcW w:w="2117" w:type="dxa"/>
            <w:shd w:val="clear" w:color="auto" w:fill="FFFFFF"/>
            <w:vAlign w:val="bottom"/>
          </w:tcPr>
          <w:p w14:paraId="205A1E31" w14:textId="77777777" w:rsidR="00924992" w:rsidRDefault="00924992">
            <w:pPr>
              <w:pStyle w:val="Other0"/>
              <w:framePr w:w="11333" w:h="5160" w:wrap="none" w:hAnchor="page" w:x="654" w:y="1287"/>
              <w:spacing w:line="240" w:lineRule="auto"/>
              <w:ind w:firstLine="0"/>
              <w:rPr>
                <w:sz w:val="16"/>
                <w:szCs w:val="16"/>
              </w:rPr>
            </w:pPr>
            <w:r>
              <w:rPr>
                <w:rFonts w:ascii="Times New Roman" w:eastAsia="Times New Roman" w:hAnsi="Times New Roman" w:cs="Times New Roman"/>
                <w:color w:val="000000"/>
                <w:sz w:val="16"/>
                <w:szCs w:val="16"/>
              </w:rPr>
              <w:t>120-150 mg en 4 a 6 dosis</w:t>
            </w:r>
          </w:p>
        </w:tc>
        <w:tc>
          <w:tcPr>
            <w:tcW w:w="2069" w:type="dxa"/>
            <w:shd w:val="clear" w:color="auto" w:fill="FFFFFF"/>
          </w:tcPr>
          <w:p w14:paraId="3C4506C8" w14:textId="77777777" w:rsidR="00924992" w:rsidRDefault="00924992">
            <w:pPr>
              <w:framePr w:w="11333" w:h="5160" w:wrap="none" w:hAnchor="page" w:x="654" w:y="1287"/>
              <w:rPr>
                <w:sz w:val="10"/>
                <w:szCs w:val="10"/>
              </w:rPr>
            </w:pPr>
          </w:p>
        </w:tc>
      </w:tr>
      <w:tr w:rsidR="00924992" w14:paraId="3B229E1B" w14:textId="77777777">
        <w:tblPrEx>
          <w:tblCellMar>
            <w:top w:w="0" w:type="dxa"/>
            <w:bottom w:w="0" w:type="dxa"/>
          </w:tblCellMar>
        </w:tblPrEx>
        <w:trPr>
          <w:trHeight w:hRule="exact" w:val="221"/>
        </w:trPr>
        <w:tc>
          <w:tcPr>
            <w:tcW w:w="2534" w:type="dxa"/>
            <w:shd w:val="clear" w:color="auto" w:fill="FFFFFF"/>
            <w:vAlign w:val="bottom"/>
          </w:tcPr>
          <w:p w14:paraId="16011F3E" w14:textId="77777777" w:rsidR="00924992" w:rsidRDefault="00924992">
            <w:pPr>
              <w:pStyle w:val="Other0"/>
              <w:framePr w:w="11333" w:h="5160" w:wrap="none" w:hAnchor="page" w:x="654" w:y="1287"/>
              <w:spacing w:line="240" w:lineRule="auto"/>
              <w:ind w:firstLine="0"/>
              <w:rPr>
                <w:sz w:val="16"/>
                <w:szCs w:val="16"/>
              </w:rPr>
            </w:pPr>
            <w:r>
              <w:rPr>
                <w:rFonts w:ascii="Times New Roman" w:eastAsia="Times New Roman" w:hAnsi="Times New Roman" w:cs="Times New Roman"/>
                <w:color w:val="000000"/>
                <w:sz w:val="16"/>
                <w:szCs w:val="16"/>
              </w:rPr>
              <w:t>Sulfisoxazol (Gantrisin)</w:t>
            </w:r>
          </w:p>
        </w:tc>
        <w:tc>
          <w:tcPr>
            <w:tcW w:w="1445" w:type="dxa"/>
            <w:shd w:val="clear" w:color="auto" w:fill="FFFFFF"/>
            <w:vAlign w:val="bottom"/>
          </w:tcPr>
          <w:p w14:paraId="4418542E" w14:textId="77777777" w:rsidR="00924992" w:rsidRDefault="00924992">
            <w:pPr>
              <w:pStyle w:val="Other0"/>
              <w:framePr w:w="11333" w:h="5160" w:wrap="none" w:hAnchor="page" w:x="654" w:y="1287"/>
              <w:spacing w:line="240" w:lineRule="auto"/>
              <w:ind w:firstLine="0"/>
              <w:rPr>
                <w:sz w:val="16"/>
                <w:szCs w:val="16"/>
              </w:rPr>
            </w:pPr>
            <w:r>
              <w:rPr>
                <w:rFonts w:ascii="Times New Roman" w:eastAsia="Times New Roman" w:hAnsi="Times New Roman" w:cs="Times New Roman"/>
                <w:color w:val="000000"/>
                <w:sz w:val="16"/>
                <w:szCs w:val="16"/>
              </w:rPr>
              <w:t>PO</w:t>
            </w:r>
          </w:p>
        </w:tc>
        <w:tc>
          <w:tcPr>
            <w:tcW w:w="3168" w:type="dxa"/>
            <w:shd w:val="clear" w:color="auto" w:fill="FFFFFF"/>
            <w:vAlign w:val="bottom"/>
          </w:tcPr>
          <w:p w14:paraId="74624D90" w14:textId="77777777" w:rsidR="00924992" w:rsidRDefault="00924992">
            <w:pPr>
              <w:pStyle w:val="Other0"/>
              <w:framePr w:w="11333" w:h="5160" w:wrap="none" w:hAnchor="page" w:x="654" w:y="1287"/>
              <w:spacing w:line="240" w:lineRule="auto"/>
              <w:ind w:left="1100" w:firstLine="0"/>
              <w:rPr>
                <w:sz w:val="16"/>
                <w:szCs w:val="16"/>
              </w:rPr>
            </w:pPr>
            <w:r>
              <w:rPr>
                <w:rFonts w:ascii="Times New Roman" w:eastAsia="Times New Roman" w:hAnsi="Times New Roman" w:cs="Times New Roman"/>
                <w:color w:val="000000"/>
                <w:sz w:val="16"/>
                <w:szCs w:val="16"/>
              </w:rPr>
              <w:t>120-150 mg en 4 a 6 dosis</w:t>
            </w:r>
          </w:p>
        </w:tc>
        <w:tc>
          <w:tcPr>
            <w:tcW w:w="2117" w:type="dxa"/>
            <w:shd w:val="clear" w:color="auto" w:fill="FFFFFF"/>
            <w:vAlign w:val="bottom"/>
          </w:tcPr>
          <w:p w14:paraId="7A4679E1" w14:textId="77777777" w:rsidR="00924992" w:rsidRDefault="00924992">
            <w:pPr>
              <w:pStyle w:val="Other0"/>
              <w:framePr w:w="11333" w:h="5160" w:wrap="none" w:hAnchor="page" w:x="654" w:y="1287"/>
              <w:spacing w:line="240" w:lineRule="auto"/>
              <w:ind w:firstLine="0"/>
              <w:rPr>
                <w:sz w:val="16"/>
                <w:szCs w:val="16"/>
              </w:rPr>
            </w:pPr>
            <w:r>
              <w:rPr>
                <w:rFonts w:ascii="Times New Roman" w:eastAsia="Times New Roman" w:hAnsi="Times New Roman" w:cs="Times New Roman"/>
                <w:color w:val="000000"/>
                <w:sz w:val="16"/>
                <w:szCs w:val="16"/>
              </w:rPr>
              <w:t>120-150 mg en 4 a 6 dosis</w:t>
            </w:r>
          </w:p>
        </w:tc>
        <w:tc>
          <w:tcPr>
            <w:tcW w:w="2069" w:type="dxa"/>
            <w:shd w:val="clear" w:color="auto" w:fill="FFFFFF"/>
          </w:tcPr>
          <w:p w14:paraId="7CBEB494" w14:textId="77777777" w:rsidR="00924992" w:rsidRDefault="00924992">
            <w:pPr>
              <w:framePr w:w="11333" w:h="5160" w:wrap="none" w:hAnchor="page" w:x="654" w:y="1287"/>
              <w:rPr>
                <w:sz w:val="10"/>
                <w:szCs w:val="10"/>
              </w:rPr>
            </w:pPr>
          </w:p>
        </w:tc>
      </w:tr>
      <w:tr w:rsidR="00924992" w14:paraId="2A326523" w14:textId="77777777">
        <w:tblPrEx>
          <w:tblCellMar>
            <w:top w:w="0" w:type="dxa"/>
            <w:bottom w:w="0" w:type="dxa"/>
          </w:tblCellMar>
        </w:tblPrEx>
        <w:trPr>
          <w:trHeight w:hRule="exact" w:val="226"/>
        </w:trPr>
        <w:tc>
          <w:tcPr>
            <w:tcW w:w="2534" w:type="dxa"/>
            <w:shd w:val="clear" w:color="auto" w:fill="FFFFFF"/>
            <w:vAlign w:val="bottom"/>
          </w:tcPr>
          <w:p w14:paraId="3A1853E4" w14:textId="77777777" w:rsidR="00924992" w:rsidRDefault="00924992">
            <w:pPr>
              <w:pStyle w:val="Other0"/>
              <w:framePr w:w="11333" w:h="5160" w:wrap="none" w:hAnchor="page" w:x="654" w:y="1287"/>
              <w:spacing w:line="240" w:lineRule="auto"/>
              <w:ind w:firstLine="0"/>
              <w:rPr>
                <w:sz w:val="16"/>
                <w:szCs w:val="16"/>
              </w:rPr>
            </w:pPr>
            <w:r>
              <w:rPr>
                <w:rFonts w:ascii="Times New Roman" w:eastAsia="Times New Roman" w:hAnsi="Times New Roman" w:cs="Times New Roman"/>
                <w:color w:val="000000"/>
                <w:sz w:val="16"/>
                <w:szCs w:val="16"/>
              </w:rPr>
              <w:t>Triples, sulfonamidas (diversos tipos)</w:t>
            </w:r>
          </w:p>
        </w:tc>
        <w:tc>
          <w:tcPr>
            <w:tcW w:w="1445" w:type="dxa"/>
            <w:shd w:val="clear" w:color="auto" w:fill="FFFFFF"/>
            <w:vAlign w:val="bottom"/>
          </w:tcPr>
          <w:p w14:paraId="525722C0" w14:textId="77777777" w:rsidR="00924992" w:rsidRDefault="00924992">
            <w:pPr>
              <w:pStyle w:val="Other0"/>
              <w:framePr w:w="11333" w:h="5160" w:wrap="none" w:hAnchor="page" w:x="654" w:y="1287"/>
              <w:spacing w:line="240" w:lineRule="auto"/>
              <w:ind w:firstLine="0"/>
              <w:rPr>
                <w:sz w:val="16"/>
                <w:szCs w:val="16"/>
              </w:rPr>
            </w:pPr>
            <w:r>
              <w:rPr>
                <w:rFonts w:ascii="Times New Roman" w:eastAsia="Times New Roman" w:hAnsi="Times New Roman" w:cs="Times New Roman"/>
                <w:color w:val="000000"/>
                <w:sz w:val="16"/>
                <w:szCs w:val="16"/>
              </w:rPr>
              <w:t>PO</w:t>
            </w:r>
          </w:p>
        </w:tc>
        <w:tc>
          <w:tcPr>
            <w:tcW w:w="3168" w:type="dxa"/>
            <w:shd w:val="clear" w:color="auto" w:fill="FFFFFF"/>
            <w:vAlign w:val="bottom"/>
          </w:tcPr>
          <w:p w14:paraId="73DD002E" w14:textId="77777777" w:rsidR="00924992" w:rsidRDefault="00924992">
            <w:pPr>
              <w:pStyle w:val="Other0"/>
              <w:framePr w:w="11333" w:h="5160" w:wrap="none" w:hAnchor="page" w:x="654" w:y="1287"/>
              <w:spacing w:line="240" w:lineRule="auto"/>
              <w:ind w:left="1100" w:firstLine="0"/>
              <w:rPr>
                <w:sz w:val="16"/>
                <w:szCs w:val="16"/>
              </w:rPr>
            </w:pPr>
            <w:r>
              <w:rPr>
                <w:rFonts w:ascii="Times New Roman" w:eastAsia="Times New Roman" w:hAnsi="Times New Roman" w:cs="Times New Roman"/>
                <w:color w:val="000000"/>
                <w:sz w:val="16"/>
                <w:szCs w:val="16"/>
              </w:rPr>
              <w:t>120-150 mg en 4 dosis</w:t>
            </w:r>
          </w:p>
        </w:tc>
        <w:tc>
          <w:tcPr>
            <w:tcW w:w="2117" w:type="dxa"/>
            <w:shd w:val="clear" w:color="auto" w:fill="FFFFFF"/>
            <w:vAlign w:val="bottom"/>
          </w:tcPr>
          <w:p w14:paraId="005CDC27" w14:textId="77777777" w:rsidR="00924992" w:rsidRDefault="00924992">
            <w:pPr>
              <w:pStyle w:val="Other0"/>
              <w:framePr w:w="11333" w:h="5160" w:wrap="none" w:hAnchor="page" w:x="654" w:y="1287"/>
              <w:spacing w:line="240" w:lineRule="auto"/>
              <w:ind w:firstLine="0"/>
              <w:rPr>
                <w:sz w:val="16"/>
                <w:szCs w:val="16"/>
              </w:rPr>
            </w:pPr>
            <w:r>
              <w:rPr>
                <w:rFonts w:ascii="Times New Roman" w:eastAsia="Times New Roman" w:hAnsi="Times New Roman" w:cs="Times New Roman"/>
                <w:color w:val="000000"/>
                <w:sz w:val="16"/>
                <w:szCs w:val="16"/>
              </w:rPr>
              <w:t>120-150 mg 4 dosis</w:t>
            </w:r>
          </w:p>
        </w:tc>
        <w:tc>
          <w:tcPr>
            <w:tcW w:w="2069" w:type="dxa"/>
            <w:shd w:val="clear" w:color="auto" w:fill="FFFFFF"/>
          </w:tcPr>
          <w:p w14:paraId="057665F7" w14:textId="77777777" w:rsidR="00924992" w:rsidRDefault="00924992">
            <w:pPr>
              <w:framePr w:w="11333" w:h="5160" w:wrap="none" w:hAnchor="page" w:x="654" w:y="1287"/>
              <w:rPr>
                <w:sz w:val="10"/>
                <w:szCs w:val="10"/>
              </w:rPr>
            </w:pPr>
          </w:p>
        </w:tc>
      </w:tr>
      <w:tr w:rsidR="00924992" w14:paraId="48FBB239" w14:textId="77777777">
        <w:tblPrEx>
          <w:tblCellMar>
            <w:top w:w="0" w:type="dxa"/>
            <w:bottom w:w="0" w:type="dxa"/>
          </w:tblCellMar>
        </w:tblPrEx>
        <w:trPr>
          <w:trHeight w:hRule="exact" w:val="216"/>
        </w:trPr>
        <w:tc>
          <w:tcPr>
            <w:tcW w:w="2534" w:type="dxa"/>
            <w:shd w:val="clear" w:color="auto" w:fill="FFFFFF"/>
          </w:tcPr>
          <w:p w14:paraId="6A5EBE99" w14:textId="77777777" w:rsidR="00924992" w:rsidRDefault="00924992">
            <w:pPr>
              <w:pStyle w:val="Other0"/>
              <w:framePr w:w="11333" w:h="5160" w:wrap="none" w:hAnchor="page" w:x="654" w:y="1287"/>
              <w:spacing w:line="240" w:lineRule="auto"/>
              <w:ind w:firstLine="0"/>
              <w:rPr>
                <w:sz w:val="16"/>
                <w:szCs w:val="16"/>
              </w:rPr>
            </w:pPr>
            <w:r>
              <w:rPr>
                <w:rFonts w:ascii="Times New Roman" w:eastAsia="Times New Roman" w:hAnsi="Times New Roman" w:cs="Times New Roman"/>
                <w:color w:val="000000"/>
                <w:sz w:val="16"/>
                <w:szCs w:val="16"/>
              </w:rPr>
              <w:t>Trimetoprim-sulfametoxazol</w:t>
            </w:r>
          </w:p>
        </w:tc>
        <w:tc>
          <w:tcPr>
            <w:tcW w:w="1445" w:type="dxa"/>
            <w:shd w:val="clear" w:color="auto" w:fill="FFFFFF"/>
          </w:tcPr>
          <w:p w14:paraId="4FC2E729" w14:textId="77777777" w:rsidR="00924992" w:rsidRDefault="00924992">
            <w:pPr>
              <w:pStyle w:val="Other0"/>
              <w:framePr w:w="11333" w:h="5160" w:wrap="none" w:hAnchor="page" w:x="654" w:y="1287"/>
              <w:spacing w:line="240" w:lineRule="auto"/>
              <w:ind w:firstLine="0"/>
              <w:rPr>
                <w:sz w:val="16"/>
                <w:szCs w:val="16"/>
              </w:rPr>
            </w:pPr>
            <w:r>
              <w:rPr>
                <w:rFonts w:ascii="Times New Roman" w:eastAsia="Times New Roman" w:hAnsi="Times New Roman" w:cs="Times New Roman"/>
                <w:color w:val="000000"/>
                <w:sz w:val="16"/>
                <w:szCs w:val="16"/>
              </w:rPr>
              <w:t>PO</w:t>
            </w:r>
          </w:p>
        </w:tc>
        <w:tc>
          <w:tcPr>
            <w:tcW w:w="3168" w:type="dxa"/>
            <w:shd w:val="clear" w:color="auto" w:fill="FFFFFF"/>
          </w:tcPr>
          <w:p w14:paraId="032ADD86" w14:textId="77777777" w:rsidR="00924992" w:rsidRDefault="00924992">
            <w:pPr>
              <w:pStyle w:val="Other0"/>
              <w:framePr w:w="11333" w:h="5160" w:wrap="none" w:hAnchor="page" w:x="654" w:y="1287"/>
              <w:spacing w:line="240" w:lineRule="auto"/>
              <w:ind w:left="1100" w:firstLine="0"/>
              <w:rPr>
                <w:sz w:val="16"/>
                <w:szCs w:val="16"/>
              </w:rPr>
            </w:pPr>
            <w:r>
              <w:rPr>
                <w:rFonts w:ascii="Times New Roman" w:eastAsia="Times New Roman" w:hAnsi="Times New Roman" w:cs="Times New Roman"/>
                <w:color w:val="000000"/>
                <w:sz w:val="16"/>
                <w:szCs w:val="16"/>
              </w:rPr>
              <w:t>8-12 mg de trimetoprim,</w:t>
            </w:r>
          </w:p>
        </w:tc>
        <w:tc>
          <w:tcPr>
            <w:tcW w:w="2117" w:type="dxa"/>
            <w:shd w:val="clear" w:color="auto" w:fill="FFFFFF"/>
          </w:tcPr>
          <w:p w14:paraId="1E81180D" w14:textId="77777777" w:rsidR="00924992" w:rsidRDefault="00924992">
            <w:pPr>
              <w:pStyle w:val="Other0"/>
              <w:framePr w:w="11333" w:h="5160" w:wrap="none" w:hAnchor="page" w:x="654" w:y="1287"/>
              <w:spacing w:line="240" w:lineRule="auto"/>
              <w:ind w:firstLine="0"/>
              <w:rPr>
                <w:sz w:val="16"/>
                <w:szCs w:val="16"/>
              </w:rPr>
            </w:pPr>
            <w:r>
              <w:rPr>
                <w:rFonts w:ascii="Times New Roman" w:eastAsia="Times New Roman" w:hAnsi="Times New Roman" w:cs="Times New Roman"/>
                <w:color w:val="000000"/>
                <w:sz w:val="16"/>
                <w:szCs w:val="16"/>
              </w:rPr>
              <w:t>20 mg de trimetoprim,</w:t>
            </w:r>
          </w:p>
        </w:tc>
        <w:tc>
          <w:tcPr>
            <w:tcW w:w="2069" w:type="dxa"/>
            <w:shd w:val="clear" w:color="auto" w:fill="FFFFFF"/>
          </w:tcPr>
          <w:p w14:paraId="5984714E" w14:textId="77777777" w:rsidR="00924992" w:rsidRDefault="00924992">
            <w:pPr>
              <w:pStyle w:val="Other0"/>
              <w:framePr w:w="11333" w:h="5160" w:wrap="none" w:hAnchor="page" w:x="654" w:y="1287"/>
              <w:spacing w:line="240" w:lineRule="auto"/>
              <w:ind w:firstLine="0"/>
              <w:rPr>
                <w:sz w:val="16"/>
                <w:szCs w:val="16"/>
              </w:rPr>
            </w:pPr>
            <w:r>
              <w:rPr>
                <w:rFonts w:ascii="Times New Roman" w:eastAsia="Times New Roman" w:hAnsi="Times New Roman" w:cs="Times New Roman"/>
                <w:color w:val="000000"/>
                <w:sz w:val="16"/>
                <w:szCs w:val="16"/>
              </w:rPr>
              <w:t>En el caso de profilaxia en</w:t>
            </w:r>
          </w:p>
        </w:tc>
      </w:tr>
      <w:tr w:rsidR="00924992" w14:paraId="3475F3E1" w14:textId="77777777">
        <w:tblPrEx>
          <w:tblCellMar>
            <w:top w:w="0" w:type="dxa"/>
            <w:bottom w:w="0" w:type="dxa"/>
          </w:tblCellMar>
        </w:tblPrEx>
        <w:trPr>
          <w:trHeight w:hRule="exact" w:val="1267"/>
        </w:trPr>
        <w:tc>
          <w:tcPr>
            <w:tcW w:w="2534" w:type="dxa"/>
            <w:shd w:val="clear" w:color="auto" w:fill="FFFFFF"/>
          </w:tcPr>
          <w:p w14:paraId="7AF11C54" w14:textId="77777777" w:rsidR="00924992" w:rsidRDefault="00924992">
            <w:pPr>
              <w:pStyle w:val="Other0"/>
              <w:framePr w:w="11333" w:h="5160" w:wrap="none" w:hAnchor="page" w:x="654" w:y="1287"/>
              <w:spacing w:line="240" w:lineRule="auto"/>
              <w:ind w:firstLine="0"/>
              <w:rPr>
                <w:sz w:val="16"/>
                <w:szCs w:val="16"/>
              </w:rPr>
            </w:pPr>
            <w:r>
              <w:rPr>
                <w:rFonts w:ascii="Times New Roman" w:eastAsia="Times New Roman" w:hAnsi="Times New Roman" w:cs="Times New Roman"/>
                <w:color w:val="000000"/>
                <w:sz w:val="16"/>
                <w:szCs w:val="16"/>
              </w:rPr>
              <w:t>(Bactrim, Septra)</w:t>
            </w:r>
          </w:p>
        </w:tc>
        <w:tc>
          <w:tcPr>
            <w:tcW w:w="1445" w:type="dxa"/>
            <w:shd w:val="clear" w:color="auto" w:fill="FFFFFF"/>
          </w:tcPr>
          <w:p w14:paraId="0ED8CABD" w14:textId="77777777" w:rsidR="00924992" w:rsidRDefault="00924992">
            <w:pPr>
              <w:framePr w:w="11333" w:h="5160" w:wrap="none" w:hAnchor="page" w:x="654" w:y="1287"/>
              <w:rPr>
                <w:sz w:val="10"/>
                <w:szCs w:val="10"/>
              </w:rPr>
            </w:pPr>
          </w:p>
        </w:tc>
        <w:tc>
          <w:tcPr>
            <w:tcW w:w="3168" w:type="dxa"/>
            <w:shd w:val="clear" w:color="auto" w:fill="FFFFFF"/>
          </w:tcPr>
          <w:p w14:paraId="2DE670D4" w14:textId="77777777" w:rsidR="00924992" w:rsidRDefault="00924992">
            <w:pPr>
              <w:pStyle w:val="Other0"/>
              <w:framePr w:w="11333" w:h="5160" w:wrap="none" w:hAnchor="page" w:x="654" w:y="1287"/>
              <w:spacing w:line="283" w:lineRule="auto"/>
              <w:ind w:left="1200" w:firstLine="0"/>
              <w:rPr>
                <w:sz w:val="16"/>
                <w:szCs w:val="16"/>
              </w:rPr>
            </w:pPr>
            <w:r>
              <w:rPr>
                <w:rFonts w:ascii="Times New Roman" w:eastAsia="Times New Roman" w:hAnsi="Times New Roman" w:cs="Times New Roman"/>
                <w:color w:val="000000"/>
                <w:sz w:val="16"/>
                <w:szCs w:val="16"/>
              </w:rPr>
              <w:t>40-60 mg de sulfametoxazol en 2 dosis (dosis diaria del adulto, 320 mg de trimetoprim, 1.6 g de sulfametoxazol)</w:t>
            </w:r>
          </w:p>
        </w:tc>
        <w:tc>
          <w:tcPr>
            <w:tcW w:w="2117" w:type="dxa"/>
            <w:shd w:val="clear" w:color="auto" w:fill="FFFFFF"/>
          </w:tcPr>
          <w:p w14:paraId="7C834962" w14:textId="77777777" w:rsidR="00924992" w:rsidRDefault="00924992">
            <w:pPr>
              <w:pStyle w:val="Other0"/>
              <w:framePr w:w="11333" w:h="5160" w:wrap="none" w:hAnchor="page" w:x="654" w:y="1287"/>
              <w:spacing w:line="276" w:lineRule="auto"/>
              <w:ind w:left="160" w:firstLine="0"/>
              <w:rPr>
                <w:sz w:val="16"/>
                <w:szCs w:val="16"/>
              </w:rPr>
            </w:pPr>
            <w:r>
              <w:rPr>
                <w:rFonts w:ascii="Times New Roman" w:eastAsia="Times New Roman" w:hAnsi="Times New Roman" w:cs="Times New Roman"/>
                <w:color w:val="000000"/>
                <w:sz w:val="16"/>
                <w:szCs w:val="16"/>
              </w:rPr>
              <w:t xml:space="preserve">100 mg de sulfametoxazol en 4 dosis (utilizar sólo en neumonía por </w:t>
            </w:r>
            <w:r>
              <w:rPr>
                <w:rFonts w:ascii="Times New Roman" w:eastAsia="Times New Roman" w:hAnsi="Times New Roman" w:cs="Times New Roman"/>
                <w:i/>
                <w:iCs/>
                <w:color w:val="000000"/>
                <w:sz w:val="16"/>
                <w:szCs w:val="16"/>
              </w:rPr>
              <w:t>Pneumocystis)</w:t>
            </w:r>
          </w:p>
        </w:tc>
        <w:tc>
          <w:tcPr>
            <w:tcW w:w="2069" w:type="dxa"/>
            <w:shd w:val="clear" w:color="auto" w:fill="FFFFFF"/>
          </w:tcPr>
          <w:p w14:paraId="53A322AC" w14:textId="77777777" w:rsidR="00924992" w:rsidRDefault="00924992">
            <w:pPr>
              <w:pStyle w:val="Other0"/>
              <w:framePr w:w="11333" w:h="5160" w:wrap="none" w:hAnchor="page" w:x="654" w:y="1287"/>
              <w:spacing w:line="283" w:lineRule="auto"/>
              <w:ind w:left="180" w:firstLine="0"/>
              <w:rPr>
                <w:sz w:val="16"/>
                <w:szCs w:val="16"/>
              </w:rPr>
            </w:pPr>
            <w:r>
              <w:rPr>
                <w:rFonts w:ascii="Times New Roman" w:eastAsia="Times New Roman" w:hAnsi="Times New Roman" w:cs="Times New Roman"/>
                <w:color w:val="000000"/>
                <w:sz w:val="16"/>
                <w:szCs w:val="16"/>
              </w:rPr>
              <w:t>personas inmunodeficientes, la dosis recomendada es de 5 mg de trimetoprim, 25 mg de sulfametoxazol/ kg de peso al día en 2 dosis.</w:t>
            </w:r>
          </w:p>
        </w:tc>
      </w:tr>
    </w:tbl>
    <w:p w14:paraId="2C19DEF3" w14:textId="77777777" w:rsidR="00924992" w:rsidRDefault="00924992">
      <w:pPr>
        <w:framePr w:w="11333" w:h="5160" w:wrap="none" w:hAnchor="page" w:x="654" w:y="1287"/>
        <w:spacing w:line="1" w:lineRule="exact"/>
      </w:pPr>
    </w:p>
    <w:p w14:paraId="778ACC71" w14:textId="77777777" w:rsidR="00924992" w:rsidRDefault="00924992">
      <w:pPr>
        <w:pStyle w:val="Bodytext80"/>
        <w:framePr w:w="168" w:h="4958" w:hRule="exact" w:wrap="none" w:hAnchor="page" w:x="12390" w:y="49"/>
        <w:tabs>
          <w:tab w:val="left" w:pos="1906"/>
        </w:tabs>
        <w:textDirection w:val="tbRl"/>
      </w:pPr>
      <w:r>
        <w:rPr>
          <w:sz w:val="16"/>
          <w:szCs w:val="16"/>
        </w:rPr>
        <w:t>744</w:t>
      </w:r>
      <w:r>
        <w:rPr>
          <w:sz w:val="16"/>
          <w:szCs w:val="16"/>
        </w:rPr>
        <w:tab/>
      </w:r>
      <w:r>
        <w:t>CUADROS DE DOSIS DE ANTIMICROBIANOS</w:t>
      </w:r>
    </w:p>
    <w:p w14:paraId="22D205C9" w14:textId="77777777" w:rsidR="00924992" w:rsidRDefault="00924992">
      <w:pPr>
        <w:spacing w:line="360" w:lineRule="exact"/>
      </w:pPr>
    </w:p>
    <w:p w14:paraId="6E34B7E0" w14:textId="77777777" w:rsidR="00924992" w:rsidRDefault="00924992">
      <w:pPr>
        <w:spacing w:line="360" w:lineRule="exact"/>
      </w:pPr>
    </w:p>
    <w:p w14:paraId="777EEDA1" w14:textId="77777777" w:rsidR="00924992" w:rsidRDefault="00924992">
      <w:pPr>
        <w:spacing w:line="360" w:lineRule="exact"/>
      </w:pPr>
    </w:p>
    <w:p w14:paraId="5B6F30FF" w14:textId="77777777" w:rsidR="00924992" w:rsidRDefault="00924992">
      <w:pPr>
        <w:spacing w:line="360" w:lineRule="exact"/>
      </w:pPr>
    </w:p>
    <w:p w14:paraId="53B79C0C" w14:textId="77777777" w:rsidR="00924992" w:rsidRDefault="00924992">
      <w:pPr>
        <w:spacing w:line="360" w:lineRule="exact"/>
      </w:pPr>
    </w:p>
    <w:p w14:paraId="45EA6A66" w14:textId="77777777" w:rsidR="00924992" w:rsidRDefault="00924992">
      <w:pPr>
        <w:spacing w:line="360" w:lineRule="exact"/>
      </w:pPr>
    </w:p>
    <w:p w14:paraId="4D00B66D" w14:textId="77777777" w:rsidR="00924992" w:rsidRDefault="00924992">
      <w:pPr>
        <w:spacing w:line="360" w:lineRule="exact"/>
      </w:pPr>
    </w:p>
    <w:p w14:paraId="2F63589A" w14:textId="77777777" w:rsidR="00924992" w:rsidRDefault="00924992">
      <w:pPr>
        <w:spacing w:line="360" w:lineRule="exact"/>
      </w:pPr>
    </w:p>
    <w:p w14:paraId="114AE018" w14:textId="77777777" w:rsidR="00924992" w:rsidRDefault="00924992">
      <w:pPr>
        <w:spacing w:line="360" w:lineRule="exact"/>
      </w:pPr>
    </w:p>
    <w:p w14:paraId="0083AB86" w14:textId="77777777" w:rsidR="00924992" w:rsidRDefault="00924992">
      <w:pPr>
        <w:spacing w:line="360" w:lineRule="exact"/>
      </w:pPr>
    </w:p>
    <w:p w14:paraId="5657ED00" w14:textId="77777777" w:rsidR="00924992" w:rsidRDefault="00924992">
      <w:pPr>
        <w:spacing w:line="360" w:lineRule="exact"/>
      </w:pPr>
    </w:p>
    <w:p w14:paraId="062BF11F" w14:textId="77777777" w:rsidR="00924992" w:rsidRDefault="00924992">
      <w:pPr>
        <w:spacing w:line="360" w:lineRule="exact"/>
      </w:pPr>
    </w:p>
    <w:p w14:paraId="5ECDE237" w14:textId="77777777" w:rsidR="00924992" w:rsidRDefault="00924992">
      <w:pPr>
        <w:spacing w:line="360" w:lineRule="exact"/>
      </w:pPr>
    </w:p>
    <w:p w14:paraId="1B6C3B6A" w14:textId="77777777" w:rsidR="00924992" w:rsidRDefault="00924992">
      <w:pPr>
        <w:spacing w:line="360" w:lineRule="exact"/>
      </w:pPr>
    </w:p>
    <w:p w14:paraId="22300669" w14:textId="77777777" w:rsidR="00924992" w:rsidRDefault="00924992">
      <w:pPr>
        <w:spacing w:line="360" w:lineRule="exact"/>
      </w:pPr>
    </w:p>
    <w:p w14:paraId="2772A6C3" w14:textId="77777777" w:rsidR="00924992" w:rsidRDefault="00924992">
      <w:pPr>
        <w:spacing w:line="360" w:lineRule="exact"/>
      </w:pPr>
    </w:p>
    <w:p w14:paraId="74745EA7" w14:textId="77777777" w:rsidR="00924992" w:rsidRDefault="00924992">
      <w:pPr>
        <w:spacing w:after="685" w:line="1" w:lineRule="exact"/>
      </w:pPr>
    </w:p>
    <w:p w14:paraId="2F602860" w14:textId="77777777" w:rsidR="00924992" w:rsidRDefault="00924992">
      <w:pPr>
        <w:spacing w:line="1" w:lineRule="exact"/>
        <w:sectPr w:rsidR="00924992" w:rsidSect="00924992">
          <w:pgSz w:w="13022" w:h="8501" w:orient="landscape"/>
          <w:pgMar w:top="456" w:right="465" w:bottom="994" w:left="638" w:header="28" w:footer="3" w:gutter="0"/>
          <w:cols w:space="720"/>
          <w:noEndnote/>
          <w:docGrid w:linePitch="360"/>
          <w15:footnoteColumns w:val="1"/>
        </w:sectPr>
      </w:pPr>
    </w:p>
    <w:p w14:paraId="16F9C085" w14:textId="77777777" w:rsidR="00924992" w:rsidRDefault="00924992">
      <w:pPr>
        <w:pStyle w:val="Heading31"/>
        <w:keepNext/>
        <w:keepLines/>
        <w:framePr w:w="8122" w:h="317" w:wrap="none" w:hAnchor="page" w:x="2286" w:y="1"/>
        <w:rPr>
          <w:sz w:val="16"/>
          <w:szCs w:val="16"/>
        </w:rPr>
      </w:pPr>
      <w:bookmarkStart w:id="324" w:name="bookmark1770"/>
      <w:bookmarkStart w:id="325" w:name="bookmark1771"/>
      <w:bookmarkStart w:id="326" w:name="bookmark1772"/>
      <w:r>
        <w:rPr>
          <w:b w:val="0"/>
          <w:bCs w:val="0"/>
          <w:color w:val="000000"/>
        </w:rPr>
        <w:t xml:space="preserve">Cuadro 4-2. </w:t>
      </w:r>
      <w:r>
        <w:rPr>
          <w:color w:val="000000"/>
        </w:rPr>
        <w:t xml:space="preserve">Empleo de antibacterianos en niños después del periodo neonatal </w:t>
      </w:r>
      <w:r>
        <w:rPr>
          <w:rFonts w:ascii="Times New Roman" w:eastAsia="Times New Roman" w:hAnsi="Times New Roman" w:cs="Times New Roman"/>
          <w:b w:val="0"/>
          <w:bCs w:val="0"/>
          <w:i/>
          <w:iCs/>
          <w:color w:val="000000"/>
          <w:w w:val="100"/>
          <w:sz w:val="16"/>
          <w:szCs w:val="16"/>
        </w:rPr>
        <w:t>continuación</w:t>
      </w:r>
      <w:bookmarkEnd w:id="324"/>
      <w:bookmarkEnd w:id="325"/>
      <w:bookmarkEnd w:id="326"/>
    </w:p>
    <w:p w14:paraId="065B7966" w14:textId="77777777" w:rsidR="00924992" w:rsidRDefault="00924992">
      <w:pPr>
        <w:pStyle w:val="Heading41"/>
        <w:keepNext/>
        <w:keepLines/>
        <w:framePr w:w="6547" w:h="864" w:wrap="none" w:hAnchor="page" w:x="683" w:y="351"/>
        <w:pBdr>
          <w:top w:val="single" w:sz="0" w:space="0" w:color="000000"/>
          <w:left w:val="single" w:sz="0" w:space="0" w:color="000000"/>
          <w:bottom w:val="single" w:sz="0" w:space="0" w:color="000000"/>
          <w:right w:val="single" w:sz="0" w:space="0" w:color="000000"/>
        </w:pBdr>
        <w:shd w:val="clear" w:color="auto" w:fill="000000"/>
        <w:tabs>
          <w:tab w:val="left" w:leader="underscore" w:pos="3374"/>
          <w:tab w:val="left" w:pos="5098"/>
          <w:tab w:val="left" w:leader="underscore" w:pos="6509"/>
        </w:tabs>
        <w:ind w:firstLine="2600"/>
        <w:jc w:val="both"/>
      </w:pPr>
      <w:bookmarkStart w:id="327" w:name="bookmark1773"/>
      <w:bookmarkStart w:id="328" w:name="bookmark1774"/>
      <w:bookmarkStart w:id="329" w:name="bookmark1775"/>
      <w:r>
        <w:rPr>
          <w:color w:val="FFFFFF"/>
        </w:rPr>
        <w:tab/>
      </w:r>
      <w:r>
        <w:rPr>
          <w:color w:val="FFFFFF"/>
          <w:u w:val="single"/>
        </w:rPr>
        <w:t>Dosis por kg de peso al día</w:t>
      </w:r>
      <w:r>
        <w:rPr>
          <w:color w:val="FFFFFF"/>
        </w:rPr>
        <w:tab/>
        <w:t xml:space="preserve"> Fármaco, nombre genérico Vía de administración Infecciones leves (y comercial)</w:t>
      </w:r>
      <w:r>
        <w:rPr>
          <w:color w:val="FFFFFF"/>
        </w:rPr>
        <w:tab/>
        <w:t>o moderadas</w:t>
      </w:r>
      <w:bookmarkEnd w:id="327"/>
      <w:bookmarkEnd w:id="328"/>
      <w:bookmarkEnd w:id="329"/>
    </w:p>
    <w:p w14:paraId="7E4CF1AD" w14:textId="77777777" w:rsidR="00924992" w:rsidRDefault="00924992">
      <w:pPr>
        <w:pStyle w:val="Heading41"/>
        <w:keepNext/>
        <w:keepLines/>
        <w:framePr w:w="3221" w:h="298" w:wrap="none" w:hAnchor="page" w:x="7883" w:y="630"/>
        <w:pBdr>
          <w:top w:val="single" w:sz="0" w:space="0" w:color="000000"/>
          <w:left w:val="single" w:sz="0" w:space="0" w:color="000000"/>
          <w:bottom w:val="single" w:sz="0" w:space="0" w:color="000000"/>
          <w:right w:val="single" w:sz="0" w:space="0" w:color="000000"/>
        </w:pBdr>
        <w:shd w:val="clear" w:color="auto" w:fill="000000"/>
        <w:jc w:val="center"/>
      </w:pPr>
      <w:bookmarkStart w:id="330" w:name="bookmark1776"/>
      <w:bookmarkStart w:id="331" w:name="bookmark1777"/>
      <w:bookmarkStart w:id="332" w:name="bookmark1778"/>
      <w:r>
        <w:rPr>
          <w:color w:val="FFFFFF"/>
        </w:rPr>
        <w:t>Infecciones graves Comentarios</w:t>
      </w:r>
      <w:bookmarkEnd w:id="330"/>
      <w:bookmarkEnd w:id="331"/>
      <w:bookmarkEnd w:id="332"/>
    </w:p>
    <w:p w14:paraId="68E07FD1" w14:textId="77777777" w:rsidR="00924992" w:rsidRDefault="00924992">
      <w:pPr>
        <w:pStyle w:val="Bodytext20"/>
        <w:framePr w:w="235" w:h="221" w:wrap="none" w:hAnchor="page" w:x="3279" w:y="1287"/>
        <w:spacing w:line="240" w:lineRule="auto"/>
      </w:pPr>
      <w:r>
        <w:rPr>
          <w:color w:val="000000"/>
        </w:rPr>
        <w:t>IV</w:t>
      </w:r>
    </w:p>
    <w:p w14:paraId="07946C71" w14:textId="77777777" w:rsidR="00924992" w:rsidRDefault="00924992">
      <w:pPr>
        <w:pStyle w:val="Bodytext20"/>
        <w:framePr w:w="893" w:h="235" w:wrap="none" w:hAnchor="page" w:x="5756" w:y="1283"/>
        <w:spacing w:line="240" w:lineRule="auto"/>
      </w:pPr>
      <w:r>
        <w:rPr>
          <w:color w:val="000000"/>
        </w:rPr>
        <w:t>Inapropiado</w:t>
      </w:r>
    </w:p>
    <w:p w14:paraId="6410D3A9" w14:textId="77777777" w:rsidR="00924992" w:rsidRDefault="00924992">
      <w:pPr>
        <w:pStyle w:val="Bodytext20"/>
        <w:framePr w:w="2837" w:h="235" w:wrap="none" w:hAnchor="page" w:x="678" w:y="3227"/>
        <w:tabs>
          <w:tab w:val="left" w:pos="2597"/>
        </w:tabs>
        <w:spacing w:line="240" w:lineRule="auto"/>
      </w:pPr>
      <w:r>
        <w:rPr>
          <w:b/>
          <w:bCs/>
          <w:color w:val="000000"/>
        </w:rPr>
        <w:t xml:space="preserve">Tetraciclinas </w:t>
      </w:r>
      <w:r>
        <w:rPr>
          <w:color w:val="000000"/>
        </w:rPr>
        <w:t>(diversos tipos)</w:t>
      </w:r>
      <w:r>
        <w:rPr>
          <w:color w:val="000000"/>
        </w:rPr>
        <w:tab/>
        <w:t>IV</w:t>
      </w:r>
    </w:p>
    <w:p w14:paraId="7494E577" w14:textId="77777777" w:rsidR="00924992" w:rsidRDefault="00924992">
      <w:pPr>
        <w:pStyle w:val="Bodytext20"/>
        <w:framePr w:w="936" w:h="235" w:wrap="none" w:hAnchor="page" w:x="5756" w:y="3227"/>
        <w:spacing w:line="240" w:lineRule="auto"/>
      </w:pPr>
      <w:r>
        <w:rPr>
          <w:color w:val="000000"/>
        </w:rPr>
        <w:t>Inapropiadas</w:t>
      </w:r>
    </w:p>
    <w:p w14:paraId="0F33F5BA" w14:textId="77777777" w:rsidR="00924992" w:rsidRDefault="00924992">
      <w:pPr>
        <w:pStyle w:val="Bodytext20"/>
        <w:framePr w:w="2016" w:h="2654" w:wrap="none" w:hAnchor="page" w:x="7883" w:y="1283"/>
      </w:pPr>
      <w:r>
        <w:rPr>
          <w:color w:val="000000"/>
        </w:rPr>
        <w:t>8-12 mg de trimetoprim y</w:t>
      </w:r>
    </w:p>
    <w:p w14:paraId="57669ED6" w14:textId="77777777" w:rsidR="00924992" w:rsidRDefault="00924992">
      <w:pPr>
        <w:pStyle w:val="Bodytext20"/>
        <w:framePr w:w="2016" w:h="2654" w:wrap="none" w:hAnchor="page" w:x="7883" w:y="1283"/>
        <w:spacing w:after="420"/>
      </w:pPr>
      <w:r>
        <w:rPr>
          <w:color w:val="000000"/>
        </w:rPr>
        <w:t>40-60 mg de sulfametoxazol en 4 dosis</w:t>
      </w:r>
    </w:p>
    <w:p w14:paraId="16E84F69" w14:textId="77777777" w:rsidR="00924992" w:rsidRDefault="00924992">
      <w:pPr>
        <w:pStyle w:val="Bodytext20"/>
        <w:framePr w:w="2016" w:h="2654" w:wrap="none" w:hAnchor="page" w:x="7883" w:y="1283"/>
        <w:spacing w:line="293" w:lineRule="auto"/>
      </w:pPr>
      <w:r>
        <w:rPr>
          <w:b/>
          <w:bCs/>
          <w:color w:val="000000"/>
        </w:rPr>
        <w:t>O</w:t>
      </w:r>
    </w:p>
    <w:p w14:paraId="693B368D" w14:textId="77777777" w:rsidR="00924992" w:rsidRDefault="00924992">
      <w:pPr>
        <w:pStyle w:val="Bodytext20"/>
        <w:framePr w:w="2016" w:h="2654" w:wrap="none" w:hAnchor="page" w:x="7883" w:y="1283"/>
        <w:spacing w:line="293" w:lineRule="auto"/>
      </w:pPr>
      <w:r>
        <w:rPr>
          <w:color w:val="000000"/>
        </w:rPr>
        <w:t>20 mg de trimetoprim,</w:t>
      </w:r>
    </w:p>
    <w:p w14:paraId="1FA89D09" w14:textId="77777777" w:rsidR="00924992" w:rsidRDefault="00924992">
      <w:pPr>
        <w:pStyle w:val="Bodytext20"/>
        <w:framePr w:w="2016" w:h="2654" w:wrap="none" w:hAnchor="page" w:x="7883" w:y="1283"/>
        <w:spacing w:line="293" w:lineRule="auto"/>
      </w:pPr>
      <w:r>
        <w:rPr>
          <w:color w:val="000000"/>
        </w:rPr>
        <w:t>100 mg de sulfametoxazol en 4 dosis</w:t>
      </w:r>
    </w:p>
    <w:p w14:paraId="229D25A2" w14:textId="77777777" w:rsidR="00924992" w:rsidRDefault="00924992">
      <w:pPr>
        <w:pStyle w:val="Bodytext20"/>
        <w:framePr w:w="2016" w:h="2654" w:wrap="none" w:hAnchor="page" w:x="7883" w:y="1283"/>
        <w:spacing w:line="293" w:lineRule="auto"/>
      </w:pPr>
      <w:r>
        <w:rPr>
          <w:color w:val="000000"/>
        </w:rPr>
        <w:t>10-25 mg en 2 a 4 dosis (dosis diaria del adulto, 1-2 g)</w:t>
      </w:r>
    </w:p>
    <w:p w14:paraId="01B976A5" w14:textId="77777777" w:rsidR="00924992" w:rsidRDefault="00924992">
      <w:pPr>
        <w:pStyle w:val="Bodytext20"/>
        <w:framePr w:w="1992" w:h="3888" w:wrap="none" w:hAnchor="page" w:x="10014" w:y="1283"/>
        <w:spacing w:after="200"/>
      </w:pPr>
      <w:r>
        <w:rPr>
          <w:color w:val="000000"/>
        </w:rPr>
        <w:t>Si es imposible contar con la presentación ingerible o no se le puede administrar, habrá que usar la presentación intravenosa.</w:t>
      </w:r>
    </w:p>
    <w:p w14:paraId="430953A9" w14:textId="77777777" w:rsidR="00924992" w:rsidRDefault="00924992">
      <w:pPr>
        <w:pStyle w:val="Bodytext20"/>
        <w:framePr w:w="1992" w:h="3888" w:wrap="none" w:hAnchor="page" w:x="10014" w:y="1283"/>
        <w:spacing w:after="200" w:line="276" w:lineRule="auto"/>
        <w:rPr>
          <w:sz w:val="15"/>
          <w:szCs w:val="15"/>
        </w:rPr>
      </w:pPr>
      <w:r>
        <w:rPr>
          <w:color w:val="000000"/>
        </w:rPr>
        <w:t xml:space="preserve">Tratamiento de infección por </w:t>
      </w:r>
      <w:r>
        <w:rPr>
          <w:i/>
          <w:iCs/>
          <w:color w:val="000000"/>
        </w:rPr>
        <w:t>Pneumocystis</w:t>
      </w:r>
      <w:r>
        <w:rPr>
          <w:i/>
          <w:iCs/>
          <w:color w:val="000000"/>
          <w:sz w:val="15"/>
          <w:szCs w:val="15"/>
        </w:rPr>
        <w:t>.</w:t>
      </w:r>
    </w:p>
    <w:p w14:paraId="57DB4B51" w14:textId="77777777" w:rsidR="00924992" w:rsidRDefault="00924992">
      <w:pPr>
        <w:pStyle w:val="Bodytext20"/>
        <w:framePr w:w="1992" w:h="3888" w:wrap="none" w:hAnchor="page" w:x="10014" w:y="1283"/>
        <w:spacing w:after="200"/>
      </w:pPr>
      <w:r>
        <w:rPr>
          <w:color w:val="000000"/>
        </w:rPr>
        <w:t>Las tetraciclinas manchan los dientes en desarrollo; usar sólo en niños de 8 años o mayores, excepto en situaciones en que los beneficios de su administración rebasen los riesgos y otros fármacos sean menos eficaces o más</w:t>
      </w:r>
    </w:p>
    <w:p w14:paraId="12E559DD" w14:textId="77777777" w:rsidR="00924992" w:rsidRDefault="00924992">
      <w:pPr>
        <w:pStyle w:val="Bodytext20"/>
        <w:framePr w:w="1824" w:h="672" w:wrap="none" w:hAnchor="page" w:x="10115" w:y="5175"/>
      </w:pPr>
      <w:r>
        <w:rPr>
          <w:color w:val="000000"/>
        </w:rPr>
        <w:t>tóxicos (véase “Tetraciclinas” en el texto al inicio de esta sección).</w:t>
      </w:r>
    </w:p>
    <w:p w14:paraId="03B53B4C" w14:textId="77777777" w:rsidR="00924992" w:rsidRDefault="00924992">
      <w:pPr>
        <w:pStyle w:val="Bodytext80"/>
        <w:framePr w:w="168" w:h="4954" w:hRule="exact" w:wrap="none" w:hAnchor="page" w:x="12390" w:y="1964"/>
        <w:tabs>
          <w:tab w:val="left" w:pos="4637"/>
        </w:tabs>
        <w:textDirection w:val="tbRl"/>
        <w:rPr>
          <w:sz w:val="16"/>
          <w:szCs w:val="16"/>
        </w:rPr>
      </w:pPr>
      <w:r>
        <w:t>CUADROS DE DOSIS DE ANTIMICROBIANOS</w:t>
      </w:r>
      <w:r>
        <w:tab/>
      </w:r>
      <w:r>
        <w:rPr>
          <w:sz w:val="16"/>
          <w:szCs w:val="16"/>
        </w:rPr>
        <w:t>745</w:t>
      </w:r>
    </w:p>
    <w:p w14:paraId="5AB07513" w14:textId="77777777" w:rsidR="00924992" w:rsidRDefault="00924992">
      <w:pPr>
        <w:spacing w:line="360" w:lineRule="exact"/>
      </w:pPr>
    </w:p>
    <w:p w14:paraId="3E884905" w14:textId="77777777" w:rsidR="00924992" w:rsidRDefault="00924992">
      <w:pPr>
        <w:spacing w:line="360" w:lineRule="exact"/>
      </w:pPr>
    </w:p>
    <w:p w14:paraId="0D662CF8" w14:textId="77777777" w:rsidR="00924992" w:rsidRDefault="00924992">
      <w:pPr>
        <w:spacing w:line="360" w:lineRule="exact"/>
      </w:pPr>
    </w:p>
    <w:p w14:paraId="23D7EC01" w14:textId="77777777" w:rsidR="00924992" w:rsidRDefault="00924992">
      <w:pPr>
        <w:spacing w:line="360" w:lineRule="exact"/>
      </w:pPr>
    </w:p>
    <w:p w14:paraId="2D85A7E6" w14:textId="77777777" w:rsidR="00924992" w:rsidRDefault="00924992">
      <w:pPr>
        <w:spacing w:line="360" w:lineRule="exact"/>
      </w:pPr>
    </w:p>
    <w:p w14:paraId="7B86EB9B" w14:textId="77777777" w:rsidR="00924992" w:rsidRDefault="00924992">
      <w:pPr>
        <w:spacing w:line="360" w:lineRule="exact"/>
      </w:pPr>
    </w:p>
    <w:p w14:paraId="02099D56" w14:textId="77777777" w:rsidR="00924992" w:rsidRDefault="00924992">
      <w:pPr>
        <w:spacing w:line="360" w:lineRule="exact"/>
      </w:pPr>
    </w:p>
    <w:p w14:paraId="45E5A1D1" w14:textId="77777777" w:rsidR="00924992" w:rsidRDefault="00924992">
      <w:pPr>
        <w:spacing w:line="360" w:lineRule="exact"/>
      </w:pPr>
    </w:p>
    <w:p w14:paraId="157DA3E6" w14:textId="77777777" w:rsidR="00924992" w:rsidRDefault="00924992">
      <w:pPr>
        <w:spacing w:line="360" w:lineRule="exact"/>
      </w:pPr>
    </w:p>
    <w:p w14:paraId="1005784A" w14:textId="77777777" w:rsidR="00924992" w:rsidRDefault="00924992">
      <w:pPr>
        <w:spacing w:line="360" w:lineRule="exact"/>
      </w:pPr>
    </w:p>
    <w:p w14:paraId="3CE4582B" w14:textId="77777777" w:rsidR="00924992" w:rsidRDefault="00924992">
      <w:pPr>
        <w:spacing w:line="360" w:lineRule="exact"/>
      </w:pPr>
    </w:p>
    <w:p w14:paraId="1F1746AF" w14:textId="77777777" w:rsidR="00924992" w:rsidRDefault="00924992">
      <w:pPr>
        <w:spacing w:line="360" w:lineRule="exact"/>
      </w:pPr>
    </w:p>
    <w:p w14:paraId="5AFF71FA" w14:textId="77777777" w:rsidR="00924992" w:rsidRDefault="00924992">
      <w:pPr>
        <w:spacing w:line="360" w:lineRule="exact"/>
      </w:pPr>
    </w:p>
    <w:p w14:paraId="14C46BD3" w14:textId="77777777" w:rsidR="00924992" w:rsidRDefault="00924992">
      <w:pPr>
        <w:spacing w:line="360" w:lineRule="exact"/>
      </w:pPr>
    </w:p>
    <w:p w14:paraId="4E6935A0" w14:textId="77777777" w:rsidR="00924992" w:rsidRDefault="00924992">
      <w:pPr>
        <w:spacing w:line="360" w:lineRule="exact"/>
      </w:pPr>
    </w:p>
    <w:p w14:paraId="353B08E7" w14:textId="77777777" w:rsidR="00924992" w:rsidRDefault="00924992">
      <w:pPr>
        <w:spacing w:line="360" w:lineRule="exact"/>
      </w:pPr>
    </w:p>
    <w:p w14:paraId="34D14E3A" w14:textId="77777777" w:rsidR="00924992" w:rsidRDefault="00924992">
      <w:pPr>
        <w:spacing w:line="360" w:lineRule="exact"/>
      </w:pPr>
    </w:p>
    <w:p w14:paraId="5CB2C569" w14:textId="77777777" w:rsidR="00924992" w:rsidRDefault="00924992">
      <w:pPr>
        <w:spacing w:line="360" w:lineRule="exact"/>
      </w:pPr>
    </w:p>
    <w:p w14:paraId="514C2BC7" w14:textId="77777777" w:rsidR="00924992" w:rsidRDefault="00924992">
      <w:pPr>
        <w:spacing w:after="411" w:line="1" w:lineRule="exact"/>
      </w:pPr>
    </w:p>
    <w:p w14:paraId="72385AF0" w14:textId="77777777" w:rsidR="00924992" w:rsidRDefault="00924992">
      <w:pPr>
        <w:spacing w:line="1" w:lineRule="exact"/>
        <w:sectPr w:rsidR="00924992" w:rsidSect="00924992">
          <w:pgSz w:w="13022" w:h="8501" w:orient="landscape"/>
          <w:pgMar w:top="1080" w:right="465" w:bottom="529" w:left="662" w:header="652" w:footer="3" w:gutter="0"/>
          <w:cols w:space="720"/>
          <w:noEndnote/>
          <w:docGrid w:linePitch="360"/>
          <w15:footnoteColumns w:val="1"/>
        </w:sectPr>
      </w:pPr>
    </w:p>
    <w:p w14:paraId="7705ADBC" w14:textId="77777777" w:rsidR="00924992" w:rsidRDefault="00924992">
      <w:pPr>
        <w:pStyle w:val="Heading31"/>
        <w:keepNext/>
        <w:keepLines/>
        <w:framePr w:w="8122" w:h="322" w:wrap="none" w:hAnchor="page" w:x="2286" w:y="1"/>
        <w:rPr>
          <w:sz w:val="16"/>
          <w:szCs w:val="16"/>
        </w:rPr>
      </w:pPr>
      <w:bookmarkStart w:id="333" w:name="bookmark1779"/>
      <w:bookmarkStart w:id="334" w:name="bookmark1780"/>
      <w:bookmarkStart w:id="335" w:name="bookmark1781"/>
      <w:r>
        <w:rPr>
          <w:b w:val="0"/>
          <w:bCs w:val="0"/>
          <w:color w:val="000000"/>
        </w:rPr>
        <w:t xml:space="preserve">Cuadro 4-2. </w:t>
      </w:r>
      <w:r>
        <w:rPr>
          <w:color w:val="000000"/>
        </w:rPr>
        <w:t xml:space="preserve">Empleo de antibacterianos en niños después del periodo neonatal </w:t>
      </w:r>
      <w:r>
        <w:rPr>
          <w:rFonts w:ascii="Times New Roman" w:eastAsia="Times New Roman" w:hAnsi="Times New Roman" w:cs="Times New Roman"/>
          <w:b w:val="0"/>
          <w:bCs w:val="0"/>
          <w:i/>
          <w:iCs/>
          <w:color w:val="000000"/>
          <w:w w:val="100"/>
          <w:sz w:val="16"/>
          <w:szCs w:val="16"/>
        </w:rPr>
        <w:t>continuación</w:t>
      </w:r>
      <w:bookmarkEnd w:id="333"/>
      <w:bookmarkEnd w:id="334"/>
      <w:bookmarkEnd w:id="335"/>
    </w:p>
    <w:p w14:paraId="2FE6EB93" w14:textId="77777777" w:rsidR="00924992" w:rsidRDefault="00924992">
      <w:pPr>
        <w:pStyle w:val="Heading41"/>
        <w:keepNext/>
        <w:keepLines/>
        <w:framePr w:w="6547" w:h="864" w:wrap="none" w:hAnchor="page" w:x="683" w:y="351"/>
        <w:pBdr>
          <w:top w:val="single" w:sz="4" w:space="0" w:color="000000"/>
          <w:left w:val="single" w:sz="4" w:space="0" w:color="000000"/>
          <w:bottom w:val="single" w:sz="4" w:space="0" w:color="000000"/>
          <w:right w:val="single" w:sz="4" w:space="0" w:color="000000"/>
        </w:pBdr>
        <w:shd w:val="clear" w:color="auto" w:fill="000000"/>
        <w:ind w:left="3360"/>
      </w:pPr>
      <w:bookmarkStart w:id="336" w:name="bookmark1784"/>
      <w:r>
        <w:rPr>
          <w:color w:val="FFFFFF"/>
        </w:rPr>
        <w:t>Dosis por kg de peso al día</w:t>
      </w:r>
      <w:bookmarkEnd w:id="336"/>
    </w:p>
    <w:p w14:paraId="48E83DFE" w14:textId="77777777" w:rsidR="00924992" w:rsidRDefault="00924992">
      <w:pPr>
        <w:pStyle w:val="Heading41"/>
        <w:keepNext/>
        <w:keepLines/>
        <w:framePr w:w="6547" w:h="864" w:wrap="none" w:hAnchor="page" w:x="683" w:y="351"/>
        <w:pBdr>
          <w:top w:val="single" w:sz="0" w:space="0" w:color="000000"/>
          <w:left w:val="single" w:sz="0" w:space="0" w:color="000000"/>
          <w:bottom w:val="single" w:sz="0" w:space="0" w:color="000000"/>
          <w:right w:val="single" w:sz="0" w:space="0" w:color="000000"/>
        </w:pBdr>
        <w:shd w:val="clear" w:color="auto" w:fill="000000"/>
        <w:tabs>
          <w:tab w:val="left" w:pos="5098"/>
        </w:tabs>
      </w:pPr>
      <w:bookmarkStart w:id="337" w:name="bookmark1782"/>
      <w:bookmarkStart w:id="338" w:name="bookmark1783"/>
      <w:bookmarkStart w:id="339" w:name="bookmark1785"/>
      <w:r>
        <w:rPr>
          <w:color w:val="FFFFFF"/>
        </w:rPr>
        <w:t>Fármaco, nombre genérico Vía de administración Infecciones leves (y comercial)</w:t>
      </w:r>
      <w:r>
        <w:rPr>
          <w:color w:val="FFFFFF"/>
        </w:rPr>
        <w:tab/>
        <w:t>o moderadas</w:t>
      </w:r>
      <w:bookmarkEnd w:id="337"/>
      <w:bookmarkEnd w:id="338"/>
      <w:bookmarkEnd w:id="339"/>
    </w:p>
    <w:p w14:paraId="109F2014" w14:textId="77777777" w:rsidR="00924992" w:rsidRDefault="00924992">
      <w:pPr>
        <w:pStyle w:val="Heading41"/>
        <w:keepNext/>
        <w:keepLines/>
        <w:framePr w:w="3221" w:h="298" w:wrap="none" w:hAnchor="page" w:x="7883" w:y="630"/>
        <w:pBdr>
          <w:top w:val="single" w:sz="0" w:space="0" w:color="000000"/>
          <w:left w:val="single" w:sz="0" w:space="0" w:color="000000"/>
          <w:bottom w:val="single" w:sz="0" w:space="0" w:color="000000"/>
          <w:right w:val="single" w:sz="0" w:space="0" w:color="000000"/>
        </w:pBdr>
        <w:shd w:val="clear" w:color="auto" w:fill="000000"/>
        <w:jc w:val="center"/>
      </w:pPr>
      <w:bookmarkStart w:id="340" w:name="bookmark1786"/>
      <w:bookmarkStart w:id="341" w:name="bookmark1787"/>
      <w:bookmarkStart w:id="342" w:name="bookmark1788"/>
      <w:r>
        <w:rPr>
          <w:color w:val="FFFFFF"/>
        </w:rPr>
        <w:t>Infecciones graves Comentarios</w:t>
      </w:r>
      <w:bookmarkEnd w:id="340"/>
      <w:bookmarkEnd w:id="341"/>
      <w:bookmarkEnd w:id="342"/>
    </w:p>
    <w:p w14:paraId="439E5AD5" w14:textId="77777777" w:rsidR="00924992" w:rsidRDefault="00924992">
      <w:pPr>
        <w:pStyle w:val="Bodytext20"/>
        <w:framePr w:w="283" w:h="221" w:wrap="none" w:hAnchor="page" w:x="3279" w:y="1287"/>
        <w:spacing w:line="240" w:lineRule="auto"/>
      </w:pPr>
      <w:r>
        <w:rPr>
          <w:color w:val="000000"/>
        </w:rPr>
        <w:t>PO</w:t>
      </w:r>
    </w:p>
    <w:p w14:paraId="2D0F86BB" w14:textId="77777777" w:rsidR="00924992" w:rsidRDefault="00924992">
      <w:pPr>
        <w:pStyle w:val="Bodytext20"/>
        <w:framePr w:w="3067" w:h="461" w:wrap="none" w:hAnchor="page" w:x="5756" w:y="1283"/>
      </w:pPr>
      <w:r>
        <w:rPr>
          <w:color w:val="000000"/>
        </w:rPr>
        <w:t>20-50 mg en 4 dosis (dosis Inapropiadas diaria del adulto, 1-2 g)</w:t>
      </w:r>
    </w:p>
    <w:p w14:paraId="47B0763F" w14:textId="77777777" w:rsidR="00924992" w:rsidRDefault="00924992">
      <w:pPr>
        <w:pStyle w:val="Bodytext20"/>
        <w:framePr w:w="3168" w:h="235" w:wrap="none" w:hAnchor="page" w:x="683" w:y="4091"/>
        <w:tabs>
          <w:tab w:val="left" w:pos="2592"/>
        </w:tabs>
        <w:spacing w:line="240" w:lineRule="auto"/>
      </w:pPr>
      <w:r>
        <w:rPr>
          <w:color w:val="000000"/>
        </w:rPr>
        <w:t>Doxiciclina (diversos tipos)</w:t>
      </w:r>
      <w:r>
        <w:rPr>
          <w:color w:val="000000"/>
        </w:rPr>
        <w:tab/>
        <w:t>PO, IV</w:t>
      </w:r>
    </w:p>
    <w:p w14:paraId="57B51F35" w14:textId="77777777" w:rsidR="00924992" w:rsidRDefault="00924992">
      <w:pPr>
        <w:pStyle w:val="Bodytext20"/>
        <w:framePr w:w="3067" w:h="677" w:wrap="none" w:hAnchor="page" w:x="5756" w:y="4091"/>
      </w:pPr>
      <w:r>
        <w:rPr>
          <w:color w:val="000000"/>
        </w:rPr>
        <w:t>2-4 mg en 1 a 2 dosis (dosis Inapropiadas diaria del adulto,</w:t>
      </w:r>
    </w:p>
    <w:p w14:paraId="5A7B29AA" w14:textId="77777777" w:rsidR="00924992" w:rsidRDefault="00924992">
      <w:pPr>
        <w:pStyle w:val="Bodytext20"/>
        <w:framePr w:w="3067" w:h="677" w:wrap="none" w:hAnchor="page" w:x="5756" w:y="4091"/>
      </w:pPr>
      <w:r>
        <w:rPr>
          <w:color w:val="000000"/>
        </w:rPr>
        <w:t>100-200 mg)</w:t>
      </w:r>
    </w:p>
    <w:p w14:paraId="41FA50CD" w14:textId="77777777" w:rsidR="00924992" w:rsidRDefault="00924992">
      <w:pPr>
        <w:pStyle w:val="Bodytext20"/>
        <w:framePr w:w="1987" w:h="4349" w:wrap="none" w:hAnchor="page" w:x="10019" w:y="1283"/>
      </w:pPr>
      <w:r>
        <w:rPr>
          <w:color w:val="000000"/>
        </w:rPr>
        <w:t>Causa del manchado de los dientes en desarrollo; utilizar sólo en niños de 8 años o mayores, excepto en circunstancias en que los beneficios de su administración rebasan los riesgos y los medicamentos alternativos sean menos eficaces o más tóxicos (véase “Tetraciclinas” en el texto al inicio de esta sección).</w:t>
      </w:r>
    </w:p>
    <w:p w14:paraId="3AFA8D7B" w14:textId="77777777" w:rsidR="00924992" w:rsidRDefault="00924992">
      <w:pPr>
        <w:pStyle w:val="Bodytext20"/>
        <w:framePr w:w="1987" w:h="4349" w:wrap="none" w:hAnchor="page" w:x="10019" w:y="1283"/>
      </w:pPr>
      <w:r>
        <w:rPr>
          <w:color w:val="000000"/>
        </w:rPr>
        <w:t>Sus efectos adversos son semejantes a los de otros productos tetraciclínicos, excepto que es menor el peligro de que surjan manchas en los dientes en niños menores de 8 años.</w:t>
      </w:r>
    </w:p>
    <w:p w14:paraId="39128CB0" w14:textId="77777777" w:rsidR="00924992" w:rsidRDefault="00924992">
      <w:pPr>
        <w:pStyle w:val="Bodytext80"/>
        <w:framePr w:w="192" w:h="4987" w:hRule="exact" w:wrap="none" w:hAnchor="page" w:x="12390" w:y="54"/>
        <w:tabs>
          <w:tab w:val="left" w:pos="1872"/>
        </w:tabs>
        <w:textDirection w:val="tbRl"/>
      </w:pPr>
      <w:r>
        <w:rPr>
          <w:sz w:val="16"/>
          <w:szCs w:val="16"/>
        </w:rPr>
        <w:t>746</w:t>
      </w:r>
      <w:r>
        <w:rPr>
          <w:sz w:val="16"/>
          <w:szCs w:val="16"/>
        </w:rPr>
        <w:tab/>
      </w:r>
      <w:r>
        <w:t>ANTIMICROBIANOS Y FÁRMACOS SIMILARES</w:t>
      </w:r>
    </w:p>
    <w:p w14:paraId="17AC1016" w14:textId="77777777" w:rsidR="00924992" w:rsidRDefault="00924992">
      <w:pPr>
        <w:spacing w:line="360" w:lineRule="exact"/>
      </w:pPr>
    </w:p>
    <w:p w14:paraId="3EF1CECB" w14:textId="77777777" w:rsidR="00924992" w:rsidRDefault="00924992">
      <w:pPr>
        <w:spacing w:line="360" w:lineRule="exact"/>
      </w:pPr>
    </w:p>
    <w:p w14:paraId="5D97216E" w14:textId="77777777" w:rsidR="00924992" w:rsidRDefault="00924992">
      <w:pPr>
        <w:spacing w:line="360" w:lineRule="exact"/>
      </w:pPr>
    </w:p>
    <w:p w14:paraId="09EA5115" w14:textId="77777777" w:rsidR="00924992" w:rsidRDefault="00924992">
      <w:pPr>
        <w:spacing w:line="360" w:lineRule="exact"/>
      </w:pPr>
    </w:p>
    <w:p w14:paraId="7D35371E" w14:textId="77777777" w:rsidR="00924992" w:rsidRDefault="00924992">
      <w:pPr>
        <w:spacing w:line="360" w:lineRule="exact"/>
      </w:pPr>
    </w:p>
    <w:p w14:paraId="7D906558" w14:textId="77777777" w:rsidR="00924992" w:rsidRDefault="00924992">
      <w:pPr>
        <w:spacing w:line="360" w:lineRule="exact"/>
      </w:pPr>
    </w:p>
    <w:p w14:paraId="278CCD18" w14:textId="77777777" w:rsidR="00924992" w:rsidRDefault="00924992">
      <w:pPr>
        <w:spacing w:line="360" w:lineRule="exact"/>
      </w:pPr>
    </w:p>
    <w:p w14:paraId="5FA4C964" w14:textId="77777777" w:rsidR="00924992" w:rsidRDefault="00924992">
      <w:pPr>
        <w:spacing w:line="360" w:lineRule="exact"/>
      </w:pPr>
    </w:p>
    <w:p w14:paraId="4FCED998" w14:textId="77777777" w:rsidR="00924992" w:rsidRDefault="00924992">
      <w:pPr>
        <w:spacing w:line="360" w:lineRule="exact"/>
      </w:pPr>
    </w:p>
    <w:p w14:paraId="4D7E7502" w14:textId="77777777" w:rsidR="00924992" w:rsidRDefault="00924992">
      <w:pPr>
        <w:spacing w:line="360" w:lineRule="exact"/>
      </w:pPr>
    </w:p>
    <w:p w14:paraId="075BB0EF" w14:textId="77777777" w:rsidR="00924992" w:rsidRDefault="00924992">
      <w:pPr>
        <w:spacing w:line="360" w:lineRule="exact"/>
      </w:pPr>
    </w:p>
    <w:p w14:paraId="639F872E" w14:textId="77777777" w:rsidR="00924992" w:rsidRDefault="00924992">
      <w:pPr>
        <w:spacing w:line="360" w:lineRule="exact"/>
      </w:pPr>
    </w:p>
    <w:p w14:paraId="7A11DF0D" w14:textId="77777777" w:rsidR="00924992" w:rsidRDefault="00924992">
      <w:pPr>
        <w:spacing w:line="360" w:lineRule="exact"/>
      </w:pPr>
    </w:p>
    <w:p w14:paraId="1AA6F2C8" w14:textId="77777777" w:rsidR="00924992" w:rsidRDefault="00924992">
      <w:pPr>
        <w:spacing w:line="360" w:lineRule="exact"/>
      </w:pPr>
    </w:p>
    <w:p w14:paraId="11BC9C47" w14:textId="77777777" w:rsidR="00924992" w:rsidRDefault="00924992">
      <w:pPr>
        <w:spacing w:after="589" w:line="1" w:lineRule="exact"/>
      </w:pPr>
    </w:p>
    <w:p w14:paraId="0BC41D6C" w14:textId="77777777" w:rsidR="00924992" w:rsidRDefault="00924992">
      <w:pPr>
        <w:spacing w:line="1" w:lineRule="exact"/>
        <w:sectPr w:rsidR="00924992" w:rsidSect="00924992">
          <w:pgSz w:w="13022" w:h="8501" w:orient="landscape"/>
          <w:pgMar w:top="451" w:right="441" w:bottom="1148" w:left="662" w:header="23" w:footer="3" w:gutter="0"/>
          <w:cols w:space="720"/>
          <w:noEndnote/>
          <w:docGrid w:linePitch="360"/>
          <w15:footnoteColumns w:val="1"/>
        </w:sectPr>
      </w:pPr>
    </w:p>
    <w:p w14:paraId="7DA9729A" w14:textId="77777777" w:rsidR="00924992" w:rsidRDefault="00924992">
      <w:pPr>
        <w:spacing w:line="1" w:lineRule="exact"/>
      </w:pPr>
      <w:r>
        <w:rPr>
          <w:noProof/>
        </w:rPr>
        <mc:AlternateContent>
          <mc:Choice Requires="wps">
            <w:drawing>
              <wp:anchor distT="0" distB="0" distL="114300" distR="114300" simplePos="0" relativeHeight="251675648" behindDoc="0" locked="0" layoutInCell="1" allowOverlap="1" wp14:anchorId="313655D4" wp14:editId="0C876D0D">
                <wp:simplePos x="0" y="0"/>
                <wp:positionH relativeFrom="page">
                  <wp:posOffset>402590</wp:posOffset>
                </wp:positionH>
                <wp:positionV relativeFrom="paragraph">
                  <wp:posOffset>234950</wp:posOffset>
                </wp:positionV>
                <wp:extent cx="7254240" cy="1740535"/>
                <wp:effectExtent l="0" t="0" r="0" b="0"/>
                <wp:wrapTopAndBottom/>
                <wp:docPr id="2251" name="Shape 2251"/>
                <wp:cNvGraphicFramePr/>
                <a:graphic xmlns:a="http://schemas.openxmlformats.org/drawingml/2006/main">
                  <a:graphicData uri="http://schemas.microsoft.com/office/word/2010/wordprocessingShape">
                    <wps:wsp>
                      <wps:cNvSpPr txBox="1"/>
                      <wps:spPr>
                        <a:xfrm>
                          <a:off x="0" y="0"/>
                          <a:ext cx="7254240" cy="1740535"/>
                        </a:xfrm>
                        <a:prstGeom prst="rect">
                          <a:avLst/>
                        </a:prstGeom>
                        <a:noFill/>
                      </wps:spPr>
                      <wps:txbx>
                        <w:txbxContent>
                          <w:tbl>
                            <w:tblPr>
                              <w:tblOverlap w:val="never"/>
                              <w:tblW w:w="0" w:type="auto"/>
                              <w:tblLayout w:type="fixed"/>
                              <w:tblCellMar>
                                <w:left w:w="10" w:type="dxa"/>
                                <w:right w:w="10" w:type="dxa"/>
                              </w:tblCellMar>
                              <w:tblLook w:val="04A0" w:firstRow="1" w:lastRow="0" w:firstColumn="1" w:lastColumn="0" w:noHBand="0" w:noVBand="1"/>
                            </w:tblPr>
                            <w:tblGrid>
                              <w:gridCol w:w="2458"/>
                              <w:gridCol w:w="682"/>
                              <w:gridCol w:w="1656"/>
                              <w:gridCol w:w="2429"/>
                              <w:gridCol w:w="2050"/>
                              <w:gridCol w:w="2150"/>
                            </w:tblGrid>
                            <w:tr w:rsidR="00924992" w14:paraId="28E49243" w14:textId="77777777">
                              <w:tblPrEx>
                                <w:tblCellMar>
                                  <w:top w:w="0" w:type="dxa"/>
                                  <w:bottom w:w="0" w:type="dxa"/>
                                </w:tblCellMar>
                              </w:tblPrEx>
                              <w:trPr>
                                <w:trHeight w:hRule="exact" w:val="283"/>
                                <w:tblHeader/>
                              </w:trPr>
                              <w:tc>
                                <w:tcPr>
                                  <w:tcW w:w="2458" w:type="dxa"/>
                                  <w:vMerge w:val="restart"/>
                                  <w:shd w:val="clear" w:color="auto" w:fill="000000"/>
                                  <w:vAlign w:val="bottom"/>
                                </w:tcPr>
                                <w:p w14:paraId="1FC97EDA" w14:textId="77777777" w:rsidR="00924992" w:rsidRDefault="00924992">
                                  <w:pPr>
                                    <w:pStyle w:val="Other0"/>
                                    <w:pBdr>
                                      <w:top w:val="single" w:sz="0" w:space="0" w:color="000000"/>
                                      <w:left w:val="single" w:sz="0" w:space="0" w:color="000000"/>
                                      <w:bottom w:val="single" w:sz="0" w:space="0" w:color="000000"/>
                                      <w:right w:val="single" w:sz="0" w:space="0" w:color="000000"/>
                                    </w:pBdr>
                                    <w:shd w:val="clear" w:color="auto" w:fill="000000"/>
                                    <w:spacing w:line="240" w:lineRule="auto"/>
                                    <w:ind w:firstLine="0"/>
                                    <w:rPr>
                                      <w:sz w:val="24"/>
                                      <w:szCs w:val="24"/>
                                    </w:rPr>
                                  </w:pPr>
                                  <w:r>
                                    <w:rPr>
                                      <w:rFonts w:ascii="Arial" w:eastAsia="Arial" w:hAnsi="Arial" w:cs="Arial"/>
                                      <w:b/>
                                      <w:bCs/>
                                      <w:color w:val="FFFFFF"/>
                                      <w:w w:val="70"/>
                                      <w:sz w:val="24"/>
                                      <w:szCs w:val="24"/>
                                    </w:rPr>
                                    <w:t>Fármaco, nombre genérico (y comercial)</w:t>
                                  </w:r>
                                </w:p>
                              </w:tc>
                              <w:tc>
                                <w:tcPr>
                                  <w:tcW w:w="4767" w:type="dxa"/>
                                  <w:gridSpan w:val="3"/>
                                  <w:shd w:val="clear" w:color="auto" w:fill="000000"/>
                                  <w:vAlign w:val="bottom"/>
                                </w:tcPr>
                                <w:p w14:paraId="10143037" w14:textId="77777777" w:rsidR="00924992" w:rsidRDefault="00924992">
                                  <w:pPr>
                                    <w:pStyle w:val="Other0"/>
                                    <w:pBdr>
                                      <w:top w:val="single" w:sz="0" w:space="0" w:color="000000"/>
                                      <w:left w:val="single" w:sz="0" w:space="0" w:color="000000"/>
                                      <w:bottom w:val="single" w:sz="0" w:space="0" w:color="000000"/>
                                      <w:right w:val="single" w:sz="0" w:space="0" w:color="000000"/>
                                    </w:pBdr>
                                    <w:shd w:val="clear" w:color="auto" w:fill="000000"/>
                                    <w:spacing w:line="240" w:lineRule="auto"/>
                                    <w:ind w:firstLine="200"/>
                                    <w:rPr>
                                      <w:sz w:val="24"/>
                                      <w:szCs w:val="24"/>
                                    </w:rPr>
                                  </w:pPr>
                                  <w:r>
                                    <w:rPr>
                                      <w:rFonts w:ascii="Arial" w:eastAsia="Arial" w:hAnsi="Arial" w:cs="Arial"/>
                                      <w:b/>
                                      <w:bCs/>
                                      <w:color w:val="FFFFFF"/>
                                      <w:w w:val="70"/>
                                      <w:sz w:val="24"/>
                                      <w:szCs w:val="24"/>
                                    </w:rPr>
                                    <w:t>Dosis por kg de peso al día</w:t>
                                  </w:r>
                                </w:p>
                              </w:tc>
                              <w:tc>
                                <w:tcPr>
                                  <w:tcW w:w="2050" w:type="dxa"/>
                                  <w:vMerge w:val="restart"/>
                                  <w:shd w:val="clear" w:color="auto" w:fill="000000"/>
                                  <w:vAlign w:val="center"/>
                                </w:tcPr>
                                <w:p w14:paraId="718A583D" w14:textId="77777777" w:rsidR="00924992" w:rsidRDefault="00924992">
                                  <w:pPr>
                                    <w:pStyle w:val="Other0"/>
                                    <w:pBdr>
                                      <w:top w:val="single" w:sz="0" w:space="0" w:color="000000"/>
                                      <w:left w:val="single" w:sz="0" w:space="0" w:color="000000"/>
                                      <w:bottom w:val="single" w:sz="0" w:space="0" w:color="000000"/>
                                      <w:right w:val="single" w:sz="0" w:space="0" w:color="000000"/>
                                    </w:pBdr>
                                    <w:shd w:val="clear" w:color="auto" w:fill="000000"/>
                                    <w:spacing w:line="240" w:lineRule="auto"/>
                                    <w:ind w:firstLine="0"/>
                                    <w:rPr>
                                      <w:sz w:val="24"/>
                                      <w:szCs w:val="24"/>
                                    </w:rPr>
                                  </w:pPr>
                                  <w:r>
                                    <w:rPr>
                                      <w:rFonts w:ascii="Arial" w:eastAsia="Arial" w:hAnsi="Arial" w:cs="Arial"/>
                                      <w:b/>
                                      <w:bCs/>
                                      <w:color w:val="FFFFFF"/>
                                      <w:w w:val="70"/>
                                      <w:sz w:val="24"/>
                                      <w:szCs w:val="24"/>
                                    </w:rPr>
                                    <w:t>Infecciones graves</w:t>
                                  </w:r>
                                </w:p>
                              </w:tc>
                              <w:tc>
                                <w:tcPr>
                                  <w:tcW w:w="2150" w:type="dxa"/>
                                  <w:vMerge w:val="restart"/>
                                  <w:shd w:val="clear" w:color="auto" w:fill="000000"/>
                                  <w:vAlign w:val="center"/>
                                </w:tcPr>
                                <w:p w14:paraId="63680715" w14:textId="77777777" w:rsidR="00924992" w:rsidRDefault="00924992">
                                  <w:pPr>
                                    <w:pStyle w:val="Other0"/>
                                    <w:pBdr>
                                      <w:top w:val="single" w:sz="0" w:space="0" w:color="000000"/>
                                      <w:left w:val="single" w:sz="0" w:space="0" w:color="000000"/>
                                      <w:bottom w:val="single" w:sz="0" w:space="0" w:color="000000"/>
                                      <w:right w:val="single" w:sz="0" w:space="0" w:color="000000"/>
                                    </w:pBdr>
                                    <w:shd w:val="clear" w:color="auto" w:fill="000000"/>
                                    <w:spacing w:line="240" w:lineRule="auto"/>
                                    <w:ind w:firstLine="0"/>
                                    <w:rPr>
                                      <w:sz w:val="24"/>
                                      <w:szCs w:val="24"/>
                                    </w:rPr>
                                  </w:pPr>
                                  <w:r>
                                    <w:rPr>
                                      <w:rFonts w:ascii="Arial" w:eastAsia="Arial" w:hAnsi="Arial" w:cs="Arial"/>
                                      <w:b/>
                                      <w:bCs/>
                                      <w:color w:val="FFFFFF"/>
                                      <w:w w:val="70"/>
                                      <w:sz w:val="24"/>
                                      <w:szCs w:val="24"/>
                                    </w:rPr>
                                    <w:t>Comentarios</w:t>
                                  </w:r>
                                </w:p>
                              </w:tc>
                            </w:tr>
                            <w:tr w:rsidR="00924992" w14:paraId="2DCE90FF" w14:textId="77777777">
                              <w:tblPrEx>
                                <w:tblCellMar>
                                  <w:top w:w="0" w:type="dxa"/>
                                  <w:bottom w:w="0" w:type="dxa"/>
                                </w:tblCellMar>
                              </w:tblPrEx>
                              <w:trPr>
                                <w:trHeight w:hRule="exact" w:val="562"/>
                              </w:trPr>
                              <w:tc>
                                <w:tcPr>
                                  <w:tcW w:w="2458" w:type="dxa"/>
                                  <w:vMerge/>
                                  <w:shd w:val="clear" w:color="auto" w:fill="000000"/>
                                  <w:vAlign w:val="bottom"/>
                                </w:tcPr>
                                <w:p w14:paraId="63CBE1D0" w14:textId="77777777" w:rsidR="00924992" w:rsidRDefault="00924992"/>
                              </w:tc>
                              <w:tc>
                                <w:tcPr>
                                  <w:tcW w:w="682" w:type="dxa"/>
                                  <w:tcBorders>
                                    <w:top w:val="single" w:sz="4" w:space="0" w:color="auto"/>
                                  </w:tcBorders>
                                  <w:shd w:val="clear" w:color="auto" w:fill="000000"/>
                                </w:tcPr>
                                <w:p w14:paraId="1FA2E1B9" w14:textId="77777777" w:rsidR="00924992" w:rsidRDefault="00924992">
                                  <w:pPr>
                                    <w:pStyle w:val="Other0"/>
                                    <w:pBdr>
                                      <w:top w:val="single" w:sz="0" w:space="0" w:color="000000"/>
                                      <w:left w:val="single" w:sz="0" w:space="0" w:color="000000"/>
                                      <w:bottom w:val="single" w:sz="0" w:space="0" w:color="000000"/>
                                      <w:right w:val="single" w:sz="0" w:space="0" w:color="000000"/>
                                    </w:pBdr>
                                    <w:shd w:val="clear" w:color="auto" w:fill="000000"/>
                                    <w:spacing w:line="240" w:lineRule="auto"/>
                                    <w:ind w:firstLine="200"/>
                                    <w:rPr>
                                      <w:sz w:val="24"/>
                                      <w:szCs w:val="24"/>
                                    </w:rPr>
                                  </w:pPr>
                                  <w:r>
                                    <w:rPr>
                                      <w:rFonts w:ascii="Arial" w:eastAsia="Arial" w:hAnsi="Arial" w:cs="Arial"/>
                                      <w:b/>
                                      <w:bCs/>
                                      <w:color w:val="FFFFFF"/>
                                      <w:w w:val="70"/>
                                      <w:sz w:val="24"/>
                                      <w:szCs w:val="24"/>
                                    </w:rPr>
                                    <w:t>Vía de</w:t>
                                  </w:r>
                                </w:p>
                              </w:tc>
                              <w:tc>
                                <w:tcPr>
                                  <w:tcW w:w="1656" w:type="dxa"/>
                                  <w:tcBorders>
                                    <w:top w:val="single" w:sz="4" w:space="0" w:color="auto"/>
                                  </w:tcBorders>
                                  <w:shd w:val="clear" w:color="auto" w:fill="000000"/>
                                </w:tcPr>
                                <w:p w14:paraId="46BA4508" w14:textId="77777777" w:rsidR="00924992" w:rsidRDefault="00924992">
                                  <w:pPr>
                                    <w:pStyle w:val="Other0"/>
                                    <w:pBdr>
                                      <w:top w:val="single" w:sz="0" w:space="0" w:color="000000"/>
                                      <w:left w:val="single" w:sz="0" w:space="0" w:color="000000"/>
                                      <w:bottom w:val="single" w:sz="0" w:space="0" w:color="000000"/>
                                      <w:right w:val="single" w:sz="0" w:space="0" w:color="000000"/>
                                    </w:pBdr>
                                    <w:shd w:val="clear" w:color="auto" w:fill="000000"/>
                                    <w:spacing w:line="240" w:lineRule="auto"/>
                                    <w:ind w:firstLine="0"/>
                                    <w:rPr>
                                      <w:sz w:val="24"/>
                                      <w:szCs w:val="24"/>
                                    </w:rPr>
                                  </w:pPr>
                                  <w:r>
                                    <w:rPr>
                                      <w:rFonts w:ascii="Arial" w:eastAsia="Arial" w:hAnsi="Arial" w:cs="Arial"/>
                                      <w:b/>
                                      <w:bCs/>
                                      <w:color w:val="FFFFFF"/>
                                      <w:w w:val="70"/>
                                      <w:sz w:val="24"/>
                                      <w:szCs w:val="24"/>
                                    </w:rPr>
                                    <w:t>i administración</w:t>
                                  </w:r>
                                </w:p>
                              </w:tc>
                              <w:tc>
                                <w:tcPr>
                                  <w:tcW w:w="2429" w:type="dxa"/>
                                  <w:tcBorders>
                                    <w:top w:val="single" w:sz="4" w:space="0" w:color="auto"/>
                                  </w:tcBorders>
                                  <w:shd w:val="clear" w:color="auto" w:fill="000000"/>
                                </w:tcPr>
                                <w:p w14:paraId="72F7210A" w14:textId="77777777" w:rsidR="00924992" w:rsidRDefault="00924992">
                                  <w:pPr>
                                    <w:pStyle w:val="Other0"/>
                                    <w:pBdr>
                                      <w:top w:val="single" w:sz="0" w:space="0" w:color="000000"/>
                                      <w:left w:val="single" w:sz="0" w:space="0" w:color="000000"/>
                                      <w:bottom w:val="single" w:sz="0" w:space="0" w:color="000000"/>
                                      <w:right w:val="single" w:sz="0" w:space="0" w:color="000000"/>
                                    </w:pBdr>
                                    <w:shd w:val="clear" w:color="auto" w:fill="000000"/>
                                    <w:spacing w:line="240" w:lineRule="auto"/>
                                    <w:ind w:left="340" w:firstLine="0"/>
                                    <w:rPr>
                                      <w:sz w:val="24"/>
                                      <w:szCs w:val="24"/>
                                    </w:rPr>
                                  </w:pPr>
                                  <w:r>
                                    <w:rPr>
                                      <w:rFonts w:ascii="Arial" w:eastAsia="Arial" w:hAnsi="Arial" w:cs="Arial"/>
                                      <w:b/>
                                      <w:bCs/>
                                      <w:color w:val="FFFFFF"/>
                                      <w:w w:val="70"/>
                                      <w:sz w:val="24"/>
                                      <w:szCs w:val="24"/>
                                    </w:rPr>
                                    <w:t>Infecciones leves o moderadas</w:t>
                                  </w:r>
                                </w:p>
                              </w:tc>
                              <w:tc>
                                <w:tcPr>
                                  <w:tcW w:w="2050" w:type="dxa"/>
                                  <w:vMerge/>
                                  <w:shd w:val="clear" w:color="auto" w:fill="000000"/>
                                  <w:vAlign w:val="center"/>
                                </w:tcPr>
                                <w:p w14:paraId="0DBB745F" w14:textId="77777777" w:rsidR="00924992" w:rsidRDefault="00924992"/>
                              </w:tc>
                              <w:tc>
                                <w:tcPr>
                                  <w:tcW w:w="2150" w:type="dxa"/>
                                  <w:vMerge/>
                                  <w:shd w:val="clear" w:color="auto" w:fill="000000"/>
                                  <w:vAlign w:val="center"/>
                                </w:tcPr>
                                <w:p w14:paraId="6B6C1E2D" w14:textId="77777777" w:rsidR="00924992" w:rsidRDefault="00924992"/>
                              </w:tc>
                            </w:tr>
                            <w:tr w:rsidR="00924992" w14:paraId="2EA5B38E" w14:textId="77777777">
                              <w:tblPrEx>
                                <w:tblCellMar>
                                  <w:top w:w="0" w:type="dxa"/>
                                  <w:bottom w:w="0" w:type="dxa"/>
                                </w:tblCellMar>
                              </w:tblPrEx>
                              <w:trPr>
                                <w:trHeight w:hRule="exact" w:val="1896"/>
                              </w:trPr>
                              <w:tc>
                                <w:tcPr>
                                  <w:tcW w:w="2458" w:type="dxa"/>
                                  <w:tcBorders>
                                    <w:bottom w:val="single" w:sz="4" w:space="0" w:color="auto"/>
                                  </w:tcBorders>
                                  <w:shd w:val="clear" w:color="auto" w:fill="FFFFFF"/>
                                </w:tcPr>
                                <w:p w14:paraId="689D48CC" w14:textId="77777777" w:rsidR="00924992" w:rsidRDefault="00924992">
                                  <w:pPr>
                                    <w:pStyle w:val="Other0"/>
                                    <w:spacing w:line="283" w:lineRule="auto"/>
                                    <w:ind w:left="140" w:hanging="140"/>
                                    <w:rPr>
                                      <w:sz w:val="16"/>
                                      <w:szCs w:val="16"/>
                                    </w:rPr>
                                  </w:pPr>
                                  <w:r>
                                    <w:rPr>
                                      <w:rFonts w:ascii="Times New Roman" w:eastAsia="Times New Roman" w:hAnsi="Times New Roman" w:cs="Times New Roman"/>
                                      <w:b/>
                                      <w:bCs/>
                                      <w:color w:val="000000"/>
                                      <w:sz w:val="16"/>
                                      <w:szCs w:val="16"/>
                                    </w:rPr>
                                    <w:t xml:space="preserve">Vancomicina </w:t>
                                  </w:r>
                                  <w:r>
                                    <w:rPr>
                                      <w:rFonts w:ascii="Times New Roman" w:eastAsia="Times New Roman" w:hAnsi="Times New Roman" w:cs="Times New Roman"/>
                                      <w:color w:val="000000"/>
                                      <w:sz w:val="16"/>
                                      <w:szCs w:val="16"/>
                                    </w:rPr>
                                    <w:t>(Vancocin, Vancoled, Vancor)</w:t>
                                  </w:r>
                                </w:p>
                              </w:tc>
                              <w:tc>
                                <w:tcPr>
                                  <w:tcW w:w="682" w:type="dxa"/>
                                  <w:tcBorders>
                                    <w:bottom w:val="single" w:sz="4" w:space="0" w:color="auto"/>
                                  </w:tcBorders>
                                  <w:shd w:val="clear" w:color="auto" w:fill="FFFFFF"/>
                                </w:tcPr>
                                <w:p w14:paraId="74FEA2DB" w14:textId="77777777" w:rsidR="00924992" w:rsidRDefault="00924992">
                                  <w:pPr>
                                    <w:pStyle w:val="Other0"/>
                                    <w:spacing w:line="240" w:lineRule="auto"/>
                                    <w:ind w:firstLine="200"/>
                                    <w:rPr>
                                      <w:sz w:val="16"/>
                                      <w:szCs w:val="16"/>
                                    </w:rPr>
                                  </w:pPr>
                                  <w:r>
                                    <w:rPr>
                                      <w:rFonts w:ascii="Times New Roman" w:eastAsia="Times New Roman" w:hAnsi="Times New Roman" w:cs="Times New Roman"/>
                                      <w:color w:val="000000"/>
                                      <w:sz w:val="16"/>
                                      <w:szCs w:val="16"/>
                                    </w:rPr>
                                    <w:t>IV</w:t>
                                  </w:r>
                                </w:p>
                              </w:tc>
                              <w:tc>
                                <w:tcPr>
                                  <w:tcW w:w="1656" w:type="dxa"/>
                                  <w:tcBorders>
                                    <w:bottom w:val="single" w:sz="4" w:space="0" w:color="auto"/>
                                  </w:tcBorders>
                                  <w:shd w:val="clear" w:color="auto" w:fill="FFFFFF"/>
                                </w:tcPr>
                                <w:p w14:paraId="67BAA936" w14:textId="77777777" w:rsidR="00924992" w:rsidRDefault="00924992">
                                  <w:pPr>
                                    <w:rPr>
                                      <w:sz w:val="10"/>
                                      <w:szCs w:val="10"/>
                                    </w:rPr>
                                  </w:pPr>
                                </w:p>
                              </w:tc>
                              <w:tc>
                                <w:tcPr>
                                  <w:tcW w:w="2429" w:type="dxa"/>
                                  <w:tcBorders>
                                    <w:bottom w:val="single" w:sz="4" w:space="0" w:color="auto"/>
                                  </w:tcBorders>
                                  <w:shd w:val="clear" w:color="auto" w:fill="FFFFFF"/>
                                </w:tcPr>
                                <w:p w14:paraId="7EFA6DFB" w14:textId="77777777" w:rsidR="00924992" w:rsidRDefault="00924992">
                                  <w:pPr>
                                    <w:pStyle w:val="Other0"/>
                                    <w:spacing w:line="283" w:lineRule="auto"/>
                                    <w:ind w:left="420" w:hanging="80"/>
                                    <w:rPr>
                                      <w:sz w:val="16"/>
                                      <w:szCs w:val="16"/>
                                    </w:rPr>
                                  </w:pPr>
                                  <w:r>
                                    <w:rPr>
                                      <w:rFonts w:ascii="Times New Roman" w:eastAsia="Times New Roman" w:hAnsi="Times New Roman" w:cs="Times New Roman"/>
                                      <w:color w:val="000000"/>
                                      <w:sz w:val="16"/>
                                      <w:szCs w:val="16"/>
                                    </w:rPr>
                                    <w:t>40 mg en 3 a 4 dosis (dosis diaria parea el adulto,6 1-2 g)</w:t>
                                  </w:r>
                                </w:p>
                              </w:tc>
                              <w:tc>
                                <w:tcPr>
                                  <w:tcW w:w="2050" w:type="dxa"/>
                                  <w:tcBorders>
                                    <w:bottom w:val="single" w:sz="4" w:space="0" w:color="auto"/>
                                  </w:tcBorders>
                                  <w:shd w:val="clear" w:color="auto" w:fill="FFFFFF"/>
                                </w:tcPr>
                                <w:p w14:paraId="685A2F91" w14:textId="77777777" w:rsidR="00924992" w:rsidRDefault="00924992">
                                  <w:pPr>
                                    <w:pStyle w:val="Other0"/>
                                    <w:spacing w:line="283" w:lineRule="auto"/>
                                    <w:ind w:firstLine="0"/>
                                    <w:jc w:val="center"/>
                                    <w:rPr>
                                      <w:sz w:val="16"/>
                                      <w:szCs w:val="16"/>
                                    </w:rPr>
                                  </w:pPr>
                                  <w:r>
                                    <w:rPr>
                                      <w:rFonts w:ascii="Times New Roman" w:eastAsia="Times New Roman" w:hAnsi="Times New Roman" w:cs="Times New Roman"/>
                                      <w:color w:val="000000"/>
                                      <w:sz w:val="16"/>
                                      <w:szCs w:val="16"/>
                                    </w:rPr>
                                    <w:t>40-60 mg en 4 dosis (dosis diaria del adulto,6 2-4 g)</w:t>
                                  </w:r>
                                </w:p>
                              </w:tc>
                              <w:tc>
                                <w:tcPr>
                                  <w:tcW w:w="2150" w:type="dxa"/>
                                  <w:tcBorders>
                                    <w:bottom w:val="single" w:sz="4" w:space="0" w:color="auto"/>
                                  </w:tcBorders>
                                  <w:shd w:val="clear" w:color="auto" w:fill="FFFFFF"/>
                                  <w:vAlign w:val="center"/>
                                </w:tcPr>
                                <w:p w14:paraId="66DFB167" w14:textId="77777777" w:rsidR="00924992" w:rsidRDefault="00924992">
                                  <w:pPr>
                                    <w:pStyle w:val="Other0"/>
                                    <w:spacing w:line="283" w:lineRule="auto"/>
                                    <w:ind w:left="220" w:hanging="220"/>
                                    <w:rPr>
                                      <w:sz w:val="16"/>
                                      <w:szCs w:val="16"/>
                                    </w:rPr>
                                  </w:pPr>
                                  <w:r>
                                    <w:rPr>
                                      <w:rFonts w:ascii="Times New Roman" w:eastAsia="Times New Roman" w:hAnsi="Times New Roman" w:cs="Times New Roman"/>
                                      <w:color w:val="000000"/>
                                      <w:sz w:val="16"/>
                                      <w:szCs w:val="16"/>
                                    </w:rPr>
                                    <w:t>En la meningitis, habrá que administrar en un lapso una dosis de 60 mg/kg de de 60 min como mínimo, peso; no se necesita medir en forma sistemática y seriada las concentraciones en suero.</w:t>
                                  </w:r>
                                </w:p>
                              </w:tc>
                            </w:tr>
                          </w:tbl>
                          <w:p w14:paraId="25E62115" w14:textId="77777777" w:rsidR="00924992" w:rsidRDefault="00924992">
                            <w:pPr>
                              <w:spacing w:line="1" w:lineRule="exact"/>
                            </w:pPr>
                          </w:p>
                        </w:txbxContent>
                      </wps:txbx>
                      <wps:bodyPr lIns="0" tIns="0" rIns="0" bIns="0"/>
                    </wps:wsp>
                  </a:graphicData>
                </a:graphic>
              </wp:anchor>
            </w:drawing>
          </mc:Choice>
          <mc:Fallback>
            <w:pict>
              <v:shape w14:anchorId="313655D4" id="Shape 2251" o:spid="_x0000_s1042" type="#_x0000_t202" style="position:absolute;margin-left:31.7pt;margin-top:18.5pt;width:571.2pt;height:137.05pt;z-index:251675648;visibility:visible;mso-wrap-style:square;mso-wrap-distance-left:9pt;mso-wrap-distance-top:0;mso-wrap-distance-right:9pt;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" filled="f" stroked="f">
                <v:textbox inset="0,0,0,0">
                  <w:txbxContent>
                    <w:tbl>
                      <w:tblPr>
                        <w:tblOverlap w:val="never"/>
                        <w:tblW w:w="0" w:type="auto"/>
                        <w:tblLayout w:type="fixed"/>
                        <w:tblCellMar>
                          <w:left w:w="10" w:type="dxa"/>
                          <w:right w:w="10" w:type="dxa"/>
                        </w:tblCellMar>
                        <w:tblLook w:val="04A0" w:firstRow="1" w:lastRow="0" w:firstColumn="1" w:lastColumn="0" w:noHBand="0" w:noVBand="1"/>
                      </w:tblPr>
                      <w:tblGrid>
                        <w:gridCol w:w="2458"/>
                        <w:gridCol w:w="682"/>
                        <w:gridCol w:w="1656"/>
                        <w:gridCol w:w="2429"/>
                        <w:gridCol w:w="2050"/>
                        <w:gridCol w:w="2150"/>
                      </w:tblGrid>
                      <w:tr w:rsidR="00924992" w14:paraId="28E49243" w14:textId="77777777">
                        <w:tblPrEx>
                          <w:tblCellMar>
                            <w:top w:w="0" w:type="dxa"/>
                            <w:bottom w:w="0" w:type="dxa"/>
                          </w:tblCellMar>
                        </w:tblPrEx>
                        <w:trPr>
                          <w:trHeight w:hRule="exact" w:val="283"/>
                          <w:tblHeader/>
                        </w:trPr>
                        <w:tc>
                          <w:tcPr>
                            <w:tcW w:w="2458" w:type="dxa"/>
                            <w:vMerge w:val="restart"/>
                            <w:shd w:val="clear" w:color="auto" w:fill="000000"/>
                            <w:vAlign w:val="bottom"/>
                          </w:tcPr>
                          <w:p w14:paraId="1FC97EDA" w14:textId="77777777" w:rsidR="00924992" w:rsidRDefault="00924992">
                            <w:pPr>
                              <w:pStyle w:val="Other0"/>
                              <w:pBdr>
                                <w:top w:val="single" w:sz="0" w:space="0" w:color="000000"/>
                                <w:left w:val="single" w:sz="0" w:space="0" w:color="000000"/>
                                <w:bottom w:val="single" w:sz="0" w:space="0" w:color="000000"/>
                                <w:right w:val="single" w:sz="0" w:space="0" w:color="000000"/>
                              </w:pBdr>
                              <w:shd w:val="clear" w:color="auto" w:fill="000000"/>
                              <w:spacing w:line="240" w:lineRule="auto"/>
                              <w:ind w:firstLine="0"/>
                              <w:rPr>
                                <w:sz w:val="24"/>
                                <w:szCs w:val="24"/>
                              </w:rPr>
                            </w:pPr>
                            <w:r>
                              <w:rPr>
                                <w:rFonts w:ascii="Arial" w:eastAsia="Arial" w:hAnsi="Arial" w:cs="Arial"/>
                                <w:b/>
                                <w:bCs/>
                                <w:color w:val="FFFFFF"/>
                                <w:w w:val="70"/>
                                <w:sz w:val="24"/>
                                <w:szCs w:val="24"/>
                              </w:rPr>
                              <w:t>Fármaco, nombre genérico (y comercial)</w:t>
                            </w:r>
                          </w:p>
                        </w:tc>
                        <w:tc>
                          <w:tcPr>
                            <w:tcW w:w="4767" w:type="dxa"/>
                            <w:gridSpan w:val="3"/>
                            <w:shd w:val="clear" w:color="auto" w:fill="000000"/>
                            <w:vAlign w:val="bottom"/>
                          </w:tcPr>
                          <w:p w14:paraId="10143037" w14:textId="77777777" w:rsidR="00924992" w:rsidRDefault="00924992">
                            <w:pPr>
                              <w:pStyle w:val="Other0"/>
                              <w:pBdr>
                                <w:top w:val="single" w:sz="0" w:space="0" w:color="000000"/>
                                <w:left w:val="single" w:sz="0" w:space="0" w:color="000000"/>
                                <w:bottom w:val="single" w:sz="0" w:space="0" w:color="000000"/>
                                <w:right w:val="single" w:sz="0" w:space="0" w:color="000000"/>
                              </w:pBdr>
                              <w:shd w:val="clear" w:color="auto" w:fill="000000"/>
                              <w:spacing w:line="240" w:lineRule="auto"/>
                              <w:ind w:firstLine="200"/>
                              <w:rPr>
                                <w:sz w:val="24"/>
                                <w:szCs w:val="24"/>
                              </w:rPr>
                            </w:pPr>
                            <w:r>
                              <w:rPr>
                                <w:rFonts w:ascii="Arial" w:eastAsia="Arial" w:hAnsi="Arial" w:cs="Arial"/>
                                <w:b/>
                                <w:bCs/>
                                <w:color w:val="FFFFFF"/>
                                <w:w w:val="70"/>
                                <w:sz w:val="24"/>
                                <w:szCs w:val="24"/>
                              </w:rPr>
                              <w:t>Dosis por kg de peso al día</w:t>
                            </w:r>
                          </w:p>
                        </w:tc>
                        <w:tc>
                          <w:tcPr>
                            <w:tcW w:w="2050" w:type="dxa"/>
                            <w:vMerge w:val="restart"/>
                            <w:shd w:val="clear" w:color="auto" w:fill="000000"/>
                            <w:vAlign w:val="center"/>
                          </w:tcPr>
                          <w:p w14:paraId="718A583D" w14:textId="77777777" w:rsidR="00924992" w:rsidRDefault="00924992">
                            <w:pPr>
                              <w:pStyle w:val="Other0"/>
                              <w:pBdr>
                                <w:top w:val="single" w:sz="0" w:space="0" w:color="000000"/>
                                <w:left w:val="single" w:sz="0" w:space="0" w:color="000000"/>
                                <w:bottom w:val="single" w:sz="0" w:space="0" w:color="000000"/>
                                <w:right w:val="single" w:sz="0" w:space="0" w:color="000000"/>
                              </w:pBdr>
                              <w:shd w:val="clear" w:color="auto" w:fill="000000"/>
                              <w:spacing w:line="240" w:lineRule="auto"/>
                              <w:ind w:firstLine="0"/>
                              <w:rPr>
                                <w:sz w:val="24"/>
                                <w:szCs w:val="24"/>
                              </w:rPr>
                            </w:pPr>
                            <w:r>
                              <w:rPr>
                                <w:rFonts w:ascii="Arial" w:eastAsia="Arial" w:hAnsi="Arial" w:cs="Arial"/>
                                <w:b/>
                                <w:bCs/>
                                <w:color w:val="FFFFFF"/>
                                <w:w w:val="70"/>
                                <w:sz w:val="24"/>
                                <w:szCs w:val="24"/>
                              </w:rPr>
                              <w:t>Infecciones graves</w:t>
                            </w:r>
                          </w:p>
                        </w:tc>
                        <w:tc>
                          <w:tcPr>
                            <w:tcW w:w="2150" w:type="dxa"/>
                            <w:vMerge w:val="restart"/>
                            <w:shd w:val="clear" w:color="auto" w:fill="000000"/>
                            <w:vAlign w:val="center"/>
                          </w:tcPr>
                          <w:p w14:paraId="63680715" w14:textId="77777777" w:rsidR="00924992" w:rsidRDefault="00924992">
                            <w:pPr>
                              <w:pStyle w:val="Other0"/>
                              <w:pBdr>
                                <w:top w:val="single" w:sz="0" w:space="0" w:color="000000"/>
                                <w:left w:val="single" w:sz="0" w:space="0" w:color="000000"/>
                                <w:bottom w:val="single" w:sz="0" w:space="0" w:color="000000"/>
                                <w:right w:val="single" w:sz="0" w:space="0" w:color="000000"/>
                              </w:pBdr>
                              <w:shd w:val="clear" w:color="auto" w:fill="000000"/>
                              <w:spacing w:line="240" w:lineRule="auto"/>
                              <w:ind w:firstLine="0"/>
                              <w:rPr>
                                <w:sz w:val="24"/>
                                <w:szCs w:val="24"/>
                              </w:rPr>
                            </w:pPr>
                            <w:r>
                              <w:rPr>
                                <w:rFonts w:ascii="Arial" w:eastAsia="Arial" w:hAnsi="Arial" w:cs="Arial"/>
                                <w:b/>
                                <w:bCs/>
                                <w:color w:val="FFFFFF"/>
                                <w:w w:val="70"/>
                                <w:sz w:val="24"/>
                                <w:szCs w:val="24"/>
                              </w:rPr>
                              <w:t>Comentarios</w:t>
                            </w:r>
                          </w:p>
                        </w:tc>
                      </w:tr>
                      <w:tr w:rsidR="00924992" w14:paraId="2DCE90FF" w14:textId="77777777">
                        <w:tblPrEx>
                          <w:tblCellMar>
                            <w:top w:w="0" w:type="dxa"/>
                            <w:bottom w:w="0" w:type="dxa"/>
                          </w:tblCellMar>
                        </w:tblPrEx>
                        <w:trPr>
                          <w:trHeight w:hRule="exact" w:val="562"/>
                        </w:trPr>
                        <w:tc>
                          <w:tcPr>
                            <w:tcW w:w="2458" w:type="dxa"/>
                            <w:vMerge/>
                            <w:shd w:val="clear" w:color="auto" w:fill="000000"/>
                            <w:vAlign w:val="bottom"/>
                          </w:tcPr>
                          <w:p w14:paraId="63CBE1D0" w14:textId="77777777" w:rsidR="00924992" w:rsidRDefault="00924992"/>
                        </w:tc>
                        <w:tc>
                          <w:tcPr>
                            <w:tcW w:w="682" w:type="dxa"/>
                            <w:tcBorders>
                              <w:top w:val="single" w:sz="4" w:space="0" w:color="auto"/>
                            </w:tcBorders>
                            <w:shd w:val="clear" w:color="auto" w:fill="000000"/>
                          </w:tcPr>
                          <w:p w14:paraId="1FA2E1B9" w14:textId="77777777" w:rsidR="00924992" w:rsidRDefault="00924992">
                            <w:pPr>
                              <w:pStyle w:val="Other0"/>
                              <w:pBdr>
                                <w:top w:val="single" w:sz="0" w:space="0" w:color="000000"/>
                                <w:left w:val="single" w:sz="0" w:space="0" w:color="000000"/>
                                <w:bottom w:val="single" w:sz="0" w:space="0" w:color="000000"/>
                                <w:right w:val="single" w:sz="0" w:space="0" w:color="000000"/>
                              </w:pBdr>
                              <w:shd w:val="clear" w:color="auto" w:fill="000000"/>
                              <w:spacing w:line="240" w:lineRule="auto"/>
                              <w:ind w:firstLine="200"/>
                              <w:rPr>
                                <w:sz w:val="24"/>
                                <w:szCs w:val="24"/>
                              </w:rPr>
                            </w:pPr>
                            <w:r>
                              <w:rPr>
                                <w:rFonts w:ascii="Arial" w:eastAsia="Arial" w:hAnsi="Arial" w:cs="Arial"/>
                                <w:b/>
                                <w:bCs/>
                                <w:color w:val="FFFFFF"/>
                                <w:w w:val="70"/>
                                <w:sz w:val="24"/>
                                <w:szCs w:val="24"/>
                              </w:rPr>
                              <w:t>Vía de</w:t>
                            </w:r>
                          </w:p>
                        </w:tc>
                        <w:tc>
                          <w:tcPr>
                            <w:tcW w:w="1656" w:type="dxa"/>
                            <w:tcBorders>
                              <w:top w:val="single" w:sz="4" w:space="0" w:color="auto"/>
                            </w:tcBorders>
                            <w:shd w:val="clear" w:color="auto" w:fill="000000"/>
                          </w:tcPr>
                          <w:p w14:paraId="46BA4508" w14:textId="77777777" w:rsidR="00924992" w:rsidRDefault="00924992">
                            <w:pPr>
                              <w:pStyle w:val="Other0"/>
                              <w:pBdr>
                                <w:top w:val="single" w:sz="0" w:space="0" w:color="000000"/>
                                <w:left w:val="single" w:sz="0" w:space="0" w:color="000000"/>
                                <w:bottom w:val="single" w:sz="0" w:space="0" w:color="000000"/>
                                <w:right w:val="single" w:sz="0" w:space="0" w:color="000000"/>
                              </w:pBdr>
                              <w:shd w:val="clear" w:color="auto" w:fill="000000"/>
                              <w:spacing w:line="240" w:lineRule="auto"/>
                              <w:ind w:firstLine="0"/>
                              <w:rPr>
                                <w:sz w:val="24"/>
                                <w:szCs w:val="24"/>
                              </w:rPr>
                            </w:pPr>
                            <w:r>
                              <w:rPr>
                                <w:rFonts w:ascii="Arial" w:eastAsia="Arial" w:hAnsi="Arial" w:cs="Arial"/>
                                <w:b/>
                                <w:bCs/>
                                <w:color w:val="FFFFFF"/>
                                <w:w w:val="70"/>
                                <w:sz w:val="24"/>
                                <w:szCs w:val="24"/>
                              </w:rPr>
                              <w:t>i administración</w:t>
                            </w:r>
                          </w:p>
                        </w:tc>
                        <w:tc>
                          <w:tcPr>
                            <w:tcW w:w="2429" w:type="dxa"/>
                            <w:tcBorders>
                              <w:top w:val="single" w:sz="4" w:space="0" w:color="auto"/>
                            </w:tcBorders>
                            <w:shd w:val="clear" w:color="auto" w:fill="000000"/>
                          </w:tcPr>
                          <w:p w14:paraId="72F7210A" w14:textId="77777777" w:rsidR="00924992" w:rsidRDefault="00924992">
                            <w:pPr>
                              <w:pStyle w:val="Other0"/>
                              <w:pBdr>
                                <w:top w:val="single" w:sz="0" w:space="0" w:color="000000"/>
                                <w:left w:val="single" w:sz="0" w:space="0" w:color="000000"/>
                                <w:bottom w:val="single" w:sz="0" w:space="0" w:color="000000"/>
                                <w:right w:val="single" w:sz="0" w:space="0" w:color="000000"/>
                              </w:pBdr>
                              <w:shd w:val="clear" w:color="auto" w:fill="000000"/>
                              <w:spacing w:line="240" w:lineRule="auto"/>
                              <w:ind w:left="340" w:firstLine="0"/>
                              <w:rPr>
                                <w:sz w:val="24"/>
                                <w:szCs w:val="24"/>
                              </w:rPr>
                            </w:pPr>
                            <w:r>
                              <w:rPr>
                                <w:rFonts w:ascii="Arial" w:eastAsia="Arial" w:hAnsi="Arial" w:cs="Arial"/>
                                <w:b/>
                                <w:bCs/>
                                <w:color w:val="FFFFFF"/>
                                <w:w w:val="70"/>
                                <w:sz w:val="24"/>
                                <w:szCs w:val="24"/>
                              </w:rPr>
                              <w:t>Infecciones leves o moderadas</w:t>
                            </w:r>
                          </w:p>
                        </w:tc>
                        <w:tc>
                          <w:tcPr>
                            <w:tcW w:w="2050" w:type="dxa"/>
                            <w:vMerge/>
                            <w:shd w:val="clear" w:color="auto" w:fill="000000"/>
                            <w:vAlign w:val="center"/>
                          </w:tcPr>
                          <w:p w14:paraId="0DBB745F" w14:textId="77777777" w:rsidR="00924992" w:rsidRDefault="00924992"/>
                        </w:tc>
                        <w:tc>
                          <w:tcPr>
                            <w:tcW w:w="2150" w:type="dxa"/>
                            <w:vMerge/>
                            <w:shd w:val="clear" w:color="auto" w:fill="000000"/>
                            <w:vAlign w:val="center"/>
                          </w:tcPr>
                          <w:p w14:paraId="6B6C1E2D" w14:textId="77777777" w:rsidR="00924992" w:rsidRDefault="00924992"/>
                        </w:tc>
                      </w:tr>
                      <w:tr w:rsidR="00924992" w14:paraId="2EA5B38E" w14:textId="77777777">
                        <w:tblPrEx>
                          <w:tblCellMar>
                            <w:top w:w="0" w:type="dxa"/>
                            <w:bottom w:w="0" w:type="dxa"/>
                          </w:tblCellMar>
                        </w:tblPrEx>
                        <w:trPr>
                          <w:trHeight w:hRule="exact" w:val="1896"/>
                        </w:trPr>
                        <w:tc>
                          <w:tcPr>
                            <w:tcW w:w="2458" w:type="dxa"/>
                            <w:tcBorders>
                              <w:bottom w:val="single" w:sz="4" w:space="0" w:color="auto"/>
                            </w:tcBorders>
                            <w:shd w:val="clear" w:color="auto" w:fill="FFFFFF"/>
                          </w:tcPr>
                          <w:p w14:paraId="689D48CC" w14:textId="77777777" w:rsidR="00924992" w:rsidRDefault="00924992">
                            <w:pPr>
                              <w:pStyle w:val="Other0"/>
                              <w:spacing w:line="283" w:lineRule="auto"/>
                              <w:ind w:left="140" w:hanging="140"/>
                              <w:rPr>
                                <w:sz w:val="16"/>
                                <w:szCs w:val="16"/>
                              </w:rPr>
                            </w:pPr>
                            <w:r>
                              <w:rPr>
                                <w:rFonts w:ascii="Times New Roman" w:eastAsia="Times New Roman" w:hAnsi="Times New Roman" w:cs="Times New Roman"/>
                                <w:b/>
                                <w:bCs/>
                                <w:color w:val="000000"/>
                                <w:sz w:val="16"/>
                                <w:szCs w:val="16"/>
                              </w:rPr>
                              <w:t xml:space="preserve">Vancomicina </w:t>
                            </w:r>
                            <w:r>
                              <w:rPr>
                                <w:rFonts w:ascii="Times New Roman" w:eastAsia="Times New Roman" w:hAnsi="Times New Roman" w:cs="Times New Roman"/>
                                <w:color w:val="000000"/>
                                <w:sz w:val="16"/>
                                <w:szCs w:val="16"/>
                              </w:rPr>
                              <w:t>(Vancocin, Vancoled, Vancor)</w:t>
                            </w:r>
                          </w:p>
                        </w:tc>
                        <w:tc>
                          <w:tcPr>
                            <w:tcW w:w="682" w:type="dxa"/>
                            <w:tcBorders>
                              <w:bottom w:val="single" w:sz="4" w:space="0" w:color="auto"/>
                            </w:tcBorders>
                            <w:shd w:val="clear" w:color="auto" w:fill="FFFFFF"/>
                          </w:tcPr>
                          <w:p w14:paraId="74FEA2DB" w14:textId="77777777" w:rsidR="00924992" w:rsidRDefault="00924992">
                            <w:pPr>
                              <w:pStyle w:val="Other0"/>
                              <w:spacing w:line="240" w:lineRule="auto"/>
                              <w:ind w:firstLine="200"/>
                              <w:rPr>
                                <w:sz w:val="16"/>
                                <w:szCs w:val="16"/>
                              </w:rPr>
                            </w:pPr>
                            <w:r>
                              <w:rPr>
                                <w:rFonts w:ascii="Times New Roman" w:eastAsia="Times New Roman" w:hAnsi="Times New Roman" w:cs="Times New Roman"/>
                                <w:color w:val="000000"/>
                                <w:sz w:val="16"/>
                                <w:szCs w:val="16"/>
                              </w:rPr>
                              <w:t>IV</w:t>
                            </w:r>
                          </w:p>
                        </w:tc>
                        <w:tc>
                          <w:tcPr>
                            <w:tcW w:w="1656" w:type="dxa"/>
                            <w:tcBorders>
                              <w:bottom w:val="single" w:sz="4" w:space="0" w:color="auto"/>
                            </w:tcBorders>
                            <w:shd w:val="clear" w:color="auto" w:fill="FFFFFF"/>
                          </w:tcPr>
                          <w:p w14:paraId="67BAA936" w14:textId="77777777" w:rsidR="00924992" w:rsidRDefault="00924992">
                            <w:pPr>
                              <w:rPr>
                                <w:sz w:val="10"/>
                                <w:szCs w:val="10"/>
                              </w:rPr>
                            </w:pPr>
                          </w:p>
                        </w:tc>
                        <w:tc>
                          <w:tcPr>
                            <w:tcW w:w="2429" w:type="dxa"/>
                            <w:tcBorders>
                              <w:bottom w:val="single" w:sz="4" w:space="0" w:color="auto"/>
                            </w:tcBorders>
                            <w:shd w:val="clear" w:color="auto" w:fill="FFFFFF"/>
                          </w:tcPr>
                          <w:p w14:paraId="7EFA6DFB" w14:textId="77777777" w:rsidR="00924992" w:rsidRDefault="00924992">
                            <w:pPr>
                              <w:pStyle w:val="Other0"/>
                              <w:spacing w:line="283" w:lineRule="auto"/>
                              <w:ind w:left="420" w:hanging="80"/>
                              <w:rPr>
                                <w:sz w:val="16"/>
                                <w:szCs w:val="16"/>
                              </w:rPr>
                            </w:pPr>
                            <w:r>
                              <w:rPr>
                                <w:rFonts w:ascii="Times New Roman" w:eastAsia="Times New Roman" w:hAnsi="Times New Roman" w:cs="Times New Roman"/>
                                <w:color w:val="000000"/>
                                <w:sz w:val="16"/>
                                <w:szCs w:val="16"/>
                              </w:rPr>
                              <w:t>40 mg en 3 a 4 dosis (dosis diaria parea el adulto,6 1-2 g)</w:t>
                            </w:r>
                          </w:p>
                        </w:tc>
                        <w:tc>
                          <w:tcPr>
                            <w:tcW w:w="2050" w:type="dxa"/>
                            <w:tcBorders>
                              <w:bottom w:val="single" w:sz="4" w:space="0" w:color="auto"/>
                            </w:tcBorders>
                            <w:shd w:val="clear" w:color="auto" w:fill="FFFFFF"/>
                          </w:tcPr>
                          <w:p w14:paraId="685A2F91" w14:textId="77777777" w:rsidR="00924992" w:rsidRDefault="00924992">
                            <w:pPr>
                              <w:pStyle w:val="Other0"/>
                              <w:spacing w:line="283" w:lineRule="auto"/>
                              <w:ind w:firstLine="0"/>
                              <w:jc w:val="center"/>
                              <w:rPr>
                                <w:sz w:val="16"/>
                                <w:szCs w:val="16"/>
                              </w:rPr>
                            </w:pPr>
                            <w:r>
                              <w:rPr>
                                <w:rFonts w:ascii="Times New Roman" w:eastAsia="Times New Roman" w:hAnsi="Times New Roman" w:cs="Times New Roman"/>
                                <w:color w:val="000000"/>
                                <w:sz w:val="16"/>
                                <w:szCs w:val="16"/>
                              </w:rPr>
                              <w:t>40-60 mg en 4 dosis (dosis diaria del adulto,6 2-4 g)</w:t>
                            </w:r>
                          </w:p>
                        </w:tc>
                        <w:tc>
                          <w:tcPr>
                            <w:tcW w:w="2150" w:type="dxa"/>
                            <w:tcBorders>
                              <w:bottom w:val="single" w:sz="4" w:space="0" w:color="auto"/>
                            </w:tcBorders>
                            <w:shd w:val="clear" w:color="auto" w:fill="FFFFFF"/>
                            <w:vAlign w:val="center"/>
                          </w:tcPr>
                          <w:p w14:paraId="66DFB167" w14:textId="77777777" w:rsidR="00924992" w:rsidRDefault="00924992">
                            <w:pPr>
                              <w:pStyle w:val="Other0"/>
                              <w:spacing w:line="283" w:lineRule="auto"/>
                              <w:ind w:left="220" w:hanging="220"/>
                              <w:rPr>
                                <w:sz w:val="16"/>
                                <w:szCs w:val="16"/>
                              </w:rPr>
                            </w:pPr>
                            <w:r>
                              <w:rPr>
                                <w:rFonts w:ascii="Times New Roman" w:eastAsia="Times New Roman" w:hAnsi="Times New Roman" w:cs="Times New Roman"/>
                                <w:color w:val="000000"/>
                                <w:sz w:val="16"/>
                                <w:szCs w:val="16"/>
                              </w:rPr>
                              <w:t>En la meningitis, habrá que administrar en un lapso una dosis de 60 mg/kg de de 60 min como mínimo, peso; no se necesita medir en forma sistemática y seriada las concentraciones en suero.</w:t>
                            </w:r>
                          </w:p>
                        </w:tc>
                      </w:tr>
                    </w:tbl>
                    <w:p w14:paraId="25E62115" w14:textId="77777777" w:rsidR="00924992" w:rsidRDefault="00924992">
                      <w:pPr>
                        <w:spacing w:line="1" w:lineRule="exact"/>
                      </w:pPr>
                    </w:p>
                  </w:txbxContent>
                </v:textbox>
                <w10:wrap type="topAndBottom" anchorx="page"/>
              </v:shape>
            </w:pict>
          </mc:Fallback>
        </mc:AlternateContent>
      </w:r>
      <w:r>
        <w:rPr>
          <w:noProof/>
        </w:rPr>
        <mc:AlternateContent>
          <mc:Choice Requires="wps">
            <w:drawing>
              <wp:anchor distT="0" distB="0" distL="114300" distR="114300" simplePos="0" relativeHeight="251676672" behindDoc="0" locked="0" layoutInCell="1" allowOverlap="1" wp14:anchorId="426F46B1" wp14:editId="41F7CC44">
                <wp:simplePos x="0" y="0"/>
                <wp:positionH relativeFrom="page">
                  <wp:posOffset>7867015</wp:posOffset>
                </wp:positionH>
                <wp:positionV relativeFrom="paragraph">
                  <wp:posOffset>1225550</wp:posOffset>
                </wp:positionV>
                <wp:extent cx="121920" cy="3166745"/>
                <wp:effectExtent l="0" t="0" r="0" b="0"/>
                <wp:wrapSquare wrapText="bothSides"/>
                <wp:docPr id="2253" name="Shape 2253"/>
                <wp:cNvGraphicFramePr/>
                <a:graphic xmlns:a="http://schemas.openxmlformats.org/drawingml/2006/main">
                  <a:graphicData uri="http://schemas.microsoft.com/office/word/2010/wordprocessingShape">
                    <wps:wsp>
                      <wps:cNvSpPr txBox="1"/>
                      <wps:spPr>
                        <a:xfrm>
                          <a:off x="0" y="0"/>
                          <a:ext cx="121920" cy="3166745"/>
                        </a:xfrm>
                        <a:prstGeom prst="rect">
                          <a:avLst/>
                        </a:prstGeom>
                        <a:noFill/>
                      </wps:spPr>
                      <wps:txbx>
                        <w:txbxContent>
                          <w:p w14:paraId="16C13A2C" w14:textId="77777777" w:rsidR="00924992" w:rsidRDefault="00924992">
                            <w:pPr>
                              <w:pStyle w:val="Bodytext80"/>
                              <w:tabs>
                                <w:tab w:val="left" w:pos="4670"/>
                              </w:tabs>
                              <w:rPr>
                                <w:sz w:val="16"/>
                                <w:szCs w:val="16"/>
                              </w:rPr>
                            </w:pPr>
                            <w:r>
                              <w:t>ANTIMICROBIANOS Y FÁRMACOS SIMILARES</w:t>
                            </w:r>
                            <w:r>
                              <w:tab/>
                            </w:r>
                            <w:r>
                              <w:rPr>
                                <w:sz w:val="16"/>
                                <w:szCs w:val="16"/>
                              </w:rPr>
                              <w:t>747</w:t>
                            </w:r>
                          </w:p>
                        </w:txbxContent>
                      </wps:txbx>
                      <wps:bodyPr vert="vert" lIns="0" tIns="0" rIns="0" bIns="0" upright="1"/>
                    </wps:wsp>
                  </a:graphicData>
                </a:graphic>
              </wp:anchor>
            </w:drawing>
          </mc:Choice>
          <mc:Fallback>
            <w:pict>
              <v:shape w14:anchorId="426F46B1" id="Shape 2253" o:spid="_x0000_s1043" type="#_x0000_t202" style="position:absolute;margin-left:619.45pt;margin-top:96.5pt;width:9.6pt;height:249.35pt;z-index:251676672;visibility:visible;mso-wrap-style:square;mso-wrap-distance-left:9pt;mso-wrap-distance-top:0;mso-wrap-distance-right:9pt;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" filled="f" stroked="f">
                <v:textbox style="layout-flow:vertical" inset="0,0,0,0">
                  <w:txbxContent>
                    <w:p w14:paraId="16C13A2C" w14:textId="77777777" w:rsidR="00924992" w:rsidRDefault="00924992">
                      <w:pPr>
                        <w:pStyle w:val="Bodytext80"/>
                        <w:tabs>
                          <w:tab w:val="left" w:pos="4670"/>
                        </w:tabs>
                        <w:rPr>
                          <w:sz w:val="16"/>
                          <w:szCs w:val="16"/>
                        </w:rPr>
                      </w:pPr>
                      <w:r>
                        <w:t>ANTIMICROBIANOS Y FÁRMACOS SIMILARES</w:t>
                      </w:r>
                      <w:r>
                        <w:tab/>
                      </w:r>
                      <w:r>
                        <w:rPr>
                          <w:sz w:val="16"/>
                          <w:szCs w:val="16"/>
                        </w:rPr>
                        <w:t>747</w:t>
                      </w:r>
                    </w:p>
                  </w:txbxContent>
                </v:textbox>
                <w10:wrap type="square" anchorx="page"/>
              </v:shape>
            </w:pict>
          </mc:Fallback>
        </mc:AlternateContent>
      </w:r>
    </w:p>
    <w:p w14:paraId="689E6AE4" w14:textId="77777777" w:rsidR="00924992" w:rsidRDefault="00924992">
      <w:pPr>
        <w:pStyle w:val="Heading31"/>
        <w:keepNext/>
        <w:keepLines/>
        <w:spacing w:after="80"/>
        <w:jc w:val="center"/>
        <w:rPr>
          <w:sz w:val="16"/>
          <w:szCs w:val="16"/>
        </w:rPr>
      </w:pPr>
      <w:bookmarkStart w:id="343" w:name="bookmark1789"/>
      <w:bookmarkStart w:id="344" w:name="bookmark1790"/>
      <w:bookmarkStart w:id="345" w:name="bookmark1791"/>
      <w:r>
        <w:rPr>
          <w:b w:val="0"/>
          <w:bCs w:val="0"/>
          <w:color w:val="000000"/>
        </w:rPr>
        <w:t xml:space="preserve">Cuadro 4-2. </w:t>
      </w:r>
      <w:r>
        <w:rPr>
          <w:color w:val="000000"/>
        </w:rPr>
        <w:t xml:space="preserve">Empleo de antibacterianos en niños después del periodo neonatal </w:t>
      </w:r>
      <w:r>
        <w:rPr>
          <w:rFonts w:ascii="Times New Roman" w:eastAsia="Times New Roman" w:hAnsi="Times New Roman" w:cs="Times New Roman"/>
          <w:b w:val="0"/>
          <w:bCs w:val="0"/>
          <w:i/>
          <w:iCs/>
          <w:color w:val="000000"/>
          <w:w w:val="100"/>
          <w:sz w:val="16"/>
          <w:szCs w:val="16"/>
        </w:rPr>
        <w:t>continuación</w:t>
      </w:r>
      <w:bookmarkEnd w:id="343"/>
      <w:bookmarkEnd w:id="344"/>
      <w:bookmarkEnd w:id="345"/>
    </w:p>
    <w:p w14:paraId="20778ADE" w14:textId="77777777" w:rsidR="00924992" w:rsidRDefault="00924992">
      <w:pPr>
        <w:pStyle w:val="Bodytext20"/>
        <w:spacing w:before="80" w:line="252" w:lineRule="auto"/>
        <w:ind w:firstLine="240"/>
        <w:jc w:val="both"/>
        <w:rPr>
          <w:sz w:val="15"/>
          <w:szCs w:val="15"/>
        </w:rPr>
      </w:pPr>
      <w:r>
        <w:rPr>
          <w:color w:val="000000"/>
          <w:sz w:val="15"/>
          <w:szCs w:val="15"/>
        </w:rPr>
        <w:t>IV, intravenoso; IM, intramuscular; PO, oral o ingerible.</w:t>
      </w:r>
    </w:p>
    <w:p w14:paraId="2517188D" w14:textId="77777777" w:rsidR="00924992" w:rsidRDefault="00924992">
      <w:pPr>
        <w:pStyle w:val="Bodytext20"/>
        <w:numPr>
          <w:ilvl w:val="0"/>
          <w:numId w:val="124"/>
        </w:numPr>
        <w:tabs>
          <w:tab w:val="left" w:pos="213"/>
        </w:tabs>
        <w:spacing w:line="252" w:lineRule="auto"/>
        <w:jc w:val="both"/>
        <w:rPr>
          <w:sz w:val="15"/>
          <w:szCs w:val="15"/>
        </w:rPr>
      </w:pPr>
      <w:bookmarkStart w:id="346" w:name="bookmark1792"/>
      <w:bookmarkEnd w:id="346"/>
      <w:r>
        <w:rPr>
          <w:color w:val="000000"/>
          <w:sz w:val="15"/>
          <w:szCs w:val="15"/>
        </w:rPr>
        <w:t>Las dosis de aminoglucósidos pueden diferir de las recomendadas por los fabricantes (véase las instrucciones del fabricante).</w:t>
      </w:r>
    </w:p>
    <w:p w14:paraId="0215B204" w14:textId="77777777" w:rsidR="00924992" w:rsidRDefault="00924992">
      <w:pPr>
        <w:pStyle w:val="Bodytext20"/>
        <w:numPr>
          <w:ilvl w:val="0"/>
          <w:numId w:val="124"/>
        </w:numPr>
        <w:tabs>
          <w:tab w:val="left" w:pos="227"/>
        </w:tabs>
        <w:spacing w:line="252" w:lineRule="auto"/>
        <w:ind w:left="240" w:hanging="240"/>
        <w:rPr>
          <w:sz w:val="15"/>
          <w:szCs w:val="15"/>
        </w:rPr>
      </w:pPr>
      <w:bookmarkStart w:id="347" w:name="bookmark1793"/>
      <w:bookmarkEnd w:id="347"/>
      <w:r>
        <w:rPr>
          <w:color w:val="000000"/>
          <w:sz w:val="15"/>
          <w:szCs w:val="15"/>
        </w:rPr>
        <w:t>En personas con antecedentes de alergia a penicilinas o alguno de sus muchos congéneres se recomienda recurrir a otros fármacos. En algunas circunstancias son aceptables una cefalosporina u otro fármaco del tipo lactámico beta. Sin embargo, será mejor no usar dichos medicamentos en personas con hipersensibilidad inmediata (anafilaxia) a la penicilina porque 5 a 15% de individuos alérgicos a ella también lo serán a las cefalosporinas.</w:t>
      </w:r>
    </w:p>
    <w:p w14:paraId="155B004C" w14:textId="77777777" w:rsidR="00924992" w:rsidRDefault="00924992">
      <w:pPr>
        <w:pStyle w:val="Bodytext20"/>
        <w:numPr>
          <w:ilvl w:val="0"/>
          <w:numId w:val="124"/>
        </w:numPr>
        <w:tabs>
          <w:tab w:val="left" w:pos="227"/>
        </w:tabs>
        <w:spacing w:line="252" w:lineRule="auto"/>
        <w:ind w:left="240" w:hanging="240"/>
        <w:rPr>
          <w:sz w:val="15"/>
          <w:szCs w:val="15"/>
        </w:rPr>
      </w:pPr>
      <w:bookmarkStart w:id="348" w:name="bookmark1794"/>
      <w:bookmarkEnd w:id="348"/>
      <w:r>
        <w:rPr>
          <w:color w:val="000000"/>
          <w:sz w:val="15"/>
          <w:szCs w:val="15"/>
        </w:rPr>
        <w:t>No se ha aprobado para usar en pacientes menores de 18 años. En la actualidad se estudian algunas fluoroquinolonas en niños y adolescentes escogidos (véase “Fluoroquinolonas” en el texto al inicio de esta sección).</w:t>
      </w:r>
    </w:p>
    <w:p w14:paraId="5F2729F8" w14:textId="77777777" w:rsidR="00924992" w:rsidRDefault="00924992">
      <w:pPr>
        <w:pStyle w:val="Bodytext20"/>
        <w:numPr>
          <w:ilvl w:val="0"/>
          <w:numId w:val="124"/>
        </w:numPr>
        <w:tabs>
          <w:tab w:val="left" w:pos="227"/>
        </w:tabs>
        <w:spacing w:line="252" w:lineRule="auto"/>
        <w:jc w:val="both"/>
        <w:rPr>
          <w:sz w:val="15"/>
          <w:szCs w:val="15"/>
        </w:rPr>
      </w:pPr>
      <w:bookmarkStart w:id="349" w:name="bookmark1795"/>
      <w:bookmarkEnd w:id="349"/>
      <w:r>
        <w:rPr>
          <w:color w:val="000000"/>
          <w:sz w:val="15"/>
          <w:szCs w:val="15"/>
        </w:rPr>
        <w:t>No se ha aprobado para usar en pacientes menores de 12 años.</w:t>
      </w:r>
    </w:p>
    <w:p w14:paraId="7C81EF13" w14:textId="77777777" w:rsidR="00924992" w:rsidRDefault="00924992">
      <w:pPr>
        <w:pStyle w:val="Bodytext20"/>
        <w:numPr>
          <w:ilvl w:val="0"/>
          <w:numId w:val="124"/>
        </w:numPr>
        <w:tabs>
          <w:tab w:val="left" w:pos="227"/>
        </w:tabs>
        <w:spacing w:line="252" w:lineRule="auto"/>
        <w:ind w:left="240" w:hanging="240"/>
        <w:jc w:val="both"/>
        <w:rPr>
          <w:sz w:val="15"/>
          <w:szCs w:val="15"/>
        </w:rPr>
      </w:pPr>
      <w:bookmarkStart w:id="350" w:name="bookmark1796"/>
      <w:bookmarkEnd w:id="350"/>
      <w:r>
        <w:rPr>
          <w:color w:val="000000"/>
          <w:sz w:val="15"/>
          <w:szCs w:val="15"/>
        </w:rPr>
        <w:t>Habrá que considerar la posibilidad de nuevas cutirreacciones ulteriores en todo paciente con el antecedente de alergia a penicilina G o penicilina V. Muchos pacientes de ese tipo pueden ser tratados inocuamente con penicilina, porque sólo 10% de los niños con tal antecedente son alérgicos probados cuando la piel se somete a prueba.</w:t>
      </w:r>
    </w:p>
    <w:p w14:paraId="1FBD9FE5" w14:textId="77777777" w:rsidR="00924992" w:rsidRDefault="00924992">
      <w:pPr>
        <w:pStyle w:val="Bodytext20"/>
        <w:numPr>
          <w:ilvl w:val="0"/>
          <w:numId w:val="124"/>
        </w:numPr>
        <w:tabs>
          <w:tab w:val="left" w:pos="227"/>
        </w:tabs>
        <w:spacing w:line="252" w:lineRule="auto"/>
        <w:jc w:val="both"/>
        <w:rPr>
          <w:sz w:val="15"/>
          <w:szCs w:val="15"/>
        </w:rPr>
      </w:pPr>
      <w:bookmarkStart w:id="351" w:name="bookmark1797"/>
      <w:bookmarkEnd w:id="351"/>
      <w:r>
        <w:rPr>
          <w:color w:val="000000"/>
          <w:sz w:val="15"/>
          <w:szCs w:val="15"/>
        </w:rPr>
        <w:t>En adultos, la dosis diaria se divide en dos a cuatro fracciones.</w:t>
      </w:r>
    </w:p>
    <w:p w14:paraId="48ABCE8F" w14:textId="77777777" w:rsidR="00924992" w:rsidRDefault="00924992">
      <w:pPr>
        <w:pStyle w:val="Bodytext20"/>
        <w:spacing w:after="80" w:line="252" w:lineRule="auto"/>
        <w:ind w:left="240"/>
        <w:jc w:val="both"/>
        <w:rPr>
          <w:sz w:val="15"/>
          <w:szCs w:val="15"/>
        </w:rPr>
        <w:sectPr w:rsidR="00924992" w:rsidSect="00924992">
          <w:headerReference w:type="even" r:id="rId255"/>
          <w:headerReference w:type="default" r:id="rId256"/>
          <w:footerReference w:type="even" r:id="rId257"/>
          <w:footerReference w:type="default" r:id="rId258"/>
          <w:pgSz w:w="13022" w:h="8501" w:orient="landscape"/>
          <w:pgMar w:top="1080" w:right="965" w:bottom="304" w:left="634" w:header="652" w:footer="3" w:gutter="0"/>
          <w:cols w:space="720"/>
          <w:noEndnote/>
          <w:docGrid w:linePitch="360"/>
          <w15:footnoteColumns w:val="1"/>
        </w:sectPr>
      </w:pPr>
      <w:r>
        <w:rPr>
          <w:color w:val="000000"/>
          <w:sz w:val="15"/>
          <w:szCs w:val="15"/>
        </w:rPr>
        <w:t xml:space="preserve">Si se desea mayor información sobre fármacos individuales, consúltese </w:t>
      </w:r>
      <w:r>
        <w:rPr>
          <w:i/>
          <w:iCs/>
          <w:color w:val="000000"/>
          <w:sz w:val="15"/>
          <w:szCs w:val="15"/>
        </w:rPr>
        <w:t>Physicians Desk Reference</w:t>
      </w:r>
      <w:r>
        <w:rPr>
          <w:color w:val="000000"/>
          <w:sz w:val="15"/>
          <w:szCs w:val="15"/>
        </w:rPr>
        <w:t xml:space="preserve"> (Greenwood Village, CO: Thomson Micromedex) o </w:t>
      </w:r>
      <w:hyperlink r:id="rId259" w:history="1">
        <w:r>
          <w:rPr>
            <w:color w:val="000000"/>
            <w:sz w:val="15"/>
            <w:szCs w:val="15"/>
          </w:rPr>
          <w:t>http://pdrel.thomsonhc.com/pdrel/librarian/action/command.Command</w:t>
        </w:r>
      </w:hyperlink>
      <w:r>
        <w:rPr>
          <w:color w:val="000000"/>
          <w:sz w:val="15"/>
          <w:szCs w:val="15"/>
        </w:rPr>
        <w:t>.</w:t>
      </w:r>
    </w:p>
    <w:p w14:paraId="022030E6" w14:textId="77777777" w:rsidR="00924992" w:rsidRDefault="00924992">
      <w:pPr>
        <w:pStyle w:val="Heading31"/>
        <w:keepNext/>
        <w:keepLines/>
        <w:framePr w:w="10690" w:h="1622" w:wrap="none" w:hAnchor="page" w:x="659" w:y="1"/>
        <w:spacing w:line="214" w:lineRule="auto"/>
        <w:jc w:val="center"/>
      </w:pPr>
      <w:bookmarkStart w:id="352" w:name="bookmark1798"/>
      <w:bookmarkStart w:id="353" w:name="bookmark1799"/>
      <w:bookmarkStart w:id="354" w:name="bookmark1800"/>
      <w:r>
        <w:rPr>
          <w:b w:val="0"/>
          <w:bCs w:val="0"/>
          <w:color w:val="000000"/>
        </w:rPr>
        <w:t xml:space="preserve">Cuadro 4-3. </w:t>
      </w:r>
      <w:r>
        <w:rPr>
          <w:color w:val="000000"/>
        </w:rPr>
        <w:t>Directrices para tratar enfermedades de transmisión sexual en niños y adolescentes,</w:t>
      </w:r>
      <w:r>
        <w:rPr>
          <w:color w:val="000000"/>
        </w:rPr>
        <w:br/>
        <w:t>conforme al síndrome que tengan</w:t>
      </w:r>
      <w:bookmarkEnd w:id="352"/>
      <w:bookmarkEnd w:id="353"/>
      <w:bookmarkEnd w:id="354"/>
    </w:p>
    <w:p w14:paraId="28009F14" w14:textId="77777777" w:rsidR="00924992" w:rsidRDefault="00924992">
      <w:pPr>
        <w:pStyle w:val="Other0"/>
        <w:framePr w:w="10690" w:h="1622" w:wrap="none" w:hAnchor="page" w:x="659" w:y="1"/>
        <w:spacing w:line="214" w:lineRule="auto"/>
        <w:ind w:firstLine="0"/>
        <w:jc w:val="center"/>
        <w:rPr>
          <w:sz w:val="26"/>
          <w:szCs w:val="26"/>
        </w:rPr>
      </w:pPr>
      <w:r>
        <w:rPr>
          <w:rFonts w:ascii="Arial" w:eastAsia="Arial" w:hAnsi="Arial" w:cs="Arial"/>
          <w:color w:val="000000"/>
          <w:w w:val="70"/>
          <w:sz w:val="26"/>
          <w:szCs w:val="26"/>
        </w:rPr>
        <w:t>Se incluyen los regímenes preferidos. Para mayor información sobre otros regímenes aceptables y enfermedades no</w:t>
      </w:r>
      <w:r>
        <w:rPr>
          <w:rFonts w:ascii="Arial" w:eastAsia="Arial" w:hAnsi="Arial" w:cs="Arial"/>
          <w:color w:val="000000"/>
          <w:w w:val="70"/>
          <w:sz w:val="26"/>
          <w:szCs w:val="26"/>
        </w:rPr>
        <w:br/>
        <w:t>incluidas, véanse las recomendaciones respectivas en los resúmenes de enfermedades específicas, en la sección 3.</w:t>
      </w:r>
      <w:r>
        <w:rPr>
          <w:rFonts w:ascii="Arial" w:eastAsia="Arial" w:hAnsi="Arial" w:cs="Arial"/>
          <w:color w:val="000000"/>
          <w:w w:val="70"/>
          <w:sz w:val="26"/>
          <w:szCs w:val="26"/>
        </w:rPr>
        <w:br/>
        <w:t xml:space="preserve">Además, los </w:t>
      </w:r>
      <w:r>
        <w:rPr>
          <w:rFonts w:ascii="Arial" w:eastAsia="Arial" w:hAnsi="Arial" w:cs="Arial"/>
          <w:i/>
          <w:iCs/>
          <w:color w:val="000000"/>
          <w:w w:val="70"/>
          <w:sz w:val="24"/>
          <w:szCs w:val="24"/>
        </w:rPr>
        <w:t>Centers for Disease Control and Prevention</w:t>
      </w:r>
      <w:r>
        <w:rPr>
          <w:rFonts w:ascii="Arial" w:eastAsia="Arial" w:hAnsi="Arial" w:cs="Arial"/>
          <w:color w:val="000000"/>
          <w:w w:val="70"/>
          <w:sz w:val="26"/>
          <w:szCs w:val="26"/>
        </w:rPr>
        <w:t xml:space="preserve"> publicaron en 2002 las recomendaciones revisadas para el tratamiento</w:t>
      </w:r>
      <w:r>
        <w:rPr>
          <w:rFonts w:ascii="Arial" w:eastAsia="Arial" w:hAnsi="Arial" w:cs="Arial"/>
          <w:color w:val="000000"/>
          <w:w w:val="70"/>
          <w:sz w:val="26"/>
          <w:szCs w:val="26"/>
        </w:rPr>
        <w:br/>
        <w:t>de las enfermedades de transmisión sexual.</w:t>
      </w:r>
      <w:r>
        <w:rPr>
          <w:rFonts w:ascii="Arial" w:eastAsia="Arial" w:hAnsi="Arial" w:cs="Arial"/>
          <w:color w:val="000000"/>
          <w:w w:val="70"/>
          <w:sz w:val="26"/>
          <w:szCs w:val="26"/>
          <w:vertAlign w:val="superscript"/>
        </w:rPr>
        <w:t>1</w:t>
      </w:r>
    </w:p>
    <w:tbl>
      <w:tblPr>
        <w:tblOverlap w:val="never"/>
        <w:tblW w:w="0" w:type="auto"/>
        <w:tblLayout w:type="fixed"/>
        <w:tblCellMar>
          <w:left w:w="10" w:type="dxa"/>
          <w:right w:w="10" w:type="dxa"/>
        </w:tblCellMar>
        <w:tblLook w:val="04A0" w:firstRow="1" w:lastRow="0" w:firstColumn="1" w:lastColumn="0" w:noHBand="0" w:noVBand="1"/>
      </w:tblPr>
      <w:tblGrid>
        <w:gridCol w:w="2539"/>
        <w:gridCol w:w="2501"/>
        <w:gridCol w:w="2534"/>
        <w:gridCol w:w="3178"/>
      </w:tblGrid>
      <w:tr w:rsidR="00924992" w14:paraId="794BA69B" w14:textId="77777777">
        <w:tblPrEx>
          <w:tblCellMar>
            <w:top w:w="0" w:type="dxa"/>
            <w:bottom w:w="0" w:type="dxa"/>
          </w:tblCellMar>
        </w:tblPrEx>
        <w:trPr>
          <w:trHeight w:hRule="exact" w:val="562"/>
        </w:trPr>
        <w:tc>
          <w:tcPr>
            <w:tcW w:w="2539" w:type="dxa"/>
            <w:shd w:val="clear" w:color="auto" w:fill="000000"/>
          </w:tcPr>
          <w:p w14:paraId="3AE38C99" w14:textId="77777777" w:rsidR="00924992" w:rsidRDefault="00924992">
            <w:pPr>
              <w:pStyle w:val="Other0"/>
              <w:framePr w:w="10752" w:h="4776" w:vSpace="206" w:wrap="none" w:hAnchor="page" w:x="630" w:y="1662"/>
              <w:pBdr>
                <w:top w:val="single" w:sz="0" w:space="0" w:color="000000"/>
                <w:left w:val="single" w:sz="0" w:space="0" w:color="000000"/>
                <w:bottom w:val="single" w:sz="0" w:space="0" w:color="000000"/>
                <w:right w:val="single" w:sz="0" w:space="0" w:color="000000"/>
              </w:pBdr>
              <w:shd w:val="clear" w:color="auto" w:fill="000000"/>
              <w:spacing w:line="240" w:lineRule="auto"/>
              <w:ind w:firstLine="0"/>
              <w:rPr>
                <w:sz w:val="24"/>
                <w:szCs w:val="24"/>
              </w:rPr>
            </w:pPr>
            <w:r>
              <w:rPr>
                <w:rFonts w:ascii="Arial" w:eastAsia="Arial" w:hAnsi="Arial" w:cs="Arial"/>
                <w:b/>
                <w:bCs/>
                <w:color w:val="FFFFFF"/>
                <w:w w:val="70"/>
                <w:sz w:val="24"/>
                <w:szCs w:val="24"/>
              </w:rPr>
              <w:t>Síndrome</w:t>
            </w:r>
          </w:p>
        </w:tc>
        <w:tc>
          <w:tcPr>
            <w:tcW w:w="2501" w:type="dxa"/>
            <w:shd w:val="clear" w:color="auto" w:fill="000000"/>
          </w:tcPr>
          <w:p w14:paraId="46959B41" w14:textId="77777777" w:rsidR="00924992" w:rsidRDefault="00924992">
            <w:pPr>
              <w:pStyle w:val="Other0"/>
              <w:framePr w:w="10752" w:h="4776" w:vSpace="206" w:wrap="none" w:hAnchor="page" w:x="630" w:y="1662"/>
              <w:pBdr>
                <w:top w:val="single" w:sz="0" w:space="0" w:color="000000"/>
                <w:left w:val="single" w:sz="0" w:space="0" w:color="000000"/>
                <w:bottom w:val="single" w:sz="0" w:space="0" w:color="000000"/>
                <w:right w:val="single" w:sz="0" w:space="0" w:color="000000"/>
              </w:pBdr>
              <w:shd w:val="clear" w:color="auto" w:fill="000000"/>
              <w:spacing w:line="209" w:lineRule="auto"/>
              <w:ind w:firstLine="0"/>
              <w:rPr>
                <w:sz w:val="24"/>
                <w:szCs w:val="24"/>
              </w:rPr>
            </w:pPr>
            <w:r>
              <w:rPr>
                <w:rFonts w:ascii="Arial" w:eastAsia="Arial" w:hAnsi="Arial" w:cs="Arial"/>
                <w:b/>
                <w:bCs/>
                <w:color w:val="FFFFFF"/>
                <w:w w:val="70"/>
                <w:sz w:val="24"/>
                <w:szCs w:val="24"/>
              </w:rPr>
              <w:t>Microorganismos/ entidades patológicas</w:t>
            </w:r>
          </w:p>
        </w:tc>
        <w:tc>
          <w:tcPr>
            <w:tcW w:w="2534" w:type="dxa"/>
            <w:shd w:val="clear" w:color="auto" w:fill="000000"/>
          </w:tcPr>
          <w:p w14:paraId="7471E600" w14:textId="77777777" w:rsidR="00924992" w:rsidRDefault="00924992">
            <w:pPr>
              <w:pStyle w:val="Other0"/>
              <w:framePr w:w="10752" w:h="4776" w:vSpace="206" w:wrap="none" w:hAnchor="page" w:x="630" w:y="1662"/>
              <w:pBdr>
                <w:top w:val="single" w:sz="0" w:space="0" w:color="000000"/>
                <w:left w:val="single" w:sz="0" w:space="0" w:color="000000"/>
                <w:bottom w:val="single" w:sz="0" w:space="0" w:color="000000"/>
                <w:right w:val="single" w:sz="0" w:space="0" w:color="000000"/>
              </w:pBdr>
              <w:shd w:val="clear" w:color="auto" w:fill="000000"/>
              <w:spacing w:line="209" w:lineRule="auto"/>
              <w:ind w:firstLine="0"/>
              <w:rPr>
                <w:sz w:val="24"/>
                <w:szCs w:val="24"/>
              </w:rPr>
            </w:pPr>
            <w:r>
              <w:rPr>
                <w:rFonts w:ascii="Arial" w:eastAsia="Arial" w:hAnsi="Arial" w:cs="Arial"/>
                <w:b/>
                <w:bCs/>
                <w:color w:val="FFFFFF"/>
                <w:w w:val="70"/>
                <w:sz w:val="24"/>
                <w:szCs w:val="24"/>
              </w:rPr>
              <w:t>Tratamiento de adolescentes</w:t>
            </w:r>
          </w:p>
        </w:tc>
        <w:tc>
          <w:tcPr>
            <w:tcW w:w="3178" w:type="dxa"/>
            <w:shd w:val="clear" w:color="auto" w:fill="000000"/>
          </w:tcPr>
          <w:p w14:paraId="50918296" w14:textId="77777777" w:rsidR="00924992" w:rsidRDefault="00924992">
            <w:pPr>
              <w:pStyle w:val="Other0"/>
              <w:framePr w:w="10752" w:h="4776" w:vSpace="206" w:wrap="none" w:hAnchor="page" w:x="630" w:y="1662"/>
              <w:pBdr>
                <w:top w:val="single" w:sz="0" w:space="0" w:color="000000"/>
                <w:left w:val="single" w:sz="0" w:space="0" w:color="000000"/>
                <w:bottom w:val="single" w:sz="0" w:space="0" w:color="000000"/>
                <w:right w:val="single" w:sz="0" w:space="0" w:color="000000"/>
              </w:pBdr>
              <w:shd w:val="clear" w:color="auto" w:fill="000000"/>
              <w:spacing w:line="209" w:lineRule="auto"/>
              <w:ind w:firstLine="0"/>
              <w:rPr>
                <w:sz w:val="24"/>
                <w:szCs w:val="24"/>
              </w:rPr>
            </w:pPr>
            <w:r>
              <w:rPr>
                <w:rFonts w:ascii="Arial" w:eastAsia="Arial" w:hAnsi="Arial" w:cs="Arial"/>
                <w:b/>
                <w:bCs/>
                <w:color w:val="FFFFFF"/>
                <w:w w:val="70"/>
                <w:sz w:val="24"/>
                <w:szCs w:val="24"/>
              </w:rPr>
              <w:t>Tratamiento del lactante/niño</w:t>
            </w:r>
          </w:p>
        </w:tc>
      </w:tr>
      <w:tr w:rsidR="00924992" w14:paraId="691BE2CF" w14:textId="77777777">
        <w:tblPrEx>
          <w:tblCellMar>
            <w:top w:w="0" w:type="dxa"/>
            <w:bottom w:w="0" w:type="dxa"/>
          </w:tblCellMar>
        </w:tblPrEx>
        <w:trPr>
          <w:trHeight w:hRule="exact" w:val="4214"/>
        </w:trPr>
        <w:tc>
          <w:tcPr>
            <w:tcW w:w="2539" w:type="dxa"/>
            <w:shd w:val="clear" w:color="auto" w:fill="FFFFFF"/>
          </w:tcPr>
          <w:p w14:paraId="66437AA6" w14:textId="77777777" w:rsidR="00924992" w:rsidRDefault="00924992">
            <w:pPr>
              <w:pStyle w:val="Other0"/>
              <w:framePr w:w="10752" w:h="4776" w:vSpace="206" w:wrap="none" w:hAnchor="page" w:x="630" w:y="1662"/>
              <w:spacing w:line="286" w:lineRule="auto"/>
              <w:ind w:firstLine="0"/>
              <w:rPr>
                <w:sz w:val="16"/>
                <w:szCs w:val="16"/>
              </w:rPr>
            </w:pPr>
            <w:r>
              <w:rPr>
                <w:rFonts w:ascii="Times New Roman" w:eastAsia="Times New Roman" w:hAnsi="Times New Roman" w:cs="Times New Roman"/>
                <w:b/>
                <w:bCs/>
                <w:color w:val="000000"/>
                <w:sz w:val="16"/>
                <w:szCs w:val="16"/>
              </w:rPr>
              <w:t>Uretritis y cervicitis</w:t>
            </w:r>
          </w:p>
          <w:p w14:paraId="45C51356" w14:textId="77777777" w:rsidR="00924992" w:rsidRDefault="00924992">
            <w:pPr>
              <w:pStyle w:val="Other0"/>
              <w:framePr w:w="10752" w:h="4776" w:vSpace="206" w:wrap="none" w:hAnchor="page" w:x="630" w:y="1662"/>
              <w:spacing w:line="286" w:lineRule="auto"/>
              <w:ind w:firstLine="0"/>
              <w:rPr>
                <w:sz w:val="16"/>
                <w:szCs w:val="16"/>
              </w:rPr>
            </w:pPr>
            <w:r>
              <w:rPr>
                <w:rFonts w:ascii="Times New Roman" w:eastAsia="Times New Roman" w:hAnsi="Times New Roman" w:cs="Times New Roman"/>
                <w:color w:val="000000"/>
                <w:sz w:val="16"/>
                <w:szCs w:val="16"/>
              </w:rPr>
              <w:t>Uretritis: inflamación de la uretra con expulsión de exudado mucoide, mucopurulento o purulento Cervicitis: inflamación del cuello uterino con exudado mucopurulento o purulento de dicha estructura. La cervicitis rara vez aparece en niñas prepúberes (véase en este cuadro “Vaginitis prepúber”)</w:t>
            </w:r>
          </w:p>
        </w:tc>
        <w:tc>
          <w:tcPr>
            <w:tcW w:w="2501" w:type="dxa"/>
            <w:shd w:val="clear" w:color="auto" w:fill="FFFFFF"/>
          </w:tcPr>
          <w:p w14:paraId="3483ACB3" w14:textId="77777777" w:rsidR="00924992" w:rsidRDefault="00924992">
            <w:pPr>
              <w:pStyle w:val="Other0"/>
              <w:framePr w:w="10752" w:h="4776" w:vSpace="206" w:wrap="none" w:hAnchor="page" w:x="630" w:y="1662"/>
              <w:spacing w:line="286" w:lineRule="auto"/>
              <w:ind w:left="160" w:hanging="160"/>
              <w:rPr>
                <w:sz w:val="16"/>
                <w:szCs w:val="16"/>
              </w:rPr>
            </w:pPr>
            <w:r>
              <w:rPr>
                <w:rFonts w:ascii="Times New Roman" w:eastAsia="Times New Roman" w:hAnsi="Times New Roman" w:cs="Times New Roman"/>
                <w:i/>
                <w:iCs/>
                <w:color w:val="000000"/>
                <w:sz w:val="16"/>
                <w:szCs w:val="16"/>
              </w:rPr>
              <w:t>Neisseria gonorrhoeae, Chlamydia trachomatis</w:t>
            </w:r>
          </w:p>
          <w:p w14:paraId="3A851C6E" w14:textId="77777777" w:rsidR="00924992" w:rsidRDefault="00924992">
            <w:pPr>
              <w:pStyle w:val="Other0"/>
              <w:framePr w:w="10752" w:h="4776" w:vSpace="206" w:wrap="none" w:hAnchor="page" w:x="630" w:y="1662"/>
              <w:spacing w:line="286" w:lineRule="auto"/>
              <w:ind w:left="160" w:hanging="160"/>
              <w:rPr>
                <w:sz w:val="16"/>
                <w:szCs w:val="16"/>
              </w:rPr>
            </w:pPr>
            <w:r>
              <w:rPr>
                <w:rFonts w:ascii="Times New Roman" w:eastAsia="Times New Roman" w:hAnsi="Times New Roman" w:cs="Times New Roman"/>
                <w:color w:val="000000"/>
                <w:sz w:val="16"/>
                <w:szCs w:val="16"/>
              </w:rPr>
              <w:t xml:space="preserve">Otros patógenos que causan uretritis y cervicitis comprenden </w:t>
            </w:r>
            <w:r>
              <w:rPr>
                <w:rFonts w:ascii="Times New Roman" w:eastAsia="Times New Roman" w:hAnsi="Times New Roman" w:cs="Times New Roman"/>
                <w:i/>
                <w:iCs/>
                <w:color w:val="000000"/>
                <w:sz w:val="16"/>
                <w:szCs w:val="16"/>
              </w:rPr>
              <w:t>Ureaplasma urealyticum</w:t>
            </w:r>
            <w:r>
              <w:rPr>
                <w:rFonts w:ascii="Times New Roman" w:eastAsia="Times New Roman" w:hAnsi="Times New Roman" w:cs="Times New Roman"/>
                <w:i/>
                <w:iCs/>
                <w:color w:val="000000"/>
                <w:sz w:val="15"/>
                <w:szCs w:val="15"/>
              </w:rPr>
              <w:t>,</w:t>
            </w:r>
            <w:r>
              <w:rPr>
                <w:rFonts w:ascii="Times New Roman" w:eastAsia="Times New Roman" w:hAnsi="Times New Roman" w:cs="Times New Roman"/>
                <w:color w:val="000000"/>
                <w:sz w:val="16"/>
                <w:szCs w:val="16"/>
              </w:rPr>
              <w:t xml:space="preserve"> tal vez </w:t>
            </w:r>
            <w:r>
              <w:rPr>
                <w:rFonts w:ascii="Times New Roman" w:eastAsia="Times New Roman" w:hAnsi="Times New Roman" w:cs="Times New Roman"/>
                <w:i/>
                <w:iCs/>
                <w:color w:val="000000"/>
                <w:sz w:val="16"/>
                <w:szCs w:val="16"/>
              </w:rPr>
              <w:t>Mycoplasma genitalium</w:t>
            </w:r>
            <w:r>
              <w:rPr>
                <w:rFonts w:ascii="Times New Roman" w:eastAsia="Times New Roman" w:hAnsi="Times New Roman" w:cs="Times New Roman"/>
                <w:color w:val="000000"/>
                <w:sz w:val="16"/>
                <w:szCs w:val="16"/>
              </w:rPr>
              <w:t xml:space="preserve"> y a veces </w:t>
            </w:r>
            <w:r>
              <w:rPr>
                <w:rFonts w:ascii="Times New Roman" w:eastAsia="Times New Roman" w:hAnsi="Times New Roman" w:cs="Times New Roman"/>
                <w:i/>
                <w:iCs/>
                <w:color w:val="000000"/>
                <w:sz w:val="16"/>
                <w:szCs w:val="16"/>
              </w:rPr>
              <w:t>Trichomonas vaginalis</w:t>
            </w:r>
            <w:r>
              <w:rPr>
                <w:rFonts w:ascii="Times New Roman" w:eastAsia="Times New Roman" w:hAnsi="Times New Roman" w:cs="Times New Roman"/>
                <w:color w:val="000000"/>
                <w:sz w:val="16"/>
                <w:szCs w:val="16"/>
              </w:rPr>
              <w:t xml:space="preserve"> y virus de herpes simple (HSV)</w:t>
            </w:r>
          </w:p>
        </w:tc>
        <w:tc>
          <w:tcPr>
            <w:tcW w:w="2534" w:type="dxa"/>
            <w:shd w:val="clear" w:color="auto" w:fill="FFFFFF"/>
            <w:vAlign w:val="bottom"/>
          </w:tcPr>
          <w:p w14:paraId="1FA073CA" w14:textId="77777777" w:rsidR="00924992" w:rsidRDefault="00924992">
            <w:pPr>
              <w:pStyle w:val="Other0"/>
              <w:framePr w:w="10752" w:h="4776" w:vSpace="206" w:wrap="none" w:hAnchor="page" w:x="630" w:y="1662"/>
              <w:spacing w:line="286" w:lineRule="auto"/>
              <w:ind w:left="200" w:hanging="200"/>
              <w:rPr>
                <w:sz w:val="16"/>
                <w:szCs w:val="16"/>
              </w:rPr>
            </w:pPr>
            <w:r>
              <w:rPr>
                <w:rFonts w:ascii="Times New Roman" w:eastAsia="Times New Roman" w:hAnsi="Times New Roman" w:cs="Times New Roman"/>
                <w:color w:val="000000"/>
                <w:sz w:val="16"/>
                <w:szCs w:val="16"/>
              </w:rPr>
              <w:t>Ceftriaxona, 125 mg IM en una sola dosis</w:t>
            </w:r>
          </w:p>
          <w:p w14:paraId="6986DF54" w14:textId="77777777" w:rsidR="00924992" w:rsidRDefault="00924992">
            <w:pPr>
              <w:pStyle w:val="Other0"/>
              <w:framePr w:w="10752" w:h="4776" w:vSpace="206" w:wrap="none" w:hAnchor="page" w:x="630" w:y="1662"/>
              <w:spacing w:line="286" w:lineRule="auto"/>
              <w:ind w:firstLine="0"/>
              <w:rPr>
                <w:sz w:val="16"/>
                <w:szCs w:val="16"/>
              </w:rPr>
            </w:pPr>
            <w:r>
              <w:rPr>
                <w:rFonts w:ascii="Times New Roman" w:eastAsia="Times New Roman" w:hAnsi="Times New Roman" w:cs="Times New Roman"/>
                <w:b/>
                <w:bCs/>
                <w:color w:val="000000"/>
                <w:sz w:val="16"/>
                <w:szCs w:val="16"/>
              </w:rPr>
              <w:t>O</w:t>
            </w:r>
          </w:p>
          <w:p w14:paraId="76327646" w14:textId="77777777" w:rsidR="00924992" w:rsidRDefault="00924992">
            <w:pPr>
              <w:pStyle w:val="Other0"/>
              <w:framePr w:w="10752" w:h="4776" w:vSpace="206" w:wrap="none" w:hAnchor="page" w:x="630" w:y="1662"/>
              <w:spacing w:line="286" w:lineRule="auto"/>
              <w:ind w:left="200" w:hanging="200"/>
              <w:rPr>
                <w:sz w:val="16"/>
                <w:szCs w:val="16"/>
              </w:rPr>
            </w:pPr>
            <w:r>
              <w:rPr>
                <w:rFonts w:ascii="Times New Roman" w:eastAsia="Times New Roman" w:hAnsi="Times New Roman" w:cs="Times New Roman"/>
                <w:color w:val="000000"/>
                <w:sz w:val="16"/>
                <w:szCs w:val="16"/>
              </w:rPr>
              <w:t>Ciprofloxacina, 500 mg ingeridos en una sola dosis</w:t>
            </w:r>
            <w:r>
              <w:rPr>
                <w:rFonts w:ascii="Times New Roman" w:eastAsia="Times New Roman" w:hAnsi="Times New Roman" w:cs="Times New Roman"/>
                <w:color w:val="000000"/>
                <w:sz w:val="16"/>
                <w:szCs w:val="16"/>
                <w:vertAlign w:val="superscript"/>
              </w:rPr>
              <w:t>2,3</w:t>
            </w:r>
          </w:p>
          <w:p w14:paraId="08F056B1" w14:textId="77777777" w:rsidR="00924992" w:rsidRDefault="00924992">
            <w:pPr>
              <w:pStyle w:val="Other0"/>
              <w:framePr w:w="10752" w:h="4776" w:vSpace="206" w:wrap="none" w:hAnchor="page" w:x="630" w:y="1662"/>
              <w:spacing w:line="286" w:lineRule="auto"/>
              <w:ind w:firstLine="0"/>
              <w:rPr>
                <w:sz w:val="16"/>
                <w:szCs w:val="16"/>
              </w:rPr>
            </w:pPr>
            <w:r>
              <w:rPr>
                <w:rFonts w:ascii="Times New Roman" w:eastAsia="Times New Roman" w:hAnsi="Times New Roman" w:cs="Times New Roman"/>
                <w:b/>
                <w:bCs/>
                <w:color w:val="000000"/>
                <w:sz w:val="16"/>
                <w:szCs w:val="16"/>
              </w:rPr>
              <w:t>O</w:t>
            </w:r>
          </w:p>
          <w:p w14:paraId="073A7023" w14:textId="77777777" w:rsidR="00924992" w:rsidRDefault="00924992">
            <w:pPr>
              <w:pStyle w:val="Other0"/>
              <w:framePr w:w="10752" w:h="4776" w:vSpace="206" w:wrap="none" w:hAnchor="page" w:x="630" w:y="1662"/>
              <w:spacing w:line="286" w:lineRule="auto"/>
              <w:ind w:left="200" w:hanging="200"/>
              <w:rPr>
                <w:sz w:val="16"/>
                <w:szCs w:val="16"/>
              </w:rPr>
            </w:pPr>
            <w:r>
              <w:rPr>
                <w:rFonts w:ascii="Times New Roman" w:eastAsia="Times New Roman" w:hAnsi="Times New Roman" w:cs="Times New Roman"/>
                <w:color w:val="000000"/>
                <w:sz w:val="16"/>
                <w:szCs w:val="16"/>
              </w:rPr>
              <w:t>Ofloxacina, 400 mg ingeridos en una sola dosis</w:t>
            </w:r>
            <w:r>
              <w:rPr>
                <w:rFonts w:ascii="Times New Roman" w:eastAsia="Times New Roman" w:hAnsi="Times New Roman" w:cs="Times New Roman"/>
                <w:color w:val="000000"/>
                <w:sz w:val="16"/>
                <w:szCs w:val="16"/>
                <w:vertAlign w:val="superscript"/>
              </w:rPr>
              <w:t>2,3</w:t>
            </w:r>
          </w:p>
          <w:p w14:paraId="67ECAC27" w14:textId="77777777" w:rsidR="00924992" w:rsidRDefault="00924992">
            <w:pPr>
              <w:pStyle w:val="Other0"/>
              <w:framePr w:w="10752" w:h="4776" w:vSpace="206" w:wrap="none" w:hAnchor="page" w:x="630" w:y="1662"/>
              <w:spacing w:line="286" w:lineRule="auto"/>
              <w:ind w:firstLine="0"/>
              <w:rPr>
                <w:sz w:val="16"/>
                <w:szCs w:val="16"/>
              </w:rPr>
            </w:pPr>
            <w:r>
              <w:rPr>
                <w:rFonts w:ascii="Times New Roman" w:eastAsia="Times New Roman" w:hAnsi="Times New Roman" w:cs="Times New Roman"/>
                <w:b/>
                <w:bCs/>
                <w:color w:val="000000"/>
                <w:sz w:val="16"/>
                <w:szCs w:val="16"/>
              </w:rPr>
              <w:t>O</w:t>
            </w:r>
          </w:p>
          <w:p w14:paraId="7D955245" w14:textId="77777777" w:rsidR="00924992" w:rsidRDefault="00924992">
            <w:pPr>
              <w:pStyle w:val="Other0"/>
              <w:framePr w:w="10752" w:h="4776" w:vSpace="206" w:wrap="none" w:hAnchor="page" w:x="630" w:y="1662"/>
              <w:spacing w:line="286" w:lineRule="auto"/>
              <w:ind w:left="200" w:hanging="200"/>
              <w:rPr>
                <w:sz w:val="16"/>
                <w:szCs w:val="16"/>
              </w:rPr>
            </w:pPr>
            <w:r>
              <w:rPr>
                <w:rFonts w:ascii="Times New Roman" w:eastAsia="Times New Roman" w:hAnsi="Times New Roman" w:cs="Times New Roman"/>
                <w:color w:val="000000"/>
                <w:sz w:val="16"/>
                <w:szCs w:val="16"/>
              </w:rPr>
              <w:t>Levofloxacina, 250 mg ingeridos en una sola dosis</w:t>
            </w:r>
            <w:r>
              <w:rPr>
                <w:rFonts w:ascii="Times New Roman" w:eastAsia="Times New Roman" w:hAnsi="Times New Roman" w:cs="Times New Roman"/>
                <w:color w:val="000000"/>
                <w:sz w:val="16"/>
                <w:szCs w:val="16"/>
                <w:vertAlign w:val="superscript"/>
              </w:rPr>
              <w:t>2,3</w:t>
            </w:r>
          </w:p>
          <w:p w14:paraId="648215CE" w14:textId="77777777" w:rsidR="00924992" w:rsidRDefault="00924992">
            <w:pPr>
              <w:pStyle w:val="Other0"/>
              <w:framePr w:w="10752" w:h="4776" w:vSpace="206" w:wrap="none" w:hAnchor="page" w:x="630" w:y="1662"/>
              <w:spacing w:line="286" w:lineRule="auto"/>
              <w:ind w:left="200" w:hanging="200"/>
              <w:rPr>
                <w:sz w:val="16"/>
                <w:szCs w:val="16"/>
              </w:rPr>
            </w:pPr>
            <w:r>
              <w:rPr>
                <w:rFonts w:ascii="Times New Roman" w:eastAsia="Times New Roman" w:hAnsi="Times New Roman" w:cs="Times New Roman"/>
                <w:b/>
                <w:bCs/>
                <w:color w:val="000000"/>
                <w:sz w:val="16"/>
                <w:szCs w:val="16"/>
              </w:rPr>
              <w:t>Si no se descarta infección por clamidias,</w:t>
            </w:r>
          </w:p>
          <w:p w14:paraId="6D8B59AC" w14:textId="77777777" w:rsidR="00924992" w:rsidRDefault="00924992">
            <w:pPr>
              <w:pStyle w:val="Other0"/>
              <w:framePr w:w="10752" w:h="4776" w:vSpace="206" w:wrap="none" w:hAnchor="page" w:x="630" w:y="1662"/>
              <w:spacing w:line="286" w:lineRule="auto"/>
              <w:ind w:firstLine="0"/>
              <w:rPr>
                <w:sz w:val="16"/>
                <w:szCs w:val="16"/>
              </w:rPr>
            </w:pPr>
            <w:r>
              <w:rPr>
                <w:rFonts w:ascii="Times New Roman" w:eastAsia="Times New Roman" w:hAnsi="Times New Roman" w:cs="Times New Roman"/>
                <w:b/>
                <w:bCs/>
                <w:color w:val="000000"/>
                <w:sz w:val="16"/>
                <w:szCs w:val="16"/>
              </w:rPr>
              <w:t>Y ADEMÁS</w:t>
            </w:r>
          </w:p>
          <w:p w14:paraId="15FC1386" w14:textId="77777777" w:rsidR="00924992" w:rsidRDefault="00924992">
            <w:pPr>
              <w:pStyle w:val="Other0"/>
              <w:framePr w:w="10752" w:h="4776" w:vSpace="206" w:wrap="none" w:hAnchor="page" w:x="630" w:y="1662"/>
              <w:spacing w:line="286" w:lineRule="auto"/>
              <w:ind w:left="200" w:hanging="200"/>
              <w:rPr>
                <w:sz w:val="16"/>
                <w:szCs w:val="16"/>
              </w:rPr>
            </w:pPr>
            <w:r>
              <w:rPr>
                <w:rFonts w:ascii="Times New Roman" w:eastAsia="Times New Roman" w:hAnsi="Times New Roman" w:cs="Times New Roman"/>
                <w:color w:val="000000"/>
                <w:sz w:val="16"/>
                <w:szCs w:val="16"/>
              </w:rPr>
              <w:t>Azitromicina 1 g ingerido en una sola dosis</w:t>
            </w:r>
          </w:p>
          <w:p w14:paraId="0285AEDC" w14:textId="77777777" w:rsidR="00924992" w:rsidRDefault="00924992">
            <w:pPr>
              <w:pStyle w:val="Other0"/>
              <w:framePr w:w="10752" w:h="4776" w:vSpace="206" w:wrap="none" w:hAnchor="page" w:x="630" w:y="1662"/>
              <w:spacing w:line="286" w:lineRule="auto"/>
              <w:ind w:firstLine="0"/>
              <w:rPr>
                <w:sz w:val="16"/>
                <w:szCs w:val="16"/>
              </w:rPr>
            </w:pPr>
            <w:r>
              <w:rPr>
                <w:rFonts w:ascii="Times New Roman" w:eastAsia="Times New Roman" w:hAnsi="Times New Roman" w:cs="Times New Roman"/>
                <w:b/>
                <w:bCs/>
                <w:color w:val="000000"/>
                <w:sz w:val="16"/>
                <w:szCs w:val="16"/>
              </w:rPr>
              <w:t>O</w:t>
            </w:r>
          </w:p>
          <w:p w14:paraId="5D91E3B8" w14:textId="77777777" w:rsidR="00924992" w:rsidRDefault="00924992">
            <w:pPr>
              <w:pStyle w:val="Other0"/>
              <w:framePr w:w="10752" w:h="4776" w:vSpace="206" w:wrap="none" w:hAnchor="page" w:x="630" w:y="1662"/>
              <w:spacing w:line="286" w:lineRule="auto"/>
              <w:ind w:left="200" w:hanging="200"/>
              <w:rPr>
                <w:sz w:val="16"/>
                <w:szCs w:val="16"/>
              </w:rPr>
            </w:pPr>
            <w:r>
              <w:rPr>
                <w:rFonts w:ascii="Times New Roman" w:eastAsia="Times New Roman" w:hAnsi="Times New Roman" w:cs="Times New Roman"/>
                <w:color w:val="000000"/>
                <w:sz w:val="16"/>
                <w:szCs w:val="16"/>
              </w:rPr>
              <w:t>Doxiciclina, 100 mg ingerido dos veces al día durante 7 días</w:t>
            </w:r>
          </w:p>
        </w:tc>
        <w:tc>
          <w:tcPr>
            <w:tcW w:w="3178" w:type="dxa"/>
            <w:shd w:val="clear" w:color="auto" w:fill="FFFFFF"/>
            <w:vAlign w:val="bottom"/>
          </w:tcPr>
          <w:p w14:paraId="40D9F3B8" w14:textId="77777777" w:rsidR="00924992" w:rsidRDefault="00924992">
            <w:pPr>
              <w:pStyle w:val="Other0"/>
              <w:framePr w:w="10752" w:h="4776" w:vSpace="206" w:wrap="none" w:hAnchor="page" w:x="630" w:y="1662"/>
              <w:ind w:firstLine="0"/>
              <w:rPr>
                <w:sz w:val="17"/>
                <w:szCs w:val="17"/>
              </w:rPr>
            </w:pPr>
            <w:r>
              <w:rPr>
                <w:rFonts w:ascii="Times New Roman" w:eastAsia="Times New Roman" w:hAnsi="Times New Roman" w:cs="Times New Roman"/>
                <w:b/>
                <w:bCs/>
                <w:i/>
                <w:iCs/>
                <w:color w:val="000000"/>
                <w:sz w:val="17"/>
                <w:szCs w:val="17"/>
              </w:rPr>
              <w:t>Niños con menos de 45 kg de peso:</w:t>
            </w:r>
          </w:p>
          <w:p w14:paraId="0467BD94" w14:textId="77777777" w:rsidR="00924992" w:rsidRDefault="00924992">
            <w:pPr>
              <w:pStyle w:val="Other0"/>
              <w:framePr w:w="10752" w:h="4776" w:vSpace="206" w:wrap="none" w:hAnchor="page" w:x="630" w:y="1662"/>
              <w:spacing w:line="286" w:lineRule="auto"/>
              <w:ind w:firstLine="0"/>
              <w:rPr>
                <w:sz w:val="16"/>
                <w:szCs w:val="16"/>
              </w:rPr>
            </w:pPr>
            <w:r>
              <w:rPr>
                <w:rFonts w:ascii="Times New Roman" w:eastAsia="Times New Roman" w:hAnsi="Times New Roman" w:cs="Times New Roman"/>
                <w:color w:val="000000"/>
                <w:sz w:val="16"/>
                <w:szCs w:val="16"/>
              </w:rPr>
              <w:t xml:space="preserve">Ceftriaxona, 125 mg IM en una sola dosis </w:t>
            </w:r>
            <w:r>
              <w:rPr>
                <w:rFonts w:ascii="Times New Roman" w:eastAsia="Times New Roman" w:hAnsi="Times New Roman" w:cs="Times New Roman"/>
                <w:b/>
                <w:bCs/>
                <w:color w:val="000000"/>
                <w:sz w:val="16"/>
                <w:szCs w:val="16"/>
              </w:rPr>
              <w:t>O</w:t>
            </w:r>
          </w:p>
          <w:p w14:paraId="1AE0812D" w14:textId="77777777" w:rsidR="00924992" w:rsidRDefault="00924992">
            <w:pPr>
              <w:pStyle w:val="Other0"/>
              <w:framePr w:w="10752" w:h="4776" w:vSpace="206" w:wrap="none" w:hAnchor="page" w:x="630" w:y="1662"/>
              <w:spacing w:line="286" w:lineRule="auto"/>
              <w:ind w:left="200" w:hanging="200"/>
              <w:rPr>
                <w:sz w:val="16"/>
                <w:szCs w:val="16"/>
              </w:rPr>
            </w:pPr>
            <w:r>
              <w:rPr>
                <w:rFonts w:ascii="Times New Roman" w:eastAsia="Times New Roman" w:hAnsi="Times New Roman" w:cs="Times New Roman"/>
                <w:color w:val="000000"/>
                <w:sz w:val="16"/>
                <w:szCs w:val="16"/>
              </w:rPr>
              <w:t>Espectinomicina, 40 mg/kg (dosis máxima, 2 g) IM en una sola dosis</w:t>
            </w:r>
          </w:p>
          <w:p w14:paraId="31C86DD8" w14:textId="77777777" w:rsidR="00924992" w:rsidRDefault="00924992">
            <w:pPr>
              <w:pStyle w:val="Other0"/>
              <w:framePr w:w="10752" w:h="4776" w:vSpace="206" w:wrap="none" w:hAnchor="page" w:x="630" w:y="1662"/>
              <w:spacing w:line="286" w:lineRule="auto"/>
              <w:ind w:left="200" w:hanging="200"/>
              <w:rPr>
                <w:sz w:val="16"/>
                <w:szCs w:val="16"/>
              </w:rPr>
            </w:pPr>
            <w:r>
              <w:rPr>
                <w:rFonts w:ascii="Times New Roman" w:eastAsia="Times New Roman" w:hAnsi="Times New Roman" w:cs="Times New Roman"/>
                <w:b/>
                <w:bCs/>
                <w:color w:val="000000"/>
                <w:sz w:val="16"/>
                <w:szCs w:val="16"/>
              </w:rPr>
              <w:t>Si no se puede descartar la infección por clamidias</w:t>
            </w:r>
          </w:p>
          <w:p w14:paraId="712AD0C8" w14:textId="77777777" w:rsidR="00924992" w:rsidRDefault="00924992">
            <w:pPr>
              <w:pStyle w:val="Other0"/>
              <w:framePr w:w="10752" w:h="4776" w:vSpace="206" w:wrap="none" w:hAnchor="page" w:x="630" w:y="1662"/>
              <w:spacing w:line="286" w:lineRule="auto"/>
              <w:ind w:firstLine="0"/>
              <w:rPr>
                <w:sz w:val="16"/>
                <w:szCs w:val="16"/>
              </w:rPr>
            </w:pPr>
            <w:r>
              <w:rPr>
                <w:rFonts w:ascii="Times New Roman" w:eastAsia="Times New Roman" w:hAnsi="Times New Roman" w:cs="Times New Roman"/>
                <w:b/>
                <w:bCs/>
                <w:color w:val="000000"/>
                <w:sz w:val="16"/>
                <w:szCs w:val="16"/>
              </w:rPr>
              <w:t>Y ADEMÁS</w:t>
            </w:r>
          </w:p>
          <w:p w14:paraId="12987648" w14:textId="77777777" w:rsidR="00924992" w:rsidRDefault="00924992">
            <w:pPr>
              <w:pStyle w:val="Other0"/>
              <w:framePr w:w="10752" w:h="4776" w:vSpace="206" w:wrap="none" w:hAnchor="page" w:x="630" w:y="1662"/>
              <w:spacing w:line="286" w:lineRule="auto"/>
              <w:ind w:left="200" w:hanging="200"/>
              <w:rPr>
                <w:sz w:val="16"/>
                <w:szCs w:val="16"/>
              </w:rPr>
            </w:pPr>
            <w:r>
              <w:rPr>
                <w:rFonts w:ascii="Times New Roman" w:eastAsia="Times New Roman" w:hAnsi="Times New Roman" w:cs="Times New Roman"/>
                <w:color w:val="000000"/>
                <w:sz w:val="16"/>
                <w:szCs w:val="16"/>
              </w:rPr>
              <w:t>Eritromicina base o etilsuccinato, 50 mg/kg al día ingeridos en cuatro fracciones (dosis máxima, 2 g/día) durante 14 días</w:t>
            </w:r>
          </w:p>
          <w:p w14:paraId="7DFE51BD" w14:textId="77777777" w:rsidR="00924992" w:rsidRDefault="00924992">
            <w:pPr>
              <w:pStyle w:val="Other0"/>
              <w:framePr w:w="10752" w:h="4776" w:vSpace="206" w:wrap="none" w:hAnchor="page" w:x="630" w:y="1662"/>
              <w:ind w:left="200" w:hanging="200"/>
              <w:rPr>
                <w:sz w:val="17"/>
                <w:szCs w:val="17"/>
              </w:rPr>
            </w:pPr>
            <w:r>
              <w:rPr>
                <w:rFonts w:ascii="Times New Roman" w:eastAsia="Times New Roman" w:hAnsi="Times New Roman" w:cs="Times New Roman"/>
                <w:b/>
                <w:bCs/>
                <w:i/>
                <w:iCs/>
                <w:color w:val="000000"/>
                <w:sz w:val="17"/>
                <w:szCs w:val="17"/>
              </w:rPr>
              <w:t>Niños de 45 kg de peso o más, pero menores de 8 años:</w:t>
            </w:r>
          </w:p>
          <w:p w14:paraId="2092B899" w14:textId="77777777" w:rsidR="00924992" w:rsidRDefault="00924992">
            <w:pPr>
              <w:pStyle w:val="Other0"/>
              <w:framePr w:w="10752" w:h="4776" w:vSpace="206" w:wrap="none" w:hAnchor="page" w:x="630" w:y="1662"/>
              <w:spacing w:line="286" w:lineRule="auto"/>
              <w:ind w:left="200" w:hanging="200"/>
              <w:rPr>
                <w:sz w:val="16"/>
                <w:szCs w:val="16"/>
              </w:rPr>
            </w:pPr>
            <w:r>
              <w:rPr>
                <w:rFonts w:ascii="Times New Roman" w:eastAsia="Times New Roman" w:hAnsi="Times New Roman" w:cs="Times New Roman"/>
                <w:color w:val="000000"/>
                <w:sz w:val="16"/>
                <w:szCs w:val="16"/>
              </w:rPr>
              <w:t>Azitromicina, 1 g ingerido en una sola dosis</w:t>
            </w:r>
          </w:p>
          <w:p w14:paraId="37C07FA7" w14:textId="77777777" w:rsidR="00924992" w:rsidRDefault="00924992">
            <w:pPr>
              <w:pStyle w:val="Other0"/>
              <w:framePr w:w="10752" w:h="4776" w:vSpace="206" w:wrap="none" w:hAnchor="page" w:x="630" w:y="1662"/>
              <w:ind w:firstLine="0"/>
              <w:rPr>
                <w:sz w:val="17"/>
                <w:szCs w:val="17"/>
              </w:rPr>
            </w:pPr>
            <w:r>
              <w:rPr>
                <w:rFonts w:ascii="Times New Roman" w:eastAsia="Times New Roman" w:hAnsi="Times New Roman" w:cs="Times New Roman"/>
                <w:b/>
                <w:bCs/>
                <w:i/>
                <w:iCs/>
                <w:color w:val="000000"/>
                <w:sz w:val="17"/>
                <w:szCs w:val="17"/>
              </w:rPr>
              <w:t>Niños de 8 años o mayores:</w:t>
            </w:r>
          </w:p>
          <w:p w14:paraId="6EEDFABD" w14:textId="77777777" w:rsidR="00924992" w:rsidRDefault="00924992">
            <w:pPr>
              <w:pStyle w:val="Other0"/>
              <w:framePr w:w="10752" w:h="4776" w:vSpace="206" w:wrap="none" w:hAnchor="page" w:x="630" w:y="1662"/>
              <w:spacing w:line="286" w:lineRule="auto"/>
              <w:ind w:firstLine="0"/>
              <w:rPr>
                <w:sz w:val="16"/>
                <w:szCs w:val="16"/>
              </w:rPr>
            </w:pPr>
            <w:r>
              <w:rPr>
                <w:rFonts w:ascii="Times New Roman" w:eastAsia="Times New Roman" w:hAnsi="Times New Roman" w:cs="Times New Roman"/>
                <w:color w:val="000000"/>
                <w:sz w:val="16"/>
                <w:szCs w:val="16"/>
              </w:rPr>
              <w:t xml:space="preserve">Azitromicina, 1 g ingerido en una sola dosis </w:t>
            </w:r>
            <w:r>
              <w:rPr>
                <w:rFonts w:ascii="Times New Roman" w:eastAsia="Times New Roman" w:hAnsi="Times New Roman" w:cs="Times New Roman"/>
                <w:b/>
                <w:bCs/>
                <w:color w:val="000000"/>
                <w:sz w:val="16"/>
                <w:szCs w:val="16"/>
              </w:rPr>
              <w:t>O</w:t>
            </w:r>
          </w:p>
          <w:p w14:paraId="3AB91308" w14:textId="77777777" w:rsidR="00924992" w:rsidRDefault="00924992">
            <w:pPr>
              <w:pStyle w:val="Other0"/>
              <w:framePr w:w="10752" w:h="4776" w:vSpace="206" w:wrap="none" w:hAnchor="page" w:x="630" w:y="1662"/>
              <w:spacing w:line="286" w:lineRule="auto"/>
              <w:ind w:firstLine="0"/>
              <w:rPr>
                <w:sz w:val="16"/>
                <w:szCs w:val="16"/>
              </w:rPr>
            </w:pPr>
            <w:r>
              <w:rPr>
                <w:rFonts w:ascii="Times New Roman" w:eastAsia="Times New Roman" w:hAnsi="Times New Roman" w:cs="Times New Roman"/>
                <w:color w:val="000000"/>
                <w:sz w:val="16"/>
                <w:szCs w:val="16"/>
              </w:rPr>
              <w:t>Doxiciclina, 100 mg ingeridos dos veces</w:t>
            </w:r>
          </w:p>
        </w:tc>
      </w:tr>
    </w:tbl>
    <w:p w14:paraId="6DD91549" w14:textId="77777777" w:rsidR="00924992" w:rsidRDefault="00924992">
      <w:pPr>
        <w:framePr w:w="10752" w:h="4776" w:vSpace="206" w:wrap="none" w:hAnchor="page" w:x="630" w:y="1662"/>
        <w:spacing w:line="1" w:lineRule="exact"/>
      </w:pPr>
    </w:p>
    <w:p w14:paraId="3C12758D" w14:textId="77777777" w:rsidR="00924992" w:rsidRDefault="00924992">
      <w:pPr>
        <w:pStyle w:val="Tablecaption0"/>
        <w:framePr w:w="1469" w:h="226" w:wrap="none" w:hAnchor="page" w:x="8392" w:y="6419"/>
        <w:spacing w:line="240" w:lineRule="auto"/>
        <w:ind w:left="0"/>
        <w:jc w:val="center"/>
        <w:rPr>
          <w:sz w:val="16"/>
          <w:szCs w:val="16"/>
        </w:rPr>
      </w:pPr>
      <w:r>
        <w:rPr>
          <w:color w:val="000000"/>
          <w:sz w:val="16"/>
          <w:szCs w:val="16"/>
        </w:rPr>
        <w:t>al día durante 7 días</w:t>
      </w:r>
    </w:p>
    <w:p w14:paraId="2B346895" w14:textId="77777777" w:rsidR="00924992" w:rsidRDefault="00924992">
      <w:pPr>
        <w:pStyle w:val="Bodytext80"/>
        <w:framePr w:w="192" w:h="4963" w:hRule="exact" w:wrap="none" w:hAnchor="page" w:x="12390" w:y="30"/>
        <w:tabs>
          <w:tab w:val="left" w:pos="1915"/>
        </w:tabs>
        <w:textDirection w:val="tbRl"/>
      </w:pPr>
      <w:r>
        <w:rPr>
          <w:sz w:val="16"/>
          <w:szCs w:val="16"/>
        </w:rPr>
        <w:t>748</w:t>
      </w:r>
      <w:r>
        <w:rPr>
          <w:sz w:val="16"/>
          <w:szCs w:val="16"/>
        </w:rPr>
        <w:tab/>
      </w:r>
      <w:r>
        <w:t>ENFERMEDADES DE TRANSMISIÓN SEXUAL</w:t>
      </w:r>
    </w:p>
    <w:p w14:paraId="149CE51D" w14:textId="77777777" w:rsidR="00924992" w:rsidRDefault="00924992">
      <w:pPr>
        <w:spacing w:line="360" w:lineRule="exact"/>
      </w:pPr>
    </w:p>
    <w:p w14:paraId="620E39DD" w14:textId="77777777" w:rsidR="00924992" w:rsidRDefault="00924992">
      <w:pPr>
        <w:spacing w:line="360" w:lineRule="exact"/>
      </w:pPr>
    </w:p>
    <w:p w14:paraId="56CEB331" w14:textId="77777777" w:rsidR="00924992" w:rsidRDefault="00924992">
      <w:pPr>
        <w:spacing w:line="360" w:lineRule="exact"/>
      </w:pPr>
    </w:p>
    <w:p w14:paraId="52BD4BD2" w14:textId="77777777" w:rsidR="00924992" w:rsidRDefault="00924992">
      <w:pPr>
        <w:spacing w:line="360" w:lineRule="exact"/>
      </w:pPr>
    </w:p>
    <w:p w14:paraId="43129C25" w14:textId="77777777" w:rsidR="00924992" w:rsidRDefault="00924992">
      <w:pPr>
        <w:spacing w:line="360" w:lineRule="exact"/>
      </w:pPr>
    </w:p>
    <w:p w14:paraId="3BFCFDA6" w14:textId="77777777" w:rsidR="00924992" w:rsidRDefault="00924992">
      <w:pPr>
        <w:spacing w:line="360" w:lineRule="exact"/>
      </w:pPr>
    </w:p>
    <w:p w14:paraId="739BAAB5" w14:textId="77777777" w:rsidR="00924992" w:rsidRDefault="00924992">
      <w:pPr>
        <w:spacing w:line="360" w:lineRule="exact"/>
      </w:pPr>
    </w:p>
    <w:p w14:paraId="35F0E70D" w14:textId="77777777" w:rsidR="00924992" w:rsidRDefault="00924992">
      <w:pPr>
        <w:spacing w:line="360" w:lineRule="exact"/>
      </w:pPr>
    </w:p>
    <w:p w14:paraId="75DCBCF4" w14:textId="77777777" w:rsidR="00924992" w:rsidRDefault="00924992">
      <w:pPr>
        <w:spacing w:line="360" w:lineRule="exact"/>
      </w:pPr>
    </w:p>
    <w:p w14:paraId="3049D7AD" w14:textId="77777777" w:rsidR="00924992" w:rsidRDefault="00924992">
      <w:pPr>
        <w:spacing w:line="360" w:lineRule="exact"/>
      </w:pPr>
    </w:p>
    <w:p w14:paraId="1BE3C537" w14:textId="77777777" w:rsidR="00924992" w:rsidRDefault="00924992">
      <w:pPr>
        <w:spacing w:line="360" w:lineRule="exact"/>
      </w:pPr>
    </w:p>
    <w:p w14:paraId="0C119FC2" w14:textId="77777777" w:rsidR="00924992" w:rsidRDefault="00924992">
      <w:pPr>
        <w:spacing w:line="360" w:lineRule="exact"/>
      </w:pPr>
    </w:p>
    <w:p w14:paraId="1B2A819D" w14:textId="77777777" w:rsidR="00924992" w:rsidRDefault="00924992">
      <w:pPr>
        <w:spacing w:line="360" w:lineRule="exact"/>
      </w:pPr>
    </w:p>
    <w:p w14:paraId="48BB16FC" w14:textId="77777777" w:rsidR="00924992" w:rsidRDefault="00924992">
      <w:pPr>
        <w:spacing w:line="360" w:lineRule="exact"/>
      </w:pPr>
    </w:p>
    <w:p w14:paraId="4C6DAF2B" w14:textId="77777777" w:rsidR="00924992" w:rsidRDefault="00924992">
      <w:pPr>
        <w:spacing w:line="360" w:lineRule="exact"/>
      </w:pPr>
    </w:p>
    <w:p w14:paraId="26E5D47F" w14:textId="77777777" w:rsidR="00924992" w:rsidRDefault="00924992">
      <w:pPr>
        <w:spacing w:line="360" w:lineRule="exact"/>
      </w:pPr>
    </w:p>
    <w:p w14:paraId="5A15D7BD" w14:textId="77777777" w:rsidR="00924992" w:rsidRDefault="00924992">
      <w:pPr>
        <w:spacing w:line="360" w:lineRule="exact"/>
      </w:pPr>
    </w:p>
    <w:p w14:paraId="13025211" w14:textId="77777777" w:rsidR="00924992" w:rsidRDefault="00924992">
      <w:pPr>
        <w:spacing w:after="522" w:line="1" w:lineRule="exact"/>
      </w:pPr>
    </w:p>
    <w:p w14:paraId="5B1318F0" w14:textId="77777777" w:rsidR="00924992" w:rsidRDefault="00924992">
      <w:pPr>
        <w:spacing w:line="1" w:lineRule="exact"/>
        <w:sectPr w:rsidR="00924992" w:rsidSect="00924992">
          <w:headerReference w:type="even" r:id="rId260"/>
          <w:headerReference w:type="default" r:id="rId261"/>
          <w:footerReference w:type="even" r:id="rId262"/>
          <w:footerReference w:type="default" r:id="rId263"/>
          <w:pgSz w:w="13022" w:h="8501" w:orient="landscape"/>
          <w:pgMar w:top="475" w:right="442" w:bottom="1148" w:left="629" w:header="47" w:footer="3" w:gutter="0"/>
          <w:cols w:space="720"/>
          <w:noEndnote/>
          <w:docGrid w:linePitch="360"/>
          <w15:footnoteColumns w:val="1"/>
        </w:sectPr>
      </w:pPr>
    </w:p>
    <w:p w14:paraId="06B082F6" w14:textId="77777777" w:rsidR="00924992" w:rsidRDefault="00924992">
      <w:pPr>
        <w:spacing w:line="1" w:lineRule="exact"/>
      </w:pPr>
      <w:r>
        <w:rPr>
          <w:noProof/>
        </w:rPr>
        <mc:AlternateContent>
          <mc:Choice Requires="wps">
            <w:drawing>
              <wp:anchor distT="0" distB="0" distL="114300" distR="114300" simplePos="0" relativeHeight="251677696" behindDoc="0" locked="0" layoutInCell="1" allowOverlap="1" wp14:anchorId="5A642FFB" wp14:editId="5091A3DF">
                <wp:simplePos x="0" y="0"/>
                <wp:positionH relativeFrom="page">
                  <wp:posOffset>402590</wp:posOffset>
                </wp:positionH>
                <wp:positionV relativeFrom="paragraph">
                  <wp:posOffset>1063625</wp:posOffset>
                </wp:positionV>
                <wp:extent cx="6827520" cy="835025"/>
                <wp:effectExtent l="0" t="0" r="0" b="0"/>
                <wp:wrapTopAndBottom/>
                <wp:docPr id="2259" name="Shape 2259"/>
                <wp:cNvGraphicFramePr/>
                <a:graphic xmlns:a="http://schemas.openxmlformats.org/drawingml/2006/main">
                  <a:graphicData uri="http://schemas.microsoft.com/office/word/2010/wordprocessingShape">
                    <wps:wsp>
                      <wps:cNvSpPr txBox="1"/>
                      <wps:spPr>
                        <a:xfrm>
                          <a:off x="0" y="0"/>
                          <a:ext cx="6827520" cy="835025"/>
                        </a:xfrm>
                        <a:prstGeom prst="rect">
                          <a:avLst/>
                        </a:prstGeom>
                        <a:noFill/>
                      </wps:spPr>
                      <wps:txbx>
                        <w:txbxContent>
                          <w:tbl>
                            <w:tblPr>
                              <w:tblOverlap w:val="never"/>
                              <w:tblW w:w="0" w:type="auto"/>
                              <w:tblLayout w:type="fixed"/>
                              <w:tblCellMar>
                                <w:left w:w="10" w:type="dxa"/>
                                <w:right w:w="10" w:type="dxa"/>
                              </w:tblCellMar>
                              <w:tblLook w:val="04A0" w:firstRow="1" w:lastRow="0" w:firstColumn="1" w:lastColumn="0" w:noHBand="0" w:noVBand="1"/>
                            </w:tblPr>
                            <w:tblGrid>
                              <w:gridCol w:w="2448"/>
                              <w:gridCol w:w="2323"/>
                              <w:gridCol w:w="2251"/>
                              <w:gridCol w:w="3730"/>
                            </w:tblGrid>
                            <w:tr w:rsidR="00924992" w14:paraId="633B30C9" w14:textId="77777777">
                              <w:tblPrEx>
                                <w:tblCellMar>
                                  <w:top w:w="0" w:type="dxa"/>
                                  <w:bottom w:w="0" w:type="dxa"/>
                                </w:tblCellMar>
                              </w:tblPrEx>
                              <w:trPr>
                                <w:trHeight w:hRule="exact" w:val="557"/>
                                <w:tblHeader/>
                              </w:trPr>
                              <w:tc>
                                <w:tcPr>
                                  <w:tcW w:w="2448" w:type="dxa"/>
                                  <w:shd w:val="clear" w:color="auto" w:fill="000000"/>
                                </w:tcPr>
                                <w:p w14:paraId="1E0CB887" w14:textId="77777777" w:rsidR="00924992" w:rsidRDefault="00924992">
                                  <w:pPr>
                                    <w:pStyle w:val="Other0"/>
                                    <w:pBdr>
                                      <w:top w:val="single" w:sz="0" w:space="0" w:color="000000"/>
                                      <w:left w:val="single" w:sz="0" w:space="0" w:color="000000"/>
                                      <w:bottom w:val="single" w:sz="0" w:space="0" w:color="000000"/>
                                      <w:right w:val="single" w:sz="0" w:space="0" w:color="000000"/>
                                    </w:pBdr>
                                    <w:shd w:val="clear" w:color="auto" w:fill="000000"/>
                                    <w:spacing w:line="240" w:lineRule="auto"/>
                                    <w:ind w:firstLine="0"/>
                                    <w:rPr>
                                      <w:sz w:val="24"/>
                                      <w:szCs w:val="24"/>
                                    </w:rPr>
                                  </w:pPr>
                                  <w:r>
                                    <w:rPr>
                                      <w:rFonts w:ascii="Arial" w:eastAsia="Arial" w:hAnsi="Arial" w:cs="Arial"/>
                                      <w:b/>
                                      <w:bCs/>
                                      <w:color w:val="FFFFFF"/>
                                      <w:w w:val="70"/>
                                      <w:sz w:val="24"/>
                                      <w:szCs w:val="24"/>
                                    </w:rPr>
                                    <w:t>Síndrome</w:t>
                                  </w:r>
                                </w:p>
                              </w:tc>
                              <w:tc>
                                <w:tcPr>
                                  <w:tcW w:w="2323" w:type="dxa"/>
                                  <w:shd w:val="clear" w:color="auto" w:fill="000000"/>
                                </w:tcPr>
                                <w:p w14:paraId="690FD115" w14:textId="77777777" w:rsidR="00924992" w:rsidRDefault="00924992">
                                  <w:pPr>
                                    <w:pStyle w:val="Other0"/>
                                    <w:pBdr>
                                      <w:top w:val="single" w:sz="0" w:space="0" w:color="000000"/>
                                      <w:left w:val="single" w:sz="0" w:space="0" w:color="000000"/>
                                      <w:bottom w:val="single" w:sz="0" w:space="0" w:color="000000"/>
                                      <w:right w:val="single" w:sz="0" w:space="0" w:color="000000"/>
                                    </w:pBdr>
                                    <w:shd w:val="clear" w:color="auto" w:fill="000000"/>
                                    <w:spacing w:line="209" w:lineRule="auto"/>
                                    <w:ind w:left="140" w:firstLine="0"/>
                                    <w:rPr>
                                      <w:sz w:val="24"/>
                                      <w:szCs w:val="24"/>
                                    </w:rPr>
                                  </w:pPr>
                                  <w:r>
                                    <w:rPr>
                                      <w:rFonts w:ascii="Arial" w:eastAsia="Arial" w:hAnsi="Arial" w:cs="Arial"/>
                                      <w:b/>
                                      <w:bCs/>
                                      <w:color w:val="FFFFFF"/>
                                      <w:w w:val="70"/>
                                      <w:sz w:val="24"/>
                                      <w:szCs w:val="24"/>
                                    </w:rPr>
                                    <w:t>Microorganismos/ entidades patológicas</w:t>
                                  </w:r>
                                </w:p>
                              </w:tc>
                              <w:tc>
                                <w:tcPr>
                                  <w:tcW w:w="2251" w:type="dxa"/>
                                  <w:shd w:val="clear" w:color="auto" w:fill="000000"/>
                                </w:tcPr>
                                <w:p w14:paraId="1ED4FBC1" w14:textId="77777777" w:rsidR="00924992" w:rsidRDefault="00924992">
                                  <w:pPr>
                                    <w:pStyle w:val="Other0"/>
                                    <w:pBdr>
                                      <w:top w:val="single" w:sz="0" w:space="0" w:color="000000"/>
                                      <w:left w:val="single" w:sz="0" w:space="0" w:color="000000"/>
                                      <w:bottom w:val="single" w:sz="0" w:space="0" w:color="000000"/>
                                      <w:right w:val="single" w:sz="0" w:space="0" w:color="000000"/>
                                    </w:pBdr>
                                    <w:shd w:val="clear" w:color="auto" w:fill="000000"/>
                                    <w:spacing w:line="209" w:lineRule="auto"/>
                                    <w:ind w:left="380" w:firstLine="0"/>
                                    <w:rPr>
                                      <w:sz w:val="24"/>
                                      <w:szCs w:val="24"/>
                                    </w:rPr>
                                  </w:pPr>
                                  <w:r>
                                    <w:rPr>
                                      <w:rFonts w:ascii="Arial" w:eastAsia="Arial" w:hAnsi="Arial" w:cs="Arial"/>
                                      <w:b/>
                                      <w:bCs/>
                                      <w:color w:val="FFFFFF"/>
                                      <w:w w:val="70"/>
                                      <w:sz w:val="24"/>
                                      <w:szCs w:val="24"/>
                                    </w:rPr>
                                    <w:t>Tratamiento de adolescentes</w:t>
                                  </w:r>
                                </w:p>
                              </w:tc>
                              <w:tc>
                                <w:tcPr>
                                  <w:tcW w:w="3730" w:type="dxa"/>
                                  <w:shd w:val="clear" w:color="auto" w:fill="000000"/>
                                </w:tcPr>
                                <w:p w14:paraId="6BCAEEE1" w14:textId="77777777" w:rsidR="00924992" w:rsidRDefault="00924992">
                                  <w:pPr>
                                    <w:pStyle w:val="Other0"/>
                                    <w:pBdr>
                                      <w:top w:val="single" w:sz="0" w:space="0" w:color="000000"/>
                                      <w:left w:val="single" w:sz="0" w:space="0" w:color="000000"/>
                                      <w:bottom w:val="single" w:sz="0" w:space="0" w:color="000000"/>
                                      <w:right w:val="single" w:sz="0" w:space="0" w:color="000000"/>
                                    </w:pBdr>
                                    <w:shd w:val="clear" w:color="auto" w:fill="000000"/>
                                    <w:spacing w:line="209" w:lineRule="auto"/>
                                    <w:ind w:left="660" w:firstLine="0"/>
                                    <w:rPr>
                                      <w:sz w:val="24"/>
                                      <w:szCs w:val="24"/>
                                    </w:rPr>
                                  </w:pPr>
                                  <w:r>
                                    <w:rPr>
                                      <w:rFonts w:ascii="Arial" w:eastAsia="Arial" w:hAnsi="Arial" w:cs="Arial"/>
                                      <w:b/>
                                      <w:bCs/>
                                      <w:color w:val="FFFFFF"/>
                                      <w:w w:val="70"/>
                                      <w:sz w:val="24"/>
                                      <w:szCs w:val="24"/>
                                    </w:rPr>
                                    <w:t>Tratamiento del lactante/niño</w:t>
                                  </w:r>
                                </w:p>
                              </w:tc>
                            </w:tr>
                            <w:tr w:rsidR="00924992" w14:paraId="55A8CA3B" w14:textId="77777777">
                              <w:tblPrEx>
                                <w:tblCellMar>
                                  <w:top w:w="0" w:type="dxa"/>
                                  <w:bottom w:w="0" w:type="dxa"/>
                                </w:tblCellMar>
                              </w:tblPrEx>
                              <w:trPr>
                                <w:trHeight w:hRule="exact" w:val="758"/>
                              </w:trPr>
                              <w:tc>
                                <w:tcPr>
                                  <w:tcW w:w="2448" w:type="dxa"/>
                                  <w:shd w:val="clear" w:color="auto" w:fill="FFFFFF"/>
                                </w:tcPr>
                                <w:p w14:paraId="70CB8361" w14:textId="77777777" w:rsidR="00924992" w:rsidRDefault="00924992">
                                  <w:pPr>
                                    <w:pStyle w:val="Other0"/>
                                    <w:spacing w:before="80" w:line="240" w:lineRule="auto"/>
                                    <w:ind w:firstLine="0"/>
                                    <w:rPr>
                                      <w:sz w:val="16"/>
                                      <w:szCs w:val="16"/>
                                    </w:rPr>
                                  </w:pPr>
                                  <w:r>
                                    <w:rPr>
                                      <w:rFonts w:ascii="Times New Roman" w:eastAsia="Times New Roman" w:hAnsi="Times New Roman" w:cs="Times New Roman"/>
                                      <w:b/>
                                      <w:bCs/>
                                      <w:color w:val="000000"/>
                                      <w:sz w:val="16"/>
                                      <w:szCs w:val="16"/>
                                    </w:rPr>
                                    <w:t>Vaginitis prepúber (por STD):</w:t>
                                  </w:r>
                                </w:p>
                              </w:tc>
                              <w:tc>
                                <w:tcPr>
                                  <w:tcW w:w="2323" w:type="dxa"/>
                                  <w:shd w:val="clear" w:color="auto" w:fill="FFFFFF"/>
                                  <w:vAlign w:val="bottom"/>
                                </w:tcPr>
                                <w:p w14:paraId="4A7C23D0" w14:textId="77777777" w:rsidR="00924992" w:rsidRDefault="00924992">
                                  <w:pPr>
                                    <w:pStyle w:val="Other0"/>
                                    <w:spacing w:after="240" w:line="240" w:lineRule="auto"/>
                                    <w:ind w:firstLine="140"/>
                                    <w:rPr>
                                      <w:sz w:val="16"/>
                                      <w:szCs w:val="16"/>
                                    </w:rPr>
                                  </w:pPr>
                                  <w:r>
                                    <w:rPr>
                                      <w:rFonts w:ascii="Times New Roman" w:eastAsia="Times New Roman" w:hAnsi="Times New Roman" w:cs="Times New Roman"/>
                                      <w:i/>
                                      <w:iCs/>
                                      <w:color w:val="000000"/>
                                      <w:sz w:val="16"/>
                                      <w:szCs w:val="16"/>
                                    </w:rPr>
                                    <w:t>N. gonorrhoeae</w:t>
                                  </w:r>
                                  <w:r>
                                    <w:rPr>
                                      <w:rFonts w:ascii="Times New Roman" w:eastAsia="Times New Roman" w:hAnsi="Times New Roman" w:cs="Times New Roman"/>
                                      <w:i/>
                                      <w:iCs/>
                                      <w:color w:val="000000"/>
                                      <w:sz w:val="16"/>
                                      <w:szCs w:val="16"/>
                                      <w:vertAlign w:val="superscript"/>
                                    </w:rPr>
                                    <w:t>1</w:t>
                                  </w:r>
                                </w:p>
                                <w:p w14:paraId="1776BAE8" w14:textId="77777777" w:rsidR="00924992" w:rsidRDefault="00924992">
                                  <w:pPr>
                                    <w:pStyle w:val="Other0"/>
                                    <w:spacing w:line="240" w:lineRule="auto"/>
                                    <w:ind w:firstLine="140"/>
                                    <w:rPr>
                                      <w:sz w:val="16"/>
                                      <w:szCs w:val="16"/>
                                    </w:rPr>
                                  </w:pPr>
                                  <w:r>
                                    <w:rPr>
                                      <w:rFonts w:ascii="Times New Roman" w:eastAsia="Times New Roman" w:hAnsi="Times New Roman" w:cs="Times New Roman"/>
                                      <w:i/>
                                      <w:iCs/>
                                      <w:color w:val="000000"/>
                                      <w:sz w:val="16"/>
                                      <w:szCs w:val="16"/>
                                    </w:rPr>
                                    <w:t>C. trachomatis</w:t>
                                  </w:r>
                                  <w:r>
                                    <w:rPr>
                                      <w:rFonts w:ascii="Times New Roman" w:eastAsia="Times New Roman" w:hAnsi="Times New Roman" w:cs="Times New Roman"/>
                                      <w:i/>
                                      <w:iCs/>
                                      <w:color w:val="000000"/>
                                      <w:sz w:val="16"/>
                                      <w:szCs w:val="16"/>
                                      <w:vertAlign w:val="superscript"/>
                                    </w:rPr>
                                    <w:t>1</w:t>
                                  </w:r>
                                </w:p>
                              </w:tc>
                              <w:tc>
                                <w:tcPr>
                                  <w:tcW w:w="2251" w:type="dxa"/>
                                  <w:shd w:val="clear" w:color="auto" w:fill="FFFFFF"/>
                                </w:tcPr>
                                <w:p w14:paraId="40ED0FAD" w14:textId="77777777" w:rsidR="00924992" w:rsidRDefault="00924992">
                                  <w:pPr>
                                    <w:rPr>
                                      <w:sz w:val="10"/>
                                      <w:szCs w:val="10"/>
                                    </w:rPr>
                                  </w:pPr>
                                </w:p>
                              </w:tc>
                              <w:tc>
                                <w:tcPr>
                                  <w:tcW w:w="3730" w:type="dxa"/>
                                  <w:shd w:val="clear" w:color="auto" w:fill="FFFFFF"/>
                                  <w:vAlign w:val="bottom"/>
                                </w:tcPr>
                                <w:p w14:paraId="617F3EEE" w14:textId="77777777" w:rsidR="00924992" w:rsidRDefault="00924992">
                                  <w:pPr>
                                    <w:pStyle w:val="Other0"/>
                                    <w:spacing w:line="240" w:lineRule="auto"/>
                                    <w:ind w:firstLine="660"/>
                                    <w:rPr>
                                      <w:sz w:val="17"/>
                                      <w:szCs w:val="17"/>
                                    </w:rPr>
                                  </w:pPr>
                                  <w:r>
                                    <w:rPr>
                                      <w:rFonts w:ascii="Times New Roman" w:eastAsia="Times New Roman" w:hAnsi="Times New Roman" w:cs="Times New Roman"/>
                                      <w:b/>
                                      <w:bCs/>
                                      <w:i/>
                                      <w:iCs/>
                                      <w:color w:val="000000"/>
                                      <w:sz w:val="17"/>
                                      <w:szCs w:val="17"/>
                                    </w:rPr>
                                    <w:t>Niños que pesan menos de 45 kg:</w:t>
                                  </w:r>
                                </w:p>
                                <w:p w14:paraId="699E1D8E" w14:textId="77777777" w:rsidR="00924992" w:rsidRDefault="00924992">
                                  <w:pPr>
                                    <w:pStyle w:val="Other0"/>
                                    <w:spacing w:line="240" w:lineRule="auto"/>
                                    <w:ind w:firstLine="660"/>
                                    <w:rPr>
                                      <w:sz w:val="16"/>
                                      <w:szCs w:val="16"/>
                                    </w:rPr>
                                  </w:pPr>
                                  <w:r>
                                    <w:rPr>
                                      <w:rFonts w:ascii="Times New Roman" w:eastAsia="Times New Roman" w:hAnsi="Times New Roman" w:cs="Times New Roman"/>
                                      <w:color w:val="000000"/>
                                      <w:sz w:val="16"/>
                                      <w:szCs w:val="16"/>
                                    </w:rPr>
                                    <w:t>Ceftriaxona, 125 mg en una sola dosis</w:t>
                                  </w:r>
                                </w:p>
                                <w:p w14:paraId="71E0BC68" w14:textId="77777777" w:rsidR="00924992" w:rsidRDefault="00924992">
                                  <w:pPr>
                                    <w:pStyle w:val="Other0"/>
                                    <w:spacing w:line="240" w:lineRule="auto"/>
                                    <w:ind w:firstLine="660"/>
                                    <w:rPr>
                                      <w:sz w:val="17"/>
                                      <w:szCs w:val="17"/>
                                    </w:rPr>
                                  </w:pPr>
                                  <w:r>
                                    <w:rPr>
                                      <w:rFonts w:ascii="Times New Roman" w:eastAsia="Times New Roman" w:hAnsi="Times New Roman" w:cs="Times New Roman"/>
                                      <w:b/>
                                      <w:bCs/>
                                      <w:i/>
                                      <w:iCs/>
                                      <w:color w:val="000000"/>
                                      <w:sz w:val="17"/>
                                      <w:szCs w:val="17"/>
                                    </w:rPr>
                                    <w:t>Niños que pesan menos de 45 kg:</w:t>
                                  </w:r>
                                </w:p>
                              </w:tc>
                            </w:tr>
                          </w:tbl>
                          <w:p w14:paraId="47631B5D" w14:textId="77777777" w:rsidR="00924992" w:rsidRDefault="00924992">
                            <w:pPr>
                              <w:spacing w:line="1" w:lineRule="exact"/>
                            </w:pPr>
                          </w:p>
                        </w:txbxContent>
                      </wps:txbx>
                      <wps:bodyPr lIns="0" tIns="0" rIns="0" bIns="0"/>
                    </wps:wsp>
                  </a:graphicData>
                </a:graphic>
              </wp:anchor>
            </w:drawing>
          </mc:Choice>
          <mc:Fallback>
            <w:pict>
              <v:shape w14:anchorId="5A642FFB" id="Shape 2259" o:spid="_x0000_s1044" type="#_x0000_t202" style="position:absolute;margin-left:31.7pt;margin-top:83.75pt;width:537.6pt;height:65.75pt;z-index:251677696;visibility:visible;mso-wrap-style:square;mso-wrap-distance-left:9pt;mso-wrap-distance-top:0;mso-wrap-distance-right:9pt;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" filled="f" stroked="f">
                <v:textbox inset="0,0,0,0">
                  <w:txbxContent>
                    <w:tbl>
                      <w:tblPr>
                        <w:tblOverlap w:val="never"/>
                        <w:tblW w:w="0" w:type="auto"/>
                        <w:tblLayout w:type="fixed"/>
                        <w:tblCellMar>
                          <w:left w:w="10" w:type="dxa"/>
                          <w:right w:w="10" w:type="dxa"/>
                        </w:tblCellMar>
                        <w:tblLook w:val="04A0" w:firstRow="1" w:lastRow="0" w:firstColumn="1" w:lastColumn="0" w:noHBand="0" w:noVBand="1"/>
                      </w:tblPr>
                      <w:tblGrid>
                        <w:gridCol w:w="2448"/>
                        <w:gridCol w:w="2323"/>
                        <w:gridCol w:w="2251"/>
                        <w:gridCol w:w="3730"/>
                      </w:tblGrid>
                      <w:tr w:rsidR="00924992" w14:paraId="633B30C9" w14:textId="77777777">
                        <w:tblPrEx>
                          <w:tblCellMar>
                            <w:top w:w="0" w:type="dxa"/>
                            <w:bottom w:w="0" w:type="dxa"/>
                          </w:tblCellMar>
                        </w:tblPrEx>
                        <w:trPr>
                          <w:trHeight w:hRule="exact" w:val="557"/>
                          <w:tblHeader/>
                        </w:trPr>
                        <w:tc>
                          <w:tcPr>
                            <w:tcW w:w="2448" w:type="dxa"/>
                            <w:shd w:val="clear" w:color="auto" w:fill="000000"/>
                          </w:tcPr>
                          <w:p w14:paraId="1E0CB887" w14:textId="77777777" w:rsidR="00924992" w:rsidRDefault="00924992">
                            <w:pPr>
                              <w:pStyle w:val="Other0"/>
                              <w:pBdr>
                                <w:top w:val="single" w:sz="0" w:space="0" w:color="000000"/>
                                <w:left w:val="single" w:sz="0" w:space="0" w:color="000000"/>
                                <w:bottom w:val="single" w:sz="0" w:space="0" w:color="000000"/>
                                <w:right w:val="single" w:sz="0" w:space="0" w:color="000000"/>
                              </w:pBdr>
                              <w:shd w:val="clear" w:color="auto" w:fill="000000"/>
                              <w:spacing w:line="240" w:lineRule="auto"/>
                              <w:ind w:firstLine="0"/>
                              <w:rPr>
                                <w:sz w:val="24"/>
                                <w:szCs w:val="24"/>
                              </w:rPr>
                            </w:pPr>
                            <w:r>
                              <w:rPr>
                                <w:rFonts w:ascii="Arial" w:eastAsia="Arial" w:hAnsi="Arial" w:cs="Arial"/>
                                <w:b/>
                                <w:bCs/>
                                <w:color w:val="FFFFFF"/>
                                <w:w w:val="70"/>
                                <w:sz w:val="24"/>
                                <w:szCs w:val="24"/>
                              </w:rPr>
                              <w:t>Síndrome</w:t>
                            </w:r>
                          </w:p>
                        </w:tc>
                        <w:tc>
                          <w:tcPr>
                            <w:tcW w:w="2323" w:type="dxa"/>
                            <w:shd w:val="clear" w:color="auto" w:fill="000000"/>
                          </w:tcPr>
                          <w:p w14:paraId="690FD115" w14:textId="77777777" w:rsidR="00924992" w:rsidRDefault="00924992">
                            <w:pPr>
                              <w:pStyle w:val="Other0"/>
                              <w:pBdr>
                                <w:top w:val="single" w:sz="0" w:space="0" w:color="000000"/>
                                <w:left w:val="single" w:sz="0" w:space="0" w:color="000000"/>
                                <w:bottom w:val="single" w:sz="0" w:space="0" w:color="000000"/>
                                <w:right w:val="single" w:sz="0" w:space="0" w:color="000000"/>
                              </w:pBdr>
                              <w:shd w:val="clear" w:color="auto" w:fill="000000"/>
                              <w:spacing w:line="209" w:lineRule="auto"/>
                              <w:ind w:left="140" w:firstLine="0"/>
                              <w:rPr>
                                <w:sz w:val="24"/>
                                <w:szCs w:val="24"/>
                              </w:rPr>
                            </w:pPr>
                            <w:r>
                              <w:rPr>
                                <w:rFonts w:ascii="Arial" w:eastAsia="Arial" w:hAnsi="Arial" w:cs="Arial"/>
                                <w:b/>
                                <w:bCs/>
                                <w:color w:val="FFFFFF"/>
                                <w:w w:val="70"/>
                                <w:sz w:val="24"/>
                                <w:szCs w:val="24"/>
                              </w:rPr>
                              <w:t>Microorganismos/ entidades patológicas</w:t>
                            </w:r>
                          </w:p>
                        </w:tc>
                        <w:tc>
                          <w:tcPr>
                            <w:tcW w:w="2251" w:type="dxa"/>
                            <w:shd w:val="clear" w:color="auto" w:fill="000000"/>
                          </w:tcPr>
                          <w:p w14:paraId="1ED4FBC1" w14:textId="77777777" w:rsidR="00924992" w:rsidRDefault="00924992">
                            <w:pPr>
                              <w:pStyle w:val="Other0"/>
                              <w:pBdr>
                                <w:top w:val="single" w:sz="0" w:space="0" w:color="000000"/>
                                <w:left w:val="single" w:sz="0" w:space="0" w:color="000000"/>
                                <w:bottom w:val="single" w:sz="0" w:space="0" w:color="000000"/>
                                <w:right w:val="single" w:sz="0" w:space="0" w:color="000000"/>
                              </w:pBdr>
                              <w:shd w:val="clear" w:color="auto" w:fill="000000"/>
                              <w:spacing w:line="209" w:lineRule="auto"/>
                              <w:ind w:left="380" w:firstLine="0"/>
                              <w:rPr>
                                <w:sz w:val="24"/>
                                <w:szCs w:val="24"/>
                              </w:rPr>
                            </w:pPr>
                            <w:r>
                              <w:rPr>
                                <w:rFonts w:ascii="Arial" w:eastAsia="Arial" w:hAnsi="Arial" w:cs="Arial"/>
                                <w:b/>
                                <w:bCs/>
                                <w:color w:val="FFFFFF"/>
                                <w:w w:val="70"/>
                                <w:sz w:val="24"/>
                                <w:szCs w:val="24"/>
                              </w:rPr>
                              <w:t>Tratamiento de adolescentes</w:t>
                            </w:r>
                          </w:p>
                        </w:tc>
                        <w:tc>
                          <w:tcPr>
                            <w:tcW w:w="3730" w:type="dxa"/>
                            <w:shd w:val="clear" w:color="auto" w:fill="000000"/>
                          </w:tcPr>
                          <w:p w14:paraId="6BCAEEE1" w14:textId="77777777" w:rsidR="00924992" w:rsidRDefault="00924992">
                            <w:pPr>
                              <w:pStyle w:val="Other0"/>
                              <w:pBdr>
                                <w:top w:val="single" w:sz="0" w:space="0" w:color="000000"/>
                                <w:left w:val="single" w:sz="0" w:space="0" w:color="000000"/>
                                <w:bottom w:val="single" w:sz="0" w:space="0" w:color="000000"/>
                                <w:right w:val="single" w:sz="0" w:space="0" w:color="000000"/>
                              </w:pBdr>
                              <w:shd w:val="clear" w:color="auto" w:fill="000000"/>
                              <w:spacing w:line="209" w:lineRule="auto"/>
                              <w:ind w:left="660" w:firstLine="0"/>
                              <w:rPr>
                                <w:sz w:val="24"/>
                                <w:szCs w:val="24"/>
                              </w:rPr>
                            </w:pPr>
                            <w:r>
                              <w:rPr>
                                <w:rFonts w:ascii="Arial" w:eastAsia="Arial" w:hAnsi="Arial" w:cs="Arial"/>
                                <w:b/>
                                <w:bCs/>
                                <w:color w:val="FFFFFF"/>
                                <w:w w:val="70"/>
                                <w:sz w:val="24"/>
                                <w:szCs w:val="24"/>
                              </w:rPr>
                              <w:t>Tratamiento del lactante/niño</w:t>
                            </w:r>
                          </w:p>
                        </w:tc>
                      </w:tr>
                      <w:tr w:rsidR="00924992" w14:paraId="55A8CA3B" w14:textId="77777777">
                        <w:tblPrEx>
                          <w:tblCellMar>
                            <w:top w:w="0" w:type="dxa"/>
                            <w:bottom w:w="0" w:type="dxa"/>
                          </w:tblCellMar>
                        </w:tblPrEx>
                        <w:trPr>
                          <w:trHeight w:hRule="exact" w:val="758"/>
                        </w:trPr>
                        <w:tc>
                          <w:tcPr>
                            <w:tcW w:w="2448" w:type="dxa"/>
                            <w:shd w:val="clear" w:color="auto" w:fill="FFFFFF"/>
                          </w:tcPr>
                          <w:p w14:paraId="70CB8361" w14:textId="77777777" w:rsidR="00924992" w:rsidRDefault="00924992">
                            <w:pPr>
                              <w:pStyle w:val="Other0"/>
                              <w:spacing w:before="80" w:line="240" w:lineRule="auto"/>
                              <w:ind w:firstLine="0"/>
                              <w:rPr>
                                <w:sz w:val="16"/>
                                <w:szCs w:val="16"/>
                              </w:rPr>
                            </w:pPr>
                            <w:r>
                              <w:rPr>
                                <w:rFonts w:ascii="Times New Roman" w:eastAsia="Times New Roman" w:hAnsi="Times New Roman" w:cs="Times New Roman"/>
                                <w:b/>
                                <w:bCs/>
                                <w:color w:val="000000"/>
                                <w:sz w:val="16"/>
                                <w:szCs w:val="16"/>
                              </w:rPr>
                              <w:t>Vaginitis prepúber (por STD):</w:t>
                            </w:r>
                          </w:p>
                        </w:tc>
                        <w:tc>
                          <w:tcPr>
                            <w:tcW w:w="2323" w:type="dxa"/>
                            <w:shd w:val="clear" w:color="auto" w:fill="FFFFFF"/>
                            <w:vAlign w:val="bottom"/>
                          </w:tcPr>
                          <w:p w14:paraId="4A7C23D0" w14:textId="77777777" w:rsidR="00924992" w:rsidRDefault="00924992">
                            <w:pPr>
                              <w:pStyle w:val="Other0"/>
                              <w:spacing w:after="240" w:line="240" w:lineRule="auto"/>
                              <w:ind w:firstLine="140"/>
                              <w:rPr>
                                <w:sz w:val="16"/>
                                <w:szCs w:val="16"/>
                              </w:rPr>
                            </w:pPr>
                            <w:r>
                              <w:rPr>
                                <w:rFonts w:ascii="Times New Roman" w:eastAsia="Times New Roman" w:hAnsi="Times New Roman" w:cs="Times New Roman"/>
                                <w:i/>
                                <w:iCs/>
                                <w:color w:val="000000"/>
                                <w:sz w:val="16"/>
                                <w:szCs w:val="16"/>
                              </w:rPr>
                              <w:t>N. gonorrhoeae</w:t>
                            </w:r>
                            <w:r>
                              <w:rPr>
                                <w:rFonts w:ascii="Times New Roman" w:eastAsia="Times New Roman" w:hAnsi="Times New Roman" w:cs="Times New Roman"/>
                                <w:i/>
                                <w:iCs/>
                                <w:color w:val="000000"/>
                                <w:sz w:val="16"/>
                                <w:szCs w:val="16"/>
                                <w:vertAlign w:val="superscript"/>
                              </w:rPr>
                              <w:t>1</w:t>
                            </w:r>
                          </w:p>
                          <w:p w14:paraId="1776BAE8" w14:textId="77777777" w:rsidR="00924992" w:rsidRDefault="00924992">
                            <w:pPr>
                              <w:pStyle w:val="Other0"/>
                              <w:spacing w:line="240" w:lineRule="auto"/>
                              <w:ind w:firstLine="140"/>
                              <w:rPr>
                                <w:sz w:val="16"/>
                                <w:szCs w:val="16"/>
                              </w:rPr>
                            </w:pPr>
                            <w:r>
                              <w:rPr>
                                <w:rFonts w:ascii="Times New Roman" w:eastAsia="Times New Roman" w:hAnsi="Times New Roman" w:cs="Times New Roman"/>
                                <w:i/>
                                <w:iCs/>
                                <w:color w:val="000000"/>
                                <w:sz w:val="16"/>
                                <w:szCs w:val="16"/>
                              </w:rPr>
                              <w:t>C. trachomatis</w:t>
                            </w:r>
                            <w:r>
                              <w:rPr>
                                <w:rFonts w:ascii="Times New Roman" w:eastAsia="Times New Roman" w:hAnsi="Times New Roman" w:cs="Times New Roman"/>
                                <w:i/>
                                <w:iCs/>
                                <w:color w:val="000000"/>
                                <w:sz w:val="16"/>
                                <w:szCs w:val="16"/>
                                <w:vertAlign w:val="superscript"/>
                              </w:rPr>
                              <w:t>1</w:t>
                            </w:r>
                          </w:p>
                        </w:tc>
                        <w:tc>
                          <w:tcPr>
                            <w:tcW w:w="2251" w:type="dxa"/>
                            <w:shd w:val="clear" w:color="auto" w:fill="FFFFFF"/>
                          </w:tcPr>
                          <w:p w14:paraId="40ED0FAD" w14:textId="77777777" w:rsidR="00924992" w:rsidRDefault="00924992">
                            <w:pPr>
                              <w:rPr>
                                <w:sz w:val="10"/>
                                <w:szCs w:val="10"/>
                              </w:rPr>
                            </w:pPr>
                          </w:p>
                        </w:tc>
                        <w:tc>
                          <w:tcPr>
                            <w:tcW w:w="3730" w:type="dxa"/>
                            <w:shd w:val="clear" w:color="auto" w:fill="FFFFFF"/>
                            <w:vAlign w:val="bottom"/>
                          </w:tcPr>
                          <w:p w14:paraId="617F3EEE" w14:textId="77777777" w:rsidR="00924992" w:rsidRDefault="00924992">
                            <w:pPr>
                              <w:pStyle w:val="Other0"/>
                              <w:spacing w:line="240" w:lineRule="auto"/>
                              <w:ind w:firstLine="660"/>
                              <w:rPr>
                                <w:sz w:val="17"/>
                                <w:szCs w:val="17"/>
                              </w:rPr>
                            </w:pPr>
                            <w:r>
                              <w:rPr>
                                <w:rFonts w:ascii="Times New Roman" w:eastAsia="Times New Roman" w:hAnsi="Times New Roman" w:cs="Times New Roman"/>
                                <w:b/>
                                <w:bCs/>
                                <w:i/>
                                <w:iCs/>
                                <w:color w:val="000000"/>
                                <w:sz w:val="17"/>
                                <w:szCs w:val="17"/>
                              </w:rPr>
                              <w:t>Niños que pesan menos de 45 kg:</w:t>
                            </w:r>
                          </w:p>
                          <w:p w14:paraId="699E1D8E" w14:textId="77777777" w:rsidR="00924992" w:rsidRDefault="00924992">
                            <w:pPr>
                              <w:pStyle w:val="Other0"/>
                              <w:spacing w:line="240" w:lineRule="auto"/>
                              <w:ind w:firstLine="660"/>
                              <w:rPr>
                                <w:sz w:val="16"/>
                                <w:szCs w:val="16"/>
                              </w:rPr>
                            </w:pPr>
                            <w:r>
                              <w:rPr>
                                <w:rFonts w:ascii="Times New Roman" w:eastAsia="Times New Roman" w:hAnsi="Times New Roman" w:cs="Times New Roman"/>
                                <w:color w:val="000000"/>
                                <w:sz w:val="16"/>
                                <w:szCs w:val="16"/>
                              </w:rPr>
                              <w:t>Ceftriaxona, 125 mg en una sola dosis</w:t>
                            </w:r>
                          </w:p>
                          <w:p w14:paraId="71E0BC68" w14:textId="77777777" w:rsidR="00924992" w:rsidRDefault="00924992">
                            <w:pPr>
                              <w:pStyle w:val="Other0"/>
                              <w:spacing w:line="240" w:lineRule="auto"/>
                              <w:ind w:firstLine="660"/>
                              <w:rPr>
                                <w:sz w:val="17"/>
                                <w:szCs w:val="17"/>
                              </w:rPr>
                            </w:pPr>
                            <w:r>
                              <w:rPr>
                                <w:rFonts w:ascii="Times New Roman" w:eastAsia="Times New Roman" w:hAnsi="Times New Roman" w:cs="Times New Roman"/>
                                <w:b/>
                                <w:bCs/>
                                <w:i/>
                                <w:iCs/>
                                <w:color w:val="000000"/>
                                <w:sz w:val="17"/>
                                <w:szCs w:val="17"/>
                              </w:rPr>
                              <w:t>Niños que pesan menos de 45 kg:</w:t>
                            </w:r>
                          </w:p>
                        </w:tc>
                      </w:tr>
                    </w:tbl>
                    <w:p w14:paraId="47631B5D" w14:textId="77777777" w:rsidR="00924992" w:rsidRDefault="00924992">
                      <w:pPr>
                        <w:spacing w:line="1" w:lineRule="exact"/>
                      </w:pPr>
                    </w:p>
                  </w:txbxContent>
                </v:textbox>
                <w10:wrap type="topAndBottom" anchorx="page"/>
              </v:shape>
            </w:pict>
          </mc:Fallback>
        </mc:AlternateContent>
      </w:r>
      <w:r>
        <w:rPr>
          <w:noProof/>
        </w:rPr>
        <mc:AlternateContent>
          <mc:Choice Requires="wps">
            <w:drawing>
              <wp:anchor distT="0" distB="0" distL="114300" distR="114300" simplePos="0" relativeHeight="251678720" behindDoc="0" locked="0" layoutInCell="1" allowOverlap="1" wp14:anchorId="7E488D3B" wp14:editId="405F0DDD">
                <wp:simplePos x="0" y="0"/>
                <wp:positionH relativeFrom="page">
                  <wp:posOffset>7867015</wp:posOffset>
                </wp:positionH>
                <wp:positionV relativeFrom="paragraph">
                  <wp:posOffset>1225550</wp:posOffset>
                </wp:positionV>
                <wp:extent cx="121920" cy="3139440"/>
                <wp:effectExtent l="0" t="0" r="0" b="0"/>
                <wp:wrapSquare wrapText="bothSides"/>
                <wp:docPr id="2261" name="Shape 2261"/>
                <wp:cNvGraphicFramePr/>
                <a:graphic xmlns:a="http://schemas.openxmlformats.org/drawingml/2006/main">
                  <a:graphicData uri="http://schemas.microsoft.com/office/word/2010/wordprocessingShape">
                    <wps:wsp>
                      <wps:cNvSpPr txBox="1"/>
                      <wps:spPr>
                        <a:xfrm>
                          <a:off x="0" y="0"/>
                          <a:ext cx="121920" cy="3139440"/>
                        </a:xfrm>
                        <a:prstGeom prst="rect">
                          <a:avLst/>
                        </a:prstGeom>
                        <a:noFill/>
                      </wps:spPr>
                      <wps:txbx>
                        <w:txbxContent>
                          <w:p w14:paraId="4CC80907" w14:textId="77777777" w:rsidR="00924992" w:rsidRDefault="00924992">
                            <w:pPr>
                              <w:pStyle w:val="Bodytext80"/>
                              <w:tabs>
                                <w:tab w:val="left" w:pos="4627"/>
                              </w:tabs>
                              <w:rPr>
                                <w:sz w:val="16"/>
                                <w:szCs w:val="16"/>
                              </w:rPr>
                            </w:pPr>
                            <w:r>
                              <w:t>ENFERMEDADES DE TRANSMISIÓN SEXUAL</w:t>
                            </w:r>
                            <w:r>
                              <w:tab/>
                            </w:r>
                            <w:r>
                              <w:rPr>
                                <w:sz w:val="16"/>
                                <w:szCs w:val="16"/>
                              </w:rPr>
                              <w:t>749</w:t>
                            </w:r>
                          </w:p>
                        </w:txbxContent>
                      </wps:txbx>
                      <wps:bodyPr vert="vert" lIns="0" tIns="0" rIns="0" bIns="0" upright="1"/>
                    </wps:wsp>
                  </a:graphicData>
                </a:graphic>
              </wp:anchor>
            </w:drawing>
          </mc:Choice>
          <mc:Fallback>
            <w:pict>
              <v:shape w14:anchorId="7E488D3B" id="Shape 2261" o:spid="_x0000_s1045" type="#_x0000_t202" style="position:absolute;margin-left:619.45pt;margin-top:96.5pt;width:9.6pt;height:247.2pt;z-index:251678720;visibility:visible;mso-wrap-style:square;mso-wrap-distance-left:9pt;mso-wrap-distance-top:0;mso-wrap-distance-right:9pt;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" filled="f" stroked="f">
                <v:textbox style="layout-flow:vertical" inset="0,0,0,0">
                  <w:txbxContent>
                    <w:p w14:paraId="4CC80907" w14:textId="77777777" w:rsidR="00924992" w:rsidRDefault="00924992">
                      <w:pPr>
                        <w:pStyle w:val="Bodytext80"/>
                        <w:tabs>
                          <w:tab w:val="left" w:pos="4627"/>
                        </w:tabs>
                        <w:rPr>
                          <w:sz w:val="16"/>
                          <w:szCs w:val="16"/>
                        </w:rPr>
                      </w:pPr>
                      <w:r>
                        <w:t>ENFERMEDADES DE TRANSMISIÓN SEXUAL</w:t>
                      </w:r>
                      <w:r>
                        <w:tab/>
                      </w:r>
                      <w:r>
                        <w:rPr>
                          <w:sz w:val="16"/>
                          <w:szCs w:val="16"/>
                        </w:rPr>
                        <w:t>749</w:t>
                      </w:r>
                    </w:p>
                  </w:txbxContent>
                </v:textbox>
                <w10:wrap type="square" anchorx="page"/>
              </v:shape>
            </w:pict>
          </mc:Fallback>
        </mc:AlternateContent>
      </w:r>
    </w:p>
    <w:p w14:paraId="3C9CCDB1" w14:textId="77777777" w:rsidR="00924992" w:rsidRDefault="00924992">
      <w:pPr>
        <w:pStyle w:val="Heading31"/>
        <w:keepNext/>
        <w:keepLines/>
        <w:spacing w:line="214" w:lineRule="auto"/>
        <w:jc w:val="center"/>
        <w:rPr>
          <w:sz w:val="16"/>
          <w:szCs w:val="16"/>
        </w:rPr>
      </w:pPr>
      <w:bookmarkStart w:id="355" w:name="bookmark1801"/>
      <w:bookmarkStart w:id="356" w:name="bookmark1802"/>
      <w:bookmarkStart w:id="357" w:name="bookmark1803"/>
      <w:r>
        <w:rPr>
          <w:b w:val="0"/>
          <w:bCs w:val="0"/>
          <w:color w:val="000000"/>
        </w:rPr>
        <w:t xml:space="preserve">Cuadro 4-3. </w:t>
      </w:r>
      <w:r>
        <w:rPr>
          <w:color w:val="000000"/>
        </w:rPr>
        <w:t>Directrices para tratar enfermedades de transmisión sexual en niños y adolescentes,</w:t>
      </w:r>
      <w:r>
        <w:rPr>
          <w:color w:val="000000"/>
        </w:rPr>
        <w:br/>
        <w:t xml:space="preserve">conforme al síndrome que tengan </w:t>
      </w:r>
      <w:r>
        <w:rPr>
          <w:rFonts w:ascii="Times New Roman" w:eastAsia="Times New Roman" w:hAnsi="Times New Roman" w:cs="Times New Roman"/>
          <w:b w:val="0"/>
          <w:bCs w:val="0"/>
          <w:i/>
          <w:iCs/>
          <w:color w:val="000000"/>
          <w:w w:val="100"/>
          <w:sz w:val="16"/>
          <w:szCs w:val="16"/>
        </w:rPr>
        <w:t>continuación</w:t>
      </w:r>
      <w:bookmarkEnd w:id="355"/>
      <w:bookmarkEnd w:id="356"/>
      <w:bookmarkEnd w:id="357"/>
    </w:p>
    <w:p w14:paraId="668BCD39" w14:textId="77777777" w:rsidR="00924992" w:rsidRDefault="00924992">
      <w:pPr>
        <w:pStyle w:val="Other0"/>
        <w:spacing w:after="60" w:line="214" w:lineRule="auto"/>
        <w:ind w:firstLine="0"/>
        <w:jc w:val="center"/>
        <w:rPr>
          <w:sz w:val="26"/>
          <w:szCs w:val="26"/>
        </w:rPr>
      </w:pPr>
      <w:r>
        <w:rPr>
          <w:rFonts w:ascii="Arial" w:eastAsia="Arial" w:hAnsi="Arial" w:cs="Arial"/>
          <w:color w:val="000000"/>
          <w:w w:val="70"/>
          <w:sz w:val="26"/>
          <w:szCs w:val="26"/>
        </w:rPr>
        <w:t>Se incluyen los regímenes preferidos. Para mayor información sobre otros regímenes aceptables y enfermedades no</w:t>
      </w:r>
      <w:r>
        <w:rPr>
          <w:rFonts w:ascii="Arial" w:eastAsia="Arial" w:hAnsi="Arial" w:cs="Arial"/>
          <w:color w:val="000000"/>
          <w:w w:val="70"/>
          <w:sz w:val="26"/>
          <w:szCs w:val="26"/>
        </w:rPr>
        <w:br/>
        <w:t>incluidas, véanse las recomendaciones respectivas en los resúmenes de enfermedades específicas, en la sección 3.</w:t>
      </w:r>
      <w:r>
        <w:rPr>
          <w:rFonts w:ascii="Arial" w:eastAsia="Arial" w:hAnsi="Arial" w:cs="Arial"/>
          <w:color w:val="000000"/>
          <w:w w:val="70"/>
          <w:sz w:val="26"/>
          <w:szCs w:val="26"/>
        </w:rPr>
        <w:br/>
        <w:t xml:space="preserve">Además, los </w:t>
      </w:r>
      <w:r>
        <w:rPr>
          <w:rFonts w:ascii="Arial" w:eastAsia="Arial" w:hAnsi="Arial" w:cs="Arial"/>
          <w:i/>
          <w:iCs/>
          <w:color w:val="000000"/>
          <w:w w:val="70"/>
          <w:sz w:val="24"/>
          <w:szCs w:val="24"/>
        </w:rPr>
        <w:t>Centers for Disease Control and Prevention</w:t>
      </w:r>
      <w:r>
        <w:rPr>
          <w:rFonts w:ascii="Arial" w:eastAsia="Arial" w:hAnsi="Arial" w:cs="Arial"/>
          <w:color w:val="000000"/>
          <w:w w:val="70"/>
          <w:sz w:val="26"/>
          <w:szCs w:val="26"/>
        </w:rPr>
        <w:t xml:space="preserve"> publicaron en 2002 las recomendaciones revisadas para el tratamiento</w:t>
      </w:r>
      <w:r>
        <w:rPr>
          <w:rFonts w:ascii="Arial" w:eastAsia="Arial" w:hAnsi="Arial" w:cs="Arial"/>
          <w:color w:val="000000"/>
          <w:w w:val="70"/>
          <w:sz w:val="26"/>
          <w:szCs w:val="26"/>
        </w:rPr>
        <w:br/>
        <w:t>de las enfermedades de transmisión sexual.</w:t>
      </w:r>
      <w:r>
        <w:rPr>
          <w:rFonts w:ascii="Arial" w:eastAsia="Arial" w:hAnsi="Arial" w:cs="Arial"/>
          <w:color w:val="000000"/>
          <w:w w:val="70"/>
          <w:sz w:val="26"/>
          <w:szCs w:val="26"/>
          <w:vertAlign w:val="superscript"/>
        </w:rPr>
        <w:t>1</w:t>
      </w:r>
    </w:p>
    <w:p w14:paraId="1C4D0051" w14:textId="77777777" w:rsidR="00924992" w:rsidRDefault="00924992">
      <w:pPr>
        <w:pStyle w:val="Bodytext20"/>
        <w:spacing w:line="276" w:lineRule="auto"/>
        <w:ind w:left="7780" w:hanging="100"/>
      </w:pPr>
      <w:r>
        <w:rPr>
          <w:color w:val="000000"/>
        </w:rPr>
        <w:t>Eritromicina base o etilsuccinato, 50 mg/kg al día, ingeridos en cuatro fracciones (dosis máxima, 2 g/día) durante 14 días</w:t>
      </w:r>
    </w:p>
    <w:p w14:paraId="5111D986" w14:textId="77777777" w:rsidR="00924992" w:rsidRDefault="00924992">
      <w:pPr>
        <w:pStyle w:val="Bodytext20"/>
        <w:spacing w:line="264" w:lineRule="auto"/>
        <w:ind w:left="7780" w:hanging="100"/>
        <w:rPr>
          <w:sz w:val="17"/>
          <w:szCs w:val="17"/>
        </w:rPr>
      </w:pPr>
      <w:r>
        <w:rPr>
          <w:b/>
          <w:bCs/>
          <w:i/>
          <w:iCs/>
          <w:color w:val="000000"/>
          <w:sz w:val="17"/>
          <w:szCs w:val="17"/>
        </w:rPr>
        <w:t>Niños que pesan 45 kg o más, pero menores de 8 años:</w:t>
      </w:r>
    </w:p>
    <w:p w14:paraId="34D2C910" w14:textId="77777777" w:rsidR="00924992" w:rsidRDefault="00924992">
      <w:pPr>
        <w:pStyle w:val="Bodytext20"/>
        <w:spacing w:line="276" w:lineRule="auto"/>
        <w:ind w:left="7680"/>
        <w:rPr>
          <w:sz w:val="17"/>
          <w:szCs w:val="17"/>
        </w:rPr>
      </w:pPr>
      <w:r>
        <w:rPr>
          <w:color w:val="000000"/>
        </w:rPr>
        <w:t xml:space="preserve">Azitromicina, 1 g ingerido en una sola dosis </w:t>
      </w:r>
      <w:r>
        <w:rPr>
          <w:b/>
          <w:bCs/>
          <w:i/>
          <w:iCs/>
          <w:color w:val="000000"/>
          <w:sz w:val="17"/>
          <w:szCs w:val="17"/>
        </w:rPr>
        <w:t>Niños de 8 años o mayores:</w:t>
      </w:r>
    </w:p>
    <w:p w14:paraId="15784D6C" w14:textId="77777777" w:rsidR="00924992" w:rsidRDefault="00924992">
      <w:pPr>
        <w:pStyle w:val="Bodytext20"/>
        <w:spacing w:line="276" w:lineRule="auto"/>
        <w:ind w:left="7680"/>
      </w:pPr>
      <w:r>
        <w:rPr>
          <w:color w:val="000000"/>
        </w:rPr>
        <w:t xml:space="preserve">Azitromicina, 1 g ingerido en una sola dosis </w:t>
      </w:r>
      <w:r>
        <w:rPr>
          <w:b/>
          <w:bCs/>
          <w:color w:val="000000"/>
        </w:rPr>
        <w:t>O</w:t>
      </w:r>
    </w:p>
    <w:p w14:paraId="433EDD35" w14:textId="77777777" w:rsidR="00924992" w:rsidRDefault="00924992">
      <w:pPr>
        <w:pStyle w:val="Bodytext20"/>
        <w:spacing w:line="276" w:lineRule="auto"/>
        <w:ind w:left="7780" w:hanging="100"/>
      </w:pPr>
      <w:r>
        <w:rPr>
          <w:color w:val="000000"/>
        </w:rPr>
        <w:t>Doxiciclina, 100 mg ingeridos dos veces al día durante 7 días</w:t>
      </w:r>
    </w:p>
    <w:p w14:paraId="5DB92433" w14:textId="77777777" w:rsidR="00924992" w:rsidRDefault="00924992">
      <w:pPr>
        <w:pStyle w:val="Bodytext20"/>
        <w:tabs>
          <w:tab w:val="left" w:pos="5086"/>
          <w:tab w:val="left" w:pos="7654"/>
        </w:tabs>
        <w:spacing w:line="276" w:lineRule="auto"/>
        <w:ind w:left="2600"/>
        <w:rPr>
          <w:sz w:val="17"/>
          <w:szCs w:val="17"/>
        </w:rPr>
      </w:pPr>
      <w:r>
        <w:rPr>
          <w:i/>
          <w:iCs/>
          <w:color w:val="000000"/>
        </w:rPr>
        <w:t>T vaginalis</w:t>
      </w:r>
      <w:r>
        <w:rPr>
          <w:color w:val="000000"/>
        </w:rPr>
        <w:tab/>
        <w:t>...</w:t>
      </w:r>
      <w:r>
        <w:rPr>
          <w:color w:val="000000"/>
        </w:rPr>
        <w:tab/>
      </w:r>
      <w:r>
        <w:rPr>
          <w:b/>
          <w:bCs/>
          <w:i/>
          <w:iCs/>
          <w:color w:val="000000"/>
          <w:sz w:val="17"/>
          <w:szCs w:val="17"/>
        </w:rPr>
        <w:t>Niños que pesan menos de 45 kg:</w:t>
      </w:r>
    </w:p>
    <w:p w14:paraId="22AEB296" w14:textId="77777777" w:rsidR="00924992" w:rsidRDefault="00924992">
      <w:pPr>
        <w:pStyle w:val="Bodytext20"/>
        <w:spacing w:line="276" w:lineRule="auto"/>
        <w:ind w:left="7780" w:hanging="100"/>
        <w:sectPr w:rsidR="00924992" w:rsidSect="00924992">
          <w:pgSz w:w="13022" w:h="8501" w:orient="landscape"/>
          <w:pgMar w:top="1123" w:right="970" w:bottom="438" w:left="629" w:header="695" w:footer="3" w:gutter="0"/>
          <w:cols w:space="720"/>
          <w:noEndnote/>
          <w:docGrid w:linePitch="360"/>
          <w15:footnoteColumns w:val="1"/>
        </w:sectPr>
      </w:pPr>
      <w:r>
        <w:rPr>
          <w:color w:val="000000"/>
        </w:rPr>
        <w:t>Metronidazol, 15 mg/kg al día, ingeridos en tres fracciones (dosis máxima, 2 g/día) durante 7 días</w:t>
      </w:r>
    </w:p>
    <w:p w14:paraId="2305FA36" w14:textId="77777777" w:rsidR="00924992" w:rsidRDefault="00924992">
      <w:pPr>
        <w:pStyle w:val="Heading31"/>
        <w:keepNext/>
        <w:keepLines/>
        <w:framePr w:w="10690" w:h="1632" w:wrap="none" w:hAnchor="page" w:x="659" w:y="1"/>
        <w:spacing w:line="214" w:lineRule="auto"/>
        <w:jc w:val="center"/>
        <w:rPr>
          <w:sz w:val="16"/>
          <w:szCs w:val="16"/>
        </w:rPr>
      </w:pPr>
      <w:bookmarkStart w:id="358" w:name="bookmark1804"/>
      <w:bookmarkStart w:id="359" w:name="bookmark1805"/>
      <w:bookmarkStart w:id="360" w:name="bookmark1806"/>
      <w:r>
        <w:rPr>
          <w:b w:val="0"/>
          <w:bCs w:val="0"/>
          <w:color w:val="000000"/>
        </w:rPr>
        <w:t xml:space="preserve">Cuadro 4-3. </w:t>
      </w:r>
      <w:r>
        <w:rPr>
          <w:color w:val="000000"/>
        </w:rPr>
        <w:t>Directrices para tratar enfermedades de transmisión sexual en niños y adolescentes,</w:t>
      </w:r>
      <w:r>
        <w:rPr>
          <w:color w:val="000000"/>
        </w:rPr>
        <w:br/>
        <w:t xml:space="preserve">conforme al síndrome que tengan </w:t>
      </w:r>
      <w:r>
        <w:rPr>
          <w:rFonts w:ascii="Times New Roman" w:eastAsia="Times New Roman" w:hAnsi="Times New Roman" w:cs="Times New Roman"/>
          <w:b w:val="0"/>
          <w:bCs w:val="0"/>
          <w:i/>
          <w:iCs/>
          <w:color w:val="000000"/>
          <w:w w:val="100"/>
          <w:sz w:val="16"/>
          <w:szCs w:val="16"/>
        </w:rPr>
        <w:t>continuación</w:t>
      </w:r>
      <w:bookmarkEnd w:id="358"/>
      <w:bookmarkEnd w:id="359"/>
      <w:bookmarkEnd w:id="360"/>
    </w:p>
    <w:p w14:paraId="375CBBAA" w14:textId="77777777" w:rsidR="00924992" w:rsidRDefault="00924992">
      <w:pPr>
        <w:pStyle w:val="Other0"/>
        <w:framePr w:w="10690" w:h="1632" w:wrap="none" w:hAnchor="page" w:x="659" w:y="1"/>
        <w:spacing w:line="214" w:lineRule="auto"/>
        <w:ind w:firstLine="0"/>
        <w:jc w:val="center"/>
        <w:rPr>
          <w:sz w:val="26"/>
          <w:szCs w:val="26"/>
        </w:rPr>
      </w:pPr>
      <w:r>
        <w:rPr>
          <w:rFonts w:ascii="Arial" w:eastAsia="Arial" w:hAnsi="Arial" w:cs="Arial"/>
          <w:color w:val="000000"/>
          <w:w w:val="70"/>
          <w:sz w:val="26"/>
          <w:szCs w:val="26"/>
        </w:rPr>
        <w:t>Se incluyen los regímenes preferidos. Para mayor información sobre otros regímenes aceptables y enfermedades no</w:t>
      </w:r>
      <w:r>
        <w:rPr>
          <w:rFonts w:ascii="Arial" w:eastAsia="Arial" w:hAnsi="Arial" w:cs="Arial"/>
          <w:color w:val="000000"/>
          <w:w w:val="70"/>
          <w:sz w:val="26"/>
          <w:szCs w:val="26"/>
        </w:rPr>
        <w:br/>
        <w:t>incluidas, véanse las recomendaciones respectivas en los resúmenes de enfermedades específicas, en la sección 3.</w:t>
      </w:r>
      <w:r>
        <w:rPr>
          <w:rFonts w:ascii="Arial" w:eastAsia="Arial" w:hAnsi="Arial" w:cs="Arial"/>
          <w:color w:val="000000"/>
          <w:w w:val="70"/>
          <w:sz w:val="26"/>
          <w:szCs w:val="26"/>
        </w:rPr>
        <w:br/>
        <w:t xml:space="preserve">Además, los </w:t>
      </w:r>
      <w:r>
        <w:rPr>
          <w:rFonts w:ascii="Arial" w:eastAsia="Arial" w:hAnsi="Arial" w:cs="Arial"/>
          <w:i/>
          <w:iCs/>
          <w:color w:val="000000"/>
          <w:w w:val="70"/>
          <w:sz w:val="24"/>
          <w:szCs w:val="24"/>
        </w:rPr>
        <w:t>Centers for Disease Control and Prevention</w:t>
      </w:r>
      <w:r>
        <w:rPr>
          <w:rFonts w:ascii="Arial" w:eastAsia="Arial" w:hAnsi="Arial" w:cs="Arial"/>
          <w:color w:val="000000"/>
          <w:w w:val="70"/>
          <w:sz w:val="26"/>
          <w:szCs w:val="26"/>
        </w:rPr>
        <w:t xml:space="preserve"> publicaron en 2002 las recomendaciones revisadas para el tratamiento</w:t>
      </w:r>
      <w:r>
        <w:rPr>
          <w:rFonts w:ascii="Arial" w:eastAsia="Arial" w:hAnsi="Arial" w:cs="Arial"/>
          <w:color w:val="000000"/>
          <w:w w:val="70"/>
          <w:sz w:val="26"/>
          <w:szCs w:val="26"/>
        </w:rPr>
        <w:br/>
        <w:t>de las enfermedades de transmisión sexual.</w:t>
      </w:r>
      <w:r>
        <w:rPr>
          <w:rFonts w:ascii="Arial" w:eastAsia="Arial" w:hAnsi="Arial" w:cs="Arial"/>
          <w:color w:val="000000"/>
          <w:w w:val="70"/>
          <w:sz w:val="26"/>
          <w:szCs w:val="26"/>
          <w:vertAlign w:val="superscript"/>
        </w:rPr>
        <w:t>1</w:t>
      </w:r>
    </w:p>
    <w:tbl>
      <w:tblPr>
        <w:tblOverlap w:val="never"/>
        <w:tblW w:w="0" w:type="auto"/>
        <w:tblLayout w:type="fixed"/>
        <w:tblCellMar>
          <w:left w:w="10" w:type="dxa"/>
          <w:right w:w="10" w:type="dxa"/>
        </w:tblCellMar>
        <w:tblLook w:val="04A0" w:firstRow="1" w:lastRow="0" w:firstColumn="1" w:lastColumn="0" w:noHBand="0" w:noVBand="1"/>
      </w:tblPr>
      <w:tblGrid>
        <w:gridCol w:w="2438"/>
        <w:gridCol w:w="2318"/>
        <w:gridCol w:w="2866"/>
        <w:gridCol w:w="3130"/>
      </w:tblGrid>
      <w:tr w:rsidR="00924992" w14:paraId="51080FF1" w14:textId="77777777">
        <w:tblPrEx>
          <w:tblCellMar>
            <w:top w:w="0" w:type="dxa"/>
            <w:bottom w:w="0" w:type="dxa"/>
          </w:tblCellMar>
        </w:tblPrEx>
        <w:trPr>
          <w:trHeight w:hRule="exact" w:val="557"/>
        </w:trPr>
        <w:tc>
          <w:tcPr>
            <w:tcW w:w="2438" w:type="dxa"/>
            <w:shd w:val="clear" w:color="auto" w:fill="000000"/>
          </w:tcPr>
          <w:p w14:paraId="7B983E9F" w14:textId="77777777" w:rsidR="00924992" w:rsidRDefault="00924992">
            <w:pPr>
              <w:pStyle w:val="Other0"/>
              <w:framePr w:w="10752" w:h="4930" w:wrap="none" w:hAnchor="page" w:x="630" w:y="1676"/>
              <w:pBdr>
                <w:top w:val="single" w:sz="0" w:space="0" w:color="000000"/>
                <w:left w:val="single" w:sz="0" w:space="0" w:color="000000"/>
                <w:bottom w:val="single" w:sz="0" w:space="0" w:color="000000"/>
                <w:right w:val="single" w:sz="0" w:space="0" w:color="000000"/>
              </w:pBdr>
              <w:shd w:val="clear" w:color="auto" w:fill="000000"/>
              <w:spacing w:line="240" w:lineRule="auto"/>
              <w:ind w:firstLine="0"/>
              <w:rPr>
                <w:sz w:val="24"/>
                <w:szCs w:val="24"/>
              </w:rPr>
            </w:pPr>
            <w:r>
              <w:rPr>
                <w:rFonts w:ascii="Arial" w:eastAsia="Arial" w:hAnsi="Arial" w:cs="Arial"/>
                <w:b/>
                <w:bCs/>
                <w:color w:val="FFFFFF"/>
                <w:w w:val="70"/>
                <w:sz w:val="24"/>
                <w:szCs w:val="24"/>
              </w:rPr>
              <w:t>Síndrome</w:t>
            </w:r>
          </w:p>
        </w:tc>
        <w:tc>
          <w:tcPr>
            <w:tcW w:w="2318" w:type="dxa"/>
            <w:shd w:val="clear" w:color="auto" w:fill="000000"/>
          </w:tcPr>
          <w:p w14:paraId="1AA7601C" w14:textId="77777777" w:rsidR="00924992" w:rsidRDefault="00924992">
            <w:pPr>
              <w:pStyle w:val="Other0"/>
              <w:framePr w:w="10752" w:h="4930" w:wrap="none" w:hAnchor="page" w:x="630" w:y="1676"/>
              <w:pBdr>
                <w:top w:val="single" w:sz="0" w:space="0" w:color="000000"/>
                <w:left w:val="single" w:sz="0" w:space="0" w:color="000000"/>
                <w:bottom w:val="single" w:sz="0" w:space="0" w:color="000000"/>
                <w:right w:val="single" w:sz="0" w:space="0" w:color="000000"/>
              </w:pBdr>
              <w:shd w:val="clear" w:color="auto" w:fill="000000"/>
              <w:spacing w:line="209" w:lineRule="auto"/>
              <w:ind w:left="140"/>
              <w:rPr>
                <w:sz w:val="24"/>
                <w:szCs w:val="24"/>
              </w:rPr>
            </w:pPr>
            <w:r>
              <w:rPr>
                <w:rFonts w:ascii="Arial" w:eastAsia="Arial" w:hAnsi="Arial" w:cs="Arial"/>
                <w:b/>
                <w:bCs/>
                <w:color w:val="FFFFFF"/>
                <w:w w:val="70"/>
                <w:sz w:val="24"/>
                <w:szCs w:val="24"/>
              </w:rPr>
              <w:t>Microorganismos/ entidades patológicas</w:t>
            </w:r>
          </w:p>
        </w:tc>
        <w:tc>
          <w:tcPr>
            <w:tcW w:w="2866" w:type="dxa"/>
            <w:shd w:val="clear" w:color="auto" w:fill="000000"/>
          </w:tcPr>
          <w:p w14:paraId="221EDFE0" w14:textId="77777777" w:rsidR="00924992" w:rsidRDefault="00924992">
            <w:pPr>
              <w:pStyle w:val="Other0"/>
              <w:framePr w:w="10752" w:h="4930" w:wrap="none" w:hAnchor="page" w:x="630" w:y="1676"/>
              <w:pBdr>
                <w:top w:val="single" w:sz="0" w:space="0" w:color="000000"/>
                <w:left w:val="single" w:sz="0" w:space="0" w:color="000000"/>
                <w:bottom w:val="single" w:sz="0" w:space="0" w:color="000000"/>
                <w:right w:val="single" w:sz="0" w:space="0" w:color="000000"/>
              </w:pBdr>
              <w:shd w:val="clear" w:color="auto" w:fill="000000"/>
              <w:spacing w:line="209" w:lineRule="auto"/>
              <w:ind w:left="380" w:firstLine="0"/>
              <w:rPr>
                <w:sz w:val="24"/>
                <w:szCs w:val="24"/>
              </w:rPr>
            </w:pPr>
            <w:r>
              <w:rPr>
                <w:rFonts w:ascii="Arial" w:eastAsia="Arial" w:hAnsi="Arial" w:cs="Arial"/>
                <w:b/>
                <w:bCs/>
                <w:color w:val="FFFFFF"/>
                <w:w w:val="70"/>
                <w:sz w:val="24"/>
                <w:szCs w:val="24"/>
              </w:rPr>
              <w:t>Tratamiento de adolescentes</w:t>
            </w:r>
          </w:p>
        </w:tc>
        <w:tc>
          <w:tcPr>
            <w:tcW w:w="3130" w:type="dxa"/>
            <w:shd w:val="clear" w:color="auto" w:fill="000000"/>
          </w:tcPr>
          <w:p w14:paraId="157F55B7" w14:textId="77777777" w:rsidR="00924992" w:rsidRDefault="00924992">
            <w:pPr>
              <w:pStyle w:val="Other0"/>
              <w:framePr w:w="10752" w:h="4930" w:wrap="none" w:hAnchor="page" w:x="630" w:y="1676"/>
              <w:pBdr>
                <w:top w:val="single" w:sz="0" w:space="0" w:color="000000"/>
                <w:left w:val="single" w:sz="0" w:space="0" w:color="000000"/>
                <w:bottom w:val="single" w:sz="0" w:space="0" w:color="000000"/>
                <w:right w:val="single" w:sz="0" w:space="0" w:color="000000"/>
              </w:pBdr>
              <w:shd w:val="clear" w:color="auto" w:fill="000000"/>
              <w:spacing w:line="209" w:lineRule="auto"/>
              <w:ind w:firstLine="0"/>
              <w:rPr>
                <w:sz w:val="24"/>
                <w:szCs w:val="24"/>
              </w:rPr>
            </w:pPr>
            <w:r>
              <w:rPr>
                <w:rFonts w:ascii="Arial" w:eastAsia="Arial" w:hAnsi="Arial" w:cs="Arial"/>
                <w:b/>
                <w:bCs/>
                <w:color w:val="FFFFFF"/>
                <w:w w:val="70"/>
                <w:sz w:val="24"/>
                <w:szCs w:val="24"/>
              </w:rPr>
              <w:t>Tratamiento del lactante/niño</w:t>
            </w:r>
          </w:p>
        </w:tc>
      </w:tr>
      <w:tr w:rsidR="00924992" w14:paraId="79E14F0F" w14:textId="77777777">
        <w:tblPrEx>
          <w:tblCellMar>
            <w:top w:w="0" w:type="dxa"/>
            <w:bottom w:w="0" w:type="dxa"/>
          </w:tblCellMar>
        </w:tblPrEx>
        <w:trPr>
          <w:trHeight w:hRule="exact" w:val="926"/>
        </w:trPr>
        <w:tc>
          <w:tcPr>
            <w:tcW w:w="2438" w:type="dxa"/>
            <w:shd w:val="clear" w:color="auto" w:fill="FFFFFF"/>
          </w:tcPr>
          <w:p w14:paraId="3D586ED0" w14:textId="77777777" w:rsidR="00924992" w:rsidRDefault="00924992">
            <w:pPr>
              <w:framePr w:w="10752" w:h="4930" w:wrap="none" w:hAnchor="page" w:x="630" w:y="1676"/>
              <w:rPr>
                <w:sz w:val="10"/>
                <w:szCs w:val="10"/>
              </w:rPr>
            </w:pPr>
          </w:p>
        </w:tc>
        <w:tc>
          <w:tcPr>
            <w:tcW w:w="2318" w:type="dxa"/>
            <w:shd w:val="clear" w:color="auto" w:fill="FFFFFF"/>
          </w:tcPr>
          <w:p w14:paraId="049FE860" w14:textId="77777777" w:rsidR="00924992" w:rsidRDefault="00924992">
            <w:pPr>
              <w:pStyle w:val="Other0"/>
              <w:framePr w:w="10752" w:h="4930" w:wrap="none" w:hAnchor="page" w:x="630" w:y="1676"/>
              <w:spacing w:line="240" w:lineRule="auto"/>
              <w:ind w:firstLine="140"/>
              <w:rPr>
                <w:sz w:val="16"/>
                <w:szCs w:val="16"/>
              </w:rPr>
            </w:pPr>
            <w:r>
              <w:rPr>
                <w:rFonts w:ascii="Times New Roman" w:eastAsia="Times New Roman" w:hAnsi="Times New Roman" w:cs="Times New Roman"/>
                <w:color w:val="000000"/>
                <w:sz w:val="16"/>
                <w:szCs w:val="16"/>
              </w:rPr>
              <w:t>Vaginosis bacteriana</w:t>
            </w:r>
          </w:p>
        </w:tc>
        <w:tc>
          <w:tcPr>
            <w:tcW w:w="2866" w:type="dxa"/>
            <w:shd w:val="clear" w:color="auto" w:fill="FFFFFF"/>
          </w:tcPr>
          <w:p w14:paraId="05A250F1" w14:textId="77777777" w:rsidR="00924992" w:rsidRDefault="00924992">
            <w:pPr>
              <w:framePr w:w="10752" w:h="4930" w:wrap="none" w:hAnchor="page" w:x="630" w:y="1676"/>
              <w:rPr>
                <w:sz w:val="10"/>
                <w:szCs w:val="10"/>
              </w:rPr>
            </w:pPr>
          </w:p>
        </w:tc>
        <w:tc>
          <w:tcPr>
            <w:tcW w:w="3130" w:type="dxa"/>
            <w:shd w:val="clear" w:color="auto" w:fill="FFFFFF"/>
            <w:vAlign w:val="bottom"/>
          </w:tcPr>
          <w:p w14:paraId="3F07EB84" w14:textId="77777777" w:rsidR="00924992" w:rsidRDefault="00924992">
            <w:pPr>
              <w:pStyle w:val="Other0"/>
              <w:framePr w:w="10752" w:h="4930" w:wrap="none" w:hAnchor="page" w:x="630" w:y="1676"/>
              <w:spacing w:line="266" w:lineRule="auto"/>
              <w:ind w:firstLine="0"/>
              <w:rPr>
                <w:sz w:val="17"/>
                <w:szCs w:val="17"/>
              </w:rPr>
            </w:pPr>
            <w:r>
              <w:rPr>
                <w:rFonts w:ascii="Times New Roman" w:eastAsia="Times New Roman" w:hAnsi="Times New Roman" w:cs="Times New Roman"/>
                <w:b/>
                <w:bCs/>
                <w:i/>
                <w:iCs/>
                <w:color w:val="000000"/>
                <w:sz w:val="17"/>
                <w:szCs w:val="17"/>
              </w:rPr>
              <w:t>Niños que pesan menos de 45 kg:</w:t>
            </w:r>
          </w:p>
          <w:p w14:paraId="2DE3091C" w14:textId="77777777" w:rsidR="00924992" w:rsidRDefault="00924992">
            <w:pPr>
              <w:pStyle w:val="Other0"/>
              <w:framePr w:w="10752" w:h="4930" w:wrap="none" w:hAnchor="page" w:x="630" w:y="1676"/>
              <w:spacing w:line="283" w:lineRule="auto"/>
              <w:ind w:left="140" w:hanging="140"/>
              <w:rPr>
                <w:sz w:val="16"/>
                <w:szCs w:val="16"/>
              </w:rPr>
            </w:pPr>
            <w:r>
              <w:rPr>
                <w:rFonts w:ascii="Times New Roman" w:eastAsia="Times New Roman" w:hAnsi="Times New Roman" w:cs="Times New Roman"/>
                <w:color w:val="000000"/>
                <w:sz w:val="16"/>
                <w:szCs w:val="16"/>
              </w:rPr>
              <w:t>Metronidazol, 15 mg/kg al día, ingeridos en dos fracciones (dosis máxima, 1 g/día) durante 7 días</w:t>
            </w:r>
          </w:p>
        </w:tc>
      </w:tr>
      <w:tr w:rsidR="00924992" w14:paraId="398D961C" w14:textId="77777777">
        <w:tblPrEx>
          <w:tblCellMar>
            <w:top w:w="0" w:type="dxa"/>
            <w:bottom w:w="0" w:type="dxa"/>
          </w:tblCellMar>
        </w:tblPrEx>
        <w:trPr>
          <w:trHeight w:hRule="exact" w:val="2376"/>
        </w:trPr>
        <w:tc>
          <w:tcPr>
            <w:tcW w:w="2438" w:type="dxa"/>
            <w:shd w:val="clear" w:color="auto" w:fill="FFFFFF"/>
          </w:tcPr>
          <w:p w14:paraId="53A2F520" w14:textId="77777777" w:rsidR="00924992" w:rsidRDefault="00924992">
            <w:pPr>
              <w:framePr w:w="10752" w:h="4930" w:wrap="none" w:hAnchor="page" w:x="630" w:y="1676"/>
              <w:rPr>
                <w:sz w:val="10"/>
                <w:szCs w:val="10"/>
              </w:rPr>
            </w:pPr>
          </w:p>
        </w:tc>
        <w:tc>
          <w:tcPr>
            <w:tcW w:w="2318" w:type="dxa"/>
            <w:shd w:val="clear" w:color="auto" w:fill="FFFFFF"/>
          </w:tcPr>
          <w:p w14:paraId="2DA29E13" w14:textId="77777777" w:rsidR="00924992" w:rsidRDefault="00924992">
            <w:pPr>
              <w:pStyle w:val="Other0"/>
              <w:framePr w:w="10752" w:h="4930" w:wrap="none" w:hAnchor="page" w:x="630" w:y="1676"/>
              <w:spacing w:line="240" w:lineRule="auto"/>
              <w:ind w:firstLine="140"/>
              <w:rPr>
                <w:sz w:val="16"/>
                <w:szCs w:val="16"/>
              </w:rPr>
            </w:pPr>
            <w:r>
              <w:rPr>
                <w:rFonts w:ascii="Times New Roman" w:eastAsia="Times New Roman" w:hAnsi="Times New Roman" w:cs="Times New Roman"/>
                <w:color w:val="000000"/>
                <w:sz w:val="16"/>
                <w:szCs w:val="16"/>
              </w:rPr>
              <w:t>HSV-infección primaria</w:t>
            </w:r>
          </w:p>
        </w:tc>
        <w:tc>
          <w:tcPr>
            <w:tcW w:w="2866" w:type="dxa"/>
            <w:shd w:val="clear" w:color="auto" w:fill="FFFFFF"/>
            <w:vAlign w:val="bottom"/>
          </w:tcPr>
          <w:p w14:paraId="52970363" w14:textId="77777777" w:rsidR="00924992" w:rsidRDefault="00924992">
            <w:pPr>
              <w:pStyle w:val="Other0"/>
              <w:framePr w:w="10752" w:h="4930" w:wrap="none" w:hAnchor="page" w:x="630" w:y="1676"/>
              <w:spacing w:line="283" w:lineRule="auto"/>
              <w:ind w:left="480" w:hanging="100"/>
              <w:rPr>
                <w:sz w:val="16"/>
                <w:szCs w:val="16"/>
              </w:rPr>
            </w:pPr>
            <w:r>
              <w:rPr>
                <w:rFonts w:ascii="Times New Roman" w:eastAsia="Times New Roman" w:hAnsi="Times New Roman" w:cs="Times New Roman"/>
                <w:color w:val="000000"/>
                <w:sz w:val="16"/>
                <w:szCs w:val="16"/>
              </w:rPr>
              <w:t>Aciclovir, 400 mg ingeridos tres veces al día durante 7-10 días</w:t>
            </w:r>
          </w:p>
          <w:p w14:paraId="0669C78F" w14:textId="77777777" w:rsidR="00924992" w:rsidRDefault="00924992">
            <w:pPr>
              <w:pStyle w:val="Other0"/>
              <w:framePr w:w="10752" w:h="4930" w:wrap="none" w:hAnchor="page" w:x="630" w:y="1676"/>
              <w:spacing w:line="283" w:lineRule="auto"/>
              <w:ind w:firstLine="380"/>
              <w:rPr>
                <w:sz w:val="16"/>
                <w:szCs w:val="16"/>
              </w:rPr>
            </w:pPr>
            <w:r>
              <w:rPr>
                <w:rFonts w:ascii="Times New Roman" w:eastAsia="Times New Roman" w:hAnsi="Times New Roman" w:cs="Times New Roman"/>
                <w:b/>
                <w:bCs/>
                <w:color w:val="000000"/>
                <w:sz w:val="16"/>
                <w:szCs w:val="16"/>
              </w:rPr>
              <w:t>O</w:t>
            </w:r>
          </w:p>
          <w:p w14:paraId="23195D37" w14:textId="77777777" w:rsidR="00924992" w:rsidRDefault="00924992">
            <w:pPr>
              <w:pStyle w:val="Other0"/>
              <w:framePr w:w="10752" w:h="4930" w:wrap="none" w:hAnchor="page" w:x="630" w:y="1676"/>
              <w:spacing w:line="283" w:lineRule="auto"/>
              <w:ind w:left="480" w:hanging="100"/>
              <w:rPr>
                <w:sz w:val="16"/>
                <w:szCs w:val="16"/>
              </w:rPr>
            </w:pPr>
            <w:r>
              <w:rPr>
                <w:rFonts w:ascii="Times New Roman" w:eastAsia="Times New Roman" w:hAnsi="Times New Roman" w:cs="Times New Roman"/>
                <w:color w:val="000000"/>
                <w:sz w:val="16"/>
                <w:szCs w:val="16"/>
              </w:rPr>
              <w:t>Aciclovir, 200 mg ingeridos cinco veces al día durante 7-10 días</w:t>
            </w:r>
          </w:p>
          <w:p w14:paraId="1F19DD86" w14:textId="77777777" w:rsidR="00924992" w:rsidRDefault="00924992">
            <w:pPr>
              <w:pStyle w:val="Other0"/>
              <w:framePr w:w="10752" w:h="4930" w:wrap="none" w:hAnchor="page" w:x="630" w:y="1676"/>
              <w:spacing w:line="283" w:lineRule="auto"/>
              <w:ind w:firstLine="380"/>
              <w:rPr>
                <w:sz w:val="16"/>
                <w:szCs w:val="16"/>
              </w:rPr>
            </w:pPr>
            <w:r>
              <w:rPr>
                <w:rFonts w:ascii="Times New Roman" w:eastAsia="Times New Roman" w:hAnsi="Times New Roman" w:cs="Times New Roman"/>
                <w:b/>
                <w:bCs/>
                <w:color w:val="000000"/>
                <w:sz w:val="16"/>
                <w:szCs w:val="16"/>
              </w:rPr>
              <w:t>O</w:t>
            </w:r>
          </w:p>
          <w:p w14:paraId="3E542FA7" w14:textId="77777777" w:rsidR="00924992" w:rsidRDefault="00924992">
            <w:pPr>
              <w:pStyle w:val="Other0"/>
              <w:framePr w:w="10752" w:h="4930" w:wrap="none" w:hAnchor="page" w:x="630" w:y="1676"/>
              <w:spacing w:line="283" w:lineRule="auto"/>
              <w:ind w:left="480" w:hanging="100"/>
              <w:rPr>
                <w:sz w:val="16"/>
                <w:szCs w:val="16"/>
              </w:rPr>
            </w:pPr>
            <w:r>
              <w:rPr>
                <w:rFonts w:ascii="Times New Roman" w:eastAsia="Times New Roman" w:hAnsi="Times New Roman" w:cs="Times New Roman"/>
                <w:color w:val="000000"/>
                <w:sz w:val="16"/>
                <w:szCs w:val="16"/>
              </w:rPr>
              <w:t>Famciclovir (250 mg ingeridos tres veces al día) durante 7-10 días</w:t>
            </w:r>
          </w:p>
          <w:p w14:paraId="3EB4E891" w14:textId="77777777" w:rsidR="00924992" w:rsidRDefault="00924992">
            <w:pPr>
              <w:pStyle w:val="Other0"/>
              <w:framePr w:w="10752" w:h="4930" w:wrap="none" w:hAnchor="page" w:x="630" w:y="1676"/>
              <w:spacing w:line="283" w:lineRule="auto"/>
              <w:ind w:firstLine="380"/>
              <w:rPr>
                <w:sz w:val="16"/>
                <w:szCs w:val="16"/>
              </w:rPr>
            </w:pPr>
            <w:r>
              <w:rPr>
                <w:rFonts w:ascii="Times New Roman" w:eastAsia="Times New Roman" w:hAnsi="Times New Roman" w:cs="Times New Roman"/>
                <w:b/>
                <w:bCs/>
                <w:color w:val="000000"/>
                <w:sz w:val="16"/>
                <w:szCs w:val="16"/>
              </w:rPr>
              <w:t>O</w:t>
            </w:r>
          </w:p>
          <w:p w14:paraId="3D4AE6C8" w14:textId="77777777" w:rsidR="00924992" w:rsidRDefault="00924992">
            <w:pPr>
              <w:pStyle w:val="Other0"/>
              <w:framePr w:w="10752" w:h="4930" w:wrap="none" w:hAnchor="page" w:x="630" w:y="1676"/>
              <w:spacing w:line="283" w:lineRule="auto"/>
              <w:ind w:left="480" w:hanging="100"/>
              <w:rPr>
                <w:sz w:val="16"/>
                <w:szCs w:val="16"/>
              </w:rPr>
            </w:pPr>
            <w:r>
              <w:rPr>
                <w:rFonts w:ascii="Times New Roman" w:eastAsia="Times New Roman" w:hAnsi="Times New Roman" w:cs="Times New Roman"/>
                <w:color w:val="000000"/>
                <w:sz w:val="16"/>
                <w:szCs w:val="16"/>
              </w:rPr>
              <w:t>Valaciclovir (1 g ingerido dos veces al día) durante 7-10 días</w:t>
            </w:r>
          </w:p>
        </w:tc>
        <w:tc>
          <w:tcPr>
            <w:tcW w:w="3130" w:type="dxa"/>
            <w:shd w:val="clear" w:color="auto" w:fill="FFFFFF"/>
          </w:tcPr>
          <w:p w14:paraId="7D8453E7" w14:textId="77777777" w:rsidR="00924992" w:rsidRDefault="00924992">
            <w:pPr>
              <w:pStyle w:val="Other0"/>
              <w:framePr w:w="10752" w:h="4930" w:wrap="none" w:hAnchor="page" w:x="630" w:y="1676"/>
              <w:spacing w:line="266" w:lineRule="auto"/>
              <w:ind w:firstLine="0"/>
              <w:rPr>
                <w:sz w:val="17"/>
                <w:szCs w:val="17"/>
              </w:rPr>
            </w:pPr>
            <w:r>
              <w:rPr>
                <w:rFonts w:ascii="Times New Roman" w:eastAsia="Times New Roman" w:hAnsi="Times New Roman" w:cs="Times New Roman"/>
                <w:b/>
                <w:bCs/>
                <w:i/>
                <w:iCs/>
                <w:color w:val="000000"/>
                <w:sz w:val="17"/>
                <w:szCs w:val="17"/>
              </w:rPr>
              <w:t>Niños que pesan menos de 45 kg:</w:t>
            </w:r>
          </w:p>
          <w:p w14:paraId="5893CF89" w14:textId="77777777" w:rsidR="00924992" w:rsidRDefault="00924992">
            <w:pPr>
              <w:pStyle w:val="Other0"/>
              <w:framePr w:w="10752" w:h="4930" w:wrap="none" w:hAnchor="page" w:x="630" w:y="1676"/>
              <w:spacing w:line="283" w:lineRule="auto"/>
              <w:ind w:left="140" w:hanging="140"/>
              <w:rPr>
                <w:sz w:val="16"/>
                <w:szCs w:val="16"/>
              </w:rPr>
            </w:pPr>
            <w:r>
              <w:rPr>
                <w:rFonts w:ascii="Times New Roman" w:eastAsia="Times New Roman" w:hAnsi="Times New Roman" w:cs="Times New Roman"/>
                <w:color w:val="000000"/>
                <w:sz w:val="16"/>
                <w:szCs w:val="16"/>
              </w:rPr>
              <w:t>Aciclovir, 80 mg/kg de peso al día, ingeridos en tres a cuatro fracciones (dosis máxima, 1.2 g/día) durante 7-10 días</w:t>
            </w:r>
          </w:p>
        </w:tc>
      </w:tr>
      <w:tr w:rsidR="00924992" w14:paraId="6AA304AA" w14:textId="77777777">
        <w:tblPrEx>
          <w:tblCellMar>
            <w:top w:w="0" w:type="dxa"/>
            <w:bottom w:w="0" w:type="dxa"/>
          </w:tblCellMar>
        </w:tblPrEx>
        <w:trPr>
          <w:trHeight w:hRule="exact" w:val="1070"/>
        </w:trPr>
        <w:tc>
          <w:tcPr>
            <w:tcW w:w="2438" w:type="dxa"/>
            <w:shd w:val="clear" w:color="auto" w:fill="FFFFFF"/>
          </w:tcPr>
          <w:p w14:paraId="07C473C3" w14:textId="77777777" w:rsidR="00924992" w:rsidRDefault="00924992">
            <w:pPr>
              <w:pStyle w:val="Other0"/>
              <w:framePr w:w="10752" w:h="4930" w:wrap="none" w:hAnchor="page" w:x="630" w:y="1676"/>
              <w:spacing w:line="240" w:lineRule="auto"/>
              <w:ind w:firstLine="0"/>
              <w:rPr>
                <w:sz w:val="16"/>
                <w:szCs w:val="16"/>
              </w:rPr>
            </w:pPr>
            <w:r>
              <w:rPr>
                <w:rFonts w:ascii="Times New Roman" w:eastAsia="Times New Roman" w:hAnsi="Times New Roman" w:cs="Times New Roman"/>
                <w:b/>
                <w:bCs/>
                <w:color w:val="000000"/>
                <w:sz w:val="16"/>
                <w:szCs w:val="16"/>
              </w:rPr>
              <w:t>Vulvovaginitis en adolescentes</w:t>
            </w:r>
          </w:p>
        </w:tc>
        <w:tc>
          <w:tcPr>
            <w:tcW w:w="2318" w:type="dxa"/>
            <w:shd w:val="clear" w:color="auto" w:fill="FFFFFF"/>
          </w:tcPr>
          <w:p w14:paraId="1699AD2D" w14:textId="77777777" w:rsidR="00924992" w:rsidRDefault="00924992">
            <w:pPr>
              <w:pStyle w:val="Other0"/>
              <w:framePr w:w="10752" w:h="4930" w:wrap="none" w:hAnchor="page" w:x="630" w:y="1676"/>
              <w:spacing w:line="240" w:lineRule="auto"/>
              <w:ind w:firstLine="140"/>
              <w:rPr>
                <w:sz w:val="16"/>
                <w:szCs w:val="16"/>
              </w:rPr>
            </w:pPr>
            <w:r>
              <w:rPr>
                <w:rFonts w:ascii="Times New Roman" w:eastAsia="Times New Roman" w:hAnsi="Times New Roman" w:cs="Times New Roman"/>
                <w:i/>
                <w:iCs/>
                <w:color w:val="000000"/>
                <w:sz w:val="16"/>
                <w:szCs w:val="16"/>
              </w:rPr>
              <w:t>T vaginalis</w:t>
            </w:r>
          </w:p>
        </w:tc>
        <w:tc>
          <w:tcPr>
            <w:tcW w:w="2866" w:type="dxa"/>
            <w:shd w:val="clear" w:color="auto" w:fill="FFFFFF"/>
            <w:vAlign w:val="bottom"/>
          </w:tcPr>
          <w:p w14:paraId="209546B4" w14:textId="77777777" w:rsidR="00924992" w:rsidRDefault="00924992">
            <w:pPr>
              <w:pStyle w:val="Other0"/>
              <w:framePr w:w="10752" w:h="4930" w:wrap="none" w:hAnchor="page" w:x="630" w:y="1676"/>
              <w:spacing w:line="283" w:lineRule="auto"/>
              <w:ind w:left="480" w:hanging="100"/>
              <w:rPr>
                <w:sz w:val="16"/>
                <w:szCs w:val="16"/>
              </w:rPr>
            </w:pPr>
            <w:r>
              <w:rPr>
                <w:rFonts w:ascii="Times New Roman" w:eastAsia="Times New Roman" w:hAnsi="Times New Roman" w:cs="Times New Roman"/>
                <w:color w:val="000000"/>
                <w:sz w:val="16"/>
                <w:szCs w:val="16"/>
              </w:rPr>
              <w:t>Metronidazol, 2 g ingeridos en una sola dosis</w:t>
            </w:r>
          </w:p>
          <w:p w14:paraId="19C63971" w14:textId="77777777" w:rsidR="00924992" w:rsidRDefault="00924992">
            <w:pPr>
              <w:pStyle w:val="Other0"/>
              <w:framePr w:w="10752" w:h="4930" w:wrap="none" w:hAnchor="page" w:x="630" w:y="1676"/>
              <w:spacing w:line="283" w:lineRule="auto"/>
              <w:ind w:firstLine="380"/>
              <w:rPr>
                <w:sz w:val="16"/>
                <w:szCs w:val="16"/>
              </w:rPr>
            </w:pPr>
            <w:r>
              <w:rPr>
                <w:rFonts w:ascii="Times New Roman" w:eastAsia="Times New Roman" w:hAnsi="Times New Roman" w:cs="Times New Roman"/>
                <w:b/>
                <w:bCs/>
                <w:color w:val="000000"/>
                <w:sz w:val="16"/>
                <w:szCs w:val="16"/>
              </w:rPr>
              <w:t>O</w:t>
            </w:r>
          </w:p>
          <w:p w14:paraId="6496538E" w14:textId="77777777" w:rsidR="00924992" w:rsidRDefault="00924992">
            <w:pPr>
              <w:pStyle w:val="Other0"/>
              <w:framePr w:w="10752" w:h="4930" w:wrap="none" w:hAnchor="page" w:x="630" w:y="1676"/>
              <w:spacing w:line="283" w:lineRule="auto"/>
              <w:ind w:left="480" w:hanging="100"/>
              <w:rPr>
                <w:sz w:val="16"/>
                <w:szCs w:val="16"/>
              </w:rPr>
            </w:pPr>
            <w:r>
              <w:rPr>
                <w:rFonts w:ascii="Times New Roman" w:eastAsia="Times New Roman" w:hAnsi="Times New Roman" w:cs="Times New Roman"/>
                <w:color w:val="000000"/>
                <w:sz w:val="16"/>
                <w:szCs w:val="16"/>
              </w:rPr>
              <w:t>Metronidazol, 500 mg dos veces al día durante 7 días</w:t>
            </w:r>
          </w:p>
        </w:tc>
        <w:tc>
          <w:tcPr>
            <w:tcW w:w="3130" w:type="dxa"/>
            <w:shd w:val="clear" w:color="auto" w:fill="FFFFFF"/>
          </w:tcPr>
          <w:p w14:paraId="76104E91" w14:textId="77777777" w:rsidR="00924992" w:rsidRDefault="00924992">
            <w:pPr>
              <w:framePr w:w="10752" w:h="4930" w:wrap="none" w:hAnchor="page" w:x="630" w:y="1676"/>
              <w:rPr>
                <w:sz w:val="10"/>
                <w:szCs w:val="10"/>
              </w:rPr>
            </w:pPr>
          </w:p>
        </w:tc>
      </w:tr>
    </w:tbl>
    <w:p w14:paraId="0AF6CE7E" w14:textId="77777777" w:rsidR="00924992" w:rsidRDefault="00924992">
      <w:pPr>
        <w:framePr w:w="10752" w:h="4930" w:wrap="none" w:hAnchor="page" w:x="630" w:y="1676"/>
        <w:spacing w:line="1" w:lineRule="exact"/>
      </w:pPr>
    </w:p>
    <w:p w14:paraId="395C7E5B" w14:textId="77777777" w:rsidR="00924992" w:rsidRDefault="00924992">
      <w:pPr>
        <w:pStyle w:val="Bodytext80"/>
        <w:framePr w:w="192" w:h="4963" w:hRule="exact" w:wrap="none" w:hAnchor="page" w:x="12390" w:y="30"/>
        <w:tabs>
          <w:tab w:val="left" w:pos="1915"/>
        </w:tabs>
        <w:textDirection w:val="tbRl"/>
      </w:pPr>
      <w:r>
        <w:rPr>
          <w:sz w:val="16"/>
          <w:szCs w:val="16"/>
        </w:rPr>
        <w:t>750</w:t>
      </w:r>
      <w:r>
        <w:rPr>
          <w:sz w:val="16"/>
          <w:szCs w:val="16"/>
        </w:rPr>
        <w:tab/>
      </w:r>
      <w:r>
        <w:t>ENFERMEDADES DE TRANSMISIÓN SEXUAL</w:t>
      </w:r>
    </w:p>
    <w:p w14:paraId="2C6846F2" w14:textId="77777777" w:rsidR="00924992" w:rsidRDefault="00924992">
      <w:pPr>
        <w:spacing w:line="360" w:lineRule="exact"/>
      </w:pPr>
    </w:p>
    <w:p w14:paraId="37767C3E" w14:textId="77777777" w:rsidR="00924992" w:rsidRDefault="00924992">
      <w:pPr>
        <w:spacing w:line="360" w:lineRule="exact"/>
      </w:pPr>
    </w:p>
    <w:p w14:paraId="5789378E" w14:textId="77777777" w:rsidR="00924992" w:rsidRDefault="00924992">
      <w:pPr>
        <w:spacing w:line="360" w:lineRule="exact"/>
      </w:pPr>
    </w:p>
    <w:p w14:paraId="4625250B" w14:textId="77777777" w:rsidR="00924992" w:rsidRDefault="00924992">
      <w:pPr>
        <w:spacing w:line="360" w:lineRule="exact"/>
      </w:pPr>
    </w:p>
    <w:p w14:paraId="1A0AE466" w14:textId="77777777" w:rsidR="00924992" w:rsidRDefault="00924992">
      <w:pPr>
        <w:spacing w:line="360" w:lineRule="exact"/>
      </w:pPr>
    </w:p>
    <w:p w14:paraId="2EE8E8E2" w14:textId="77777777" w:rsidR="00924992" w:rsidRDefault="00924992">
      <w:pPr>
        <w:spacing w:line="360" w:lineRule="exact"/>
      </w:pPr>
    </w:p>
    <w:p w14:paraId="383AF90C" w14:textId="77777777" w:rsidR="00924992" w:rsidRDefault="00924992">
      <w:pPr>
        <w:spacing w:line="360" w:lineRule="exact"/>
      </w:pPr>
    </w:p>
    <w:p w14:paraId="49711E1F" w14:textId="77777777" w:rsidR="00924992" w:rsidRDefault="00924992">
      <w:pPr>
        <w:spacing w:line="360" w:lineRule="exact"/>
      </w:pPr>
    </w:p>
    <w:p w14:paraId="139D6029" w14:textId="77777777" w:rsidR="00924992" w:rsidRDefault="00924992">
      <w:pPr>
        <w:spacing w:line="360" w:lineRule="exact"/>
      </w:pPr>
    </w:p>
    <w:p w14:paraId="177EB0A8" w14:textId="77777777" w:rsidR="00924992" w:rsidRDefault="00924992">
      <w:pPr>
        <w:spacing w:line="360" w:lineRule="exact"/>
      </w:pPr>
    </w:p>
    <w:p w14:paraId="724BD380" w14:textId="77777777" w:rsidR="00924992" w:rsidRDefault="00924992">
      <w:pPr>
        <w:spacing w:line="360" w:lineRule="exact"/>
      </w:pPr>
    </w:p>
    <w:p w14:paraId="61FDD7B9" w14:textId="77777777" w:rsidR="00924992" w:rsidRDefault="00924992">
      <w:pPr>
        <w:spacing w:line="360" w:lineRule="exact"/>
      </w:pPr>
    </w:p>
    <w:p w14:paraId="6249C8B8" w14:textId="77777777" w:rsidR="00924992" w:rsidRDefault="00924992">
      <w:pPr>
        <w:spacing w:line="360" w:lineRule="exact"/>
      </w:pPr>
    </w:p>
    <w:p w14:paraId="43A625FE" w14:textId="77777777" w:rsidR="00924992" w:rsidRDefault="00924992">
      <w:pPr>
        <w:spacing w:line="360" w:lineRule="exact"/>
      </w:pPr>
    </w:p>
    <w:p w14:paraId="580C515F" w14:textId="77777777" w:rsidR="00924992" w:rsidRDefault="00924992">
      <w:pPr>
        <w:spacing w:line="360" w:lineRule="exact"/>
      </w:pPr>
    </w:p>
    <w:p w14:paraId="6B9A8A04" w14:textId="77777777" w:rsidR="00924992" w:rsidRDefault="00924992">
      <w:pPr>
        <w:spacing w:line="360" w:lineRule="exact"/>
      </w:pPr>
    </w:p>
    <w:p w14:paraId="22ADB9DC" w14:textId="77777777" w:rsidR="00924992" w:rsidRDefault="00924992">
      <w:pPr>
        <w:spacing w:line="360" w:lineRule="exact"/>
      </w:pPr>
    </w:p>
    <w:p w14:paraId="7DBFF0E1" w14:textId="77777777" w:rsidR="00924992" w:rsidRDefault="00924992">
      <w:pPr>
        <w:spacing w:after="484" w:line="1" w:lineRule="exact"/>
      </w:pPr>
    </w:p>
    <w:p w14:paraId="4788DE46" w14:textId="77777777" w:rsidR="00924992" w:rsidRDefault="00924992">
      <w:pPr>
        <w:spacing w:line="1" w:lineRule="exact"/>
        <w:sectPr w:rsidR="00924992" w:rsidSect="00924992">
          <w:pgSz w:w="13022" w:h="8501" w:orient="landscape"/>
          <w:pgMar w:top="475" w:right="442" w:bottom="1162" w:left="629" w:header="47" w:footer="3" w:gutter="0"/>
          <w:cols w:space="720"/>
          <w:noEndnote/>
          <w:docGrid w:linePitch="360"/>
          <w15:footnoteColumns w:val="1"/>
        </w:sectPr>
      </w:pPr>
    </w:p>
    <w:p w14:paraId="68C40B0E" w14:textId="77777777" w:rsidR="00924992" w:rsidRDefault="00924992">
      <w:pPr>
        <w:spacing w:line="1" w:lineRule="exact"/>
      </w:pPr>
      <w:r>
        <w:rPr>
          <w:noProof/>
        </w:rPr>
        <mc:AlternateContent>
          <mc:Choice Requires="wps">
            <w:drawing>
              <wp:anchor distT="0" distB="182880" distL="0" distR="0" simplePos="0" relativeHeight="251679744" behindDoc="0" locked="0" layoutInCell="1" allowOverlap="1" wp14:anchorId="19A3B3D3" wp14:editId="383665A4">
                <wp:simplePos x="0" y="0"/>
                <wp:positionH relativeFrom="page">
                  <wp:posOffset>402590</wp:posOffset>
                </wp:positionH>
                <wp:positionV relativeFrom="paragraph">
                  <wp:posOffset>1060450</wp:posOffset>
                </wp:positionV>
                <wp:extent cx="6827520" cy="368935"/>
                <wp:effectExtent l="0" t="0" r="0" b="0"/>
                <wp:wrapTopAndBottom/>
                <wp:docPr id="2263" name="Shape 2263"/>
                <wp:cNvGraphicFramePr/>
                <a:graphic xmlns:a="http://schemas.openxmlformats.org/drawingml/2006/main">
                  <a:graphicData uri="http://schemas.microsoft.com/office/word/2010/wordprocessingShape">
                    <wps:wsp>
                      <wps:cNvSpPr txBox="1"/>
                      <wps:spPr>
                        <a:xfrm>
                          <a:off x="0" y="0"/>
                          <a:ext cx="6827520" cy="368935"/>
                        </a:xfrm>
                        <a:prstGeom prst="rect">
                          <a:avLst/>
                        </a:prstGeom>
                        <a:noFill/>
                      </wps:spPr>
                      <wps:txbx>
                        <w:txbxContent>
                          <w:tbl>
                            <w:tblPr>
                              <w:tblOverlap w:val="never"/>
                              <w:tblW w:w="0" w:type="auto"/>
                              <w:tblLayout w:type="fixed"/>
                              <w:tblCellMar>
                                <w:left w:w="10" w:type="dxa"/>
                                <w:right w:w="10" w:type="dxa"/>
                              </w:tblCellMar>
                              <w:tblLook w:val="04A0" w:firstRow="1" w:lastRow="0" w:firstColumn="1" w:lastColumn="0" w:noHBand="0" w:noVBand="1"/>
                            </w:tblPr>
                            <w:tblGrid>
                              <w:gridCol w:w="1714"/>
                              <w:gridCol w:w="3058"/>
                              <w:gridCol w:w="2261"/>
                              <w:gridCol w:w="3720"/>
                            </w:tblGrid>
                            <w:tr w:rsidR="00924992" w14:paraId="6023E59D" w14:textId="77777777">
                              <w:tblPrEx>
                                <w:tblCellMar>
                                  <w:top w:w="0" w:type="dxa"/>
                                  <w:bottom w:w="0" w:type="dxa"/>
                                </w:tblCellMar>
                              </w:tblPrEx>
                              <w:trPr>
                                <w:trHeight w:hRule="exact" w:val="278"/>
                                <w:tblHeader/>
                              </w:trPr>
                              <w:tc>
                                <w:tcPr>
                                  <w:tcW w:w="1714" w:type="dxa"/>
                                  <w:shd w:val="clear" w:color="auto" w:fill="000000"/>
                                  <w:vAlign w:val="bottom"/>
                                </w:tcPr>
                                <w:p w14:paraId="2C9310B3" w14:textId="77777777" w:rsidR="00924992" w:rsidRDefault="00924992">
                                  <w:pPr>
                                    <w:pStyle w:val="Other0"/>
                                    <w:pBdr>
                                      <w:top w:val="single" w:sz="0" w:space="0" w:color="000000"/>
                                      <w:left w:val="single" w:sz="0" w:space="0" w:color="000000"/>
                                      <w:bottom w:val="single" w:sz="0" w:space="0" w:color="000000"/>
                                      <w:right w:val="single" w:sz="0" w:space="0" w:color="000000"/>
                                    </w:pBdr>
                                    <w:shd w:val="clear" w:color="auto" w:fill="000000"/>
                                    <w:spacing w:line="240" w:lineRule="auto"/>
                                    <w:ind w:firstLine="0"/>
                                    <w:rPr>
                                      <w:sz w:val="24"/>
                                      <w:szCs w:val="24"/>
                                    </w:rPr>
                                  </w:pPr>
                                  <w:r>
                                    <w:rPr>
                                      <w:rFonts w:ascii="Arial" w:eastAsia="Arial" w:hAnsi="Arial" w:cs="Arial"/>
                                      <w:b/>
                                      <w:bCs/>
                                      <w:color w:val="FFFFFF"/>
                                      <w:w w:val="70"/>
                                      <w:sz w:val="24"/>
                                      <w:szCs w:val="24"/>
                                    </w:rPr>
                                    <w:t>Síndrome</w:t>
                                  </w:r>
                                </w:p>
                              </w:tc>
                              <w:tc>
                                <w:tcPr>
                                  <w:tcW w:w="3058" w:type="dxa"/>
                                  <w:shd w:val="clear" w:color="auto" w:fill="000000"/>
                                  <w:vAlign w:val="bottom"/>
                                </w:tcPr>
                                <w:p w14:paraId="20F46EB5" w14:textId="77777777" w:rsidR="00924992" w:rsidRDefault="00924992">
                                  <w:pPr>
                                    <w:pStyle w:val="Other0"/>
                                    <w:pBdr>
                                      <w:top w:val="single" w:sz="0" w:space="0" w:color="000000"/>
                                      <w:left w:val="single" w:sz="0" w:space="0" w:color="000000"/>
                                      <w:bottom w:val="single" w:sz="0" w:space="0" w:color="000000"/>
                                      <w:right w:val="single" w:sz="0" w:space="0" w:color="000000"/>
                                    </w:pBdr>
                                    <w:shd w:val="clear" w:color="auto" w:fill="000000"/>
                                    <w:spacing w:line="240" w:lineRule="auto"/>
                                    <w:ind w:firstLine="880"/>
                                    <w:rPr>
                                      <w:sz w:val="24"/>
                                      <w:szCs w:val="24"/>
                                    </w:rPr>
                                  </w:pPr>
                                  <w:r>
                                    <w:rPr>
                                      <w:rFonts w:ascii="Arial" w:eastAsia="Arial" w:hAnsi="Arial" w:cs="Arial"/>
                                      <w:b/>
                                      <w:bCs/>
                                      <w:color w:val="FFFFFF"/>
                                      <w:w w:val="70"/>
                                      <w:sz w:val="24"/>
                                      <w:szCs w:val="24"/>
                                    </w:rPr>
                                    <w:t>Microorganismos/</w:t>
                                  </w:r>
                                </w:p>
                              </w:tc>
                              <w:tc>
                                <w:tcPr>
                                  <w:tcW w:w="2261" w:type="dxa"/>
                                  <w:shd w:val="clear" w:color="auto" w:fill="000000"/>
                                  <w:vAlign w:val="bottom"/>
                                </w:tcPr>
                                <w:p w14:paraId="5C47DAC3" w14:textId="77777777" w:rsidR="00924992" w:rsidRDefault="00924992">
                                  <w:pPr>
                                    <w:pStyle w:val="Other0"/>
                                    <w:pBdr>
                                      <w:top w:val="single" w:sz="0" w:space="0" w:color="000000"/>
                                      <w:left w:val="single" w:sz="0" w:space="0" w:color="000000"/>
                                      <w:bottom w:val="single" w:sz="0" w:space="0" w:color="000000"/>
                                      <w:right w:val="single" w:sz="0" w:space="0" w:color="000000"/>
                                    </w:pBdr>
                                    <w:shd w:val="clear" w:color="auto" w:fill="000000"/>
                                    <w:spacing w:line="240" w:lineRule="auto"/>
                                    <w:ind w:firstLine="380"/>
                                    <w:rPr>
                                      <w:sz w:val="24"/>
                                      <w:szCs w:val="24"/>
                                    </w:rPr>
                                  </w:pPr>
                                  <w:r>
                                    <w:rPr>
                                      <w:rFonts w:ascii="Arial" w:eastAsia="Arial" w:hAnsi="Arial" w:cs="Arial"/>
                                      <w:b/>
                                      <w:bCs/>
                                      <w:color w:val="FFFFFF"/>
                                      <w:w w:val="70"/>
                                      <w:sz w:val="24"/>
                                      <w:szCs w:val="24"/>
                                    </w:rPr>
                                    <w:t>Tratamiento de</w:t>
                                  </w:r>
                                </w:p>
                              </w:tc>
                              <w:tc>
                                <w:tcPr>
                                  <w:tcW w:w="3720" w:type="dxa"/>
                                  <w:shd w:val="clear" w:color="auto" w:fill="000000"/>
                                  <w:vAlign w:val="bottom"/>
                                </w:tcPr>
                                <w:p w14:paraId="4BA04FD8" w14:textId="77777777" w:rsidR="00924992" w:rsidRDefault="00924992">
                                  <w:pPr>
                                    <w:pStyle w:val="Other0"/>
                                    <w:pBdr>
                                      <w:top w:val="single" w:sz="0" w:space="0" w:color="000000"/>
                                      <w:left w:val="single" w:sz="0" w:space="0" w:color="000000"/>
                                      <w:bottom w:val="single" w:sz="0" w:space="0" w:color="000000"/>
                                      <w:right w:val="single" w:sz="0" w:space="0" w:color="000000"/>
                                    </w:pBdr>
                                    <w:shd w:val="clear" w:color="auto" w:fill="000000"/>
                                    <w:spacing w:line="240" w:lineRule="auto"/>
                                    <w:ind w:firstLine="660"/>
                                    <w:rPr>
                                      <w:sz w:val="24"/>
                                      <w:szCs w:val="24"/>
                                    </w:rPr>
                                  </w:pPr>
                                  <w:r>
                                    <w:rPr>
                                      <w:rFonts w:ascii="Arial" w:eastAsia="Arial" w:hAnsi="Arial" w:cs="Arial"/>
                                      <w:b/>
                                      <w:bCs/>
                                      <w:color w:val="FFFFFF"/>
                                      <w:w w:val="70"/>
                                      <w:sz w:val="24"/>
                                      <w:szCs w:val="24"/>
                                    </w:rPr>
                                    <w:t>Tratamiento</w:t>
                                  </w:r>
                                </w:p>
                              </w:tc>
                            </w:tr>
                            <w:tr w:rsidR="00924992" w14:paraId="3FC0F454" w14:textId="77777777">
                              <w:tblPrEx>
                                <w:tblCellMar>
                                  <w:top w:w="0" w:type="dxa"/>
                                  <w:bottom w:w="0" w:type="dxa"/>
                                </w:tblCellMar>
                              </w:tblPrEx>
                              <w:trPr>
                                <w:trHeight w:hRule="exact" w:val="302"/>
                              </w:trPr>
                              <w:tc>
                                <w:tcPr>
                                  <w:tcW w:w="1714" w:type="dxa"/>
                                  <w:shd w:val="clear" w:color="auto" w:fill="000000"/>
                                </w:tcPr>
                                <w:p w14:paraId="5C2C9133" w14:textId="77777777" w:rsidR="00924992" w:rsidRDefault="00924992">
                                  <w:pPr>
                                    <w:rPr>
                                      <w:sz w:val="10"/>
                                      <w:szCs w:val="10"/>
                                    </w:rPr>
                                  </w:pPr>
                                </w:p>
                              </w:tc>
                              <w:tc>
                                <w:tcPr>
                                  <w:tcW w:w="3058" w:type="dxa"/>
                                  <w:shd w:val="clear" w:color="auto" w:fill="000000"/>
                                </w:tcPr>
                                <w:p w14:paraId="34CB3136" w14:textId="77777777" w:rsidR="00924992" w:rsidRDefault="00924992">
                                  <w:pPr>
                                    <w:pStyle w:val="Other0"/>
                                    <w:pBdr>
                                      <w:top w:val="single" w:sz="0" w:space="0" w:color="000000"/>
                                      <w:left w:val="single" w:sz="0" w:space="0" w:color="000000"/>
                                      <w:bottom w:val="single" w:sz="0" w:space="0" w:color="000000"/>
                                      <w:right w:val="single" w:sz="0" w:space="0" w:color="000000"/>
                                    </w:pBdr>
                                    <w:shd w:val="clear" w:color="auto" w:fill="000000"/>
                                    <w:spacing w:line="240" w:lineRule="auto"/>
                                    <w:ind w:firstLine="880"/>
                                    <w:rPr>
                                      <w:sz w:val="24"/>
                                      <w:szCs w:val="24"/>
                                    </w:rPr>
                                  </w:pPr>
                                  <w:r>
                                    <w:rPr>
                                      <w:rFonts w:ascii="Arial" w:eastAsia="Arial" w:hAnsi="Arial" w:cs="Arial"/>
                                      <w:b/>
                                      <w:bCs/>
                                      <w:color w:val="FFFFFF"/>
                                      <w:w w:val="70"/>
                                      <w:sz w:val="24"/>
                                      <w:szCs w:val="24"/>
                                    </w:rPr>
                                    <w:t>entidades patológicas</w:t>
                                  </w:r>
                                </w:p>
                              </w:tc>
                              <w:tc>
                                <w:tcPr>
                                  <w:tcW w:w="2261" w:type="dxa"/>
                                  <w:shd w:val="clear" w:color="auto" w:fill="000000"/>
                                </w:tcPr>
                                <w:p w14:paraId="722BBCBB" w14:textId="77777777" w:rsidR="00924992" w:rsidRDefault="00924992">
                                  <w:pPr>
                                    <w:pStyle w:val="Other0"/>
                                    <w:pBdr>
                                      <w:top w:val="single" w:sz="0" w:space="0" w:color="000000"/>
                                      <w:left w:val="single" w:sz="0" w:space="0" w:color="000000"/>
                                      <w:bottom w:val="single" w:sz="0" w:space="0" w:color="000000"/>
                                      <w:right w:val="single" w:sz="0" w:space="0" w:color="000000"/>
                                    </w:pBdr>
                                    <w:shd w:val="clear" w:color="auto" w:fill="000000"/>
                                    <w:spacing w:line="240" w:lineRule="auto"/>
                                    <w:ind w:firstLine="380"/>
                                    <w:rPr>
                                      <w:sz w:val="24"/>
                                      <w:szCs w:val="24"/>
                                    </w:rPr>
                                  </w:pPr>
                                  <w:r>
                                    <w:rPr>
                                      <w:rFonts w:ascii="Arial" w:eastAsia="Arial" w:hAnsi="Arial" w:cs="Arial"/>
                                      <w:b/>
                                      <w:bCs/>
                                      <w:color w:val="FFFFFF"/>
                                      <w:w w:val="70"/>
                                      <w:sz w:val="24"/>
                                      <w:szCs w:val="24"/>
                                    </w:rPr>
                                    <w:t>adolescentes</w:t>
                                  </w:r>
                                </w:p>
                              </w:tc>
                              <w:tc>
                                <w:tcPr>
                                  <w:tcW w:w="3720" w:type="dxa"/>
                                  <w:shd w:val="clear" w:color="auto" w:fill="000000"/>
                                </w:tcPr>
                                <w:p w14:paraId="12F44327" w14:textId="77777777" w:rsidR="00924992" w:rsidRDefault="00924992">
                                  <w:pPr>
                                    <w:pStyle w:val="Other0"/>
                                    <w:pBdr>
                                      <w:top w:val="single" w:sz="0" w:space="0" w:color="000000"/>
                                      <w:left w:val="single" w:sz="0" w:space="0" w:color="000000"/>
                                      <w:bottom w:val="single" w:sz="0" w:space="0" w:color="000000"/>
                                      <w:right w:val="single" w:sz="0" w:space="0" w:color="000000"/>
                                    </w:pBdr>
                                    <w:shd w:val="clear" w:color="auto" w:fill="000000"/>
                                    <w:spacing w:line="240" w:lineRule="auto"/>
                                    <w:ind w:firstLine="660"/>
                                    <w:rPr>
                                      <w:sz w:val="24"/>
                                      <w:szCs w:val="24"/>
                                    </w:rPr>
                                  </w:pPr>
                                  <w:r>
                                    <w:rPr>
                                      <w:rFonts w:ascii="Arial" w:eastAsia="Arial" w:hAnsi="Arial" w:cs="Arial"/>
                                      <w:b/>
                                      <w:bCs/>
                                      <w:color w:val="FFFFFF"/>
                                      <w:w w:val="70"/>
                                      <w:sz w:val="24"/>
                                      <w:szCs w:val="24"/>
                                    </w:rPr>
                                    <w:t>del lactante/niño</w:t>
                                  </w:r>
                                </w:p>
                              </w:tc>
                            </w:tr>
                          </w:tbl>
                          <w:p w14:paraId="686A0717" w14:textId="77777777" w:rsidR="00924992" w:rsidRDefault="00924992">
                            <w:pPr>
                              <w:spacing w:line="1" w:lineRule="exact"/>
                            </w:pPr>
                          </w:p>
                        </w:txbxContent>
                      </wps:txbx>
                      <wps:bodyPr lIns="0" tIns="0" rIns="0" bIns="0"/>
                    </wps:wsp>
                  </a:graphicData>
                </a:graphic>
              </wp:anchor>
            </w:drawing>
          </mc:Choice>
          <mc:Fallback>
            <w:pict>
              <v:shape w14:anchorId="19A3B3D3" id="Shape 2263" o:spid="_x0000_s1046" type="#_x0000_t202" style="position:absolute;margin-left:31.7pt;margin-top:83.5pt;width:537.6pt;height:29.05pt;z-index:251679744;visibility:visible;mso-wrap-style:square;mso-wrap-distance-left:0;mso-wrap-distance-top:0;mso-wrap-distance-right:0;mso-wrap-distance-bottom:14.4pt;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" filled="f" stroked="f">
                <v:textbox inset="0,0,0,0">
                  <w:txbxContent>
                    <w:tbl>
                      <w:tblPr>
                        <w:tblOverlap w:val="never"/>
                        <w:tblW w:w="0" w:type="auto"/>
                        <w:tblLayout w:type="fixed"/>
                        <w:tblCellMar>
                          <w:left w:w="10" w:type="dxa"/>
                          <w:right w:w="10" w:type="dxa"/>
                        </w:tblCellMar>
                        <w:tblLook w:val="04A0" w:firstRow="1" w:lastRow="0" w:firstColumn="1" w:lastColumn="0" w:noHBand="0" w:noVBand="1"/>
                      </w:tblPr>
                      <w:tblGrid>
                        <w:gridCol w:w="1714"/>
                        <w:gridCol w:w="3058"/>
                        <w:gridCol w:w="2261"/>
                        <w:gridCol w:w="3720"/>
                      </w:tblGrid>
                      <w:tr w:rsidR="00924992" w14:paraId="6023E59D" w14:textId="77777777">
                        <w:tblPrEx>
                          <w:tblCellMar>
                            <w:top w:w="0" w:type="dxa"/>
                            <w:bottom w:w="0" w:type="dxa"/>
                          </w:tblCellMar>
                        </w:tblPrEx>
                        <w:trPr>
                          <w:trHeight w:hRule="exact" w:val="278"/>
                          <w:tblHeader/>
                        </w:trPr>
                        <w:tc>
                          <w:tcPr>
                            <w:tcW w:w="1714" w:type="dxa"/>
                            <w:shd w:val="clear" w:color="auto" w:fill="000000"/>
                            <w:vAlign w:val="bottom"/>
                          </w:tcPr>
                          <w:p w14:paraId="2C9310B3" w14:textId="77777777" w:rsidR="00924992" w:rsidRDefault="00924992">
                            <w:pPr>
                              <w:pStyle w:val="Other0"/>
                              <w:pBdr>
                                <w:top w:val="single" w:sz="0" w:space="0" w:color="000000"/>
                                <w:left w:val="single" w:sz="0" w:space="0" w:color="000000"/>
                                <w:bottom w:val="single" w:sz="0" w:space="0" w:color="000000"/>
                                <w:right w:val="single" w:sz="0" w:space="0" w:color="000000"/>
                              </w:pBdr>
                              <w:shd w:val="clear" w:color="auto" w:fill="000000"/>
                              <w:spacing w:line="240" w:lineRule="auto"/>
                              <w:ind w:firstLine="0"/>
                              <w:rPr>
                                <w:sz w:val="24"/>
                                <w:szCs w:val="24"/>
                              </w:rPr>
                            </w:pPr>
                            <w:r>
                              <w:rPr>
                                <w:rFonts w:ascii="Arial" w:eastAsia="Arial" w:hAnsi="Arial" w:cs="Arial"/>
                                <w:b/>
                                <w:bCs/>
                                <w:color w:val="FFFFFF"/>
                                <w:w w:val="70"/>
                                <w:sz w:val="24"/>
                                <w:szCs w:val="24"/>
                              </w:rPr>
                              <w:t>Síndrome</w:t>
                            </w:r>
                          </w:p>
                        </w:tc>
                        <w:tc>
                          <w:tcPr>
                            <w:tcW w:w="3058" w:type="dxa"/>
                            <w:shd w:val="clear" w:color="auto" w:fill="000000"/>
                            <w:vAlign w:val="bottom"/>
                          </w:tcPr>
                          <w:p w14:paraId="20F46EB5" w14:textId="77777777" w:rsidR="00924992" w:rsidRDefault="00924992">
                            <w:pPr>
                              <w:pStyle w:val="Other0"/>
                              <w:pBdr>
                                <w:top w:val="single" w:sz="0" w:space="0" w:color="000000"/>
                                <w:left w:val="single" w:sz="0" w:space="0" w:color="000000"/>
                                <w:bottom w:val="single" w:sz="0" w:space="0" w:color="000000"/>
                                <w:right w:val="single" w:sz="0" w:space="0" w:color="000000"/>
                              </w:pBdr>
                              <w:shd w:val="clear" w:color="auto" w:fill="000000"/>
                              <w:spacing w:line="240" w:lineRule="auto"/>
                              <w:ind w:firstLine="880"/>
                              <w:rPr>
                                <w:sz w:val="24"/>
                                <w:szCs w:val="24"/>
                              </w:rPr>
                            </w:pPr>
                            <w:r>
                              <w:rPr>
                                <w:rFonts w:ascii="Arial" w:eastAsia="Arial" w:hAnsi="Arial" w:cs="Arial"/>
                                <w:b/>
                                <w:bCs/>
                                <w:color w:val="FFFFFF"/>
                                <w:w w:val="70"/>
                                <w:sz w:val="24"/>
                                <w:szCs w:val="24"/>
                              </w:rPr>
                              <w:t>Microorganismos/</w:t>
                            </w:r>
                          </w:p>
                        </w:tc>
                        <w:tc>
                          <w:tcPr>
                            <w:tcW w:w="2261" w:type="dxa"/>
                            <w:shd w:val="clear" w:color="auto" w:fill="000000"/>
                            <w:vAlign w:val="bottom"/>
                          </w:tcPr>
                          <w:p w14:paraId="5C47DAC3" w14:textId="77777777" w:rsidR="00924992" w:rsidRDefault="00924992">
                            <w:pPr>
                              <w:pStyle w:val="Other0"/>
                              <w:pBdr>
                                <w:top w:val="single" w:sz="0" w:space="0" w:color="000000"/>
                                <w:left w:val="single" w:sz="0" w:space="0" w:color="000000"/>
                                <w:bottom w:val="single" w:sz="0" w:space="0" w:color="000000"/>
                                <w:right w:val="single" w:sz="0" w:space="0" w:color="000000"/>
                              </w:pBdr>
                              <w:shd w:val="clear" w:color="auto" w:fill="000000"/>
                              <w:spacing w:line="240" w:lineRule="auto"/>
                              <w:ind w:firstLine="380"/>
                              <w:rPr>
                                <w:sz w:val="24"/>
                                <w:szCs w:val="24"/>
                              </w:rPr>
                            </w:pPr>
                            <w:r>
                              <w:rPr>
                                <w:rFonts w:ascii="Arial" w:eastAsia="Arial" w:hAnsi="Arial" w:cs="Arial"/>
                                <w:b/>
                                <w:bCs/>
                                <w:color w:val="FFFFFF"/>
                                <w:w w:val="70"/>
                                <w:sz w:val="24"/>
                                <w:szCs w:val="24"/>
                              </w:rPr>
                              <w:t>Tratamiento de</w:t>
                            </w:r>
                          </w:p>
                        </w:tc>
                        <w:tc>
                          <w:tcPr>
                            <w:tcW w:w="3720" w:type="dxa"/>
                            <w:shd w:val="clear" w:color="auto" w:fill="000000"/>
                            <w:vAlign w:val="bottom"/>
                          </w:tcPr>
                          <w:p w14:paraId="4BA04FD8" w14:textId="77777777" w:rsidR="00924992" w:rsidRDefault="00924992">
                            <w:pPr>
                              <w:pStyle w:val="Other0"/>
                              <w:pBdr>
                                <w:top w:val="single" w:sz="0" w:space="0" w:color="000000"/>
                                <w:left w:val="single" w:sz="0" w:space="0" w:color="000000"/>
                                <w:bottom w:val="single" w:sz="0" w:space="0" w:color="000000"/>
                                <w:right w:val="single" w:sz="0" w:space="0" w:color="000000"/>
                              </w:pBdr>
                              <w:shd w:val="clear" w:color="auto" w:fill="000000"/>
                              <w:spacing w:line="240" w:lineRule="auto"/>
                              <w:ind w:firstLine="660"/>
                              <w:rPr>
                                <w:sz w:val="24"/>
                                <w:szCs w:val="24"/>
                              </w:rPr>
                            </w:pPr>
                            <w:r>
                              <w:rPr>
                                <w:rFonts w:ascii="Arial" w:eastAsia="Arial" w:hAnsi="Arial" w:cs="Arial"/>
                                <w:b/>
                                <w:bCs/>
                                <w:color w:val="FFFFFF"/>
                                <w:w w:val="70"/>
                                <w:sz w:val="24"/>
                                <w:szCs w:val="24"/>
                              </w:rPr>
                              <w:t>Tratamiento</w:t>
                            </w:r>
                          </w:p>
                        </w:tc>
                      </w:tr>
                      <w:tr w:rsidR="00924992" w14:paraId="3FC0F454" w14:textId="77777777">
                        <w:tblPrEx>
                          <w:tblCellMar>
                            <w:top w:w="0" w:type="dxa"/>
                            <w:bottom w:w="0" w:type="dxa"/>
                          </w:tblCellMar>
                        </w:tblPrEx>
                        <w:trPr>
                          <w:trHeight w:hRule="exact" w:val="302"/>
                        </w:trPr>
                        <w:tc>
                          <w:tcPr>
                            <w:tcW w:w="1714" w:type="dxa"/>
                            <w:shd w:val="clear" w:color="auto" w:fill="000000"/>
                          </w:tcPr>
                          <w:p w14:paraId="5C2C9133" w14:textId="77777777" w:rsidR="00924992" w:rsidRDefault="00924992">
                            <w:pPr>
                              <w:rPr>
                                <w:sz w:val="10"/>
                                <w:szCs w:val="10"/>
                              </w:rPr>
                            </w:pPr>
                          </w:p>
                        </w:tc>
                        <w:tc>
                          <w:tcPr>
                            <w:tcW w:w="3058" w:type="dxa"/>
                            <w:shd w:val="clear" w:color="auto" w:fill="000000"/>
                          </w:tcPr>
                          <w:p w14:paraId="34CB3136" w14:textId="77777777" w:rsidR="00924992" w:rsidRDefault="00924992">
                            <w:pPr>
                              <w:pStyle w:val="Other0"/>
                              <w:pBdr>
                                <w:top w:val="single" w:sz="0" w:space="0" w:color="000000"/>
                                <w:left w:val="single" w:sz="0" w:space="0" w:color="000000"/>
                                <w:bottom w:val="single" w:sz="0" w:space="0" w:color="000000"/>
                                <w:right w:val="single" w:sz="0" w:space="0" w:color="000000"/>
                              </w:pBdr>
                              <w:shd w:val="clear" w:color="auto" w:fill="000000"/>
                              <w:spacing w:line="240" w:lineRule="auto"/>
                              <w:ind w:firstLine="880"/>
                              <w:rPr>
                                <w:sz w:val="24"/>
                                <w:szCs w:val="24"/>
                              </w:rPr>
                            </w:pPr>
                            <w:r>
                              <w:rPr>
                                <w:rFonts w:ascii="Arial" w:eastAsia="Arial" w:hAnsi="Arial" w:cs="Arial"/>
                                <w:b/>
                                <w:bCs/>
                                <w:color w:val="FFFFFF"/>
                                <w:w w:val="70"/>
                                <w:sz w:val="24"/>
                                <w:szCs w:val="24"/>
                              </w:rPr>
                              <w:t>entidades patológicas</w:t>
                            </w:r>
                          </w:p>
                        </w:tc>
                        <w:tc>
                          <w:tcPr>
                            <w:tcW w:w="2261" w:type="dxa"/>
                            <w:shd w:val="clear" w:color="auto" w:fill="000000"/>
                          </w:tcPr>
                          <w:p w14:paraId="722BBCBB" w14:textId="77777777" w:rsidR="00924992" w:rsidRDefault="00924992">
                            <w:pPr>
                              <w:pStyle w:val="Other0"/>
                              <w:pBdr>
                                <w:top w:val="single" w:sz="0" w:space="0" w:color="000000"/>
                                <w:left w:val="single" w:sz="0" w:space="0" w:color="000000"/>
                                <w:bottom w:val="single" w:sz="0" w:space="0" w:color="000000"/>
                                <w:right w:val="single" w:sz="0" w:space="0" w:color="000000"/>
                              </w:pBdr>
                              <w:shd w:val="clear" w:color="auto" w:fill="000000"/>
                              <w:spacing w:line="240" w:lineRule="auto"/>
                              <w:ind w:firstLine="380"/>
                              <w:rPr>
                                <w:sz w:val="24"/>
                                <w:szCs w:val="24"/>
                              </w:rPr>
                            </w:pPr>
                            <w:r>
                              <w:rPr>
                                <w:rFonts w:ascii="Arial" w:eastAsia="Arial" w:hAnsi="Arial" w:cs="Arial"/>
                                <w:b/>
                                <w:bCs/>
                                <w:color w:val="FFFFFF"/>
                                <w:w w:val="70"/>
                                <w:sz w:val="24"/>
                                <w:szCs w:val="24"/>
                              </w:rPr>
                              <w:t>adolescentes</w:t>
                            </w:r>
                          </w:p>
                        </w:tc>
                        <w:tc>
                          <w:tcPr>
                            <w:tcW w:w="3720" w:type="dxa"/>
                            <w:shd w:val="clear" w:color="auto" w:fill="000000"/>
                          </w:tcPr>
                          <w:p w14:paraId="12F44327" w14:textId="77777777" w:rsidR="00924992" w:rsidRDefault="00924992">
                            <w:pPr>
                              <w:pStyle w:val="Other0"/>
                              <w:pBdr>
                                <w:top w:val="single" w:sz="0" w:space="0" w:color="000000"/>
                                <w:left w:val="single" w:sz="0" w:space="0" w:color="000000"/>
                                <w:bottom w:val="single" w:sz="0" w:space="0" w:color="000000"/>
                                <w:right w:val="single" w:sz="0" w:space="0" w:color="000000"/>
                              </w:pBdr>
                              <w:shd w:val="clear" w:color="auto" w:fill="000000"/>
                              <w:spacing w:line="240" w:lineRule="auto"/>
                              <w:ind w:firstLine="660"/>
                              <w:rPr>
                                <w:sz w:val="24"/>
                                <w:szCs w:val="24"/>
                              </w:rPr>
                            </w:pPr>
                            <w:r>
                              <w:rPr>
                                <w:rFonts w:ascii="Arial" w:eastAsia="Arial" w:hAnsi="Arial" w:cs="Arial"/>
                                <w:b/>
                                <w:bCs/>
                                <w:color w:val="FFFFFF"/>
                                <w:w w:val="70"/>
                                <w:sz w:val="24"/>
                                <w:szCs w:val="24"/>
                              </w:rPr>
                              <w:t>del lactante/niño</w:t>
                            </w:r>
                          </w:p>
                        </w:tc>
                      </w:tr>
                    </w:tbl>
                    <w:p w14:paraId="686A0717" w14:textId="77777777" w:rsidR="00924992" w:rsidRDefault="00924992">
                      <w:pPr>
                        <w:spacing w:line="1" w:lineRule="exact"/>
                      </w:pPr>
                    </w:p>
                  </w:txbxContent>
                </v:textbox>
                <w10:wrap type="topAndBottom" anchorx="page"/>
              </v:shape>
            </w:pict>
          </mc:Fallback>
        </mc:AlternateContent>
      </w:r>
      <w:r>
        <w:rPr>
          <w:noProof/>
        </w:rPr>
        <mc:AlternateContent>
          <mc:Choice Requires="wps">
            <w:drawing>
              <wp:anchor distT="0" distB="0" distL="0" distR="0" simplePos="0" relativeHeight="251786240" behindDoc="0" locked="0" layoutInCell="1" allowOverlap="1" wp14:anchorId="19E62311" wp14:editId="2CDBF887">
                <wp:simplePos x="0" y="0"/>
                <wp:positionH relativeFrom="page">
                  <wp:posOffset>2033270</wp:posOffset>
                </wp:positionH>
                <wp:positionV relativeFrom="paragraph">
                  <wp:posOffset>1463040</wp:posOffset>
                </wp:positionV>
                <wp:extent cx="932815" cy="149225"/>
                <wp:effectExtent l="0" t="0" r="0" b="0"/>
                <wp:wrapNone/>
                <wp:docPr id="2265" name="Shape 2265"/>
                <wp:cNvGraphicFramePr/>
                <a:graphic xmlns:a="http://schemas.openxmlformats.org/drawingml/2006/main">
                  <a:graphicData uri="http://schemas.microsoft.com/office/word/2010/wordprocessingShape">
                    <wps:wsp>
                      <wps:cNvSpPr txBox="1"/>
                      <wps:spPr>
                        <a:xfrm>
                          <a:off x="0" y="0"/>
                          <a:ext cx="932815" cy="149225"/>
                        </a:xfrm>
                        <a:prstGeom prst="rect">
                          <a:avLst/>
                        </a:prstGeom>
                        <a:noFill/>
                      </wps:spPr>
                      <wps:txbx>
                        <w:txbxContent>
                          <w:p w14:paraId="5A5B80AD" w14:textId="77777777" w:rsidR="00924992" w:rsidRDefault="00924992">
                            <w:pPr>
                              <w:pStyle w:val="Tablecaption0"/>
                              <w:spacing w:line="240" w:lineRule="auto"/>
                              <w:ind w:left="0"/>
                              <w:rPr>
                                <w:sz w:val="16"/>
                                <w:szCs w:val="16"/>
                              </w:rPr>
                            </w:pPr>
                            <w:r>
                              <w:rPr>
                                <w:color w:val="000000"/>
                                <w:sz w:val="16"/>
                                <w:szCs w:val="16"/>
                              </w:rPr>
                              <w:t>Vaginosis bacteriana</w:t>
                            </w:r>
                          </w:p>
                        </w:txbxContent>
                      </wps:txbx>
                      <wps:bodyPr lIns="0" tIns="0" rIns="0" bIns="0"/>
                    </wps:wsp>
                  </a:graphicData>
                </a:graphic>
              </wp:anchor>
            </w:drawing>
          </mc:Choice>
          <mc:Fallback>
            <w:pict>
              <v:shape w14:anchorId="19E62311" id="Shape 2265" o:spid="_x0000_s1047" type="#_x0000_t202" style="position:absolute;margin-left:160.1pt;margin-top:115.2pt;width:73.45pt;height:11.75pt;z-index:25178624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" filled="f" stroked="f">
                <v:textbox inset="0,0,0,0">
                  <w:txbxContent>
                    <w:p w14:paraId="5A5B80AD" w14:textId="77777777" w:rsidR="00924992" w:rsidRDefault="00924992">
                      <w:pPr>
                        <w:pStyle w:val="Tablecaption0"/>
                        <w:spacing w:line="240" w:lineRule="auto"/>
                        <w:ind w:left="0"/>
                        <w:rPr>
                          <w:sz w:val="16"/>
                          <w:szCs w:val="16"/>
                        </w:rPr>
                      </w:pPr>
                      <w:r>
                        <w:rPr>
                          <w:color w:val="000000"/>
                          <w:sz w:val="16"/>
                          <w:szCs w:val="16"/>
                        </w:rPr>
                        <w:t>Vaginosis bacteriana</w:t>
                      </w:r>
                    </w:p>
                  </w:txbxContent>
                </v:textbox>
                <w10:wrap anchorx="page"/>
              </v:shape>
            </w:pict>
          </mc:Fallback>
        </mc:AlternateContent>
      </w:r>
      <w:r>
        <w:rPr>
          <w:noProof/>
        </w:rPr>
        <mc:AlternateContent>
          <mc:Choice Requires="wps">
            <w:drawing>
              <wp:anchor distT="0" distB="0" distL="114300" distR="114300" simplePos="0" relativeHeight="251680768" behindDoc="0" locked="0" layoutInCell="1" allowOverlap="1" wp14:anchorId="0DDA131C" wp14:editId="021BD844">
                <wp:simplePos x="0" y="0"/>
                <wp:positionH relativeFrom="page">
                  <wp:posOffset>7867015</wp:posOffset>
                </wp:positionH>
                <wp:positionV relativeFrom="paragraph">
                  <wp:posOffset>1237615</wp:posOffset>
                </wp:positionV>
                <wp:extent cx="121920" cy="3124200"/>
                <wp:effectExtent l="0" t="0" r="0" b="0"/>
                <wp:wrapSquare wrapText="bothSides"/>
                <wp:docPr id="2267" name="Shape 2267"/>
                <wp:cNvGraphicFramePr/>
                <a:graphic xmlns:a="http://schemas.openxmlformats.org/drawingml/2006/main">
                  <a:graphicData uri="http://schemas.microsoft.com/office/word/2010/wordprocessingShape">
                    <wps:wsp>
                      <wps:cNvSpPr txBox="1"/>
                      <wps:spPr>
                        <a:xfrm>
                          <a:off x="0" y="0"/>
                          <a:ext cx="121920" cy="3124200"/>
                        </a:xfrm>
                        <a:prstGeom prst="rect">
                          <a:avLst/>
                        </a:prstGeom>
                        <a:noFill/>
                      </wps:spPr>
                      <wps:txbx>
                        <w:txbxContent>
                          <w:p w14:paraId="38CAA1AE" w14:textId="77777777" w:rsidR="00924992" w:rsidRDefault="00924992">
                            <w:pPr>
                              <w:pStyle w:val="Bodytext80"/>
                              <w:tabs>
                                <w:tab w:val="left" w:pos="4627"/>
                              </w:tabs>
                              <w:rPr>
                                <w:sz w:val="16"/>
                                <w:szCs w:val="16"/>
                              </w:rPr>
                            </w:pPr>
                            <w:r>
                              <w:t>ENFERMEDADES DE TRANSMISIÓN SEXUAL</w:t>
                            </w:r>
                            <w:r>
                              <w:tab/>
                            </w:r>
                            <w:r>
                              <w:rPr>
                                <w:sz w:val="16"/>
                                <w:szCs w:val="16"/>
                              </w:rPr>
                              <w:t>751</w:t>
                            </w:r>
                          </w:p>
                        </w:txbxContent>
                      </wps:txbx>
                      <wps:bodyPr vert="vert" lIns="0" tIns="0" rIns="0" bIns="0" upright="1"/>
                    </wps:wsp>
                  </a:graphicData>
                </a:graphic>
              </wp:anchor>
            </w:drawing>
          </mc:Choice>
          <mc:Fallback>
            <w:pict>
              <v:shape w14:anchorId="0DDA131C" id="Shape 2267" o:spid="_x0000_s1048" type="#_x0000_t202" style="position:absolute;margin-left:619.45pt;margin-top:97.45pt;width:9.6pt;height:246pt;z-index:251680768;visibility:visible;mso-wrap-style:square;mso-wrap-distance-left:9pt;mso-wrap-distance-top:0;mso-wrap-distance-right:9pt;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" filled="f" stroked="f">
                <v:textbox style="layout-flow:vertical" inset="0,0,0,0">
                  <w:txbxContent>
                    <w:p w14:paraId="38CAA1AE" w14:textId="77777777" w:rsidR="00924992" w:rsidRDefault="00924992">
                      <w:pPr>
                        <w:pStyle w:val="Bodytext80"/>
                        <w:tabs>
                          <w:tab w:val="left" w:pos="4627"/>
                        </w:tabs>
                        <w:rPr>
                          <w:sz w:val="16"/>
                          <w:szCs w:val="16"/>
                        </w:rPr>
                      </w:pPr>
                      <w:r>
                        <w:t>ENFERMEDADES DE TRANSMISIÓN SEXUAL</w:t>
                      </w:r>
                      <w:r>
                        <w:tab/>
                      </w:r>
                      <w:r>
                        <w:rPr>
                          <w:sz w:val="16"/>
                          <w:szCs w:val="16"/>
                        </w:rPr>
                        <w:t>751</w:t>
                      </w:r>
                    </w:p>
                  </w:txbxContent>
                </v:textbox>
                <w10:wrap type="square" anchorx="page"/>
              </v:shape>
            </w:pict>
          </mc:Fallback>
        </mc:AlternateContent>
      </w:r>
    </w:p>
    <w:p w14:paraId="43E8F9F1" w14:textId="77777777" w:rsidR="00924992" w:rsidRDefault="00924992">
      <w:pPr>
        <w:pStyle w:val="Heading31"/>
        <w:keepNext/>
        <w:keepLines/>
        <w:spacing w:line="214" w:lineRule="auto"/>
        <w:jc w:val="center"/>
        <w:rPr>
          <w:sz w:val="16"/>
          <w:szCs w:val="16"/>
        </w:rPr>
      </w:pPr>
      <w:bookmarkStart w:id="361" w:name="bookmark1807"/>
      <w:bookmarkStart w:id="362" w:name="bookmark1808"/>
      <w:bookmarkStart w:id="363" w:name="bookmark1809"/>
      <w:r>
        <w:rPr>
          <w:b w:val="0"/>
          <w:bCs w:val="0"/>
          <w:color w:val="000000"/>
        </w:rPr>
        <w:t xml:space="preserve">Cuadro 4-3. </w:t>
      </w:r>
      <w:r>
        <w:rPr>
          <w:color w:val="000000"/>
        </w:rPr>
        <w:t>Directrices para tratar enfermedades de transmisión sexual en niños y adolescentes,</w:t>
      </w:r>
      <w:r>
        <w:rPr>
          <w:color w:val="000000"/>
        </w:rPr>
        <w:br/>
        <w:t xml:space="preserve">conforme al síndrome que tengan </w:t>
      </w:r>
      <w:r>
        <w:rPr>
          <w:rFonts w:ascii="Times New Roman" w:eastAsia="Times New Roman" w:hAnsi="Times New Roman" w:cs="Times New Roman"/>
          <w:b w:val="0"/>
          <w:bCs w:val="0"/>
          <w:i/>
          <w:iCs/>
          <w:color w:val="000000"/>
          <w:w w:val="100"/>
          <w:sz w:val="16"/>
          <w:szCs w:val="16"/>
        </w:rPr>
        <w:t>continuación</w:t>
      </w:r>
      <w:bookmarkEnd w:id="361"/>
      <w:bookmarkEnd w:id="362"/>
      <w:bookmarkEnd w:id="363"/>
    </w:p>
    <w:p w14:paraId="5BC974EE" w14:textId="77777777" w:rsidR="00924992" w:rsidRDefault="00924992">
      <w:pPr>
        <w:pStyle w:val="Other0"/>
        <w:spacing w:after="60" w:line="214" w:lineRule="auto"/>
        <w:ind w:firstLine="0"/>
        <w:jc w:val="center"/>
        <w:rPr>
          <w:sz w:val="26"/>
          <w:szCs w:val="26"/>
        </w:rPr>
      </w:pPr>
      <w:r>
        <w:rPr>
          <w:rFonts w:ascii="Arial" w:eastAsia="Arial" w:hAnsi="Arial" w:cs="Arial"/>
          <w:color w:val="000000"/>
          <w:w w:val="70"/>
          <w:sz w:val="26"/>
          <w:szCs w:val="26"/>
        </w:rPr>
        <w:t>Se incluyen los regímenes preferidos. Para mayor información sobre otros regímenes aceptables y enfermedades no</w:t>
      </w:r>
      <w:r>
        <w:rPr>
          <w:rFonts w:ascii="Arial" w:eastAsia="Arial" w:hAnsi="Arial" w:cs="Arial"/>
          <w:color w:val="000000"/>
          <w:w w:val="70"/>
          <w:sz w:val="26"/>
          <w:szCs w:val="26"/>
        </w:rPr>
        <w:br/>
        <w:t>incluidas, véanse las recomendaciones respectivas en los resúmenes de enfermedades específicas, en la sección 3.</w:t>
      </w:r>
      <w:r>
        <w:rPr>
          <w:rFonts w:ascii="Arial" w:eastAsia="Arial" w:hAnsi="Arial" w:cs="Arial"/>
          <w:color w:val="000000"/>
          <w:w w:val="70"/>
          <w:sz w:val="26"/>
          <w:szCs w:val="26"/>
        </w:rPr>
        <w:br/>
        <w:t xml:space="preserve">Además, los </w:t>
      </w:r>
      <w:r>
        <w:rPr>
          <w:rFonts w:ascii="Arial" w:eastAsia="Arial" w:hAnsi="Arial" w:cs="Arial"/>
          <w:i/>
          <w:iCs/>
          <w:color w:val="000000"/>
          <w:w w:val="70"/>
          <w:sz w:val="24"/>
          <w:szCs w:val="24"/>
        </w:rPr>
        <w:t>Centers for Disease Control and Prevention</w:t>
      </w:r>
      <w:r>
        <w:rPr>
          <w:rFonts w:ascii="Arial" w:eastAsia="Arial" w:hAnsi="Arial" w:cs="Arial"/>
          <w:color w:val="000000"/>
          <w:w w:val="70"/>
          <w:sz w:val="26"/>
          <w:szCs w:val="26"/>
        </w:rPr>
        <w:t xml:space="preserve"> publicaron en 2002 las recomendaciones revisadas para el tratamiento</w:t>
      </w:r>
      <w:r>
        <w:rPr>
          <w:rFonts w:ascii="Arial" w:eastAsia="Arial" w:hAnsi="Arial" w:cs="Arial"/>
          <w:color w:val="000000"/>
          <w:w w:val="70"/>
          <w:sz w:val="26"/>
          <w:szCs w:val="26"/>
        </w:rPr>
        <w:br/>
        <w:t>de las enfermedades de transmisión sexual.</w:t>
      </w:r>
      <w:r>
        <w:rPr>
          <w:rFonts w:ascii="Arial" w:eastAsia="Arial" w:hAnsi="Arial" w:cs="Arial"/>
          <w:color w:val="000000"/>
          <w:w w:val="70"/>
          <w:sz w:val="26"/>
          <w:szCs w:val="26"/>
          <w:vertAlign w:val="superscript"/>
        </w:rPr>
        <w:t>1</w:t>
      </w:r>
    </w:p>
    <w:p w14:paraId="5A97BB41" w14:textId="77777777" w:rsidR="00924992" w:rsidRDefault="00924992">
      <w:pPr>
        <w:pStyle w:val="Bodytext20"/>
        <w:ind w:left="5240" w:hanging="100"/>
      </w:pPr>
      <w:r>
        <w:rPr>
          <w:color w:val="000000"/>
        </w:rPr>
        <w:t>Metronidazol, 500 mg ingeridos dos veces al día durante 7 días</w:t>
      </w:r>
    </w:p>
    <w:p w14:paraId="09F7A2EE" w14:textId="77777777" w:rsidR="00924992" w:rsidRDefault="00924992">
      <w:pPr>
        <w:pStyle w:val="Bodytext20"/>
        <w:ind w:left="5240" w:hanging="100"/>
      </w:pPr>
      <w:r>
        <w:rPr>
          <w:b/>
          <w:bCs/>
          <w:color w:val="000000"/>
        </w:rPr>
        <w:t>O</w:t>
      </w:r>
    </w:p>
    <w:p w14:paraId="7C3230AA" w14:textId="77777777" w:rsidR="00924992" w:rsidRDefault="00924992">
      <w:pPr>
        <w:pStyle w:val="Bodytext20"/>
        <w:ind w:left="5240" w:hanging="100"/>
      </w:pPr>
      <w:r>
        <w:rPr>
          <w:color w:val="000000"/>
        </w:rPr>
        <w:t>Gel de metronidazol, 0.75%, un aplicador completo (5 g) intravaginal una vez al día durante 5 días</w:t>
      </w:r>
    </w:p>
    <w:p w14:paraId="2C81F068" w14:textId="77777777" w:rsidR="00924992" w:rsidRDefault="00924992">
      <w:pPr>
        <w:pStyle w:val="Bodytext20"/>
        <w:ind w:left="5240" w:hanging="100"/>
      </w:pPr>
      <w:r>
        <w:rPr>
          <w:b/>
          <w:bCs/>
          <w:color w:val="000000"/>
        </w:rPr>
        <w:t>O</w:t>
      </w:r>
    </w:p>
    <w:p w14:paraId="0FF088FF" w14:textId="77777777" w:rsidR="00924992" w:rsidRDefault="00924992">
      <w:pPr>
        <w:pStyle w:val="Bodytext20"/>
        <w:ind w:left="5240" w:hanging="100"/>
      </w:pPr>
      <w:r>
        <w:rPr>
          <w:color w:val="000000"/>
        </w:rPr>
        <w:t>Crema de clindamicina al 2%, con aplicador completo (5 g) por vía intravaginal a la hora de acostarse, durante 7 días</w:t>
      </w:r>
    </w:p>
    <w:p w14:paraId="19C44F7E" w14:textId="77777777" w:rsidR="00924992" w:rsidRDefault="00924992">
      <w:pPr>
        <w:pStyle w:val="Bodytext20"/>
        <w:ind w:left="5240" w:hanging="100"/>
      </w:pPr>
      <w:r>
        <w:rPr>
          <w:b/>
          <w:bCs/>
          <w:color w:val="000000"/>
        </w:rPr>
        <w:t>O</w:t>
      </w:r>
    </w:p>
    <w:p w14:paraId="1B2A58BC" w14:textId="77777777" w:rsidR="00924992" w:rsidRDefault="00924992">
      <w:pPr>
        <w:pStyle w:val="Bodytext20"/>
        <w:ind w:left="5240" w:hanging="100"/>
      </w:pPr>
      <w:r>
        <w:rPr>
          <w:color w:val="000000"/>
        </w:rPr>
        <w:t>Metronidazol, 2 g ingeridos en una sola dosis</w:t>
      </w:r>
    </w:p>
    <w:p w14:paraId="429AF478" w14:textId="77777777" w:rsidR="00924992" w:rsidRDefault="00924992">
      <w:pPr>
        <w:pStyle w:val="Bodytext20"/>
        <w:ind w:left="5240" w:hanging="100"/>
      </w:pPr>
      <w:r>
        <w:rPr>
          <w:b/>
          <w:bCs/>
          <w:color w:val="000000"/>
        </w:rPr>
        <w:t>O</w:t>
      </w:r>
    </w:p>
    <w:p w14:paraId="4DA18712" w14:textId="77777777" w:rsidR="00924992" w:rsidRDefault="00924992">
      <w:pPr>
        <w:pStyle w:val="Bodytext20"/>
        <w:ind w:left="5240" w:hanging="100"/>
      </w:pPr>
      <w:r>
        <w:rPr>
          <w:color w:val="000000"/>
        </w:rPr>
        <w:t>Clindamicina, 300 mg ingeridos dos veces al día durante 7 días</w:t>
      </w:r>
    </w:p>
    <w:p w14:paraId="48C79175" w14:textId="77777777" w:rsidR="00924992" w:rsidRDefault="00924992">
      <w:pPr>
        <w:pStyle w:val="Bodytext20"/>
        <w:ind w:left="5240" w:hanging="100"/>
        <w:sectPr w:rsidR="00924992" w:rsidSect="00924992">
          <w:pgSz w:w="13022" w:h="8501" w:orient="landscape"/>
          <w:pgMar w:top="1104" w:right="970" w:bottom="438" w:left="629" w:header="676" w:footer="3" w:gutter="0"/>
          <w:cols w:space="720"/>
          <w:noEndnote/>
          <w:docGrid w:linePitch="360"/>
          <w15:footnoteColumns w:val="1"/>
        </w:sectPr>
      </w:pPr>
      <w:r>
        <w:rPr>
          <w:b/>
          <w:bCs/>
          <w:color w:val="000000"/>
        </w:rPr>
        <w:t>O</w:t>
      </w:r>
    </w:p>
    <w:p w14:paraId="2B242021" w14:textId="77777777" w:rsidR="00924992" w:rsidRDefault="00924992">
      <w:pPr>
        <w:pStyle w:val="Heading31"/>
        <w:keepNext/>
        <w:keepLines/>
        <w:framePr w:w="10690" w:h="1632" w:wrap="none" w:hAnchor="page" w:x="663" w:y="1"/>
        <w:spacing w:line="214" w:lineRule="auto"/>
        <w:jc w:val="center"/>
        <w:rPr>
          <w:sz w:val="16"/>
          <w:szCs w:val="16"/>
        </w:rPr>
      </w:pPr>
      <w:bookmarkStart w:id="364" w:name="bookmark1810"/>
      <w:bookmarkStart w:id="365" w:name="bookmark1811"/>
      <w:bookmarkStart w:id="366" w:name="bookmark1812"/>
      <w:r>
        <w:rPr>
          <w:b w:val="0"/>
          <w:bCs w:val="0"/>
          <w:color w:val="000000"/>
        </w:rPr>
        <w:t xml:space="preserve">Cuadro 4-3. </w:t>
      </w:r>
      <w:r>
        <w:rPr>
          <w:color w:val="000000"/>
        </w:rPr>
        <w:t>Directrices para tratar enfermedades de transmisión sexual en niños y adolescentes,</w:t>
      </w:r>
      <w:r>
        <w:rPr>
          <w:color w:val="000000"/>
        </w:rPr>
        <w:br/>
        <w:t xml:space="preserve">conforme al síndrome que tengan </w:t>
      </w:r>
      <w:r>
        <w:rPr>
          <w:rFonts w:ascii="Times New Roman" w:eastAsia="Times New Roman" w:hAnsi="Times New Roman" w:cs="Times New Roman"/>
          <w:b w:val="0"/>
          <w:bCs w:val="0"/>
          <w:i/>
          <w:iCs/>
          <w:color w:val="000000"/>
          <w:w w:val="100"/>
          <w:sz w:val="16"/>
          <w:szCs w:val="16"/>
        </w:rPr>
        <w:t>continuación</w:t>
      </w:r>
      <w:bookmarkEnd w:id="364"/>
      <w:bookmarkEnd w:id="365"/>
      <w:bookmarkEnd w:id="366"/>
    </w:p>
    <w:p w14:paraId="23F157AC" w14:textId="77777777" w:rsidR="00924992" w:rsidRDefault="00924992">
      <w:pPr>
        <w:pStyle w:val="Other0"/>
        <w:framePr w:w="10690" w:h="1632" w:wrap="none" w:hAnchor="page" w:x="663" w:y="1"/>
        <w:spacing w:line="214" w:lineRule="auto"/>
        <w:ind w:firstLine="0"/>
        <w:jc w:val="center"/>
        <w:rPr>
          <w:sz w:val="26"/>
          <w:szCs w:val="26"/>
        </w:rPr>
      </w:pPr>
      <w:r>
        <w:rPr>
          <w:rFonts w:ascii="Arial" w:eastAsia="Arial" w:hAnsi="Arial" w:cs="Arial"/>
          <w:color w:val="000000"/>
          <w:w w:val="70"/>
          <w:sz w:val="26"/>
          <w:szCs w:val="26"/>
        </w:rPr>
        <w:t>Se incluyen los regímenes preferidos. Para mayor información sobre otros regímenes aceptables y enfermedades no</w:t>
      </w:r>
      <w:r>
        <w:rPr>
          <w:rFonts w:ascii="Arial" w:eastAsia="Arial" w:hAnsi="Arial" w:cs="Arial"/>
          <w:color w:val="000000"/>
          <w:w w:val="70"/>
          <w:sz w:val="26"/>
          <w:szCs w:val="26"/>
        </w:rPr>
        <w:br/>
        <w:t>incluidas, véanse las recomendaciones respectivas en los resúmenes de enfermedades específicas, en la sección 3.</w:t>
      </w:r>
      <w:r>
        <w:rPr>
          <w:rFonts w:ascii="Arial" w:eastAsia="Arial" w:hAnsi="Arial" w:cs="Arial"/>
          <w:color w:val="000000"/>
          <w:w w:val="70"/>
          <w:sz w:val="26"/>
          <w:szCs w:val="26"/>
        </w:rPr>
        <w:br/>
        <w:t xml:space="preserve">Además, los </w:t>
      </w:r>
      <w:r>
        <w:rPr>
          <w:rFonts w:ascii="Arial" w:eastAsia="Arial" w:hAnsi="Arial" w:cs="Arial"/>
          <w:i/>
          <w:iCs/>
          <w:color w:val="000000"/>
          <w:w w:val="70"/>
          <w:sz w:val="24"/>
          <w:szCs w:val="24"/>
        </w:rPr>
        <w:t>Centers for Disease Control and Prevention</w:t>
      </w:r>
      <w:r>
        <w:rPr>
          <w:rFonts w:ascii="Arial" w:eastAsia="Arial" w:hAnsi="Arial" w:cs="Arial"/>
          <w:color w:val="000000"/>
          <w:w w:val="70"/>
          <w:sz w:val="26"/>
          <w:szCs w:val="26"/>
        </w:rPr>
        <w:t xml:space="preserve"> publicaron en 2002 las recomendaciones revisadas para el tratamiento</w:t>
      </w:r>
      <w:r>
        <w:rPr>
          <w:rFonts w:ascii="Arial" w:eastAsia="Arial" w:hAnsi="Arial" w:cs="Arial"/>
          <w:color w:val="000000"/>
          <w:w w:val="70"/>
          <w:sz w:val="26"/>
          <w:szCs w:val="26"/>
        </w:rPr>
        <w:br/>
        <w:t>de las enfermedades de transmisión sexual.</w:t>
      </w:r>
      <w:r>
        <w:rPr>
          <w:rFonts w:ascii="Arial" w:eastAsia="Arial" w:hAnsi="Arial" w:cs="Arial"/>
          <w:color w:val="000000"/>
          <w:w w:val="70"/>
          <w:sz w:val="26"/>
          <w:szCs w:val="26"/>
          <w:vertAlign w:val="superscript"/>
        </w:rPr>
        <w:t>1</w:t>
      </w:r>
    </w:p>
    <w:tbl>
      <w:tblPr>
        <w:tblOverlap w:val="never"/>
        <w:tblW w:w="0" w:type="auto"/>
        <w:tblLayout w:type="fixed"/>
        <w:tblCellMar>
          <w:left w:w="10" w:type="dxa"/>
          <w:right w:w="10" w:type="dxa"/>
        </w:tblCellMar>
        <w:tblLook w:val="04A0" w:firstRow="1" w:lastRow="0" w:firstColumn="1" w:lastColumn="0" w:noHBand="0" w:noVBand="1"/>
      </w:tblPr>
      <w:tblGrid>
        <w:gridCol w:w="2501"/>
        <w:gridCol w:w="2510"/>
        <w:gridCol w:w="2496"/>
        <w:gridCol w:w="3245"/>
      </w:tblGrid>
      <w:tr w:rsidR="00924992" w14:paraId="79B04183" w14:textId="77777777">
        <w:tblPrEx>
          <w:tblCellMar>
            <w:top w:w="0" w:type="dxa"/>
            <w:bottom w:w="0" w:type="dxa"/>
          </w:tblCellMar>
        </w:tblPrEx>
        <w:trPr>
          <w:trHeight w:hRule="exact" w:val="557"/>
        </w:trPr>
        <w:tc>
          <w:tcPr>
            <w:tcW w:w="2501" w:type="dxa"/>
            <w:shd w:val="clear" w:color="auto" w:fill="000000"/>
          </w:tcPr>
          <w:p w14:paraId="7CBD3879" w14:textId="77777777" w:rsidR="00924992" w:rsidRDefault="00924992">
            <w:pPr>
              <w:pStyle w:val="Other0"/>
              <w:framePr w:w="10752" w:h="4973" w:vSpace="211" w:wrap="none" w:hAnchor="page" w:x="635" w:y="1676"/>
              <w:pBdr>
                <w:top w:val="single" w:sz="0" w:space="0" w:color="000000"/>
                <w:left w:val="single" w:sz="0" w:space="0" w:color="000000"/>
                <w:bottom w:val="single" w:sz="0" w:space="0" w:color="000000"/>
                <w:right w:val="single" w:sz="0" w:space="0" w:color="000000"/>
              </w:pBdr>
              <w:shd w:val="clear" w:color="auto" w:fill="000000"/>
              <w:spacing w:line="240" w:lineRule="auto"/>
              <w:ind w:firstLine="0"/>
              <w:rPr>
                <w:sz w:val="24"/>
                <w:szCs w:val="24"/>
              </w:rPr>
            </w:pPr>
            <w:r>
              <w:rPr>
                <w:rFonts w:ascii="Arial" w:eastAsia="Arial" w:hAnsi="Arial" w:cs="Arial"/>
                <w:b/>
                <w:bCs/>
                <w:color w:val="FFFFFF"/>
                <w:w w:val="70"/>
                <w:sz w:val="24"/>
                <w:szCs w:val="24"/>
              </w:rPr>
              <w:t>Síndrome</w:t>
            </w:r>
          </w:p>
        </w:tc>
        <w:tc>
          <w:tcPr>
            <w:tcW w:w="2510" w:type="dxa"/>
            <w:shd w:val="clear" w:color="auto" w:fill="000000"/>
          </w:tcPr>
          <w:p w14:paraId="022C75BE" w14:textId="77777777" w:rsidR="00924992" w:rsidRDefault="00924992">
            <w:pPr>
              <w:pStyle w:val="Other0"/>
              <w:framePr w:w="10752" w:h="4973" w:vSpace="211" w:wrap="none" w:hAnchor="page" w:x="635" w:y="1676"/>
              <w:pBdr>
                <w:top w:val="single" w:sz="0" w:space="0" w:color="000000"/>
                <w:left w:val="single" w:sz="0" w:space="0" w:color="000000"/>
                <w:bottom w:val="single" w:sz="0" w:space="0" w:color="000000"/>
                <w:right w:val="single" w:sz="0" w:space="0" w:color="000000"/>
              </w:pBdr>
              <w:shd w:val="clear" w:color="auto" w:fill="000000"/>
              <w:spacing w:line="209" w:lineRule="auto"/>
              <w:ind w:firstLine="0"/>
              <w:rPr>
                <w:sz w:val="24"/>
                <w:szCs w:val="24"/>
              </w:rPr>
            </w:pPr>
            <w:r>
              <w:rPr>
                <w:rFonts w:ascii="Arial" w:eastAsia="Arial" w:hAnsi="Arial" w:cs="Arial"/>
                <w:b/>
                <w:bCs/>
                <w:color w:val="FFFFFF"/>
                <w:w w:val="70"/>
                <w:sz w:val="24"/>
                <w:szCs w:val="24"/>
              </w:rPr>
              <w:t>Microorganismos/ entidades patológicas</w:t>
            </w:r>
          </w:p>
        </w:tc>
        <w:tc>
          <w:tcPr>
            <w:tcW w:w="2496" w:type="dxa"/>
            <w:shd w:val="clear" w:color="auto" w:fill="000000"/>
          </w:tcPr>
          <w:p w14:paraId="7EADB031" w14:textId="77777777" w:rsidR="00924992" w:rsidRDefault="00924992">
            <w:pPr>
              <w:pStyle w:val="Other0"/>
              <w:framePr w:w="10752" w:h="4973" w:vSpace="211" w:wrap="none" w:hAnchor="page" w:x="635" w:y="1676"/>
              <w:pBdr>
                <w:top w:val="single" w:sz="0" w:space="0" w:color="000000"/>
                <w:left w:val="single" w:sz="0" w:space="0" w:color="000000"/>
                <w:bottom w:val="single" w:sz="0" w:space="0" w:color="000000"/>
                <w:right w:val="single" w:sz="0" w:space="0" w:color="000000"/>
              </w:pBdr>
              <w:shd w:val="clear" w:color="auto" w:fill="000000"/>
              <w:spacing w:line="209" w:lineRule="auto"/>
              <w:ind w:firstLine="0"/>
              <w:rPr>
                <w:sz w:val="24"/>
                <w:szCs w:val="24"/>
              </w:rPr>
            </w:pPr>
            <w:r>
              <w:rPr>
                <w:rFonts w:ascii="Arial" w:eastAsia="Arial" w:hAnsi="Arial" w:cs="Arial"/>
                <w:b/>
                <w:bCs/>
                <w:color w:val="FFFFFF"/>
                <w:w w:val="70"/>
                <w:sz w:val="24"/>
                <w:szCs w:val="24"/>
              </w:rPr>
              <w:t>Tratamiento de adolescentes</w:t>
            </w:r>
          </w:p>
        </w:tc>
        <w:tc>
          <w:tcPr>
            <w:tcW w:w="3245" w:type="dxa"/>
            <w:shd w:val="clear" w:color="auto" w:fill="000000"/>
          </w:tcPr>
          <w:p w14:paraId="684D5484" w14:textId="77777777" w:rsidR="00924992" w:rsidRDefault="00924992">
            <w:pPr>
              <w:pStyle w:val="Other0"/>
              <w:framePr w:w="10752" w:h="4973" w:vSpace="211" w:wrap="none" w:hAnchor="page" w:x="635" w:y="1676"/>
              <w:pBdr>
                <w:top w:val="single" w:sz="0" w:space="0" w:color="000000"/>
                <w:left w:val="single" w:sz="0" w:space="0" w:color="000000"/>
                <w:bottom w:val="single" w:sz="0" w:space="0" w:color="000000"/>
                <w:right w:val="single" w:sz="0" w:space="0" w:color="000000"/>
              </w:pBdr>
              <w:shd w:val="clear" w:color="auto" w:fill="000000"/>
              <w:spacing w:line="209" w:lineRule="auto"/>
              <w:ind w:left="160"/>
              <w:rPr>
                <w:sz w:val="24"/>
                <w:szCs w:val="24"/>
              </w:rPr>
            </w:pPr>
            <w:r>
              <w:rPr>
                <w:rFonts w:ascii="Arial" w:eastAsia="Arial" w:hAnsi="Arial" w:cs="Arial"/>
                <w:b/>
                <w:bCs/>
                <w:color w:val="FFFFFF"/>
                <w:w w:val="70"/>
                <w:sz w:val="24"/>
                <w:szCs w:val="24"/>
              </w:rPr>
              <w:t>Tratamiento del lactante/niño</w:t>
            </w:r>
          </w:p>
        </w:tc>
      </w:tr>
      <w:tr w:rsidR="00924992" w14:paraId="2022012E" w14:textId="77777777">
        <w:tblPrEx>
          <w:tblCellMar>
            <w:top w:w="0" w:type="dxa"/>
            <w:bottom w:w="0" w:type="dxa"/>
          </w:tblCellMar>
        </w:tblPrEx>
        <w:trPr>
          <w:trHeight w:hRule="exact" w:val="1142"/>
        </w:trPr>
        <w:tc>
          <w:tcPr>
            <w:tcW w:w="2501" w:type="dxa"/>
            <w:shd w:val="clear" w:color="auto" w:fill="FFFFFF"/>
          </w:tcPr>
          <w:p w14:paraId="79CE3E90" w14:textId="77777777" w:rsidR="00924992" w:rsidRDefault="00924992">
            <w:pPr>
              <w:framePr w:w="10752" w:h="4973" w:vSpace="211" w:wrap="none" w:hAnchor="page" w:x="635" w:y="1676"/>
              <w:rPr>
                <w:sz w:val="10"/>
                <w:szCs w:val="10"/>
              </w:rPr>
            </w:pPr>
          </w:p>
        </w:tc>
        <w:tc>
          <w:tcPr>
            <w:tcW w:w="2510" w:type="dxa"/>
            <w:shd w:val="clear" w:color="auto" w:fill="FFFFFF"/>
            <w:vAlign w:val="bottom"/>
          </w:tcPr>
          <w:p w14:paraId="784323CE" w14:textId="77777777" w:rsidR="00924992" w:rsidRDefault="00924992">
            <w:pPr>
              <w:pStyle w:val="Other0"/>
              <w:framePr w:w="10752" w:h="4973" w:vSpace="211" w:wrap="none" w:hAnchor="page" w:x="635" w:y="1676"/>
              <w:spacing w:line="240" w:lineRule="auto"/>
              <w:ind w:firstLine="0"/>
              <w:rPr>
                <w:sz w:val="16"/>
                <w:szCs w:val="16"/>
              </w:rPr>
            </w:pPr>
            <w:r>
              <w:rPr>
                <w:rFonts w:ascii="Times New Roman" w:eastAsia="Times New Roman" w:hAnsi="Times New Roman" w:cs="Times New Roman"/>
                <w:color w:val="000000"/>
                <w:sz w:val="16"/>
                <w:szCs w:val="16"/>
              </w:rPr>
              <w:t xml:space="preserve">Especies de </w:t>
            </w:r>
            <w:r>
              <w:rPr>
                <w:rFonts w:ascii="Times New Roman" w:eastAsia="Times New Roman" w:hAnsi="Times New Roman" w:cs="Times New Roman"/>
                <w:i/>
                <w:iCs/>
                <w:color w:val="000000"/>
                <w:sz w:val="16"/>
                <w:szCs w:val="16"/>
              </w:rPr>
              <w:t>Candida</w:t>
            </w:r>
          </w:p>
        </w:tc>
        <w:tc>
          <w:tcPr>
            <w:tcW w:w="2496" w:type="dxa"/>
            <w:shd w:val="clear" w:color="auto" w:fill="FFFFFF"/>
            <w:vAlign w:val="bottom"/>
          </w:tcPr>
          <w:p w14:paraId="42C17BAA" w14:textId="77777777" w:rsidR="00924992" w:rsidRDefault="00924992">
            <w:pPr>
              <w:pStyle w:val="Other0"/>
              <w:framePr w:w="10752" w:h="4973" w:vSpace="211" w:wrap="none" w:hAnchor="page" w:x="635" w:y="1676"/>
              <w:spacing w:line="283" w:lineRule="auto"/>
              <w:ind w:firstLine="0"/>
              <w:rPr>
                <w:sz w:val="16"/>
                <w:szCs w:val="16"/>
              </w:rPr>
            </w:pPr>
            <w:r>
              <w:rPr>
                <w:rFonts w:ascii="Times New Roman" w:eastAsia="Times New Roman" w:hAnsi="Times New Roman" w:cs="Times New Roman"/>
                <w:color w:val="000000"/>
                <w:sz w:val="16"/>
                <w:szCs w:val="16"/>
              </w:rPr>
              <w:t>Óvulos de clindamicina,</w:t>
            </w:r>
          </w:p>
          <w:p w14:paraId="13B1FCE8" w14:textId="77777777" w:rsidR="00924992" w:rsidRDefault="00924992">
            <w:pPr>
              <w:pStyle w:val="Other0"/>
              <w:framePr w:w="10752" w:h="4973" w:vSpace="211" w:wrap="none" w:hAnchor="page" w:x="635" w:y="1676"/>
              <w:spacing w:line="283" w:lineRule="auto"/>
              <w:ind w:left="220" w:firstLine="0"/>
              <w:rPr>
                <w:sz w:val="16"/>
                <w:szCs w:val="16"/>
              </w:rPr>
            </w:pPr>
            <w:r>
              <w:rPr>
                <w:rFonts w:ascii="Times New Roman" w:eastAsia="Times New Roman" w:hAnsi="Times New Roman" w:cs="Times New Roman"/>
                <w:color w:val="000000"/>
                <w:sz w:val="16"/>
                <w:szCs w:val="16"/>
              </w:rPr>
              <w:t>100 g por vía intravaginal una vez a la hora de acostarse durante 3 días</w:t>
            </w:r>
          </w:p>
          <w:p w14:paraId="2E400316" w14:textId="77777777" w:rsidR="00924992" w:rsidRDefault="00924992">
            <w:pPr>
              <w:pStyle w:val="Other0"/>
              <w:framePr w:w="10752" w:h="4973" w:vSpace="211" w:wrap="none" w:hAnchor="page" w:x="635" w:y="1676"/>
              <w:spacing w:line="283" w:lineRule="auto"/>
              <w:ind w:firstLine="0"/>
              <w:rPr>
                <w:sz w:val="16"/>
                <w:szCs w:val="16"/>
              </w:rPr>
            </w:pPr>
            <w:r>
              <w:rPr>
                <w:rFonts w:ascii="Times New Roman" w:eastAsia="Times New Roman" w:hAnsi="Times New Roman" w:cs="Times New Roman"/>
                <w:color w:val="000000"/>
                <w:sz w:val="16"/>
                <w:szCs w:val="16"/>
              </w:rPr>
              <w:t>Véase cuadro 4-4 “Regímenes</w:t>
            </w:r>
          </w:p>
        </w:tc>
        <w:tc>
          <w:tcPr>
            <w:tcW w:w="3245" w:type="dxa"/>
            <w:shd w:val="clear" w:color="auto" w:fill="FFFFFF"/>
          </w:tcPr>
          <w:p w14:paraId="68C31C4F" w14:textId="77777777" w:rsidR="00924992" w:rsidRDefault="00924992">
            <w:pPr>
              <w:framePr w:w="10752" w:h="4973" w:vSpace="211" w:wrap="none" w:hAnchor="page" w:x="635" w:y="1676"/>
              <w:rPr>
                <w:sz w:val="10"/>
                <w:szCs w:val="10"/>
              </w:rPr>
            </w:pPr>
          </w:p>
        </w:tc>
      </w:tr>
      <w:tr w:rsidR="00924992" w14:paraId="66F00716" w14:textId="77777777">
        <w:tblPrEx>
          <w:tblCellMar>
            <w:top w:w="0" w:type="dxa"/>
            <w:bottom w:w="0" w:type="dxa"/>
          </w:tblCellMar>
        </w:tblPrEx>
        <w:trPr>
          <w:trHeight w:hRule="exact" w:val="658"/>
        </w:trPr>
        <w:tc>
          <w:tcPr>
            <w:tcW w:w="2501" w:type="dxa"/>
            <w:shd w:val="clear" w:color="auto" w:fill="FFFFFF"/>
          </w:tcPr>
          <w:p w14:paraId="53940C90" w14:textId="77777777" w:rsidR="00924992" w:rsidRDefault="00924992">
            <w:pPr>
              <w:framePr w:w="10752" w:h="4973" w:vSpace="211" w:wrap="none" w:hAnchor="page" w:x="635" w:y="1676"/>
              <w:rPr>
                <w:sz w:val="10"/>
                <w:szCs w:val="10"/>
              </w:rPr>
            </w:pPr>
          </w:p>
        </w:tc>
        <w:tc>
          <w:tcPr>
            <w:tcW w:w="2510" w:type="dxa"/>
            <w:shd w:val="clear" w:color="auto" w:fill="FFFFFF"/>
            <w:vAlign w:val="bottom"/>
          </w:tcPr>
          <w:p w14:paraId="71B2DBC2" w14:textId="77777777" w:rsidR="00924992" w:rsidRDefault="00924992">
            <w:pPr>
              <w:pStyle w:val="Other0"/>
              <w:framePr w:w="10752" w:h="4973" w:vSpace="211" w:wrap="none" w:hAnchor="page" w:x="635" w:y="1676"/>
              <w:spacing w:line="240" w:lineRule="auto"/>
              <w:ind w:firstLine="0"/>
              <w:rPr>
                <w:sz w:val="16"/>
                <w:szCs w:val="16"/>
              </w:rPr>
            </w:pPr>
            <w:r>
              <w:rPr>
                <w:rFonts w:ascii="Times New Roman" w:eastAsia="Times New Roman" w:hAnsi="Times New Roman" w:cs="Times New Roman"/>
                <w:color w:val="000000"/>
                <w:sz w:val="16"/>
                <w:szCs w:val="16"/>
              </w:rPr>
              <w:t>HSV-infección primaria</w:t>
            </w:r>
          </w:p>
        </w:tc>
        <w:tc>
          <w:tcPr>
            <w:tcW w:w="2496" w:type="dxa"/>
            <w:shd w:val="clear" w:color="auto" w:fill="FFFFFF"/>
            <w:vAlign w:val="bottom"/>
          </w:tcPr>
          <w:p w14:paraId="75A58D72" w14:textId="77777777" w:rsidR="00924992" w:rsidRDefault="00924992">
            <w:pPr>
              <w:pStyle w:val="Other0"/>
              <w:framePr w:w="10752" w:h="4973" w:vSpace="211" w:wrap="none" w:hAnchor="page" w:x="635" w:y="1676"/>
              <w:spacing w:line="283" w:lineRule="auto"/>
              <w:ind w:left="220" w:firstLine="0"/>
              <w:rPr>
                <w:sz w:val="16"/>
                <w:szCs w:val="16"/>
              </w:rPr>
            </w:pPr>
            <w:r>
              <w:rPr>
                <w:rFonts w:ascii="Times New Roman" w:eastAsia="Times New Roman" w:hAnsi="Times New Roman" w:cs="Times New Roman"/>
                <w:color w:val="000000"/>
                <w:sz w:val="16"/>
                <w:szCs w:val="16"/>
              </w:rPr>
              <w:t>recomendados contra la candidiasis vulvovaginal”</w:t>
            </w:r>
          </w:p>
          <w:p w14:paraId="6B3044E0" w14:textId="77777777" w:rsidR="00924992" w:rsidRDefault="00924992">
            <w:pPr>
              <w:pStyle w:val="Other0"/>
              <w:framePr w:w="10752" w:h="4973" w:vSpace="211" w:wrap="none" w:hAnchor="page" w:x="635" w:y="1676"/>
              <w:spacing w:line="283" w:lineRule="auto"/>
              <w:ind w:firstLine="0"/>
              <w:rPr>
                <w:sz w:val="16"/>
                <w:szCs w:val="16"/>
              </w:rPr>
            </w:pPr>
            <w:r>
              <w:rPr>
                <w:rFonts w:ascii="Times New Roman" w:eastAsia="Times New Roman" w:hAnsi="Times New Roman" w:cs="Times New Roman"/>
                <w:color w:val="000000"/>
                <w:sz w:val="16"/>
                <w:szCs w:val="16"/>
              </w:rPr>
              <w:t>Aciclovir, 1 000-1 200 mg/día</w:t>
            </w:r>
          </w:p>
        </w:tc>
        <w:tc>
          <w:tcPr>
            <w:tcW w:w="3245" w:type="dxa"/>
            <w:shd w:val="clear" w:color="auto" w:fill="FFFFFF"/>
          </w:tcPr>
          <w:p w14:paraId="35CF25F5" w14:textId="77777777" w:rsidR="00924992" w:rsidRDefault="00924992">
            <w:pPr>
              <w:framePr w:w="10752" w:h="4973" w:vSpace="211" w:wrap="none" w:hAnchor="page" w:x="635" w:y="1676"/>
              <w:rPr>
                <w:sz w:val="10"/>
                <w:szCs w:val="10"/>
              </w:rPr>
            </w:pPr>
          </w:p>
        </w:tc>
      </w:tr>
      <w:tr w:rsidR="00924992" w14:paraId="77A74126" w14:textId="77777777">
        <w:tblPrEx>
          <w:tblCellMar>
            <w:top w:w="0" w:type="dxa"/>
            <w:bottom w:w="0" w:type="dxa"/>
          </w:tblCellMar>
        </w:tblPrEx>
        <w:trPr>
          <w:trHeight w:hRule="exact" w:val="638"/>
        </w:trPr>
        <w:tc>
          <w:tcPr>
            <w:tcW w:w="2501" w:type="dxa"/>
            <w:shd w:val="clear" w:color="auto" w:fill="FFFFFF"/>
            <w:vAlign w:val="bottom"/>
          </w:tcPr>
          <w:p w14:paraId="214CC417" w14:textId="77777777" w:rsidR="00924992" w:rsidRDefault="00924992">
            <w:pPr>
              <w:pStyle w:val="Other0"/>
              <w:framePr w:w="10752" w:h="4973" w:vSpace="211" w:wrap="none" w:hAnchor="page" w:x="635" w:y="1676"/>
              <w:spacing w:line="240" w:lineRule="auto"/>
              <w:ind w:firstLine="0"/>
              <w:rPr>
                <w:sz w:val="16"/>
                <w:szCs w:val="16"/>
              </w:rPr>
            </w:pPr>
            <w:r>
              <w:rPr>
                <w:rFonts w:ascii="Times New Roman" w:eastAsia="Times New Roman" w:hAnsi="Times New Roman" w:cs="Times New Roman"/>
                <w:b/>
                <w:bCs/>
                <w:color w:val="000000"/>
                <w:sz w:val="16"/>
                <w:szCs w:val="16"/>
              </w:rPr>
              <w:t>Enfermedad inflamatoria</w:t>
            </w:r>
          </w:p>
        </w:tc>
        <w:tc>
          <w:tcPr>
            <w:tcW w:w="2510" w:type="dxa"/>
            <w:shd w:val="clear" w:color="auto" w:fill="FFFFFF"/>
            <w:vAlign w:val="bottom"/>
          </w:tcPr>
          <w:p w14:paraId="190B6BD1" w14:textId="77777777" w:rsidR="00924992" w:rsidRDefault="00924992">
            <w:pPr>
              <w:pStyle w:val="Other0"/>
              <w:framePr w:w="10752" w:h="4973" w:vSpace="211" w:wrap="none" w:hAnchor="page" w:x="635" w:y="1676"/>
              <w:spacing w:line="240" w:lineRule="auto"/>
              <w:ind w:firstLine="0"/>
              <w:rPr>
                <w:sz w:val="16"/>
                <w:szCs w:val="16"/>
              </w:rPr>
            </w:pPr>
            <w:r>
              <w:rPr>
                <w:rFonts w:ascii="Times New Roman" w:eastAsia="Times New Roman" w:hAnsi="Times New Roman" w:cs="Times New Roman"/>
                <w:i/>
                <w:iCs/>
                <w:color w:val="000000"/>
                <w:sz w:val="16"/>
                <w:szCs w:val="16"/>
              </w:rPr>
              <w:t>N. gonorrhoeae, C. trachomatis,</w:t>
            </w:r>
          </w:p>
        </w:tc>
        <w:tc>
          <w:tcPr>
            <w:tcW w:w="2496" w:type="dxa"/>
            <w:shd w:val="clear" w:color="auto" w:fill="FFFFFF"/>
            <w:vAlign w:val="bottom"/>
          </w:tcPr>
          <w:p w14:paraId="6633F303" w14:textId="77777777" w:rsidR="00924992" w:rsidRDefault="00924992">
            <w:pPr>
              <w:pStyle w:val="Other0"/>
              <w:framePr w:w="10752" w:h="4973" w:vSpace="211" w:wrap="none" w:hAnchor="page" w:x="635" w:y="1676"/>
              <w:spacing w:line="283" w:lineRule="auto"/>
              <w:ind w:left="220" w:firstLine="0"/>
              <w:rPr>
                <w:sz w:val="16"/>
                <w:szCs w:val="16"/>
              </w:rPr>
            </w:pPr>
            <w:r>
              <w:rPr>
                <w:rFonts w:ascii="Times New Roman" w:eastAsia="Times New Roman" w:hAnsi="Times New Roman" w:cs="Times New Roman"/>
                <w:color w:val="000000"/>
                <w:sz w:val="16"/>
                <w:szCs w:val="16"/>
              </w:rPr>
              <w:t>ingeridos en 3 a 5 fracciones durante 7-10 días</w:t>
            </w:r>
          </w:p>
          <w:p w14:paraId="71FE9BDE" w14:textId="77777777" w:rsidR="00924992" w:rsidRDefault="00924992">
            <w:pPr>
              <w:pStyle w:val="Other0"/>
              <w:framePr w:w="10752" w:h="4973" w:vSpace="211" w:wrap="none" w:hAnchor="page" w:x="635" w:y="1676"/>
              <w:spacing w:line="283" w:lineRule="auto"/>
              <w:ind w:firstLine="0"/>
              <w:rPr>
                <w:sz w:val="16"/>
                <w:szCs w:val="16"/>
              </w:rPr>
            </w:pPr>
            <w:r>
              <w:rPr>
                <w:rFonts w:ascii="Times New Roman" w:eastAsia="Times New Roman" w:hAnsi="Times New Roman" w:cs="Times New Roman"/>
                <w:color w:val="000000"/>
                <w:sz w:val="16"/>
                <w:szCs w:val="16"/>
              </w:rPr>
              <w:t>Véanse resumen de “Pélvica,</w:t>
            </w:r>
          </w:p>
        </w:tc>
        <w:tc>
          <w:tcPr>
            <w:tcW w:w="3245" w:type="dxa"/>
            <w:shd w:val="clear" w:color="auto" w:fill="FFFFFF"/>
            <w:vAlign w:val="bottom"/>
          </w:tcPr>
          <w:p w14:paraId="4FAE956C" w14:textId="77777777" w:rsidR="00924992" w:rsidRDefault="00924992">
            <w:pPr>
              <w:pStyle w:val="Other0"/>
              <w:framePr w:w="10752" w:h="4973" w:vSpace="211" w:wrap="none" w:hAnchor="page" w:x="635" w:y="1676"/>
              <w:spacing w:line="240" w:lineRule="auto"/>
              <w:ind w:firstLine="160"/>
              <w:rPr>
                <w:sz w:val="16"/>
                <w:szCs w:val="16"/>
              </w:rPr>
            </w:pPr>
            <w:r>
              <w:rPr>
                <w:rFonts w:ascii="Times New Roman" w:eastAsia="Times New Roman" w:hAnsi="Times New Roman" w:cs="Times New Roman"/>
                <w:color w:val="000000"/>
                <w:sz w:val="16"/>
                <w:szCs w:val="16"/>
              </w:rPr>
              <w:t>Rara vez PID afecta a niñas prepúberes</w:t>
            </w:r>
          </w:p>
        </w:tc>
      </w:tr>
      <w:tr w:rsidR="00924992" w14:paraId="738EFC2E" w14:textId="77777777">
        <w:tblPrEx>
          <w:tblCellMar>
            <w:top w:w="0" w:type="dxa"/>
            <w:bottom w:w="0" w:type="dxa"/>
          </w:tblCellMar>
        </w:tblPrEx>
        <w:trPr>
          <w:trHeight w:hRule="exact" w:val="226"/>
        </w:trPr>
        <w:tc>
          <w:tcPr>
            <w:tcW w:w="2501" w:type="dxa"/>
            <w:shd w:val="clear" w:color="auto" w:fill="FFFFFF"/>
            <w:vAlign w:val="bottom"/>
          </w:tcPr>
          <w:p w14:paraId="667B44BD" w14:textId="77777777" w:rsidR="00924992" w:rsidRDefault="00924992">
            <w:pPr>
              <w:pStyle w:val="Other0"/>
              <w:framePr w:w="10752" w:h="4973" w:vSpace="211" w:wrap="none" w:hAnchor="page" w:x="635" w:y="1676"/>
              <w:spacing w:line="240" w:lineRule="auto"/>
              <w:ind w:firstLine="160"/>
              <w:rPr>
                <w:sz w:val="16"/>
                <w:szCs w:val="16"/>
              </w:rPr>
            </w:pPr>
            <w:r>
              <w:rPr>
                <w:rFonts w:ascii="Times New Roman" w:eastAsia="Times New Roman" w:hAnsi="Times New Roman" w:cs="Times New Roman"/>
                <w:b/>
                <w:bCs/>
                <w:color w:val="000000"/>
                <w:sz w:val="16"/>
                <w:szCs w:val="16"/>
              </w:rPr>
              <w:t>pélvica (PID)</w:t>
            </w:r>
          </w:p>
        </w:tc>
        <w:tc>
          <w:tcPr>
            <w:tcW w:w="2510" w:type="dxa"/>
            <w:shd w:val="clear" w:color="auto" w:fill="FFFFFF"/>
            <w:vAlign w:val="bottom"/>
          </w:tcPr>
          <w:p w14:paraId="22090345" w14:textId="77777777" w:rsidR="00924992" w:rsidRDefault="00924992">
            <w:pPr>
              <w:pStyle w:val="Other0"/>
              <w:framePr w:w="10752" w:h="4973" w:vSpace="211" w:wrap="none" w:hAnchor="page" w:x="635" w:y="1676"/>
              <w:spacing w:line="240" w:lineRule="auto"/>
              <w:ind w:firstLine="200"/>
              <w:rPr>
                <w:sz w:val="16"/>
                <w:szCs w:val="16"/>
              </w:rPr>
            </w:pPr>
            <w:r>
              <w:rPr>
                <w:rFonts w:ascii="Times New Roman" w:eastAsia="Times New Roman" w:hAnsi="Times New Roman" w:cs="Times New Roman"/>
                <w:color w:val="000000"/>
                <w:sz w:val="16"/>
                <w:szCs w:val="16"/>
              </w:rPr>
              <w:t>anaerobios, bacterias coliformes</w:t>
            </w:r>
          </w:p>
        </w:tc>
        <w:tc>
          <w:tcPr>
            <w:tcW w:w="2496" w:type="dxa"/>
            <w:shd w:val="clear" w:color="auto" w:fill="FFFFFF"/>
            <w:vAlign w:val="bottom"/>
          </w:tcPr>
          <w:p w14:paraId="4ECF242A" w14:textId="77777777" w:rsidR="00924992" w:rsidRDefault="00924992">
            <w:pPr>
              <w:pStyle w:val="Other0"/>
              <w:framePr w:w="10752" w:h="4973" w:vSpace="211" w:wrap="none" w:hAnchor="page" w:x="635" w:y="1676"/>
              <w:spacing w:line="240" w:lineRule="auto"/>
              <w:ind w:firstLine="220"/>
              <w:rPr>
                <w:sz w:val="16"/>
                <w:szCs w:val="16"/>
              </w:rPr>
            </w:pPr>
            <w:r>
              <w:rPr>
                <w:rFonts w:ascii="Times New Roman" w:eastAsia="Times New Roman" w:hAnsi="Times New Roman" w:cs="Times New Roman"/>
                <w:color w:val="000000"/>
                <w:sz w:val="16"/>
                <w:szCs w:val="16"/>
              </w:rPr>
              <w:t>enfermedad inflamatoria”,</w:t>
            </w:r>
          </w:p>
        </w:tc>
        <w:tc>
          <w:tcPr>
            <w:tcW w:w="3245" w:type="dxa"/>
            <w:shd w:val="clear" w:color="auto" w:fill="FFFFFF"/>
            <w:vAlign w:val="bottom"/>
          </w:tcPr>
          <w:p w14:paraId="7BAB3EA3" w14:textId="77777777" w:rsidR="00924992" w:rsidRDefault="00924992">
            <w:pPr>
              <w:pStyle w:val="Other0"/>
              <w:framePr w:w="10752" w:h="4973" w:vSpace="211" w:wrap="none" w:hAnchor="page" w:x="635" w:y="1676"/>
              <w:spacing w:line="240" w:lineRule="auto"/>
              <w:ind w:firstLine="260"/>
              <w:rPr>
                <w:sz w:val="16"/>
                <w:szCs w:val="16"/>
              </w:rPr>
            </w:pPr>
            <w:r>
              <w:rPr>
                <w:rFonts w:ascii="Times New Roman" w:eastAsia="Times New Roman" w:hAnsi="Times New Roman" w:cs="Times New Roman"/>
                <w:color w:val="000000"/>
                <w:sz w:val="16"/>
                <w:szCs w:val="16"/>
              </w:rPr>
              <w:t>(si es que alguna vez así ocurre)</w:t>
            </w:r>
          </w:p>
        </w:tc>
      </w:tr>
      <w:tr w:rsidR="00924992" w14:paraId="0B38C766" w14:textId="77777777">
        <w:tblPrEx>
          <w:tblCellMar>
            <w:top w:w="0" w:type="dxa"/>
            <w:bottom w:w="0" w:type="dxa"/>
          </w:tblCellMar>
        </w:tblPrEx>
        <w:trPr>
          <w:trHeight w:hRule="exact" w:val="442"/>
        </w:trPr>
        <w:tc>
          <w:tcPr>
            <w:tcW w:w="2501" w:type="dxa"/>
            <w:shd w:val="clear" w:color="auto" w:fill="FFFFFF"/>
            <w:vAlign w:val="bottom"/>
          </w:tcPr>
          <w:p w14:paraId="4F6D7269" w14:textId="77777777" w:rsidR="00924992" w:rsidRDefault="00924992">
            <w:pPr>
              <w:pStyle w:val="Other0"/>
              <w:framePr w:w="10752" w:h="4973" w:vSpace="211" w:wrap="none" w:hAnchor="page" w:x="635" w:y="1676"/>
              <w:spacing w:line="240" w:lineRule="auto"/>
              <w:ind w:firstLine="0"/>
              <w:rPr>
                <w:sz w:val="16"/>
                <w:szCs w:val="16"/>
              </w:rPr>
            </w:pPr>
            <w:r>
              <w:rPr>
                <w:rFonts w:ascii="Times New Roman" w:eastAsia="Times New Roman" w:hAnsi="Times New Roman" w:cs="Times New Roman"/>
                <w:b/>
                <w:bCs/>
                <w:color w:val="000000"/>
                <w:sz w:val="16"/>
                <w:szCs w:val="16"/>
              </w:rPr>
              <w:t>Sífilis</w:t>
            </w:r>
          </w:p>
        </w:tc>
        <w:tc>
          <w:tcPr>
            <w:tcW w:w="2510" w:type="dxa"/>
            <w:shd w:val="clear" w:color="auto" w:fill="FFFFFF"/>
          </w:tcPr>
          <w:p w14:paraId="34CB102B" w14:textId="77777777" w:rsidR="00924992" w:rsidRDefault="00924992">
            <w:pPr>
              <w:pStyle w:val="Other0"/>
              <w:framePr w:w="10752" w:h="4973" w:vSpace="211" w:wrap="none" w:hAnchor="page" w:x="635" w:y="1676"/>
              <w:spacing w:line="283" w:lineRule="auto"/>
              <w:ind w:firstLine="200"/>
              <w:rPr>
                <w:sz w:val="16"/>
                <w:szCs w:val="16"/>
              </w:rPr>
            </w:pPr>
            <w:r>
              <w:rPr>
                <w:rFonts w:ascii="Times New Roman" w:eastAsia="Times New Roman" w:hAnsi="Times New Roman" w:cs="Times New Roman"/>
                <w:color w:val="000000"/>
                <w:sz w:val="16"/>
                <w:szCs w:val="16"/>
              </w:rPr>
              <w:t xml:space="preserve">y especies de </w:t>
            </w:r>
            <w:r>
              <w:rPr>
                <w:rFonts w:ascii="Times New Roman" w:eastAsia="Times New Roman" w:hAnsi="Times New Roman" w:cs="Times New Roman"/>
                <w:i/>
                <w:iCs/>
                <w:color w:val="000000"/>
                <w:sz w:val="16"/>
                <w:szCs w:val="16"/>
              </w:rPr>
              <w:t>Streptococcus Treponema pallidum</w:t>
            </w:r>
          </w:p>
        </w:tc>
        <w:tc>
          <w:tcPr>
            <w:tcW w:w="2496" w:type="dxa"/>
            <w:shd w:val="clear" w:color="auto" w:fill="FFFFFF"/>
          </w:tcPr>
          <w:p w14:paraId="6D381C48" w14:textId="77777777" w:rsidR="00924992" w:rsidRDefault="00924992">
            <w:pPr>
              <w:pStyle w:val="Other0"/>
              <w:framePr w:w="10752" w:h="4973" w:vSpace="211" w:wrap="none" w:hAnchor="page" w:x="635" w:y="1676"/>
              <w:spacing w:line="283" w:lineRule="auto"/>
              <w:ind w:firstLine="220"/>
              <w:rPr>
                <w:sz w:val="16"/>
                <w:szCs w:val="16"/>
              </w:rPr>
            </w:pPr>
            <w:r>
              <w:rPr>
                <w:rFonts w:ascii="Times New Roman" w:eastAsia="Times New Roman" w:hAnsi="Times New Roman" w:cs="Times New Roman"/>
                <w:color w:val="000000"/>
                <w:sz w:val="16"/>
                <w:szCs w:val="16"/>
              </w:rPr>
              <w:t>sección 3 y cuadro 3-55 Véase el resumen de “Sífilis”,</w:t>
            </w:r>
          </w:p>
        </w:tc>
        <w:tc>
          <w:tcPr>
            <w:tcW w:w="3245" w:type="dxa"/>
            <w:shd w:val="clear" w:color="auto" w:fill="FFFFFF"/>
            <w:vAlign w:val="bottom"/>
          </w:tcPr>
          <w:p w14:paraId="1CA1EE1E" w14:textId="77777777" w:rsidR="00924992" w:rsidRDefault="00924992">
            <w:pPr>
              <w:pStyle w:val="Other0"/>
              <w:framePr w:w="10752" w:h="4973" w:vSpace="211" w:wrap="none" w:hAnchor="page" w:x="635" w:y="1676"/>
              <w:spacing w:line="240" w:lineRule="auto"/>
              <w:ind w:firstLine="160"/>
              <w:rPr>
                <w:sz w:val="17"/>
                <w:szCs w:val="17"/>
              </w:rPr>
            </w:pPr>
            <w:r>
              <w:rPr>
                <w:rFonts w:ascii="Times New Roman" w:eastAsia="Times New Roman" w:hAnsi="Times New Roman" w:cs="Times New Roman"/>
                <w:b/>
                <w:bCs/>
                <w:i/>
                <w:iCs/>
                <w:color w:val="000000"/>
                <w:sz w:val="17"/>
                <w:szCs w:val="17"/>
              </w:rPr>
              <w:t>Niñas que pesan menos de 45 kg:</w:t>
            </w:r>
          </w:p>
        </w:tc>
      </w:tr>
      <w:tr w:rsidR="00924992" w14:paraId="232BAD57" w14:textId="77777777">
        <w:tblPrEx>
          <w:tblCellMar>
            <w:top w:w="0" w:type="dxa"/>
            <w:bottom w:w="0" w:type="dxa"/>
          </w:tblCellMar>
        </w:tblPrEx>
        <w:trPr>
          <w:trHeight w:hRule="exact" w:val="648"/>
        </w:trPr>
        <w:tc>
          <w:tcPr>
            <w:tcW w:w="2501" w:type="dxa"/>
            <w:shd w:val="clear" w:color="auto" w:fill="FFFFFF"/>
            <w:vAlign w:val="bottom"/>
          </w:tcPr>
          <w:p w14:paraId="1C464702" w14:textId="77777777" w:rsidR="00924992" w:rsidRDefault="00924992">
            <w:pPr>
              <w:pStyle w:val="Other0"/>
              <w:framePr w:w="10752" w:h="4973" w:vSpace="211" w:wrap="none" w:hAnchor="page" w:x="635" w:y="1676"/>
              <w:spacing w:line="240" w:lineRule="auto"/>
              <w:ind w:firstLine="0"/>
              <w:rPr>
                <w:sz w:val="16"/>
                <w:szCs w:val="16"/>
              </w:rPr>
            </w:pPr>
            <w:r>
              <w:rPr>
                <w:rFonts w:ascii="Times New Roman" w:eastAsia="Times New Roman" w:hAnsi="Times New Roman" w:cs="Times New Roman"/>
                <w:b/>
                <w:bCs/>
                <w:color w:val="000000"/>
                <w:sz w:val="16"/>
                <w:szCs w:val="16"/>
              </w:rPr>
              <w:t>Enfermedad ulcerosa en genitales</w:t>
            </w:r>
          </w:p>
        </w:tc>
        <w:tc>
          <w:tcPr>
            <w:tcW w:w="2510" w:type="dxa"/>
            <w:shd w:val="clear" w:color="auto" w:fill="FFFFFF"/>
            <w:vAlign w:val="bottom"/>
          </w:tcPr>
          <w:p w14:paraId="4F1EDEFC" w14:textId="77777777" w:rsidR="00924992" w:rsidRDefault="00924992">
            <w:pPr>
              <w:pStyle w:val="Other0"/>
              <w:framePr w:w="10752" w:h="4973" w:vSpace="211" w:wrap="none" w:hAnchor="page" w:x="635" w:y="1676"/>
              <w:spacing w:line="240" w:lineRule="auto"/>
              <w:ind w:firstLine="0"/>
              <w:rPr>
                <w:sz w:val="16"/>
                <w:szCs w:val="16"/>
              </w:rPr>
            </w:pPr>
            <w:r>
              <w:rPr>
                <w:rFonts w:ascii="Times New Roman" w:eastAsia="Times New Roman" w:hAnsi="Times New Roman" w:cs="Times New Roman"/>
                <w:i/>
                <w:iCs/>
                <w:color w:val="000000"/>
                <w:sz w:val="16"/>
                <w:szCs w:val="16"/>
              </w:rPr>
              <w:t>T. pallidum</w:t>
            </w:r>
          </w:p>
        </w:tc>
        <w:tc>
          <w:tcPr>
            <w:tcW w:w="2496" w:type="dxa"/>
            <w:shd w:val="clear" w:color="auto" w:fill="FFFFFF"/>
            <w:vAlign w:val="bottom"/>
          </w:tcPr>
          <w:p w14:paraId="6E5D396B" w14:textId="77777777" w:rsidR="00924992" w:rsidRDefault="00924992">
            <w:pPr>
              <w:pStyle w:val="Other0"/>
              <w:framePr w:w="10752" w:h="4973" w:vSpace="211" w:wrap="none" w:hAnchor="page" w:x="635" w:y="1676"/>
              <w:spacing w:after="240" w:line="240" w:lineRule="auto"/>
              <w:ind w:firstLine="220"/>
              <w:rPr>
                <w:sz w:val="16"/>
                <w:szCs w:val="16"/>
              </w:rPr>
            </w:pPr>
            <w:r>
              <w:rPr>
                <w:rFonts w:ascii="Times New Roman" w:eastAsia="Times New Roman" w:hAnsi="Times New Roman" w:cs="Times New Roman"/>
                <w:color w:val="000000"/>
                <w:sz w:val="16"/>
                <w:szCs w:val="16"/>
              </w:rPr>
              <w:t>sección 3</w:t>
            </w:r>
          </w:p>
          <w:p w14:paraId="0970AFD7" w14:textId="77777777" w:rsidR="00924992" w:rsidRDefault="00924992">
            <w:pPr>
              <w:pStyle w:val="Other0"/>
              <w:framePr w:w="10752" w:h="4973" w:vSpace="211" w:wrap="none" w:hAnchor="page" w:x="635" w:y="1676"/>
              <w:spacing w:line="240" w:lineRule="auto"/>
              <w:ind w:firstLine="0"/>
              <w:rPr>
                <w:sz w:val="16"/>
                <w:szCs w:val="16"/>
              </w:rPr>
            </w:pPr>
            <w:r>
              <w:rPr>
                <w:rFonts w:ascii="Times New Roman" w:eastAsia="Times New Roman" w:hAnsi="Times New Roman" w:cs="Times New Roman"/>
                <w:color w:val="000000"/>
                <w:sz w:val="16"/>
                <w:szCs w:val="16"/>
              </w:rPr>
              <w:t>Igual que en la sífilis</w:t>
            </w:r>
          </w:p>
        </w:tc>
        <w:tc>
          <w:tcPr>
            <w:tcW w:w="3245" w:type="dxa"/>
            <w:shd w:val="clear" w:color="auto" w:fill="FFFFFF"/>
            <w:vAlign w:val="bottom"/>
          </w:tcPr>
          <w:p w14:paraId="43168939" w14:textId="77777777" w:rsidR="00924992" w:rsidRDefault="00924992">
            <w:pPr>
              <w:pStyle w:val="Other0"/>
              <w:framePr w:w="10752" w:h="4973" w:vSpace="211" w:wrap="none" w:hAnchor="page" w:x="635" w:y="1676"/>
              <w:spacing w:line="283" w:lineRule="auto"/>
              <w:ind w:left="260" w:firstLine="0"/>
              <w:rPr>
                <w:sz w:val="16"/>
                <w:szCs w:val="16"/>
              </w:rPr>
            </w:pPr>
            <w:r>
              <w:rPr>
                <w:rFonts w:ascii="Times New Roman" w:eastAsia="Times New Roman" w:hAnsi="Times New Roman" w:cs="Times New Roman"/>
                <w:color w:val="000000"/>
                <w:sz w:val="16"/>
                <w:szCs w:val="16"/>
              </w:rPr>
              <w:t>Igual que en el caso de sífilis congénita (véanse “Sífilis”, sección 3 y cuadro 3-65)</w:t>
            </w:r>
          </w:p>
          <w:p w14:paraId="529B1970" w14:textId="77777777" w:rsidR="00924992" w:rsidRDefault="00924992">
            <w:pPr>
              <w:pStyle w:val="Other0"/>
              <w:framePr w:w="10752" w:h="4973" w:vSpace="211" w:wrap="none" w:hAnchor="page" w:x="635" w:y="1676"/>
              <w:spacing w:line="266" w:lineRule="auto"/>
              <w:ind w:firstLine="160"/>
              <w:rPr>
                <w:sz w:val="17"/>
                <w:szCs w:val="17"/>
              </w:rPr>
            </w:pPr>
            <w:r>
              <w:rPr>
                <w:rFonts w:ascii="Times New Roman" w:eastAsia="Times New Roman" w:hAnsi="Times New Roman" w:cs="Times New Roman"/>
                <w:b/>
                <w:bCs/>
                <w:i/>
                <w:iCs/>
                <w:color w:val="000000"/>
                <w:sz w:val="17"/>
                <w:szCs w:val="17"/>
              </w:rPr>
              <w:t>Niños que pesan menos de 45 kg:</w:t>
            </w:r>
          </w:p>
        </w:tc>
      </w:tr>
      <w:tr w:rsidR="00924992" w14:paraId="2A528F6D" w14:textId="77777777">
        <w:tblPrEx>
          <w:tblCellMar>
            <w:top w:w="0" w:type="dxa"/>
            <w:bottom w:w="0" w:type="dxa"/>
          </w:tblCellMar>
        </w:tblPrEx>
        <w:trPr>
          <w:trHeight w:hRule="exact" w:val="662"/>
        </w:trPr>
        <w:tc>
          <w:tcPr>
            <w:tcW w:w="2501" w:type="dxa"/>
            <w:shd w:val="clear" w:color="auto" w:fill="FFFFFF"/>
          </w:tcPr>
          <w:p w14:paraId="5DA5994D" w14:textId="77777777" w:rsidR="00924992" w:rsidRDefault="00924992">
            <w:pPr>
              <w:framePr w:w="10752" w:h="4973" w:vSpace="211" w:wrap="none" w:hAnchor="page" w:x="635" w:y="1676"/>
              <w:rPr>
                <w:sz w:val="10"/>
                <w:szCs w:val="10"/>
              </w:rPr>
            </w:pPr>
          </w:p>
        </w:tc>
        <w:tc>
          <w:tcPr>
            <w:tcW w:w="2510" w:type="dxa"/>
            <w:shd w:val="clear" w:color="auto" w:fill="FFFFFF"/>
            <w:vAlign w:val="bottom"/>
          </w:tcPr>
          <w:p w14:paraId="34F70FBE" w14:textId="77777777" w:rsidR="00924992" w:rsidRDefault="00924992">
            <w:pPr>
              <w:pStyle w:val="Other0"/>
              <w:framePr w:w="10752" w:h="4973" w:vSpace="211" w:wrap="none" w:hAnchor="page" w:x="635" w:y="1676"/>
              <w:spacing w:line="240" w:lineRule="auto"/>
              <w:ind w:firstLine="0"/>
              <w:rPr>
                <w:sz w:val="16"/>
                <w:szCs w:val="16"/>
              </w:rPr>
            </w:pPr>
            <w:r>
              <w:rPr>
                <w:rFonts w:ascii="Times New Roman" w:eastAsia="Times New Roman" w:hAnsi="Times New Roman" w:cs="Times New Roman"/>
                <w:color w:val="000000"/>
                <w:sz w:val="16"/>
                <w:szCs w:val="16"/>
              </w:rPr>
              <w:t>HSV-infección primaria</w:t>
            </w:r>
          </w:p>
        </w:tc>
        <w:tc>
          <w:tcPr>
            <w:tcW w:w="2496" w:type="dxa"/>
            <w:shd w:val="clear" w:color="auto" w:fill="FFFFFF"/>
            <w:vAlign w:val="bottom"/>
          </w:tcPr>
          <w:p w14:paraId="0523ADAA" w14:textId="77777777" w:rsidR="00924992" w:rsidRDefault="00924992">
            <w:pPr>
              <w:pStyle w:val="Other0"/>
              <w:framePr w:w="10752" w:h="4973" w:vSpace="211" w:wrap="none" w:hAnchor="page" w:x="635" w:y="1676"/>
              <w:spacing w:line="240" w:lineRule="auto"/>
              <w:ind w:firstLine="0"/>
              <w:rPr>
                <w:sz w:val="16"/>
                <w:szCs w:val="16"/>
              </w:rPr>
            </w:pPr>
            <w:r>
              <w:rPr>
                <w:rFonts w:ascii="Times New Roman" w:eastAsia="Times New Roman" w:hAnsi="Times New Roman" w:cs="Times New Roman"/>
                <w:color w:val="000000"/>
                <w:sz w:val="16"/>
                <w:szCs w:val="16"/>
              </w:rPr>
              <w:t>Véase “Vaginitis prepúber”</w:t>
            </w:r>
          </w:p>
        </w:tc>
        <w:tc>
          <w:tcPr>
            <w:tcW w:w="3245" w:type="dxa"/>
            <w:shd w:val="clear" w:color="auto" w:fill="FFFFFF"/>
          </w:tcPr>
          <w:p w14:paraId="44CA0ABB" w14:textId="77777777" w:rsidR="00924992" w:rsidRDefault="00924992">
            <w:pPr>
              <w:pStyle w:val="Other0"/>
              <w:framePr w:w="10752" w:h="4973" w:vSpace="211" w:wrap="none" w:hAnchor="page" w:x="635" w:y="1676"/>
              <w:spacing w:line="283" w:lineRule="auto"/>
              <w:ind w:left="260" w:hanging="80"/>
              <w:rPr>
                <w:sz w:val="16"/>
                <w:szCs w:val="16"/>
              </w:rPr>
            </w:pPr>
            <w:r>
              <w:rPr>
                <w:rFonts w:ascii="Times New Roman" w:eastAsia="Times New Roman" w:hAnsi="Times New Roman" w:cs="Times New Roman"/>
                <w:color w:val="000000"/>
                <w:sz w:val="16"/>
                <w:szCs w:val="16"/>
              </w:rPr>
              <w:t>Igual que en el caso de sífilis congénita (véanse “Sífilis”, sección 3 y cuadro 3-65)</w:t>
            </w:r>
          </w:p>
          <w:p w14:paraId="160A75B6" w14:textId="77777777" w:rsidR="00924992" w:rsidRDefault="00924992">
            <w:pPr>
              <w:pStyle w:val="Other0"/>
              <w:framePr w:w="10752" w:h="4973" w:vSpace="211" w:wrap="none" w:hAnchor="page" w:x="635" w:y="1676"/>
              <w:spacing w:line="266" w:lineRule="auto"/>
              <w:ind w:firstLine="160"/>
              <w:rPr>
                <w:sz w:val="17"/>
                <w:szCs w:val="17"/>
              </w:rPr>
            </w:pPr>
            <w:r>
              <w:rPr>
                <w:rFonts w:ascii="Times New Roman" w:eastAsia="Times New Roman" w:hAnsi="Times New Roman" w:cs="Times New Roman"/>
                <w:b/>
                <w:bCs/>
                <w:i/>
                <w:iCs/>
                <w:color w:val="000000"/>
                <w:sz w:val="17"/>
                <w:szCs w:val="17"/>
              </w:rPr>
              <w:t>Niños que pesan menos de 45 kg:</w:t>
            </w:r>
          </w:p>
        </w:tc>
      </w:tr>
    </w:tbl>
    <w:p w14:paraId="3C5506F0" w14:textId="77777777" w:rsidR="00924992" w:rsidRDefault="00924992">
      <w:pPr>
        <w:framePr w:w="10752" w:h="4973" w:vSpace="211" w:wrap="none" w:hAnchor="page" w:x="635" w:y="1676"/>
        <w:spacing w:line="1" w:lineRule="exact"/>
      </w:pPr>
    </w:p>
    <w:p w14:paraId="24F803D3" w14:textId="77777777" w:rsidR="00924992" w:rsidRDefault="00924992">
      <w:pPr>
        <w:pStyle w:val="Tablecaption0"/>
        <w:framePr w:w="1762" w:h="235" w:wrap="none" w:hAnchor="page" w:x="8286" w:y="6625"/>
        <w:spacing w:line="240" w:lineRule="auto"/>
        <w:ind w:left="0"/>
        <w:rPr>
          <w:sz w:val="16"/>
          <w:szCs w:val="16"/>
        </w:rPr>
      </w:pPr>
      <w:r>
        <w:rPr>
          <w:color w:val="000000"/>
          <w:sz w:val="16"/>
          <w:szCs w:val="16"/>
        </w:rPr>
        <w:t>Véase vaginitis prepúber</w:t>
      </w:r>
    </w:p>
    <w:p w14:paraId="59B778F0" w14:textId="77777777" w:rsidR="00924992" w:rsidRDefault="00924992">
      <w:pPr>
        <w:pStyle w:val="Bodytext80"/>
        <w:framePr w:w="192" w:h="4963" w:hRule="exact" w:wrap="none" w:hAnchor="page" w:x="12390" w:y="30"/>
        <w:tabs>
          <w:tab w:val="left" w:pos="1877"/>
        </w:tabs>
        <w:textDirection w:val="tbRl"/>
      </w:pPr>
      <w:r>
        <w:rPr>
          <w:i/>
          <w:iCs/>
          <w:sz w:val="20"/>
          <w:szCs w:val="20"/>
        </w:rPr>
        <w:t>152</w:t>
      </w:r>
      <w:r>
        <w:tab/>
        <w:t>ENFERMEDADES DE TRANSMISIÓN SEXUAL</w:t>
      </w:r>
    </w:p>
    <w:p w14:paraId="6EA76D5F" w14:textId="77777777" w:rsidR="00924992" w:rsidRDefault="00924992">
      <w:pPr>
        <w:spacing w:line="360" w:lineRule="exact"/>
      </w:pPr>
    </w:p>
    <w:p w14:paraId="281BBBB7" w14:textId="77777777" w:rsidR="00924992" w:rsidRDefault="00924992">
      <w:pPr>
        <w:spacing w:line="360" w:lineRule="exact"/>
      </w:pPr>
    </w:p>
    <w:p w14:paraId="4AFD2C07" w14:textId="77777777" w:rsidR="00924992" w:rsidRDefault="00924992">
      <w:pPr>
        <w:spacing w:line="360" w:lineRule="exact"/>
      </w:pPr>
    </w:p>
    <w:p w14:paraId="6D8EEC7F" w14:textId="77777777" w:rsidR="00924992" w:rsidRDefault="00924992">
      <w:pPr>
        <w:spacing w:line="360" w:lineRule="exact"/>
      </w:pPr>
    </w:p>
    <w:p w14:paraId="1F13A9D1" w14:textId="77777777" w:rsidR="00924992" w:rsidRDefault="00924992">
      <w:pPr>
        <w:spacing w:line="360" w:lineRule="exact"/>
      </w:pPr>
    </w:p>
    <w:p w14:paraId="50667D22" w14:textId="77777777" w:rsidR="00924992" w:rsidRDefault="00924992">
      <w:pPr>
        <w:spacing w:line="360" w:lineRule="exact"/>
      </w:pPr>
    </w:p>
    <w:p w14:paraId="06DB62C3" w14:textId="77777777" w:rsidR="00924992" w:rsidRDefault="00924992">
      <w:pPr>
        <w:spacing w:line="360" w:lineRule="exact"/>
      </w:pPr>
    </w:p>
    <w:p w14:paraId="29688B6A" w14:textId="77777777" w:rsidR="00924992" w:rsidRDefault="00924992">
      <w:pPr>
        <w:spacing w:line="360" w:lineRule="exact"/>
      </w:pPr>
    </w:p>
    <w:p w14:paraId="2AB91A4E" w14:textId="77777777" w:rsidR="00924992" w:rsidRDefault="00924992">
      <w:pPr>
        <w:spacing w:line="360" w:lineRule="exact"/>
      </w:pPr>
    </w:p>
    <w:p w14:paraId="1A32F00A" w14:textId="77777777" w:rsidR="00924992" w:rsidRDefault="00924992">
      <w:pPr>
        <w:spacing w:line="360" w:lineRule="exact"/>
      </w:pPr>
    </w:p>
    <w:p w14:paraId="2F2F70F9" w14:textId="77777777" w:rsidR="00924992" w:rsidRDefault="00924992">
      <w:pPr>
        <w:spacing w:line="360" w:lineRule="exact"/>
      </w:pPr>
    </w:p>
    <w:p w14:paraId="4A0DC2EB" w14:textId="77777777" w:rsidR="00924992" w:rsidRDefault="00924992">
      <w:pPr>
        <w:spacing w:line="360" w:lineRule="exact"/>
      </w:pPr>
    </w:p>
    <w:p w14:paraId="0CFB8FA2" w14:textId="77777777" w:rsidR="00924992" w:rsidRDefault="00924992">
      <w:pPr>
        <w:spacing w:line="360" w:lineRule="exact"/>
      </w:pPr>
    </w:p>
    <w:p w14:paraId="29C200A9" w14:textId="77777777" w:rsidR="00924992" w:rsidRDefault="00924992">
      <w:pPr>
        <w:spacing w:line="360" w:lineRule="exact"/>
      </w:pPr>
    </w:p>
    <w:p w14:paraId="12A01FD3" w14:textId="77777777" w:rsidR="00924992" w:rsidRDefault="00924992">
      <w:pPr>
        <w:spacing w:line="360" w:lineRule="exact"/>
      </w:pPr>
    </w:p>
    <w:p w14:paraId="23F19F9F" w14:textId="77777777" w:rsidR="00924992" w:rsidRDefault="00924992">
      <w:pPr>
        <w:spacing w:line="360" w:lineRule="exact"/>
      </w:pPr>
    </w:p>
    <w:p w14:paraId="0785528F" w14:textId="77777777" w:rsidR="00924992" w:rsidRDefault="00924992">
      <w:pPr>
        <w:spacing w:line="360" w:lineRule="exact"/>
      </w:pPr>
    </w:p>
    <w:p w14:paraId="20BCE97B" w14:textId="77777777" w:rsidR="00924992" w:rsidRDefault="00924992">
      <w:pPr>
        <w:spacing w:line="360" w:lineRule="exact"/>
      </w:pPr>
    </w:p>
    <w:p w14:paraId="0A55C9A3" w14:textId="77777777" w:rsidR="00924992" w:rsidRDefault="00924992">
      <w:pPr>
        <w:spacing w:after="378" w:line="1" w:lineRule="exact"/>
      </w:pPr>
    </w:p>
    <w:p w14:paraId="18251D4D" w14:textId="77777777" w:rsidR="00924992" w:rsidRDefault="00924992">
      <w:pPr>
        <w:spacing w:line="1" w:lineRule="exact"/>
        <w:sectPr w:rsidR="00924992" w:rsidSect="00924992">
          <w:pgSz w:w="13022" w:h="8501" w:orient="landscape"/>
          <w:pgMar w:top="475" w:right="442" w:bottom="965" w:left="634" w:header="47" w:footer="3" w:gutter="0"/>
          <w:cols w:space="720"/>
          <w:noEndnote/>
          <w:docGrid w:linePitch="360"/>
          <w15:footnoteColumns w:val="1"/>
        </w:sectPr>
      </w:pPr>
    </w:p>
    <w:p w14:paraId="62E1D775" w14:textId="77777777" w:rsidR="00924992" w:rsidRDefault="00924992">
      <w:pPr>
        <w:pStyle w:val="Heading31"/>
        <w:keepNext/>
        <w:keepLines/>
        <w:framePr w:w="10690" w:h="1632" w:wrap="none" w:hAnchor="page" w:x="663" w:y="1"/>
        <w:spacing w:line="214" w:lineRule="auto"/>
        <w:jc w:val="center"/>
        <w:rPr>
          <w:sz w:val="16"/>
          <w:szCs w:val="16"/>
        </w:rPr>
      </w:pPr>
      <w:bookmarkStart w:id="367" w:name="bookmark1813"/>
      <w:bookmarkStart w:id="368" w:name="bookmark1814"/>
      <w:bookmarkStart w:id="369" w:name="bookmark1815"/>
      <w:r>
        <w:rPr>
          <w:b w:val="0"/>
          <w:bCs w:val="0"/>
          <w:color w:val="000000"/>
        </w:rPr>
        <w:t xml:space="preserve">Cuadro 4-3. </w:t>
      </w:r>
      <w:r>
        <w:rPr>
          <w:color w:val="000000"/>
        </w:rPr>
        <w:t>Directrices para tratar enfermedades de transmisión sexual en niños y adolescentes,</w:t>
      </w:r>
      <w:r>
        <w:rPr>
          <w:color w:val="000000"/>
        </w:rPr>
        <w:br/>
        <w:t xml:space="preserve">conforme al síndrome que tengan </w:t>
      </w:r>
      <w:r>
        <w:rPr>
          <w:rFonts w:ascii="Times New Roman" w:eastAsia="Times New Roman" w:hAnsi="Times New Roman" w:cs="Times New Roman"/>
          <w:b w:val="0"/>
          <w:bCs w:val="0"/>
          <w:i/>
          <w:iCs/>
          <w:color w:val="000000"/>
          <w:w w:val="100"/>
          <w:sz w:val="16"/>
          <w:szCs w:val="16"/>
        </w:rPr>
        <w:t>continuación</w:t>
      </w:r>
      <w:bookmarkEnd w:id="367"/>
      <w:bookmarkEnd w:id="368"/>
      <w:bookmarkEnd w:id="369"/>
    </w:p>
    <w:p w14:paraId="0D137E18" w14:textId="77777777" w:rsidR="00924992" w:rsidRDefault="00924992">
      <w:pPr>
        <w:pStyle w:val="Other0"/>
        <w:framePr w:w="10690" w:h="1632" w:wrap="none" w:hAnchor="page" w:x="663" w:y="1"/>
        <w:spacing w:line="214" w:lineRule="auto"/>
        <w:ind w:firstLine="0"/>
        <w:jc w:val="center"/>
        <w:rPr>
          <w:sz w:val="26"/>
          <w:szCs w:val="26"/>
        </w:rPr>
      </w:pPr>
      <w:r>
        <w:rPr>
          <w:rFonts w:ascii="Arial" w:eastAsia="Arial" w:hAnsi="Arial" w:cs="Arial"/>
          <w:color w:val="000000"/>
          <w:w w:val="70"/>
          <w:sz w:val="26"/>
          <w:szCs w:val="26"/>
        </w:rPr>
        <w:t>Se incluyen los regímenes preferidos. Para mayor información sobre otros regímenes aceptables y enfermedades no</w:t>
      </w:r>
      <w:r>
        <w:rPr>
          <w:rFonts w:ascii="Arial" w:eastAsia="Arial" w:hAnsi="Arial" w:cs="Arial"/>
          <w:color w:val="000000"/>
          <w:w w:val="70"/>
          <w:sz w:val="26"/>
          <w:szCs w:val="26"/>
        </w:rPr>
        <w:br/>
        <w:t>incluidas, véanse las recomendaciones respectivas en los resúmenes de enfermedades específicas, en la sección 3.</w:t>
      </w:r>
      <w:r>
        <w:rPr>
          <w:rFonts w:ascii="Arial" w:eastAsia="Arial" w:hAnsi="Arial" w:cs="Arial"/>
          <w:color w:val="000000"/>
          <w:w w:val="70"/>
          <w:sz w:val="26"/>
          <w:szCs w:val="26"/>
        </w:rPr>
        <w:br/>
        <w:t xml:space="preserve">Además, los </w:t>
      </w:r>
      <w:r>
        <w:rPr>
          <w:rFonts w:ascii="Arial" w:eastAsia="Arial" w:hAnsi="Arial" w:cs="Arial"/>
          <w:i/>
          <w:iCs/>
          <w:color w:val="000000"/>
          <w:w w:val="70"/>
          <w:sz w:val="24"/>
          <w:szCs w:val="24"/>
        </w:rPr>
        <w:t>Centers for Disease Control and Prevention</w:t>
      </w:r>
      <w:r>
        <w:rPr>
          <w:rFonts w:ascii="Arial" w:eastAsia="Arial" w:hAnsi="Arial" w:cs="Arial"/>
          <w:color w:val="000000"/>
          <w:w w:val="70"/>
          <w:sz w:val="26"/>
          <w:szCs w:val="26"/>
        </w:rPr>
        <w:t xml:space="preserve"> publicaron en 2002 las recomendaciones revisadas para el tratamiento</w:t>
      </w:r>
      <w:r>
        <w:rPr>
          <w:rFonts w:ascii="Arial" w:eastAsia="Arial" w:hAnsi="Arial" w:cs="Arial"/>
          <w:color w:val="000000"/>
          <w:w w:val="70"/>
          <w:sz w:val="26"/>
          <w:szCs w:val="26"/>
        </w:rPr>
        <w:br/>
        <w:t>de las enfermedades de transmisión sexual.</w:t>
      </w:r>
      <w:r>
        <w:rPr>
          <w:rFonts w:ascii="Arial" w:eastAsia="Arial" w:hAnsi="Arial" w:cs="Arial"/>
          <w:color w:val="000000"/>
          <w:w w:val="70"/>
          <w:sz w:val="26"/>
          <w:szCs w:val="26"/>
          <w:vertAlign w:val="superscript"/>
        </w:rPr>
        <w:t>1</w:t>
      </w:r>
    </w:p>
    <w:tbl>
      <w:tblPr>
        <w:tblOverlap w:val="never"/>
        <w:tblW w:w="0" w:type="auto"/>
        <w:tblLayout w:type="fixed"/>
        <w:tblCellMar>
          <w:left w:w="10" w:type="dxa"/>
          <w:right w:w="10" w:type="dxa"/>
        </w:tblCellMar>
        <w:tblLook w:val="04A0" w:firstRow="1" w:lastRow="0" w:firstColumn="1" w:lastColumn="0" w:noHBand="0" w:noVBand="1"/>
      </w:tblPr>
      <w:tblGrid>
        <w:gridCol w:w="2179"/>
        <w:gridCol w:w="2851"/>
        <w:gridCol w:w="2582"/>
        <w:gridCol w:w="3139"/>
      </w:tblGrid>
      <w:tr w:rsidR="00924992" w14:paraId="26423C8A" w14:textId="77777777">
        <w:tblPrEx>
          <w:tblCellMar>
            <w:top w:w="0" w:type="dxa"/>
            <w:bottom w:w="0" w:type="dxa"/>
          </w:tblCellMar>
        </w:tblPrEx>
        <w:trPr>
          <w:trHeight w:hRule="exact" w:val="562"/>
        </w:trPr>
        <w:tc>
          <w:tcPr>
            <w:tcW w:w="2179" w:type="dxa"/>
            <w:shd w:val="clear" w:color="auto" w:fill="000000"/>
          </w:tcPr>
          <w:p w14:paraId="3FD92959" w14:textId="77777777" w:rsidR="00924992" w:rsidRDefault="00924992">
            <w:pPr>
              <w:pStyle w:val="Other0"/>
              <w:framePr w:w="10752" w:h="5174" w:wrap="none" w:hAnchor="page" w:x="635" w:y="1671"/>
              <w:pBdr>
                <w:top w:val="single" w:sz="0" w:space="0" w:color="000000"/>
                <w:left w:val="single" w:sz="0" w:space="0" w:color="000000"/>
                <w:bottom w:val="single" w:sz="0" w:space="0" w:color="000000"/>
                <w:right w:val="single" w:sz="0" w:space="0" w:color="000000"/>
              </w:pBdr>
              <w:shd w:val="clear" w:color="auto" w:fill="000000"/>
              <w:spacing w:line="240" w:lineRule="auto"/>
              <w:ind w:firstLine="0"/>
              <w:rPr>
                <w:sz w:val="24"/>
                <w:szCs w:val="24"/>
              </w:rPr>
            </w:pPr>
            <w:r>
              <w:rPr>
                <w:rFonts w:ascii="Arial" w:eastAsia="Arial" w:hAnsi="Arial" w:cs="Arial"/>
                <w:b/>
                <w:bCs/>
                <w:color w:val="FFFFFF"/>
                <w:w w:val="70"/>
                <w:sz w:val="24"/>
                <w:szCs w:val="24"/>
              </w:rPr>
              <w:t>Síndrome</w:t>
            </w:r>
          </w:p>
        </w:tc>
        <w:tc>
          <w:tcPr>
            <w:tcW w:w="2851" w:type="dxa"/>
            <w:shd w:val="clear" w:color="auto" w:fill="000000"/>
          </w:tcPr>
          <w:p w14:paraId="091411E1" w14:textId="77777777" w:rsidR="00924992" w:rsidRDefault="00924992">
            <w:pPr>
              <w:pStyle w:val="Other0"/>
              <w:framePr w:w="10752" w:h="5174" w:wrap="none" w:hAnchor="page" w:x="635" w:y="1671"/>
              <w:pBdr>
                <w:top w:val="single" w:sz="0" w:space="0" w:color="000000"/>
                <w:left w:val="single" w:sz="0" w:space="0" w:color="000000"/>
                <w:bottom w:val="single" w:sz="0" w:space="0" w:color="000000"/>
                <w:right w:val="single" w:sz="0" w:space="0" w:color="000000"/>
              </w:pBdr>
              <w:shd w:val="clear" w:color="auto" w:fill="000000"/>
              <w:spacing w:line="209" w:lineRule="auto"/>
              <w:ind w:left="420" w:firstLine="0"/>
              <w:rPr>
                <w:sz w:val="24"/>
                <w:szCs w:val="24"/>
              </w:rPr>
            </w:pPr>
            <w:r>
              <w:rPr>
                <w:rFonts w:ascii="Arial" w:eastAsia="Arial" w:hAnsi="Arial" w:cs="Arial"/>
                <w:b/>
                <w:bCs/>
                <w:color w:val="FFFFFF"/>
                <w:w w:val="70"/>
                <w:sz w:val="24"/>
                <w:szCs w:val="24"/>
              </w:rPr>
              <w:t>Microorganismos/ entidades patológicas</w:t>
            </w:r>
          </w:p>
        </w:tc>
        <w:tc>
          <w:tcPr>
            <w:tcW w:w="2582" w:type="dxa"/>
            <w:shd w:val="clear" w:color="auto" w:fill="000000"/>
          </w:tcPr>
          <w:p w14:paraId="61FE9058" w14:textId="77777777" w:rsidR="00924992" w:rsidRDefault="00924992">
            <w:pPr>
              <w:pStyle w:val="Other0"/>
              <w:framePr w:w="10752" w:h="5174" w:wrap="none" w:hAnchor="page" w:x="635" w:y="1671"/>
              <w:pBdr>
                <w:top w:val="single" w:sz="0" w:space="0" w:color="000000"/>
                <w:left w:val="single" w:sz="0" w:space="0" w:color="000000"/>
                <w:bottom w:val="single" w:sz="0" w:space="0" w:color="000000"/>
                <w:right w:val="single" w:sz="0" w:space="0" w:color="000000"/>
              </w:pBdr>
              <w:shd w:val="clear" w:color="auto" w:fill="000000"/>
              <w:spacing w:line="209" w:lineRule="auto"/>
              <w:ind w:firstLine="0"/>
              <w:rPr>
                <w:sz w:val="24"/>
                <w:szCs w:val="24"/>
              </w:rPr>
            </w:pPr>
            <w:r>
              <w:rPr>
                <w:rFonts w:ascii="Arial" w:eastAsia="Arial" w:hAnsi="Arial" w:cs="Arial"/>
                <w:b/>
                <w:bCs/>
                <w:color w:val="FFFFFF"/>
                <w:w w:val="70"/>
                <w:sz w:val="24"/>
                <w:szCs w:val="24"/>
              </w:rPr>
              <w:t>Tratamiento de adolescentes</w:t>
            </w:r>
          </w:p>
        </w:tc>
        <w:tc>
          <w:tcPr>
            <w:tcW w:w="3139" w:type="dxa"/>
            <w:shd w:val="clear" w:color="auto" w:fill="000000"/>
          </w:tcPr>
          <w:p w14:paraId="7DF4753A" w14:textId="77777777" w:rsidR="00924992" w:rsidRDefault="00924992">
            <w:pPr>
              <w:pStyle w:val="Other0"/>
              <w:framePr w:w="10752" w:h="5174" w:wrap="none" w:hAnchor="page" w:x="635" w:y="1671"/>
              <w:pBdr>
                <w:top w:val="single" w:sz="0" w:space="0" w:color="000000"/>
                <w:left w:val="single" w:sz="0" w:space="0" w:color="000000"/>
                <w:bottom w:val="single" w:sz="0" w:space="0" w:color="000000"/>
                <w:right w:val="single" w:sz="0" w:space="0" w:color="000000"/>
              </w:pBdr>
              <w:shd w:val="clear" w:color="auto" w:fill="000000"/>
              <w:spacing w:line="209" w:lineRule="auto"/>
              <w:ind w:firstLine="0"/>
              <w:rPr>
                <w:sz w:val="24"/>
                <w:szCs w:val="24"/>
              </w:rPr>
            </w:pPr>
            <w:r>
              <w:rPr>
                <w:rFonts w:ascii="Arial" w:eastAsia="Arial" w:hAnsi="Arial" w:cs="Arial"/>
                <w:b/>
                <w:bCs/>
                <w:color w:val="FFFFFF"/>
                <w:w w:val="70"/>
                <w:sz w:val="24"/>
                <w:szCs w:val="24"/>
              </w:rPr>
              <w:t>Tratamiento del lactante/niño</w:t>
            </w:r>
          </w:p>
        </w:tc>
      </w:tr>
      <w:tr w:rsidR="00924992" w14:paraId="15DDB5FF" w14:textId="77777777">
        <w:tblPrEx>
          <w:tblCellMar>
            <w:top w:w="0" w:type="dxa"/>
            <w:bottom w:w="0" w:type="dxa"/>
          </w:tblCellMar>
        </w:tblPrEx>
        <w:trPr>
          <w:trHeight w:hRule="exact" w:val="293"/>
        </w:trPr>
        <w:tc>
          <w:tcPr>
            <w:tcW w:w="2179" w:type="dxa"/>
            <w:shd w:val="clear" w:color="auto" w:fill="FFFFFF"/>
          </w:tcPr>
          <w:p w14:paraId="56194762" w14:textId="77777777" w:rsidR="00924992" w:rsidRDefault="00924992">
            <w:pPr>
              <w:framePr w:w="10752" w:h="5174" w:wrap="none" w:hAnchor="page" w:x="635" w:y="1671"/>
              <w:rPr>
                <w:sz w:val="10"/>
                <w:szCs w:val="10"/>
              </w:rPr>
            </w:pPr>
          </w:p>
        </w:tc>
        <w:tc>
          <w:tcPr>
            <w:tcW w:w="2851" w:type="dxa"/>
            <w:shd w:val="clear" w:color="auto" w:fill="FFFFFF"/>
            <w:vAlign w:val="bottom"/>
          </w:tcPr>
          <w:p w14:paraId="22D45EDC" w14:textId="77777777" w:rsidR="00924992" w:rsidRDefault="00924992">
            <w:pPr>
              <w:pStyle w:val="Other0"/>
              <w:framePr w:w="10752" w:h="5174" w:wrap="none" w:hAnchor="page" w:x="635" w:y="1671"/>
              <w:spacing w:line="240" w:lineRule="auto"/>
              <w:ind w:firstLine="420"/>
              <w:rPr>
                <w:sz w:val="16"/>
                <w:szCs w:val="16"/>
              </w:rPr>
            </w:pPr>
            <w:r>
              <w:rPr>
                <w:rFonts w:ascii="Times New Roman" w:eastAsia="Times New Roman" w:hAnsi="Times New Roman" w:cs="Times New Roman"/>
                <w:i/>
                <w:iCs/>
                <w:color w:val="000000"/>
                <w:sz w:val="16"/>
                <w:szCs w:val="16"/>
              </w:rPr>
              <w:t>Haemophilus ducreyi</w:t>
            </w:r>
            <w:r>
              <w:rPr>
                <w:rFonts w:ascii="Times New Roman" w:eastAsia="Times New Roman" w:hAnsi="Times New Roman" w:cs="Times New Roman"/>
                <w:color w:val="000000"/>
                <w:sz w:val="16"/>
                <w:szCs w:val="16"/>
              </w:rPr>
              <w:t xml:space="preserve"> (chancroide)</w:t>
            </w:r>
          </w:p>
        </w:tc>
        <w:tc>
          <w:tcPr>
            <w:tcW w:w="2582" w:type="dxa"/>
            <w:shd w:val="clear" w:color="auto" w:fill="FFFFFF"/>
            <w:vAlign w:val="bottom"/>
          </w:tcPr>
          <w:p w14:paraId="4847D2BF" w14:textId="77777777" w:rsidR="00924992" w:rsidRDefault="00924992">
            <w:pPr>
              <w:pStyle w:val="Other0"/>
              <w:framePr w:w="10752" w:h="5174" w:wrap="none" w:hAnchor="page" w:x="635" w:y="1671"/>
              <w:spacing w:line="240" w:lineRule="auto"/>
              <w:ind w:firstLine="0"/>
              <w:rPr>
                <w:sz w:val="16"/>
                <w:szCs w:val="16"/>
              </w:rPr>
            </w:pPr>
            <w:r>
              <w:rPr>
                <w:rFonts w:ascii="Times New Roman" w:eastAsia="Times New Roman" w:hAnsi="Times New Roman" w:cs="Times New Roman"/>
                <w:color w:val="000000"/>
                <w:sz w:val="16"/>
                <w:szCs w:val="16"/>
              </w:rPr>
              <w:t>Azitromicina, 1 g ingerido en</w:t>
            </w:r>
          </w:p>
        </w:tc>
        <w:tc>
          <w:tcPr>
            <w:tcW w:w="3139" w:type="dxa"/>
            <w:shd w:val="clear" w:color="auto" w:fill="FFFFFF"/>
            <w:vAlign w:val="bottom"/>
          </w:tcPr>
          <w:p w14:paraId="066CC567" w14:textId="77777777" w:rsidR="00924992" w:rsidRDefault="00924992">
            <w:pPr>
              <w:pStyle w:val="Other0"/>
              <w:framePr w:w="10752" w:h="5174" w:wrap="none" w:hAnchor="page" w:x="635" w:y="1671"/>
              <w:spacing w:line="240" w:lineRule="auto"/>
              <w:ind w:firstLine="0"/>
              <w:rPr>
                <w:sz w:val="17"/>
                <w:szCs w:val="17"/>
              </w:rPr>
            </w:pPr>
            <w:r>
              <w:rPr>
                <w:rFonts w:ascii="Times New Roman" w:eastAsia="Times New Roman" w:hAnsi="Times New Roman" w:cs="Times New Roman"/>
                <w:b/>
                <w:bCs/>
                <w:i/>
                <w:iCs/>
                <w:color w:val="000000"/>
                <w:sz w:val="17"/>
                <w:szCs w:val="17"/>
              </w:rPr>
              <w:t>Niños que pesan menos de 45 kg:</w:t>
            </w:r>
          </w:p>
        </w:tc>
      </w:tr>
      <w:tr w:rsidR="00924992" w14:paraId="67E4D5B7" w14:textId="77777777">
        <w:tblPrEx>
          <w:tblCellMar>
            <w:top w:w="0" w:type="dxa"/>
            <w:bottom w:w="0" w:type="dxa"/>
          </w:tblCellMar>
        </w:tblPrEx>
        <w:trPr>
          <w:trHeight w:hRule="exact" w:val="2381"/>
        </w:trPr>
        <w:tc>
          <w:tcPr>
            <w:tcW w:w="2179" w:type="dxa"/>
            <w:shd w:val="clear" w:color="auto" w:fill="FFFFFF"/>
            <w:vAlign w:val="bottom"/>
          </w:tcPr>
          <w:p w14:paraId="759BA63D" w14:textId="77777777" w:rsidR="00924992" w:rsidRDefault="00924992">
            <w:pPr>
              <w:pStyle w:val="Other0"/>
              <w:framePr w:w="10752" w:h="5174" w:wrap="none" w:hAnchor="page" w:x="635" w:y="1671"/>
              <w:spacing w:line="240" w:lineRule="auto"/>
              <w:ind w:firstLine="0"/>
              <w:rPr>
                <w:sz w:val="16"/>
                <w:szCs w:val="16"/>
              </w:rPr>
            </w:pPr>
            <w:r>
              <w:rPr>
                <w:rFonts w:ascii="Times New Roman" w:eastAsia="Times New Roman" w:hAnsi="Times New Roman" w:cs="Times New Roman"/>
                <w:b/>
                <w:bCs/>
                <w:color w:val="000000"/>
                <w:sz w:val="16"/>
                <w:szCs w:val="16"/>
              </w:rPr>
              <w:t>Epididimitis</w:t>
            </w:r>
          </w:p>
        </w:tc>
        <w:tc>
          <w:tcPr>
            <w:tcW w:w="2851" w:type="dxa"/>
            <w:shd w:val="clear" w:color="auto" w:fill="FFFFFF"/>
            <w:vAlign w:val="bottom"/>
          </w:tcPr>
          <w:p w14:paraId="6F45719C" w14:textId="77777777" w:rsidR="00924992" w:rsidRDefault="00924992">
            <w:pPr>
              <w:pStyle w:val="Other0"/>
              <w:framePr w:w="10752" w:h="5174" w:wrap="none" w:hAnchor="page" w:x="635" w:y="1671"/>
              <w:spacing w:line="240" w:lineRule="auto"/>
              <w:ind w:firstLine="420"/>
              <w:rPr>
                <w:sz w:val="16"/>
                <w:szCs w:val="16"/>
              </w:rPr>
            </w:pPr>
            <w:r>
              <w:rPr>
                <w:rFonts w:ascii="Times New Roman" w:eastAsia="Times New Roman" w:hAnsi="Times New Roman" w:cs="Times New Roman"/>
                <w:i/>
                <w:iCs/>
                <w:color w:val="000000"/>
                <w:sz w:val="16"/>
                <w:szCs w:val="16"/>
              </w:rPr>
              <w:t>C. trachomatis, N. gonorrhoeae</w:t>
            </w:r>
          </w:p>
        </w:tc>
        <w:tc>
          <w:tcPr>
            <w:tcW w:w="5721" w:type="dxa"/>
            <w:gridSpan w:val="2"/>
            <w:shd w:val="clear" w:color="auto" w:fill="FFFFFF"/>
            <w:vAlign w:val="bottom"/>
          </w:tcPr>
          <w:p w14:paraId="56246CD3" w14:textId="77777777" w:rsidR="00924992" w:rsidRDefault="00924992">
            <w:pPr>
              <w:pStyle w:val="Other0"/>
              <w:framePr w:w="10752" w:h="5174" w:wrap="none" w:hAnchor="page" w:x="635" w:y="1671"/>
              <w:tabs>
                <w:tab w:val="left" w:pos="2643"/>
              </w:tabs>
              <w:spacing w:line="240" w:lineRule="auto"/>
              <w:ind w:firstLine="200"/>
              <w:rPr>
                <w:sz w:val="16"/>
                <w:szCs w:val="16"/>
              </w:rPr>
            </w:pPr>
            <w:r>
              <w:rPr>
                <w:rFonts w:ascii="Times New Roman" w:eastAsia="Times New Roman" w:hAnsi="Times New Roman" w:cs="Times New Roman"/>
                <w:color w:val="000000"/>
                <w:sz w:val="16"/>
                <w:szCs w:val="16"/>
              </w:rPr>
              <w:t>una sola dosis</w:t>
            </w:r>
            <w:r>
              <w:rPr>
                <w:rFonts w:ascii="Times New Roman" w:eastAsia="Times New Roman" w:hAnsi="Times New Roman" w:cs="Times New Roman"/>
                <w:color w:val="000000"/>
                <w:sz w:val="16"/>
                <w:szCs w:val="16"/>
              </w:rPr>
              <w:tab/>
              <w:t>Ceftriaxona, 50 mg/kg IM en una sola dosis</w:t>
            </w:r>
          </w:p>
          <w:p w14:paraId="4E6FBDEF" w14:textId="77777777" w:rsidR="00924992" w:rsidRDefault="00924992">
            <w:pPr>
              <w:pStyle w:val="Other0"/>
              <w:framePr w:w="10752" w:h="5174" w:wrap="none" w:hAnchor="page" w:x="635" w:y="1671"/>
              <w:tabs>
                <w:tab w:val="left" w:pos="2486"/>
              </w:tabs>
              <w:spacing w:line="240" w:lineRule="auto"/>
              <w:ind w:firstLine="0"/>
              <w:rPr>
                <w:sz w:val="16"/>
                <w:szCs w:val="16"/>
              </w:rPr>
            </w:pPr>
            <w:r>
              <w:rPr>
                <w:rFonts w:ascii="Times New Roman" w:eastAsia="Times New Roman" w:hAnsi="Times New Roman" w:cs="Times New Roman"/>
                <w:b/>
                <w:bCs/>
                <w:color w:val="000000"/>
                <w:sz w:val="16"/>
                <w:szCs w:val="16"/>
              </w:rPr>
              <w:t>O</w:t>
            </w:r>
            <w:r>
              <w:rPr>
                <w:rFonts w:ascii="Times New Roman" w:eastAsia="Times New Roman" w:hAnsi="Times New Roman" w:cs="Times New Roman"/>
                <w:b/>
                <w:bCs/>
                <w:color w:val="000000"/>
                <w:sz w:val="16"/>
                <w:szCs w:val="16"/>
              </w:rPr>
              <w:tab/>
            </w:r>
            <w:r>
              <w:rPr>
                <w:rFonts w:ascii="Times New Roman" w:eastAsia="Times New Roman" w:hAnsi="Times New Roman" w:cs="Times New Roman"/>
                <w:color w:val="000000"/>
                <w:sz w:val="16"/>
                <w:szCs w:val="16"/>
              </w:rPr>
              <w:t>O</w:t>
            </w:r>
          </w:p>
          <w:p w14:paraId="2FD64727" w14:textId="77777777" w:rsidR="00924992" w:rsidRDefault="00924992">
            <w:pPr>
              <w:pStyle w:val="Other0"/>
              <w:framePr w:w="10752" w:h="5174" w:wrap="none" w:hAnchor="page" w:x="635" w:y="1671"/>
              <w:tabs>
                <w:tab w:val="left" w:pos="2486"/>
              </w:tabs>
              <w:spacing w:line="240" w:lineRule="auto"/>
              <w:ind w:firstLine="0"/>
              <w:rPr>
                <w:sz w:val="17"/>
                <w:szCs w:val="17"/>
              </w:rPr>
            </w:pPr>
            <w:r>
              <w:rPr>
                <w:rFonts w:ascii="Times New Roman" w:eastAsia="Times New Roman" w:hAnsi="Times New Roman" w:cs="Times New Roman"/>
                <w:color w:val="000000"/>
                <w:sz w:val="16"/>
                <w:szCs w:val="16"/>
              </w:rPr>
              <w:t>Ceftriaxona, 250 mg IM en</w:t>
            </w:r>
            <w:r>
              <w:rPr>
                <w:rFonts w:ascii="Times New Roman" w:eastAsia="Times New Roman" w:hAnsi="Times New Roman" w:cs="Times New Roman"/>
                <w:color w:val="000000"/>
                <w:sz w:val="16"/>
                <w:szCs w:val="16"/>
              </w:rPr>
              <w:tab/>
            </w:r>
            <w:r>
              <w:rPr>
                <w:rFonts w:ascii="Times New Roman" w:eastAsia="Times New Roman" w:hAnsi="Times New Roman" w:cs="Times New Roman"/>
                <w:b/>
                <w:bCs/>
                <w:i/>
                <w:iCs/>
                <w:color w:val="000000"/>
                <w:sz w:val="17"/>
                <w:szCs w:val="17"/>
              </w:rPr>
              <w:t>Niños que pesan menos de 45 kg:</w:t>
            </w:r>
          </w:p>
          <w:p w14:paraId="4A746807" w14:textId="77777777" w:rsidR="00924992" w:rsidRDefault="00924992">
            <w:pPr>
              <w:pStyle w:val="Other0"/>
              <w:framePr w:w="10752" w:h="5174" w:wrap="none" w:hAnchor="page" w:x="635" w:y="1671"/>
              <w:tabs>
                <w:tab w:val="left" w:pos="2496"/>
              </w:tabs>
              <w:spacing w:line="240" w:lineRule="auto"/>
              <w:ind w:firstLine="0"/>
              <w:rPr>
                <w:sz w:val="16"/>
                <w:szCs w:val="16"/>
              </w:rPr>
            </w:pPr>
            <w:r>
              <w:rPr>
                <w:rFonts w:ascii="Times New Roman" w:eastAsia="Times New Roman" w:hAnsi="Times New Roman" w:cs="Times New Roman"/>
                <w:color w:val="000000"/>
                <w:sz w:val="16"/>
                <w:szCs w:val="16"/>
              </w:rPr>
              <w:t>una sola dosis</w:t>
            </w:r>
            <w:r>
              <w:rPr>
                <w:rFonts w:ascii="Times New Roman" w:eastAsia="Times New Roman" w:hAnsi="Times New Roman" w:cs="Times New Roman"/>
                <w:color w:val="000000"/>
                <w:sz w:val="16"/>
                <w:szCs w:val="16"/>
              </w:rPr>
              <w:tab/>
              <w:t>Azitromicina, 20 mg/kg ingeridos</w:t>
            </w:r>
          </w:p>
          <w:p w14:paraId="6EC7AB9B" w14:textId="77777777" w:rsidR="00924992" w:rsidRDefault="00924992">
            <w:pPr>
              <w:pStyle w:val="Other0"/>
              <w:framePr w:w="10752" w:h="5174" w:wrap="none" w:hAnchor="page" w:x="635" w:y="1671"/>
              <w:tabs>
                <w:tab w:val="left" w:pos="2630"/>
              </w:tabs>
              <w:spacing w:line="240" w:lineRule="auto"/>
              <w:ind w:firstLine="0"/>
              <w:rPr>
                <w:sz w:val="16"/>
                <w:szCs w:val="16"/>
              </w:rPr>
            </w:pPr>
            <w:r>
              <w:rPr>
                <w:rFonts w:ascii="Times New Roman" w:eastAsia="Times New Roman" w:hAnsi="Times New Roman" w:cs="Times New Roman"/>
                <w:b/>
                <w:bCs/>
                <w:color w:val="000000"/>
                <w:sz w:val="16"/>
                <w:szCs w:val="16"/>
              </w:rPr>
              <w:t>O</w:t>
            </w:r>
            <w:r>
              <w:rPr>
                <w:rFonts w:ascii="Times New Roman" w:eastAsia="Times New Roman" w:hAnsi="Times New Roman" w:cs="Times New Roman"/>
                <w:b/>
                <w:bCs/>
                <w:color w:val="000000"/>
                <w:sz w:val="16"/>
                <w:szCs w:val="16"/>
              </w:rPr>
              <w:tab/>
            </w:r>
            <w:r>
              <w:rPr>
                <w:rFonts w:ascii="Times New Roman" w:eastAsia="Times New Roman" w:hAnsi="Times New Roman" w:cs="Times New Roman"/>
                <w:color w:val="000000"/>
                <w:sz w:val="16"/>
                <w:szCs w:val="16"/>
              </w:rPr>
              <w:t>en una sola dosis (dosis máxima 1 g)</w:t>
            </w:r>
          </w:p>
          <w:p w14:paraId="7D0F5C0E" w14:textId="77777777" w:rsidR="00924992" w:rsidRDefault="00924992">
            <w:pPr>
              <w:pStyle w:val="Other0"/>
              <w:framePr w:w="10752" w:h="5174" w:wrap="none" w:hAnchor="page" w:x="635" w:y="1671"/>
              <w:spacing w:line="240" w:lineRule="auto"/>
              <w:ind w:firstLine="0"/>
              <w:rPr>
                <w:sz w:val="16"/>
                <w:szCs w:val="16"/>
              </w:rPr>
            </w:pPr>
            <w:r>
              <w:rPr>
                <w:rFonts w:ascii="Times New Roman" w:eastAsia="Times New Roman" w:hAnsi="Times New Roman" w:cs="Times New Roman"/>
                <w:color w:val="000000"/>
                <w:sz w:val="16"/>
                <w:szCs w:val="16"/>
              </w:rPr>
              <w:t>Ciprofloxacina, 500 mg ingeridos</w:t>
            </w:r>
          </w:p>
          <w:p w14:paraId="514B83F0" w14:textId="77777777" w:rsidR="00924992" w:rsidRDefault="00924992">
            <w:pPr>
              <w:pStyle w:val="Other0"/>
              <w:framePr w:w="10752" w:h="5174" w:wrap="none" w:hAnchor="page" w:x="635" w:y="1671"/>
              <w:spacing w:line="240" w:lineRule="auto"/>
              <w:ind w:firstLine="200"/>
              <w:rPr>
                <w:sz w:val="16"/>
                <w:szCs w:val="16"/>
              </w:rPr>
            </w:pPr>
            <w:r>
              <w:rPr>
                <w:rFonts w:ascii="Times New Roman" w:eastAsia="Times New Roman" w:hAnsi="Times New Roman" w:cs="Times New Roman"/>
                <w:color w:val="000000"/>
                <w:sz w:val="16"/>
                <w:szCs w:val="16"/>
              </w:rPr>
              <w:t>dos veces al día durante 3 días</w:t>
            </w:r>
            <w:r>
              <w:rPr>
                <w:rFonts w:ascii="Times New Roman" w:eastAsia="Times New Roman" w:hAnsi="Times New Roman" w:cs="Times New Roman"/>
                <w:color w:val="000000"/>
                <w:sz w:val="16"/>
                <w:szCs w:val="16"/>
                <w:vertAlign w:val="superscript"/>
              </w:rPr>
              <w:t>3</w:t>
            </w:r>
          </w:p>
          <w:p w14:paraId="59117BF5" w14:textId="77777777" w:rsidR="00924992" w:rsidRDefault="00924992">
            <w:pPr>
              <w:pStyle w:val="Other0"/>
              <w:framePr w:w="10752" w:h="5174" w:wrap="none" w:hAnchor="page" w:x="635" w:y="1671"/>
              <w:spacing w:line="240" w:lineRule="auto"/>
              <w:ind w:firstLine="0"/>
              <w:rPr>
                <w:sz w:val="16"/>
                <w:szCs w:val="16"/>
              </w:rPr>
            </w:pPr>
            <w:r>
              <w:rPr>
                <w:rFonts w:ascii="Times New Roman" w:eastAsia="Times New Roman" w:hAnsi="Times New Roman" w:cs="Times New Roman"/>
                <w:b/>
                <w:bCs/>
                <w:color w:val="000000"/>
                <w:sz w:val="16"/>
                <w:szCs w:val="16"/>
              </w:rPr>
              <w:t>O</w:t>
            </w:r>
          </w:p>
          <w:p w14:paraId="0ECD43D1" w14:textId="77777777" w:rsidR="00924992" w:rsidRDefault="00924992">
            <w:pPr>
              <w:pStyle w:val="Other0"/>
              <w:framePr w:w="10752" w:h="5174" w:wrap="none" w:hAnchor="page" w:x="635" w:y="1671"/>
              <w:spacing w:line="240" w:lineRule="auto"/>
              <w:ind w:firstLine="0"/>
              <w:rPr>
                <w:sz w:val="16"/>
                <w:szCs w:val="16"/>
              </w:rPr>
            </w:pPr>
            <w:r>
              <w:rPr>
                <w:rFonts w:ascii="Times New Roman" w:eastAsia="Times New Roman" w:hAnsi="Times New Roman" w:cs="Times New Roman"/>
                <w:color w:val="000000"/>
                <w:sz w:val="16"/>
                <w:szCs w:val="16"/>
              </w:rPr>
              <w:t>Eritromicina base, 500 mg ingeridos</w:t>
            </w:r>
          </w:p>
          <w:p w14:paraId="73AF6C49" w14:textId="77777777" w:rsidR="00924992" w:rsidRDefault="00924992">
            <w:pPr>
              <w:pStyle w:val="Other0"/>
              <w:framePr w:w="10752" w:h="5174" w:wrap="none" w:hAnchor="page" w:x="635" w:y="1671"/>
              <w:spacing w:line="240" w:lineRule="auto"/>
              <w:ind w:firstLine="200"/>
              <w:rPr>
                <w:sz w:val="16"/>
                <w:szCs w:val="16"/>
              </w:rPr>
            </w:pPr>
            <w:r>
              <w:rPr>
                <w:rFonts w:ascii="Times New Roman" w:eastAsia="Times New Roman" w:hAnsi="Times New Roman" w:cs="Times New Roman"/>
                <w:color w:val="000000"/>
                <w:sz w:val="16"/>
                <w:szCs w:val="16"/>
              </w:rPr>
              <w:t>cuatro veces al día durante 7 días</w:t>
            </w:r>
          </w:p>
          <w:p w14:paraId="2BDA11AD" w14:textId="77777777" w:rsidR="00924992" w:rsidRDefault="00924992">
            <w:pPr>
              <w:pStyle w:val="Other0"/>
              <w:framePr w:w="10752" w:h="5174" w:wrap="none" w:hAnchor="page" w:x="635" w:y="1671"/>
              <w:tabs>
                <w:tab w:val="left" w:pos="2544"/>
              </w:tabs>
              <w:spacing w:line="240" w:lineRule="auto"/>
              <w:ind w:firstLine="0"/>
              <w:rPr>
                <w:sz w:val="16"/>
                <w:szCs w:val="16"/>
              </w:rPr>
            </w:pPr>
            <w:r>
              <w:rPr>
                <w:rFonts w:ascii="Times New Roman" w:eastAsia="Times New Roman" w:hAnsi="Times New Roman" w:cs="Times New Roman"/>
                <w:color w:val="000000"/>
                <w:sz w:val="16"/>
                <w:szCs w:val="16"/>
              </w:rPr>
              <w:t>Ceftriaxona, 250 mg IM en</w:t>
            </w:r>
            <w:r>
              <w:rPr>
                <w:rFonts w:ascii="Times New Roman" w:eastAsia="Times New Roman" w:hAnsi="Times New Roman" w:cs="Times New Roman"/>
                <w:color w:val="000000"/>
                <w:sz w:val="16"/>
                <w:szCs w:val="16"/>
              </w:rPr>
              <w:tab/>
              <w:t>...</w:t>
            </w:r>
          </w:p>
        </w:tc>
      </w:tr>
      <w:tr w:rsidR="00924992" w14:paraId="01A469E5" w14:textId="77777777">
        <w:tblPrEx>
          <w:tblCellMar>
            <w:top w:w="0" w:type="dxa"/>
            <w:bottom w:w="0" w:type="dxa"/>
          </w:tblCellMar>
        </w:tblPrEx>
        <w:trPr>
          <w:trHeight w:hRule="exact" w:val="1728"/>
        </w:trPr>
        <w:tc>
          <w:tcPr>
            <w:tcW w:w="2179" w:type="dxa"/>
            <w:shd w:val="clear" w:color="auto" w:fill="FFFFFF"/>
          </w:tcPr>
          <w:p w14:paraId="50E7AC57" w14:textId="77777777" w:rsidR="00924992" w:rsidRDefault="00924992">
            <w:pPr>
              <w:pStyle w:val="Other0"/>
              <w:framePr w:w="10752" w:h="5174" w:wrap="none" w:hAnchor="page" w:x="635" w:y="1671"/>
              <w:spacing w:line="240" w:lineRule="auto"/>
              <w:ind w:firstLine="160"/>
              <w:rPr>
                <w:sz w:val="16"/>
                <w:szCs w:val="16"/>
              </w:rPr>
            </w:pPr>
            <w:r>
              <w:rPr>
                <w:rFonts w:ascii="Times New Roman" w:eastAsia="Times New Roman" w:hAnsi="Times New Roman" w:cs="Times New Roman"/>
                <w:b/>
                <w:bCs/>
                <w:color w:val="000000"/>
                <w:sz w:val="16"/>
                <w:szCs w:val="16"/>
              </w:rPr>
              <w:t>de transmisión sexual</w:t>
            </w:r>
          </w:p>
        </w:tc>
        <w:tc>
          <w:tcPr>
            <w:tcW w:w="2851" w:type="dxa"/>
            <w:shd w:val="clear" w:color="auto" w:fill="FFFFFF"/>
            <w:vAlign w:val="bottom"/>
          </w:tcPr>
          <w:p w14:paraId="62CB5DCB" w14:textId="77777777" w:rsidR="00924992" w:rsidRDefault="00924992">
            <w:pPr>
              <w:pStyle w:val="Other0"/>
              <w:framePr w:w="10752" w:h="5174" w:wrap="none" w:hAnchor="page" w:x="635" w:y="1671"/>
              <w:spacing w:line="283" w:lineRule="auto"/>
              <w:ind w:left="520" w:hanging="100"/>
              <w:rPr>
                <w:sz w:val="16"/>
                <w:szCs w:val="16"/>
              </w:rPr>
            </w:pPr>
            <w:r>
              <w:rPr>
                <w:rFonts w:ascii="Times New Roman" w:eastAsia="Times New Roman" w:hAnsi="Times New Roman" w:cs="Times New Roman"/>
                <w:color w:val="000000"/>
                <w:sz w:val="16"/>
                <w:szCs w:val="16"/>
              </w:rPr>
              <w:t>Microorganismos entéricos (en niños alérgicos a las cefalosporinas a las tetraciclinas [ o a ambos] y en personas mayores de 35 años</w:t>
            </w:r>
          </w:p>
        </w:tc>
        <w:tc>
          <w:tcPr>
            <w:tcW w:w="2582" w:type="dxa"/>
            <w:shd w:val="clear" w:color="auto" w:fill="FFFFFF"/>
            <w:vAlign w:val="bottom"/>
          </w:tcPr>
          <w:p w14:paraId="2EDA2CEF" w14:textId="77777777" w:rsidR="00924992" w:rsidRDefault="00924992">
            <w:pPr>
              <w:pStyle w:val="Other0"/>
              <w:framePr w:w="10752" w:h="5174" w:wrap="none" w:hAnchor="page" w:x="635" w:y="1671"/>
              <w:spacing w:line="283" w:lineRule="auto"/>
              <w:ind w:firstLine="200"/>
              <w:rPr>
                <w:sz w:val="16"/>
                <w:szCs w:val="16"/>
              </w:rPr>
            </w:pPr>
            <w:r>
              <w:rPr>
                <w:rFonts w:ascii="Times New Roman" w:eastAsia="Times New Roman" w:hAnsi="Times New Roman" w:cs="Times New Roman"/>
                <w:color w:val="000000"/>
                <w:sz w:val="16"/>
                <w:szCs w:val="16"/>
              </w:rPr>
              <w:t>una sola dosis</w:t>
            </w:r>
          </w:p>
          <w:p w14:paraId="02FA8DCB" w14:textId="77777777" w:rsidR="00924992" w:rsidRDefault="00924992">
            <w:pPr>
              <w:pStyle w:val="Other0"/>
              <w:framePr w:w="10752" w:h="5174" w:wrap="none" w:hAnchor="page" w:x="635" w:y="1671"/>
              <w:spacing w:line="283" w:lineRule="auto"/>
              <w:ind w:firstLine="0"/>
              <w:rPr>
                <w:sz w:val="16"/>
                <w:szCs w:val="16"/>
              </w:rPr>
            </w:pPr>
            <w:r>
              <w:rPr>
                <w:rFonts w:ascii="Times New Roman" w:eastAsia="Times New Roman" w:hAnsi="Times New Roman" w:cs="Times New Roman"/>
                <w:b/>
                <w:bCs/>
                <w:color w:val="000000"/>
                <w:sz w:val="16"/>
                <w:szCs w:val="16"/>
              </w:rPr>
              <w:t>Y ADEMÁS</w:t>
            </w:r>
          </w:p>
          <w:p w14:paraId="611E445D" w14:textId="77777777" w:rsidR="00924992" w:rsidRDefault="00924992">
            <w:pPr>
              <w:pStyle w:val="Other0"/>
              <w:framePr w:w="10752" w:h="5174" w:wrap="none" w:hAnchor="page" w:x="635" w:y="1671"/>
              <w:spacing w:line="283" w:lineRule="auto"/>
              <w:ind w:left="200" w:hanging="200"/>
              <w:rPr>
                <w:sz w:val="16"/>
                <w:szCs w:val="16"/>
              </w:rPr>
            </w:pPr>
            <w:r>
              <w:rPr>
                <w:rFonts w:ascii="Times New Roman" w:eastAsia="Times New Roman" w:hAnsi="Times New Roman" w:cs="Times New Roman"/>
                <w:color w:val="000000"/>
                <w:sz w:val="16"/>
                <w:szCs w:val="16"/>
              </w:rPr>
              <w:t>Doxiciclina, 100 mg ingeridos dos veces al día durante 10 días</w:t>
            </w:r>
          </w:p>
          <w:p w14:paraId="613196A7" w14:textId="77777777" w:rsidR="00924992" w:rsidRDefault="00924992">
            <w:pPr>
              <w:pStyle w:val="Other0"/>
              <w:framePr w:w="10752" w:h="5174" w:wrap="none" w:hAnchor="page" w:x="635" w:y="1671"/>
              <w:spacing w:line="283" w:lineRule="auto"/>
              <w:ind w:left="200" w:hanging="200"/>
              <w:rPr>
                <w:sz w:val="16"/>
                <w:szCs w:val="16"/>
              </w:rPr>
            </w:pPr>
            <w:r>
              <w:rPr>
                <w:rFonts w:ascii="Times New Roman" w:eastAsia="Times New Roman" w:hAnsi="Times New Roman" w:cs="Times New Roman"/>
                <w:color w:val="000000"/>
                <w:sz w:val="16"/>
                <w:szCs w:val="16"/>
              </w:rPr>
              <w:t>Ofloxacina, 300 mg ingeridos dos veces al día durante 10 días</w:t>
            </w:r>
          </w:p>
          <w:p w14:paraId="466D609B" w14:textId="77777777" w:rsidR="00924992" w:rsidRDefault="00924992">
            <w:pPr>
              <w:pStyle w:val="Other0"/>
              <w:framePr w:w="10752" w:h="5174" w:wrap="none" w:hAnchor="page" w:x="635" w:y="1671"/>
              <w:spacing w:line="283" w:lineRule="auto"/>
              <w:ind w:firstLine="0"/>
              <w:rPr>
                <w:sz w:val="16"/>
                <w:szCs w:val="16"/>
              </w:rPr>
            </w:pPr>
            <w:r>
              <w:rPr>
                <w:rFonts w:ascii="Times New Roman" w:eastAsia="Times New Roman" w:hAnsi="Times New Roman" w:cs="Times New Roman"/>
                <w:b/>
                <w:bCs/>
                <w:color w:val="000000"/>
                <w:sz w:val="16"/>
                <w:szCs w:val="16"/>
              </w:rPr>
              <w:t>O</w:t>
            </w:r>
          </w:p>
          <w:p w14:paraId="6D1FEF46" w14:textId="77777777" w:rsidR="00924992" w:rsidRDefault="00924992">
            <w:pPr>
              <w:pStyle w:val="Other0"/>
              <w:framePr w:w="10752" w:h="5174" w:wrap="none" w:hAnchor="page" w:x="635" w:y="1671"/>
              <w:spacing w:line="283" w:lineRule="auto"/>
              <w:ind w:firstLine="0"/>
              <w:rPr>
                <w:sz w:val="16"/>
                <w:szCs w:val="16"/>
              </w:rPr>
            </w:pPr>
            <w:r>
              <w:rPr>
                <w:rFonts w:ascii="Times New Roman" w:eastAsia="Times New Roman" w:hAnsi="Times New Roman" w:cs="Times New Roman"/>
                <w:color w:val="000000"/>
                <w:sz w:val="16"/>
                <w:szCs w:val="16"/>
              </w:rPr>
              <w:t>Levofloxacina, 500 mg ingeridos</w:t>
            </w:r>
          </w:p>
        </w:tc>
        <w:tc>
          <w:tcPr>
            <w:tcW w:w="3139" w:type="dxa"/>
            <w:shd w:val="clear" w:color="auto" w:fill="FFFFFF"/>
          </w:tcPr>
          <w:p w14:paraId="7D2B4FE1" w14:textId="77777777" w:rsidR="00924992" w:rsidRDefault="00924992">
            <w:pPr>
              <w:framePr w:w="10752" w:h="5174" w:wrap="none" w:hAnchor="page" w:x="635" w:y="1671"/>
              <w:rPr>
                <w:sz w:val="10"/>
                <w:szCs w:val="10"/>
              </w:rPr>
            </w:pPr>
          </w:p>
        </w:tc>
      </w:tr>
      <w:tr w:rsidR="00924992" w14:paraId="322FEED3" w14:textId="77777777">
        <w:tblPrEx>
          <w:tblCellMar>
            <w:top w:w="0" w:type="dxa"/>
            <w:bottom w:w="0" w:type="dxa"/>
          </w:tblCellMar>
        </w:tblPrEx>
        <w:trPr>
          <w:trHeight w:hRule="exact" w:val="211"/>
        </w:trPr>
        <w:tc>
          <w:tcPr>
            <w:tcW w:w="2179" w:type="dxa"/>
            <w:shd w:val="clear" w:color="auto" w:fill="FFFFFF"/>
          </w:tcPr>
          <w:p w14:paraId="1B7F331C" w14:textId="77777777" w:rsidR="00924992" w:rsidRDefault="00924992">
            <w:pPr>
              <w:framePr w:w="10752" w:h="5174" w:wrap="none" w:hAnchor="page" w:x="635" w:y="1671"/>
              <w:rPr>
                <w:sz w:val="10"/>
                <w:szCs w:val="10"/>
              </w:rPr>
            </w:pPr>
          </w:p>
        </w:tc>
        <w:tc>
          <w:tcPr>
            <w:tcW w:w="2851" w:type="dxa"/>
            <w:shd w:val="clear" w:color="auto" w:fill="FFFFFF"/>
          </w:tcPr>
          <w:p w14:paraId="79D8867F" w14:textId="77777777" w:rsidR="00924992" w:rsidRDefault="00924992">
            <w:pPr>
              <w:pStyle w:val="Other0"/>
              <w:framePr w:w="10752" w:h="5174" w:wrap="none" w:hAnchor="page" w:x="635" w:y="1671"/>
              <w:spacing w:line="240" w:lineRule="auto"/>
              <w:ind w:firstLine="520"/>
              <w:rPr>
                <w:sz w:val="16"/>
                <w:szCs w:val="16"/>
              </w:rPr>
            </w:pPr>
            <w:r>
              <w:rPr>
                <w:rFonts w:ascii="Times New Roman" w:eastAsia="Times New Roman" w:hAnsi="Times New Roman" w:cs="Times New Roman"/>
                <w:color w:val="000000"/>
                <w:sz w:val="16"/>
                <w:szCs w:val="16"/>
              </w:rPr>
              <w:t>de edad)</w:t>
            </w:r>
          </w:p>
        </w:tc>
        <w:tc>
          <w:tcPr>
            <w:tcW w:w="2582" w:type="dxa"/>
            <w:shd w:val="clear" w:color="auto" w:fill="FFFFFF"/>
          </w:tcPr>
          <w:p w14:paraId="02ACACDD" w14:textId="77777777" w:rsidR="00924992" w:rsidRDefault="00924992">
            <w:pPr>
              <w:pStyle w:val="Other0"/>
              <w:framePr w:w="10752" w:h="5174" w:wrap="none" w:hAnchor="page" w:x="635" w:y="1671"/>
              <w:spacing w:line="240" w:lineRule="auto"/>
              <w:ind w:firstLine="200"/>
              <w:rPr>
                <w:sz w:val="16"/>
                <w:szCs w:val="16"/>
              </w:rPr>
            </w:pPr>
            <w:r>
              <w:rPr>
                <w:rFonts w:ascii="Times New Roman" w:eastAsia="Times New Roman" w:hAnsi="Times New Roman" w:cs="Times New Roman"/>
                <w:color w:val="000000"/>
                <w:sz w:val="16"/>
                <w:szCs w:val="16"/>
              </w:rPr>
              <w:t>una vez al día durante 10 días</w:t>
            </w:r>
          </w:p>
        </w:tc>
        <w:tc>
          <w:tcPr>
            <w:tcW w:w="3139" w:type="dxa"/>
            <w:shd w:val="clear" w:color="auto" w:fill="FFFFFF"/>
          </w:tcPr>
          <w:p w14:paraId="357059C0" w14:textId="77777777" w:rsidR="00924992" w:rsidRDefault="00924992">
            <w:pPr>
              <w:framePr w:w="10752" w:h="5174" w:wrap="none" w:hAnchor="page" w:x="635" w:y="1671"/>
              <w:rPr>
                <w:sz w:val="10"/>
                <w:szCs w:val="10"/>
              </w:rPr>
            </w:pPr>
          </w:p>
        </w:tc>
      </w:tr>
    </w:tbl>
    <w:p w14:paraId="73E9D77C" w14:textId="77777777" w:rsidR="00924992" w:rsidRDefault="00924992">
      <w:pPr>
        <w:framePr w:w="10752" w:h="5174" w:wrap="none" w:hAnchor="page" w:x="635" w:y="1671"/>
        <w:spacing w:line="1" w:lineRule="exact"/>
      </w:pPr>
    </w:p>
    <w:p w14:paraId="6CFCB125" w14:textId="77777777" w:rsidR="00924992" w:rsidRDefault="00924992">
      <w:pPr>
        <w:pStyle w:val="Bodytext80"/>
        <w:framePr w:w="192" w:h="4944" w:hRule="exact" w:wrap="none" w:hAnchor="page" w:x="12390" w:y="1950"/>
        <w:tabs>
          <w:tab w:val="left" w:pos="4627"/>
        </w:tabs>
        <w:textDirection w:val="tbRl"/>
        <w:rPr>
          <w:sz w:val="16"/>
          <w:szCs w:val="16"/>
        </w:rPr>
      </w:pPr>
      <w:r>
        <w:t>ENFERMEDADES DE TRANSMISIÓN SEXUAL</w:t>
      </w:r>
      <w:r>
        <w:tab/>
      </w:r>
      <w:r>
        <w:rPr>
          <w:sz w:val="16"/>
          <w:szCs w:val="16"/>
        </w:rPr>
        <w:t>753</w:t>
      </w:r>
    </w:p>
    <w:p w14:paraId="3524D772" w14:textId="77777777" w:rsidR="00924992" w:rsidRDefault="00924992">
      <w:pPr>
        <w:spacing w:line="360" w:lineRule="exact"/>
      </w:pPr>
    </w:p>
    <w:p w14:paraId="616A05C1" w14:textId="77777777" w:rsidR="00924992" w:rsidRDefault="00924992">
      <w:pPr>
        <w:spacing w:line="360" w:lineRule="exact"/>
      </w:pPr>
    </w:p>
    <w:p w14:paraId="3B6BB90C" w14:textId="77777777" w:rsidR="00924992" w:rsidRDefault="00924992">
      <w:pPr>
        <w:spacing w:line="360" w:lineRule="exact"/>
      </w:pPr>
    </w:p>
    <w:p w14:paraId="2EA6C578" w14:textId="77777777" w:rsidR="00924992" w:rsidRDefault="00924992">
      <w:pPr>
        <w:spacing w:line="360" w:lineRule="exact"/>
      </w:pPr>
    </w:p>
    <w:p w14:paraId="4EF26AB4" w14:textId="77777777" w:rsidR="00924992" w:rsidRDefault="00924992">
      <w:pPr>
        <w:spacing w:line="360" w:lineRule="exact"/>
      </w:pPr>
    </w:p>
    <w:p w14:paraId="44F45AA0" w14:textId="77777777" w:rsidR="00924992" w:rsidRDefault="00924992">
      <w:pPr>
        <w:spacing w:line="360" w:lineRule="exact"/>
      </w:pPr>
    </w:p>
    <w:p w14:paraId="6D4580CB" w14:textId="77777777" w:rsidR="00924992" w:rsidRDefault="00924992">
      <w:pPr>
        <w:spacing w:line="360" w:lineRule="exact"/>
      </w:pPr>
    </w:p>
    <w:p w14:paraId="1E6ACF54" w14:textId="77777777" w:rsidR="00924992" w:rsidRDefault="00924992">
      <w:pPr>
        <w:spacing w:line="360" w:lineRule="exact"/>
      </w:pPr>
    </w:p>
    <w:p w14:paraId="02A08C6E" w14:textId="77777777" w:rsidR="00924992" w:rsidRDefault="00924992">
      <w:pPr>
        <w:spacing w:line="360" w:lineRule="exact"/>
      </w:pPr>
    </w:p>
    <w:p w14:paraId="6438134D" w14:textId="77777777" w:rsidR="00924992" w:rsidRDefault="00924992">
      <w:pPr>
        <w:spacing w:line="360" w:lineRule="exact"/>
      </w:pPr>
    </w:p>
    <w:p w14:paraId="56496BC8" w14:textId="77777777" w:rsidR="00924992" w:rsidRDefault="00924992">
      <w:pPr>
        <w:spacing w:line="360" w:lineRule="exact"/>
      </w:pPr>
    </w:p>
    <w:p w14:paraId="59B8BD55" w14:textId="77777777" w:rsidR="00924992" w:rsidRDefault="00924992">
      <w:pPr>
        <w:spacing w:line="360" w:lineRule="exact"/>
      </w:pPr>
    </w:p>
    <w:p w14:paraId="1F445261" w14:textId="77777777" w:rsidR="00924992" w:rsidRDefault="00924992">
      <w:pPr>
        <w:spacing w:line="360" w:lineRule="exact"/>
      </w:pPr>
    </w:p>
    <w:p w14:paraId="1B190751" w14:textId="77777777" w:rsidR="00924992" w:rsidRDefault="00924992">
      <w:pPr>
        <w:spacing w:line="360" w:lineRule="exact"/>
      </w:pPr>
    </w:p>
    <w:p w14:paraId="2A3A6B1F" w14:textId="77777777" w:rsidR="00924992" w:rsidRDefault="00924992">
      <w:pPr>
        <w:spacing w:line="360" w:lineRule="exact"/>
      </w:pPr>
    </w:p>
    <w:p w14:paraId="1E2C3CAF" w14:textId="77777777" w:rsidR="00924992" w:rsidRDefault="00924992">
      <w:pPr>
        <w:spacing w:line="360" w:lineRule="exact"/>
      </w:pPr>
    </w:p>
    <w:p w14:paraId="2220D6CC" w14:textId="77777777" w:rsidR="00924992" w:rsidRDefault="00924992">
      <w:pPr>
        <w:spacing w:line="360" w:lineRule="exact"/>
      </w:pPr>
    </w:p>
    <w:p w14:paraId="60DD260D" w14:textId="77777777" w:rsidR="00924992" w:rsidRDefault="00924992">
      <w:pPr>
        <w:spacing w:line="360" w:lineRule="exact"/>
      </w:pPr>
    </w:p>
    <w:p w14:paraId="1F09A7AD" w14:textId="77777777" w:rsidR="00924992" w:rsidRDefault="00924992">
      <w:pPr>
        <w:spacing w:after="412" w:line="1" w:lineRule="exact"/>
      </w:pPr>
    </w:p>
    <w:p w14:paraId="5072615A" w14:textId="77777777" w:rsidR="00924992" w:rsidRDefault="00924992">
      <w:pPr>
        <w:spacing w:line="1" w:lineRule="exact"/>
        <w:sectPr w:rsidR="00924992" w:rsidSect="00924992">
          <w:pgSz w:w="13022" w:h="8501" w:orient="landscape"/>
          <w:pgMar w:top="1104" w:right="442" w:bottom="361" w:left="634" w:header="676" w:footer="3" w:gutter="0"/>
          <w:cols w:space="720"/>
          <w:noEndnote/>
          <w:docGrid w:linePitch="360"/>
          <w15:footnoteColumns w:val="1"/>
        </w:sectPr>
      </w:pPr>
    </w:p>
    <w:p w14:paraId="4F0D9ACD" w14:textId="77777777" w:rsidR="00924992" w:rsidRDefault="00924992">
      <w:pPr>
        <w:spacing w:line="1" w:lineRule="exact"/>
      </w:pPr>
      <w:r>
        <w:rPr>
          <w:noProof/>
        </w:rPr>
        <mc:AlternateContent>
          <mc:Choice Requires="wps">
            <w:drawing>
              <wp:anchor distT="0" distB="0" distL="114300" distR="114300" simplePos="0" relativeHeight="251681792" behindDoc="0" locked="0" layoutInCell="1" allowOverlap="1" wp14:anchorId="014459EF" wp14:editId="363AE644">
                <wp:simplePos x="0" y="0"/>
                <wp:positionH relativeFrom="page">
                  <wp:posOffset>412750</wp:posOffset>
                </wp:positionH>
                <wp:positionV relativeFrom="paragraph">
                  <wp:posOffset>1063625</wp:posOffset>
                </wp:positionV>
                <wp:extent cx="6827520" cy="365760"/>
                <wp:effectExtent l="0" t="0" r="0" b="0"/>
                <wp:wrapTopAndBottom/>
                <wp:docPr id="2269" name="Shape 2269"/>
                <wp:cNvGraphicFramePr/>
                <a:graphic xmlns:a="http://schemas.openxmlformats.org/drawingml/2006/main">
                  <a:graphicData uri="http://schemas.microsoft.com/office/word/2010/wordprocessingShape">
                    <wps:wsp>
                      <wps:cNvSpPr txBox="1"/>
                      <wps:spPr>
                        <a:xfrm>
                          <a:off x="0" y="0"/>
                          <a:ext cx="6827520" cy="365760"/>
                        </a:xfrm>
                        <a:prstGeom prst="rect">
                          <a:avLst/>
                        </a:prstGeom>
                        <a:noFill/>
                      </wps:spPr>
                      <wps:txbx>
                        <w:txbxContent>
                          <w:tbl>
                            <w:tblPr>
                              <w:tblOverlap w:val="never"/>
                              <w:tblW w:w="0" w:type="auto"/>
                              <w:tblLayout w:type="fixed"/>
                              <w:tblCellMar>
                                <w:left w:w="10" w:type="dxa"/>
                                <w:right w:w="10" w:type="dxa"/>
                              </w:tblCellMar>
                              <w:tblLook w:val="04A0" w:firstRow="1" w:lastRow="0" w:firstColumn="1" w:lastColumn="0" w:noHBand="0" w:noVBand="1"/>
                            </w:tblPr>
                            <w:tblGrid>
                              <w:gridCol w:w="1714"/>
                              <w:gridCol w:w="3058"/>
                              <w:gridCol w:w="2261"/>
                              <w:gridCol w:w="3720"/>
                            </w:tblGrid>
                            <w:tr w:rsidR="00924992" w14:paraId="69FF8689" w14:textId="77777777">
                              <w:tblPrEx>
                                <w:tblCellMar>
                                  <w:top w:w="0" w:type="dxa"/>
                                  <w:bottom w:w="0" w:type="dxa"/>
                                </w:tblCellMar>
                              </w:tblPrEx>
                              <w:trPr>
                                <w:trHeight w:hRule="exact" w:val="274"/>
                                <w:tblHeader/>
                              </w:trPr>
                              <w:tc>
                                <w:tcPr>
                                  <w:tcW w:w="1714" w:type="dxa"/>
                                  <w:shd w:val="clear" w:color="auto" w:fill="000000"/>
                                  <w:vAlign w:val="bottom"/>
                                </w:tcPr>
                                <w:p w14:paraId="0CA719CC" w14:textId="77777777" w:rsidR="00924992" w:rsidRDefault="00924992">
                                  <w:pPr>
                                    <w:pStyle w:val="Other0"/>
                                    <w:pBdr>
                                      <w:top w:val="single" w:sz="0" w:space="0" w:color="000000"/>
                                      <w:left w:val="single" w:sz="0" w:space="0" w:color="000000"/>
                                      <w:bottom w:val="single" w:sz="0" w:space="0" w:color="000000"/>
                                      <w:right w:val="single" w:sz="0" w:space="0" w:color="000000"/>
                                    </w:pBdr>
                                    <w:shd w:val="clear" w:color="auto" w:fill="000000"/>
                                    <w:spacing w:line="240" w:lineRule="auto"/>
                                    <w:ind w:firstLine="0"/>
                                    <w:rPr>
                                      <w:sz w:val="24"/>
                                      <w:szCs w:val="24"/>
                                    </w:rPr>
                                  </w:pPr>
                                  <w:r>
                                    <w:rPr>
                                      <w:rFonts w:ascii="Arial" w:eastAsia="Arial" w:hAnsi="Arial" w:cs="Arial"/>
                                      <w:b/>
                                      <w:bCs/>
                                      <w:color w:val="FFFFFF"/>
                                      <w:w w:val="70"/>
                                      <w:sz w:val="24"/>
                                      <w:szCs w:val="24"/>
                                    </w:rPr>
                                    <w:t>Síndrome</w:t>
                                  </w:r>
                                </w:p>
                              </w:tc>
                              <w:tc>
                                <w:tcPr>
                                  <w:tcW w:w="3058" w:type="dxa"/>
                                  <w:shd w:val="clear" w:color="auto" w:fill="000000"/>
                                  <w:vAlign w:val="bottom"/>
                                </w:tcPr>
                                <w:p w14:paraId="01955E7C" w14:textId="77777777" w:rsidR="00924992" w:rsidRDefault="00924992">
                                  <w:pPr>
                                    <w:pStyle w:val="Other0"/>
                                    <w:pBdr>
                                      <w:top w:val="single" w:sz="0" w:space="0" w:color="000000"/>
                                      <w:left w:val="single" w:sz="0" w:space="0" w:color="000000"/>
                                      <w:bottom w:val="single" w:sz="0" w:space="0" w:color="000000"/>
                                      <w:right w:val="single" w:sz="0" w:space="0" w:color="000000"/>
                                    </w:pBdr>
                                    <w:shd w:val="clear" w:color="auto" w:fill="000000"/>
                                    <w:spacing w:line="240" w:lineRule="auto"/>
                                    <w:ind w:firstLine="880"/>
                                    <w:rPr>
                                      <w:sz w:val="24"/>
                                      <w:szCs w:val="24"/>
                                    </w:rPr>
                                  </w:pPr>
                                  <w:r>
                                    <w:rPr>
                                      <w:rFonts w:ascii="Arial" w:eastAsia="Arial" w:hAnsi="Arial" w:cs="Arial"/>
                                      <w:b/>
                                      <w:bCs/>
                                      <w:color w:val="FFFFFF"/>
                                      <w:w w:val="70"/>
                                      <w:sz w:val="24"/>
                                      <w:szCs w:val="24"/>
                                    </w:rPr>
                                    <w:t>Microorganismos/</w:t>
                                  </w:r>
                                </w:p>
                              </w:tc>
                              <w:tc>
                                <w:tcPr>
                                  <w:tcW w:w="2261" w:type="dxa"/>
                                  <w:shd w:val="clear" w:color="auto" w:fill="000000"/>
                                  <w:vAlign w:val="bottom"/>
                                </w:tcPr>
                                <w:p w14:paraId="5A567770" w14:textId="77777777" w:rsidR="00924992" w:rsidRDefault="00924992">
                                  <w:pPr>
                                    <w:pStyle w:val="Other0"/>
                                    <w:pBdr>
                                      <w:top w:val="single" w:sz="0" w:space="0" w:color="000000"/>
                                      <w:left w:val="single" w:sz="0" w:space="0" w:color="000000"/>
                                      <w:bottom w:val="single" w:sz="0" w:space="0" w:color="000000"/>
                                      <w:right w:val="single" w:sz="0" w:space="0" w:color="000000"/>
                                    </w:pBdr>
                                    <w:shd w:val="clear" w:color="auto" w:fill="000000"/>
                                    <w:spacing w:line="240" w:lineRule="auto"/>
                                    <w:ind w:firstLine="380"/>
                                    <w:rPr>
                                      <w:sz w:val="24"/>
                                      <w:szCs w:val="24"/>
                                    </w:rPr>
                                  </w:pPr>
                                  <w:r>
                                    <w:rPr>
                                      <w:rFonts w:ascii="Arial" w:eastAsia="Arial" w:hAnsi="Arial" w:cs="Arial"/>
                                      <w:b/>
                                      <w:bCs/>
                                      <w:color w:val="FFFFFF"/>
                                      <w:w w:val="70"/>
                                      <w:sz w:val="24"/>
                                      <w:szCs w:val="24"/>
                                    </w:rPr>
                                    <w:t>Tratamiento de</w:t>
                                  </w:r>
                                </w:p>
                              </w:tc>
                              <w:tc>
                                <w:tcPr>
                                  <w:tcW w:w="3720" w:type="dxa"/>
                                  <w:shd w:val="clear" w:color="auto" w:fill="000000"/>
                                  <w:vAlign w:val="bottom"/>
                                </w:tcPr>
                                <w:p w14:paraId="4230ECF7" w14:textId="77777777" w:rsidR="00924992" w:rsidRDefault="00924992">
                                  <w:pPr>
                                    <w:pStyle w:val="Other0"/>
                                    <w:pBdr>
                                      <w:top w:val="single" w:sz="0" w:space="0" w:color="000000"/>
                                      <w:left w:val="single" w:sz="0" w:space="0" w:color="000000"/>
                                      <w:bottom w:val="single" w:sz="0" w:space="0" w:color="000000"/>
                                      <w:right w:val="single" w:sz="0" w:space="0" w:color="000000"/>
                                    </w:pBdr>
                                    <w:shd w:val="clear" w:color="auto" w:fill="000000"/>
                                    <w:spacing w:line="240" w:lineRule="auto"/>
                                    <w:ind w:firstLine="660"/>
                                    <w:rPr>
                                      <w:sz w:val="24"/>
                                      <w:szCs w:val="24"/>
                                    </w:rPr>
                                  </w:pPr>
                                  <w:r>
                                    <w:rPr>
                                      <w:rFonts w:ascii="Arial" w:eastAsia="Arial" w:hAnsi="Arial" w:cs="Arial"/>
                                      <w:b/>
                                      <w:bCs/>
                                      <w:color w:val="FFFFFF"/>
                                      <w:w w:val="70"/>
                                      <w:sz w:val="24"/>
                                      <w:szCs w:val="24"/>
                                    </w:rPr>
                                    <w:t>Tratamiento</w:t>
                                  </w:r>
                                </w:p>
                              </w:tc>
                            </w:tr>
                            <w:tr w:rsidR="00924992" w14:paraId="5189F6EF" w14:textId="77777777">
                              <w:tblPrEx>
                                <w:tblCellMar>
                                  <w:top w:w="0" w:type="dxa"/>
                                  <w:bottom w:w="0" w:type="dxa"/>
                                </w:tblCellMar>
                              </w:tblPrEx>
                              <w:trPr>
                                <w:trHeight w:hRule="exact" w:val="302"/>
                              </w:trPr>
                              <w:tc>
                                <w:tcPr>
                                  <w:tcW w:w="1714" w:type="dxa"/>
                                  <w:shd w:val="clear" w:color="auto" w:fill="000000"/>
                                </w:tcPr>
                                <w:p w14:paraId="0AD92890" w14:textId="77777777" w:rsidR="00924992" w:rsidRDefault="00924992">
                                  <w:pPr>
                                    <w:rPr>
                                      <w:sz w:val="10"/>
                                      <w:szCs w:val="10"/>
                                    </w:rPr>
                                  </w:pPr>
                                </w:p>
                              </w:tc>
                              <w:tc>
                                <w:tcPr>
                                  <w:tcW w:w="3058" w:type="dxa"/>
                                  <w:shd w:val="clear" w:color="auto" w:fill="000000"/>
                                </w:tcPr>
                                <w:p w14:paraId="47F5DA47" w14:textId="77777777" w:rsidR="00924992" w:rsidRDefault="00924992">
                                  <w:pPr>
                                    <w:pStyle w:val="Other0"/>
                                    <w:pBdr>
                                      <w:top w:val="single" w:sz="0" w:space="0" w:color="000000"/>
                                      <w:left w:val="single" w:sz="0" w:space="0" w:color="000000"/>
                                      <w:bottom w:val="single" w:sz="0" w:space="0" w:color="000000"/>
                                      <w:right w:val="single" w:sz="0" w:space="0" w:color="000000"/>
                                    </w:pBdr>
                                    <w:shd w:val="clear" w:color="auto" w:fill="000000"/>
                                    <w:spacing w:line="240" w:lineRule="auto"/>
                                    <w:ind w:firstLine="880"/>
                                    <w:rPr>
                                      <w:sz w:val="24"/>
                                      <w:szCs w:val="24"/>
                                    </w:rPr>
                                  </w:pPr>
                                  <w:r>
                                    <w:rPr>
                                      <w:rFonts w:ascii="Arial" w:eastAsia="Arial" w:hAnsi="Arial" w:cs="Arial"/>
                                      <w:b/>
                                      <w:bCs/>
                                      <w:color w:val="FFFFFF"/>
                                      <w:w w:val="70"/>
                                      <w:sz w:val="24"/>
                                      <w:szCs w:val="24"/>
                                    </w:rPr>
                                    <w:t>entidades patológicas</w:t>
                                  </w:r>
                                </w:p>
                              </w:tc>
                              <w:tc>
                                <w:tcPr>
                                  <w:tcW w:w="2261" w:type="dxa"/>
                                  <w:shd w:val="clear" w:color="auto" w:fill="000000"/>
                                </w:tcPr>
                                <w:p w14:paraId="3DC3B7F3" w14:textId="77777777" w:rsidR="00924992" w:rsidRDefault="00924992">
                                  <w:pPr>
                                    <w:pStyle w:val="Other0"/>
                                    <w:pBdr>
                                      <w:top w:val="single" w:sz="0" w:space="0" w:color="000000"/>
                                      <w:left w:val="single" w:sz="0" w:space="0" w:color="000000"/>
                                      <w:bottom w:val="single" w:sz="0" w:space="0" w:color="000000"/>
                                      <w:right w:val="single" w:sz="0" w:space="0" w:color="000000"/>
                                    </w:pBdr>
                                    <w:shd w:val="clear" w:color="auto" w:fill="000000"/>
                                    <w:spacing w:line="240" w:lineRule="auto"/>
                                    <w:ind w:firstLine="380"/>
                                    <w:rPr>
                                      <w:sz w:val="24"/>
                                      <w:szCs w:val="24"/>
                                    </w:rPr>
                                  </w:pPr>
                                  <w:r>
                                    <w:rPr>
                                      <w:rFonts w:ascii="Arial" w:eastAsia="Arial" w:hAnsi="Arial" w:cs="Arial"/>
                                      <w:b/>
                                      <w:bCs/>
                                      <w:color w:val="FFFFFF"/>
                                      <w:w w:val="70"/>
                                      <w:sz w:val="24"/>
                                      <w:szCs w:val="24"/>
                                    </w:rPr>
                                    <w:t>adolescentes</w:t>
                                  </w:r>
                                </w:p>
                              </w:tc>
                              <w:tc>
                                <w:tcPr>
                                  <w:tcW w:w="3720" w:type="dxa"/>
                                  <w:shd w:val="clear" w:color="auto" w:fill="000000"/>
                                </w:tcPr>
                                <w:p w14:paraId="1874BD2C" w14:textId="77777777" w:rsidR="00924992" w:rsidRDefault="00924992">
                                  <w:pPr>
                                    <w:pStyle w:val="Other0"/>
                                    <w:pBdr>
                                      <w:top w:val="single" w:sz="0" w:space="0" w:color="000000"/>
                                      <w:left w:val="single" w:sz="0" w:space="0" w:color="000000"/>
                                      <w:bottom w:val="single" w:sz="0" w:space="0" w:color="000000"/>
                                      <w:right w:val="single" w:sz="0" w:space="0" w:color="000000"/>
                                    </w:pBdr>
                                    <w:shd w:val="clear" w:color="auto" w:fill="000000"/>
                                    <w:spacing w:line="240" w:lineRule="auto"/>
                                    <w:ind w:firstLine="660"/>
                                    <w:rPr>
                                      <w:sz w:val="24"/>
                                      <w:szCs w:val="24"/>
                                    </w:rPr>
                                  </w:pPr>
                                  <w:r>
                                    <w:rPr>
                                      <w:rFonts w:ascii="Arial" w:eastAsia="Arial" w:hAnsi="Arial" w:cs="Arial"/>
                                      <w:b/>
                                      <w:bCs/>
                                      <w:color w:val="FFFFFF"/>
                                      <w:w w:val="70"/>
                                      <w:sz w:val="24"/>
                                      <w:szCs w:val="24"/>
                                    </w:rPr>
                                    <w:t>del lactante/niño</w:t>
                                  </w:r>
                                </w:p>
                              </w:tc>
                            </w:tr>
                          </w:tbl>
                          <w:p w14:paraId="34D30046" w14:textId="77777777" w:rsidR="00924992" w:rsidRDefault="00924992">
                            <w:pPr>
                              <w:spacing w:line="1" w:lineRule="exact"/>
                            </w:pPr>
                          </w:p>
                        </w:txbxContent>
                      </wps:txbx>
                      <wps:bodyPr lIns="0" tIns="0" rIns="0" bIns="0"/>
                    </wps:wsp>
                  </a:graphicData>
                </a:graphic>
              </wp:anchor>
            </w:drawing>
          </mc:Choice>
          <mc:Fallback>
            <w:pict>
              <v:shape w14:anchorId="014459EF" id="Shape 2269" o:spid="_x0000_s1049" type="#_x0000_t202" style="position:absolute;margin-left:32.5pt;margin-top:83.75pt;width:537.6pt;height:28.8pt;z-index:251681792;visibility:visible;mso-wrap-style:square;mso-wrap-distance-left:9pt;mso-wrap-distance-top:0;mso-wrap-distance-right:9pt;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" filled="f" stroked="f">
                <v:textbox inset="0,0,0,0">
                  <w:txbxContent>
                    <w:tbl>
                      <w:tblPr>
                        <w:tblOverlap w:val="never"/>
                        <w:tblW w:w="0" w:type="auto"/>
                        <w:tblLayout w:type="fixed"/>
                        <w:tblCellMar>
                          <w:left w:w="10" w:type="dxa"/>
                          <w:right w:w="10" w:type="dxa"/>
                        </w:tblCellMar>
                        <w:tblLook w:val="04A0" w:firstRow="1" w:lastRow="0" w:firstColumn="1" w:lastColumn="0" w:noHBand="0" w:noVBand="1"/>
                      </w:tblPr>
                      <w:tblGrid>
                        <w:gridCol w:w="1714"/>
                        <w:gridCol w:w="3058"/>
                        <w:gridCol w:w="2261"/>
                        <w:gridCol w:w="3720"/>
                      </w:tblGrid>
                      <w:tr w:rsidR="00924992" w14:paraId="69FF8689" w14:textId="77777777">
                        <w:tblPrEx>
                          <w:tblCellMar>
                            <w:top w:w="0" w:type="dxa"/>
                            <w:bottom w:w="0" w:type="dxa"/>
                          </w:tblCellMar>
                        </w:tblPrEx>
                        <w:trPr>
                          <w:trHeight w:hRule="exact" w:val="274"/>
                          <w:tblHeader/>
                        </w:trPr>
                        <w:tc>
                          <w:tcPr>
                            <w:tcW w:w="1714" w:type="dxa"/>
                            <w:shd w:val="clear" w:color="auto" w:fill="000000"/>
                            <w:vAlign w:val="bottom"/>
                          </w:tcPr>
                          <w:p w14:paraId="0CA719CC" w14:textId="77777777" w:rsidR="00924992" w:rsidRDefault="00924992">
                            <w:pPr>
                              <w:pStyle w:val="Other0"/>
                              <w:pBdr>
                                <w:top w:val="single" w:sz="0" w:space="0" w:color="000000"/>
                                <w:left w:val="single" w:sz="0" w:space="0" w:color="000000"/>
                                <w:bottom w:val="single" w:sz="0" w:space="0" w:color="000000"/>
                                <w:right w:val="single" w:sz="0" w:space="0" w:color="000000"/>
                              </w:pBdr>
                              <w:shd w:val="clear" w:color="auto" w:fill="000000"/>
                              <w:spacing w:line="240" w:lineRule="auto"/>
                              <w:ind w:firstLine="0"/>
                              <w:rPr>
                                <w:sz w:val="24"/>
                                <w:szCs w:val="24"/>
                              </w:rPr>
                            </w:pPr>
                            <w:r>
                              <w:rPr>
                                <w:rFonts w:ascii="Arial" w:eastAsia="Arial" w:hAnsi="Arial" w:cs="Arial"/>
                                <w:b/>
                                <w:bCs/>
                                <w:color w:val="FFFFFF"/>
                                <w:w w:val="70"/>
                                <w:sz w:val="24"/>
                                <w:szCs w:val="24"/>
                              </w:rPr>
                              <w:t>Síndrome</w:t>
                            </w:r>
                          </w:p>
                        </w:tc>
                        <w:tc>
                          <w:tcPr>
                            <w:tcW w:w="3058" w:type="dxa"/>
                            <w:shd w:val="clear" w:color="auto" w:fill="000000"/>
                            <w:vAlign w:val="bottom"/>
                          </w:tcPr>
                          <w:p w14:paraId="01955E7C" w14:textId="77777777" w:rsidR="00924992" w:rsidRDefault="00924992">
                            <w:pPr>
                              <w:pStyle w:val="Other0"/>
                              <w:pBdr>
                                <w:top w:val="single" w:sz="0" w:space="0" w:color="000000"/>
                                <w:left w:val="single" w:sz="0" w:space="0" w:color="000000"/>
                                <w:bottom w:val="single" w:sz="0" w:space="0" w:color="000000"/>
                                <w:right w:val="single" w:sz="0" w:space="0" w:color="000000"/>
                              </w:pBdr>
                              <w:shd w:val="clear" w:color="auto" w:fill="000000"/>
                              <w:spacing w:line="240" w:lineRule="auto"/>
                              <w:ind w:firstLine="880"/>
                              <w:rPr>
                                <w:sz w:val="24"/>
                                <w:szCs w:val="24"/>
                              </w:rPr>
                            </w:pPr>
                            <w:r>
                              <w:rPr>
                                <w:rFonts w:ascii="Arial" w:eastAsia="Arial" w:hAnsi="Arial" w:cs="Arial"/>
                                <w:b/>
                                <w:bCs/>
                                <w:color w:val="FFFFFF"/>
                                <w:w w:val="70"/>
                                <w:sz w:val="24"/>
                                <w:szCs w:val="24"/>
                              </w:rPr>
                              <w:t>Microorganismos/</w:t>
                            </w:r>
                          </w:p>
                        </w:tc>
                        <w:tc>
                          <w:tcPr>
                            <w:tcW w:w="2261" w:type="dxa"/>
                            <w:shd w:val="clear" w:color="auto" w:fill="000000"/>
                            <w:vAlign w:val="bottom"/>
                          </w:tcPr>
                          <w:p w14:paraId="5A567770" w14:textId="77777777" w:rsidR="00924992" w:rsidRDefault="00924992">
                            <w:pPr>
                              <w:pStyle w:val="Other0"/>
                              <w:pBdr>
                                <w:top w:val="single" w:sz="0" w:space="0" w:color="000000"/>
                                <w:left w:val="single" w:sz="0" w:space="0" w:color="000000"/>
                                <w:bottom w:val="single" w:sz="0" w:space="0" w:color="000000"/>
                                <w:right w:val="single" w:sz="0" w:space="0" w:color="000000"/>
                              </w:pBdr>
                              <w:shd w:val="clear" w:color="auto" w:fill="000000"/>
                              <w:spacing w:line="240" w:lineRule="auto"/>
                              <w:ind w:firstLine="380"/>
                              <w:rPr>
                                <w:sz w:val="24"/>
                                <w:szCs w:val="24"/>
                              </w:rPr>
                            </w:pPr>
                            <w:r>
                              <w:rPr>
                                <w:rFonts w:ascii="Arial" w:eastAsia="Arial" w:hAnsi="Arial" w:cs="Arial"/>
                                <w:b/>
                                <w:bCs/>
                                <w:color w:val="FFFFFF"/>
                                <w:w w:val="70"/>
                                <w:sz w:val="24"/>
                                <w:szCs w:val="24"/>
                              </w:rPr>
                              <w:t>Tratamiento de</w:t>
                            </w:r>
                          </w:p>
                        </w:tc>
                        <w:tc>
                          <w:tcPr>
                            <w:tcW w:w="3720" w:type="dxa"/>
                            <w:shd w:val="clear" w:color="auto" w:fill="000000"/>
                            <w:vAlign w:val="bottom"/>
                          </w:tcPr>
                          <w:p w14:paraId="4230ECF7" w14:textId="77777777" w:rsidR="00924992" w:rsidRDefault="00924992">
                            <w:pPr>
                              <w:pStyle w:val="Other0"/>
                              <w:pBdr>
                                <w:top w:val="single" w:sz="0" w:space="0" w:color="000000"/>
                                <w:left w:val="single" w:sz="0" w:space="0" w:color="000000"/>
                                <w:bottom w:val="single" w:sz="0" w:space="0" w:color="000000"/>
                                <w:right w:val="single" w:sz="0" w:space="0" w:color="000000"/>
                              </w:pBdr>
                              <w:shd w:val="clear" w:color="auto" w:fill="000000"/>
                              <w:spacing w:line="240" w:lineRule="auto"/>
                              <w:ind w:firstLine="660"/>
                              <w:rPr>
                                <w:sz w:val="24"/>
                                <w:szCs w:val="24"/>
                              </w:rPr>
                            </w:pPr>
                            <w:r>
                              <w:rPr>
                                <w:rFonts w:ascii="Arial" w:eastAsia="Arial" w:hAnsi="Arial" w:cs="Arial"/>
                                <w:b/>
                                <w:bCs/>
                                <w:color w:val="FFFFFF"/>
                                <w:w w:val="70"/>
                                <w:sz w:val="24"/>
                                <w:szCs w:val="24"/>
                              </w:rPr>
                              <w:t>Tratamiento</w:t>
                            </w:r>
                          </w:p>
                        </w:tc>
                      </w:tr>
                      <w:tr w:rsidR="00924992" w14:paraId="5189F6EF" w14:textId="77777777">
                        <w:tblPrEx>
                          <w:tblCellMar>
                            <w:top w:w="0" w:type="dxa"/>
                            <w:bottom w:w="0" w:type="dxa"/>
                          </w:tblCellMar>
                        </w:tblPrEx>
                        <w:trPr>
                          <w:trHeight w:hRule="exact" w:val="302"/>
                        </w:trPr>
                        <w:tc>
                          <w:tcPr>
                            <w:tcW w:w="1714" w:type="dxa"/>
                            <w:shd w:val="clear" w:color="auto" w:fill="000000"/>
                          </w:tcPr>
                          <w:p w14:paraId="0AD92890" w14:textId="77777777" w:rsidR="00924992" w:rsidRDefault="00924992">
                            <w:pPr>
                              <w:rPr>
                                <w:sz w:val="10"/>
                                <w:szCs w:val="10"/>
                              </w:rPr>
                            </w:pPr>
                          </w:p>
                        </w:tc>
                        <w:tc>
                          <w:tcPr>
                            <w:tcW w:w="3058" w:type="dxa"/>
                            <w:shd w:val="clear" w:color="auto" w:fill="000000"/>
                          </w:tcPr>
                          <w:p w14:paraId="47F5DA47" w14:textId="77777777" w:rsidR="00924992" w:rsidRDefault="00924992">
                            <w:pPr>
                              <w:pStyle w:val="Other0"/>
                              <w:pBdr>
                                <w:top w:val="single" w:sz="0" w:space="0" w:color="000000"/>
                                <w:left w:val="single" w:sz="0" w:space="0" w:color="000000"/>
                                <w:bottom w:val="single" w:sz="0" w:space="0" w:color="000000"/>
                                <w:right w:val="single" w:sz="0" w:space="0" w:color="000000"/>
                              </w:pBdr>
                              <w:shd w:val="clear" w:color="auto" w:fill="000000"/>
                              <w:spacing w:line="240" w:lineRule="auto"/>
                              <w:ind w:firstLine="880"/>
                              <w:rPr>
                                <w:sz w:val="24"/>
                                <w:szCs w:val="24"/>
                              </w:rPr>
                            </w:pPr>
                            <w:r>
                              <w:rPr>
                                <w:rFonts w:ascii="Arial" w:eastAsia="Arial" w:hAnsi="Arial" w:cs="Arial"/>
                                <w:b/>
                                <w:bCs/>
                                <w:color w:val="FFFFFF"/>
                                <w:w w:val="70"/>
                                <w:sz w:val="24"/>
                                <w:szCs w:val="24"/>
                              </w:rPr>
                              <w:t>entidades patológicas</w:t>
                            </w:r>
                          </w:p>
                        </w:tc>
                        <w:tc>
                          <w:tcPr>
                            <w:tcW w:w="2261" w:type="dxa"/>
                            <w:shd w:val="clear" w:color="auto" w:fill="000000"/>
                          </w:tcPr>
                          <w:p w14:paraId="3DC3B7F3" w14:textId="77777777" w:rsidR="00924992" w:rsidRDefault="00924992">
                            <w:pPr>
                              <w:pStyle w:val="Other0"/>
                              <w:pBdr>
                                <w:top w:val="single" w:sz="0" w:space="0" w:color="000000"/>
                                <w:left w:val="single" w:sz="0" w:space="0" w:color="000000"/>
                                <w:bottom w:val="single" w:sz="0" w:space="0" w:color="000000"/>
                                <w:right w:val="single" w:sz="0" w:space="0" w:color="000000"/>
                              </w:pBdr>
                              <w:shd w:val="clear" w:color="auto" w:fill="000000"/>
                              <w:spacing w:line="240" w:lineRule="auto"/>
                              <w:ind w:firstLine="380"/>
                              <w:rPr>
                                <w:sz w:val="24"/>
                                <w:szCs w:val="24"/>
                              </w:rPr>
                            </w:pPr>
                            <w:r>
                              <w:rPr>
                                <w:rFonts w:ascii="Arial" w:eastAsia="Arial" w:hAnsi="Arial" w:cs="Arial"/>
                                <w:b/>
                                <w:bCs/>
                                <w:color w:val="FFFFFF"/>
                                <w:w w:val="70"/>
                                <w:sz w:val="24"/>
                                <w:szCs w:val="24"/>
                              </w:rPr>
                              <w:t>adolescentes</w:t>
                            </w:r>
                          </w:p>
                        </w:tc>
                        <w:tc>
                          <w:tcPr>
                            <w:tcW w:w="3720" w:type="dxa"/>
                            <w:shd w:val="clear" w:color="auto" w:fill="000000"/>
                          </w:tcPr>
                          <w:p w14:paraId="1874BD2C" w14:textId="77777777" w:rsidR="00924992" w:rsidRDefault="00924992">
                            <w:pPr>
                              <w:pStyle w:val="Other0"/>
                              <w:pBdr>
                                <w:top w:val="single" w:sz="0" w:space="0" w:color="000000"/>
                                <w:left w:val="single" w:sz="0" w:space="0" w:color="000000"/>
                                <w:bottom w:val="single" w:sz="0" w:space="0" w:color="000000"/>
                                <w:right w:val="single" w:sz="0" w:space="0" w:color="000000"/>
                              </w:pBdr>
                              <w:shd w:val="clear" w:color="auto" w:fill="000000"/>
                              <w:spacing w:line="240" w:lineRule="auto"/>
                              <w:ind w:firstLine="660"/>
                              <w:rPr>
                                <w:sz w:val="24"/>
                                <w:szCs w:val="24"/>
                              </w:rPr>
                            </w:pPr>
                            <w:r>
                              <w:rPr>
                                <w:rFonts w:ascii="Arial" w:eastAsia="Arial" w:hAnsi="Arial" w:cs="Arial"/>
                                <w:b/>
                                <w:bCs/>
                                <w:color w:val="FFFFFF"/>
                                <w:w w:val="70"/>
                                <w:sz w:val="24"/>
                                <w:szCs w:val="24"/>
                              </w:rPr>
                              <w:t>del lactante/niño</w:t>
                            </w:r>
                          </w:p>
                        </w:tc>
                      </w:tr>
                    </w:tbl>
                    <w:p w14:paraId="34D30046" w14:textId="77777777" w:rsidR="00924992" w:rsidRDefault="00924992">
                      <w:pPr>
                        <w:spacing w:line="1" w:lineRule="exact"/>
                      </w:pPr>
                    </w:p>
                  </w:txbxContent>
                </v:textbox>
                <w10:wrap type="topAndBottom" anchorx="page"/>
              </v:shape>
            </w:pict>
          </mc:Fallback>
        </mc:AlternateContent>
      </w:r>
      <w:r>
        <w:rPr>
          <w:noProof/>
        </w:rPr>
        <mc:AlternateContent>
          <mc:Choice Requires="wps">
            <w:drawing>
              <wp:anchor distT="0" distB="0" distL="114300" distR="114300" simplePos="0" relativeHeight="251682816" behindDoc="0" locked="0" layoutInCell="1" allowOverlap="1" wp14:anchorId="0CA09146" wp14:editId="06F1D13F">
                <wp:simplePos x="0" y="0"/>
                <wp:positionH relativeFrom="page">
                  <wp:posOffset>7877810</wp:posOffset>
                </wp:positionH>
                <wp:positionV relativeFrom="paragraph">
                  <wp:posOffset>18415</wp:posOffset>
                </wp:positionV>
                <wp:extent cx="121920" cy="3151505"/>
                <wp:effectExtent l="0" t="0" r="0" b="0"/>
                <wp:wrapSquare wrapText="bothSides"/>
                <wp:docPr id="2271" name="Shape 2271"/>
                <wp:cNvGraphicFramePr/>
                <a:graphic xmlns:a="http://schemas.openxmlformats.org/drawingml/2006/main">
                  <a:graphicData uri="http://schemas.microsoft.com/office/word/2010/wordprocessingShape">
                    <wps:wsp>
                      <wps:cNvSpPr txBox="1"/>
                      <wps:spPr>
                        <a:xfrm>
                          <a:off x="0" y="0"/>
                          <a:ext cx="121920" cy="3151505"/>
                        </a:xfrm>
                        <a:prstGeom prst="rect">
                          <a:avLst/>
                        </a:prstGeom>
                        <a:noFill/>
                      </wps:spPr>
                      <wps:txbx>
                        <w:txbxContent>
                          <w:p w14:paraId="26F38899" w14:textId="77777777" w:rsidR="00924992" w:rsidRDefault="00924992">
                            <w:pPr>
                              <w:pStyle w:val="Bodytext80"/>
                              <w:tabs>
                                <w:tab w:val="left" w:pos="1915"/>
                              </w:tabs>
                            </w:pPr>
                            <w:r>
                              <w:rPr>
                                <w:sz w:val="16"/>
                                <w:szCs w:val="16"/>
                              </w:rPr>
                              <w:t>754</w:t>
                            </w:r>
                            <w:r>
                              <w:rPr>
                                <w:sz w:val="16"/>
                                <w:szCs w:val="16"/>
                              </w:rPr>
                              <w:tab/>
                            </w:r>
                            <w:r>
                              <w:t>ENFERMEDADES DE TRANSMISIÓN SEXUAL</w:t>
                            </w:r>
                          </w:p>
                        </w:txbxContent>
                      </wps:txbx>
                      <wps:bodyPr vert="vert" lIns="0" tIns="0" rIns="0" bIns="0" upright="1"/>
                    </wps:wsp>
                  </a:graphicData>
                </a:graphic>
              </wp:anchor>
            </w:drawing>
          </mc:Choice>
          <mc:Fallback>
            <w:pict>
              <v:shape w14:anchorId="0CA09146" id="Shape 2271" o:spid="_x0000_s1050" type="#_x0000_t202" style="position:absolute;margin-left:620.3pt;margin-top:1.45pt;width:9.6pt;height:248.15pt;z-index:251682816;visibility:visible;mso-wrap-style:square;mso-wrap-distance-left:9pt;mso-wrap-distance-top:0;mso-wrap-distance-right:9pt;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" filled="f" stroked="f">
                <v:textbox style="layout-flow:vertical" inset="0,0,0,0">
                  <w:txbxContent>
                    <w:p w14:paraId="26F38899" w14:textId="77777777" w:rsidR="00924992" w:rsidRDefault="00924992">
                      <w:pPr>
                        <w:pStyle w:val="Bodytext80"/>
                        <w:tabs>
                          <w:tab w:val="left" w:pos="1915"/>
                        </w:tabs>
                      </w:pPr>
                      <w:r>
                        <w:rPr>
                          <w:sz w:val="16"/>
                          <w:szCs w:val="16"/>
                        </w:rPr>
                        <w:t>754</w:t>
                      </w:r>
                      <w:r>
                        <w:rPr>
                          <w:sz w:val="16"/>
                          <w:szCs w:val="16"/>
                        </w:rPr>
                        <w:tab/>
                      </w:r>
                      <w:r>
                        <w:t>ENFERMEDADES DE TRANSMISIÓN SEXUAL</w:t>
                      </w:r>
                    </w:p>
                  </w:txbxContent>
                </v:textbox>
                <w10:wrap type="square" anchorx="page"/>
              </v:shape>
            </w:pict>
          </mc:Fallback>
        </mc:AlternateContent>
      </w:r>
    </w:p>
    <w:p w14:paraId="57F893E5" w14:textId="77777777" w:rsidR="00924992" w:rsidRDefault="00924992">
      <w:pPr>
        <w:pStyle w:val="Heading31"/>
        <w:keepNext/>
        <w:keepLines/>
        <w:spacing w:line="214" w:lineRule="auto"/>
        <w:jc w:val="center"/>
        <w:rPr>
          <w:sz w:val="16"/>
          <w:szCs w:val="16"/>
        </w:rPr>
      </w:pPr>
      <w:bookmarkStart w:id="370" w:name="bookmark1816"/>
      <w:bookmarkStart w:id="371" w:name="bookmark1817"/>
      <w:bookmarkStart w:id="372" w:name="bookmark1818"/>
      <w:r>
        <w:rPr>
          <w:b w:val="0"/>
          <w:bCs w:val="0"/>
          <w:color w:val="000000"/>
        </w:rPr>
        <w:t xml:space="preserve">Cuadro 4-3. </w:t>
      </w:r>
      <w:r>
        <w:rPr>
          <w:color w:val="000000"/>
        </w:rPr>
        <w:t>Directrices para tratar enfermedades de transmisión sexual en niños y adolescentes,</w:t>
      </w:r>
      <w:r>
        <w:rPr>
          <w:color w:val="000000"/>
        </w:rPr>
        <w:br/>
        <w:t xml:space="preserve">conforme al síndrome que tengan </w:t>
      </w:r>
      <w:r>
        <w:rPr>
          <w:rFonts w:ascii="Times New Roman" w:eastAsia="Times New Roman" w:hAnsi="Times New Roman" w:cs="Times New Roman"/>
          <w:b w:val="0"/>
          <w:bCs w:val="0"/>
          <w:i/>
          <w:iCs/>
          <w:color w:val="000000"/>
          <w:w w:val="100"/>
          <w:sz w:val="16"/>
          <w:szCs w:val="16"/>
        </w:rPr>
        <w:t>continuación</w:t>
      </w:r>
      <w:bookmarkEnd w:id="370"/>
      <w:bookmarkEnd w:id="371"/>
      <w:bookmarkEnd w:id="372"/>
    </w:p>
    <w:p w14:paraId="764EA7D5" w14:textId="77777777" w:rsidR="00924992" w:rsidRDefault="00924992">
      <w:pPr>
        <w:pStyle w:val="Other0"/>
        <w:spacing w:after="60" w:line="214" w:lineRule="auto"/>
        <w:ind w:firstLine="0"/>
        <w:jc w:val="center"/>
        <w:rPr>
          <w:sz w:val="26"/>
          <w:szCs w:val="26"/>
        </w:rPr>
      </w:pPr>
      <w:r>
        <w:rPr>
          <w:rFonts w:ascii="Arial" w:eastAsia="Arial" w:hAnsi="Arial" w:cs="Arial"/>
          <w:color w:val="000000"/>
          <w:w w:val="70"/>
          <w:sz w:val="26"/>
          <w:szCs w:val="26"/>
        </w:rPr>
        <w:t>Se incluyen los regímenes preferidos. Para mayor información sobre otros regímenes aceptables y enfermedades no</w:t>
      </w:r>
      <w:r>
        <w:rPr>
          <w:rFonts w:ascii="Arial" w:eastAsia="Arial" w:hAnsi="Arial" w:cs="Arial"/>
          <w:color w:val="000000"/>
          <w:w w:val="70"/>
          <w:sz w:val="26"/>
          <w:szCs w:val="26"/>
        </w:rPr>
        <w:br/>
        <w:t>incluidas, véanse las recomendaciones respectivas en los resúmenes de enfermedades específicas, en la sección 3.</w:t>
      </w:r>
      <w:r>
        <w:rPr>
          <w:rFonts w:ascii="Arial" w:eastAsia="Arial" w:hAnsi="Arial" w:cs="Arial"/>
          <w:color w:val="000000"/>
          <w:w w:val="70"/>
          <w:sz w:val="26"/>
          <w:szCs w:val="26"/>
        </w:rPr>
        <w:br/>
        <w:t xml:space="preserve">Además, los </w:t>
      </w:r>
      <w:r>
        <w:rPr>
          <w:rFonts w:ascii="Arial" w:eastAsia="Arial" w:hAnsi="Arial" w:cs="Arial"/>
          <w:i/>
          <w:iCs/>
          <w:color w:val="000000"/>
          <w:w w:val="70"/>
          <w:sz w:val="24"/>
          <w:szCs w:val="24"/>
        </w:rPr>
        <w:t>Centers for Disease Control and Prevention</w:t>
      </w:r>
      <w:r>
        <w:rPr>
          <w:rFonts w:ascii="Arial" w:eastAsia="Arial" w:hAnsi="Arial" w:cs="Arial"/>
          <w:color w:val="000000"/>
          <w:w w:val="70"/>
          <w:sz w:val="26"/>
          <w:szCs w:val="26"/>
        </w:rPr>
        <w:t xml:space="preserve"> publicaron en 2002 las recomendaciones revisadas para el tratamiento</w:t>
      </w:r>
      <w:r>
        <w:rPr>
          <w:rFonts w:ascii="Arial" w:eastAsia="Arial" w:hAnsi="Arial" w:cs="Arial"/>
          <w:color w:val="000000"/>
          <w:w w:val="70"/>
          <w:sz w:val="26"/>
          <w:szCs w:val="26"/>
        </w:rPr>
        <w:br/>
        <w:t>de las enfermedades de transmisión sexual.</w:t>
      </w:r>
      <w:r>
        <w:rPr>
          <w:rFonts w:ascii="Arial" w:eastAsia="Arial" w:hAnsi="Arial" w:cs="Arial"/>
          <w:color w:val="000000"/>
          <w:w w:val="70"/>
          <w:sz w:val="26"/>
          <w:szCs w:val="26"/>
          <w:vertAlign w:val="superscript"/>
        </w:rPr>
        <w:t>1</w:t>
      </w:r>
    </w:p>
    <w:p w14:paraId="428988F2" w14:textId="77777777" w:rsidR="00924992" w:rsidRDefault="00924992">
      <w:pPr>
        <w:pStyle w:val="Bodytext20"/>
        <w:tabs>
          <w:tab w:val="left" w:pos="2486"/>
          <w:tab w:val="left" w:pos="5045"/>
          <w:tab w:val="left" w:pos="7617"/>
        </w:tabs>
        <w:spacing w:before="60" w:line="266" w:lineRule="auto"/>
        <w:rPr>
          <w:sz w:val="17"/>
          <w:szCs w:val="17"/>
        </w:rPr>
      </w:pPr>
      <w:r>
        <w:rPr>
          <w:b/>
          <w:bCs/>
          <w:color w:val="000000"/>
        </w:rPr>
        <w:t>Verrugas anogenitales</w:t>
      </w:r>
      <w:r>
        <w:rPr>
          <w:b/>
          <w:bCs/>
          <w:color w:val="000000"/>
        </w:rPr>
        <w:tab/>
      </w:r>
      <w:r>
        <w:rPr>
          <w:color w:val="000000"/>
        </w:rPr>
        <w:t>Virus de papiloma humano</w:t>
      </w:r>
      <w:r>
        <w:rPr>
          <w:color w:val="000000"/>
        </w:rPr>
        <w:tab/>
      </w:r>
      <w:r>
        <w:rPr>
          <w:i/>
          <w:iCs/>
          <w:color w:val="000000"/>
        </w:rPr>
        <w:t>Aplicación por el propio paciente:</w:t>
      </w:r>
      <w:r>
        <w:rPr>
          <w:i/>
          <w:iCs/>
          <w:color w:val="000000"/>
        </w:rPr>
        <w:tab/>
      </w:r>
      <w:r>
        <w:rPr>
          <w:b/>
          <w:bCs/>
          <w:i/>
          <w:iCs/>
          <w:color w:val="000000"/>
          <w:sz w:val="17"/>
          <w:szCs w:val="17"/>
        </w:rPr>
        <w:t>Niños que pesan menos de 45 kg:</w:t>
      </w:r>
    </w:p>
    <w:p w14:paraId="31577B6A" w14:textId="77777777" w:rsidR="00924992" w:rsidRDefault="00924992">
      <w:pPr>
        <w:pStyle w:val="Bodytext20"/>
        <w:tabs>
          <w:tab w:val="left" w:pos="7691"/>
        </w:tabs>
        <w:ind w:left="5120" w:firstLine="120"/>
      </w:pPr>
      <w:r>
        <w:rPr>
          <w:color w:val="000000"/>
        </w:rPr>
        <w:t>Podofilox 0.5% en solución o gel</w:t>
      </w:r>
      <w:r>
        <w:rPr>
          <w:color w:val="000000"/>
          <w:vertAlign w:val="superscript"/>
        </w:rPr>
        <w:footnoteReference w:id="33"/>
      </w:r>
      <w:r>
        <w:rPr>
          <w:color w:val="000000"/>
          <w:vertAlign w:val="superscript"/>
        </w:rPr>
        <w:t xml:space="preserve"> </w:t>
      </w:r>
      <w:r>
        <w:rPr>
          <w:color w:val="000000"/>
          <w:vertAlign w:val="superscript"/>
        </w:rPr>
        <w:footnoteReference w:id="34"/>
      </w:r>
      <w:r>
        <w:rPr>
          <w:color w:val="000000"/>
          <w:vertAlign w:val="superscript"/>
        </w:rPr>
        <w:t xml:space="preserve"> </w:t>
      </w:r>
      <w:r>
        <w:rPr>
          <w:color w:val="000000"/>
          <w:vertAlign w:val="superscript"/>
        </w:rPr>
        <w:footnoteReference w:id="35"/>
      </w:r>
      <w:r>
        <w:rPr>
          <w:color w:val="000000"/>
          <w:vertAlign w:val="superscript"/>
        </w:rPr>
        <w:t xml:space="preserve"> </w:t>
      </w:r>
      <w:r>
        <w:rPr>
          <w:color w:val="000000"/>
          <w:vertAlign w:val="superscript"/>
        </w:rPr>
        <w:footnoteReference w:id="36"/>
      </w:r>
      <w:r>
        <w:rPr>
          <w:color w:val="000000"/>
          <w:vertAlign w:val="superscript"/>
        </w:rPr>
        <w:t xml:space="preserve"> </w:t>
      </w:r>
      <w:r>
        <w:rPr>
          <w:color w:val="000000"/>
          <w:vertAlign w:val="superscript"/>
        </w:rPr>
        <w:footnoteReference w:id="37"/>
      </w:r>
      <w:r>
        <w:rPr>
          <w:color w:val="000000"/>
        </w:rPr>
        <w:tab/>
        <w:t>Igual que en el caso de los adolescentes</w:t>
      </w:r>
    </w:p>
    <w:p w14:paraId="042660A3" w14:textId="77777777" w:rsidR="00924992" w:rsidRDefault="00924992">
      <w:pPr>
        <w:pStyle w:val="Bodytext20"/>
        <w:ind w:left="5120" w:firstLine="120"/>
      </w:pPr>
      <w:r>
        <w:rPr>
          <w:b/>
          <w:bCs/>
          <w:color w:val="000000"/>
        </w:rPr>
        <w:t>O</w:t>
      </w:r>
    </w:p>
    <w:p w14:paraId="4F55F97F" w14:textId="77777777" w:rsidR="00924992" w:rsidRDefault="00924992">
      <w:pPr>
        <w:pStyle w:val="Bodytext20"/>
        <w:ind w:left="5120" w:firstLine="120"/>
      </w:pPr>
      <w:r>
        <w:rPr>
          <w:color w:val="000000"/>
        </w:rPr>
        <w:t xml:space="preserve">Imiquimod, crema al 5% </w:t>
      </w:r>
      <w:r>
        <w:rPr>
          <w:i/>
          <w:iCs/>
          <w:color w:val="000000"/>
        </w:rPr>
        <w:t>Aplicación por el médico:</w:t>
      </w:r>
    </w:p>
    <w:p w14:paraId="30516464" w14:textId="77777777" w:rsidR="00924992" w:rsidRDefault="00924992">
      <w:pPr>
        <w:pStyle w:val="Bodytext20"/>
        <w:ind w:left="5120" w:firstLine="120"/>
      </w:pPr>
      <w:r>
        <w:rPr>
          <w:color w:val="000000"/>
        </w:rPr>
        <w:t>Crioterapia</w:t>
      </w:r>
    </w:p>
    <w:p w14:paraId="3D850F58" w14:textId="77777777" w:rsidR="00924992" w:rsidRDefault="00924992">
      <w:pPr>
        <w:pStyle w:val="Bodytext20"/>
        <w:ind w:left="5120" w:firstLine="120"/>
      </w:pPr>
      <w:r>
        <w:rPr>
          <w:b/>
          <w:bCs/>
          <w:color w:val="000000"/>
        </w:rPr>
        <w:t>O</w:t>
      </w:r>
    </w:p>
    <w:p w14:paraId="34AA7398" w14:textId="77777777" w:rsidR="00924992" w:rsidRDefault="00924992">
      <w:pPr>
        <w:pStyle w:val="Bodytext20"/>
        <w:ind w:left="5120" w:firstLine="120"/>
      </w:pPr>
      <w:r>
        <w:rPr>
          <w:color w:val="000000"/>
        </w:rPr>
        <w:t>Resina de podofilina, 10 a 25%</w:t>
      </w:r>
      <w:r>
        <w:rPr>
          <w:color w:val="000000"/>
          <w:vertAlign w:val="superscript"/>
        </w:rPr>
        <w:t>4</w:t>
      </w:r>
    </w:p>
    <w:p w14:paraId="0A2152C8" w14:textId="77777777" w:rsidR="00924992" w:rsidRDefault="00924992">
      <w:pPr>
        <w:pStyle w:val="Bodytext20"/>
        <w:ind w:left="5120" w:firstLine="120"/>
      </w:pPr>
      <w:r>
        <w:rPr>
          <w:b/>
          <w:bCs/>
          <w:color w:val="000000"/>
        </w:rPr>
        <w:t>O</w:t>
      </w:r>
    </w:p>
    <w:p w14:paraId="3B717DDA" w14:textId="77777777" w:rsidR="00924992" w:rsidRDefault="00924992">
      <w:pPr>
        <w:pStyle w:val="Bodytext20"/>
        <w:ind w:left="5220"/>
      </w:pPr>
      <w:r>
        <w:rPr>
          <w:color w:val="000000"/>
        </w:rPr>
        <w:t>Ácido tricloroacético</w:t>
      </w:r>
    </w:p>
    <w:p w14:paraId="0BF5DAB5" w14:textId="77777777" w:rsidR="00924992" w:rsidRDefault="00924992">
      <w:pPr>
        <w:pStyle w:val="Bodytext20"/>
        <w:ind w:left="5220"/>
      </w:pPr>
      <w:r>
        <w:rPr>
          <w:b/>
          <w:bCs/>
          <w:color w:val="000000"/>
        </w:rPr>
        <w:t>O</w:t>
      </w:r>
    </w:p>
    <w:p w14:paraId="71D4024E" w14:textId="77777777" w:rsidR="00924992" w:rsidRDefault="00924992">
      <w:pPr>
        <w:pStyle w:val="Bodytext20"/>
        <w:ind w:left="5220"/>
      </w:pPr>
      <w:r>
        <w:rPr>
          <w:color w:val="000000"/>
        </w:rPr>
        <w:t>Ácido bicloroacético</w:t>
      </w:r>
    </w:p>
    <w:p w14:paraId="6D695F26" w14:textId="77777777" w:rsidR="00924992" w:rsidRDefault="00924992">
      <w:pPr>
        <w:pStyle w:val="Bodytext20"/>
        <w:ind w:left="5220"/>
      </w:pPr>
      <w:r>
        <w:rPr>
          <w:b/>
          <w:bCs/>
          <w:color w:val="000000"/>
        </w:rPr>
        <w:t>O</w:t>
      </w:r>
    </w:p>
    <w:p w14:paraId="7E741589" w14:textId="77777777" w:rsidR="00924992" w:rsidRDefault="00924992">
      <w:pPr>
        <w:pStyle w:val="Bodytext20"/>
        <w:ind w:left="5220"/>
      </w:pPr>
      <w:r>
        <w:rPr>
          <w:color w:val="000000"/>
        </w:rPr>
        <w:t>Extirpación quirúrgica</w:t>
      </w:r>
      <w:r>
        <w:br w:type="page"/>
      </w:r>
    </w:p>
    <w:p w14:paraId="466B15CA" w14:textId="77777777" w:rsidR="00924992" w:rsidRDefault="00924992">
      <w:pPr>
        <w:pStyle w:val="Heading31"/>
        <w:keepNext/>
        <w:keepLines/>
        <w:pBdr>
          <w:bottom w:val="single" w:sz="4" w:space="0" w:color="auto"/>
        </w:pBdr>
        <w:spacing w:after="320"/>
        <w:jc w:val="center"/>
      </w:pPr>
      <w:bookmarkStart w:id="373" w:name="bookmark1819"/>
      <w:bookmarkStart w:id="374" w:name="bookmark1820"/>
      <w:bookmarkStart w:id="375" w:name="bookmark1821"/>
      <w:r>
        <w:rPr>
          <w:b w:val="0"/>
          <w:bCs w:val="0"/>
          <w:color w:val="000000"/>
        </w:rPr>
        <w:t xml:space="preserve">Cuadro 4-4. </w:t>
      </w:r>
      <w:r>
        <w:rPr>
          <w:color w:val="000000"/>
        </w:rPr>
        <w:t>Regímenes recomendados contra la candidiasis vulvovaginal</w:t>
      </w:r>
      <w:bookmarkEnd w:id="373"/>
      <w:bookmarkEnd w:id="374"/>
      <w:bookmarkEnd w:id="375"/>
    </w:p>
    <w:p w14:paraId="152FCB50" w14:textId="77777777" w:rsidR="00924992" w:rsidRDefault="00924992">
      <w:pPr>
        <w:pStyle w:val="Bodytext20"/>
        <w:spacing w:line="240" w:lineRule="auto"/>
      </w:pPr>
      <w:r>
        <w:rPr>
          <w:b/>
          <w:bCs/>
          <w:color w:val="000000"/>
        </w:rPr>
        <w:t>Agentes intravaginales:</w:t>
      </w:r>
    </w:p>
    <w:p w14:paraId="6597893D" w14:textId="77777777" w:rsidR="00924992" w:rsidRDefault="00924992">
      <w:pPr>
        <w:pStyle w:val="Bodytext20"/>
        <w:spacing w:line="240" w:lineRule="auto"/>
      </w:pPr>
      <w:r>
        <w:rPr>
          <w:color w:val="000000"/>
        </w:rPr>
        <w:t>Butoconazol, crema al 2%, 5 g, por vía intravaginal durante 3 días</w:t>
      </w:r>
      <w:r>
        <w:rPr>
          <w:color w:val="000000"/>
          <w:vertAlign w:val="superscript"/>
        </w:rPr>
        <w:t>1,2</w:t>
      </w:r>
    </w:p>
    <w:p w14:paraId="0178C673" w14:textId="77777777" w:rsidR="00924992" w:rsidRDefault="00924992">
      <w:pPr>
        <w:pStyle w:val="Bodytext20"/>
        <w:spacing w:line="240" w:lineRule="auto"/>
      </w:pPr>
      <w:r>
        <w:rPr>
          <w:b/>
          <w:bCs/>
          <w:color w:val="000000"/>
        </w:rPr>
        <w:t>O</w:t>
      </w:r>
    </w:p>
    <w:p w14:paraId="1161E2BA" w14:textId="77777777" w:rsidR="00924992" w:rsidRDefault="00924992">
      <w:pPr>
        <w:pStyle w:val="Bodytext20"/>
        <w:spacing w:line="240" w:lineRule="auto"/>
      </w:pPr>
      <w:r>
        <w:rPr>
          <w:color w:val="000000"/>
        </w:rPr>
        <w:t>Butoconazol, crema al 2% (liberación sostenida), 5 g en una sola aplicación intravaginal</w:t>
      </w:r>
    </w:p>
    <w:p w14:paraId="7343AED8" w14:textId="77777777" w:rsidR="00924992" w:rsidRDefault="00924992">
      <w:pPr>
        <w:pStyle w:val="Bodytext20"/>
        <w:spacing w:line="240" w:lineRule="auto"/>
      </w:pPr>
      <w:r>
        <w:rPr>
          <w:b/>
          <w:bCs/>
          <w:color w:val="000000"/>
        </w:rPr>
        <w:t>O</w:t>
      </w:r>
    </w:p>
    <w:p w14:paraId="06977F6F" w14:textId="77777777" w:rsidR="00924992" w:rsidRDefault="00924992">
      <w:pPr>
        <w:pStyle w:val="Bodytext20"/>
        <w:spacing w:line="240" w:lineRule="auto"/>
      </w:pPr>
      <w:r>
        <w:rPr>
          <w:color w:val="000000"/>
        </w:rPr>
        <w:t>Clotrimazol, crema al 1%, 5 g, aplicación intravaginal durante 7-14 días</w:t>
      </w:r>
      <w:r>
        <w:rPr>
          <w:color w:val="000000"/>
          <w:vertAlign w:val="superscript"/>
        </w:rPr>
        <w:t>1,2</w:t>
      </w:r>
    </w:p>
    <w:p w14:paraId="7D0070DB" w14:textId="77777777" w:rsidR="00924992" w:rsidRDefault="00924992">
      <w:pPr>
        <w:pStyle w:val="Bodytext20"/>
        <w:spacing w:line="240" w:lineRule="auto"/>
      </w:pPr>
      <w:r>
        <w:rPr>
          <w:b/>
          <w:bCs/>
          <w:color w:val="000000"/>
        </w:rPr>
        <w:t>O</w:t>
      </w:r>
    </w:p>
    <w:p w14:paraId="14F66FDB" w14:textId="77777777" w:rsidR="00924992" w:rsidRDefault="00924992">
      <w:pPr>
        <w:pStyle w:val="Bodytext20"/>
        <w:spacing w:line="240" w:lineRule="auto"/>
      </w:pPr>
      <w:r>
        <w:rPr>
          <w:color w:val="000000"/>
        </w:rPr>
        <w:t>Clotrimazol, tableta vaginal de 100 mg durante 7 días</w:t>
      </w:r>
      <w:r>
        <w:rPr>
          <w:color w:val="000000"/>
          <w:vertAlign w:val="superscript"/>
        </w:rPr>
        <w:t>1</w:t>
      </w:r>
    </w:p>
    <w:p w14:paraId="4D2DE66C" w14:textId="77777777" w:rsidR="00924992" w:rsidRDefault="00924992">
      <w:pPr>
        <w:pStyle w:val="Bodytext20"/>
        <w:spacing w:line="240" w:lineRule="auto"/>
      </w:pPr>
      <w:r>
        <w:rPr>
          <w:b/>
          <w:bCs/>
          <w:color w:val="000000"/>
        </w:rPr>
        <w:t>O</w:t>
      </w:r>
    </w:p>
    <w:p w14:paraId="74ED8A1C" w14:textId="77777777" w:rsidR="00924992" w:rsidRDefault="00924992">
      <w:pPr>
        <w:pStyle w:val="Bodytext20"/>
        <w:spacing w:line="240" w:lineRule="auto"/>
      </w:pPr>
      <w:r>
        <w:rPr>
          <w:color w:val="000000"/>
        </w:rPr>
        <w:t>Clotrimazol, tableta vaginal de 100 mg, 2 tabletas durante 3 días</w:t>
      </w:r>
      <w:r>
        <w:rPr>
          <w:color w:val="000000"/>
          <w:vertAlign w:val="superscript"/>
        </w:rPr>
        <w:t>1</w:t>
      </w:r>
    </w:p>
    <w:p w14:paraId="57D83BF2" w14:textId="77777777" w:rsidR="00924992" w:rsidRDefault="00924992">
      <w:pPr>
        <w:pStyle w:val="Bodytext20"/>
        <w:spacing w:line="240" w:lineRule="auto"/>
      </w:pPr>
      <w:r>
        <w:rPr>
          <w:b/>
          <w:bCs/>
          <w:color w:val="000000"/>
        </w:rPr>
        <w:t>O</w:t>
      </w:r>
    </w:p>
    <w:p w14:paraId="1D80A2C9" w14:textId="77777777" w:rsidR="00924992" w:rsidRDefault="00924992">
      <w:pPr>
        <w:pStyle w:val="Bodytext20"/>
        <w:spacing w:line="240" w:lineRule="auto"/>
      </w:pPr>
      <w:r>
        <w:rPr>
          <w:color w:val="000000"/>
        </w:rPr>
        <w:t>Clotrimazol, tableta vaginal de 500 mg, una tableta en una sola aplicación</w:t>
      </w:r>
      <w:r>
        <w:rPr>
          <w:color w:val="000000"/>
          <w:vertAlign w:val="superscript"/>
        </w:rPr>
        <w:t>1</w:t>
      </w:r>
    </w:p>
    <w:p w14:paraId="6AF1B3C3" w14:textId="77777777" w:rsidR="00924992" w:rsidRDefault="00924992">
      <w:pPr>
        <w:pStyle w:val="Bodytext20"/>
        <w:spacing w:line="240" w:lineRule="auto"/>
      </w:pPr>
      <w:r>
        <w:rPr>
          <w:b/>
          <w:bCs/>
          <w:color w:val="000000"/>
        </w:rPr>
        <w:t>O</w:t>
      </w:r>
    </w:p>
    <w:p w14:paraId="558A2943" w14:textId="77777777" w:rsidR="00924992" w:rsidRDefault="00924992">
      <w:pPr>
        <w:pStyle w:val="Bodytext20"/>
        <w:spacing w:line="240" w:lineRule="auto"/>
      </w:pPr>
      <w:r>
        <w:rPr>
          <w:color w:val="000000"/>
        </w:rPr>
        <w:t>Miconazol, crema al 2%, 5 g en aplicación intravaginal durante 7 días</w:t>
      </w:r>
      <w:r>
        <w:rPr>
          <w:color w:val="000000"/>
          <w:vertAlign w:val="superscript"/>
        </w:rPr>
        <w:t>1,2</w:t>
      </w:r>
    </w:p>
    <w:p w14:paraId="305DDF0F" w14:textId="77777777" w:rsidR="00924992" w:rsidRDefault="00924992">
      <w:pPr>
        <w:pStyle w:val="Bodytext20"/>
        <w:spacing w:line="240" w:lineRule="auto"/>
      </w:pPr>
      <w:r>
        <w:rPr>
          <w:b/>
          <w:bCs/>
          <w:color w:val="000000"/>
        </w:rPr>
        <w:t>O</w:t>
      </w:r>
    </w:p>
    <w:p w14:paraId="1C43159F" w14:textId="77777777" w:rsidR="00924992" w:rsidRDefault="00924992">
      <w:pPr>
        <w:pStyle w:val="Bodytext20"/>
        <w:spacing w:line="240" w:lineRule="auto"/>
      </w:pPr>
      <w:r>
        <w:rPr>
          <w:color w:val="000000"/>
        </w:rPr>
        <w:t>Miconazol, óvulo vaginal de 200 mg, un óvulo durante 3 días</w:t>
      </w:r>
      <w:r>
        <w:rPr>
          <w:color w:val="000000"/>
          <w:vertAlign w:val="superscript"/>
        </w:rPr>
        <w:t>1,2</w:t>
      </w:r>
    </w:p>
    <w:p w14:paraId="54A14010" w14:textId="77777777" w:rsidR="00924992" w:rsidRDefault="00924992">
      <w:pPr>
        <w:pStyle w:val="Bodytext20"/>
        <w:spacing w:line="240" w:lineRule="auto"/>
      </w:pPr>
      <w:r>
        <w:rPr>
          <w:b/>
          <w:bCs/>
          <w:color w:val="000000"/>
        </w:rPr>
        <w:t>O</w:t>
      </w:r>
    </w:p>
    <w:p w14:paraId="492394B5" w14:textId="77777777" w:rsidR="00924992" w:rsidRDefault="00924992">
      <w:pPr>
        <w:pStyle w:val="Bodytext20"/>
        <w:spacing w:line="240" w:lineRule="auto"/>
      </w:pPr>
      <w:r>
        <w:rPr>
          <w:color w:val="000000"/>
        </w:rPr>
        <w:t>Miconazol, óvulo vaginal de 100 mg, un óvulo durante 7 días</w:t>
      </w:r>
      <w:r>
        <w:rPr>
          <w:color w:val="000000"/>
          <w:vertAlign w:val="superscript"/>
        </w:rPr>
        <w:t>1,2</w:t>
      </w:r>
    </w:p>
    <w:p w14:paraId="750CB6FF" w14:textId="77777777" w:rsidR="00924992" w:rsidRDefault="00924992">
      <w:pPr>
        <w:pStyle w:val="Bodytext20"/>
        <w:spacing w:line="240" w:lineRule="auto"/>
      </w:pPr>
      <w:r>
        <w:rPr>
          <w:b/>
          <w:bCs/>
          <w:color w:val="000000"/>
        </w:rPr>
        <w:t>O</w:t>
      </w:r>
    </w:p>
    <w:p w14:paraId="03D54D46" w14:textId="77777777" w:rsidR="00924992" w:rsidRDefault="00924992">
      <w:pPr>
        <w:pStyle w:val="Bodytext20"/>
        <w:spacing w:line="240" w:lineRule="auto"/>
      </w:pPr>
      <w:r>
        <w:rPr>
          <w:color w:val="000000"/>
        </w:rPr>
        <w:t>Nistatina, tableta vaginal de 100 000 U, una tableta durante 14 días</w:t>
      </w:r>
    </w:p>
    <w:p w14:paraId="29023AFE" w14:textId="77777777" w:rsidR="00924992" w:rsidRDefault="00924992">
      <w:pPr>
        <w:pStyle w:val="Bodytext20"/>
        <w:spacing w:line="240" w:lineRule="auto"/>
      </w:pPr>
      <w:r>
        <w:rPr>
          <w:b/>
          <w:bCs/>
          <w:color w:val="000000"/>
        </w:rPr>
        <w:t>O</w:t>
      </w:r>
    </w:p>
    <w:p w14:paraId="559DDD77" w14:textId="77777777" w:rsidR="00924992" w:rsidRDefault="00924992">
      <w:pPr>
        <w:pStyle w:val="Bodytext20"/>
        <w:spacing w:line="240" w:lineRule="auto"/>
      </w:pPr>
      <w:r>
        <w:rPr>
          <w:color w:val="000000"/>
        </w:rPr>
        <w:t>Tioconazol, pomada al 6.5%, 5 g, en una sola aplicación intravaginal</w:t>
      </w:r>
      <w:r>
        <w:rPr>
          <w:color w:val="000000"/>
          <w:vertAlign w:val="superscript"/>
        </w:rPr>
        <w:t>1,2</w:t>
      </w:r>
    </w:p>
    <w:p w14:paraId="24460B1A" w14:textId="77777777" w:rsidR="00924992" w:rsidRDefault="00924992">
      <w:pPr>
        <w:pStyle w:val="Bodytext20"/>
        <w:spacing w:line="240" w:lineRule="auto"/>
      </w:pPr>
      <w:r>
        <w:rPr>
          <w:b/>
          <w:bCs/>
          <w:color w:val="000000"/>
        </w:rPr>
        <w:t>O</w:t>
      </w:r>
    </w:p>
    <w:p w14:paraId="2E24BB5D" w14:textId="77777777" w:rsidR="00924992" w:rsidRDefault="00924992">
      <w:pPr>
        <w:pStyle w:val="Bodytext20"/>
        <w:spacing w:line="240" w:lineRule="auto"/>
      </w:pPr>
      <w:r>
        <w:rPr>
          <w:color w:val="000000"/>
        </w:rPr>
        <w:t>Terconazol, crema al 0.4%, 5 g por vía intravaginal durante 7 días</w:t>
      </w:r>
      <w:r>
        <w:rPr>
          <w:color w:val="000000"/>
          <w:vertAlign w:val="superscript"/>
        </w:rPr>
        <w:t>1</w:t>
      </w:r>
    </w:p>
    <w:p w14:paraId="5234AD3C" w14:textId="77777777" w:rsidR="00924992" w:rsidRDefault="00924992">
      <w:pPr>
        <w:pStyle w:val="Bodytext20"/>
        <w:spacing w:line="240" w:lineRule="auto"/>
      </w:pPr>
      <w:r>
        <w:rPr>
          <w:b/>
          <w:bCs/>
          <w:color w:val="000000"/>
        </w:rPr>
        <w:t>O</w:t>
      </w:r>
    </w:p>
    <w:p w14:paraId="49E6B774" w14:textId="77777777" w:rsidR="00924992" w:rsidRDefault="00924992">
      <w:pPr>
        <w:pStyle w:val="Bodytext20"/>
        <w:spacing w:line="240" w:lineRule="auto"/>
      </w:pPr>
      <w:r>
        <w:rPr>
          <w:color w:val="000000"/>
        </w:rPr>
        <w:t>Terconazol, crema al 0.8%, 5 g por vía intravaginal durante 3 días</w:t>
      </w:r>
      <w:r>
        <w:rPr>
          <w:color w:val="000000"/>
          <w:vertAlign w:val="superscript"/>
        </w:rPr>
        <w:t>1</w:t>
      </w:r>
    </w:p>
    <w:p w14:paraId="3318C31F" w14:textId="77777777" w:rsidR="00924992" w:rsidRDefault="00924992">
      <w:pPr>
        <w:pStyle w:val="Bodytext20"/>
        <w:spacing w:line="240" w:lineRule="auto"/>
      </w:pPr>
      <w:r>
        <w:rPr>
          <w:b/>
          <w:bCs/>
          <w:color w:val="000000"/>
        </w:rPr>
        <w:t>O</w:t>
      </w:r>
    </w:p>
    <w:p w14:paraId="580237E7" w14:textId="77777777" w:rsidR="00924992" w:rsidRDefault="00924992">
      <w:pPr>
        <w:pStyle w:val="Bodytext20"/>
        <w:spacing w:line="240" w:lineRule="auto"/>
      </w:pPr>
      <w:r>
        <w:rPr>
          <w:color w:val="000000"/>
        </w:rPr>
        <w:t>Terconazol, óvulo vaginal, 80 mg, un óvulo durante 3 días</w:t>
      </w:r>
      <w:r>
        <w:rPr>
          <w:color w:val="000000"/>
          <w:vertAlign w:val="superscript"/>
        </w:rPr>
        <w:t>1</w:t>
      </w:r>
    </w:p>
    <w:p w14:paraId="6827893C" w14:textId="77777777" w:rsidR="00924992" w:rsidRDefault="00924992">
      <w:pPr>
        <w:pStyle w:val="Bodytext20"/>
        <w:spacing w:line="240" w:lineRule="auto"/>
      </w:pPr>
      <w:r>
        <w:rPr>
          <w:b/>
          <w:bCs/>
          <w:color w:val="000000"/>
        </w:rPr>
        <w:t>Agentes ingeribles:</w:t>
      </w:r>
    </w:p>
    <w:p w14:paraId="4FC8A75A" w14:textId="77777777" w:rsidR="00924992" w:rsidRDefault="00924992">
      <w:pPr>
        <w:pStyle w:val="Bodytext20"/>
        <w:pBdr>
          <w:bottom w:val="single" w:sz="4" w:space="0" w:color="auto"/>
        </w:pBdr>
        <w:spacing w:line="240" w:lineRule="auto"/>
        <w:jc w:val="both"/>
        <w:sectPr w:rsidR="00924992" w:rsidSect="00924992">
          <w:headerReference w:type="even" r:id="rId264"/>
          <w:headerReference w:type="default" r:id="rId265"/>
          <w:footerReference w:type="even" r:id="rId266"/>
          <w:footerReference w:type="default" r:id="rId267"/>
          <w:pgSz w:w="13022" w:h="8501" w:orient="landscape"/>
          <w:pgMar w:top="677" w:right="1072" w:bottom="434" w:left="650" w:header="249" w:footer="6" w:gutter="0"/>
          <w:cols w:space="720"/>
          <w:noEndnote/>
          <w:docGrid w:linePitch="360"/>
          <w15:footnoteColumns w:val="1"/>
        </w:sectPr>
      </w:pPr>
      <w:r>
        <w:rPr>
          <w:noProof/>
        </w:rPr>
        <mc:AlternateContent>
          <mc:Choice Requires="wps">
            <w:drawing>
              <wp:anchor distT="0" distB="0" distL="114300" distR="114300" simplePos="0" relativeHeight="251683840" behindDoc="0" locked="0" layoutInCell="1" allowOverlap="1" wp14:anchorId="05F514D0" wp14:editId="262C2883">
                <wp:simplePos x="0" y="0"/>
                <wp:positionH relativeFrom="page">
                  <wp:posOffset>7856220</wp:posOffset>
                </wp:positionH>
                <wp:positionV relativeFrom="margin">
                  <wp:posOffset>1380490</wp:posOffset>
                </wp:positionV>
                <wp:extent cx="121920" cy="3139440"/>
                <wp:effectExtent l="0" t="0" r="0" b="0"/>
                <wp:wrapSquare wrapText="bothSides"/>
                <wp:docPr id="2273" name="Shape 2273"/>
                <wp:cNvGraphicFramePr/>
                <a:graphic xmlns:a="http://schemas.openxmlformats.org/drawingml/2006/main">
                  <a:graphicData uri="http://schemas.microsoft.com/office/word/2010/wordprocessingShape">
                    <wps:wsp>
                      <wps:cNvSpPr txBox="1"/>
                      <wps:spPr>
                        <a:xfrm>
                          <a:off x="0" y="0"/>
                          <a:ext cx="121920" cy="3139440"/>
                        </a:xfrm>
                        <a:prstGeom prst="rect">
                          <a:avLst/>
                        </a:prstGeom>
                        <a:noFill/>
                      </wps:spPr>
                      <wps:txbx>
                        <w:txbxContent>
                          <w:p w14:paraId="1CFC8E29" w14:textId="77777777" w:rsidR="00924992" w:rsidRDefault="00924992">
                            <w:pPr>
                              <w:pStyle w:val="Bodytext80"/>
                              <w:tabs>
                                <w:tab w:val="left" w:pos="4627"/>
                              </w:tabs>
                              <w:rPr>
                                <w:sz w:val="16"/>
                                <w:szCs w:val="16"/>
                              </w:rPr>
                            </w:pPr>
                            <w:r>
                              <w:t>ENFERMEDADES DE TRANSMISIÓN SEXUAL</w:t>
                            </w:r>
                            <w:r>
                              <w:tab/>
                            </w:r>
                            <w:r>
                              <w:rPr>
                                <w:sz w:val="16"/>
                                <w:szCs w:val="16"/>
                              </w:rPr>
                              <w:t>755</w:t>
                            </w:r>
                          </w:p>
                        </w:txbxContent>
                      </wps:txbx>
                      <wps:bodyPr vert="vert" lIns="0" tIns="0" rIns="0" bIns="0" upright="1"/>
                    </wps:wsp>
                  </a:graphicData>
                </a:graphic>
              </wp:anchor>
            </w:drawing>
          </mc:Choice>
          <mc:Fallback>
            <w:pict>
              <v:shape w14:anchorId="05F514D0" id="Shape 2273" o:spid="_x0000_s1051" type="#_x0000_t202" style="position:absolute;left:0;text-align:left;margin-left:618.6pt;margin-top:108.7pt;width:9.6pt;height:247.2pt;z-index:251683840;visibility:visible;mso-wrap-style:square;mso-wrap-distance-left:9pt;mso-wrap-distance-top:0;mso-wrap-distance-right:9pt;mso-wrap-distance-bottom:0;mso-position-horizontal:absolute;mso-position-horizontal-relative:page;mso-position-vertical:absolute;mso-position-vertical-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" filled="f" stroked="f">
                <v:textbox style="layout-flow:vertical" inset="0,0,0,0">
                  <w:txbxContent>
                    <w:p w14:paraId="1CFC8E29" w14:textId="77777777" w:rsidR="00924992" w:rsidRDefault="00924992">
                      <w:pPr>
                        <w:pStyle w:val="Bodytext80"/>
                        <w:tabs>
                          <w:tab w:val="left" w:pos="4627"/>
                        </w:tabs>
                        <w:rPr>
                          <w:sz w:val="16"/>
                          <w:szCs w:val="16"/>
                        </w:rPr>
                      </w:pPr>
                      <w:r>
                        <w:t>ENFERMEDADES DE TRANSMISIÓN SEXUAL</w:t>
                      </w:r>
                      <w:r>
                        <w:tab/>
                      </w:r>
                      <w:r>
                        <w:rPr>
                          <w:sz w:val="16"/>
                          <w:szCs w:val="16"/>
                        </w:rPr>
                        <w:t>755</w:t>
                      </w:r>
                    </w:p>
                  </w:txbxContent>
                </v:textbox>
                <w10:wrap type="square" anchorx="page" anchory="margin"/>
              </v:shape>
            </w:pict>
          </mc:Fallback>
        </mc:AlternateContent>
      </w:r>
      <w:r>
        <w:rPr>
          <w:color w:val="000000"/>
        </w:rPr>
        <w:t xml:space="preserve">Fluconazol, tableta ingerible de 150 mg, una tableta en una sola dosis </w:t>
      </w:r>
      <w:r>
        <w:rPr>
          <w:color w:val="000000"/>
          <w:vertAlign w:val="superscript"/>
        </w:rPr>
        <w:footnoteReference w:id="38"/>
      </w:r>
      <w:r>
        <w:rPr>
          <w:color w:val="000000"/>
          <w:vertAlign w:val="superscript"/>
        </w:rPr>
        <w:t xml:space="preserve"> </w:t>
      </w:r>
      <w:r>
        <w:rPr>
          <w:color w:val="000000"/>
          <w:vertAlign w:val="superscript"/>
        </w:rPr>
        <w:footnoteReference w:id="39"/>
      </w:r>
    </w:p>
    <w:p w14:paraId="5FC8F864" w14:textId="77777777" w:rsidR="00924992" w:rsidRDefault="00924992">
      <w:pPr>
        <w:pStyle w:val="Bodytext100"/>
        <w:spacing w:before="100" w:after="0" w:line="334" w:lineRule="auto"/>
      </w:pPr>
      <w:r>
        <w:rPr>
          <w:color w:val="000000"/>
          <w:sz w:val="34"/>
          <w:szCs w:val="34"/>
          <w:shd w:val="clear" w:color="auto" w:fill="FFFFFF"/>
        </w:rPr>
        <w:t>A</w:t>
      </w:r>
      <w:r>
        <w:rPr>
          <w:color w:val="000000"/>
          <w:shd w:val="clear" w:color="auto" w:fill="FFFFFF"/>
        </w:rPr>
        <w:t>ntimicóticos contra infecciones</w:t>
      </w:r>
    </w:p>
    <w:p w14:paraId="3BEE0638" w14:textId="77777777" w:rsidR="00924992" w:rsidRDefault="00924992">
      <w:pPr>
        <w:pStyle w:val="Other0"/>
        <w:spacing w:line="334" w:lineRule="auto"/>
        <w:ind w:firstLine="0"/>
        <w:jc w:val="center"/>
        <w:rPr>
          <w:sz w:val="26"/>
          <w:szCs w:val="26"/>
        </w:rPr>
      </w:pPr>
      <w:r>
        <w:rPr>
          <w:rFonts w:ascii="Times New Roman" w:eastAsia="Times New Roman" w:hAnsi="Times New Roman" w:cs="Times New Roman"/>
          <w:color w:val="000000"/>
          <w:sz w:val="26"/>
          <w:szCs w:val="26"/>
        </w:rPr>
        <w:t>SISTÉMICAS POR HONGOS</w:t>
      </w:r>
    </w:p>
    <w:p w14:paraId="35716FC8" w14:textId="77777777" w:rsidR="00924992" w:rsidRDefault="00924992">
      <w:pPr>
        <w:pStyle w:val="Bodytext70"/>
        <w:spacing w:after="120" w:line="314" w:lineRule="auto"/>
      </w:pPr>
      <w:r>
        <w:rPr>
          <w:color w:val="000000"/>
        </w:rPr>
        <w:t>Polienos</w:t>
      </w:r>
    </w:p>
    <w:p w14:paraId="5BDA1289" w14:textId="77777777" w:rsidR="00924992" w:rsidRDefault="00924992">
      <w:pPr>
        <w:pStyle w:val="BodyText"/>
        <w:ind w:firstLine="0"/>
      </w:pPr>
      <w:r>
        <w:rPr>
          <w:color w:val="000000"/>
        </w:rPr>
        <w:t xml:space="preserve">El desoxicolato de anfotericina B (anfotericina B corriente) es el fármaco más indicado contra casi todas las micosis diseminadas que pueden ser letales. La anfotericina B tiene propiedades fungicidas contra muy diversas especies de hongos, sin incluir las de </w:t>
      </w:r>
      <w:r>
        <w:rPr>
          <w:rFonts w:ascii="Times New Roman" w:eastAsia="Times New Roman" w:hAnsi="Times New Roman" w:cs="Times New Roman"/>
          <w:i/>
          <w:iCs/>
          <w:color w:val="000000"/>
          <w:sz w:val="16"/>
          <w:szCs w:val="16"/>
        </w:rPr>
        <w:t xml:space="preserve">Fusarium </w:t>
      </w:r>
      <w:r>
        <w:rPr>
          <w:color w:val="000000"/>
        </w:rPr>
        <w:t xml:space="preserve">y </w:t>
      </w:r>
      <w:r>
        <w:rPr>
          <w:rFonts w:ascii="Times New Roman" w:eastAsia="Times New Roman" w:hAnsi="Times New Roman" w:cs="Times New Roman"/>
          <w:i/>
          <w:iCs/>
          <w:color w:val="000000"/>
          <w:sz w:val="16"/>
          <w:szCs w:val="16"/>
        </w:rPr>
        <w:t>Pseudallescheria boydii</w:t>
      </w:r>
      <w:r>
        <w:rPr>
          <w:i/>
          <w:iCs/>
          <w:color w:val="000000"/>
        </w:rPr>
        <w:t>.</w:t>
      </w:r>
      <w:r>
        <w:rPr>
          <w:color w:val="000000"/>
        </w:rPr>
        <w:t xml:space="preserve"> El fármaco mencionado puede ocasionar reacciones adversas, en particular efectos tóxicos en riñones, que limitan su empleo en algunos pacientes. También se expenden en el comercio presentaciones lípidas de la anfotericina B.</w:t>
      </w:r>
    </w:p>
    <w:p w14:paraId="58060B87" w14:textId="77777777" w:rsidR="00924992" w:rsidRDefault="00924992">
      <w:pPr>
        <w:pStyle w:val="BodyText"/>
        <w:ind w:firstLine="360"/>
      </w:pPr>
      <w:r>
        <w:rPr>
          <w:color w:val="000000"/>
        </w:rPr>
        <w:t>La anfotericina B se aplica por vía endovenosa en una sola dosis diaria de 0.5 a 1.5 mg/kg (dosis máxima, 1.5 mg/kg de peso al día). El fármaco se diluye en solución glucosada al 5% en concentraciones de 0.1 mg/ml y se introduce por medio de un catéter en venas central o periférica (véase cuadro 4-5). En épocas pasadas se recomendaba la venoclisis en goteo durante 4 a 8 h para evitar efectos tóxicos. En fecha más reciente se ha demostrado que los lapsos de goteo de 1 a 2 h son bien tolerados en adultos y niños de mayor edad y en teoría incrementarían el gradiente sangre-tejidos, lo que mejoraría la llegada del fármaco a las células. Después de completar una semana de tratamiento diario, por lo común se conservan las concentraciones séricas adecuadas del medicamento si se duplica la dosis diaria (dosis máxima, 1.5 mg/kg) en días alternos (cada 48 h). La duración del tratamiento depende del tipo y la extensión de la mucosis específica.</w:t>
      </w:r>
    </w:p>
    <w:p w14:paraId="7AF51A3F" w14:textId="77777777" w:rsidR="00924992" w:rsidRDefault="00924992">
      <w:pPr>
        <w:pStyle w:val="BodyText"/>
        <w:ind w:firstLine="360"/>
      </w:pPr>
      <w:r>
        <w:rPr>
          <w:color w:val="000000"/>
        </w:rPr>
        <w:t>La anfotericina B es eliminada por los riñones durante semanas después de haber interrumpido la terapia. No se necesita ajuste de dosis en neonatos o en niños con deficiencias de la función renal porque en ellos no aumenta significativamente las concentraciones séricas del fármaco. La hemodiálisis o la diálisis peritoneal no disminuyen de manera considerable las concentraciones séricas del medicamento.</w:t>
      </w:r>
    </w:p>
    <w:p w14:paraId="27FCEBC8" w14:textId="77777777" w:rsidR="00924992" w:rsidRDefault="00924992">
      <w:pPr>
        <w:pStyle w:val="BodyText"/>
        <w:ind w:firstLine="360"/>
      </w:pPr>
      <w:r>
        <w:rPr>
          <w:color w:val="000000"/>
        </w:rPr>
        <w:t>Entre las reacciones a la anfotericina B en goteo endovenoso están fiebre, escalofríos y a veces náuseas, vómitos, cefalea, malestar general, hipotensión y arritmias. El cuadro de reacciones casi siempre se inicia 1 a 3 h después de comenzar el goteo y dura en forma típica menos de una hora. La hipotensión y las arritmias son reacciones idiosincrásicas que pocas veces surgen si no se observan después de la dosis inicial, aunque también pueden ocurrir si el goteo es rápido. Se han utilizado regímenes múltiples en intentos de evitar las reacciones por el goteo endovenoso, pero se han estudiado pocos de ellos en forma comparativa en seres humanos. El tratamiento previo, acetaminofén, solo o en combinación con difenhidramina, puede aplacar las reacciones febriles, si bien las reacciones al parecer son menos frecuentes en niños que en adultos. También se puede agregar 25 a 50 mg de hidrocortisona en adultos y en niños de mayor edad a la solución de venoclisis para disminuir la reacción febril y otras de tipo sistémico. con el paso del tiempo surge tolerancia a las reacciones febriles, lo que permite disminuir poco a poco, y al final interrumpir, el uso de la hidrocortisona y a menudo el de la difenhidramina y los antipiréticos.</w:t>
      </w:r>
    </w:p>
    <w:p w14:paraId="2CEE2C1A" w14:textId="77777777" w:rsidR="00924992" w:rsidRDefault="00924992">
      <w:pPr>
        <w:pStyle w:val="BodyText"/>
        <w:ind w:firstLine="360"/>
      </w:pPr>
      <w:r>
        <w:rPr>
          <w:color w:val="000000"/>
        </w:rPr>
        <w:t>El clorhidrato de meperidina y el ibuprofén han sido eficaces para evitar o combatir la fiebre y los escalofríos en algunos niños refractarios al régimen habitual de premedicación. Los efectos tóxicos de la anfotericina B pueden incluir nefrotoxicidad, hepatotoxicidad, tromboflebitis, anemia o neurotoxicidad. La primera es causada por la disminución de la corriente sanguínea en los riñones y se puede prevenir o aplacar por medio de hidratación, una carga de solución salina (solución salina al 0.9% en un lapso de 30 min) antes de la administración por goteo endovenoso de anfotericina B, y debe evitarse el uso de diuréticos. La hipocaliemia es frecuente y puede ser exacerbada por la carga de sodio. A veces surge acidosis tubular renal pero por lo común es benigna. La nefrotoxicidad permanente depende de la dosis acumulativa; puede agravarse por la administración concomitante de anfotericina B y aminoglucósidos, ciclosporina, tacrolimo, cisplatino, compuestos de mostaza de nitrógeno y acetazolamida. La anemia es consecuencia de la inhibición de la producción de eritropoyetina. Rara vez surgen efectos tóxicos en el sistema nervioso, y se manifiestan en la forma de confusión, delirio, obnubilación o hiporreflexia, comportamiento sicótico, convulsiones, visión borrosa o pérdida de la audición.</w:t>
      </w:r>
    </w:p>
    <w:p w14:paraId="481EB01F" w14:textId="77777777" w:rsidR="00924992" w:rsidRDefault="00924992">
      <w:pPr>
        <w:pStyle w:val="BodyText"/>
        <w:spacing w:after="100"/>
        <w:ind w:firstLine="360"/>
      </w:pPr>
      <w:r>
        <w:rPr>
          <w:color w:val="000000"/>
        </w:rPr>
        <w:t xml:space="preserve">Las presentaciones lípidas de anfotericina B son útiles en algunos niños que no toleran el fármaco o que son refractarios a él (véase cuadro 4-5). En adultos no se ha demostrado que las presentaciones en cuestión sean más eficaces que la presentación regular del medicamento. El complejo de lípido de anfotericina B (Abelcet [The Liposome Co, Princeton, NJ]) ha sido aprobado por la </w:t>
      </w:r>
      <w:r>
        <w:rPr>
          <w:rFonts w:ascii="Times New Roman" w:eastAsia="Times New Roman" w:hAnsi="Times New Roman" w:cs="Times New Roman"/>
          <w:i/>
          <w:iCs/>
          <w:color w:val="000000"/>
          <w:sz w:val="16"/>
          <w:szCs w:val="16"/>
        </w:rPr>
        <w:t>Food and Drug Administration</w:t>
      </w:r>
      <w:r>
        <w:rPr>
          <w:color w:val="000000"/>
        </w:rPr>
        <w:t xml:space="preserve"> para tratar micosis invasoras en niños y adultos refractarios a la terapia con la anfotericina B corriente o que no la toleran, definidas por: 1) disfunción renal con una concentración de creatinina sérica de 1.5 mg/100 ml o mayor que surge durante el tratamiento, o 2) evolución de la enfermedad después de una dosis total de anfotericina B de 10 mg/kg de peso como mínimo. El complejo de sulfato de colesterilo de anfotericina B (Amphotec [fabricado por Ben Venue Laboratories, Bedford, OH; distribuida por Intermune Inc, Brisbane, CA]) es un complejo coloide aprobado por la </w:t>
      </w:r>
      <w:r>
        <w:rPr>
          <w:rFonts w:ascii="Times New Roman" w:eastAsia="Times New Roman" w:hAnsi="Times New Roman" w:cs="Times New Roman"/>
          <w:i/>
          <w:iCs/>
          <w:color w:val="000000"/>
          <w:sz w:val="16"/>
          <w:szCs w:val="16"/>
        </w:rPr>
        <w:t>Food and Drug Administration</w:t>
      </w:r>
      <w:r>
        <w:rPr>
          <w:color w:val="000000"/>
        </w:rPr>
        <w:t xml:space="preserve"> para tratar aspergilosis invasora en adultos que no toleran o no mejoran con el desoxicolato de anfotericina B. La presentación de anfotericina B en liposomas (AmBisome [fabricado por Gilead Sciences Inc, San Dimas, CA para Fujisawa Healthcare Inc, Deerfield, IL]) se ha aprobado para utilizar en adultos que no toleran la terapia con anfotericina B habitual o que no mejoran con ella, contra aspergilosis, candidiasis, criptococosis o neutropenia febril. En las dosis recomendadas estas presentaciones lípidas cuestan 10 a 65 veces más por día, que el desoxicolato de anfotericina B. Están en fase de evaluación las presentaciones mencionadas para tratar otras micosis y para su administración en niños.</w:t>
      </w:r>
    </w:p>
    <w:p w14:paraId="5C576476" w14:textId="77777777" w:rsidR="00924992" w:rsidRDefault="00924992">
      <w:pPr>
        <w:pStyle w:val="Bodytext70"/>
      </w:pPr>
      <w:r>
        <w:rPr>
          <w:color w:val="000000"/>
        </w:rPr>
        <w:t>Pirimidinas</w:t>
      </w:r>
    </w:p>
    <w:p w14:paraId="1FB5DC7C" w14:textId="77777777" w:rsidR="00924992" w:rsidRDefault="00924992">
      <w:pPr>
        <w:pStyle w:val="BodyText"/>
        <w:spacing w:after="100"/>
        <w:ind w:firstLine="0"/>
      </w:pPr>
      <w:r>
        <w:rPr>
          <w:color w:val="000000"/>
        </w:rPr>
        <w:t xml:space="preserve">Entre los antimicóticos pirimidínicos se ha aprobado en Estados Unidos únicamente la flucitosina (5-fluorocitosina) para usar en niños. El fármaco en cuestión tiene un espectro de actividad limitado contra hongos y la posibilidad de causar efectos tóxicos (cuadro 4-5); si se usa como agente único, suele surgir resistencia a él. La flucitosina se administra en combinación con la anfotericina B contra la meningitis criptococócica e infecciones por </w:t>
      </w:r>
      <w:r>
        <w:rPr>
          <w:rFonts w:ascii="Times New Roman" w:eastAsia="Times New Roman" w:hAnsi="Times New Roman" w:cs="Times New Roman"/>
          <w:i/>
          <w:iCs/>
          <w:color w:val="000000"/>
          <w:sz w:val="16"/>
          <w:szCs w:val="16"/>
        </w:rPr>
        <w:t>Candida</w:t>
      </w:r>
      <w:r>
        <w:rPr>
          <w:color w:val="000000"/>
        </w:rPr>
        <w:t xml:space="preserve"> que pueden ser letales, como la meningitis.</w:t>
      </w:r>
    </w:p>
    <w:p w14:paraId="1ED83DD1" w14:textId="77777777" w:rsidR="00924992" w:rsidRDefault="00924992">
      <w:pPr>
        <w:pStyle w:val="Bodytext70"/>
      </w:pPr>
      <w:r>
        <w:rPr>
          <w:color w:val="000000"/>
        </w:rPr>
        <w:t>Azoles</w:t>
      </w:r>
    </w:p>
    <w:p w14:paraId="68C83A50" w14:textId="77777777" w:rsidR="00924992" w:rsidRDefault="00924992">
      <w:pPr>
        <w:pStyle w:val="BodyText"/>
        <w:ind w:firstLine="0"/>
      </w:pPr>
      <w:r>
        <w:rPr>
          <w:color w:val="000000"/>
        </w:rPr>
        <w:t>Cuatro azoles ingeribles, que incluyen ketoconazol y, en particular, fluconazol, itraconazol y voriconazol, tienen un espectro relativamente amplio de actividad contra hongos comunes y podrían ser usados en vez de la anfotericina B en algunos pacientes hepatotoxicidad, tromboflebitis, anemia o neurotoxicidad. La primera es causada por la disminución de la corriente sanguínea en los riñones y se puede prevenir o aplacar por medio de hidratación, una carga de solución salina (solución salina al 0.9% en un lapso de 30 min) antes de la administración por goteo endovenoso de anfotericina B, y debe evitarse el uso de diuréticos. La hipocaliemia es frecuente y puede ser exacerbada por la carga de sodio. A veces surge acidosis tubular renal pero por lo común es benigna. La nefrotoxicidad permanente depende de la dosis acumulativa; puede agravarse por la administración concomitante de anfotericina B y aminoglucósidos, ciclosporina, tacrolimo, cisplatino, compuestos de mostaza de nitrógeno y acetazolamida. La anemia es consecuencia de la inhibición de la producción de eritropoyetina. Rara vez surgen efectos tóxicos en el sistema nervioso, y se manifiestan en la forma de confusión, delirio, obnubilación o hiporreflexia, comportamiento sicótico, convulsiones, visión borrosa o pérdida de la audición.</w:t>
      </w:r>
    </w:p>
    <w:p w14:paraId="64720286" w14:textId="77777777" w:rsidR="00924992" w:rsidRDefault="00924992">
      <w:pPr>
        <w:pStyle w:val="BodyText"/>
        <w:spacing w:after="100"/>
        <w:ind w:firstLine="360"/>
      </w:pPr>
      <w:r>
        <w:rPr>
          <w:color w:val="000000"/>
        </w:rPr>
        <w:t xml:space="preserve">Las presentaciones lípidas de anfotericina B son útiles en algunos niños que no toleran el fármaco o que son refractarios a él (véase cuadro 4-5). En adultos no se ha demostrado que las presentaciones en cuestión sean más eficaces que la presentación regular del medicamento. El complejo de lípido de anfotericina B (Abelcet [The Liposome Co, Princeton, NJ]) ha sido aprobado por la </w:t>
      </w:r>
      <w:r>
        <w:rPr>
          <w:rFonts w:ascii="Times New Roman" w:eastAsia="Times New Roman" w:hAnsi="Times New Roman" w:cs="Times New Roman"/>
          <w:i/>
          <w:iCs/>
          <w:color w:val="000000"/>
          <w:sz w:val="16"/>
          <w:szCs w:val="16"/>
        </w:rPr>
        <w:t>Food and Drug Administration</w:t>
      </w:r>
      <w:r>
        <w:rPr>
          <w:color w:val="000000"/>
        </w:rPr>
        <w:t xml:space="preserve"> para tratar micosis invasoras en niños y adultos refractarios a la terapia con la anfotericina B corriente o que no la toleran, definidas por: 1) disfunción renal con una concentración de creatinina sérica de 1.5 mg/100 ml o mayor que surge durante el tratamiento, o 2) evolución de la enfermedad después de una dosis total de anfotericina B de 10 mg/kg de peso como mínimo. El complejo de sulfato de colesterilo de anfotericina B (Amphotec [fabricado por Ben Venue Laboratories, Bedford, OH; distribuida por Intermune Inc, Brisbane, CA]) es un complejo coloide aprobado por la </w:t>
      </w:r>
      <w:r>
        <w:rPr>
          <w:rFonts w:ascii="Times New Roman" w:eastAsia="Times New Roman" w:hAnsi="Times New Roman" w:cs="Times New Roman"/>
          <w:i/>
          <w:iCs/>
          <w:color w:val="000000"/>
          <w:sz w:val="16"/>
          <w:szCs w:val="16"/>
        </w:rPr>
        <w:t>Food and Drug Administration</w:t>
      </w:r>
      <w:r>
        <w:rPr>
          <w:color w:val="000000"/>
        </w:rPr>
        <w:t xml:space="preserve"> para tratar aspergilosis invasora en adultos que no toleran o no mejoran con el desoxicolato de anfotericina B. La presentación de anfotericina B en liposomas (AmBisome [fabricado por Gilead Sciences Inc, San Dimas, CA para Fujisawa Healthcare Inc, Deerfield, IL]) se ha aprobado para utilizar en adultos que no toleran la terapia con anfotericina B habitual o que no mejoran con ella, contra aspergilosis, candidiasis, criptococosis o neutropenia febril. En las dosis recomendadas estas presentaciones lípidas cuestan 10 a 65 veces más por día, que el desoxicolato de anfotericina B. Están en fase de evaluación las presentaciones mencionadas para tratar otras micosis y para su administración en niños.</w:t>
      </w:r>
    </w:p>
    <w:p w14:paraId="04D7CB5D" w14:textId="77777777" w:rsidR="00924992" w:rsidRDefault="00924992">
      <w:pPr>
        <w:pStyle w:val="Bodytext70"/>
      </w:pPr>
      <w:r>
        <w:rPr>
          <w:color w:val="000000"/>
        </w:rPr>
        <w:t>Pirimidinas</w:t>
      </w:r>
    </w:p>
    <w:p w14:paraId="65A16BDA" w14:textId="77777777" w:rsidR="00924992" w:rsidRDefault="00924992">
      <w:pPr>
        <w:pStyle w:val="BodyText"/>
        <w:spacing w:after="100"/>
        <w:ind w:firstLine="0"/>
      </w:pPr>
      <w:r>
        <w:rPr>
          <w:color w:val="000000"/>
        </w:rPr>
        <w:t xml:space="preserve">Entre los antimicóticos pirimidínicos se ha aprobado en Estados Unidos únicamente la flucitosina (5-fluorocitosina) para usar en niños. El fármaco en cuestión tiene un espectro de actividad limitado contra hongos y la posibilidad de causar efectos tóxicos (cuadro 4-5); si se usa como agente único, suele surgir resistencia a él. La flucitosina se administra en combinación con la anfotericina B contra la meningitis criptococócica e infecciones por </w:t>
      </w:r>
      <w:r>
        <w:rPr>
          <w:rFonts w:ascii="Times New Roman" w:eastAsia="Times New Roman" w:hAnsi="Times New Roman" w:cs="Times New Roman"/>
          <w:i/>
          <w:iCs/>
          <w:color w:val="000000"/>
          <w:sz w:val="16"/>
          <w:szCs w:val="16"/>
        </w:rPr>
        <w:t>Candida</w:t>
      </w:r>
      <w:r>
        <w:rPr>
          <w:color w:val="000000"/>
        </w:rPr>
        <w:t xml:space="preserve"> que pueden ser letales, como la meningitis.</w:t>
      </w:r>
    </w:p>
    <w:p w14:paraId="7CB36574" w14:textId="77777777" w:rsidR="00924992" w:rsidRDefault="00924992">
      <w:pPr>
        <w:pStyle w:val="Bodytext70"/>
      </w:pPr>
      <w:r>
        <w:rPr>
          <w:color w:val="000000"/>
        </w:rPr>
        <w:t>Azoles</w:t>
      </w:r>
    </w:p>
    <w:p w14:paraId="09481C7D" w14:textId="77777777" w:rsidR="00924992" w:rsidRDefault="00924992">
      <w:pPr>
        <w:pStyle w:val="BodyText"/>
        <w:ind w:firstLine="0"/>
        <w:sectPr w:rsidR="00924992" w:rsidSect="00924992">
          <w:headerReference w:type="even" r:id="rId268"/>
          <w:headerReference w:type="default" r:id="rId269"/>
          <w:footerReference w:type="even" r:id="rId270"/>
          <w:footerReference w:type="default" r:id="rId271"/>
          <w:headerReference w:type="first" r:id="rId272"/>
          <w:footerReference w:type="first" r:id="rId273"/>
          <w:pgSz w:w="8501" w:h="13022"/>
          <w:pgMar w:top="941" w:right="753" w:bottom="533" w:left="878" w:header="0" w:footer="3" w:gutter="0"/>
          <w:cols w:space="720"/>
          <w:noEndnote/>
          <w:titlePg/>
          <w:docGrid w:linePitch="360"/>
          <w15:footnoteColumns w:val="1"/>
        </w:sectPr>
      </w:pPr>
      <w:r>
        <w:rPr>
          <w:color w:val="000000"/>
        </w:rPr>
        <w:t xml:space="preserve">Cuatro azoles ingeribles, que incluyen ketoconazol y, en particular, fluconazol, itraconazol y voriconazol, tienen un espectro relativamente amplio de actividad contra hongos comunes y podrían ser usados en vez de la anfotericina B en algunos pacientes </w:t>
      </w:r>
    </w:p>
    <w:p w14:paraId="2E7998F0" w14:textId="77777777" w:rsidR="00924992" w:rsidRDefault="00924992">
      <w:pPr>
        <w:pStyle w:val="BodyText"/>
        <w:ind w:firstLine="0"/>
      </w:pPr>
      <w:r>
        <w:rPr>
          <w:color w:val="000000"/>
        </w:rPr>
        <w:t>hepatotoxicidad, tromboflebitis, anemia o neurotoxicidad. La primera es causada por la disminución de la corriente sanguínea en los riñones y se puede prevenir o aplacar por medio de hidratación, una carga de solución salina (solución salina al 0.9% en un lapso de 30 min) antes de la administración por goteo endovenoso de anfotericina B, y debe evitarse el uso de diuréticos. La hipocaliemia es frecuente y puede ser exacerbada por la carga de sodio. A veces surge acidosis tubular renal pero por lo común es benigna. La nefrotoxicidad permanente depende de la dosis acumulativa; puede agravarse por la administración concomitante de anfotericina B y aminoglucósidos, ciclosporina, tacrolimo, cisplatino, compuestos de mostaza de nitrógeno y acetazolamida. La anemia es consecuencia de la inhibición de la producción de eritropoyetina. Rara vez surgen efectos tóxicos en el sistema nervioso, y se manifiestan en la forma de confusión, delirio, obnubilación o hiporreflexia, comportamiento sicótico, convulsiones, visión borrosa o pérdida de la audición.</w:t>
      </w:r>
    </w:p>
    <w:p w14:paraId="09ED0B81" w14:textId="77777777" w:rsidR="00924992" w:rsidRDefault="00924992">
      <w:pPr>
        <w:pStyle w:val="BodyText"/>
        <w:spacing w:after="100"/>
        <w:ind w:firstLine="360"/>
      </w:pPr>
      <w:r>
        <w:rPr>
          <w:color w:val="000000"/>
        </w:rPr>
        <w:t xml:space="preserve">Las presentaciones lípidas de anfotericina B son útiles en algunos niños que no toleran el fármaco o que son refractarios a él (véase cuadro 4-5). En adultos no se ha demostrado que las presentaciones en cuestión sean más eficaces que la presentación regular del medicamento. El complejo de lípido de anfotericina B (Abelcet [The Liposome Co, Princeton, NJ]) ha sido aprobado por la </w:t>
      </w:r>
      <w:r>
        <w:rPr>
          <w:rFonts w:ascii="Times New Roman" w:eastAsia="Times New Roman" w:hAnsi="Times New Roman" w:cs="Times New Roman"/>
          <w:i/>
          <w:iCs/>
          <w:color w:val="000000"/>
          <w:sz w:val="16"/>
          <w:szCs w:val="16"/>
        </w:rPr>
        <w:t>Food and Drug Administration</w:t>
      </w:r>
      <w:r>
        <w:rPr>
          <w:color w:val="000000"/>
        </w:rPr>
        <w:t xml:space="preserve"> para tratar micosis invasoras en niños y adultos refractarios a la terapia con la anfotericina B corriente o que no la toleran, definidas por: 1) disfunción renal con una concentración de creatinina sérica de 1.5 mg/100 ml o mayor que surge durante el tratamiento, o 2) evolución de la enfermedad después de una dosis total de anfotericina B de 10 mg/kg de peso como mínimo. El complejo de sulfato de colesterilo de anfotericina B (Amphotec [fabricado por Ben Venue Laboratories, Bedford, OH; distribuida por Intermune Inc, Brisbane, CA]) es un complejo coloide aprobado por la </w:t>
      </w:r>
      <w:r>
        <w:rPr>
          <w:rFonts w:ascii="Times New Roman" w:eastAsia="Times New Roman" w:hAnsi="Times New Roman" w:cs="Times New Roman"/>
          <w:i/>
          <w:iCs/>
          <w:color w:val="000000"/>
          <w:sz w:val="16"/>
          <w:szCs w:val="16"/>
        </w:rPr>
        <w:t>Food and Drug Administration</w:t>
      </w:r>
      <w:r>
        <w:rPr>
          <w:color w:val="000000"/>
        </w:rPr>
        <w:t xml:space="preserve"> para tratar aspergilosis invasora en adultos que no toleran o no mejoran con el desoxicolato de anfotericina B. La presentación de anfotericina B en liposomas (AmBisome [fabricado por Gilead Sciences Inc, San Dimas, CA para Fujisawa Healthcare Inc, Deerfield, IL]) se ha aprobado para utilizar en adultos que no toleran la terapia con anfotericina B habitual o que no mejoran con ella, contra aspergilosis, candidiasis, criptococosis o neutropenia febril. En las dosis recomendadas estas presentaciones lípidas cuestan 10 a 65 veces más por día, que el desoxicolato de anfotericina B. Están en fase de evaluación las presentaciones mencionadas para tratar otras micosis y para su administración en niños.</w:t>
      </w:r>
    </w:p>
    <w:p w14:paraId="65DEFEF2" w14:textId="77777777" w:rsidR="00924992" w:rsidRDefault="00924992">
      <w:pPr>
        <w:pStyle w:val="Bodytext70"/>
      </w:pPr>
      <w:r>
        <w:rPr>
          <w:color w:val="000000"/>
        </w:rPr>
        <w:t>Pirimidinas</w:t>
      </w:r>
    </w:p>
    <w:p w14:paraId="36E774C3" w14:textId="77777777" w:rsidR="00924992" w:rsidRDefault="00924992">
      <w:pPr>
        <w:pStyle w:val="BodyText"/>
        <w:spacing w:after="100"/>
        <w:ind w:firstLine="0"/>
      </w:pPr>
      <w:r>
        <w:rPr>
          <w:color w:val="000000"/>
        </w:rPr>
        <w:t xml:space="preserve">Entre los antimicóticos pirimidínicos se ha aprobado en Estados Unidos únicamente la flucitosina (5-fluorocitosina) para usar en niños. El fármaco en cuestión tiene un espectro de actividad limitado contra hongos y la posibilidad de causar efectos tóxicos (cuadro 4-5); si se usa como agente único, suele surgir resistencia a él. La flucitosina se administra en combinación con la anfotericina B contra la meningitis criptococócica e infecciones por </w:t>
      </w:r>
      <w:r>
        <w:rPr>
          <w:rFonts w:ascii="Times New Roman" w:eastAsia="Times New Roman" w:hAnsi="Times New Roman" w:cs="Times New Roman"/>
          <w:i/>
          <w:iCs/>
          <w:color w:val="000000"/>
          <w:sz w:val="16"/>
          <w:szCs w:val="16"/>
        </w:rPr>
        <w:t>Candida</w:t>
      </w:r>
      <w:r>
        <w:rPr>
          <w:color w:val="000000"/>
        </w:rPr>
        <w:t xml:space="preserve"> que pueden ser letales, como la meningitis.</w:t>
      </w:r>
    </w:p>
    <w:p w14:paraId="6877376D" w14:textId="77777777" w:rsidR="00924992" w:rsidRDefault="00924992">
      <w:pPr>
        <w:pStyle w:val="Bodytext70"/>
      </w:pPr>
      <w:r>
        <w:rPr>
          <w:color w:val="000000"/>
        </w:rPr>
        <w:t>Azoles</w:t>
      </w:r>
    </w:p>
    <w:p w14:paraId="40964197" w14:textId="77777777" w:rsidR="00924992" w:rsidRDefault="00924992">
      <w:pPr>
        <w:pStyle w:val="BodyText"/>
        <w:spacing w:after="100"/>
        <w:ind w:firstLine="0"/>
      </w:pPr>
      <w:r>
        <w:rPr>
          <w:color w:val="000000"/>
        </w:rPr>
        <w:t xml:space="preserve">Cuatro azoles ingeribles, que incluyen ketoconazol y, en particular, fluconazol, itraconazol y voriconazol, tienen un espectro relativamente amplio de actividad contra hongos comunes y podrían ser usados en vez de la anfotericina B en algunos pacientes (véase cuadro 4-5). Son escasos los datos disponibles de la inocuidad y eficacia de los azoles en niños, y no se han realizado estudios que los comparen con la anfotericina B. Los azoles se pueden administrar fácilmente y son escasos sus efectos tóxicos, pero su uso puede verse limitado por la frecuencia de sus interacciones con medicamentos que se administran concomitantemente. Las interacciones en cuestión pueden hacer que disminuyan las concentraciones séricas de los azoles (lo que menoscaba la actividad terapéutica) o surgir efectos tóxicos inesperados del otro fármaco que se administra (p. ej., mayores concentraciones séricas del fármaco administrado concomitantemente, que son consecuencia de la alteración del sistema del citocromo P-450). El médico, al analizar el empleo de tales compuestos debe revisar con sumo cuidado el uso de otros medicamentos concomitantes para evitar posibles desenlaces clínicos adversos. Otra limitación posible de los azoles es la aparición de resistencia en los hongos, particularmente especies de Candida resistentes al fluconazol. El uso de este último fármaco en el tratamiento o la profilaxia ha hecho que aumente la frecuencia de especies diferentes de Candida albicans como causa de infecciones hematógenas. El voriconazol es un derivado triazólico del fluconazol con actividad similar al itraconazol y ha sido aprobado en Estados Unidos por la FDA como tratamiento primario contra invasión por especies de </w:t>
      </w:r>
      <w:r>
        <w:rPr>
          <w:rFonts w:ascii="Times New Roman" w:eastAsia="Times New Roman" w:hAnsi="Times New Roman" w:cs="Times New Roman"/>
          <w:i/>
          <w:iCs/>
          <w:color w:val="000000"/>
          <w:sz w:val="16"/>
          <w:szCs w:val="16"/>
        </w:rPr>
        <w:t>Aspergillus</w:t>
      </w:r>
      <w:r>
        <w:rPr>
          <w:color w:val="000000"/>
        </w:rPr>
        <w:t xml:space="preserve"> y contra la infección refractaria por </w:t>
      </w:r>
      <w:r>
        <w:rPr>
          <w:rFonts w:ascii="Times New Roman" w:eastAsia="Times New Roman" w:hAnsi="Times New Roman" w:cs="Times New Roman"/>
          <w:i/>
          <w:iCs/>
          <w:color w:val="000000"/>
          <w:sz w:val="16"/>
          <w:szCs w:val="16"/>
        </w:rPr>
        <w:t>Scedosporium apiospermum</w:t>
      </w:r>
      <w:r>
        <w:rPr>
          <w:color w:val="000000"/>
        </w:rPr>
        <w:t xml:space="preserve"> (la forma asexual de </w:t>
      </w:r>
      <w:r>
        <w:rPr>
          <w:rFonts w:ascii="Times New Roman" w:eastAsia="Times New Roman" w:hAnsi="Times New Roman" w:cs="Times New Roman"/>
          <w:i/>
          <w:iCs/>
          <w:color w:val="000000"/>
          <w:sz w:val="16"/>
          <w:szCs w:val="16"/>
        </w:rPr>
        <w:t>P boydii</w:t>
      </w:r>
      <w:r>
        <w:rPr>
          <w:i/>
          <w:iCs/>
          <w:color w:val="000000"/>
        </w:rPr>
        <w:t>)</w:t>
      </w:r>
      <w:r>
        <w:rPr>
          <w:color w:val="000000"/>
        </w:rPr>
        <w:t xml:space="preserve"> o especies de </w:t>
      </w:r>
      <w:r>
        <w:rPr>
          <w:rFonts w:ascii="Times New Roman" w:eastAsia="Times New Roman" w:hAnsi="Times New Roman" w:cs="Times New Roman"/>
          <w:i/>
          <w:iCs/>
          <w:color w:val="000000"/>
          <w:sz w:val="16"/>
          <w:szCs w:val="16"/>
        </w:rPr>
        <w:t>Fusarium</w:t>
      </w:r>
      <w:r>
        <w:rPr>
          <w:i/>
          <w:iCs/>
          <w:color w:val="000000"/>
        </w:rPr>
        <w:t>.</w:t>
      </w:r>
      <w:r>
        <w:rPr>
          <w:color w:val="000000"/>
        </w:rPr>
        <w:t xml:space="preserve"> Este nuevo agente también es activo contra otros hongos oportunistas. Los datos del uso de voriconazol en niños son escasos.</w:t>
      </w:r>
    </w:p>
    <w:p w14:paraId="5F5F1465" w14:textId="77777777" w:rsidR="00924992" w:rsidRDefault="00924992">
      <w:pPr>
        <w:pStyle w:val="Bodytext70"/>
      </w:pPr>
      <w:r>
        <w:rPr>
          <w:color w:val="000000"/>
        </w:rPr>
        <w:t>Equinocandinas</w:t>
      </w:r>
    </w:p>
    <w:p w14:paraId="5D9E5F06" w14:textId="77777777" w:rsidR="00924992" w:rsidRDefault="00924992">
      <w:pPr>
        <w:pStyle w:val="BodyText"/>
        <w:spacing w:after="160"/>
        <w:ind w:firstLine="0"/>
        <w:sectPr w:rsidR="00924992" w:rsidSect="00924992">
          <w:headerReference w:type="even" r:id="rId274"/>
          <w:headerReference w:type="default" r:id="rId275"/>
          <w:footerReference w:type="even" r:id="rId276"/>
          <w:footerReference w:type="default" r:id="rId277"/>
          <w:headerReference w:type="first" r:id="rId278"/>
          <w:footerReference w:type="first" r:id="rId279"/>
          <w:pgSz w:w="8501" w:h="13022"/>
          <w:pgMar w:top="941" w:right="753" w:bottom="533" w:left="878" w:header="0" w:footer="3" w:gutter="0"/>
          <w:pgNumType w:start="757"/>
          <w:cols w:space="720"/>
          <w:noEndnote/>
          <w:titlePg/>
          <w:docGrid w:linePitch="360"/>
          <w15:footnoteColumns w:val="1"/>
        </w:sectPr>
      </w:pPr>
      <w:r>
        <w:rPr>
          <w:color w:val="000000"/>
        </w:rPr>
        <w:t>El acetato de caspofungina es un lipopéptido hidrosoluble que ha sido aprobado en Estados Unidos por la FDA para tratar aspergilosis invasora en niños que son refractarios o no toleran otros antimicóticos. No se han realizado investigaciones clínicas que valoren su inocuidad o eficacia en dicha población. La caspofungina, a semejanza de los azoles, genera interacciones medicamentosas importantes. El cuadro 4-6 señala recomendaciones para el uso de anfotericina B, flucitosina, azoles, caspofungina y otros antimicóticos contra micosis graves.</w:t>
      </w:r>
    </w:p>
    <w:p w14:paraId="1FB05E72" w14:textId="77777777" w:rsidR="00924992" w:rsidRDefault="00924992">
      <w:pPr>
        <w:pStyle w:val="BodyText"/>
        <w:spacing w:after="100" w:line="271" w:lineRule="auto"/>
        <w:ind w:firstLine="0"/>
      </w:pPr>
      <w:r>
        <w:rPr>
          <w:color w:val="000000"/>
        </w:rPr>
        <w:t xml:space="preserve">(véase cuadro 4-5). Son escasos los datos disponibles de la inocuidad y eficacia de los azoles en niños, y no se han realizado estudios que los comparen con la anfotericina B. Los azoles se pueden administrar fácilmente y son escasos sus efectos tóxicos, pero su uso puede verse limitado por la frecuencia de sus interacciones con medicamentos que se administran concomitantemente. Las interacciones en cuestión pueden hacer que disminuyan las concentraciones séricas de los azoles (lo que menoscaba la actividad terapéutica) o surgir efectos tóxicos inesperados del otro fármaco que se administra (p. ej., mayores concentraciones séricas del fármaco administrado concomitantemente, que son consecuencia de la alteración del sistema del citocromo P-450). El médico, al analizar el empleo de tales compuestos debe revisar con sumo cuidado el uso de otros medicamentos concomitantes para evitar posibles desenlaces clínicos adversos. Otra limitación posible de los azoles es la aparición de resistencia en los hongos, particularmente especies de Candida resistentes al fluconazol. El uso de este último fármaco en el tratamiento o la profilaxia ha hecho que aumente la frecuencia de especies diferentes de Candida albicans como causa de infecciones hematógenas. El voriconazol es un derivado triazólico del fluconazol con actividad similar al itraconazol y ha sido aprobado en Estados Unidos por la FDA como tratamiento primario contra invasión por especies de </w:t>
      </w:r>
      <w:r>
        <w:rPr>
          <w:rFonts w:ascii="Times New Roman" w:eastAsia="Times New Roman" w:hAnsi="Times New Roman" w:cs="Times New Roman"/>
          <w:i/>
          <w:iCs/>
          <w:color w:val="000000"/>
          <w:sz w:val="16"/>
          <w:szCs w:val="16"/>
        </w:rPr>
        <w:t>Aspergillus</w:t>
      </w:r>
      <w:r>
        <w:rPr>
          <w:color w:val="000000"/>
        </w:rPr>
        <w:t xml:space="preserve"> y contra la infección refractaria por </w:t>
      </w:r>
      <w:r>
        <w:rPr>
          <w:rFonts w:ascii="Times New Roman" w:eastAsia="Times New Roman" w:hAnsi="Times New Roman" w:cs="Times New Roman"/>
          <w:i/>
          <w:iCs/>
          <w:color w:val="000000"/>
          <w:sz w:val="16"/>
          <w:szCs w:val="16"/>
        </w:rPr>
        <w:t>Scedosporium apiospermum</w:t>
      </w:r>
      <w:r>
        <w:rPr>
          <w:color w:val="000000"/>
        </w:rPr>
        <w:t xml:space="preserve"> (la forma asexual de </w:t>
      </w:r>
      <w:r>
        <w:rPr>
          <w:rFonts w:ascii="Times New Roman" w:eastAsia="Times New Roman" w:hAnsi="Times New Roman" w:cs="Times New Roman"/>
          <w:i/>
          <w:iCs/>
          <w:color w:val="000000"/>
          <w:sz w:val="16"/>
          <w:szCs w:val="16"/>
        </w:rPr>
        <w:t>P boydii</w:t>
      </w:r>
      <w:r>
        <w:rPr>
          <w:i/>
          <w:iCs/>
          <w:color w:val="000000"/>
        </w:rPr>
        <w:t>)</w:t>
      </w:r>
      <w:r>
        <w:rPr>
          <w:color w:val="000000"/>
        </w:rPr>
        <w:t xml:space="preserve"> o especies de </w:t>
      </w:r>
      <w:r>
        <w:rPr>
          <w:rFonts w:ascii="Times New Roman" w:eastAsia="Times New Roman" w:hAnsi="Times New Roman" w:cs="Times New Roman"/>
          <w:i/>
          <w:iCs/>
          <w:color w:val="000000"/>
          <w:sz w:val="16"/>
          <w:szCs w:val="16"/>
        </w:rPr>
        <w:t>Fusarium</w:t>
      </w:r>
      <w:r>
        <w:rPr>
          <w:i/>
          <w:iCs/>
          <w:color w:val="000000"/>
        </w:rPr>
        <w:t>.</w:t>
      </w:r>
      <w:r>
        <w:rPr>
          <w:color w:val="000000"/>
        </w:rPr>
        <w:t xml:space="preserve"> Este nuevo agente también es activo contra otros hongos oportunistas. Los datos del uso de voriconazol en niños son escasos.</w:t>
      </w:r>
    </w:p>
    <w:p w14:paraId="4C23F928" w14:textId="77777777" w:rsidR="00924992" w:rsidRDefault="00924992">
      <w:pPr>
        <w:pStyle w:val="Bodytext70"/>
      </w:pPr>
      <w:r>
        <w:rPr>
          <w:color w:val="000000"/>
        </w:rPr>
        <w:t>Equinocandinas</w:t>
      </w:r>
    </w:p>
    <w:p w14:paraId="1B1A40C9" w14:textId="77777777" w:rsidR="00924992" w:rsidRDefault="00924992">
      <w:pPr>
        <w:pStyle w:val="BodyText"/>
        <w:spacing w:after="160"/>
        <w:ind w:firstLine="0"/>
        <w:sectPr w:rsidR="00924992" w:rsidSect="00924992">
          <w:headerReference w:type="even" r:id="rId280"/>
          <w:headerReference w:type="default" r:id="rId281"/>
          <w:footerReference w:type="even" r:id="rId282"/>
          <w:footerReference w:type="default" r:id="rId283"/>
          <w:pgSz w:w="8501" w:h="13022"/>
          <w:pgMar w:top="941" w:right="1137" w:bottom="941" w:left="499" w:header="0" w:footer="513" w:gutter="0"/>
          <w:pgNumType w:start="942"/>
          <w:cols w:space="720"/>
          <w:noEndnote/>
          <w:docGrid w:linePitch="360"/>
          <w15:footnoteColumns w:val="1"/>
        </w:sectPr>
      </w:pPr>
      <w:r>
        <w:rPr>
          <w:color w:val="000000"/>
        </w:rPr>
        <w:t>El acetato de caspofungina es un lipopéptido hidrosoluble que ha sido aprobado en Estados Unidos por la FDA para tratar aspergilosis invasora en niños que son refractarios o no toleran otros antimicóticos. No se han realizado investigaciones clínicas que valoren su inocuidad o eficacia en dicha población. La caspofungina, a semejanza de los azoles, genera interacciones medicamentosas importantes. El cuadro 4-6 señala recomendaciones para el uso de anfotericina B, flucitosina, azoles, caspofungina y otros antimicóticos contra micosis graves.</w:t>
      </w:r>
    </w:p>
    <w:p w14:paraId="59341CE9" w14:textId="77777777" w:rsidR="00924992" w:rsidRDefault="00924992">
      <w:pPr>
        <w:pStyle w:val="Heading31"/>
        <w:keepNext/>
        <w:keepLines/>
        <w:framePr w:w="6898" w:h="317" w:wrap="none" w:hAnchor="page" w:x="2339" w:y="1"/>
      </w:pPr>
      <w:bookmarkStart w:id="376" w:name="bookmark1822"/>
      <w:bookmarkStart w:id="377" w:name="bookmark1823"/>
      <w:bookmarkStart w:id="378" w:name="bookmark1824"/>
      <w:r>
        <w:rPr>
          <w:b w:val="0"/>
          <w:bCs w:val="0"/>
          <w:color w:val="000000"/>
        </w:rPr>
        <w:t xml:space="preserve">Cuadro 4-5. </w:t>
      </w:r>
      <w:r>
        <w:rPr>
          <w:color w:val="000000"/>
        </w:rPr>
        <w:t>Dosis recomendadas de antimicóticos parenterales e ingeribles</w:t>
      </w:r>
      <w:bookmarkEnd w:id="376"/>
      <w:bookmarkEnd w:id="377"/>
      <w:bookmarkEnd w:id="378"/>
    </w:p>
    <w:tbl>
      <w:tblPr>
        <w:tblOverlap w:val="never"/>
        <w:tblW w:w="0" w:type="auto"/>
        <w:tblLayout w:type="fixed"/>
        <w:tblCellMar>
          <w:left w:w="10" w:type="dxa"/>
          <w:right w:w="10" w:type="dxa"/>
        </w:tblCellMar>
        <w:tblLook w:val="04A0" w:firstRow="1" w:lastRow="0" w:firstColumn="1" w:lastColumn="0" w:noHBand="0" w:noVBand="1"/>
      </w:tblPr>
      <w:tblGrid>
        <w:gridCol w:w="2486"/>
        <w:gridCol w:w="1469"/>
        <w:gridCol w:w="3120"/>
        <w:gridCol w:w="3134"/>
      </w:tblGrid>
      <w:tr w:rsidR="00924992" w14:paraId="51018C72" w14:textId="77777777">
        <w:tblPrEx>
          <w:tblCellMar>
            <w:top w:w="0" w:type="dxa"/>
            <w:bottom w:w="0" w:type="dxa"/>
          </w:tblCellMar>
        </w:tblPrEx>
        <w:trPr>
          <w:trHeight w:hRule="exact" w:val="518"/>
        </w:trPr>
        <w:tc>
          <w:tcPr>
            <w:tcW w:w="2486" w:type="dxa"/>
            <w:shd w:val="clear" w:color="auto" w:fill="000000"/>
          </w:tcPr>
          <w:p w14:paraId="3F45F1D5" w14:textId="77777777" w:rsidR="00924992" w:rsidRDefault="00924992">
            <w:pPr>
              <w:pStyle w:val="Other0"/>
              <w:framePr w:w="10210" w:h="6461" w:hSpace="62" w:vSpace="312" w:wrap="none" w:hAnchor="page" w:x="663" w:y="395"/>
              <w:pBdr>
                <w:top w:val="single" w:sz="0" w:space="0" w:color="000000"/>
                <w:left w:val="single" w:sz="0" w:space="0" w:color="000000"/>
                <w:bottom w:val="single" w:sz="0" w:space="0" w:color="000000"/>
                <w:right w:val="single" w:sz="0" w:space="0" w:color="000000"/>
              </w:pBdr>
              <w:shd w:val="clear" w:color="auto" w:fill="000000"/>
              <w:spacing w:line="240" w:lineRule="auto"/>
              <w:ind w:firstLine="0"/>
              <w:rPr>
                <w:sz w:val="24"/>
                <w:szCs w:val="24"/>
              </w:rPr>
            </w:pPr>
            <w:r>
              <w:rPr>
                <w:rFonts w:ascii="Arial" w:eastAsia="Arial" w:hAnsi="Arial" w:cs="Arial"/>
                <w:b/>
                <w:bCs/>
                <w:color w:val="FFFFFF"/>
                <w:w w:val="70"/>
                <w:sz w:val="24"/>
                <w:szCs w:val="24"/>
              </w:rPr>
              <w:t>Fármaco</w:t>
            </w:r>
          </w:p>
        </w:tc>
        <w:tc>
          <w:tcPr>
            <w:tcW w:w="1469" w:type="dxa"/>
            <w:shd w:val="clear" w:color="auto" w:fill="000000"/>
          </w:tcPr>
          <w:p w14:paraId="795B5463" w14:textId="77777777" w:rsidR="00924992" w:rsidRDefault="00924992">
            <w:pPr>
              <w:pStyle w:val="Other0"/>
              <w:framePr w:w="10210" w:h="6461" w:hSpace="62" w:vSpace="312" w:wrap="none" w:hAnchor="page" w:x="663" w:y="395"/>
              <w:pBdr>
                <w:top w:val="single" w:sz="0" w:space="0" w:color="000000"/>
                <w:left w:val="single" w:sz="0" w:space="0" w:color="000000"/>
                <w:bottom w:val="single" w:sz="0" w:space="0" w:color="000000"/>
                <w:right w:val="single" w:sz="0" w:space="0" w:color="000000"/>
              </w:pBdr>
              <w:shd w:val="clear" w:color="auto" w:fill="000000"/>
              <w:spacing w:line="209" w:lineRule="auto"/>
              <w:ind w:firstLine="0"/>
              <w:rPr>
                <w:sz w:val="8"/>
                <w:szCs w:val="8"/>
              </w:rPr>
            </w:pPr>
            <w:r>
              <w:rPr>
                <w:rFonts w:ascii="Arial" w:eastAsia="Arial" w:hAnsi="Arial" w:cs="Arial"/>
                <w:b/>
                <w:bCs/>
                <w:color w:val="FFFFFF"/>
                <w:w w:val="70"/>
                <w:sz w:val="24"/>
                <w:szCs w:val="24"/>
              </w:rPr>
              <w:t>Vía de administración</w:t>
            </w:r>
            <w:r>
              <w:rPr>
                <w:rFonts w:ascii="Times New Roman" w:eastAsia="Times New Roman" w:hAnsi="Times New Roman" w:cs="Times New Roman"/>
                <w:color w:val="FFFFFF"/>
                <w:sz w:val="8"/>
                <w:szCs w:val="8"/>
                <w:vertAlign w:val="superscript"/>
              </w:rPr>
              <w:t>1</w:t>
            </w:r>
          </w:p>
        </w:tc>
        <w:tc>
          <w:tcPr>
            <w:tcW w:w="3120" w:type="dxa"/>
            <w:shd w:val="clear" w:color="auto" w:fill="000000"/>
          </w:tcPr>
          <w:p w14:paraId="3FC15C44" w14:textId="77777777" w:rsidR="00924992" w:rsidRDefault="00924992">
            <w:pPr>
              <w:pStyle w:val="Other0"/>
              <w:framePr w:w="10210" w:h="6461" w:hSpace="62" w:vSpace="312" w:wrap="none" w:hAnchor="page" w:x="663" w:y="395"/>
              <w:pBdr>
                <w:top w:val="single" w:sz="0" w:space="0" w:color="000000"/>
                <w:left w:val="single" w:sz="0" w:space="0" w:color="000000"/>
                <w:bottom w:val="single" w:sz="0" w:space="0" w:color="000000"/>
                <w:right w:val="single" w:sz="0" w:space="0" w:color="000000"/>
              </w:pBdr>
              <w:shd w:val="clear" w:color="auto" w:fill="000000"/>
              <w:spacing w:line="240" w:lineRule="auto"/>
              <w:ind w:firstLine="180"/>
              <w:rPr>
                <w:sz w:val="24"/>
                <w:szCs w:val="24"/>
              </w:rPr>
            </w:pPr>
            <w:r>
              <w:rPr>
                <w:rFonts w:ascii="Arial" w:eastAsia="Arial" w:hAnsi="Arial" w:cs="Arial"/>
                <w:b/>
                <w:bCs/>
                <w:color w:val="FFFFFF"/>
                <w:w w:val="70"/>
                <w:sz w:val="24"/>
                <w:szCs w:val="24"/>
              </w:rPr>
              <w:t>Dosis (al día)</w:t>
            </w:r>
          </w:p>
        </w:tc>
        <w:tc>
          <w:tcPr>
            <w:tcW w:w="3134" w:type="dxa"/>
            <w:shd w:val="clear" w:color="auto" w:fill="000000"/>
          </w:tcPr>
          <w:p w14:paraId="77FD71BE" w14:textId="77777777" w:rsidR="00924992" w:rsidRDefault="00924992">
            <w:pPr>
              <w:pStyle w:val="Other0"/>
              <w:framePr w:w="10210" w:h="6461" w:hSpace="62" w:vSpace="312" w:wrap="none" w:hAnchor="page" w:x="663" w:y="395"/>
              <w:pBdr>
                <w:top w:val="single" w:sz="0" w:space="0" w:color="000000"/>
                <w:left w:val="single" w:sz="0" w:space="0" w:color="000000"/>
                <w:bottom w:val="single" w:sz="0" w:space="0" w:color="000000"/>
                <w:right w:val="single" w:sz="0" w:space="0" w:color="000000"/>
              </w:pBdr>
              <w:shd w:val="clear" w:color="auto" w:fill="000000"/>
              <w:spacing w:line="240" w:lineRule="auto"/>
              <w:ind w:firstLine="0"/>
              <w:rPr>
                <w:sz w:val="8"/>
                <w:szCs w:val="8"/>
              </w:rPr>
            </w:pPr>
            <w:r>
              <w:rPr>
                <w:rFonts w:ascii="Arial" w:eastAsia="Arial" w:hAnsi="Arial" w:cs="Arial"/>
                <w:b/>
                <w:bCs/>
                <w:color w:val="FFFFFF"/>
                <w:w w:val="70"/>
                <w:sz w:val="24"/>
                <w:szCs w:val="24"/>
              </w:rPr>
              <w:t>Reacciones adversas</w:t>
            </w:r>
            <w:r>
              <w:rPr>
                <w:rFonts w:ascii="Times New Roman" w:eastAsia="Times New Roman" w:hAnsi="Times New Roman" w:cs="Times New Roman"/>
                <w:color w:val="FFFFFF"/>
                <w:sz w:val="8"/>
                <w:szCs w:val="8"/>
                <w:vertAlign w:val="superscript"/>
              </w:rPr>
              <w:t>2</w:t>
            </w:r>
            <w:r>
              <w:rPr>
                <w:rFonts w:ascii="Arial" w:eastAsia="Arial" w:hAnsi="Arial" w:cs="Arial"/>
                <w:color w:val="FFFFFF"/>
                <w:sz w:val="10"/>
                <w:szCs w:val="10"/>
              </w:rPr>
              <w:t>,</w:t>
            </w:r>
            <w:r>
              <w:rPr>
                <w:rFonts w:ascii="Times New Roman" w:eastAsia="Times New Roman" w:hAnsi="Times New Roman" w:cs="Times New Roman"/>
                <w:color w:val="FFFFFF"/>
                <w:sz w:val="8"/>
                <w:szCs w:val="8"/>
                <w:vertAlign w:val="superscript"/>
              </w:rPr>
              <w:t>3</w:t>
            </w:r>
          </w:p>
        </w:tc>
      </w:tr>
      <w:tr w:rsidR="00924992" w14:paraId="762D30AB" w14:textId="77777777">
        <w:tblPrEx>
          <w:tblCellMar>
            <w:top w:w="0" w:type="dxa"/>
            <w:bottom w:w="0" w:type="dxa"/>
          </w:tblCellMar>
        </w:tblPrEx>
        <w:trPr>
          <w:trHeight w:hRule="exact" w:val="269"/>
        </w:trPr>
        <w:tc>
          <w:tcPr>
            <w:tcW w:w="2486" w:type="dxa"/>
            <w:shd w:val="clear" w:color="auto" w:fill="FFFFFF"/>
            <w:vAlign w:val="bottom"/>
          </w:tcPr>
          <w:p w14:paraId="4375C628" w14:textId="77777777" w:rsidR="00924992" w:rsidRDefault="00924992">
            <w:pPr>
              <w:pStyle w:val="Other0"/>
              <w:framePr w:w="10210" w:h="6461" w:hSpace="62" w:vSpace="312" w:wrap="none" w:hAnchor="page" w:x="663" w:y="395"/>
              <w:spacing w:line="240" w:lineRule="auto"/>
              <w:ind w:firstLine="0"/>
              <w:rPr>
                <w:sz w:val="16"/>
                <w:szCs w:val="16"/>
              </w:rPr>
            </w:pPr>
            <w:r>
              <w:rPr>
                <w:rFonts w:ascii="Times New Roman" w:eastAsia="Times New Roman" w:hAnsi="Times New Roman" w:cs="Times New Roman"/>
                <w:color w:val="000000"/>
                <w:sz w:val="16"/>
                <w:szCs w:val="16"/>
              </w:rPr>
              <w:t>Anfotericina B (véase texto en esta</w:t>
            </w:r>
          </w:p>
        </w:tc>
        <w:tc>
          <w:tcPr>
            <w:tcW w:w="1469" w:type="dxa"/>
            <w:shd w:val="clear" w:color="auto" w:fill="FFFFFF"/>
            <w:vAlign w:val="bottom"/>
          </w:tcPr>
          <w:p w14:paraId="183FD715" w14:textId="77777777" w:rsidR="00924992" w:rsidRDefault="00924992">
            <w:pPr>
              <w:pStyle w:val="Other0"/>
              <w:framePr w:w="10210" w:h="6461" w:hSpace="62" w:vSpace="312" w:wrap="none" w:hAnchor="page" w:x="663" w:y="395"/>
              <w:spacing w:line="240" w:lineRule="auto"/>
              <w:ind w:firstLine="0"/>
              <w:rPr>
                <w:sz w:val="16"/>
                <w:szCs w:val="16"/>
              </w:rPr>
            </w:pPr>
            <w:r>
              <w:rPr>
                <w:rFonts w:ascii="Times New Roman" w:eastAsia="Times New Roman" w:hAnsi="Times New Roman" w:cs="Times New Roman"/>
                <w:color w:val="000000"/>
                <w:sz w:val="16"/>
                <w:szCs w:val="16"/>
              </w:rPr>
              <w:t>IV</w:t>
            </w:r>
          </w:p>
        </w:tc>
        <w:tc>
          <w:tcPr>
            <w:tcW w:w="3120" w:type="dxa"/>
            <w:shd w:val="clear" w:color="auto" w:fill="FFFFFF"/>
            <w:vAlign w:val="bottom"/>
          </w:tcPr>
          <w:p w14:paraId="642AFF58" w14:textId="77777777" w:rsidR="00924992" w:rsidRDefault="00924992">
            <w:pPr>
              <w:pStyle w:val="Other0"/>
              <w:framePr w:w="10210" w:h="6461" w:hSpace="62" w:vSpace="312" w:wrap="none" w:hAnchor="page" w:x="663" w:y="395"/>
              <w:spacing w:line="240" w:lineRule="auto"/>
              <w:ind w:firstLine="180"/>
              <w:rPr>
                <w:sz w:val="16"/>
                <w:szCs w:val="16"/>
              </w:rPr>
            </w:pPr>
            <w:r>
              <w:rPr>
                <w:rFonts w:ascii="Times New Roman" w:eastAsia="Times New Roman" w:hAnsi="Times New Roman" w:cs="Times New Roman"/>
                <w:color w:val="000000"/>
                <w:sz w:val="16"/>
                <w:szCs w:val="16"/>
              </w:rPr>
              <w:t>0.25-0.5 mg/kg inicialmente y se aumenta</w:t>
            </w:r>
          </w:p>
        </w:tc>
        <w:tc>
          <w:tcPr>
            <w:tcW w:w="3134" w:type="dxa"/>
            <w:shd w:val="clear" w:color="auto" w:fill="FFFFFF"/>
            <w:vAlign w:val="bottom"/>
          </w:tcPr>
          <w:p w14:paraId="6092AE14" w14:textId="77777777" w:rsidR="00924992" w:rsidRDefault="00924992">
            <w:pPr>
              <w:pStyle w:val="Other0"/>
              <w:framePr w:w="10210" w:h="6461" w:hSpace="62" w:vSpace="312" w:wrap="none" w:hAnchor="page" w:x="663" w:y="395"/>
              <w:spacing w:line="240" w:lineRule="auto"/>
              <w:ind w:firstLine="0"/>
              <w:rPr>
                <w:sz w:val="16"/>
                <w:szCs w:val="16"/>
              </w:rPr>
            </w:pPr>
            <w:r>
              <w:rPr>
                <w:rFonts w:ascii="Times New Roman" w:eastAsia="Times New Roman" w:hAnsi="Times New Roman" w:cs="Times New Roman"/>
                <w:color w:val="000000"/>
                <w:sz w:val="16"/>
                <w:szCs w:val="16"/>
              </w:rPr>
              <w:t>Fiebre, escalofríos, síntomas de vías</w:t>
            </w:r>
          </w:p>
        </w:tc>
      </w:tr>
      <w:tr w:rsidR="00924992" w14:paraId="35127B7E" w14:textId="77777777">
        <w:tblPrEx>
          <w:tblCellMar>
            <w:top w:w="0" w:type="dxa"/>
            <w:bottom w:w="0" w:type="dxa"/>
          </w:tblCellMar>
        </w:tblPrEx>
        <w:trPr>
          <w:trHeight w:hRule="exact" w:val="230"/>
        </w:trPr>
        <w:tc>
          <w:tcPr>
            <w:tcW w:w="2486" w:type="dxa"/>
            <w:shd w:val="clear" w:color="auto" w:fill="FFFFFF"/>
            <w:vAlign w:val="bottom"/>
          </w:tcPr>
          <w:p w14:paraId="3EB1168B" w14:textId="77777777" w:rsidR="00924992" w:rsidRDefault="00924992">
            <w:pPr>
              <w:pStyle w:val="Other0"/>
              <w:framePr w:w="10210" w:h="6461" w:hSpace="62" w:vSpace="312" w:wrap="none" w:hAnchor="page" w:x="663" w:y="395"/>
              <w:spacing w:line="240" w:lineRule="auto"/>
              <w:ind w:firstLine="0"/>
              <w:rPr>
                <w:sz w:val="16"/>
                <w:szCs w:val="16"/>
              </w:rPr>
            </w:pPr>
            <w:r>
              <w:rPr>
                <w:rFonts w:ascii="Times New Roman" w:eastAsia="Times New Roman" w:hAnsi="Times New Roman" w:cs="Times New Roman"/>
                <w:color w:val="000000"/>
                <w:sz w:val="16"/>
                <w:szCs w:val="16"/>
              </w:rPr>
              <w:t>sección “Antimicóticos contra</w:t>
            </w:r>
          </w:p>
        </w:tc>
        <w:tc>
          <w:tcPr>
            <w:tcW w:w="1469" w:type="dxa"/>
            <w:shd w:val="clear" w:color="auto" w:fill="FFFFFF"/>
          </w:tcPr>
          <w:p w14:paraId="2ABAA73E" w14:textId="77777777" w:rsidR="00924992" w:rsidRDefault="00924992">
            <w:pPr>
              <w:framePr w:w="10210" w:h="6461" w:hSpace="62" w:vSpace="312" w:wrap="none" w:hAnchor="page" w:x="663" w:y="395"/>
              <w:rPr>
                <w:sz w:val="10"/>
                <w:szCs w:val="10"/>
              </w:rPr>
            </w:pPr>
          </w:p>
        </w:tc>
        <w:tc>
          <w:tcPr>
            <w:tcW w:w="3120" w:type="dxa"/>
            <w:shd w:val="clear" w:color="auto" w:fill="FFFFFF"/>
            <w:vAlign w:val="bottom"/>
          </w:tcPr>
          <w:p w14:paraId="55AEB9B5" w14:textId="77777777" w:rsidR="00924992" w:rsidRDefault="00924992">
            <w:pPr>
              <w:pStyle w:val="Other0"/>
              <w:framePr w:w="10210" w:h="6461" w:hSpace="62" w:vSpace="312" w:wrap="none" w:hAnchor="page" w:x="663" w:y="395"/>
              <w:spacing w:line="240" w:lineRule="auto"/>
              <w:ind w:firstLine="280"/>
              <w:jc w:val="both"/>
              <w:rPr>
                <w:sz w:val="16"/>
                <w:szCs w:val="16"/>
              </w:rPr>
            </w:pPr>
            <w:r>
              <w:rPr>
                <w:rFonts w:ascii="Times New Roman" w:eastAsia="Times New Roman" w:hAnsi="Times New Roman" w:cs="Times New Roman"/>
                <w:color w:val="000000"/>
                <w:sz w:val="16"/>
                <w:szCs w:val="16"/>
              </w:rPr>
              <w:t>según se tolere a 0.5-1.5 mg/kg de peso;</w:t>
            </w:r>
          </w:p>
        </w:tc>
        <w:tc>
          <w:tcPr>
            <w:tcW w:w="3134" w:type="dxa"/>
            <w:shd w:val="clear" w:color="auto" w:fill="FFFFFF"/>
            <w:vAlign w:val="bottom"/>
          </w:tcPr>
          <w:p w14:paraId="2B1739D5" w14:textId="77777777" w:rsidR="00924992" w:rsidRDefault="00924992">
            <w:pPr>
              <w:pStyle w:val="Other0"/>
              <w:framePr w:w="10210" w:h="6461" w:hSpace="62" w:vSpace="312" w:wrap="none" w:hAnchor="page" w:x="663" w:y="395"/>
              <w:spacing w:line="240" w:lineRule="auto"/>
              <w:ind w:firstLine="140"/>
              <w:rPr>
                <w:sz w:val="16"/>
                <w:szCs w:val="16"/>
              </w:rPr>
            </w:pPr>
            <w:r>
              <w:rPr>
                <w:rFonts w:ascii="Times New Roman" w:eastAsia="Times New Roman" w:hAnsi="Times New Roman" w:cs="Times New Roman"/>
                <w:color w:val="000000"/>
                <w:sz w:val="16"/>
                <w:szCs w:val="16"/>
              </w:rPr>
              <w:t>gastrointestinales, cefalea, hipotensión,</w:t>
            </w:r>
          </w:p>
        </w:tc>
      </w:tr>
      <w:tr w:rsidR="00924992" w14:paraId="2A12AC42" w14:textId="77777777">
        <w:tblPrEx>
          <w:tblCellMar>
            <w:top w:w="0" w:type="dxa"/>
            <w:bottom w:w="0" w:type="dxa"/>
          </w:tblCellMar>
        </w:tblPrEx>
        <w:trPr>
          <w:trHeight w:hRule="exact" w:val="192"/>
        </w:trPr>
        <w:tc>
          <w:tcPr>
            <w:tcW w:w="2486" w:type="dxa"/>
            <w:shd w:val="clear" w:color="auto" w:fill="FFFFFF"/>
            <w:vAlign w:val="bottom"/>
          </w:tcPr>
          <w:p w14:paraId="211865D2" w14:textId="77777777" w:rsidR="00924992" w:rsidRDefault="00924992">
            <w:pPr>
              <w:pStyle w:val="Other0"/>
              <w:framePr w:w="10210" w:h="6461" w:hSpace="62" w:vSpace="312" w:wrap="none" w:hAnchor="page" w:x="663" w:y="395"/>
              <w:spacing w:line="240" w:lineRule="auto"/>
              <w:ind w:firstLine="0"/>
              <w:rPr>
                <w:sz w:val="16"/>
                <w:szCs w:val="16"/>
              </w:rPr>
            </w:pPr>
            <w:r>
              <w:rPr>
                <w:rFonts w:ascii="Times New Roman" w:eastAsia="Times New Roman" w:hAnsi="Times New Roman" w:cs="Times New Roman"/>
                <w:color w:val="000000"/>
                <w:sz w:val="16"/>
                <w:szCs w:val="16"/>
              </w:rPr>
              <w:t>micosis sistémicas”, en busca</w:t>
            </w:r>
          </w:p>
        </w:tc>
        <w:tc>
          <w:tcPr>
            <w:tcW w:w="1469" w:type="dxa"/>
            <w:shd w:val="clear" w:color="auto" w:fill="FFFFFF"/>
          </w:tcPr>
          <w:p w14:paraId="4006E2FC" w14:textId="77777777" w:rsidR="00924992" w:rsidRDefault="00924992">
            <w:pPr>
              <w:framePr w:w="10210" w:h="6461" w:hSpace="62" w:vSpace="312" w:wrap="none" w:hAnchor="page" w:x="663" w:y="395"/>
              <w:rPr>
                <w:sz w:val="10"/>
                <w:szCs w:val="10"/>
              </w:rPr>
            </w:pPr>
          </w:p>
        </w:tc>
        <w:tc>
          <w:tcPr>
            <w:tcW w:w="3120" w:type="dxa"/>
            <w:shd w:val="clear" w:color="auto" w:fill="FFFFFF"/>
            <w:vAlign w:val="bottom"/>
          </w:tcPr>
          <w:p w14:paraId="633EB224" w14:textId="77777777" w:rsidR="00924992" w:rsidRDefault="00924992">
            <w:pPr>
              <w:pStyle w:val="Other0"/>
              <w:framePr w:w="10210" w:h="6461" w:hSpace="62" w:vSpace="312" w:wrap="none" w:hAnchor="page" w:x="663" w:y="395"/>
              <w:spacing w:line="240" w:lineRule="auto"/>
              <w:ind w:firstLine="280"/>
              <w:jc w:val="both"/>
              <w:rPr>
                <w:sz w:val="16"/>
                <w:szCs w:val="16"/>
              </w:rPr>
            </w:pPr>
            <w:r>
              <w:rPr>
                <w:rFonts w:ascii="Times New Roman" w:eastAsia="Times New Roman" w:hAnsi="Times New Roman" w:cs="Times New Roman"/>
                <w:color w:val="000000"/>
                <w:sz w:val="16"/>
                <w:szCs w:val="16"/>
              </w:rPr>
              <w:t>administrar en goteo endovenoso en una</w:t>
            </w:r>
          </w:p>
        </w:tc>
        <w:tc>
          <w:tcPr>
            <w:tcW w:w="3134" w:type="dxa"/>
            <w:shd w:val="clear" w:color="auto" w:fill="FFFFFF"/>
            <w:vAlign w:val="bottom"/>
          </w:tcPr>
          <w:p w14:paraId="7744EBB0" w14:textId="77777777" w:rsidR="00924992" w:rsidRDefault="00924992">
            <w:pPr>
              <w:pStyle w:val="Other0"/>
              <w:framePr w:w="10210" w:h="6461" w:hSpace="62" w:vSpace="312" w:wrap="none" w:hAnchor="page" w:x="663" w:y="395"/>
              <w:spacing w:line="240" w:lineRule="auto"/>
              <w:ind w:firstLine="140"/>
              <w:rPr>
                <w:sz w:val="16"/>
                <w:szCs w:val="16"/>
              </w:rPr>
            </w:pPr>
            <w:r>
              <w:rPr>
                <w:rFonts w:ascii="Times New Roman" w:eastAsia="Times New Roman" w:hAnsi="Times New Roman" w:cs="Times New Roman"/>
                <w:color w:val="000000"/>
                <w:sz w:val="16"/>
                <w:szCs w:val="16"/>
              </w:rPr>
              <w:t>disfunción renal, hipocaliemia, anemia,</w:t>
            </w:r>
          </w:p>
        </w:tc>
      </w:tr>
      <w:tr w:rsidR="00924992" w14:paraId="65873426" w14:textId="77777777">
        <w:tblPrEx>
          <w:tblCellMar>
            <w:top w:w="0" w:type="dxa"/>
            <w:bottom w:w="0" w:type="dxa"/>
          </w:tblCellMar>
        </w:tblPrEx>
        <w:trPr>
          <w:trHeight w:hRule="exact" w:val="442"/>
        </w:trPr>
        <w:tc>
          <w:tcPr>
            <w:tcW w:w="2486" w:type="dxa"/>
            <w:shd w:val="clear" w:color="auto" w:fill="FFFFFF"/>
          </w:tcPr>
          <w:p w14:paraId="29673A6B" w14:textId="77777777" w:rsidR="00924992" w:rsidRDefault="00924992">
            <w:pPr>
              <w:pStyle w:val="Other0"/>
              <w:framePr w:w="10210" w:h="6461" w:hSpace="62" w:vSpace="312" w:wrap="none" w:hAnchor="page" w:x="663" w:y="395"/>
              <w:spacing w:line="240" w:lineRule="auto"/>
              <w:ind w:firstLine="0"/>
              <w:rPr>
                <w:sz w:val="16"/>
                <w:szCs w:val="16"/>
              </w:rPr>
            </w:pPr>
            <w:r>
              <w:rPr>
                <w:rFonts w:ascii="Times New Roman" w:eastAsia="Times New Roman" w:hAnsi="Times New Roman" w:cs="Times New Roman"/>
                <w:color w:val="000000"/>
                <w:sz w:val="16"/>
                <w:szCs w:val="16"/>
              </w:rPr>
              <w:t>de información detallada)</w:t>
            </w:r>
          </w:p>
        </w:tc>
        <w:tc>
          <w:tcPr>
            <w:tcW w:w="1469" w:type="dxa"/>
            <w:shd w:val="clear" w:color="auto" w:fill="FFFFFF"/>
          </w:tcPr>
          <w:p w14:paraId="7838D78F" w14:textId="77777777" w:rsidR="00924992" w:rsidRDefault="00924992">
            <w:pPr>
              <w:framePr w:w="10210" w:h="6461" w:hSpace="62" w:vSpace="312" w:wrap="none" w:hAnchor="page" w:x="663" w:y="395"/>
              <w:rPr>
                <w:sz w:val="10"/>
                <w:szCs w:val="10"/>
              </w:rPr>
            </w:pPr>
          </w:p>
        </w:tc>
        <w:tc>
          <w:tcPr>
            <w:tcW w:w="3120" w:type="dxa"/>
            <w:shd w:val="clear" w:color="auto" w:fill="FFFFFF"/>
            <w:vAlign w:val="bottom"/>
          </w:tcPr>
          <w:p w14:paraId="37B28E19" w14:textId="77777777" w:rsidR="00924992" w:rsidRDefault="00924992">
            <w:pPr>
              <w:pStyle w:val="Other0"/>
              <w:framePr w:w="10210" w:h="6461" w:hSpace="62" w:vSpace="312" w:wrap="none" w:hAnchor="page" w:x="663" w:y="395"/>
              <w:spacing w:line="276" w:lineRule="auto"/>
              <w:ind w:left="280" w:firstLine="0"/>
              <w:jc w:val="both"/>
              <w:rPr>
                <w:sz w:val="16"/>
                <w:szCs w:val="16"/>
              </w:rPr>
            </w:pPr>
            <w:r>
              <w:rPr>
                <w:rFonts w:ascii="Times New Roman" w:eastAsia="Times New Roman" w:hAnsi="Times New Roman" w:cs="Times New Roman"/>
                <w:color w:val="000000"/>
                <w:sz w:val="16"/>
                <w:szCs w:val="16"/>
              </w:rPr>
              <w:t>sola dosis durante 2 h; 0.5-1.0 mg/kg semanalmente como terapia supresora</w:t>
            </w:r>
          </w:p>
        </w:tc>
        <w:tc>
          <w:tcPr>
            <w:tcW w:w="3134" w:type="dxa"/>
            <w:shd w:val="clear" w:color="auto" w:fill="FFFFFF"/>
          </w:tcPr>
          <w:p w14:paraId="58022661" w14:textId="77777777" w:rsidR="00924992" w:rsidRDefault="00924992">
            <w:pPr>
              <w:pStyle w:val="Other0"/>
              <w:framePr w:w="10210" w:h="6461" w:hSpace="62" w:vSpace="312" w:wrap="none" w:hAnchor="page" w:x="663" w:y="395"/>
              <w:spacing w:line="240" w:lineRule="auto"/>
              <w:ind w:firstLine="140"/>
              <w:rPr>
                <w:sz w:val="16"/>
                <w:szCs w:val="16"/>
              </w:rPr>
            </w:pPr>
            <w:r>
              <w:rPr>
                <w:rFonts w:ascii="Times New Roman" w:eastAsia="Times New Roman" w:hAnsi="Times New Roman" w:cs="Times New Roman"/>
                <w:color w:val="000000"/>
                <w:sz w:val="16"/>
                <w:szCs w:val="16"/>
              </w:rPr>
              <w:t>arritmias, neurotoxicidad, anafilaxia</w:t>
            </w:r>
          </w:p>
        </w:tc>
      </w:tr>
      <w:tr w:rsidR="00924992" w14:paraId="2B87CBB0" w14:textId="77777777">
        <w:tblPrEx>
          <w:tblCellMar>
            <w:top w:w="0" w:type="dxa"/>
            <w:bottom w:w="0" w:type="dxa"/>
          </w:tblCellMar>
        </w:tblPrEx>
        <w:trPr>
          <w:trHeight w:hRule="exact" w:val="398"/>
        </w:trPr>
        <w:tc>
          <w:tcPr>
            <w:tcW w:w="2486" w:type="dxa"/>
            <w:shd w:val="clear" w:color="auto" w:fill="FFFFFF"/>
          </w:tcPr>
          <w:p w14:paraId="0EE878A3" w14:textId="77777777" w:rsidR="00924992" w:rsidRDefault="00924992">
            <w:pPr>
              <w:framePr w:w="10210" w:h="6461" w:hSpace="62" w:vSpace="312" w:wrap="none" w:hAnchor="page" w:x="663" w:y="395"/>
              <w:rPr>
                <w:sz w:val="10"/>
                <w:szCs w:val="10"/>
              </w:rPr>
            </w:pPr>
          </w:p>
        </w:tc>
        <w:tc>
          <w:tcPr>
            <w:tcW w:w="1469" w:type="dxa"/>
            <w:shd w:val="clear" w:color="auto" w:fill="FFFFFF"/>
          </w:tcPr>
          <w:p w14:paraId="0768CF19" w14:textId="77777777" w:rsidR="00924992" w:rsidRDefault="00924992">
            <w:pPr>
              <w:pStyle w:val="Other0"/>
              <w:framePr w:w="10210" w:h="6461" w:hSpace="62" w:vSpace="312" w:wrap="none" w:hAnchor="page" w:x="663" w:y="395"/>
              <w:spacing w:line="240" w:lineRule="auto"/>
              <w:ind w:firstLine="0"/>
              <w:rPr>
                <w:sz w:val="16"/>
                <w:szCs w:val="16"/>
              </w:rPr>
            </w:pPr>
            <w:r>
              <w:rPr>
                <w:rFonts w:ascii="Times New Roman" w:eastAsia="Times New Roman" w:hAnsi="Times New Roman" w:cs="Times New Roman"/>
                <w:color w:val="000000"/>
                <w:sz w:val="16"/>
                <w:szCs w:val="16"/>
              </w:rPr>
              <w:t>IT</w:t>
            </w:r>
          </w:p>
        </w:tc>
        <w:tc>
          <w:tcPr>
            <w:tcW w:w="3120" w:type="dxa"/>
            <w:shd w:val="clear" w:color="auto" w:fill="FFFFFF"/>
          </w:tcPr>
          <w:p w14:paraId="5ADDA94E" w14:textId="77777777" w:rsidR="00924992" w:rsidRDefault="00924992">
            <w:pPr>
              <w:pStyle w:val="Other0"/>
              <w:framePr w:w="10210" w:h="6461" w:hSpace="62" w:vSpace="312" w:wrap="none" w:hAnchor="page" w:x="663" w:y="395"/>
              <w:spacing w:line="276" w:lineRule="auto"/>
              <w:ind w:left="280" w:hanging="100"/>
              <w:rPr>
                <w:sz w:val="16"/>
                <w:szCs w:val="16"/>
              </w:rPr>
            </w:pPr>
            <w:r>
              <w:rPr>
                <w:rFonts w:ascii="Times New Roman" w:eastAsia="Times New Roman" w:hAnsi="Times New Roman" w:cs="Times New Roman"/>
                <w:color w:val="000000"/>
                <w:sz w:val="16"/>
                <w:szCs w:val="16"/>
              </w:rPr>
              <w:t>0.025 mg, aumentar a 0.5 mg, dos veces por semana</w:t>
            </w:r>
          </w:p>
        </w:tc>
        <w:tc>
          <w:tcPr>
            <w:tcW w:w="3134" w:type="dxa"/>
            <w:shd w:val="clear" w:color="auto" w:fill="FFFFFF"/>
          </w:tcPr>
          <w:p w14:paraId="04B4EA29" w14:textId="77777777" w:rsidR="00924992" w:rsidRDefault="00924992">
            <w:pPr>
              <w:pStyle w:val="Other0"/>
              <w:framePr w:w="10210" w:h="6461" w:hSpace="62" w:vSpace="312" w:wrap="none" w:hAnchor="page" w:x="663" w:y="395"/>
              <w:spacing w:line="276" w:lineRule="auto"/>
              <w:ind w:left="140" w:hanging="140"/>
              <w:rPr>
                <w:sz w:val="16"/>
                <w:szCs w:val="16"/>
              </w:rPr>
            </w:pPr>
            <w:r>
              <w:rPr>
                <w:rFonts w:ascii="Times New Roman" w:eastAsia="Times New Roman" w:hAnsi="Times New Roman" w:cs="Times New Roman"/>
                <w:color w:val="000000"/>
                <w:sz w:val="16"/>
                <w:szCs w:val="16"/>
              </w:rPr>
              <w:t>Cefalea, síntomas de vías gastrointestinales, aracnoiditis/radiculitis</w:t>
            </w:r>
          </w:p>
        </w:tc>
      </w:tr>
      <w:tr w:rsidR="00924992" w14:paraId="0BC5A94C" w14:textId="77777777">
        <w:tblPrEx>
          <w:tblCellMar>
            <w:top w:w="0" w:type="dxa"/>
            <w:bottom w:w="0" w:type="dxa"/>
          </w:tblCellMar>
        </w:tblPrEx>
        <w:trPr>
          <w:trHeight w:hRule="exact" w:val="221"/>
        </w:trPr>
        <w:tc>
          <w:tcPr>
            <w:tcW w:w="2486" w:type="dxa"/>
            <w:shd w:val="clear" w:color="auto" w:fill="FFFFFF"/>
            <w:vAlign w:val="bottom"/>
          </w:tcPr>
          <w:p w14:paraId="139DD989" w14:textId="77777777" w:rsidR="00924992" w:rsidRDefault="00924992">
            <w:pPr>
              <w:pStyle w:val="Other0"/>
              <w:framePr w:w="10210" w:h="6461" w:hSpace="62" w:vSpace="312" w:wrap="none" w:hAnchor="page" w:x="663" w:y="395"/>
              <w:spacing w:line="240" w:lineRule="auto"/>
              <w:ind w:firstLine="0"/>
              <w:rPr>
                <w:sz w:val="16"/>
                <w:szCs w:val="16"/>
              </w:rPr>
            </w:pPr>
            <w:r>
              <w:rPr>
                <w:rFonts w:ascii="Times New Roman" w:eastAsia="Times New Roman" w:hAnsi="Times New Roman" w:cs="Times New Roman"/>
                <w:color w:val="000000"/>
                <w:sz w:val="16"/>
                <w:szCs w:val="16"/>
              </w:rPr>
              <w:t>Anfotericina B, complejo lípido</w:t>
            </w:r>
          </w:p>
        </w:tc>
        <w:tc>
          <w:tcPr>
            <w:tcW w:w="1469" w:type="dxa"/>
            <w:shd w:val="clear" w:color="auto" w:fill="FFFFFF"/>
            <w:vAlign w:val="bottom"/>
          </w:tcPr>
          <w:p w14:paraId="29AF11E5" w14:textId="77777777" w:rsidR="00924992" w:rsidRDefault="00924992">
            <w:pPr>
              <w:pStyle w:val="Other0"/>
              <w:framePr w:w="10210" w:h="6461" w:hSpace="62" w:vSpace="312" w:wrap="none" w:hAnchor="page" w:x="663" w:y="395"/>
              <w:spacing w:line="240" w:lineRule="auto"/>
              <w:ind w:firstLine="0"/>
              <w:rPr>
                <w:sz w:val="16"/>
                <w:szCs w:val="16"/>
              </w:rPr>
            </w:pPr>
            <w:r>
              <w:rPr>
                <w:rFonts w:ascii="Times New Roman" w:eastAsia="Times New Roman" w:hAnsi="Times New Roman" w:cs="Times New Roman"/>
                <w:color w:val="000000"/>
                <w:sz w:val="16"/>
                <w:szCs w:val="16"/>
              </w:rPr>
              <w:t>IV</w:t>
            </w:r>
          </w:p>
        </w:tc>
        <w:tc>
          <w:tcPr>
            <w:tcW w:w="3120" w:type="dxa"/>
            <w:shd w:val="clear" w:color="auto" w:fill="FFFFFF"/>
            <w:vAlign w:val="bottom"/>
          </w:tcPr>
          <w:p w14:paraId="3C4E4FB7" w14:textId="77777777" w:rsidR="00924992" w:rsidRDefault="00924992">
            <w:pPr>
              <w:pStyle w:val="Other0"/>
              <w:framePr w:w="10210" w:h="6461" w:hSpace="62" w:vSpace="312" w:wrap="none" w:hAnchor="page" w:x="663" w:y="395"/>
              <w:spacing w:line="240" w:lineRule="auto"/>
              <w:ind w:firstLine="180"/>
              <w:jc w:val="both"/>
              <w:rPr>
                <w:sz w:val="16"/>
                <w:szCs w:val="16"/>
              </w:rPr>
            </w:pPr>
            <w:r>
              <w:rPr>
                <w:rFonts w:ascii="Times New Roman" w:eastAsia="Times New Roman" w:hAnsi="Times New Roman" w:cs="Times New Roman"/>
                <w:color w:val="000000"/>
                <w:sz w:val="16"/>
                <w:szCs w:val="16"/>
              </w:rPr>
              <w:t>5 mg/kg de peso en goteo en venoclisis</w:t>
            </w:r>
          </w:p>
        </w:tc>
        <w:tc>
          <w:tcPr>
            <w:tcW w:w="3134" w:type="dxa"/>
            <w:shd w:val="clear" w:color="auto" w:fill="FFFFFF"/>
            <w:vAlign w:val="bottom"/>
          </w:tcPr>
          <w:p w14:paraId="2354EAEF" w14:textId="77777777" w:rsidR="00924992" w:rsidRDefault="00924992">
            <w:pPr>
              <w:pStyle w:val="Other0"/>
              <w:framePr w:w="10210" w:h="6461" w:hSpace="62" w:vSpace="312" w:wrap="none" w:hAnchor="page" w:x="663" w:y="395"/>
              <w:spacing w:line="240" w:lineRule="auto"/>
              <w:ind w:firstLine="0"/>
              <w:rPr>
                <w:sz w:val="16"/>
                <w:szCs w:val="16"/>
              </w:rPr>
            </w:pPr>
            <w:r>
              <w:rPr>
                <w:rFonts w:ascii="Times New Roman" w:eastAsia="Times New Roman" w:hAnsi="Times New Roman" w:cs="Times New Roman"/>
                <w:color w:val="000000"/>
                <w:sz w:val="16"/>
                <w:szCs w:val="16"/>
              </w:rPr>
              <w:t>Fiebre, escalofríos, otras reacciones</w:t>
            </w:r>
          </w:p>
        </w:tc>
      </w:tr>
      <w:tr w:rsidR="00924992" w14:paraId="39BBE399" w14:textId="77777777">
        <w:tblPrEx>
          <w:tblCellMar>
            <w:top w:w="0" w:type="dxa"/>
            <w:bottom w:w="0" w:type="dxa"/>
          </w:tblCellMar>
        </w:tblPrEx>
        <w:trPr>
          <w:trHeight w:hRule="exact" w:val="427"/>
        </w:trPr>
        <w:tc>
          <w:tcPr>
            <w:tcW w:w="2486" w:type="dxa"/>
            <w:shd w:val="clear" w:color="auto" w:fill="FFFFFF"/>
          </w:tcPr>
          <w:p w14:paraId="38FC6D40" w14:textId="77777777" w:rsidR="00924992" w:rsidRDefault="00924992">
            <w:pPr>
              <w:pStyle w:val="Other0"/>
              <w:framePr w:w="10210" w:h="6461" w:hSpace="62" w:vSpace="312" w:wrap="none" w:hAnchor="page" w:x="663" w:y="395"/>
              <w:spacing w:line="240" w:lineRule="auto"/>
              <w:ind w:firstLine="0"/>
              <w:rPr>
                <w:sz w:val="16"/>
                <w:szCs w:val="16"/>
              </w:rPr>
            </w:pPr>
            <w:r>
              <w:rPr>
                <w:rFonts w:ascii="Times New Roman" w:eastAsia="Times New Roman" w:hAnsi="Times New Roman" w:cs="Times New Roman"/>
                <w:color w:val="000000"/>
                <w:sz w:val="16"/>
                <w:szCs w:val="16"/>
              </w:rPr>
              <w:t>de (Abelcet)</w:t>
            </w:r>
            <w:r>
              <w:rPr>
                <w:rFonts w:ascii="Times New Roman" w:eastAsia="Times New Roman" w:hAnsi="Times New Roman" w:cs="Times New Roman"/>
                <w:color w:val="000000"/>
                <w:sz w:val="16"/>
                <w:szCs w:val="16"/>
                <w:vertAlign w:val="superscript"/>
              </w:rPr>
              <w:t>4,5</w:t>
            </w:r>
          </w:p>
        </w:tc>
        <w:tc>
          <w:tcPr>
            <w:tcW w:w="1469" w:type="dxa"/>
            <w:shd w:val="clear" w:color="auto" w:fill="FFFFFF"/>
          </w:tcPr>
          <w:p w14:paraId="46F80345" w14:textId="77777777" w:rsidR="00924992" w:rsidRDefault="00924992">
            <w:pPr>
              <w:framePr w:w="10210" w:h="6461" w:hSpace="62" w:vSpace="312" w:wrap="none" w:hAnchor="page" w:x="663" w:y="395"/>
              <w:rPr>
                <w:sz w:val="10"/>
                <w:szCs w:val="10"/>
              </w:rPr>
            </w:pPr>
          </w:p>
        </w:tc>
        <w:tc>
          <w:tcPr>
            <w:tcW w:w="3120" w:type="dxa"/>
            <w:shd w:val="clear" w:color="auto" w:fill="FFFFFF"/>
          </w:tcPr>
          <w:p w14:paraId="33A251CC" w14:textId="77777777" w:rsidR="00924992" w:rsidRDefault="00924992">
            <w:pPr>
              <w:pStyle w:val="Other0"/>
              <w:framePr w:w="10210" w:h="6461" w:hSpace="62" w:vSpace="312" w:wrap="none" w:hAnchor="page" w:x="663" w:y="395"/>
              <w:spacing w:line="240" w:lineRule="auto"/>
              <w:ind w:firstLine="280"/>
              <w:rPr>
                <w:sz w:val="16"/>
                <w:szCs w:val="16"/>
              </w:rPr>
            </w:pPr>
            <w:r>
              <w:rPr>
                <w:rFonts w:ascii="Times New Roman" w:eastAsia="Times New Roman" w:hAnsi="Times New Roman" w:cs="Times New Roman"/>
                <w:color w:val="000000"/>
                <w:sz w:val="16"/>
                <w:szCs w:val="16"/>
              </w:rPr>
              <w:t>durante 2 h</w:t>
            </w:r>
          </w:p>
        </w:tc>
        <w:tc>
          <w:tcPr>
            <w:tcW w:w="3134" w:type="dxa"/>
            <w:shd w:val="clear" w:color="auto" w:fill="FFFFFF"/>
            <w:vAlign w:val="bottom"/>
          </w:tcPr>
          <w:p w14:paraId="7528CFE1" w14:textId="77777777" w:rsidR="00924992" w:rsidRDefault="00924992">
            <w:pPr>
              <w:pStyle w:val="Other0"/>
              <w:framePr w:w="10210" w:h="6461" w:hSpace="62" w:vSpace="312" w:wrap="none" w:hAnchor="page" w:x="663" w:y="395"/>
              <w:spacing w:line="276" w:lineRule="auto"/>
              <w:ind w:left="140" w:firstLine="0"/>
              <w:rPr>
                <w:sz w:val="16"/>
                <w:szCs w:val="16"/>
              </w:rPr>
            </w:pPr>
            <w:r>
              <w:rPr>
                <w:rFonts w:ascii="Times New Roman" w:eastAsia="Times New Roman" w:hAnsi="Times New Roman" w:cs="Times New Roman"/>
                <w:color w:val="000000"/>
                <w:sz w:val="16"/>
                <w:szCs w:val="16"/>
              </w:rPr>
              <w:t>que surgen con la anfotericina B, pero menor nefrotoxicidad; hepatotoxicidad</w:t>
            </w:r>
          </w:p>
        </w:tc>
      </w:tr>
      <w:tr w:rsidR="00924992" w14:paraId="0126ACA9" w14:textId="77777777">
        <w:tblPrEx>
          <w:tblCellMar>
            <w:top w:w="0" w:type="dxa"/>
            <w:bottom w:w="0" w:type="dxa"/>
          </w:tblCellMar>
        </w:tblPrEx>
        <w:trPr>
          <w:trHeight w:hRule="exact" w:val="192"/>
        </w:trPr>
        <w:tc>
          <w:tcPr>
            <w:tcW w:w="2486" w:type="dxa"/>
            <w:shd w:val="clear" w:color="auto" w:fill="FFFFFF"/>
            <w:vAlign w:val="bottom"/>
          </w:tcPr>
          <w:p w14:paraId="78173DF8" w14:textId="77777777" w:rsidR="00924992" w:rsidRDefault="00924992">
            <w:pPr>
              <w:pStyle w:val="Other0"/>
              <w:framePr w:w="10210" w:h="6461" w:hSpace="62" w:vSpace="312" w:wrap="none" w:hAnchor="page" w:x="663" w:y="395"/>
              <w:spacing w:line="240" w:lineRule="auto"/>
              <w:ind w:firstLine="0"/>
              <w:rPr>
                <w:sz w:val="16"/>
                <w:szCs w:val="16"/>
              </w:rPr>
            </w:pPr>
            <w:r>
              <w:rPr>
                <w:rFonts w:ascii="Times New Roman" w:eastAsia="Times New Roman" w:hAnsi="Times New Roman" w:cs="Times New Roman"/>
                <w:color w:val="000000"/>
                <w:sz w:val="16"/>
                <w:szCs w:val="16"/>
              </w:rPr>
              <w:t>Anfotericina B, complejo de,</w:t>
            </w:r>
          </w:p>
        </w:tc>
        <w:tc>
          <w:tcPr>
            <w:tcW w:w="1469" w:type="dxa"/>
            <w:shd w:val="clear" w:color="auto" w:fill="FFFFFF"/>
            <w:vAlign w:val="bottom"/>
          </w:tcPr>
          <w:p w14:paraId="2EB147AF" w14:textId="77777777" w:rsidR="00924992" w:rsidRDefault="00924992">
            <w:pPr>
              <w:pStyle w:val="Other0"/>
              <w:framePr w:w="10210" w:h="6461" w:hSpace="62" w:vSpace="312" w:wrap="none" w:hAnchor="page" w:x="663" w:y="395"/>
              <w:spacing w:line="240" w:lineRule="auto"/>
              <w:ind w:firstLine="0"/>
              <w:rPr>
                <w:sz w:val="16"/>
                <w:szCs w:val="16"/>
              </w:rPr>
            </w:pPr>
            <w:r>
              <w:rPr>
                <w:rFonts w:ascii="Times New Roman" w:eastAsia="Times New Roman" w:hAnsi="Times New Roman" w:cs="Times New Roman"/>
                <w:color w:val="000000"/>
                <w:sz w:val="16"/>
                <w:szCs w:val="16"/>
              </w:rPr>
              <w:t>IV</w:t>
            </w:r>
          </w:p>
        </w:tc>
        <w:tc>
          <w:tcPr>
            <w:tcW w:w="3120" w:type="dxa"/>
            <w:shd w:val="clear" w:color="auto" w:fill="FFFFFF"/>
            <w:vAlign w:val="bottom"/>
          </w:tcPr>
          <w:p w14:paraId="6217D053" w14:textId="77777777" w:rsidR="00924992" w:rsidRDefault="00924992">
            <w:pPr>
              <w:pStyle w:val="Other0"/>
              <w:framePr w:w="10210" w:h="6461" w:hSpace="62" w:vSpace="312" w:wrap="none" w:hAnchor="page" w:x="663" w:y="395"/>
              <w:spacing w:line="240" w:lineRule="auto"/>
              <w:ind w:firstLine="180"/>
              <w:rPr>
                <w:sz w:val="16"/>
                <w:szCs w:val="16"/>
              </w:rPr>
            </w:pPr>
            <w:r>
              <w:rPr>
                <w:rFonts w:ascii="Times New Roman" w:eastAsia="Times New Roman" w:hAnsi="Times New Roman" w:cs="Times New Roman"/>
                <w:color w:val="000000"/>
                <w:sz w:val="16"/>
                <w:szCs w:val="16"/>
              </w:rPr>
              <w:t>3-6 mg/kg en goteo con velocidad</w:t>
            </w:r>
          </w:p>
        </w:tc>
        <w:tc>
          <w:tcPr>
            <w:tcW w:w="3134" w:type="dxa"/>
            <w:shd w:val="clear" w:color="auto" w:fill="FFFFFF"/>
            <w:vAlign w:val="bottom"/>
          </w:tcPr>
          <w:p w14:paraId="469FF27E" w14:textId="77777777" w:rsidR="00924992" w:rsidRDefault="00924992">
            <w:pPr>
              <w:pStyle w:val="Other0"/>
              <w:framePr w:w="10210" w:h="6461" w:hSpace="62" w:vSpace="312" w:wrap="none" w:hAnchor="page" w:x="663" w:y="395"/>
              <w:spacing w:line="240" w:lineRule="auto"/>
              <w:ind w:firstLine="0"/>
              <w:rPr>
                <w:sz w:val="16"/>
                <w:szCs w:val="16"/>
              </w:rPr>
            </w:pPr>
            <w:r>
              <w:rPr>
                <w:rFonts w:ascii="Times New Roman" w:eastAsia="Times New Roman" w:hAnsi="Times New Roman" w:cs="Times New Roman"/>
                <w:color w:val="000000"/>
                <w:sz w:val="16"/>
                <w:szCs w:val="16"/>
              </w:rPr>
              <w:t>Fiebre, escalofríos, otras reacciones</w:t>
            </w:r>
          </w:p>
        </w:tc>
      </w:tr>
      <w:tr w:rsidR="00924992" w14:paraId="3B1A6DD4" w14:textId="77777777">
        <w:tblPrEx>
          <w:tblCellMar>
            <w:top w:w="0" w:type="dxa"/>
            <w:bottom w:w="0" w:type="dxa"/>
          </w:tblCellMar>
        </w:tblPrEx>
        <w:trPr>
          <w:trHeight w:hRule="exact" w:val="437"/>
        </w:trPr>
        <w:tc>
          <w:tcPr>
            <w:tcW w:w="2486" w:type="dxa"/>
            <w:shd w:val="clear" w:color="auto" w:fill="FFFFFF"/>
            <w:vAlign w:val="bottom"/>
          </w:tcPr>
          <w:p w14:paraId="43BA7D8D" w14:textId="77777777" w:rsidR="00924992" w:rsidRDefault="00924992">
            <w:pPr>
              <w:pStyle w:val="Other0"/>
              <w:framePr w:w="10210" w:h="6461" w:hSpace="62" w:vSpace="312" w:wrap="none" w:hAnchor="page" w:x="663" w:y="395"/>
              <w:spacing w:line="276" w:lineRule="auto"/>
              <w:ind w:firstLine="0"/>
              <w:rPr>
                <w:sz w:val="16"/>
                <w:szCs w:val="16"/>
              </w:rPr>
            </w:pPr>
            <w:r>
              <w:rPr>
                <w:rFonts w:ascii="Times New Roman" w:eastAsia="Times New Roman" w:hAnsi="Times New Roman" w:cs="Times New Roman"/>
                <w:color w:val="000000"/>
                <w:sz w:val="16"/>
                <w:szCs w:val="16"/>
              </w:rPr>
              <w:t>y sulfato de colesteril (Amphotec)</w:t>
            </w:r>
            <w:r>
              <w:rPr>
                <w:rFonts w:ascii="Times New Roman" w:eastAsia="Times New Roman" w:hAnsi="Times New Roman" w:cs="Times New Roman"/>
                <w:color w:val="000000"/>
                <w:sz w:val="16"/>
                <w:szCs w:val="16"/>
                <w:vertAlign w:val="superscript"/>
              </w:rPr>
              <w:t>4,5</w:t>
            </w:r>
          </w:p>
        </w:tc>
        <w:tc>
          <w:tcPr>
            <w:tcW w:w="1469" w:type="dxa"/>
            <w:shd w:val="clear" w:color="auto" w:fill="FFFFFF"/>
          </w:tcPr>
          <w:p w14:paraId="646F5FDD" w14:textId="77777777" w:rsidR="00924992" w:rsidRDefault="00924992">
            <w:pPr>
              <w:framePr w:w="10210" w:h="6461" w:hSpace="62" w:vSpace="312" w:wrap="none" w:hAnchor="page" w:x="663" w:y="395"/>
              <w:rPr>
                <w:sz w:val="10"/>
                <w:szCs w:val="10"/>
              </w:rPr>
            </w:pPr>
          </w:p>
        </w:tc>
        <w:tc>
          <w:tcPr>
            <w:tcW w:w="3120" w:type="dxa"/>
            <w:shd w:val="clear" w:color="auto" w:fill="FFFFFF"/>
          </w:tcPr>
          <w:p w14:paraId="1FBD9E31" w14:textId="77777777" w:rsidR="00924992" w:rsidRDefault="00924992">
            <w:pPr>
              <w:pStyle w:val="Other0"/>
              <w:framePr w:w="10210" w:h="6461" w:hSpace="62" w:vSpace="312" w:wrap="none" w:hAnchor="page" w:x="663" w:y="395"/>
              <w:spacing w:line="240" w:lineRule="auto"/>
              <w:ind w:firstLine="280"/>
              <w:jc w:val="both"/>
              <w:rPr>
                <w:sz w:val="16"/>
                <w:szCs w:val="16"/>
              </w:rPr>
            </w:pPr>
            <w:r>
              <w:rPr>
                <w:rFonts w:ascii="Times New Roman" w:eastAsia="Times New Roman" w:hAnsi="Times New Roman" w:cs="Times New Roman"/>
                <w:color w:val="000000"/>
                <w:sz w:val="16"/>
                <w:szCs w:val="16"/>
              </w:rPr>
              <w:t>de 1 mg/kg por hora</w:t>
            </w:r>
          </w:p>
        </w:tc>
        <w:tc>
          <w:tcPr>
            <w:tcW w:w="3134" w:type="dxa"/>
            <w:shd w:val="clear" w:color="auto" w:fill="FFFFFF"/>
            <w:vAlign w:val="bottom"/>
          </w:tcPr>
          <w:p w14:paraId="486A8FC6" w14:textId="77777777" w:rsidR="00924992" w:rsidRDefault="00924992">
            <w:pPr>
              <w:pStyle w:val="Other0"/>
              <w:framePr w:w="10210" w:h="6461" w:hSpace="62" w:vSpace="312" w:wrap="none" w:hAnchor="page" w:x="663" w:y="395"/>
              <w:spacing w:line="276" w:lineRule="auto"/>
              <w:ind w:left="140" w:firstLine="0"/>
              <w:rPr>
                <w:sz w:val="16"/>
                <w:szCs w:val="16"/>
              </w:rPr>
            </w:pPr>
            <w:r>
              <w:rPr>
                <w:rFonts w:ascii="Times New Roman" w:eastAsia="Times New Roman" w:hAnsi="Times New Roman" w:cs="Times New Roman"/>
                <w:color w:val="000000"/>
                <w:sz w:val="16"/>
                <w:szCs w:val="16"/>
              </w:rPr>
              <w:t>que surgen con la anfotericina B, pero menor nefrotoxicidad; hepatotoxicidad</w:t>
            </w:r>
          </w:p>
        </w:tc>
      </w:tr>
      <w:tr w:rsidR="00924992" w14:paraId="4468B0EF" w14:textId="77777777">
        <w:tblPrEx>
          <w:tblCellMar>
            <w:top w:w="0" w:type="dxa"/>
            <w:bottom w:w="0" w:type="dxa"/>
          </w:tblCellMar>
        </w:tblPrEx>
        <w:trPr>
          <w:trHeight w:hRule="exact" w:val="197"/>
        </w:trPr>
        <w:tc>
          <w:tcPr>
            <w:tcW w:w="2486" w:type="dxa"/>
            <w:shd w:val="clear" w:color="auto" w:fill="FFFFFF"/>
            <w:vAlign w:val="bottom"/>
          </w:tcPr>
          <w:p w14:paraId="7FF4421E" w14:textId="77777777" w:rsidR="00924992" w:rsidRDefault="00924992">
            <w:pPr>
              <w:pStyle w:val="Other0"/>
              <w:framePr w:w="10210" w:h="6461" w:hSpace="62" w:vSpace="312" w:wrap="none" w:hAnchor="page" w:x="663" w:y="395"/>
              <w:spacing w:line="240" w:lineRule="auto"/>
              <w:ind w:firstLine="0"/>
              <w:rPr>
                <w:sz w:val="16"/>
                <w:szCs w:val="16"/>
              </w:rPr>
            </w:pPr>
            <w:r>
              <w:rPr>
                <w:rFonts w:ascii="Times New Roman" w:eastAsia="Times New Roman" w:hAnsi="Times New Roman" w:cs="Times New Roman"/>
                <w:color w:val="000000"/>
                <w:sz w:val="16"/>
                <w:szCs w:val="16"/>
              </w:rPr>
              <w:t>Anfotericina B en liposomas</w:t>
            </w:r>
          </w:p>
        </w:tc>
        <w:tc>
          <w:tcPr>
            <w:tcW w:w="1469" w:type="dxa"/>
            <w:shd w:val="clear" w:color="auto" w:fill="FFFFFF"/>
            <w:vAlign w:val="bottom"/>
          </w:tcPr>
          <w:p w14:paraId="58996C83" w14:textId="77777777" w:rsidR="00924992" w:rsidRDefault="00924992">
            <w:pPr>
              <w:pStyle w:val="Other0"/>
              <w:framePr w:w="10210" w:h="6461" w:hSpace="62" w:vSpace="312" w:wrap="none" w:hAnchor="page" w:x="663" w:y="395"/>
              <w:spacing w:line="240" w:lineRule="auto"/>
              <w:ind w:firstLine="0"/>
              <w:rPr>
                <w:sz w:val="16"/>
                <w:szCs w:val="16"/>
              </w:rPr>
            </w:pPr>
            <w:r>
              <w:rPr>
                <w:rFonts w:ascii="Times New Roman" w:eastAsia="Times New Roman" w:hAnsi="Times New Roman" w:cs="Times New Roman"/>
                <w:color w:val="000000"/>
                <w:sz w:val="16"/>
                <w:szCs w:val="16"/>
              </w:rPr>
              <w:t>IV</w:t>
            </w:r>
          </w:p>
        </w:tc>
        <w:tc>
          <w:tcPr>
            <w:tcW w:w="3120" w:type="dxa"/>
            <w:shd w:val="clear" w:color="auto" w:fill="FFFFFF"/>
            <w:vAlign w:val="bottom"/>
          </w:tcPr>
          <w:p w14:paraId="10E4C1EC" w14:textId="77777777" w:rsidR="00924992" w:rsidRDefault="00924992">
            <w:pPr>
              <w:pStyle w:val="Other0"/>
              <w:framePr w:w="10210" w:h="6461" w:hSpace="62" w:vSpace="312" w:wrap="none" w:hAnchor="page" w:x="663" w:y="395"/>
              <w:spacing w:line="240" w:lineRule="auto"/>
              <w:ind w:firstLine="180"/>
              <w:rPr>
                <w:sz w:val="16"/>
                <w:szCs w:val="16"/>
              </w:rPr>
            </w:pPr>
            <w:r>
              <w:rPr>
                <w:rFonts w:ascii="Times New Roman" w:eastAsia="Times New Roman" w:hAnsi="Times New Roman" w:cs="Times New Roman"/>
                <w:color w:val="000000"/>
                <w:sz w:val="16"/>
                <w:szCs w:val="16"/>
              </w:rPr>
              <w:t>3-5 mg/kg en goteo endovenoso</w:t>
            </w:r>
          </w:p>
        </w:tc>
        <w:tc>
          <w:tcPr>
            <w:tcW w:w="3134" w:type="dxa"/>
            <w:shd w:val="clear" w:color="auto" w:fill="FFFFFF"/>
            <w:vAlign w:val="bottom"/>
          </w:tcPr>
          <w:p w14:paraId="32F03687" w14:textId="77777777" w:rsidR="00924992" w:rsidRDefault="00924992">
            <w:pPr>
              <w:pStyle w:val="Other0"/>
              <w:framePr w:w="10210" w:h="6461" w:hSpace="62" w:vSpace="312" w:wrap="none" w:hAnchor="page" w:x="663" w:y="395"/>
              <w:spacing w:line="240" w:lineRule="auto"/>
              <w:ind w:firstLine="0"/>
              <w:rPr>
                <w:sz w:val="16"/>
                <w:szCs w:val="16"/>
              </w:rPr>
            </w:pPr>
            <w:r>
              <w:rPr>
                <w:rFonts w:ascii="Times New Roman" w:eastAsia="Times New Roman" w:hAnsi="Times New Roman" w:cs="Times New Roman"/>
                <w:color w:val="000000"/>
                <w:sz w:val="16"/>
                <w:szCs w:val="16"/>
              </w:rPr>
              <w:t>Fiebre, escalofríos, otras reacciones que</w:t>
            </w:r>
          </w:p>
        </w:tc>
      </w:tr>
      <w:tr w:rsidR="00924992" w14:paraId="2127268E" w14:textId="77777777">
        <w:tblPrEx>
          <w:tblCellMar>
            <w:top w:w="0" w:type="dxa"/>
            <w:bottom w:w="0" w:type="dxa"/>
          </w:tblCellMar>
        </w:tblPrEx>
        <w:trPr>
          <w:trHeight w:hRule="exact" w:val="432"/>
        </w:trPr>
        <w:tc>
          <w:tcPr>
            <w:tcW w:w="2486" w:type="dxa"/>
            <w:shd w:val="clear" w:color="auto" w:fill="FFFFFF"/>
          </w:tcPr>
          <w:p w14:paraId="7F589D22" w14:textId="77777777" w:rsidR="00924992" w:rsidRDefault="00924992">
            <w:pPr>
              <w:pStyle w:val="Other0"/>
              <w:framePr w:w="10210" w:h="6461" w:hSpace="62" w:vSpace="312" w:wrap="none" w:hAnchor="page" w:x="663" w:y="395"/>
              <w:spacing w:line="240" w:lineRule="auto"/>
              <w:ind w:firstLine="0"/>
              <w:rPr>
                <w:sz w:val="16"/>
                <w:szCs w:val="16"/>
              </w:rPr>
            </w:pPr>
            <w:r>
              <w:rPr>
                <w:rFonts w:ascii="Times New Roman" w:eastAsia="Times New Roman" w:hAnsi="Times New Roman" w:cs="Times New Roman"/>
                <w:color w:val="000000"/>
                <w:sz w:val="16"/>
                <w:szCs w:val="16"/>
              </w:rPr>
              <w:t>(AmBisome)</w:t>
            </w:r>
            <w:r>
              <w:rPr>
                <w:rFonts w:ascii="Times New Roman" w:eastAsia="Times New Roman" w:hAnsi="Times New Roman" w:cs="Times New Roman"/>
                <w:color w:val="000000"/>
                <w:sz w:val="16"/>
                <w:szCs w:val="16"/>
                <w:vertAlign w:val="superscript"/>
              </w:rPr>
              <w:t>4,5</w:t>
            </w:r>
          </w:p>
        </w:tc>
        <w:tc>
          <w:tcPr>
            <w:tcW w:w="1469" w:type="dxa"/>
            <w:shd w:val="clear" w:color="auto" w:fill="FFFFFF"/>
          </w:tcPr>
          <w:p w14:paraId="0591192A" w14:textId="77777777" w:rsidR="00924992" w:rsidRDefault="00924992">
            <w:pPr>
              <w:framePr w:w="10210" w:h="6461" w:hSpace="62" w:vSpace="312" w:wrap="none" w:hAnchor="page" w:x="663" w:y="395"/>
              <w:rPr>
                <w:sz w:val="10"/>
                <w:szCs w:val="10"/>
              </w:rPr>
            </w:pPr>
          </w:p>
        </w:tc>
        <w:tc>
          <w:tcPr>
            <w:tcW w:w="3120" w:type="dxa"/>
            <w:shd w:val="clear" w:color="auto" w:fill="FFFFFF"/>
          </w:tcPr>
          <w:p w14:paraId="2A7F24D2" w14:textId="77777777" w:rsidR="00924992" w:rsidRDefault="00924992">
            <w:pPr>
              <w:pStyle w:val="Other0"/>
              <w:framePr w:w="10210" w:h="6461" w:hSpace="62" w:vSpace="312" w:wrap="none" w:hAnchor="page" w:x="663" w:y="395"/>
              <w:spacing w:line="240" w:lineRule="auto"/>
              <w:ind w:firstLine="280"/>
              <w:rPr>
                <w:sz w:val="16"/>
                <w:szCs w:val="16"/>
              </w:rPr>
            </w:pPr>
            <w:r>
              <w:rPr>
                <w:rFonts w:ascii="Times New Roman" w:eastAsia="Times New Roman" w:hAnsi="Times New Roman" w:cs="Times New Roman"/>
                <w:color w:val="000000"/>
                <w:sz w:val="16"/>
                <w:szCs w:val="16"/>
              </w:rPr>
              <w:t>durante 1-2 h</w:t>
            </w:r>
          </w:p>
        </w:tc>
        <w:tc>
          <w:tcPr>
            <w:tcW w:w="3134" w:type="dxa"/>
            <w:shd w:val="clear" w:color="auto" w:fill="FFFFFF"/>
            <w:vAlign w:val="bottom"/>
          </w:tcPr>
          <w:p w14:paraId="6AB4477B" w14:textId="77777777" w:rsidR="00924992" w:rsidRDefault="00924992">
            <w:pPr>
              <w:pStyle w:val="Other0"/>
              <w:framePr w:w="10210" w:h="6461" w:hSpace="62" w:vSpace="312" w:wrap="none" w:hAnchor="page" w:x="663" w:y="395"/>
              <w:ind w:left="140" w:firstLine="0"/>
              <w:rPr>
                <w:sz w:val="16"/>
                <w:szCs w:val="16"/>
              </w:rPr>
            </w:pPr>
            <w:r>
              <w:rPr>
                <w:rFonts w:ascii="Times New Roman" w:eastAsia="Times New Roman" w:hAnsi="Times New Roman" w:cs="Times New Roman"/>
                <w:color w:val="000000"/>
                <w:sz w:val="16"/>
                <w:szCs w:val="16"/>
              </w:rPr>
              <w:t>surgen con anfotericina B, pero menor nefrotoxicidad; hepatotoxicidad</w:t>
            </w:r>
          </w:p>
        </w:tc>
      </w:tr>
      <w:tr w:rsidR="00924992" w14:paraId="4FB03C2F" w14:textId="77777777">
        <w:tblPrEx>
          <w:tblCellMar>
            <w:top w:w="0" w:type="dxa"/>
            <w:bottom w:w="0" w:type="dxa"/>
          </w:tblCellMar>
        </w:tblPrEx>
        <w:trPr>
          <w:trHeight w:hRule="exact" w:val="1262"/>
        </w:trPr>
        <w:tc>
          <w:tcPr>
            <w:tcW w:w="2486" w:type="dxa"/>
            <w:shd w:val="clear" w:color="auto" w:fill="FFFFFF"/>
          </w:tcPr>
          <w:p w14:paraId="75FEEC80" w14:textId="77777777" w:rsidR="00924992" w:rsidRDefault="00924992">
            <w:pPr>
              <w:pStyle w:val="Other0"/>
              <w:framePr w:w="10210" w:h="6461" w:hSpace="62" w:vSpace="312" w:wrap="none" w:hAnchor="page" w:x="663" w:y="395"/>
              <w:spacing w:line="240" w:lineRule="auto"/>
              <w:ind w:firstLine="0"/>
              <w:rPr>
                <w:sz w:val="16"/>
                <w:szCs w:val="16"/>
              </w:rPr>
            </w:pPr>
            <w:r>
              <w:rPr>
                <w:rFonts w:ascii="Times New Roman" w:eastAsia="Times New Roman" w:hAnsi="Times New Roman" w:cs="Times New Roman"/>
                <w:color w:val="000000"/>
                <w:sz w:val="16"/>
                <w:szCs w:val="16"/>
              </w:rPr>
              <w:t>Caspofungina</w:t>
            </w:r>
            <w:r>
              <w:rPr>
                <w:rFonts w:ascii="Times New Roman" w:eastAsia="Times New Roman" w:hAnsi="Times New Roman" w:cs="Times New Roman"/>
                <w:color w:val="000000"/>
                <w:sz w:val="16"/>
                <w:szCs w:val="16"/>
                <w:vertAlign w:val="superscript"/>
              </w:rPr>
              <w:t>4,5</w:t>
            </w:r>
          </w:p>
        </w:tc>
        <w:tc>
          <w:tcPr>
            <w:tcW w:w="1469" w:type="dxa"/>
            <w:shd w:val="clear" w:color="auto" w:fill="FFFFFF"/>
          </w:tcPr>
          <w:p w14:paraId="4FC3DF50" w14:textId="77777777" w:rsidR="00924992" w:rsidRDefault="00924992">
            <w:pPr>
              <w:pStyle w:val="Other0"/>
              <w:framePr w:w="10210" w:h="6461" w:hSpace="62" w:vSpace="312" w:wrap="none" w:hAnchor="page" w:x="663" w:y="395"/>
              <w:spacing w:line="240" w:lineRule="auto"/>
              <w:ind w:firstLine="0"/>
              <w:rPr>
                <w:sz w:val="16"/>
                <w:szCs w:val="16"/>
              </w:rPr>
            </w:pPr>
            <w:r>
              <w:rPr>
                <w:rFonts w:ascii="Times New Roman" w:eastAsia="Times New Roman" w:hAnsi="Times New Roman" w:cs="Times New Roman"/>
                <w:color w:val="000000"/>
                <w:sz w:val="16"/>
                <w:szCs w:val="16"/>
              </w:rPr>
              <w:t>IV</w:t>
            </w:r>
          </w:p>
        </w:tc>
        <w:tc>
          <w:tcPr>
            <w:tcW w:w="3120" w:type="dxa"/>
            <w:shd w:val="clear" w:color="auto" w:fill="FFFFFF"/>
          </w:tcPr>
          <w:p w14:paraId="285AE0CC" w14:textId="77777777" w:rsidR="00924992" w:rsidRDefault="00924992">
            <w:pPr>
              <w:pStyle w:val="Other0"/>
              <w:framePr w:w="10210" w:h="6461" w:hSpace="62" w:vSpace="312" w:wrap="none" w:hAnchor="page" w:x="663" w:y="395"/>
              <w:spacing w:line="276" w:lineRule="auto"/>
              <w:ind w:left="280" w:hanging="100"/>
              <w:rPr>
                <w:sz w:val="16"/>
                <w:szCs w:val="16"/>
              </w:rPr>
            </w:pPr>
            <w:r>
              <w:rPr>
                <w:rFonts w:ascii="Times New Roman" w:eastAsia="Times New Roman" w:hAnsi="Times New Roman" w:cs="Times New Roman"/>
                <w:color w:val="000000"/>
                <w:sz w:val="16"/>
                <w:szCs w:val="16"/>
              </w:rPr>
              <w:t>Adultos: 70 mg, dosis inicial para seguir con 50 mg una vez al día</w:t>
            </w:r>
          </w:p>
        </w:tc>
        <w:tc>
          <w:tcPr>
            <w:tcW w:w="3134" w:type="dxa"/>
            <w:shd w:val="clear" w:color="auto" w:fill="FFFFFF"/>
            <w:vAlign w:val="bottom"/>
          </w:tcPr>
          <w:p w14:paraId="416EB8B1" w14:textId="77777777" w:rsidR="00924992" w:rsidRDefault="00924992">
            <w:pPr>
              <w:pStyle w:val="Other0"/>
              <w:framePr w:w="10210" w:h="6461" w:hSpace="62" w:vSpace="312" w:wrap="none" w:hAnchor="page" w:x="663" w:y="395"/>
              <w:spacing w:line="276" w:lineRule="auto"/>
              <w:ind w:left="140" w:hanging="140"/>
              <w:rPr>
                <w:sz w:val="16"/>
                <w:szCs w:val="16"/>
              </w:rPr>
            </w:pPr>
            <w:r>
              <w:rPr>
                <w:rFonts w:ascii="Times New Roman" w:eastAsia="Times New Roman" w:hAnsi="Times New Roman" w:cs="Times New Roman"/>
                <w:color w:val="000000"/>
                <w:sz w:val="16"/>
                <w:szCs w:val="16"/>
              </w:rPr>
              <w:t>Fiebre, erupción, prurito, flebitis, cefalea, síntomas de vías gastrointestinales, anemia. No se recomienda el uso simultáneo con ciclosporina, salvo que los posibles beneficios sean mayores que los riesgos potenciales.</w:t>
            </w:r>
          </w:p>
        </w:tc>
      </w:tr>
      <w:tr w:rsidR="00924992" w14:paraId="1EC47B48" w14:textId="77777777">
        <w:tblPrEx>
          <w:tblCellMar>
            <w:top w:w="0" w:type="dxa"/>
            <w:bottom w:w="0" w:type="dxa"/>
          </w:tblCellMar>
        </w:tblPrEx>
        <w:trPr>
          <w:trHeight w:hRule="exact" w:val="413"/>
        </w:trPr>
        <w:tc>
          <w:tcPr>
            <w:tcW w:w="2486" w:type="dxa"/>
            <w:shd w:val="clear" w:color="auto" w:fill="FFFFFF"/>
          </w:tcPr>
          <w:p w14:paraId="3701C7C4" w14:textId="77777777" w:rsidR="00924992" w:rsidRDefault="00924992">
            <w:pPr>
              <w:pStyle w:val="Other0"/>
              <w:framePr w:w="10210" w:h="6461" w:hSpace="62" w:vSpace="312" w:wrap="none" w:hAnchor="page" w:x="663" w:y="395"/>
              <w:spacing w:line="240" w:lineRule="auto"/>
              <w:ind w:firstLine="0"/>
              <w:rPr>
                <w:sz w:val="16"/>
                <w:szCs w:val="16"/>
              </w:rPr>
            </w:pPr>
            <w:r>
              <w:rPr>
                <w:rFonts w:ascii="Times New Roman" w:eastAsia="Times New Roman" w:hAnsi="Times New Roman" w:cs="Times New Roman"/>
                <w:color w:val="000000"/>
                <w:sz w:val="16"/>
                <w:szCs w:val="16"/>
              </w:rPr>
              <w:t>Clotrimazol</w:t>
            </w:r>
          </w:p>
        </w:tc>
        <w:tc>
          <w:tcPr>
            <w:tcW w:w="1469" w:type="dxa"/>
            <w:shd w:val="clear" w:color="auto" w:fill="FFFFFF"/>
          </w:tcPr>
          <w:p w14:paraId="5A598B3C" w14:textId="77777777" w:rsidR="00924992" w:rsidRDefault="00924992">
            <w:pPr>
              <w:pStyle w:val="Other0"/>
              <w:framePr w:w="10210" w:h="6461" w:hSpace="62" w:vSpace="312" w:wrap="none" w:hAnchor="page" w:x="663" w:y="395"/>
              <w:spacing w:line="240" w:lineRule="auto"/>
              <w:ind w:firstLine="0"/>
              <w:rPr>
                <w:sz w:val="16"/>
                <w:szCs w:val="16"/>
              </w:rPr>
            </w:pPr>
            <w:r>
              <w:rPr>
                <w:rFonts w:ascii="Times New Roman" w:eastAsia="Times New Roman" w:hAnsi="Times New Roman" w:cs="Times New Roman"/>
                <w:color w:val="000000"/>
                <w:sz w:val="16"/>
                <w:szCs w:val="16"/>
              </w:rPr>
              <w:t>PO</w:t>
            </w:r>
          </w:p>
        </w:tc>
        <w:tc>
          <w:tcPr>
            <w:tcW w:w="3120" w:type="dxa"/>
            <w:shd w:val="clear" w:color="auto" w:fill="FFFFFF"/>
            <w:vAlign w:val="bottom"/>
          </w:tcPr>
          <w:p w14:paraId="383F5F41" w14:textId="77777777" w:rsidR="00924992" w:rsidRDefault="00924992">
            <w:pPr>
              <w:pStyle w:val="Other0"/>
              <w:framePr w:w="10210" w:h="6461" w:hSpace="62" w:vSpace="312" w:wrap="none" w:hAnchor="page" w:x="663" w:y="395"/>
              <w:ind w:left="280" w:hanging="100"/>
              <w:rPr>
                <w:sz w:val="16"/>
                <w:szCs w:val="16"/>
              </w:rPr>
            </w:pPr>
            <w:r>
              <w:rPr>
                <w:rFonts w:ascii="Times New Roman" w:eastAsia="Times New Roman" w:hAnsi="Times New Roman" w:cs="Times New Roman"/>
                <w:color w:val="000000"/>
                <w:sz w:val="16"/>
                <w:szCs w:val="16"/>
              </w:rPr>
              <w:t>Una tableta de 10 mg cinco veces al día (disuelta lentamente en la boca)</w:t>
            </w:r>
          </w:p>
        </w:tc>
        <w:tc>
          <w:tcPr>
            <w:tcW w:w="3134" w:type="dxa"/>
            <w:shd w:val="clear" w:color="auto" w:fill="FFFFFF"/>
            <w:vAlign w:val="bottom"/>
          </w:tcPr>
          <w:p w14:paraId="72360E03" w14:textId="77777777" w:rsidR="00924992" w:rsidRDefault="00924992">
            <w:pPr>
              <w:pStyle w:val="Other0"/>
              <w:framePr w:w="10210" w:h="6461" w:hSpace="62" w:vSpace="312" w:wrap="none" w:hAnchor="page" w:x="663" w:y="395"/>
              <w:ind w:left="140" w:hanging="140"/>
              <w:rPr>
                <w:sz w:val="16"/>
                <w:szCs w:val="16"/>
              </w:rPr>
            </w:pPr>
            <w:r>
              <w:rPr>
                <w:rFonts w:ascii="Times New Roman" w:eastAsia="Times New Roman" w:hAnsi="Times New Roman" w:cs="Times New Roman"/>
                <w:color w:val="000000"/>
                <w:sz w:val="16"/>
                <w:szCs w:val="16"/>
              </w:rPr>
              <w:t>Síntomas de vías gastrointestinales, hepatotoxicidad</w:t>
            </w:r>
          </w:p>
        </w:tc>
      </w:tr>
      <w:tr w:rsidR="00924992" w14:paraId="03F8F797" w14:textId="77777777">
        <w:tblPrEx>
          <w:tblCellMar>
            <w:top w:w="0" w:type="dxa"/>
            <w:bottom w:w="0" w:type="dxa"/>
          </w:tblCellMar>
        </w:tblPrEx>
        <w:trPr>
          <w:trHeight w:hRule="exact" w:val="830"/>
        </w:trPr>
        <w:tc>
          <w:tcPr>
            <w:tcW w:w="2486" w:type="dxa"/>
            <w:shd w:val="clear" w:color="auto" w:fill="FFFFFF"/>
          </w:tcPr>
          <w:p w14:paraId="72BA4C19" w14:textId="77777777" w:rsidR="00924992" w:rsidRDefault="00924992">
            <w:pPr>
              <w:pStyle w:val="Other0"/>
              <w:framePr w:w="10210" w:h="6461" w:hSpace="62" w:vSpace="312" w:wrap="none" w:hAnchor="page" w:x="663" w:y="395"/>
              <w:spacing w:line="240" w:lineRule="auto"/>
              <w:ind w:firstLine="0"/>
              <w:rPr>
                <w:sz w:val="16"/>
                <w:szCs w:val="16"/>
              </w:rPr>
            </w:pPr>
            <w:r>
              <w:rPr>
                <w:rFonts w:ascii="Times New Roman" w:eastAsia="Times New Roman" w:hAnsi="Times New Roman" w:cs="Times New Roman"/>
                <w:color w:val="000000"/>
                <w:sz w:val="16"/>
                <w:szCs w:val="16"/>
              </w:rPr>
              <w:t>Flucitosina</w:t>
            </w:r>
          </w:p>
        </w:tc>
        <w:tc>
          <w:tcPr>
            <w:tcW w:w="1469" w:type="dxa"/>
            <w:shd w:val="clear" w:color="auto" w:fill="FFFFFF"/>
          </w:tcPr>
          <w:p w14:paraId="70065E34" w14:textId="77777777" w:rsidR="00924992" w:rsidRDefault="00924992">
            <w:pPr>
              <w:pStyle w:val="Other0"/>
              <w:framePr w:w="10210" w:h="6461" w:hSpace="62" w:vSpace="312" w:wrap="none" w:hAnchor="page" w:x="663" w:y="395"/>
              <w:spacing w:line="240" w:lineRule="auto"/>
              <w:ind w:firstLine="0"/>
              <w:rPr>
                <w:sz w:val="16"/>
                <w:szCs w:val="16"/>
              </w:rPr>
            </w:pPr>
            <w:r>
              <w:rPr>
                <w:rFonts w:ascii="Times New Roman" w:eastAsia="Times New Roman" w:hAnsi="Times New Roman" w:cs="Times New Roman"/>
                <w:color w:val="000000"/>
                <w:sz w:val="16"/>
                <w:szCs w:val="16"/>
              </w:rPr>
              <w:t>PO</w:t>
            </w:r>
          </w:p>
        </w:tc>
        <w:tc>
          <w:tcPr>
            <w:tcW w:w="3120" w:type="dxa"/>
            <w:shd w:val="clear" w:color="auto" w:fill="FFFFFF"/>
          </w:tcPr>
          <w:p w14:paraId="3F58EC4C" w14:textId="77777777" w:rsidR="00924992" w:rsidRDefault="00924992">
            <w:pPr>
              <w:pStyle w:val="Other0"/>
              <w:framePr w:w="10210" w:h="6461" w:hSpace="62" w:vSpace="312" w:wrap="none" w:hAnchor="page" w:x="663" w:y="395"/>
              <w:spacing w:line="276" w:lineRule="auto"/>
              <w:ind w:left="280" w:hanging="100"/>
              <w:rPr>
                <w:sz w:val="16"/>
                <w:szCs w:val="16"/>
              </w:rPr>
            </w:pPr>
            <w:r>
              <w:rPr>
                <w:rFonts w:ascii="Times New Roman" w:eastAsia="Times New Roman" w:hAnsi="Times New Roman" w:cs="Times New Roman"/>
                <w:color w:val="000000"/>
                <w:sz w:val="16"/>
                <w:szCs w:val="16"/>
              </w:rPr>
              <w:t>50-150 mg/kg al día en cuatro fracciones a intervalos de 6 h (ajustar la dosis si hay disfunción renal)</w:t>
            </w:r>
          </w:p>
        </w:tc>
        <w:tc>
          <w:tcPr>
            <w:tcW w:w="3134" w:type="dxa"/>
            <w:shd w:val="clear" w:color="auto" w:fill="FFFFFF"/>
          </w:tcPr>
          <w:p w14:paraId="516DFFBE" w14:textId="77777777" w:rsidR="00924992" w:rsidRDefault="00924992">
            <w:pPr>
              <w:pStyle w:val="Other0"/>
              <w:framePr w:w="10210" w:h="6461" w:hSpace="62" w:vSpace="312" w:wrap="none" w:hAnchor="page" w:x="663" w:y="395"/>
              <w:spacing w:line="276" w:lineRule="auto"/>
              <w:ind w:left="140" w:hanging="140"/>
              <w:rPr>
                <w:sz w:val="16"/>
                <w:szCs w:val="16"/>
              </w:rPr>
            </w:pPr>
            <w:r>
              <w:rPr>
                <w:rFonts w:ascii="Times New Roman" w:eastAsia="Times New Roman" w:hAnsi="Times New Roman" w:cs="Times New Roman"/>
                <w:color w:val="000000"/>
                <w:sz w:val="16"/>
                <w:szCs w:val="16"/>
              </w:rPr>
              <w:t>Supresión de médula ósea, disfunción renal, síntomas de vías gastrointestinales, erupciones, neuropatía, hepatotoxicidad, confusión, alucinaciones</w:t>
            </w:r>
          </w:p>
        </w:tc>
      </w:tr>
    </w:tbl>
    <w:p w14:paraId="013F0DFD" w14:textId="77777777" w:rsidR="00924992" w:rsidRDefault="00924992">
      <w:pPr>
        <w:framePr w:w="10210" w:h="6461" w:hSpace="62" w:vSpace="312" w:wrap="none" w:hAnchor="page" w:x="663" w:y="395"/>
        <w:spacing w:line="1" w:lineRule="exact"/>
      </w:pPr>
    </w:p>
    <w:p w14:paraId="6B0843E0" w14:textId="77777777" w:rsidR="00924992" w:rsidRDefault="00924992">
      <w:pPr>
        <w:pStyle w:val="Tablecaption0"/>
        <w:framePr w:w="701" w:h="245" w:wrap="none" w:hAnchor="page" w:x="10234" w:y="6923"/>
        <w:spacing w:line="240" w:lineRule="auto"/>
        <w:ind w:left="0"/>
        <w:rPr>
          <w:sz w:val="16"/>
          <w:szCs w:val="16"/>
        </w:rPr>
      </w:pPr>
      <w:r>
        <w:rPr>
          <w:i/>
          <w:iCs/>
          <w:color w:val="000000"/>
          <w:sz w:val="16"/>
          <w:szCs w:val="16"/>
        </w:rPr>
        <w:t>continúa</w:t>
      </w:r>
    </w:p>
    <w:p w14:paraId="3720E595" w14:textId="77777777" w:rsidR="00924992" w:rsidRDefault="00924992">
      <w:pPr>
        <w:pStyle w:val="Bodytext80"/>
        <w:framePr w:w="192" w:h="6058" w:hRule="exact" w:wrap="none" w:hAnchor="page" w:x="12390" w:y="860"/>
        <w:textDirection w:val="tbRl"/>
        <w:rPr>
          <w:sz w:val="16"/>
          <w:szCs w:val="16"/>
        </w:rPr>
      </w:pPr>
      <w:r>
        <w:rPr>
          <w:color w:val="000000"/>
        </w:rPr>
        <w:t xml:space="preserve">DOSIS RECOMENDADAS DE ANTIMICÓTICOS PARENTERALES E INGERIBLES </w:t>
      </w:r>
      <w:r>
        <w:rPr>
          <w:color w:val="000000"/>
          <w:sz w:val="16"/>
          <w:szCs w:val="16"/>
        </w:rPr>
        <w:t>759</w:t>
      </w:r>
    </w:p>
    <w:p w14:paraId="0414583A" w14:textId="77777777" w:rsidR="00924992" w:rsidRDefault="00924992">
      <w:pPr>
        <w:spacing w:line="360" w:lineRule="exact"/>
      </w:pPr>
    </w:p>
    <w:p w14:paraId="1B896D68" w14:textId="77777777" w:rsidR="00924992" w:rsidRDefault="00924992">
      <w:pPr>
        <w:spacing w:line="360" w:lineRule="exact"/>
      </w:pPr>
    </w:p>
    <w:p w14:paraId="0236FB70" w14:textId="77777777" w:rsidR="00924992" w:rsidRDefault="00924992">
      <w:pPr>
        <w:spacing w:line="360" w:lineRule="exact"/>
      </w:pPr>
    </w:p>
    <w:p w14:paraId="1258A433" w14:textId="77777777" w:rsidR="00924992" w:rsidRDefault="00924992">
      <w:pPr>
        <w:spacing w:line="360" w:lineRule="exact"/>
      </w:pPr>
    </w:p>
    <w:p w14:paraId="6D9FE7F5" w14:textId="77777777" w:rsidR="00924992" w:rsidRDefault="00924992">
      <w:pPr>
        <w:spacing w:line="360" w:lineRule="exact"/>
      </w:pPr>
    </w:p>
    <w:p w14:paraId="2A929206" w14:textId="77777777" w:rsidR="00924992" w:rsidRDefault="00924992">
      <w:pPr>
        <w:spacing w:line="360" w:lineRule="exact"/>
      </w:pPr>
    </w:p>
    <w:p w14:paraId="53F8B8EF" w14:textId="77777777" w:rsidR="00924992" w:rsidRDefault="00924992">
      <w:pPr>
        <w:spacing w:line="360" w:lineRule="exact"/>
      </w:pPr>
    </w:p>
    <w:p w14:paraId="07DB90FA" w14:textId="77777777" w:rsidR="00924992" w:rsidRDefault="00924992">
      <w:pPr>
        <w:spacing w:line="360" w:lineRule="exact"/>
      </w:pPr>
    </w:p>
    <w:p w14:paraId="0D558CBB" w14:textId="77777777" w:rsidR="00924992" w:rsidRDefault="00924992">
      <w:pPr>
        <w:spacing w:line="360" w:lineRule="exact"/>
      </w:pPr>
    </w:p>
    <w:p w14:paraId="2604A778" w14:textId="77777777" w:rsidR="00924992" w:rsidRDefault="00924992">
      <w:pPr>
        <w:spacing w:line="360" w:lineRule="exact"/>
      </w:pPr>
    </w:p>
    <w:p w14:paraId="1B996FA7" w14:textId="77777777" w:rsidR="00924992" w:rsidRDefault="00924992">
      <w:pPr>
        <w:spacing w:line="360" w:lineRule="exact"/>
      </w:pPr>
    </w:p>
    <w:p w14:paraId="685D10F7" w14:textId="77777777" w:rsidR="00924992" w:rsidRDefault="00924992">
      <w:pPr>
        <w:spacing w:line="360" w:lineRule="exact"/>
      </w:pPr>
    </w:p>
    <w:p w14:paraId="5560AF84" w14:textId="77777777" w:rsidR="00924992" w:rsidRDefault="00924992">
      <w:pPr>
        <w:spacing w:line="360" w:lineRule="exact"/>
      </w:pPr>
    </w:p>
    <w:p w14:paraId="793A4858" w14:textId="77777777" w:rsidR="00924992" w:rsidRDefault="00924992">
      <w:pPr>
        <w:spacing w:line="360" w:lineRule="exact"/>
      </w:pPr>
    </w:p>
    <w:p w14:paraId="4BF65FAA" w14:textId="77777777" w:rsidR="00924992" w:rsidRDefault="00924992">
      <w:pPr>
        <w:spacing w:line="360" w:lineRule="exact"/>
      </w:pPr>
    </w:p>
    <w:p w14:paraId="45C0D4CC" w14:textId="77777777" w:rsidR="00924992" w:rsidRDefault="00924992">
      <w:pPr>
        <w:spacing w:line="360" w:lineRule="exact"/>
      </w:pPr>
    </w:p>
    <w:p w14:paraId="11B0805C" w14:textId="77777777" w:rsidR="00924992" w:rsidRDefault="00924992">
      <w:pPr>
        <w:spacing w:line="360" w:lineRule="exact"/>
      </w:pPr>
    </w:p>
    <w:p w14:paraId="3B3912A1" w14:textId="77777777" w:rsidR="00924992" w:rsidRDefault="00924992">
      <w:pPr>
        <w:spacing w:line="360" w:lineRule="exact"/>
      </w:pPr>
    </w:p>
    <w:p w14:paraId="178C6FBA" w14:textId="77777777" w:rsidR="00924992" w:rsidRDefault="00924992">
      <w:pPr>
        <w:spacing w:after="685" w:line="1" w:lineRule="exact"/>
      </w:pPr>
    </w:p>
    <w:p w14:paraId="01A6DFC2" w14:textId="77777777" w:rsidR="00924992" w:rsidRDefault="00924992">
      <w:pPr>
        <w:spacing w:line="1" w:lineRule="exact"/>
        <w:sectPr w:rsidR="00924992" w:rsidSect="00924992">
          <w:headerReference w:type="even" r:id="rId284"/>
          <w:headerReference w:type="default" r:id="rId285"/>
          <w:footerReference w:type="even" r:id="rId286"/>
          <w:footerReference w:type="default" r:id="rId287"/>
          <w:pgSz w:w="13022" w:h="8501" w:orient="landscape"/>
          <w:pgMar w:top="1080" w:right="441" w:bottom="54" w:left="662" w:header="652" w:footer="3" w:gutter="0"/>
          <w:cols w:space="720"/>
          <w:noEndnote/>
          <w:docGrid w:linePitch="360"/>
          <w15:footnoteColumns w:val="1"/>
        </w:sectPr>
      </w:pPr>
    </w:p>
    <w:tbl>
      <w:tblPr>
        <w:tblOverlap w:val="never"/>
        <w:tblW w:w="0" w:type="auto"/>
        <w:tblLayout w:type="fixed"/>
        <w:tblCellMar>
          <w:left w:w="10" w:type="dxa"/>
          <w:right w:w="10" w:type="dxa"/>
        </w:tblCellMar>
        <w:tblLook w:val="04A0" w:firstRow="1" w:lastRow="0" w:firstColumn="1" w:lastColumn="0" w:noHBand="0" w:noVBand="1"/>
      </w:tblPr>
      <w:tblGrid>
        <w:gridCol w:w="1651"/>
        <w:gridCol w:w="1670"/>
        <w:gridCol w:w="4214"/>
        <w:gridCol w:w="3878"/>
      </w:tblGrid>
      <w:tr w:rsidR="00924992" w14:paraId="098F497C" w14:textId="77777777">
        <w:tblPrEx>
          <w:tblCellMar>
            <w:top w:w="0" w:type="dxa"/>
            <w:bottom w:w="0" w:type="dxa"/>
          </w:tblCellMar>
        </w:tblPrEx>
        <w:trPr>
          <w:trHeight w:hRule="exact" w:val="326"/>
        </w:trPr>
        <w:tc>
          <w:tcPr>
            <w:tcW w:w="11413" w:type="dxa"/>
            <w:gridSpan w:val="4"/>
            <w:shd w:val="clear" w:color="auto" w:fill="FFFFFF"/>
          </w:tcPr>
          <w:p w14:paraId="79E2B6E4" w14:textId="77777777" w:rsidR="00924992" w:rsidRDefault="00924992">
            <w:pPr>
              <w:pStyle w:val="Other0"/>
              <w:framePr w:w="11414" w:h="7090" w:wrap="none" w:hAnchor="page" w:x="635" w:y="1"/>
              <w:spacing w:line="240" w:lineRule="auto"/>
              <w:ind w:firstLine="0"/>
              <w:jc w:val="center"/>
              <w:rPr>
                <w:sz w:val="26"/>
                <w:szCs w:val="26"/>
              </w:rPr>
            </w:pPr>
            <w:r>
              <w:rPr>
                <w:rFonts w:ascii="Arial" w:eastAsia="Arial" w:hAnsi="Arial" w:cs="Arial"/>
                <w:color w:val="000000"/>
                <w:w w:val="70"/>
                <w:sz w:val="26"/>
                <w:szCs w:val="26"/>
              </w:rPr>
              <w:t xml:space="preserve">Cuadro 4-5. </w:t>
            </w:r>
            <w:r>
              <w:rPr>
                <w:rFonts w:ascii="Arial" w:eastAsia="Arial" w:hAnsi="Arial" w:cs="Arial"/>
                <w:b/>
                <w:bCs/>
                <w:color w:val="000000"/>
                <w:w w:val="70"/>
                <w:sz w:val="26"/>
                <w:szCs w:val="26"/>
              </w:rPr>
              <w:t>Dosis recomendadas de antimicóticos parenterales e ingeribles</w:t>
            </w:r>
          </w:p>
        </w:tc>
      </w:tr>
      <w:tr w:rsidR="00924992" w14:paraId="0FB6AD75" w14:textId="77777777">
        <w:tblPrEx>
          <w:tblCellMar>
            <w:top w:w="0" w:type="dxa"/>
            <w:bottom w:w="0" w:type="dxa"/>
          </w:tblCellMar>
        </w:tblPrEx>
        <w:trPr>
          <w:trHeight w:hRule="exact" w:val="547"/>
        </w:trPr>
        <w:tc>
          <w:tcPr>
            <w:tcW w:w="1651" w:type="dxa"/>
            <w:shd w:val="clear" w:color="auto" w:fill="000000"/>
          </w:tcPr>
          <w:p w14:paraId="5902D46A" w14:textId="77777777" w:rsidR="00924992" w:rsidRDefault="00924992">
            <w:pPr>
              <w:pStyle w:val="Other0"/>
              <w:framePr w:w="11414" w:h="7090" w:wrap="none" w:hAnchor="page" w:x="635" w:y="1"/>
              <w:pBdr>
                <w:top w:val="single" w:sz="0" w:space="0" w:color="000000"/>
                <w:left w:val="single" w:sz="0" w:space="0" w:color="000000"/>
                <w:bottom w:val="single" w:sz="0" w:space="0" w:color="000000"/>
                <w:right w:val="single" w:sz="0" w:space="0" w:color="000000"/>
              </w:pBdr>
              <w:shd w:val="clear" w:color="auto" w:fill="000000"/>
              <w:spacing w:line="240" w:lineRule="auto"/>
              <w:ind w:firstLine="0"/>
              <w:rPr>
                <w:sz w:val="24"/>
                <w:szCs w:val="24"/>
              </w:rPr>
            </w:pPr>
            <w:r>
              <w:rPr>
                <w:rFonts w:ascii="Arial" w:eastAsia="Arial" w:hAnsi="Arial" w:cs="Arial"/>
                <w:b/>
                <w:bCs/>
                <w:color w:val="FFFFFF"/>
                <w:w w:val="70"/>
                <w:sz w:val="24"/>
                <w:szCs w:val="24"/>
              </w:rPr>
              <w:t>Fármaco</w:t>
            </w:r>
          </w:p>
        </w:tc>
        <w:tc>
          <w:tcPr>
            <w:tcW w:w="1670" w:type="dxa"/>
            <w:shd w:val="clear" w:color="auto" w:fill="000000"/>
          </w:tcPr>
          <w:p w14:paraId="5C9BD374" w14:textId="77777777" w:rsidR="00924992" w:rsidRDefault="00924992">
            <w:pPr>
              <w:pStyle w:val="Other0"/>
              <w:framePr w:w="11414" w:h="7090" w:wrap="none" w:hAnchor="page" w:x="635" w:y="1"/>
              <w:pBdr>
                <w:top w:val="single" w:sz="0" w:space="0" w:color="000000"/>
                <w:left w:val="single" w:sz="0" w:space="0" w:color="000000"/>
                <w:bottom w:val="single" w:sz="0" w:space="0" w:color="000000"/>
                <w:right w:val="single" w:sz="0" w:space="0" w:color="000000"/>
              </w:pBdr>
              <w:shd w:val="clear" w:color="auto" w:fill="000000"/>
              <w:spacing w:line="218" w:lineRule="auto"/>
              <w:ind w:left="920"/>
              <w:rPr>
                <w:sz w:val="24"/>
                <w:szCs w:val="24"/>
              </w:rPr>
            </w:pPr>
            <w:r>
              <w:rPr>
                <w:rFonts w:ascii="Arial" w:eastAsia="Arial" w:hAnsi="Arial" w:cs="Arial"/>
                <w:b/>
                <w:bCs/>
                <w:color w:val="FFFFFF"/>
                <w:w w:val="70"/>
                <w:sz w:val="24"/>
                <w:szCs w:val="24"/>
              </w:rPr>
              <w:t>Vía de administ</w:t>
            </w:r>
          </w:p>
        </w:tc>
        <w:tc>
          <w:tcPr>
            <w:tcW w:w="4214" w:type="dxa"/>
            <w:shd w:val="clear" w:color="auto" w:fill="000000"/>
          </w:tcPr>
          <w:p w14:paraId="610BE706" w14:textId="77777777" w:rsidR="00924992" w:rsidRDefault="00924992">
            <w:pPr>
              <w:pStyle w:val="Other0"/>
              <w:framePr w:w="11414" w:h="7090" w:wrap="none" w:hAnchor="page" w:x="635" w:y="1"/>
              <w:pBdr>
                <w:top w:val="single" w:sz="0" w:space="0" w:color="000000"/>
                <w:left w:val="single" w:sz="0" w:space="0" w:color="000000"/>
                <w:bottom w:val="single" w:sz="0" w:space="0" w:color="000000"/>
                <w:right w:val="single" w:sz="0" w:space="0" w:color="000000"/>
              </w:pBdr>
              <w:shd w:val="clear" w:color="auto" w:fill="000000"/>
              <w:spacing w:line="240" w:lineRule="auto"/>
              <w:ind w:firstLine="840"/>
              <w:rPr>
                <w:sz w:val="24"/>
                <w:szCs w:val="24"/>
              </w:rPr>
            </w:pPr>
            <w:r>
              <w:rPr>
                <w:rFonts w:ascii="Arial" w:eastAsia="Arial" w:hAnsi="Arial" w:cs="Arial"/>
                <w:b/>
                <w:bCs/>
                <w:color w:val="FFFFFF"/>
                <w:w w:val="70"/>
                <w:sz w:val="24"/>
                <w:szCs w:val="24"/>
              </w:rPr>
              <w:t>Dosis (al día)</w:t>
            </w:r>
          </w:p>
          <w:p w14:paraId="20AAC1E0" w14:textId="77777777" w:rsidR="00924992" w:rsidRDefault="00924992">
            <w:pPr>
              <w:pStyle w:val="Other0"/>
              <w:framePr w:w="11414" w:h="7090" w:wrap="none" w:hAnchor="page" w:x="635" w:y="1"/>
              <w:pBdr>
                <w:top w:val="single" w:sz="0" w:space="0" w:color="000000"/>
                <w:left w:val="single" w:sz="0" w:space="0" w:color="000000"/>
                <w:bottom w:val="single" w:sz="0" w:space="0" w:color="000000"/>
                <w:right w:val="single" w:sz="0" w:space="0" w:color="000000"/>
              </w:pBdr>
              <w:shd w:val="clear" w:color="auto" w:fill="000000"/>
              <w:spacing w:line="211" w:lineRule="auto"/>
              <w:ind w:firstLine="0"/>
              <w:rPr>
                <w:sz w:val="8"/>
                <w:szCs w:val="8"/>
              </w:rPr>
            </w:pPr>
            <w:r>
              <w:rPr>
                <w:rFonts w:ascii="Arial" w:eastAsia="Arial" w:hAnsi="Arial" w:cs="Arial"/>
                <w:b/>
                <w:bCs/>
                <w:color w:val="FFFFFF"/>
                <w:w w:val="70"/>
                <w:sz w:val="24"/>
                <w:szCs w:val="24"/>
              </w:rPr>
              <w:t>ración</w:t>
            </w:r>
            <w:r>
              <w:rPr>
                <w:rFonts w:ascii="Times New Roman" w:eastAsia="Times New Roman" w:hAnsi="Times New Roman" w:cs="Times New Roman"/>
                <w:color w:val="FFFFFF"/>
                <w:sz w:val="8"/>
                <w:szCs w:val="8"/>
                <w:vertAlign w:val="superscript"/>
              </w:rPr>
              <w:t>1</w:t>
            </w:r>
          </w:p>
        </w:tc>
        <w:tc>
          <w:tcPr>
            <w:tcW w:w="3878" w:type="dxa"/>
            <w:shd w:val="clear" w:color="auto" w:fill="000000"/>
          </w:tcPr>
          <w:p w14:paraId="51DC690B" w14:textId="77777777" w:rsidR="00924992" w:rsidRDefault="00924992">
            <w:pPr>
              <w:pStyle w:val="Other0"/>
              <w:framePr w:w="11414" w:h="7090" w:wrap="none" w:hAnchor="page" w:x="635" w:y="1"/>
              <w:pBdr>
                <w:top w:val="single" w:sz="0" w:space="0" w:color="000000"/>
                <w:left w:val="single" w:sz="0" w:space="0" w:color="000000"/>
                <w:bottom w:val="single" w:sz="0" w:space="0" w:color="000000"/>
                <w:right w:val="single" w:sz="0" w:space="0" w:color="000000"/>
              </w:pBdr>
              <w:shd w:val="clear" w:color="auto" w:fill="000000"/>
              <w:spacing w:line="240" w:lineRule="auto"/>
              <w:ind w:firstLine="380"/>
              <w:rPr>
                <w:sz w:val="8"/>
                <w:szCs w:val="8"/>
              </w:rPr>
            </w:pPr>
            <w:r>
              <w:rPr>
                <w:rFonts w:ascii="Arial" w:eastAsia="Arial" w:hAnsi="Arial" w:cs="Arial"/>
                <w:b/>
                <w:bCs/>
                <w:color w:val="FFFFFF"/>
                <w:w w:val="70"/>
                <w:sz w:val="24"/>
                <w:szCs w:val="24"/>
              </w:rPr>
              <w:t>Reacciones adversas</w:t>
            </w:r>
            <w:r>
              <w:rPr>
                <w:rFonts w:ascii="Times New Roman" w:eastAsia="Times New Roman" w:hAnsi="Times New Roman" w:cs="Times New Roman"/>
                <w:color w:val="FFFFFF"/>
                <w:sz w:val="8"/>
                <w:szCs w:val="8"/>
                <w:vertAlign w:val="superscript"/>
              </w:rPr>
              <w:t>2</w:t>
            </w:r>
            <w:r>
              <w:rPr>
                <w:rFonts w:ascii="Arial" w:eastAsia="Arial" w:hAnsi="Arial" w:cs="Arial"/>
                <w:b/>
                <w:bCs/>
                <w:color w:val="FFFFFF"/>
                <w:w w:val="70"/>
                <w:sz w:val="24"/>
                <w:szCs w:val="24"/>
              </w:rPr>
              <w:t>,</w:t>
            </w:r>
            <w:r>
              <w:rPr>
                <w:rFonts w:ascii="Times New Roman" w:eastAsia="Times New Roman" w:hAnsi="Times New Roman" w:cs="Times New Roman"/>
                <w:color w:val="FFFFFF"/>
                <w:sz w:val="8"/>
                <w:szCs w:val="8"/>
                <w:vertAlign w:val="superscript"/>
              </w:rPr>
              <w:t>3</w:t>
            </w:r>
          </w:p>
        </w:tc>
      </w:tr>
      <w:tr w:rsidR="00924992" w14:paraId="16D8E5D9" w14:textId="77777777">
        <w:tblPrEx>
          <w:tblCellMar>
            <w:top w:w="0" w:type="dxa"/>
            <w:bottom w:w="0" w:type="dxa"/>
          </w:tblCellMar>
        </w:tblPrEx>
        <w:trPr>
          <w:trHeight w:hRule="exact" w:val="3960"/>
        </w:trPr>
        <w:tc>
          <w:tcPr>
            <w:tcW w:w="1651" w:type="dxa"/>
            <w:shd w:val="clear" w:color="auto" w:fill="FFFFFF"/>
          </w:tcPr>
          <w:p w14:paraId="6E29088A" w14:textId="77777777" w:rsidR="00924992" w:rsidRDefault="00924992">
            <w:pPr>
              <w:pStyle w:val="Other0"/>
              <w:framePr w:w="11414" w:h="7090" w:wrap="none" w:hAnchor="page" w:x="635" w:y="1"/>
              <w:spacing w:line="240" w:lineRule="auto"/>
              <w:ind w:firstLine="0"/>
              <w:rPr>
                <w:sz w:val="16"/>
                <w:szCs w:val="16"/>
              </w:rPr>
            </w:pPr>
            <w:r>
              <w:rPr>
                <w:rFonts w:ascii="Times New Roman" w:eastAsia="Times New Roman" w:hAnsi="Times New Roman" w:cs="Times New Roman"/>
                <w:color w:val="000000"/>
                <w:sz w:val="16"/>
                <w:szCs w:val="16"/>
              </w:rPr>
              <w:t>Fluconazol</w:t>
            </w:r>
            <w:r>
              <w:rPr>
                <w:rFonts w:ascii="Times New Roman" w:eastAsia="Times New Roman" w:hAnsi="Times New Roman" w:cs="Times New Roman"/>
                <w:color w:val="000000"/>
                <w:sz w:val="16"/>
                <w:szCs w:val="16"/>
                <w:vertAlign w:val="superscript"/>
              </w:rPr>
              <w:t>3,5</w:t>
            </w:r>
          </w:p>
        </w:tc>
        <w:tc>
          <w:tcPr>
            <w:tcW w:w="1670" w:type="dxa"/>
            <w:shd w:val="clear" w:color="auto" w:fill="FFFFFF"/>
          </w:tcPr>
          <w:p w14:paraId="37398853" w14:textId="77777777" w:rsidR="00924992" w:rsidRDefault="00924992">
            <w:pPr>
              <w:pStyle w:val="Other0"/>
              <w:framePr w:w="11414" w:h="7090" w:wrap="none" w:hAnchor="page" w:x="635" w:y="1"/>
              <w:spacing w:after="440" w:line="240" w:lineRule="auto"/>
              <w:ind w:firstLine="920"/>
              <w:rPr>
                <w:sz w:val="16"/>
                <w:szCs w:val="16"/>
              </w:rPr>
            </w:pPr>
            <w:r>
              <w:rPr>
                <w:rFonts w:ascii="Times New Roman" w:eastAsia="Times New Roman" w:hAnsi="Times New Roman" w:cs="Times New Roman"/>
                <w:color w:val="000000"/>
                <w:sz w:val="16"/>
                <w:szCs w:val="16"/>
              </w:rPr>
              <w:t>IV</w:t>
            </w:r>
          </w:p>
          <w:p w14:paraId="352FAB19" w14:textId="77777777" w:rsidR="00924992" w:rsidRDefault="00924992">
            <w:pPr>
              <w:pStyle w:val="Other0"/>
              <w:framePr w:w="11414" w:h="7090" w:wrap="none" w:hAnchor="page" w:x="635" w:y="1"/>
              <w:spacing w:line="240" w:lineRule="auto"/>
              <w:ind w:firstLine="920"/>
              <w:rPr>
                <w:sz w:val="16"/>
                <w:szCs w:val="16"/>
              </w:rPr>
            </w:pPr>
            <w:r>
              <w:rPr>
                <w:rFonts w:ascii="Times New Roman" w:eastAsia="Times New Roman" w:hAnsi="Times New Roman" w:cs="Times New Roman"/>
                <w:color w:val="000000"/>
                <w:sz w:val="16"/>
                <w:szCs w:val="16"/>
              </w:rPr>
              <w:t>PO</w:t>
            </w:r>
          </w:p>
        </w:tc>
        <w:tc>
          <w:tcPr>
            <w:tcW w:w="4214" w:type="dxa"/>
            <w:shd w:val="clear" w:color="auto" w:fill="FFFFFF"/>
            <w:vAlign w:val="center"/>
          </w:tcPr>
          <w:p w14:paraId="00C3BAD9" w14:textId="77777777" w:rsidR="00924992" w:rsidRDefault="00924992">
            <w:pPr>
              <w:pStyle w:val="Other0"/>
              <w:framePr w:w="11414" w:h="7090" w:wrap="none" w:hAnchor="page" w:x="635" w:y="1"/>
              <w:spacing w:after="200" w:line="276" w:lineRule="auto"/>
              <w:ind w:left="940" w:hanging="100"/>
              <w:rPr>
                <w:sz w:val="16"/>
                <w:szCs w:val="16"/>
              </w:rPr>
            </w:pPr>
            <w:r>
              <w:rPr>
                <w:rFonts w:ascii="Times New Roman" w:eastAsia="Times New Roman" w:hAnsi="Times New Roman" w:cs="Times New Roman"/>
                <w:color w:val="000000"/>
                <w:sz w:val="16"/>
                <w:szCs w:val="16"/>
              </w:rPr>
              <w:t>Niños: 3-6 mg/kg de peso al día en una sola dosis</w:t>
            </w:r>
          </w:p>
          <w:p w14:paraId="6FE3C55C" w14:textId="77777777" w:rsidR="00924992" w:rsidRDefault="00924992">
            <w:pPr>
              <w:pStyle w:val="Other0"/>
              <w:framePr w:w="11414" w:h="7090" w:wrap="none" w:hAnchor="page" w:x="635" w:y="1"/>
              <w:spacing w:line="276" w:lineRule="auto"/>
              <w:ind w:left="940" w:hanging="100"/>
              <w:rPr>
                <w:sz w:val="16"/>
                <w:szCs w:val="16"/>
              </w:rPr>
            </w:pPr>
            <w:r>
              <w:rPr>
                <w:rFonts w:ascii="Times New Roman" w:eastAsia="Times New Roman" w:hAnsi="Times New Roman" w:cs="Times New Roman"/>
                <w:color w:val="000000"/>
                <w:sz w:val="16"/>
                <w:szCs w:val="16"/>
              </w:rPr>
              <w:t>Niños: 6 mg/kg de peso una sola vez, para seguir con 3 mg/kg de peso al día contra la candidiasis bucofaríngea o esofágica; 6-12 mg/kg de peso al día contra infecciones micóticas invasoras; 6 mg/kg al día como terapia supresora en niños con meningitis criptocócica infectados por VIH</w:t>
            </w:r>
          </w:p>
          <w:p w14:paraId="101752E9" w14:textId="77777777" w:rsidR="00924992" w:rsidRDefault="00924992">
            <w:pPr>
              <w:pStyle w:val="Other0"/>
              <w:framePr w:w="11414" w:h="7090" w:wrap="none" w:hAnchor="page" w:x="635" w:y="1"/>
              <w:spacing w:line="276" w:lineRule="auto"/>
              <w:ind w:left="940" w:hanging="100"/>
              <w:rPr>
                <w:sz w:val="16"/>
                <w:szCs w:val="16"/>
              </w:rPr>
            </w:pPr>
            <w:r>
              <w:rPr>
                <w:rFonts w:ascii="Times New Roman" w:eastAsia="Times New Roman" w:hAnsi="Times New Roman" w:cs="Times New Roman"/>
                <w:color w:val="000000"/>
                <w:sz w:val="16"/>
                <w:szCs w:val="16"/>
              </w:rPr>
              <w:t>Adultos: 200 mg una vez al día seguido de 100 mg/día contra candidiasis bucofaríngea o esofágica; 400-800 mg/ día contra otras infecciones micóticas invasoras; 200 mg/día como terapia supresora en pacientes con meningitis criptocócica infectados por VIH</w:t>
            </w:r>
          </w:p>
        </w:tc>
        <w:tc>
          <w:tcPr>
            <w:tcW w:w="3878" w:type="dxa"/>
            <w:shd w:val="clear" w:color="auto" w:fill="FFFFFF"/>
          </w:tcPr>
          <w:p w14:paraId="69D476A7" w14:textId="77777777" w:rsidR="00924992" w:rsidRDefault="00924992">
            <w:pPr>
              <w:pStyle w:val="Other0"/>
              <w:framePr w:w="11414" w:h="7090" w:wrap="none" w:hAnchor="page" w:x="635" w:y="1"/>
              <w:spacing w:line="276" w:lineRule="auto"/>
              <w:ind w:left="500" w:hanging="100"/>
              <w:rPr>
                <w:sz w:val="16"/>
                <w:szCs w:val="16"/>
              </w:rPr>
            </w:pPr>
            <w:r>
              <w:rPr>
                <w:rFonts w:ascii="Times New Roman" w:eastAsia="Times New Roman" w:hAnsi="Times New Roman" w:cs="Times New Roman"/>
                <w:color w:val="000000"/>
                <w:sz w:val="16"/>
                <w:szCs w:val="16"/>
              </w:rPr>
              <w:t>Erupciones, síntomas de vías gastrointestinales, hepatotoxicidad, síndrome de Stevens-Johnson, anafilaxia</w:t>
            </w:r>
          </w:p>
        </w:tc>
      </w:tr>
      <w:tr w:rsidR="00924992" w14:paraId="7CDF5407" w14:textId="77777777">
        <w:tblPrEx>
          <w:tblCellMar>
            <w:top w:w="0" w:type="dxa"/>
            <w:bottom w:w="0" w:type="dxa"/>
          </w:tblCellMar>
        </w:tblPrEx>
        <w:trPr>
          <w:trHeight w:hRule="exact" w:val="941"/>
        </w:trPr>
        <w:tc>
          <w:tcPr>
            <w:tcW w:w="1651" w:type="dxa"/>
            <w:shd w:val="clear" w:color="auto" w:fill="FFFFFF"/>
          </w:tcPr>
          <w:p w14:paraId="19F66F01" w14:textId="77777777" w:rsidR="00924992" w:rsidRDefault="00924992">
            <w:pPr>
              <w:pStyle w:val="Other0"/>
              <w:framePr w:w="11414" w:h="7090" w:wrap="none" w:hAnchor="page" w:x="635" w:y="1"/>
              <w:spacing w:before="100" w:line="240" w:lineRule="auto"/>
              <w:ind w:firstLine="0"/>
              <w:rPr>
                <w:sz w:val="16"/>
                <w:szCs w:val="16"/>
              </w:rPr>
            </w:pPr>
            <w:r>
              <w:rPr>
                <w:rFonts w:ascii="Times New Roman" w:eastAsia="Times New Roman" w:hAnsi="Times New Roman" w:cs="Times New Roman"/>
                <w:color w:val="000000"/>
                <w:sz w:val="16"/>
                <w:szCs w:val="16"/>
              </w:rPr>
              <w:t>Griseofulvina</w:t>
            </w:r>
          </w:p>
        </w:tc>
        <w:tc>
          <w:tcPr>
            <w:tcW w:w="1670" w:type="dxa"/>
            <w:shd w:val="clear" w:color="auto" w:fill="FFFFFF"/>
          </w:tcPr>
          <w:p w14:paraId="1E0D438B" w14:textId="77777777" w:rsidR="00924992" w:rsidRDefault="00924992">
            <w:pPr>
              <w:pStyle w:val="Other0"/>
              <w:framePr w:w="11414" w:h="7090" w:wrap="none" w:hAnchor="page" w:x="635" w:y="1"/>
              <w:spacing w:before="100" w:line="240" w:lineRule="auto"/>
              <w:ind w:firstLine="920"/>
              <w:rPr>
                <w:sz w:val="16"/>
                <w:szCs w:val="16"/>
              </w:rPr>
            </w:pPr>
            <w:r>
              <w:rPr>
                <w:rFonts w:ascii="Times New Roman" w:eastAsia="Times New Roman" w:hAnsi="Times New Roman" w:cs="Times New Roman"/>
                <w:color w:val="000000"/>
                <w:sz w:val="16"/>
                <w:szCs w:val="16"/>
              </w:rPr>
              <w:t>PO</w:t>
            </w:r>
          </w:p>
        </w:tc>
        <w:tc>
          <w:tcPr>
            <w:tcW w:w="4214" w:type="dxa"/>
            <w:shd w:val="clear" w:color="auto" w:fill="FFFFFF"/>
            <w:vAlign w:val="bottom"/>
          </w:tcPr>
          <w:p w14:paraId="7DE4FE97" w14:textId="77777777" w:rsidR="00924992" w:rsidRDefault="00924992">
            <w:pPr>
              <w:pStyle w:val="Other0"/>
              <w:framePr w:w="11414" w:h="7090" w:wrap="none" w:hAnchor="page" w:x="635" w:y="1"/>
              <w:spacing w:line="276" w:lineRule="auto"/>
              <w:ind w:left="940" w:hanging="100"/>
              <w:rPr>
                <w:sz w:val="16"/>
                <w:szCs w:val="16"/>
              </w:rPr>
            </w:pPr>
            <w:r>
              <w:rPr>
                <w:rFonts w:ascii="Times New Roman" w:eastAsia="Times New Roman" w:hAnsi="Times New Roman" w:cs="Times New Roman"/>
                <w:color w:val="000000"/>
                <w:sz w:val="16"/>
                <w:szCs w:val="16"/>
              </w:rPr>
              <w:t>Ultramicronizado: 5-10 mg/kg en una sola dosis; dosis máxima, 750 mg</w:t>
            </w:r>
          </w:p>
          <w:p w14:paraId="5507D18D" w14:textId="77777777" w:rsidR="00924992" w:rsidRDefault="00924992">
            <w:pPr>
              <w:pStyle w:val="Other0"/>
              <w:framePr w:w="11414" w:h="7090" w:wrap="none" w:hAnchor="page" w:x="635" w:y="1"/>
              <w:spacing w:line="276" w:lineRule="auto"/>
              <w:ind w:left="940" w:hanging="100"/>
              <w:rPr>
                <w:sz w:val="16"/>
                <w:szCs w:val="16"/>
              </w:rPr>
            </w:pPr>
            <w:r>
              <w:rPr>
                <w:rFonts w:ascii="Times New Roman" w:eastAsia="Times New Roman" w:hAnsi="Times New Roman" w:cs="Times New Roman"/>
                <w:color w:val="000000"/>
                <w:sz w:val="16"/>
                <w:szCs w:val="16"/>
              </w:rPr>
              <w:t>Micronizado: 10-20 mg/kg al día en dos dosis; dosis máxima, 1 000 mg</w:t>
            </w:r>
          </w:p>
        </w:tc>
        <w:tc>
          <w:tcPr>
            <w:tcW w:w="3878" w:type="dxa"/>
            <w:shd w:val="clear" w:color="auto" w:fill="FFFFFF"/>
            <w:vAlign w:val="bottom"/>
          </w:tcPr>
          <w:p w14:paraId="27FF013D" w14:textId="77777777" w:rsidR="00924992" w:rsidRDefault="00924992">
            <w:pPr>
              <w:pStyle w:val="Other0"/>
              <w:framePr w:w="11414" w:h="7090" w:wrap="none" w:hAnchor="page" w:x="635" w:y="1"/>
              <w:spacing w:line="276" w:lineRule="auto"/>
              <w:ind w:left="500" w:hanging="100"/>
              <w:rPr>
                <w:sz w:val="16"/>
                <w:szCs w:val="16"/>
              </w:rPr>
            </w:pPr>
            <w:r>
              <w:rPr>
                <w:rFonts w:ascii="Times New Roman" w:eastAsia="Times New Roman" w:hAnsi="Times New Roman" w:cs="Times New Roman"/>
                <w:color w:val="000000"/>
                <w:sz w:val="16"/>
                <w:szCs w:val="16"/>
              </w:rPr>
              <w:t>Erupciones, parestesias, leucopenia, síntomas de vías gastrointestinales, proteinuria, hepatotoxicidad, confusión psíquica, cefalea</w:t>
            </w:r>
          </w:p>
        </w:tc>
      </w:tr>
      <w:tr w:rsidR="00924992" w14:paraId="6EA9F43F" w14:textId="77777777">
        <w:tblPrEx>
          <w:tblCellMar>
            <w:top w:w="0" w:type="dxa"/>
            <w:bottom w:w="0" w:type="dxa"/>
          </w:tblCellMar>
        </w:tblPrEx>
        <w:trPr>
          <w:trHeight w:hRule="exact" w:val="1315"/>
        </w:trPr>
        <w:tc>
          <w:tcPr>
            <w:tcW w:w="1651" w:type="dxa"/>
            <w:shd w:val="clear" w:color="auto" w:fill="FFFFFF"/>
          </w:tcPr>
          <w:p w14:paraId="1EA78CB4" w14:textId="77777777" w:rsidR="00924992" w:rsidRDefault="00924992">
            <w:pPr>
              <w:pStyle w:val="Other0"/>
              <w:framePr w:w="11414" w:h="7090" w:wrap="none" w:hAnchor="page" w:x="635" w:y="1"/>
              <w:spacing w:line="240" w:lineRule="auto"/>
              <w:ind w:firstLine="0"/>
              <w:rPr>
                <w:sz w:val="16"/>
                <w:szCs w:val="16"/>
              </w:rPr>
            </w:pPr>
            <w:r>
              <w:rPr>
                <w:rFonts w:ascii="Times New Roman" w:eastAsia="Times New Roman" w:hAnsi="Times New Roman" w:cs="Times New Roman"/>
                <w:color w:val="000000"/>
                <w:sz w:val="16"/>
                <w:szCs w:val="16"/>
              </w:rPr>
              <w:t>Itraconazol</w:t>
            </w:r>
            <w:r>
              <w:rPr>
                <w:rFonts w:ascii="Times New Roman" w:eastAsia="Times New Roman" w:hAnsi="Times New Roman" w:cs="Times New Roman"/>
                <w:color w:val="000000"/>
                <w:sz w:val="16"/>
                <w:szCs w:val="16"/>
                <w:vertAlign w:val="superscript"/>
              </w:rPr>
              <w:t>3,5</w:t>
            </w:r>
          </w:p>
        </w:tc>
        <w:tc>
          <w:tcPr>
            <w:tcW w:w="1670" w:type="dxa"/>
            <w:shd w:val="clear" w:color="auto" w:fill="FFFFFF"/>
          </w:tcPr>
          <w:p w14:paraId="1CCD881F" w14:textId="77777777" w:rsidR="00924992" w:rsidRDefault="00924992">
            <w:pPr>
              <w:pStyle w:val="Other0"/>
              <w:framePr w:w="11414" w:h="7090" w:wrap="none" w:hAnchor="page" w:x="635" w:y="1"/>
              <w:spacing w:line="240" w:lineRule="auto"/>
              <w:ind w:firstLine="920"/>
              <w:rPr>
                <w:sz w:val="16"/>
                <w:szCs w:val="16"/>
              </w:rPr>
            </w:pPr>
            <w:r>
              <w:rPr>
                <w:rFonts w:ascii="Times New Roman" w:eastAsia="Times New Roman" w:hAnsi="Times New Roman" w:cs="Times New Roman"/>
                <w:color w:val="000000"/>
                <w:sz w:val="16"/>
                <w:szCs w:val="16"/>
              </w:rPr>
              <w:t>IV, PO</w:t>
            </w:r>
          </w:p>
        </w:tc>
        <w:tc>
          <w:tcPr>
            <w:tcW w:w="4214" w:type="dxa"/>
            <w:shd w:val="clear" w:color="auto" w:fill="FFFFFF"/>
          </w:tcPr>
          <w:p w14:paraId="13EBBF9E" w14:textId="77777777" w:rsidR="00924992" w:rsidRDefault="00924992">
            <w:pPr>
              <w:pStyle w:val="Other0"/>
              <w:framePr w:w="11414" w:h="7090" w:wrap="none" w:hAnchor="page" w:x="635" w:y="1"/>
              <w:spacing w:line="276" w:lineRule="auto"/>
              <w:ind w:left="940" w:hanging="100"/>
              <w:rPr>
                <w:sz w:val="16"/>
                <w:szCs w:val="16"/>
              </w:rPr>
            </w:pPr>
            <w:r>
              <w:rPr>
                <w:rFonts w:ascii="Times New Roman" w:eastAsia="Times New Roman" w:hAnsi="Times New Roman" w:cs="Times New Roman"/>
                <w:color w:val="000000"/>
                <w:sz w:val="16"/>
                <w:szCs w:val="16"/>
              </w:rPr>
              <w:t>Niños: 5-10 mg/kg de peso al día en una sola dosis o en dos dosis</w:t>
            </w:r>
          </w:p>
          <w:p w14:paraId="5622C645" w14:textId="77777777" w:rsidR="00924992" w:rsidRDefault="00924992">
            <w:pPr>
              <w:pStyle w:val="Other0"/>
              <w:framePr w:w="11414" w:h="7090" w:wrap="none" w:hAnchor="page" w:x="635" w:y="1"/>
              <w:spacing w:line="276" w:lineRule="auto"/>
              <w:ind w:left="940" w:hanging="100"/>
              <w:rPr>
                <w:sz w:val="16"/>
                <w:szCs w:val="16"/>
              </w:rPr>
            </w:pPr>
            <w:r>
              <w:rPr>
                <w:rFonts w:ascii="Times New Roman" w:eastAsia="Times New Roman" w:hAnsi="Times New Roman" w:cs="Times New Roman"/>
                <w:color w:val="000000"/>
                <w:sz w:val="16"/>
                <w:szCs w:val="16"/>
              </w:rPr>
              <w:t>Adultos: 200 mg/día una o dos veces al día; 200 mg una vez al día como terapia supresora en pacientes con histoplasmosis infectados por VIH</w:t>
            </w:r>
          </w:p>
        </w:tc>
        <w:tc>
          <w:tcPr>
            <w:tcW w:w="3878" w:type="dxa"/>
            <w:shd w:val="clear" w:color="auto" w:fill="FFFFFF"/>
          </w:tcPr>
          <w:p w14:paraId="0F1D35E9" w14:textId="77777777" w:rsidR="00924992" w:rsidRDefault="00924992">
            <w:pPr>
              <w:pStyle w:val="Other0"/>
              <w:framePr w:w="11414" w:h="7090" w:wrap="none" w:hAnchor="page" w:x="635" w:y="1"/>
              <w:spacing w:line="240" w:lineRule="auto"/>
              <w:ind w:left="380"/>
              <w:rPr>
                <w:sz w:val="16"/>
                <w:szCs w:val="16"/>
              </w:rPr>
            </w:pPr>
            <w:r>
              <w:rPr>
                <w:rFonts w:ascii="Times New Roman" w:eastAsia="Times New Roman" w:hAnsi="Times New Roman" w:cs="Times New Roman"/>
                <w:color w:val="000000"/>
                <w:sz w:val="16"/>
                <w:szCs w:val="16"/>
              </w:rPr>
              <w:t xml:space="preserve">Síntomas de vías gastrointestinales, erupción, edema, cefalea, hipocaliemia, hepatotoxicidad, trombocitopenia, leucopenia; los efectos tóxicos en corazón son posibles en niños que también reciben terfenadina o astemizol </w:t>
            </w:r>
            <w:r>
              <w:rPr>
                <w:rFonts w:ascii="Times New Roman" w:eastAsia="Times New Roman" w:hAnsi="Times New Roman" w:cs="Times New Roman"/>
                <w:i/>
                <w:iCs/>
                <w:color w:val="000000"/>
                <w:sz w:val="16"/>
                <w:szCs w:val="16"/>
              </w:rPr>
              <w:t>continua</w:t>
            </w:r>
          </w:p>
        </w:tc>
      </w:tr>
    </w:tbl>
    <w:p w14:paraId="090C1578" w14:textId="77777777" w:rsidR="00924992" w:rsidRDefault="00924992">
      <w:pPr>
        <w:framePr w:w="11414" w:h="7090" w:wrap="none" w:hAnchor="page" w:x="635" w:y="1"/>
        <w:spacing w:line="1" w:lineRule="exact"/>
      </w:pPr>
    </w:p>
    <w:p w14:paraId="2FA04462" w14:textId="77777777" w:rsidR="00924992" w:rsidRDefault="00924992">
      <w:pPr>
        <w:pStyle w:val="Bodytext80"/>
        <w:framePr w:w="192" w:h="6067" w:hRule="exact" w:wrap="none" w:hAnchor="page" w:x="12390" w:y="11"/>
        <w:textDirection w:val="tbRl"/>
      </w:pPr>
      <w:r>
        <w:rPr>
          <w:sz w:val="16"/>
          <w:szCs w:val="16"/>
        </w:rPr>
        <w:t xml:space="preserve">760 </w:t>
      </w:r>
      <w:r>
        <w:t>DOSIS RECOMENDADAS DE ANTIMICÓTICOS PARENTERALES E INGERIBLES</w:t>
      </w:r>
    </w:p>
    <w:p w14:paraId="326C2863" w14:textId="77777777" w:rsidR="00924992" w:rsidRDefault="00924992">
      <w:pPr>
        <w:spacing w:line="360" w:lineRule="exact"/>
      </w:pPr>
    </w:p>
    <w:p w14:paraId="7A562E0F" w14:textId="77777777" w:rsidR="00924992" w:rsidRDefault="00924992">
      <w:pPr>
        <w:spacing w:line="360" w:lineRule="exact"/>
      </w:pPr>
    </w:p>
    <w:p w14:paraId="5731FC52" w14:textId="77777777" w:rsidR="00924992" w:rsidRDefault="00924992">
      <w:pPr>
        <w:spacing w:line="360" w:lineRule="exact"/>
      </w:pPr>
    </w:p>
    <w:p w14:paraId="33A9ADD5" w14:textId="77777777" w:rsidR="00924992" w:rsidRDefault="00924992">
      <w:pPr>
        <w:spacing w:line="360" w:lineRule="exact"/>
      </w:pPr>
    </w:p>
    <w:p w14:paraId="0F7E8844" w14:textId="77777777" w:rsidR="00924992" w:rsidRDefault="00924992">
      <w:pPr>
        <w:spacing w:line="360" w:lineRule="exact"/>
      </w:pPr>
    </w:p>
    <w:p w14:paraId="043E61E9" w14:textId="77777777" w:rsidR="00924992" w:rsidRDefault="00924992">
      <w:pPr>
        <w:spacing w:line="360" w:lineRule="exact"/>
      </w:pPr>
    </w:p>
    <w:p w14:paraId="683EECE0" w14:textId="77777777" w:rsidR="00924992" w:rsidRDefault="00924992">
      <w:pPr>
        <w:spacing w:line="360" w:lineRule="exact"/>
      </w:pPr>
    </w:p>
    <w:p w14:paraId="51124748" w14:textId="77777777" w:rsidR="00924992" w:rsidRDefault="00924992">
      <w:pPr>
        <w:spacing w:line="360" w:lineRule="exact"/>
      </w:pPr>
    </w:p>
    <w:p w14:paraId="4545834D" w14:textId="77777777" w:rsidR="00924992" w:rsidRDefault="00924992">
      <w:pPr>
        <w:spacing w:line="360" w:lineRule="exact"/>
      </w:pPr>
    </w:p>
    <w:p w14:paraId="16CAFB44" w14:textId="77777777" w:rsidR="00924992" w:rsidRDefault="00924992">
      <w:pPr>
        <w:spacing w:line="360" w:lineRule="exact"/>
      </w:pPr>
    </w:p>
    <w:p w14:paraId="04160E76" w14:textId="77777777" w:rsidR="00924992" w:rsidRDefault="00924992">
      <w:pPr>
        <w:spacing w:line="360" w:lineRule="exact"/>
      </w:pPr>
    </w:p>
    <w:p w14:paraId="5D358587" w14:textId="77777777" w:rsidR="00924992" w:rsidRDefault="00924992">
      <w:pPr>
        <w:spacing w:line="360" w:lineRule="exact"/>
      </w:pPr>
    </w:p>
    <w:p w14:paraId="695082E1" w14:textId="77777777" w:rsidR="00924992" w:rsidRDefault="00924992">
      <w:pPr>
        <w:spacing w:line="360" w:lineRule="exact"/>
      </w:pPr>
    </w:p>
    <w:p w14:paraId="50B9CEB9" w14:textId="77777777" w:rsidR="00924992" w:rsidRDefault="00924992">
      <w:pPr>
        <w:spacing w:line="360" w:lineRule="exact"/>
      </w:pPr>
    </w:p>
    <w:p w14:paraId="033C7903" w14:textId="77777777" w:rsidR="00924992" w:rsidRDefault="00924992">
      <w:pPr>
        <w:spacing w:line="360" w:lineRule="exact"/>
      </w:pPr>
    </w:p>
    <w:p w14:paraId="41FB077C" w14:textId="77777777" w:rsidR="00924992" w:rsidRDefault="00924992">
      <w:pPr>
        <w:spacing w:line="360" w:lineRule="exact"/>
      </w:pPr>
    </w:p>
    <w:p w14:paraId="565AFE02" w14:textId="77777777" w:rsidR="00924992" w:rsidRDefault="00924992">
      <w:pPr>
        <w:spacing w:line="360" w:lineRule="exact"/>
      </w:pPr>
    </w:p>
    <w:p w14:paraId="7BCF7B06" w14:textId="77777777" w:rsidR="00924992" w:rsidRDefault="00924992">
      <w:pPr>
        <w:spacing w:line="360" w:lineRule="exact"/>
      </w:pPr>
    </w:p>
    <w:p w14:paraId="61AF8F63" w14:textId="77777777" w:rsidR="00924992" w:rsidRDefault="00924992">
      <w:pPr>
        <w:spacing w:after="609" w:line="1" w:lineRule="exact"/>
      </w:pPr>
    </w:p>
    <w:p w14:paraId="271CACB2" w14:textId="77777777" w:rsidR="00924992" w:rsidRDefault="00924992">
      <w:pPr>
        <w:spacing w:line="1" w:lineRule="exact"/>
        <w:sectPr w:rsidR="00924992" w:rsidSect="00924992">
          <w:pgSz w:w="13022" w:h="8501" w:orient="landscape"/>
          <w:pgMar w:top="494" w:right="442" w:bottom="494" w:left="634" w:header="66" w:footer="3" w:gutter="0"/>
          <w:cols w:space="720"/>
          <w:noEndnote/>
          <w:docGrid w:linePitch="360"/>
          <w15:footnoteColumns w:val="1"/>
        </w:sectPr>
      </w:pPr>
    </w:p>
    <w:p w14:paraId="1219F971" w14:textId="77777777" w:rsidR="00924992" w:rsidRDefault="00924992">
      <w:pPr>
        <w:pStyle w:val="Heading31"/>
        <w:keepNext/>
        <w:keepLines/>
        <w:framePr w:w="7915" w:h="322" w:wrap="none" w:hAnchor="page" w:x="2367" w:y="1"/>
        <w:rPr>
          <w:sz w:val="16"/>
          <w:szCs w:val="16"/>
        </w:rPr>
      </w:pPr>
      <w:bookmarkStart w:id="379" w:name="bookmark1825"/>
      <w:bookmarkStart w:id="380" w:name="bookmark1826"/>
      <w:bookmarkStart w:id="381" w:name="bookmark1827"/>
      <w:r>
        <w:rPr>
          <w:b w:val="0"/>
          <w:bCs w:val="0"/>
          <w:color w:val="000000"/>
        </w:rPr>
        <w:t xml:space="preserve">Cuadro 4-5. </w:t>
      </w:r>
      <w:r>
        <w:rPr>
          <w:color w:val="000000"/>
        </w:rPr>
        <w:t xml:space="preserve">Dosis recomendadas de antimicóticos parenterales e ingeribles </w:t>
      </w:r>
      <w:r>
        <w:rPr>
          <w:rFonts w:ascii="Times New Roman" w:eastAsia="Times New Roman" w:hAnsi="Times New Roman" w:cs="Times New Roman"/>
          <w:b w:val="0"/>
          <w:bCs w:val="0"/>
          <w:i/>
          <w:iCs/>
          <w:color w:val="000000"/>
          <w:w w:val="100"/>
          <w:sz w:val="16"/>
          <w:szCs w:val="16"/>
        </w:rPr>
        <w:t>cwrtanuación</w:t>
      </w:r>
      <w:bookmarkEnd w:id="379"/>
      <w:bookmarkEnd w:id="380"/>
      <w:bookmarkEnd w:id="381"/>
    </w:p>
    <w:tbl>
      <w:tblPr>
        <w:tblOverlap w:val="never"/>
        <w:tblW w:w="0" w:type="auto"/>
        <w:tblLayout w:type="fixed"/>
        <w:tblCellMar>
          <w:left w:w="10" w:type="dxa"/>
          <w:right w:w="10" w:type="dxa"/>
        </w:tblCellMar>
        <w:tblLook w:val="04A0" w:firstRow="1" w:lastRow="0" w:firstColumn="1" w:lastColumn="0" w:noHBand="0" w:noVBand="1"/>
      </w:tblPr>
      <w:tblGrid>
        <w:gridCol w:w="1507"/>
        <w:gridCol w:w="2486"/>
        <w:gridCol w:w="3048"/>
        <w:gridCol w:w="4382"/>
      </w:tblGrid>
      <w:tr w:rsidR="00924992" w14:paraId="759F62C0" w14:textId="77777777">
        <w:tblPrEx>
          <w:tblCellMar>
            <w:top w:w="0" w:type="dxa"/>
            <w:bottom w:w="0" w:type="dxa"/>
          </w:tblCellMar>
        </w:tblPrEx>
        <w:trPr>
          <w:trHeight w:hRule="exact" w:val="562"/>
        </w:trPr>
        <w:tc>
          <w:tcPr>
            <w:tcW w:w="1507" w:type="dxa"/>
            <w:shd w:val="clear" w:color="auto" w:fill="000000"/>
          </w:tcPr>
          <w:p w14:paraId="09831030" w14:textId="77777777" w:rsidR="00924992" w:rsidRDefault="00924992">
            <w:pPr>
              <w:pStyle w:val="Other0"/>
              <w:framePr w:w="11424" w:h="4800" w:vSpace="1570" w:wrap="none" w:hAnchor="page" w:x="606" w:y="371"/>
              <w:pBdr>
                <w:top w:val="single" w:sz="0" w:space="0" w:color="000000"/>
                <w:left w:val="single" w:sz="0" w:space="0" w:color="000000"/>
                <w:bottom w:val="single" w:sz="0" w:space="0" w:color="000000"/>
                <w:right w:val="single" w:sz="0" w:space="0" w:color="000000"/>
              </w:pBdr>
              <w:shd w:val="clear" w:color="auto" w:fill="000000"/>
              <w:spacing w:line="240" w:lineRule="auto"/>
              <w:ind w:firstLine="0"/>
              <w:rPr>
                <w:sz w:val="24"/>
                <w:szCs w:val="24"/>
              </w:rPr>
            </w:pPr>
            <w:r>
              <w:rPr>
                <w:rFonts w:ascii="Arial" w:eastAsia="Arial" w:hAnsi="Arial" w:cs="Arial"/>
                <w:b/>
                <w:bCs/>
                <w:color w:val="FFFFFF"/>
                <w:w w:val="70"/>
                <w:sz w:val="24"/>
                <w:szCs w:val="24"/>
              </w:rPr>
              <w:t>Fármaco</w:t>
            </w:r>
          </w:p>
        </w:tc>
        <w:tc>
          <w:tcPr>
            <w:tcW w:w="2486" w:type="dxa"/>
            <w:shd w:val="clear" w:color="auto" w:fill="000000"/>
          </w:tcPr>
          <w:p w14:paraId="0410B465" w14:textId="77777777" w:rsidR="00924992" w:rsidRDefault="00924992">
            <w:pPr>
              <w:pStyle w:val="Other0"/>
              <w:framePr w:w="11424" w:h="4800" w:vSpace="1570" w:wrap="none" w:hAnchor="page" w:x="606" w:y="371"/>
              <w:pBdr>
                <w:top w:val="single" w:sz="0" w:space="0" w:color="000000"/>
                <w:left w:val="single" w:sz="0" w:space="0" w:color="000000"/>
                <w:bottom w:val="single" w:sz="0" w:space="0" w:color="000000"/>
                <w:right w:val="single" w:sz="0" w:space="0" w:color="000000"/>
              </w:pBdr>
              <w:shd w:val="clear" w:color="auto" w:fill="000000"/>
              <w:spacing w:line="209" w:lineRule="auto"/>
              <w:ind w:left="1080" w:firstLine="0"/>
              <w:rPr>
                <w:sz w:val="8"/>
                <w:szCs w:val="8"/>
              </w:rPr>
            </w:pPr>
            <w:r>
              <w:rPr>
                <w:rFonts w:ascii="Arial" w:eastAsia="Arial" w:hAnsi="Arial" w:cs="Arial"/>
                <w:b/>
                <w:bCs/>
                <w:color w:val="FFFFFF"/>
                <w:w w:val="70"/>
                <w:sz w:val="24"/>
                <w:szCs w:val="24"/>
              </w:rPr>
              <w:t>Vía de administración</w:t>
            </w:r>
            <w:r>
              <w:rPr>
                <w:rFonts w:ascii="Times New Roman" w:eastAsia="Times New Roman" w:hAnsi="Times New Roman" w:cs="Times New Roman"/>
                <w:color w:val="FFFFFF"/>
                <w:sz w:val="8"/>
                <w:szCs w:val="8"/>
                <w:vertAlign w:val="superscript"/>
              </w:rPr>
              <w:t>1</w:t>
            </w:r>
          </w:p>
        </w:tc>
        <w:tc>
          <w:tcPr>
            <w:tcW w:w="3048" w:type="dxa"/>
            <w:shd w:val="clear" w:color="auto" w:fill="000000"/>
          </w:tcPr>
          <w:p w14:paraId="0FE52797" w14:textId="77777777" w:rsidR="00924992" w:rsidRDefault="00924992">
            <w:pPr>
              <w:pStyle w:val="Other0"/>
              <w:framePr w:w="11424" w:h="4800" w:vSpace="1570" w:wrap="none" w:hAnchor="page" w:x="606" w:y="371"/>
              <w:pBdr>
                <w:top w:val="single" w:sz="0" w:space="0" w:color="000000"/>
                <w:left w:val="single" w:sz="0" w:space="0" w:color="000000"/>
                <w:bottom w:val="single" w:sz="0" w:space="0" w:color="000000"/>
                <w:right w:val="single" w:sz="0" w:space="0" w:color="000000"/>
              </w:pBdr>
              <w:shd w:val="clear" w:color="auto" w:fill="000000"/>
              <w:spacing w:line="240" w:lineRule="auto"/>
              <w:ind w:firstLine="180"/>
              <w:rPr>
                <w:sz w:val="24"/>
                <w:szCs w:val="24"/>
              </w:rPr>
            </w:pPr>
            <w:r>
              <w:rPr>
                <w:rFonts w:ascii="Arial" w:eastAsia="Arial" w:hAnsi="Arial" w:cs="Arial"/>
                <w:b/>
                <w:bCs/>
                <w:color w:val="FFFFFF"/>
                <w:w w:val="70"/>
                <w:sz w:val="24"/>
                <w:szCs w:val="24"/>
              </w:rPr>
              <w:t>Dosis (al día)</w:t>
            </w:r>
          </w:p>
        </w:tc>
        <w:tc>
          <w:tcPr>
            <w:tcW w:w="4382" w:type="dxa"/>
            <w:shd w:val="clear" w:color="auto" w:fill="000000"/>
          </w:tcPr>
          <w:p w14:paraId="652C755D" w14:textId="77777777" w:rsidR="00924992" w:rsidRDefault="00924992">
            <w:pPr>
              <w:pStyle w:val="Other0"/>
              <w:framePr w:w="11424" w:h="4800" w:vSpace="1570" w:wrap="none" w:hAnchor="page" w:x="606" w:y="371"/>
              <w:pBdr>
                <w:top w:val="single" w:sz="0" w:space="0" w:color="000000"/>
                <w:left w:val="single" w:sz="0" w:space="0" w:color="000000"/>
                <w:bottom w:val="single" w:sz="0" w:space="0" w:color="000000"/>
                <w:right w:val="single" w:sz="0" w:space="0" w:color="000000"/>
              </w:pBdr>
              <w:shd w:val="clear" w:color="auto" w:fill="000000"/>
              <w:spacing w:line="240" w:lineRule="auto"/>
              <w:ind w:firstLine="880"/>
              <w:rPr>
                <w:sz w:val="8"/>
                <w:szCs w:val="8"/>
              </w:rPr>
            </w:pPr>
            <w:r>
              <w:rPr>
                <w:rFonts w:ascii="Arial" w:eastAsia="Arial" w:hAnsi="Arial" w:cs="Arial"/>
                <w:b/>
                <w:bCs/>
                <w:color w:val="FFFFFF"/>
                <w:w w:val="70"/>
                <w:sz w:val="24"/>
                <w:szCs w:val="24"/>
              </w:rPr>
              <w:t>Reacciones adversas</w:t>
            </w:r>
            <w:r>
              <w:rPr>
                <w:rFonts w:ascii="Times New Roman" w:eastAsia="Times New Roman" w:hAnsi="Times New Roman" w:cs="Times New Roman"/>
                <w:color w:val="FFFFFF"/>
                <w:sz w:val="8"/>
                <w:szCs w:val="8"/>
                <w:vertAlign w:val="superscript"/>
              </w:rPr>
              <w:t>2</w:t>
            </w:r>
            <w:r>
              <w:rPr>
                <w:rFonts w:ascii="Arial" w:eastAsia="Arial" w:hAnsi="Arial" w:cs="Arial"/>
                <w:b/>
                <w:bCs/>
                <w:color w:val="FFFFFF"/>
                <w:w w:val="70"/>
                <w:sz w:val="24"/>
                <w:szCs w:val="24"/>
              </w:rPr>
              <w:t>,</w:t>
            </w:r>
            <w:r>
              <w:rPr>
                <w:rFonts w:ascii="Times New Roman" w:eastAsia="Times New Roman" w:hAnsi="Times New Roman" w:cs="Times New Roman"/>
                <w:color w:val="FFFFFF"/>
                <w:sz w:val="8"/>
                <w:szCs w:val="8"/>
                <w:vertAlign w:val="superscript"/>
              </w:rPr>
              <w:t>3</w:t>
            </w:r>
          </w:p>
        </w:tc>
      </w:tr>
      <w:tr w:rsidR="00924992" w14:paraId="2D8953CF" w14:textId="77777777">
        <w:tblPrEx>
          <w:tblCellMar>
            <w:top w:w="0" w:type="dxa"/>
            <w:bottom w:w="0" w:type="dxa"/>
          </w:tblCellMar>
        </w:tblPrEx>
        <w:trPr>
          <w:trHeight w:hRule="exact" w:val="1637"/>
        </w:trPr>
        <w:tc>
          <w:tcPr>
            <w:tcW w:w="1507" w:type="dxa"/>
            <w:shd w:val="clear" w:color="auto" w:fill="FFFFFF"/>
          </w:tcPr>
          <w:p w14:paraId="7E9C4427" w14:textId="77777777" w:rsidR="00924992" w:rsidRDefault="00924992">
            <w:pPr>
              <w:pStyle w:val="Other0"/>
              <w:framePr w:w="11424" w:h="4800" w:vSpace="1570" w:wrap="none" w:hAnchor="page" w:x="606" w:y="371"/>
              <w:spacing w:line="240" w:lineRule="auto"/>
              <w:ind w:firstLine="0"/>
              <w:rPr>
                <w:sz w:val="16"/>
                <w:szCs w:val="16"/>
              </w:rPr>
            </w:pPr>
            <w:r>
              <w:rPr>
                <w:rFonts w:ascii="Times New Roman" w:eastAsia="Times New Roman" w:hAnsi="Times New Roman" w:cs="Times New Roman"/>
                <w:color w:val="000000"/>
                <w:sz w:val="16"/>
                <w:szCs w:val="16"/>
              </w:rPr>
              <w:t>Ketoconazol</w:t>
            </w:r>
            <w:r>
              <w:rPr>
                <w:rFonts w:ascii="Times New Roman" w:eastAsia="Times New Roman" w:hAnsi="Times New Roman" w:cs="Times New Roman"/>
                <w:color w:val="000000"/>
                <w:sz w:val="16"/>
                <w:szCs w:val="16"/>
                <w:vertAlign w:val="superscript"/>
              </w:rPr>
              <w:t>3,5</w:t>
            </w:r>
          </w:p>
        </w:tc>
        <w:tc>
          <w:tcPr>
            <w:tcW w:w="2486" w:type="dxa"/>
            <w:shd w:val="clear" w:color="auto" w:fill="FFFFFF"/>
          </w:tcPr>
          <w:p w14:paraId="4BEF754B" w14:textId="77777777" w:rsidR="00924992" w:rsidRDefault="00924992">
            <w:pPr>
              <w:pStyle w:val="Other0"/>
              <w:framePr w:w="11424" w:h="4800" w:vSpace="1570" w:wrap="none" w:hAnchor="page" w:x="606" w:y="371"/>
              <w:spacing w:line="240" w:lineRule="auto"/>
              <w:ind w:firstLine="480"/>
              <w:rPr>
                <w:sz w:val="16"/>
                <w:szCs w:val="16"/>
              </w:rPr>
            </w:pPr>
            <w:r>
              <w:rPr>
                <w:rFonts w:ascii="Times New Roman" w:eastAsia="Times New Roman" w:hAnsi="Times New Roman" w:cs="Times New Roman"/>
                <w:color w:val="000000"/>
                <w:sz w:val="16"/>
                <w:szCs w:val="16"/>
              </w:rPr>
              <w:t>PO</w:t>
            </w:r>
          </w:p>
        </w:tc>
        <w:tc>
          <w:tcPr>
            <w:tcW w:w="3048" w:type="dxa"/>
            <w:shd w:val="clear" w:color="auto" w:fill="FFFFFF"/>
          </w:tcPr>
          <w:p w14:paraId="3C739217" w14:textId="77777777" w:rsidR="00924992" w:rsidRDefault="00924992">
            <w:pPr>
              <w:pStyle w:val="Other0"/>
              <w:framePr w:w="11424" w:h="4800" w:vSpace="1570" w:wrap="none" w:hAnchor="page" w:x="606" w:y="371"/>
              <w:spacing w:line="283" w:lineRule="auto"/>
              <w:ind w:left="360" w:hanging="80"/>
              <w:rPr>
                <w:sz w:val="16"/>
                <w:szCs w:val="16"/>
              </w:rPr>
            </w:pPr>
            <w:r>
              <w:rPr>
                <w:rFonts w:ascii="Times New Roman" w:eastAsia="Times New Roman" w:hAnsi="Times New Roman" w:cs="Times New Roman"/>
                <w:color w:val="000000"/>
                <w:sz w:val="16"/>
                <w:szCs w:val="16"/>
              </w:rPr>
              <w:t>Niños</w:t>
            </w:r>
            <w:r>
              <w:rPr>
                <w:rFonts w:ascii="Times New Roman" w:eastAsia="Times New Roman" w:hAnsi="Times New Roman" w:cs="Times New Roman"/>
                <w:color w:val="000000"/>
                <w:sz w:val="16"/>
                <w:szCs w:val="16"/>
                <w:vertAlign w:val="superscript"/>
              </w:rPr>
              <w:t>6</w:t>
            </w:r>
            <w:r>
              <w:rPr>
                <w:rFonts w:ascii="Times New Roman" w:eastAsia="Times New Roman" w:hAnsi="Times New Roman" w:cs="Times New Roman"/>
                <w:color w:val="000000"/>
                <w:sz w:val="16"/>
                <w:szCs w:val="16"/>
              </w:rPr>
              <w:t>: 3.3-6.6 mg/kg al día en una sola dosis</w:t>
            </w:r>
          </w:p>
          <w:p w14:paraId="38B86003" w14:textId="77777777" w:rsidR="00924992" w:rsidRDefault="00924992">
            <w:pPr>
              <w:pStyle w:val="Other0"/>
              <w:framePr w:w="11424" w:h="4800" w:vSpace="1570" w:wrap="none" w:hAnchor="page" w:x="606" w:y="371"/>
              <w:spacing w:line="283" w:lineRule="auto"/>
              <w:ind w:left="260"/>
              <w:rPr>
                <w:sz w:val="16"/>
                <w:szCs w:val="16"/>
              </w:rPr>
            </w:pPr>
            <w:r>
              <w:rPr>
                <w:rFonts w:ascii="Times New Roman" w:eastAsia="Times New Roman" w:hAnsi="Times New Roman" w:cs="Times New Roman"/>
                <w:color w:val="000000"/>
                <w:sz w:val="16"/>
                <w:szCs w:val="16"/>
              </w:rPr>
              <w:t>Adultos: 200 mg dos veces al día en cuatro dosis para seguir con 200 mg una vez al día</w:t>
            </w:r>
          </w:p>
        </w:tc>
        <w:tc>
          <w:tcPr>
            <w:tcW w:w="4382" w:type="dxa"/>
            <w:shd w:val="clear" w:color="auto" w:fill="FFFFFF"/>
          </w:tcPr>
          <w:p w14:paraId="14481CE6" w14:textId="77777777" w:rsidR="00924992" w:rsidRDefault="00924992">
            <w:pPr>
              <w:pStyle w:val="Other0"/>
              <w:framePr w:w="11424" w:h="4800" w:vSpace="1570" w:wrap="none" w:hAnchor="page" w:x="606" w:y="371"/>
              <w:spacing w:line="283" w:lineRule="auto"/>
              <w:ind w:left="260" w:hanging="80"/>
              <w:rPr>
                <w:sz w:val="16"/>
                <w:szCs w:val="16"/>
              </w:rPr>
            </w:pPr>
            <w:r>
              <w:rPr>
                <w:rFonts w:ascii="Times New Roman" w:eastAsia="Times New Roman" w:hAnsi="Times New Roman" w:cs="Times New Roman"/>
                <w:color w:val="000000"/>
                <w:sz w:val="16"/>
                <w:szCs w:val="16"/>
              </w:rPr>
              <w:t>Hepatotoxicidad, síntomas de vías gastrointestinales, erupciones, anafilaxia, trombocitopenia, anemia hemolítica, ginecomastia, insuficiencia suprarrenal; es posible que surjan efectos tóxicos en corazón en niños que también reciben terfenadina o astemizol</w:t>
            </w:r>
          </w:p>
        </w:tc>
      </w:tr>
      <w:tr w:rsidR="00924992" w14:paraId="1F9EC163" w14:textId="77777777">
        <w:tblPrEx>
          <w:tblCellMar>
            <w:top w:w="0" w:type="dxa"/>
            <w:bottom w:w="0" w:type="dxa"/>
          </w:tblCellMar>
        </w:tblPrEx>
        <w:trPr>
          <w:trHeight w:hRule="exact" w:val="1085"/>
        </w:trPr>
        <w:tc>
          <w:tcPr>
            <w:tcW w:w="1507" w:type="dxa"/>
            <w:shd w:val="clear" w:color="auto" w:fill="FFFFFF"/>
          </w:tcPr>
          <w:p w14:paraId="08610525" w14:textId="77777777" w:rsidR="00924992" w:rsidRDefault="00924992">
            <w:pPr>
              <w:pStyle w:val="Other0"/>
              <w:framePr w:w="11424" w:h="4800" w:vSpace="1570" w:wrap="none" w:hAnchor="page" w:x="606" w:y="371"/>
              <w:spacing w:before="120" w:line="240" w:lineRule="auto"/>
              <w:ind w:firstLine="0"/>
              <w:rPr>
                <w:sz w:val="16"/>
                <w:szCs w:val="16"/>
              </w:rPr>
            </w:pPr>
            <w:r>
              <w:rPr>
                <w:rFonts w:ascii="Times New Roman" w:eastAsia="Times New Roman" w:hAnsi="Times New Roman" w:cs="Times New Roman"/>
                <w:color w:val="000000"/>
                <w:sz w:val="16"/>
                <w:szCs w:val="16"/>
              </w:rPr>
              <w:t>Nistatina</w:t>
            </w:r>
          </w:p>
        </w:tc>
        <w:tc>
          <w:tcPr>
            <w:tcW w:w="2486" w:type="dxa"/>
            <w:shd w:val="clear" w:color="auto" w:fill="FFFFFF"/>
          </w:tcPr>
          <w:p w14:paraId="0D0F00DC" w14:textId="77777777" w:rsidR="00924992" w:rsidRDefault="00924992">
            <w:pPr>
              <w:pStyle w:val="Other0"/>
              <w:framePr w:w="11424" w:h="4800" w:vSpace="1570" w:wrap="none" w:hAnchor="page" w:x="606" w:y="371"/>
              <w:spacing w:before="120" w:line="240" w:lineRule="auto"/>
              <w:ind w:left="1080" w:firstLine="0"/>
              <w:rPr>
                <w:sz w:val="16"/>
                <w:szCs w:val="16"/>
              </w:rPr>
            </w:pPr>
            <w:r>
              <w:rPr>
                <w:rFonts w:ascii="Times New Roman" w:eastAsia="Times New Roman" w:hAnsi="Times New Roman" w:cs="Times New Roman"/>
                <w:color w:val="000000"/>
                <w:sz w:val="16"/>
                <w:szCs w:val="16"/>
              </w:rPr>
              <w:t>PO</w:t>
            </w:r>
          </w:p>
        </w:tc>
        <w:tc>
          <w:tcPr>
            <w:tcW w:w="3048" w:type="dxa"/>
            <w:shd w:val="clear" w:color="auto" w:fill="FFFFFF"/>
            <w:vAlign w:val="center"/>
          </w:tcPr>
          <w:p w14:paraId="13A0B60A" w14:textId="77777777" w:rsidR="00924992" w:rsidRDefault="00924992">
            <w:pPr>
              <w:pStyle w:val="Other0"/>
              <w:framePr w:w="11424" w:h="4800" w:vSpace="1570" w:wrap="none" w:hAnchor="page" w:x="606" w:y="371"/>
              <w:spacing w:line="283" w:lineRule="auto"/>
              <w:ind w:left="260" w:hanging="80"/>
              <w:rPr>
                <w:sz w:val="16"/>
                <w:szCs w:val="16"/>
              </w:rPr>
            </w:pPr>
            <w:r>
              <w:rPr>
                <w:rFonts w:ascii="Times New Roman" w:eastAsia="Times New Roman" w:hAnsi="Times New Roman" w:cs="Times New Roman"/>
                <w:color w:val="000000"/>
                <w:sz w:val="16"/>
                <w:szCs w:val="16"/>
              </w:rPr>
              <w:t>Lactantes: 200 000 U cuatro veces al día después de alimentos</w:t>
            </w:r>
          </w:p>
          <w:p w14:paraId="1774675D" w14:textId="77777777" w:rsidR="00924992" w:rsidRDefault="00924992">
            <w:pPr>
              <w:pStyle w:val="Other0"/>
              <w:framePr w:w="11424" w:h="4800" w:vSpace="1570" w:wrap="none" w:hAnchor="page" w:x="606" w:y="371"/>
              <w:spacing w:line="283" w:lineRule="auto"/>
              <w:ind w:left="260" w:hanging="80"/>
              <w:rPr>
                <w:sz w:val="16"/>
                <w:szCs w:val="16"/>
              </w:rPr>
            </w:pPr>
            <w:r>
              <w:rPr>
                <w:rFonts w:ascii="Times New Roman" w:eastAsia="Times New Roman" w:hAnsi="Times New Roman" w:cs="Times New Roman"/>
                <w:color w:val="000000"/>
                <w:sz w:val="16"/>
                <w:szCs w:val="16"/>
              </w:rPr>
              <w:t>Niños y adultos: 400 000-600 000 U tres veces al día después de alimentos</w:t>
            </w:r>
          </w:p>
        </w:tc>
        <w:tc>
          <w:tcPr>
            <w:tcW w:w="4382" w:type="dxa"/>
            <w:shd w:val="clear" w:color="auto" w:fill="FFFFFF"/>
          </w:tcPr>
          <w:p w14:paraId="67AE2A6F" w14:textId="77777777" w:rsidR="00924992" w:rsidRDefault="00924992">
            <w:pPr>
              <w:pStyle w:val="Other0"/>
              <w:framePr w:w="11424" w:h="4800" w:vSpace="1570" w:wrap="none" w:hAnchor="page" w:x="606" w:y="371"/>
              <w:spacing w:before="120" w:line="283" w:lineRule="auto"/>
              <w:ind w:left="1000" w:hanging="100"/>
              <w:rPr>
                <w:sz w:val="16"/>
                <w:szCs w:val="16"/>
              </w:rPr>
            </w:pPr>
            <w:r>
              <w:rPr>
                <w:rFonts w:ascii="Times New Roman" w:eastAsia="Times New Roman" w:hAnsi="Times New Roman" w:cs="Times New Roman"/>
                <w:color w:val="000000"/>
                <w:sz w:val="16"/>
                <w:szCs w:val="16"/>
              </w:rPr>
              <w:t>Síntomas de vías gastrointestinales, erupciones</w:t>
            </w:r>
          </w:p>
        </w:tc>
      </w:tr>
      <w:tr w:rsidR="00924992" w14:paraId="4AB216DD" w14:textId="77777777">
        <w:tblPrEx>
          <w:tblCellMar>
            <w:top w:w="0" w:type="dxa"/>
            <w:bottom w:w="0" w:type="dxa"/>
          </w:tblCellMar>
        </w:tblPrEx>
        <w:trPr>
          <w:trHeight w:hRule="exact" w:val="667"/>
        </w:trPr>
        <w:tc>
          <w:tcPr>
            <w:tcW w:w="1507" w:type="dxa"/>
            <w:shd w:val="clear" w:color="auto" w:fill="FFFFFF"/>
          </w:tcPr>
          <w:p w14:paraId="286DBD5F" w14:textId="77777777" w:rsidR="00924992" w:rsidRDefault="00924992">
            <w:pPr>
              <w:pStyle w:val="Other0"/>
              <w:framePr w:w="11424" w:h="4800" w:vSpace="1570" w:wrap="none" w:hAnchor="page" w:x="606" w:y="371"/>
              <w:spacing w:before="120" w:line="240" w:lineRule="auto"/>
              <w:ind w:firstLine="0"/>
              <w:rPr>
                <w:sz w:val="16"/>
                <w:szCs w:val="16"/>
              </w:rPr>
            </w:pPr>
            <w:r>
              <w:rPr>
                <w:rFonts w:ascii="Times New Roman" w:eastAsia="Times New Roman" w:hAnsi="Times New Roman" w:cs="Times New Roman"/>
                <w:color w:val="000000"/>
                <w:sz w:val="16"/>
                <w:szCs w:val="16"/>
              </w:rPr>
              <w:t>Terbinafina</w:t>
            </w:r>
            <w:r>
              <w:rPr>
                <w:rFonts w:ascii="Times New Roman" w:eastAsia="Times New Roman" w:hAnsi="Times New Roman" w:cs="Times New Roman"/>
                <w:color w:val="000000"/>
                <w:sz w:val="16"/>
                <w:szCs w:val="16"/>
                <w:vertAlign w:val="superscript"/>
              </w:rPr>
              <w:t>4</w:t>
            </w:r>
          </w:p>
        </w:tc>
        <w:tc>
          <w:tcPr>
            <w:tcW w:w="2486" w:type="dxa"/>
            <w:shd w:val="clear" w:color="auto" w:fill="FFFFFF"/>
          </w:tcPr>
          <w:p w14:paraId="1506A727" w14:textId="77777777" w:rsidR="00924992" w:rsidRDefault="00924992">
            <w:pPr>
              <w:pStyle w:val="Other0"/>
              <w:framePr w:w="11424" w:h="4800" w:vSpace="1570" w:wrap="none" w:hAnchor="page" w:x="606" w:y="371"/>
              <w:spacing w:before="120" w:line="240" w:lineRule="auto"/>
              <w:ind w:left="1080" w:firstLine="0"/>
              <w:rPr>
                <w:sz w:val="16"/>
                <w:szCs w:val="16"/>
              </w:rPr>
            </w:pPr>
            <w:r>
              <w:rPr>
                <w:rFonts w:ascii="Times New Roman" w:eastAsia="Times New Roman" w:hAnsi="Times New Roman" w:cs="Times New Roman"/>
                <w:color w:val="000000"/>
                <w:sz w:val="16"/>
                <w:szCs w:val="16"/>
              </w:rPr>
              <w:t>PO</w:t>
            </w:r>
          </w:p>
        </w:tc>
        <w:tc>
          <w:tcPr>
            <w:tcW w:w="3048" w:type="dxa"/>
            <w:shd w:val="clear" w:color="auto" w:fill="FFFFFF"/>
          </w:tcPr>
          <w:p w14:paraId="3B473B24" w14:textId="77777777" w:rsidR="00924992" w:rsidRDefault="00924992">
            <w:pPr>
              <w:pStyle w:val="Other0"/>
              <w:framePr w:w="11424" w:h="4800" w:vSpace="1570" w:wrap="none" w:hAnchor="page" w:x="606" w:y="371"/>
              <w:spacing w:before="120" w:line="240" w:lineRule="auto"/>
              <w:ind w:firstLine="180"/>
              <w:rPr>
                <w:sz w:val="16"/>
                <w:szCs w:val="16"/>
              </w:rPr>
            </w:pPr>
            <w:r>
              <w:rPr>
                <w:rFonts w:ascii="Times New Roman" w:eastAsia="Times New Roman" w:hAnsi="Times New Roman" w:cs="Times New Roman"/>
                <w:color w:val="000000"/>
                <w:sz w:val="16"/>
                <w:szCs w:val="16"/>
              </w:rPr>
              <w:t>Adultos: 250 mg una vez al día</w:t>
            </w:r>
          </w:p>
        </w:tc>
        <w:tc>
          <w:tcPr>
            <w:tcW w:w="4382" w:type="dxa"/>
            <w:shd w:val="clear" w:color="auto" w:fill="FFFFFF"/>
            <w:vAlign w:val="center"/>
          </w:tcPr>
          <w:p w14:paraId="36B4A1DB" w14:textId="77777777" w:rsidR="00924992" w:rsidRDefault="00924992">
            <w:pPr>
              <w:pStyle w:val="Other0"/>
              <w:framePr w:w="11424" w:h="4800" w:vSpace="1570" w:wrap="none" w:hAnchor="page" w:x="606" w:y="371"/>
              <w:spacing w:line="283" w:lineRule="auto"/>
              <w:ind w:left="1000" w:hanging="100"/>
              <w:rPr>
                <w:sz w:val="16"/>
                <w:szCs w:val="16"/>
              </w:rPr>
            </w:pPr>
            <w:r>
              <w:rPr>
                <w:rFonts w:ascii="Times New Roman" w:eastAsia="Times New Roman" w:hAnsi="Times New Roman" w:cs="Times New Roman"/>
                <w:color w:val="000000"/>
                <w:sz w:val="16"/>
                <w:szCs w:val="16"/>
              </w:rPr>
              <w:t>Síntomas de vías gastrointestinales, erupciones, disgeusia, hepatitis colestática</w:t>
            </w:r>
          </w:p>
        </w:tc>
      </w:tr>
      <w:tr w:rsidR="00924992" w14:paraId="07D11B55" w14:textId="77777777">
        <w:tblPrEx>
          <w:tblCellMar>
            <w:top w:w="0" w:type="dxa"/>
            <w:bottom w:w="0" w:type="dxa"/>
          </w:tblCellMar>
        </w:tblPrEx>
        <w:trPr>
          <w:trHeight w:hRule="exact" w:val="850"/>
        </w:trPr>
        <w:tc>
          <w:tcPr>
            <w:tcW w:w="1507" w:type="dxa"/>
            <w:tcBorders>
              <w:bottom w:val="single" w:sz="4" w:space="0" w:color="auto"/>
            </w:tcBorders>
            <w:shd w:val="clear" w:color="auto" w:fill="FFFFFF"/>
          </w:tcPr>
          <w:p w14:paraId="2D2400FE" w14:textId="77777777" w:rsidR="00924992" w:rsidRDefault="00924992">
            <w:pPr>
              <w:pStyle w:val="Other0"/>
              <w:framePr w:w="11424" w:h="4800" w:vSpace="1570" w:wrap="none" w:hAnchor="page" w:x="606" w:y="371"/>
              <w:spacing w:before="100" w:line="240" w:lineRule="auto"/>
              <w:ind w:firstLine="0"/>
              <w:rPr>
                <w:sz w:val="16"/>
                <w:szCs w:val="16"/>
              </w:rPr>
            </w:pPr>
            <w:r>
              <w:rPr>
                <w:rFonts w:ascii="Times New Roman" w:eastAsia="Times New Roman" w:hAnsi="Times New Roman" w:cs="Times New Roman"/>
                <w:color w:val="000000"/>
                <w:sz w:val="16"/>
                <w:szCs w:val="16"/>
              </w:rPr>
              <w:t>Voriconazol</w:t>
            </w:r>
          </w:p>
        </w:tc>
        <w:tc>
          <w:tcPr>
            <w:tcW w:w="2486" w:type="dxa"/>
            <w:tcBorders>
              <w:bottom w:val="single" w:sz="4" w:space="0" w:color="auto"/>
            </w:tcBorders>
            <w:shd w:val="clear" w:color="auto" w:fill="FFFFFF"/>
          </w:tcPr>
          <w:p w14:paraId="5946C88B" w14:textId="77777777" w:rsidR="00924992" w:rsidRDefault="00924992">
            <w:pPr>
              <w:pStyle w:val="Other0"/>
              <w:framePr w:w="11424" w:h="4800" w:vSpace="1570" w:wrap="none" w:hAnchor="page" w:x="606" w:y="371"/>
              <w:spacing w:before="100" w:line="240" w:lineRule="auto"/>
              <w:ind w:left="1080" w:firstLine="0"/>
              <w:rPr>
                <w:sz w:val="16"/>
                <w:szCs w:val="16"/>
              </w:rPr>
            </w:pPr>
            <w:r>
              <w:rPr>
                <w:rFonts w:ascii="Times New Roman" w:eastAsia="Times New Roman" w:hAnsi="Times New Roman" w:cs="Times New Roman"/>
                <w:color w:val="000000"/>
                <w:sz w:val="16"/>
                <w:szCs w:val="16"/>
              </w:rPr>
              <w:t>IV, PO</w:t>
            </w:r>
          </w:p>
        </w:tc>
        <w:tc>
          <w:tcPr>
            <w:tcW w:w="3048" w:type="dxa"/>
            <w:tcBorders>
              <w:bottom w:val="single" w:sz="4" w:space="0" w:color="auto"/>
            </w:tcBorders>
            <w:shd w:val="clear" w:color="auto" w:fill="FFFFFF"/>
          </w:tcPr>
          <w:p w14:paraId="0B886626" w14:textId="77777777" w:rsidR="00924992" w:rsidRDefault="00924992">
            <w:pPr>
              <w:pStyle w:val="Other0"/>
              <w:framePr w:w="11424" w:h="4800" w:vSpace="1570" w:wrap="none" w:hAnchor="page" w:x="606" w:y="371"/>
              <w:spacing w:before="100" w:line="240" w:lineRule="auto"/>
              <w:ind w:firstLine="180"/>
              <w:rPr>
                <w:sz w:val="16"/>
                <w:szCs w:val="16"/>
              </w:rPr>
            </w:pPr>
            <w:r>
              <w:rPr>
                <w:rFonts w:ascii="Times New Roman" w:eastAsia="Times New Roman" w:hAnsi="Times New Roman" w:cs="Times New Roman"/>
                <w:color w:val="000000"/>
                <w:sz w:val="16"/>
                <w:szCs w:val="16"/>
              </w:rPr>
              <w:t>Adultos: 200 mg IV o PO, cada 12 h</w:t>
            </w:r>
          </w:p>
        </w:tc>
        <w:tc>
          <w:tcPr>
            <w:tcW w:w="4382" w:type="dxa"/>
            <w:tcBorders>
              <w:bottom w:val="single" w:sz="4" w:space="0" w:color="auto"/>
            </w:tcBorders>
            <w:shd w:val="clear" w:color="auto" w:fill="FFFFFF"/>
            <w:vAlign w:val="center"/>
          </w:tcPr>
          <w:p w14:paraId="0AC377A1" w14:textId="77777777" w:rsidR="00924992" w:rsidRDefault="00924992">
            <w:pPr>
              <w:pStyle w:val="Other0"/>
              <w:framePr w:w="11424" w:h="4800" w:vSpace="1570" w:wrap="none" w:hAnchor="page" w:x="606" w:y="371"/>
              <w:spacing w:line="283" w:lineRule="auto"/>
              <w:ind w:left="1000" w:hanging="100"/>
              <w:rPr>
                <w:sz w:val="16"/>
                <w:szCs w:val="16"/>
              </w:rPr>
            </w:pPr>
            <w:r>
              <w:rPr>
                <w:rFonts w:ascii="Times New Roman" w:eastAsia="Times New Roman" w:hAnsi="Times New Roman" w:cs="Times New Roman"/>
                <w:color w:val="000000"/>
                <w:sz w:val="16"/>
                <w:szCs w:val="16"/>
              </w:rPr>
              <w:t>Perturbaciones visuales, erupciones, incremento de los niveles de las pruebas de función hepática</w:t>
            </w:r>
          </w:p>
        </w:tc>
      </w:tr>
    </w:tbl>
    <w:p w14:paraId="7C12360F" w14:textId="77777777" w:rsidR="00924992" w:rsidRDefault="00924992">
      <w:pPr>
        <w:framePr w:w="11424" w:h="4800" w:vSpace="1570" w:wrap="none" w:hAnchor="page" w:x="606" w:y="371"/>
        <w:spacing w:line="1" w:lineRule="exact"/>
      </w:pPr>
    </w:p>
    <w:p w14:paraId="61B0E7C4" w14:textId="77777777" w:rsidR="00924992" w:rsidRDefault="00924992">
      <w:pPr>
        <w:pStyle w:val="Tablecaption0"/>
        <w:framePr w:w="11184" w:h="1474" w:wrap="none" w:hAnchor="page" w:x="659" w:y="5267"/>
        <w:numPr>
          <w:ilvl w:val="0"/>
          <w:numId w:val="125"/>
        </w:numPr>
        <w:tabs>
          <w:tab w:val="left" w:pos="163"/>
        </w:tabs>
        <w:spacing w:line="254" w:lineRule="auto"/>
        <w:ind w:left="0"/>
        <w:jc w:val="both"/>
      </w:pPr>
      <w:r>
        <w:rPr>
          <w:color w:val="000000"/>
        </w:rPr>
        <w:t xml:space="preserve">IV, intravenoso; IT, intrarraquídeo </w:t>
      </w:r>
      <w:r>
        <w:rPr>
          <w:i/>
          <w:iCs/>
          <w:color w:val="000000"/>
        </w:rPr>
        <w:t>(intrathecal);</w:t>
      </w:r>
      <w:r>
        <w:rPr>
          <w:color w:val="000000"/>
        </w:rPr>
        <w:t xml:space="preserve"> PO, oral; VIH, virus de inmunodeficiencia humana.</w:t>
      </w:r>
    </w:p>
    <w:p w14:paraId="5AB83008" w14:textId="77777777" w:rsidR="00924992" w:rsidRDefault="00924992">
      <w:pPr>
        <w:pStyle w:val="Tablecaption0"/>
        <w:framePr w:w="11184" w:h="1474" w:wrap="none" w:hAnchor="page" w:x="659" w:y="5267"/>
        <w:numPr>
          <w:ilvl w:val="0"/>
          <w:numId w:val="125"/>
        </w:numPr>
        <w:tabs>
          <w:tab w:val="left" w:pos="173"/>
        </w:tabs>
        <w:spacing w:line="254" w:lineRule="auto"/>
        <w:ind w:left="180" w:hanging="180"/>
      </w:pPr>
      <w:r>
        <w:rPr>
          <w:color w:val="000000"/>
        </w:rPr>
        <w:t xml:space="preserve">Consúltense las instrucciones del fabricante o la edición actual de </w:t>
      </w:r>
      <w:r>
        <w:rPr>
          <w:i/>
          <w:iCs/>
          <w:color w:val="000000"/>
        </w:rPr>
        <w:t>Physician’s Desk Reference</w:t>
      </w:r>
      <w:r>
        <w:rPr>
          <w:color w:val="000000"/>
        </w:rPr>
        <w:t xml:space="preserve"> (Greenwood Village, CO: Thomson Micromedex) o la página </w:t>
      </w:r>
      <w:hyperlink r:id="rId288" w:history="1">
        <w:r>
          <w:rPr>
            <w:color w:val="000000"/>
          </w:rPr>
          <w:t>http://pdrel.thomsonhc.com/pdrel/librarian/action/command.Command</w:t>
        </w:r>
      </w:hyperlink>
      <w:r>
        <w:rPr>
          <w:color w:val="000000"/>
        </w:rPr>
        <w:t>.</w:t>
      </w:r>
    </w:p>
    <w:p w14:paraId="671776F9" w14:textId="77777777" w:rsidR="00924992" w:rsidRDefault="00924992">
      <w:pPr>
        <w:pStyle w:val="Tablecaption0"/>
        <w:framePr w:w="11184" w:h="1474" w:wrap="none" w:hAnchor="page" w:x="659" w:y="5267"/>
        <w:numPr>
          <w:ilvl w:val="0"/>
          <w:numId w:val="125"/>
        </w:numPr>
        <w:tabs>
          <w:tab w:val="left" w:pos="168"/>
        </w:tabs>
        <w:spacing w:line="254" w:lineRule="auto"/>
        <w:ind w:left="180" w:hanging="180"/>
      </w:pPr>
      <w:r>
        <w:rPr>
          <w:color w:val="000000"/>
        </w:rPr>
        <w:t xml:space="preserve">Es frecuente que surjan interacciones con otros medicamentos. Consultar el </w:t>
      </w:r>
      <w:r>
        <w:rPr>
          <w:i/>
          <w:iCs/>
          <w:color w:val="000000"/>
        </w:rPr>
        <w:t>Physician’s Desk Reference,</w:t>
      </w:r>
      <w:r>
        <w:rPr>
          <w:color w:val="000000"/>
        </w:rPr>
        <w:t xml:space="preserve"> alguna referencia de interacciones medicamentosas o una base de datos o a un farmacéutico antes de recetar o administrar estos fármacos.</w:t>
      </w:r>
    </w:p>
    <w:p w14:paraId="0A3C2705" w14:textId="77777777" w:rsidR="00924992" w:rsidRDefault="00924992">
      <w:pPr>
        <w:pStyle w:val="Tablecaption0"/>
        <w:framePr w:w="11184" w:h="1474" w:wrap="none" w:hAnchor="page" w:x="659" w:y="5267"/>
        <w:numPr>
          <w:ilvl w:val="0"/>
          <w:numId w:val="125"/>
        </w:numPr>
        <w:tabs>
          <w:tab w:val="left" w:pos="173"/>
        </w:tabs>
        <w:spacing w:line="254" w:lineRule="auto"/>
        <w:ind w:left="0"/>
        <w:jc w:val="both"/>
      </w:pPr>
      <w:r>
        <w:rPr>
          <w:color w:val="000000"/>
        </w:rPr>
        <w:t>Es escasa la experiencia acumulada con el uso del fármaco en niños.</w:t>
      </w:r>
    </w:p>
    <w:p w14:paraId="40B1A842" w14:textId="77777777" w:rsidR="00924992" w:rsidRDefault="00924992">
      <w:pPr>
        <w:pStyle w:val="Tablecaption0"/>
        <w:framePr w:w="11184" w:h="1474" w:wrap="none" w:hAnchor="page" w:x="659" w:y="5267"/>
        <w:numPr>
          <w:ilvl w:val="0"/>
          <w:numId w:val="125"/>
        </w:numPr>
        <w:tabs>
          <w:tab w:val="left" w:pos="168"/>
        </w:tabs>
        <w:spacing w:line="254" w:lineRule="auto"/>
        <w:ind w:left="0"/>
        <w:jc w:val="both"/>
      </w:pPr>
      <w:r>
        <w:rPr>
          <w:color w:val="000000"/>
        </w:rPr>
        <w:t>Es escasa o nula la información sobre el uso del fármaco en neonatos.</w:t>
      </w:r>
    </w:p>
    <w:p w14:paraId="7A90C3B7" w14:textId="77777777" w:rsidR="00924992" w:rsidRDefault="00924992">
      <w:pPr>
        <w:pStyle w:val="Tablecaption0"/>
        <w:framePr w:w="11184" w:h="1474" w:wrap="none" w:hAnchor="page" w:x="659" w:y="5267"/>
        <w:numPr>
          <w:ilvl w:val="0"/>
          <w:numId w:val="125"/>
        </w:numPr>
        <w:tabs>
          <w:tab w:val="left" w:pos="168"/>
        </w:tabs>
        <w:spacing w:line="254" w:lineRule="auto"/>
        <w:ind w:left="0"/>
        <w:jc w:val="both"/>
      </w:pPr>
      <w:r>
        <w:rPr>
          <w:color w:val="000000"/>
        </w:rPr>
        <w:t>No se ha definido la dosis diaria para niños de dos años y menores.</w:t>
      </w:r>
    </w:p>
    <w:p w14:paraId="1EB13839" w14:textId="77777777" w:rsidR="00924992" w:rsidRDefault="00924992">
      <w:pPr>
        <w:pStyle w:val="Bodytext80"/>
        <w:framePr w:w="192" w:h="6034" w:hRule="exact" w:wrap="none" w:hAnchor="page" w:x="12390" w:y="841"/>
        <w:textDirection w:val="tbRl"/>
        <w:rPr>
          <w:sz w:val="16"/>
          <w:szCs w:val="16"/>
        </w:rPr>
      </w:pPr>
      <w:r>
        <w:t xml:space="preserve">DOSIS RECOMENDADAS DE ANTIMICÓTICOS PARENTERALES E INGERIBLES </w:t>
      </w:r>
      <w:r>
        <w:rPr>
          <w:sz w:val="16"/>
          <w:szCs w:val="16"/>
        </w:rPr>
        <w:t>761</w:t>
      </w:r>
    </w:p>
    <w:p w14:paraId="0FC69630" w14:textId="77777777" w:rsidR="00924992" w:rsidRDefault="00924992">
      <w:pPr>
        <w:spacing w:line="360" w:lineRule="exact"/>
      </w:pPr>
    </w:p>
    <w:p w14:paraId="507C5ABF" w14:textId="77777777" w:rsidR="00924992" w:rsidRDefault="00924992">
      <w:pPr>
        <w:spacing w:line="360" w:lineRule="exact"/>
      </w:pPr>
    </w:p>
    <w:p w14:paraId="4DB22AC7" w14:textId="77777777" w:rsidR="00924992" w:rsidRDefault="00924992">
      <w:pPr>
        <w:spacing w:line="360" w:lineRule="exact"/>
      </w:pPr>
    </w:p>
    <w:p w14:paraId="471FE285" w14:textId="77777777" w:rsidR="00924992" w:rsidRDefault="00924992">
      <w:pPr>
        <w:spacing w:line="360" w:lineRule="exact"/>
      </w:pPr>
    </w:p>
    <w:p w14:paraId="2D41D412" w14:textId="77777777" w:rsidR="00924992" w:rsidRDefault="00924992">
      <w:pPr>
        <w:spacing w:line="360" w:lineRule="exact"/>
      </w:pPr>
    </w:p>
    <w:p w14:paraId="51718284" w14:textId="77777777" w:rsidR="00924992" w:rsidRDefault="00924992">
      <w:pPr>
        <w:spacing w:line="360" w:lineRule="exact"/>
      </w:pPr>
    </w:p>
    <w:p w14:paraId="0AA8E2D7" w14:textId="77777777" w:rsidR="00924992" w:rsidRDefault="00924992">
      <w:pPr>
        <w:spacing w:line="360" w:lineRule="exact"/>
      </w:pPr>
    </w:p>
    <w:p w14:paraId="0C130044" w14:textId="77777777" w:rsidR="00924992" w:rsidRDefault="00924992">
      <w:pPr>
        <w:spacing w:line="360" w:lineRule="exact"/>
      </w:pPr>
    </w:p>
    <w:p w14:paraId="4FFDDFFB" w14:textId="77777777" w:rsidR="00924992" w:rsidRDefault="00924992">
      <w:pPr>
        <w:spacing w:line="360" w:lineRule="exact"/>
      </w:pPr>
    </w:p>
    <w:p w14:paraId="598691A0" w14:textId="77777777" w:rsidR="00924992" w:rsidRDefault="00924992">
      <w:pPr>
        <w:spacing w:line="360" w:lineRule="exact"/>
      </w:pPr>
    </w:p>
    <w:p w14:paraId="1A8D811E" w14:textId="77777777" w:rsidR="00924992" w:rsidRDefault="00924992">
      <w:pPr>
        <w:spacing w:line="360" w:lineRule="exact"/>
      </w:pPr>
    </w:p>
    <w:p w14:paraId="419F1525" w14:textId="77777777" w:rsidR="00924992" w:rsidRDefault="00924992">
      <w:pPr>
        <w:spacing w:line="360" w:lineRule="exact"/>
      </w:pPr>
    </w:p>
    <w:p w14:paraId="0EFAFD98" w14:textId="77777777" w:rsidR="00924992" w:rsidRDefault="00924992">
      <w:pPr>
        <w:spacing w:line="360" w:lineRule="exact"/>
      </w:pPr>
    </w:p>
    <w:p w14:paraId="4DDF58D4" w14:textId="77777777" w:rsidR="00924992" w:rsidRDefault="00924992">
      <w:pPr>
        <w:spacing w:line="360" w:lineRule="exact"/>
      </w:pPr>
    </w:p>
    <w:p w14:paraId="0C5FA817" w14:textId="77777777" w:rsidR="00924992" w:rsidRDefault="00924992">
      <w:pPr>
        <w:spacing w:line="360" w:lineRule="exact"/>
      </w:pPr>
    </w:p>
    <w:p w14:paraId="4CC0437C" w14:textId="77777777" w:rsidR="00924992" w:rsidRDefault="00924992">
      <w:pPr>
        <w:spacing w:line="360" w:lineRule="exact"/>
      </w:pPr>
    </w:p>
    <w:p w14:paraId="06E9D0AE" w14:textId="77777777" w:rsidR="00924992" w:rsidRDefault="00924992">
      <w:pPr>
        <w:spacing w:line="360" w:lineRule="exact"/>
      </w:pPr>
    </w:p>
    <w:p w14:paraId="52F75483" w14:textId="77777777" w:rsidR="00924992" w:rsidRDefault="00924992">
      <w:pPr>
        <w:spacing w:line="360" w:lineRule="exact"/>
      </w:pPr>
    </w:p>
    <w:p w14:paraId="7572135B" w14:textId="77777777" w:rsidR="00924992" w:rsidRDefault="00924992">
      <w:pPr>
        <w:spacing w:after="393" w:line="1" w:lineRule="exact"/>
      </w:pPr>
    </w:p>
    <w:p w14:paraId="345D8E3C" w14:textId="77777777" w:rsidR="00924992" w:rsidRDefault="00924992">
      <w:pPr>
        <w:spacing w:line="1" w:lineRule="exact"/>
        <w:sectPr w:rsidR="00924992" w:rsidSect="00924992">
          <w:pgSz w:w="13022" w:h="8501" w:orient="landscape"/>
          <w:pgMar w:top="1099" w:right="442" w:bottom="328" w:left="605" w:header="671" w:footer="3" w:gutter="0"/>
          <w:cols w:space="720"/>
          <w:noEndnote/>
          <w:docGrid w:linePitch="360"/>
          <w15:footnoteColumns w:val="1"/>
        </w:sectPr>
      </w:pPr>
    </w:p>
    <w:p w14:paraId="04265729" w14:textId="77777777" w:rsidR="00924992" w:rsidRDefault="00924992">
      <w:pPr>
        <w:pStyle w:val="Heading31"/>
        <w:keepNext/>
        <w:keepLines/>
        <w:framePr w:w="7056" w:h="317" w:wrap="none" w:hAnchor="page" w:x="2257" w:y="1"/>
      </w:pPr>
      <w:bookmarkStart w:id="382" w:name="bookmark1828"/>
      <w:bookmarkStart w:id="383" w:name="bookmark1829"/>
      <w:bookmarkStart w:id="384" w:name="bookmark1830"/>
      <w:r>
        <w:rPr>
          <w:b w:val="0"/>
          <w:bCs w:val="0"/>
          <w:color w:val="000000"/>
        </w:rPr>
        <w:t xml:space="preserve">Cuadro 4-6. </w:t>
      </w:r>
      <w:r>
        <w:rPr>
          <w:color w:val="000000"/>
        </w:rPr>
        <w:t>Fármacos contra micosis invasoras y otras de gravedad en niños</w:t>
      </w:r>
      <w:r>
        <w:rPr>
          <w:color w:val="000000"/>
          <w:vertAlign w:val="superscript"/>
        </w:rPr>
        <w:t>1</w:t>
      </w:r>
      <w:bookmarkEnd w:id="382"/>
      <w:bookmarkEnd w:id="383"/>
      <w:bookmarkEnd w:id="384"/>
    </w:p>
    <w:tbl>
      <w:tblPr>
        <w:tblOverlap w:val="never"/>
        <w:tblW w:w="0" w:type="auto"/>
        <w:tblLayout w:type="fixed"/>
        <w:tblCellMar>
          <w:left w:w="10" w:type="dxa"/>
          <w:right w:w="10" w:type="dxa"/>
        </w:tblCellMar>
        <w:tblLook w:val="04A0" w:firstRow="1" w:lastRow="0" w:firstColumn="1" w:lastColumn="0" w:noHBand="0" w:noVBand="1"/>
      </w:tblPr>
      <w:tblGrid>
        <w:gridCol w:w="1666"/>
        <w:gridCol w:w="1315"/>
        <w:gridCol w:w="2491"/>
        <w:gridCol w:w="1330"/>
        <w:gridCol w:w="1162"/>
        <w:gridCol w:w="1075"/>
        <w:gridCol w:w="1248"/>
      </w:tblGrid>
      <w:tr w:rsidR="00924992" w14:paraId="7D66C0F9" w14:textId="77777777">
        <w:tblPrEx>
          <w:tblCellMar>
            <w:top w:w="0" w:type="dxa"/>
            <w:bottom w:w="0" w:type="dxa"/>
          </w:tblCellMar>
        </w:tblPrEx>
        <w:trPr>
          <w:trHeight w:hRule="exact" w:val="302"/>
        </w:trPr>
        <w:tc>
          <w:tcPr>
            <w:tcW w:w="1666" w:type="dxa"/>
            <w:vMerge w:val="restart"/>
            <w:shd w:val="clear" w:color="auto" w:fill="000000"/>
            <w:vAlign w:val="center"/>
          </w:tcPr>
          <w:p w14:paraId="4DEA7EAF" w14:textId="77777777" w:rsidR="00924992" w:rsidRDefault="00924992">
            <w:pPr>
              <w:pStyle w:val="Other0"/>
              <w:framePr w:w="10286" w:h="4469" w:vSpace="1022" w:wrap="none" w:hAnchor="page" w:x="635" w:y="356"/>
              <w:pBdr>
                <w:top w:val="single" w:sz="0" w:space="0" w:color="000000"/>
                <w:left w:val="single" w:sz="0" w:space="0" w:color="000000"/>
                <w:bottom w:val="single" w:sz="0" w:space="0" w:color="000000"/>
                <w:right w:val="single" w:sz="0" w:space="0" w:color="000000"/>
              </w:pBdr>
              <w:shd w:val="clear" w:color="auto" w:fill="000000"/>
              <w:spacing w:line="240" w:lineRule="auto"/>
              <w:ind w:firstLine="0"/>
              <w:rPr>
                <w:sz w:val="24"/>
                <w:szCs w:val="24"/>
              </w:rPr>
            </w:pPr>
            <w:r>
              <w:rPr>
                <w:rFonts w:ascii="Arial" w:eastAsia="Arial" w:hAnsi="Arial" w:cs="Arial"/>
                <w:b/>
                <w:bCs/>
                <w:color w:val="FFFFFF"/>
                <w:w w:val="70"/>
                <w:sz w:val="24"/>
                <w:szCs w:val="24"/>
              </w:rPr>
              <w:t>Enfermedad</w:t>
            </w:r>
          </w:p>
        </w:tc>
        <w:tc>
          <w:tcPr>
            <w:tcW w:w="1315" w:type="dxa"/>
            <w:vMerge w:val="restart"/>
            <w:shd w:val="clear" w:color="auto" w:fill="000000"/>
            <w:vAlign w:val="bottom"/>
          </w:tcPr>
          <w:p w14:paraId="380AE1A8" w14:textId="77777777" w:rsidR="00924992" w:rsidRDefault="00924992">
            <w:pPr>
              <w:pStyle w:val="Other0"/>
              <w:framePr w:w="10286" w:h="4469" w:vSpace="1022" w:wrap="none" w:hAnchor="page" w:x="635" w:y="356"/>
              <w:pBdr>
                <w:top w:val="single" w:sz="0" w:space="0" w:color="000000"/>
                <w:left w:val="single" w:sz="0" w:space="0" w:color="000000"/>
                <w:bottom w:val="single" w:sz="0" w:space="0" w:color="000000"/>
                <w:right w:val="single" w:sz="0" w:space="0" w:color="000000"/>
              </w:pBdr>
              <w:shd w:val="clear" w:color="auto" w:fill="000000"/>
              <w:spacing w:line="214" w:lineRule="auto"/>
              <w:ind w:firstLine="0"/>
              <w:rPr>
                <w:sz w:val="24"/>
                <w:szCs w:val="24"/>
              </w:rPr>
            </w:pPr>
            <w:r>
              <w:rPr>
                <w:rFonts w:ascii="Arial" w:eastAsia="Arial" w:hAnsi="Arial" w:cs="Arial"/>
                <w:b/>
                <w:bCs/>
                <w:color w:val="FFFFFF"/>
                <w:w w:val="70"/>
                <w:sz w:val="24"/>
                <w:szCs w:val="24"/>
              </w:rPr>
              <w:t>Anfotericina B intravenosa</w:t>
            </w:r>
          </w:p>
        </w:tc>
        <w:tc>
          <w:tcPr>
            <w:tcW w:w="3821" w:type="dxa"/>
            <w:gridSpan w:val="2"/>
            <w:shd w:val="clear" w:color="auto" w:fill="000000"/>
            <w:vAlign w:val="bottom"/>
          </w:tcPr>
          <w:p w14:paraId="147FBAF5" w14:textId="77777777" w:rsidR="00924992" w:rsidRDefault="00924992">
            <w:pPr>
              <w:pStyle w:val="Other0"/>
              <w:framePr w:w="10286" w:h="4469" w:vSpace="1022" w:wrap="none" w:hAnchor="page" w:x="635" w:y="356"/>
              <w:pBdr>
                <w:top w:val="single" w:sz="0" w:space="0" w:color="000000"/>
                <w:left w:val="single" w:sz="0" w:space="0" w:color="000000"/>
                <w:bottom w:val="single" w:sz="0" w:space="0" w:color="000000"/>
                <w:right w:val="single" w:sz="0" w:space="0" w:color="000000"/>
              </w:pBdr>
              <w:shd w:val="clear" w:color="auto" w:fill="000000"/>
              <w:spacing w:line="240" w:lineRule="auto"/>
              <w:ind w:left="60" w:firstLine="0"/>
              <w:jc w:val="center"/>
              <w:rPr>
                <w:sz w:val="24"/>
                <w:szCs w:val="24"/>
              </w:rPr>
            </w:pPr>
            <w:r>
              <w:rPr>
                <w:rFonts w:ascii="Arial" w:eastAsia="Arial" w:hAnsi="Arial" w:cs="Arial"/>
                <w:b/>
                <w:bCs/>
                <w:color w:val="FFFFFF"/>
                <w:w w:val="70"/>
                <w:sz w:val="24"/>
                <w:szCs w:val="24"/>
              </w:rPr>
              <w:t>Preparados ingeribles absorbibles</w:t>
            </w:r>
          </w:p>
        </w:tc>
        <w:tc>
          <w:tcPr>
            <w:tcW w:w="3485" w:type="dxa"/>
            <w:gridSpan w:val="3"/>
            <w:shd w:val="clear" w:color="auto" w:fill="000000"/>
            <w:vAlign w:val="bottom"/>
          </w:tcPr>
          <w:p w14:paraId="03340314" w14:textId="77777777" w:rsidR="00924992" w:rsidRDefault="00924992">
            <w:pPr>
              <w:pStyle w:val="Other0"/>
              <w:framePr w:w="10286" w:h="4469" w:vSpace="1022" w:wrap="none" w:hAnchor="page" w:x="635" w:y="356"/>
              <w:pBdr>
                <w:top w:val="single" w:sz="0" w:space="0" w:color="000000"/>
                <w:left w:val="single" w:sz="0" w:space="0" w:color="000000"/>
                <w:bottom w:val="single" w:sz="0" w:space="0" w:color="000000"/>
                <w:right w:val="single" w:sz="0" w:space="0" w:color="000000"/>
              </w:pBdr>
              <w:shd w:val="clear" w:color="auto" w:fill="000000"/>
              <w:spacing w:line="240" w:lineRule="auto"/>
              <w:ind w:firstLine="280"/>
              <w:rPr>
                <w:sz w:val="24"/>
                <w:szCs w:val="24"/>
              </w:rPr>
            </w:pPr>
            <w:r>
              <w:rPr>
                <w:rFonts w:ascii="Arial" w:eastAsia="Arial" w:hAnsi="Arial" w:cs="Arial"/>
                <w:b/>
                <w:bCs/>
                <w:color w:val="FFFFFF"/>
                <w:w w:val="70"/>
                <w:sz w:val="24"/>
                <w:szCs w:val="24"/>
              </w:rPr>
              <w:t>Administración intravenosa u oral</w:t>
            </w:r>
          </w:p>
        </w:tc>
      </w:tr>
      <w:tr w:rsidR="00924992" w14:paraId="052DF622" w14:textId="77777777">
        <w:tblPrEx>
          <w:tblCellMar>
            <w:top w:w="0" w:type="dxa"/>
            <w:bottom w:w="0" w:type="dxa"/>
          </w:tblCellMar>
        </w:tblPrEx>
        <w:trPr>
          <w:trHeight w:hRule="exact" w:val="542"/>
        </w:trPr>
        <w:tc>
          <w:tcPr>
            <w:tcW w:w="1666" w:type="dxa"/>
            <w:vMerge/>
            <w:shd w:val="clear" w:color="auto" w:fill="000000"/>
            <w:vAlign w:val="center"/>
          </w:tcPr>
          <w:p w14:paraId="6A05FED4" w14:textId="77777777" w:rsidR="00924992" w:rsidRDefault="00924992">
            <w:pPr>
              <w:framePr w:w="10286" w:h="4469" w:vSpace="1022" w:wrap="none" w:hAnchor="page" w:x="635" w:y="356"/>
            </w:pPr>
          </w:p>
        </w:tc>
        <w:tc>
          <w:tcPr>
            <w:tcW w:w="1315" w:type="dxa"/>
            <w:vMerge/>
            <w:shd w:val="clear" w:color="auto" w:fill="000000"/>
            <w:vAlign w:val="bottom"/>
          </w:tcPr>
          <w:p w14:paraId="030DEADA" w14:textId="77777777" w:rsidR="00924992" w:rsidRDefault="00924992">
            <w:pPr>
              <w:framePr w:w="10286" w:h="4469" w:vSpace="1022" w:wrap="none" w:hAnchor="page" w:x="635" w:y="356"/>
            </w:pPr>
          </w:p>
        </w:tc>
        <w:tc>
          <w:tcPr>
            <w:tcW w:w="2491" w:type="dxa"/>
            <w:tcBorders>
              <w:top w:val="single" w:sz="4" w:space="0" w:color="auto"/>
            </w:tcBorders>
            <w:shd w:val="clear" w:color="auto" w:fill="000000"/>
          </w:tcPr>
          <w:p w14:paraId="47F76CE2" w14:textId="77777777" w:rsidR="00924992" w:rsidRDefault="00924992">
            <w:pPr>
              <w:pStyle w:val="Other0"/>
              <w:framePr w:w="10286" w:h="4469" w:vSpace="1022" w:wrap="none" w:hAnchor="page" w:x="635" w:y="356"/>
              <w:pBdr>
                <w:top w:val="single" w:sz="0" w:space="0" w:color="000000"/>
                <w:left w:val="single" w:sz="0" w:space="0" w:color="000000"/>
                <w:bottom w:val="single" w:sz="0" w:space="0" w:color="000000"/>
                <w:right w:val="single" w:sz="0" w:space="0" w:color="000000"/>
              </w:pBdr>
              <w:shd w:val="clear" w:color="auto" w:fill="000000"/>
              <w:tabs>
                <w:tab w:val="left" w:pos="1354"/>
              </w:tabs>
              <w:spacing w:line="240" w:lineRule="auto"/>
              <w:ind w:firstLine="0"/>
              <w:rPr>
                <w:sz w:val="24"/>
                <w:szCs w:val="24"/>
              </w:rPr>
            </w:pPr>
            <w:r>
              <w:rPr>
                <w:rFonts w:ascii="Arial" w:eastAsia="Arial" w:hAnsi="Arial" w:cs="Arial"/>
                <w:b/>
                <w:bCs/>
                <w:color w:val="FFFFFF"/>
                <w:w w:val="70"/>
                <w:sz w:val="24"/>
                <w:szCs w:val="24"/>
              </w:rPr>
              <w:t>Caspofungina</w:t>
            </w:r>
            <w:r>
              <w:rPr>
                <w:rFonts w:ascii="Times New Roman" w:eastAsia="Times New Roman" w:hAnsi="Times New Roman" w:cs="Times New Roman"/>
                <w:color w:val="FFFFFF"/>
                <w:sz w:val="8"/>
                <w:szCs w:val="8"/>
                <w:vertAlign w:val="superscript"/>
              </w:rPr>
              <w:t>2</w:t>
            </w:r>
            <w:r>
              <w:rPr>
                <w:rFonts w:ascii="Times New Roman" w:eastAsia="Times New Roman" w:hAnsi="Times New Roman" w:cs="Times New Roman"/>
                <w:color w:val="FFFFFF"/>
                <w:sz w:val="8"/>
                <w:szCs w:val="8"/>
              </w:rPr>
              <w:tab/>
            </w:r>
            <w:r>
              <w:rPr>
                <w:rFonts w:ascii="Arial" w:eastAsia="Arial" w:hAnsi="Arial" w:cs="Arial"/>
                <w:b/>
                <w:bCs/>
                <w:color w:val="FFFFFF"/>
                <w:w w:val="70"/>
                <w:sz w:val="24"/>
                <w:szCs w:val="24"/>
              </w:rPr>
              <w:t>Flucitosina</w:t>
            </w:r>
          </w:p>
        </w:tc>
        <w:tc>
          <w:tcPr>
            <w:tcW w:w="1330" w:type="dxa"/>
            <w:tcBorders>
              <w:top w:val="single" w:sz="4" w:space="0" w:color="auto"/>
            </w:tcBorders>
            <w:shd w:val="clear" w:color="auto" w:fill="000000"/>
          </w:tcPr>
          <w:p w14:paraId="7A190313" w14:textId="77777777" w:rsidR="00924992" w:rsidRDefault="00924992">
            <w:pPr>
              <w:pStyle w:val="Other0"/>
              <w:framePr w:w="10286" w:h="4469" w:vSpace="1022" w:wrap="none" w:hAnchor="page" w:x="635" w:y="356"/>
              <w:pBdr>
                <w:top w:val="single" w:sz="0" w:space="0" w:color="000000"/>
                <w:left w:val="single" w:sz="0" w:space="0" w:color="000000"/>
                <w:bottom w:val="single" w:sz="0" w:space="0" w:color="000000"/>
                <w:right w:val="single" w:sz="0" w:space="0" w:color="000000"/>
              </w:pBdr>
              <w:shd w:val="clear" w:color="auto" w:fill="000000"/>
              <w:spacing w:line="240" w:lineRule="auto"/>
              <w:ind w:firstLine="0"/>
              <w:rPr>
                <w:sz w:val="8"/>
                <w:szCs w:val="8"/>
              </w:rPr>
            </w:pPr>
            <w:r>
              <w:rPr>
                <w:rFonts w:ascii="Arial" w:eastAsia="Arial" w:hAnsi="Arial" w:cs="Arial"/>
                <w:b/>
                <w:bCs/>
                <w:color w:val="FFFFFF"/>
                <w:w w:val="70"/>
                <w:sz w:val="24"/>
                <w:szCs w:val="24"/>
              </w:rPr>
              <w:t>Ketoconazol</w:t>
            </w:r>
            <w:r>
              <w:rPr>
                <w:rFonts w:ascii="Times New Roman" w:eastAsia="Times New Roman" w:hAnsi="Times New Roman" w:cs="Times New Roman"/>
                <w:color w:val="FFFFFF"/>
                <w:sz w:val="8"/>
                <w:szCs w:val="8"/>
                <w:vertAlign w:val="superscript"/>
              </w:rPr>
              <w:t>2</w:t>
            </w:r>
          </w:p>
        </w:tc>
        <w:tc>
          <w:tcPr>
            <w:tcW w:w="1162" w:type="dxa"/>
            <w:tcBorders>
              <w:top w:val="single" w:sz="4" w:space="0" w:color="auto"/>
            </w:tcBorders>
            <w:shd w:val="clear" w:color="auto" w:fill="000000"/>
          </w:tcPr>
          <w:p w14:paraId="2C97F31A" w14:textId="77777777" w:rsidR="00924992" w:rsidRDefault="00924992">
            <w:pPr>
              <w:pStyle w:val="Other0"/>
              <w:framePr w:w="10286" w:h="4469" w:vSpace="1022" w:wrap="none" w:hAnchor="page" w:x="635" w:y="356"/>
              <w:pBdr>
                <w:top w:val="single" w:sz="0" w:space="0" w:color="000000"/>
                <w:left w:val="single" w:sz="0" w:space="0" w:color="000000"/>
                <w:bottom w:val="single" w:sz="0" w:space="0" w:color="000000"/>
                <w:right w:val="single" w:sz="0" w:space="0" w:color="000000"/>
              </w:pBdr>
              <w:shd w:val="clear" w:color="auto" w:fill="000000"/>
              <w:spacing w:line="240" w:lineRule="auto"/>
              <w:ind w:firstLine="160"/>
              <w:rPr>
                <w:sz w:val="24"/>
                <w:szCs w:val="24"/>
              </w:rPr>
            </w:pPr>
            <w:r>
              <w:rPr>
                <w:rFonts w:ascii="Arial" w:eastAsia="Arial" w:hAnsi="Arial" w:cs="Arial"/>
                <w:b/>
                <w:bCs/>
                <w:color w:val="FFFFFF"/>
                <w:w w:val="70"/>
                <w:sz w:val="24"/>
                <w:szCs w:val="24"/>
              </w:rPr>
              <w:t>Itraconazol</w:t>
            </w:r>
          </w:p>
        </w:tc>
        <w:tc>
          <w:tcPr>
            <w:tcW w:w="1075" w:type="dxa"/>
            <w:tcBorders>
              <w:top w:val="single" w:sz="4" w:space="0" w:color="auto"/>
            </w:tcBorders>
            <w:shd w:val="clear" w:color="auto" w:fill="000000"/>
          </w:tcPr>
          <w:p w14:paraId="5C560862" w14:textId="77777777" w:rsidR="00924992" w:rsidRDefault="00924992">
            <w:pPr>
              <w:pStyle w:val="Other0"/>
              <w:framePr w:w="10286" w:h="4469" w:vSpace="1022" w:wrap="none" w:hAnchor="page" w:x="635" w:y="356"/>
              <w:pBdr>
                <w:top w:val="single" w:sz="0" w:space="0" w:color="000000"/>
                <w:left w:val="single" w:sz="0" w:space="0" w:color="000000"/>
                <w:bottom w:val="single" w:sz="0" w:space="0" w:color="000000"/>
                <w:right w:val="single" w:sz="0" w:space="0" w:color="000000"/>
              </w:pBdr>
              <w:shd w:val="clear" w:color="auto" w:fill="000000"/>
              <w:spacing w:line="240" w:lineRule="auto"/>
              <w:ind w:firstLine="0"/>
              <w:rPr>
                <w:sz w:val="24"/>
                <w:szCs w:val="24"/>
              </w:rPr>
            </w:pPr>
            <w:r>
              <w:rPr>
                <w:rFonts w:ascii="Arial" w:eastAsia="Arial" w:hAnsi="Arial" w:cs="Arial"/>
                <w:b/>
                <w:bCs/>
                <w:color w:val="FFFFFF"/>
                <w:w w:val="70"/>
                <w:sz w:val="24"/>
                <w:szCs w:val="24"/>
              </w:rPr>
              <w:t>Fluconazol</w:t>
            </w:r>
          </w:p>
        </w:tc>
        <w:tc>
          <w:tcPr>
            <w:tcW w:w="1248" w:type="dxa"/>
            <w:tcBorders>
              <w:top w:val="single" w:sz="4" w:space="0" w:color="auto"/>
            </w:tcBorders>
            <w:shd w:val="clear" w:color="auto" w:fill="000000"/>
          </w:tcPr>
          <w:p w14:paraId="6B8C6C91" w14:textId="77777777" w:rsidR="00924992" w:rsidRDefault="00924992">
            <w:pPr>
              <w:pStyle w:val="Other0"/>
              <w:framePr w:w="10286" w:h="4469" w:vSpace="1022" w:wrap="none" w:hAnchor="page" w:x="635" w:y="356"/>
              <w:pBdr>
                <w:top w:val="single" w:sz="0" w:space="0" w:color="000000"/>
                <w:left w:val="single" w:sz="0" w:space="0" w:color="000000"/>
                <w:bottom w:val="single" w:sz="0" w:space="0" w:color="000000"/>
                <w:right w:val="single" w:sz="0" w:space="0" w:color="000000"/>
              </w:pBdr>
              <w:shd w:val="clear" w:color="auto" w:fill="000000"/>
              <w:spacing w:line="240" w:lineRule="auto"/>
              <w:ind w:firstLine="0"/>
              <w:rPr>
                <w:sz w:val="24"/>
                <w:szCs w:val="24"/>
              </w:rPr>
            </w:pPr>
            <w:r>
              <w:rPr>
                <w:rFonts w:ascii="Arial" w:eastAsia="Arial" w:hAnsi="Arial" w:cs="Arial"/>
                <w:b/>
                <w:bCs/>
                <w:color w:val="FFFFFF"/>
                <w:w w:val="70"/>
                <w:sz w:val="24"/>
                <w:szCs w:val="24"/>
              </w:rPr>
              <w:t>Voriconazol</w:t>
            </w:r>
          </w:p>
        </w:tc>
      </w:tr>
      <w:tr w:rsidR="00924992" w14:paraId="512EFCC3" w14:textId="77777777">
        <w:tblPrEx>
          <w:tblCellMar>
            <w:top w:w="0" w:type="dxa"/>
            <w:bottom w:w="0" w:type="dxa"/>
          </w:tblCellMar>
        </w:tblPrEx>
        <w:trPr>
          <w:trHeight w:hRule="exact" w:val="288"/>
        </w:trPr>
        <w:tc>
          <w:tcPr>
            <w:tcW w:w="1666" w:type="dxa"/>
            <w:shd w:val="clear" w:color="auto" w:fill="FFFFFF"/>
            <w:vAlign w:val="bottom"/>
          </w:tcPr>
          <w:p w14:paraId="4F4828C7" w14:textId="77777777" w:rsidR="00924992" w:rsidRDefault="00924992">
            <w:pPr>
              <w:pStyle w:val="Other0"/>
              <w:framePr w:w="10286" w:h="4469" w:vSpace="1022" w:wrap="none" w:hAnchor="page" w:x="635" w:y="356"/>
              <w:spacing w:line="240" w:lineRule="auto"/>
              <w:ind w:firstLine="0"/>
              <w:rPr>
                <w:sz w:val="16"/>
                <w:szCs w:val="16"/>
              </w:rPr>
            </w:pPr>
            <w:r>
              <w:rPr>
                <w:rFonts w:ascii="Times New Roman" w:eastAsia="Times New Roman" w:hAnsi="Times New Roman" w:cs="Times New Roman"/>
                <w:color w:val="000000"/>
                <w:sz w:val="16"/>
                <w:szCs w:val="16"/>
              </w:rPr>
              <w:t>Aspergilosis</w:t>
            </w:r>
          </w:p>
        </w:tc>
        <w:tc>
          <w:tcPr>
            <w:tcW w:w="1315" w:type="dxa"/>
            <w:shd w:val="clear" w:color="auto" w:fill="FFFFFF"/>
            <w:vAlign w:val="bottom"/>
          </w:tcPr>
          <w:p w14:paraId="1E513D80" w14:textId="77777777" w:rsidR="00924992" w:rsidRDefault="00924992">
            <w:pPr>
              <w:pStyle w:val="Other0"/>
              <w:framePr w:w="10286" w:h="4469" w:vSpace="1022" w:wrap="none" w:hAnchor="page" w:x="635" w:y="356"/>
              <w:spacing w:line="240" w:lineRule="auto"/>
              <w:ind w:firstLine="0"/>
              <w:rPr>
                <w:sz w:val="22"/>
                <w:szCs w:val="22"/>
              </w:rPr>
            </w:pPr>
            <w:r>
              <w:rPr>
                <w:rFonts w:ascii="Book Antiqua" w:eastAsia="Book Antiqua" w:hAnsi="Book Antiqua" w:cs="Book Antiqua"/>
                <w:smallCaps/>
                <w:color w:val="000000"/>
                <w:sz w:val="22"/>
                <w:szCs w:val="22"/>
              </w:rPr>
              <w:t>p</w:t>
            </w:r>
          </w:p>
        </w:tc>
        <w:tc>
          <w:tcPr>
            <w:tcW w:w="2491" w:type="dxa"/>
            <w:shd w:val="clear" w:color="auto" w:fill="FFFFFF"/>
            <w:vAlign w:val="bottom"/>
          </w:tcPr>
          <w:p w14:paraId="2DB11DDC" w14:textId="77777777" w:rsidR="00924992" w:rsidRDefault="00924992">
            <w:pPr>
              <w:pStyle w:val="Other0"/>
              <w:framePr w:w="10286" w:h="4469" w:vSpace="1022" w:wrap="none" w:hAnchor="page" w:x="635" w:y="356"/>
              <w:tabs>
                <w:tab w:val="left" w:pos="1416"/>
              </w:tabs>
              <w:spacing w:line="240" w:lineRule="auto"/>
              <w:ind w:firstLine="0"/>
              <w:rPr>
                <w:sz w:val="16"/>
                <w:szCs w:val="16"/>
              </w:rPr>
            </w:pPr>
            <w:r>
              <w:rPr>
                <w:rFonts w:ascii="Times New Roman" w:eastAsia="Times New Roman" w:hAnsi="Times New Roman" w:cs="Times New Roman"/>
                <w:color w:val="000000"/>
                <w:sz w:val="16"/>
                <w:szCs w:val="16"/>
              </w:rPr>
              <w:t>A</w:t>
            </w:r>
            <w:r>
              <w:rPr>
                <w:rFonts w:ascii="Times New Roman" w:eastAsia="Times New Roman" w:hAnsi="Times New Roman" w:cs="Times New Roman"/>
                <w:color w:val="000000"/>
                <w:sz w:val="16"/>
                <w:szCs w:val="16"/>
              </w:rPr>
              <w:tab/>
              <w:t>...</w:t>
            </w:r>
          </w:p>
        </w:tc>
        <w:tc>
          <w:tcPr>
            <w:tcW w:w="1330" w:type="dxa"/>
            <w:shd w:val="clear" w:color="auto" w:fill="FFFFFF"/>
          </w:tcPr>
          <w:p w14:paraId="7ED349E6" w14:textId="77777777" w:rsidR="00924992" w:rsidRDefault="00924992">
            <w:pPr>
              <w:framePr w:w="10286" w:h="4469" w:vSpace="1022" w:wrap="none" w:hAnchor="page" w:x="635" w:y="356"/>
              <w:rPr>
                <w:sz w:val="10"/>
                <w:szCs w:val="10"/>
              </w:rPr>
            </w:pPr>
          </w:p>
        </w:tc>
        <w:tc>
          <w:tcPr>
            <w:tcW w:w="1162" w:type="dxa"/>
            <w:shd w:val="clear" w:color="auto" w:fill="FFFFFF"/>
            <w:vAlign w:val="bottom"/>
          </w:tcPr>
          <w:p w14:paraId="0AC6F99D" w14:textId="77777777" w:rsidR="00924992" w:rsidRDefault="00924992">
            <w:pPr>
              <w:pStyle w:val="Other0"/>
              <w:framePr w:w="10286" w:h="4469" w:vSpace="1022" w:wrap="none" w:hAnchor="page" w:x="635" w:y="356"/>
              <w:spacing w:line="240" w:lineRule="auto"/>
              <w:ind w:firstLine="160"/>
              <w:rPr>
                <w:sz w:val="16"/>
                <w:szCs w:val="16"/>
              </w:rPr>
            </w:pPr>
            <w:r>
              <w:rPr>
                <w:rFonts w:ascii="Times New Roman" w:eastAsia="Times New Roman" w:hAnsi="Times New Roman" w:cs="Times New Roman"/>
                <w:color w:val="000000"/>
                <w:sz w:val="16"/>
                <w:szCs w:val="16"/>
              </w:rPr>
              <w:t>A, M</w:t>
            </w:r>
          </w:p>
        </w:tc>
        <w:tc>
          <w:tcPr>
            <w:tcW w:w="1075" w:type="dxa"/>
            <w:shd w:val="clear" w:color="auto" w:fill="FFFFFF"/>
          </w:tcPr>
          <w:p w14:paraId="0E62B5A9" w14:textId="77777777" w:rsidR="00924992" w:rsidRDefault="00924992">
            <w:pPr>
              <w:framePr w:w="10286" w:h="4469" w:vSpace="1022" w:wrap="none" w:hAnchor="page" w:x="635" w:y="356"/>
              <w:rPr>
                <w:sz w:val="10"/>
                <w:szCs w:val="10"/>
              </w:rPr>
            </w:pPr>
          </w:p>
        </w:tc>
        <w:tc>
          <w:tcPr>
            <w:tcW w:w="1248" w:type="dxa"/>
            <w:shd w:val="clear" w:color="auto" w:fill="FFFFFF"/>
            <w:vAlign w:val="bottom"/>
          </w:tcPr>
          <w:p w14:paraId="7BDFBBA7" w14:textId="77777777" w:rsidR="00924992" w:rsidRDefault="00924992">
            <w:pPr>
              <w:pStyle w:val="Other0"/>
              <w:framePr w:w="10286" w:h="4469" w:vSpace="1022" w:wrap="none" w:hAnchor="page" w:x="635" w:y="356"/>
              <w:spacing w:line="240" w:lineRule="auto"/>
              <w:ind w:firstLine="0"/>
              <w:rPr>
                <w:sz w:val="16"/>
                <w:szCs w:val="16"/>
              </w:rPr>
            </w:pPr>
            <w:r>
              <w:rPr>
                <w:rFonts w:ascii="Times New Roman" w:eastAsia="Times New Roman" w:hAnsi="Times New Roman" w:cs="Times New Roman"/>
                <w:color w:val="000000"/>
                <w:sz w:val="16"/>
                <w:szCs w:val="16"/>
              </w:rPr>
              <w:t>A</w:t>
            </w:r>
          </w:p>
        </w:tc>
      </w:tr>
      <w:tr w:rsidR="00924992" w14:paraId="2400CFFF" w14:textId="77777777">
        <w:tblPrEx>
          <w:tblCellMar>
            <w:top w:w="0" w:type="dxa"/>
            <w:bottom w:w="0" w:type="dxa"/>
          </w:tblCellMar>
        </w:tblPrEx>
        <w:trPr>
          <w:trHeight w:hRule="exact" w:val="202"/>
        </w:trPr>
        <w:tc>
          <w:tcPr>
            <w:tcW w:w="1666" w:type="dxa"/>
            <w:shd w:val="clear" w:color="auto" w:fill="FFFFFF"/>
            <w:vAlign w:val="bottom"/>
          </w:tcPr>
          <w:p w14:paraId="12A3B1DD" w14:textId="77777777" w:rsidR="00924992" w:rsidRDefault="00924992">
            <w:pPr>
              <w:pStyle w:val="Other0"/>
              <w:framePr w:w="10286" w:h="4469" w:vSpace="1022" w:wrap="none" w:hAnchor="page" w:x="635" w:y="356"/>
              <w:spacing w:line="240" w:lineRule="auto"/>
              <w:ind w:firstLine="0"/>
              <w:rPr>
                <w:sz w:val="16"/>
                <w:szCs w:val="16"/>
              </w:rPr>
            </w:pPr>
            <w:r>
              <w:rPr>
                <w:rFonts w:ascii="Times New Roman" w:eastAsia="Times New Roman" w:hAnsi="Times New Roman" w:cs="Times New Roman"/>
                <w:color w:val="000000"/>
                <w:sz w:val="16"/>
                <w:szCs w:val="16"/>
              </w:rPr>
              <w:t>Blastomicosis</w:t>
            </w:r>
          </w:p>
        </w:tc>
        <w:tc>
          <w:tcPr>
            <w:tcW w:w="1315" w:type="dxa"/>
            <w:shd w:val="clear" w:color="auto" w:fill="FFFFFF"/>
            <w:vAlign w:val="bottom"/>
          </w:tcPr>
          <w:p w14:paraId="2CEB29C7" w14:textId="77777777" w:rsidR="00924992" w:rsidRDefault="00924992">
            <w:pPr>
              <w:pStyle w:val="Other0"/>
              <w:framePr w:w="10286" w:h="4469" w:vSpace="1022" w:wrap="none" w:hAnchor="page" w:x="635" w:y="356"/>
              <w:spacing w:line="240" w:lineRule="auto"/>
              <w:ind w:firstLine="0"/>
              <w:rPr>
                <w:sz w:val="22"/>
                <w:szCs w:val="22"/>
              </w:rPr>
            </w:pPr>
            <w:r>
              <w:rPr>
                <w:rFonts w:ascii="Book Antiqua" w:eastAsia="Book Antiqua" w:hAnsi="Book Antiqua" w:cs="Book Antiqua"/>
                <w:smallCaps/>
                <w:color w:val="000000"/>
                <w:sz w:val="22"/>
                <w:szCs w:val="22"/>
              </w:rPr>
              <w:t>p</w:t>
            </w:r>
          </w:p>
        </w:tc>
        <w:tc>
          <w:tcPr>
            <w:tcW w:w="2491" w:type="dxa"/>
            <w:shd w:val="clear" w:color="auto" w:fill="FFFFFF"/>
          </w:tcPr>
          <w:p w14:paraId="54AE7D80" w14:textId="77777777" w:rsidR="00924992" w:rsidRDefault="00924992">
            <w:pPr>
              <w:framePr w:w="10286" w:h="4469" w:vSpace="1022" w:wrap="none" w:hAnchor="page" w:x="635" w:y="356"/>
              <w:rPr>
                <w:sz w:val="10"/>
                <w:szCs w:val="10"/>
              </w:rPr>
            </w:pPr>
          </w:p>
        </w:tc>
        <w:tc>
          <w:tcPr>
            <w:tcW w:w="1330" w:type="dxa"/>
            <w:shd w:val="clear" w:color="auto" w:fill="FFFFFF"/>
            <w:vAlign w:val="bottom"/>
          </w:tcPr>
          <w:p w14:paraId="451178E8" w14:textId="77777777" w:rsidR="00924992" w:rsidRDefault="00924992">
            <w:pPr>
              <w:pStyle w:val="Other0"/>
              <w:framePr w:w="10286" w:h="4469" w:vSpace="1022" w:wrap="none" w:hAnchor="page" w:x="635" w:y="356"/>
              <w:spacing w:line="240" w:lineRule="auto"/>
              <w:ind w:firstLine="0"/>
              <w:rPr>
                <w:sz w:val="16"/>
                <w:szCs w:val="16"/>
              </w:rPr>
            </w:pPr>
            <w:r>
              <w:rPr>
                <w:rFonts w:ascii="Times New Roman" w:eastAsia="Times New Roman" w:hAnsi="Times New Roman" w:cs="Times New Roman"/>
                <w:color w:val="000000"/>
                <w:sz w:val="16"/>
                <w:szCs w:val="16"/>
              </w:rPr>
              <w:t>A, M</w:t>
            </w:r>
          </w:p>
        </w:tc>
        <w:tc>
          <w:tcPr>
            <w:tcW w:w="1162" w:type="dxa"/>
            <w:shd w:val="clear" w:color="auto" w:fill="FFFFFF"/>
            <w:vAlign w:val="bottom"/>
          </w:tcPr>
          <w:p w14:paraId="4A583B37" w14:textId="77777777" w:rsidR="00924992" w:rsidRDefault="00924992">
            <w:pPr>
              <w:pStyle w:val="Other0"/>
              <w:framePr w:w="10286" w:h="4469" w:vSpace="1022" w:wrap="none" w:hAnchor="page" w:x="635" w:y="356"/>
              <w:spacing w:line="240" w:lineRule="auto"/>
              <w:ind w:firstLine="160"/>
              <w:rPr>
                <w:sz w:val="16"/>
                <w:szCs w:val="16"/>
              </w:rPr>
            </w:pPr>
            <w:r>
              <w:rPr>
                <w:rFonts w:ascii="Times New Roman" w:eastAsia="Times New Roman" w:hAnsi="Times New Roman" w:cs="Times New Roman"/>
                <w:color w:val="000000"/>
                <w:sz w:val="16"/>
                <w:szCs w:val="16"/>
              </w:rPr>
              <w:t>M, (P)</w:t>
            </w:r>
          </w:p>
        </w:tc>
        <w:tc>
          <w:tcPr>
            <w:tcW w:w="1075" w:type="dxa"/>
            <w:shd w:val="clear" w:color="auto" w:fill="FFFFFF"/>
            <w:vAlign w:val="bottom"/>
          </w:tcPr>
          <w:p w14:paraId="35E48C24" w14:textId="77777777" w:rsidR="00924992" w:rsidRDefault="00924992">
            <w:pPr>
              <w:pStyle w:val="Other0"/>
              <w:framePr w:w="10286" w:h="4469" w:vSpace="1022" w:wrap="none" w:hAnchor="page" w:x="635" w:y="356"/>
              <w:spacing w:line="240" w:lineRule="auto"/>
              <w:ind w:firstLine="0"/>
              <w:rPr>
                <w:sz w:val="16"/>
                <w:szCs w:val="16"/>
              </w:rPr>
            </w:pPr>
            <w:r>
              <w:rPr>
                <w:rFonts w:ascii="Times New Roman" w:eastAsia="Times New Roman" w:hAnsi="Times New Roman" w:cs="Times New Roman"/>
                <w:color w:val="000000"/>
                <w:sz w:val="16"/>
                <w:szCs w:val="16"/>
              </w:rPr>
              <w:t>A, M</w:t>
            </w:r>
          </w:p>
        </w:tc>
        <w:tc>
          <w:tcPr>
            <w:tcW w:w="1248" w:type="dxa"/>
            <w:shd w:val="clear" w:color="auto" w:fill="FFFFFF"/>
          </w:tcPr>
          <w:p w14:paraId="1BE10EC8" w14:textId="77777777" w:rsidR="00924992" w:rsidRDefault="00924992">
            <w:pPr>
              <w:framePr w:w="10286" w:h="4469" w:vSpace="1022" w:wrap="none" w:hAnchor="page" w:x="635" w:y="356"/>
              <w:rPr>
                <w:sz w:val="10"/>
                <w:szCs w:val="10"/>
              </w:rPr>
            </w:pPr>
          </w:p>
        </w:tc>
      </w:tr>
      <w:tr w:rsidR="00924992" w14:paraId="6D459C67" w14:textId="77777777">
        <w:tblPrEx>
          <w:tblCellMar>
            <w:top w:w="0" w:type="dxa"/>
            <w:bottom w:w="0" w:type="dxa"/>
          </w:tblCellMar>
        </w:tblPrEx>
        <w:trPr>
          <w:trHeight w:hRule="exact" w:val="221"/>
        </w:trPr>
        <w:tc>
          <w:tcPr>
            <w:tcW w:w="1666" w:type="dxa"/>
            <w:shd w:val="clear" w:color="auto" w:fill="FFFFFF"/>
          </w:tcPr>
          <w:p w14:paraId="4E382C19" w14:textId="77777777" w:rsidR="00924992" w:rsidRDefault="00924992">
            <w:pPr>
              <w:pStyle w:val="Other0"/>
              <w:framePr w:w="10286" w:h="4469" w:vSpace="1022" w:wrap="none" w:hAnchor="page" w:x="635" w:y="356"/>
              <w:spacing w:line="240" w:lineRule="auto"/>
              <w:ind w:firstLine="0"/>
              <w:rPr>
                <w:sz w:val="16"/>
                <w:szCs w:val="16"/>
              </w:rPr>
            </w:pPr>
            <w:r>
              <w:rPr>
                <w:rFonts w:ascii="Times New Roman" w:eastAsia="Times New Roman" w:hAnsi="Times New Roman" w:cs="Times New Roman"/>
                <w:color w:val="000000"/>
                <w:sz w:val="16"/>
                <w:szCs w:val="16"/>
              </w:rPr>
              <w:t>Candidiasis:</w:t>
            </w:r>
          </w:p>
        </w:tc>
        <w:tc>
          <w:tcPr>
            <w:tcW w:w="1315" w:type="dxa"/>
            <w:shd w:val="clear" w:color="auto" w:fill="FFFFFF"/>
          </w:tcPr>
          <w:p w14:paraId="5C009957" w14:textId="77777777" w:rsidR="00924992" w:rsidRDefault="00924992">
            <w:pPr>
              <w:framePr w:w="10286" w:h="4469" w:vSpace="1022" w:wrap="none" w:hAnchor="page" w:x="635" w:y="356"/>
              <w:rPr>
                <w:sz w:val="10"/>
                <w:szCs w:val="10"/>
              </w:rPr>
            </w:pPr>
          </w:p>
        </w:tc>
        <w:tc>
          <w:tcPr>
            <w:tcW w:w="2491" w:type="dxa"/>
            <w:shd w:val="clear" w:color="auto" w:fill="FFFFFF"/>
          </w:tcPr>
          <w:p w14:paraId="1E078BC7" w14:textId="77777777" w:rsidR="00924992" w:rsidRDefault="00924992">
            <w:pPr>
              <w:framePr w:w="10286" w:h="4469" w:vSpace="1022" w:wrap="none" w:hAnchor="page" w:x="635" w:y="356"/>
              <w:rPr>
                <w:sz w:val="10"/>
                <w:szCs w:val="10"/>
              </w:rPr>
            </w:pPr>
          </w:p>
        </w:tc>
        <w:tc>
          <w:tcPr>
            <w:tcW w:w="1330" w:type="dxa"/>
            <w:shd w:val="clear" w:color="auto" w:fill="FFFFFF"/>
          </w:tcPr>
          <w:p w14:paraId="228A1DB9" w14:textId="77777777" w:rsidR="00924992" w:rsidRDefault="00924992">
            <w:pPr>
              <w:framePr w:w="10286" w:h="4469" w:vSpace="1022" w:wrap="none" w:hAnchor="page" w:x="635" w:y="356"/>
              <w:rPr>
                <w:sz w:val="10"/>
                <w:szCs w:val="10"/>
              </w:rPr>
            </w:pPr>
          </w:p>
        </w:tc>
        <w:tc>
          <w:tcPr>
            <w:tcW w:w="1162" w:type="dxa"/>
            <w:shd w:val="clear" w:color="auto" w:fill="FFFFFF"/>
          </w:tcPr>
          <w:p w14:paraId="27A3002D" w14:textId="77777777" w:rsidR="00924992" w:rsidRDefault="00924992">
            <w:pPr>
              <w:framePr w:w="10286" w:h="4469" w:vSpace="1022" w:wrap="none" w:hAnchor="page" w:x="635" w:y="356"/>
              <w:rPr>
                <w:sz w:val="10"/>
                <w:szCs w:val="10"/>
              </w:rPr>
            </w:pPr>
          </w:p>
        </w:tc>
        <w:tc>
          <w:tcPr>
            <w:tcW w:w="1075" w:type="dxa"/>
            <w:shd w:val="clear" w:color="auto" w:fill="FFFFFF"/>
          </w:tcPr>
          <w:p w14:paraId="334A7A24" w14:textId="77777777" w:rsidR="00924992" w:rsidRDefault="00924992">
            <w:pPr>
              <w:framePr w:w="10286" w:h="4469" w:vSpace="1022" w:wrap="none" w:hAnchor="page" w:x="635" w:y="356"/>
              <w:rPr>
                <w:sz w:val="10"/>
                <w:szCs w:val="10"/>
              </w:rPr>
            </w:pPr>
          </w:p>
        </w:tc>
        <w:tc>
          <w:tcPr>
            <w:tcW w:w="1248" w:type="dxa"/>
            <w:shd w:val="clear" w:color="auto" w:fill="FFFFFF"/>
          </w:tcPr>
          <w:p w14:paraId="4B3C8EF8" w14:textId="77777777" w:rsidR="00924992" w:rsidRDefault="00924992">
            <w:pPr>
              <w:framePr w:w="10286" w:h="4469" w:vSpace="1022" w:wrap="none" w:hAnchor="page" w:x="635" w:y="356"/>
              <w:rPr>
                <w:sz w:val="10"/>
                <w:szCs w:val="10"/>
              </w:rPr>
            </w:pPr>
          </w:p>
        </w:tc>
      </w:tr>
      <w:tr w:rsidR="00924992" w14:paraId="74D79B36" w14:textId="77777777">
        <w:tblPrEx>
          <w:tblCellMar>
            <w:top w:w="0" w:type="dxa"/>
            <w:bottom w:w="0" w:type="dxa"/>
          </w:tblCellMar>
        </w:tblPrEx>
        <w:trPr>
          <w:trHeight w:hRule="exact" w:val="235"/>
        </w:trPr>
        <w:tc>
          <w:tcPr>
            <w:tcW w:w="1666" w:type="dxa"/>
            <w:shd w:val="clear" w:color="auto" w:fill="FFFFFF"/>
          </w:tcPr>
          <w:p w14:paraId="228E133B" w14:textId="77777777" w:rsidR="00924992" w:rsidRDefault="00924992">
            <w:pPr>
              <w:pStyle w:val="Other0"/>
              <w:framePr w:w="10286" w:h="4469" w:vSpace="1022" w:wrap="none" w:hAnchor="page" w:x="635" w:y="356"/>
              <w:spacing w:line="240" w:lineRule="auto"/>
              <w:ind w:firstLine="160"/>
              <w:rPr>
                <w:sz w:val="16"/>
                <w:szCs w:val="16"/>
              </w:rPr>
            </w:pPr>
            <w:r>
              <w:rPr>
                <w:rFonts w:ascii="Times New Roman" w:eastAsia="Times New Roman" w:hAnsi="Times New Roman" w:cs="Times New Roman"/>
                <w:color w:val="000000"/>
                <w:sz w:val="16"/>
                <w:szCs w:val="16"/>
              </w:rPr>
              <w:t>Bucofaríngea,</w:t>
            </w:r>
          </w:p>
        </w:tc>
        <w:tc>
          <w:tcPr>
            <w:tcW w:w="1315" w:type="dxa"/>
            <w:shd w:val="clear" w:color="auto" w:fill="FFFFFF"/>
          </w:tcPr>
          <w:p w14:paraId="3F8482FE" w14:textId="77777777" w:rsidR="00924992" w:rsidRDefault="00924992">
            <w:pPr>
              <w:pStyle w:val="Other0"/>
              <w:framePr w:w="10286" w:h="4469" w:vSpace="1022" w:wrap="none" w:hAnchor="page" w:x="635" w:y="356"/>
              <w:spacing w:line="240" w:lineRule="auto"/>
              <w:ind w:firstLine="0"/>
              <w:rPr>
                <w:sz w:val="16"/>
                <w:szCs w:val="16"/>
              </w:rPr>
            </w:pPr>
            <w:r>
              <w:rPr>
                <w:rFonts w:ascii="Times New Roman" w:eastAsia="Times New Roman" w:hAnsi="Times New Roman" w:cs="Times New Roman"/>
                <w:color w:val="000000"/>
                <w:sz w:val="16"/>
                <w:szCs w:val="16"/>
              </w:rPr>
              <w:t>A</w:t>
            </w:r>
          </w:p>
        </w:tc>
        <w:tc>
          <w:tcPr>
            <w:tcW w:w="2491" w:type="dxa"/>
            <w:shd w:val="clear" w:color="auto" w:fill="FFFFFF"/>
          </w:tcPr>
          <w:p w14:paraId="59A22BD4" w14:textId="77777777" w:rsidR="00924992" w:rsidRDefault="00924992">
            <w:pPr>
              <w:framePr w:w="10286" w:h="4469" w:vSpace="1022" w:wrap="none" w:hAnchor="page" w:x="635" w:y="356"/>
              <w:rPr>
                <w:sz w:val="10"/>
                <w:szCs w:val="10"/>
              </w:rPr>
            </w:pPr>
          </w:p>
        </w:tc>
        <w:tc>
          <w:tcPr>
            <w:tcW w:w="1330" w:type="dxa"/>
            <w:shd w:val="clear" w:color="auto" w:fill="FFFFFF"/>
          </w:tcPr>
          <w:p w14:paraId="3D7850E3" w14:textId="77777777" w:rsidR="00924992" w:rsidRDefault="00924992">
            <w:pPr>
              <w:pStyle w:val="Other0"/>
              <w:framePr w:w="10286" w:h="4469" w:vSpace="1022" w:wrap="none" w:hAnchor="page" w:x="635" w:y="356"/>
              <w:spacing w:line="240" w:lineRule="auto"/>
              <w:ind w:firstLine="0"/>
              <w:rPr>
                <w:sz w:val="16"/>
                <w:szCs w:val="16"/>
              </w:rPr>
            </w:pPr>
            <w:r>
              <w:rPr>
                <w:rFonts w:ascii="Times New Roman" w:eastAsia="Times New Roman" w:hAnsi="Times New Roman" w:cs="Times New Roman"/>
                <w:color w:val="000000"/>
                <w:sz w:val="16"/>
                <w:szCs w:val="16"/>
              </w:rPr>
              <w:t>A</w:t>
            </w:r>
          </w:p>
        </w:tc>
        <w:tc>
          <w:tcPr>
            <w:tcW w:w="1162" w:type="dxa"/>
            <w:shd w:val="clear" w:color="auto" w:fill="FFFFFF"/>
          </w:tcPr>
          <w:p w14:paraId="4BC3EB62" w14:textId="77777777" w:rsidR="00924992" w:rsidRDefault="00924992">
            <w:pPr>
              <w:pStyle w:val="Other0"/>
              <w:framePr w:w="10286" w:h="4469" w:vSpace="1022" w:wrap="none" w:hAnchor="page" w:x="635" w:y="356"/>
              <w:spacing w:line="240" w:lineRule="auto"/>
              <w:ind w:firstLine="160"/>
              <w:rPr>
                <w:sz w:val="16"/>
                <w:szCs w:val="16"/>
              </w:rPr>
            </w:pPr>
            <w:r>
              <w:rPr>
                <w:rFonts w:ascii="Times New Roman" w:eastAsia="Times New Roman" w:hAnsi="Times New Roman" w:cs="Times New Roman"/>
                <w:color w:val="000000"/>
                <w:sz w:val="16"/>
                <w:szCs w:val="16"/>
              </w:rPr>
              <w:t>A</w:t>
            </w:r>
          </w:p>
        </w:tc>
        <w:tc>
          <w:tcPr>
            <w:tcW w:w="1075" w:type="dxa"/>
            <w:shd w:val="clear" w:color="auto" w:fill="FFFFFF"/>
          </w:tcPr>
          <w:p w14:paraId="3629DD0D" w14:textId="77777777" w:rsidR="00924992" w:rsidRDefault="00924992">
            <w:pPr>
              <w:pStyle w:val="Other0"/>
              <w:framePr w:w="10286" w:h="4469" w:vSpace="1022" w:wrap="none" w:hAnchor="page" w:x="635" w:y="356"/>
              <w:spacing w:line="240" w:lineRule="auto"/>
              <w:ind w:firstLine="0"/>
              <w:rPr>
                <w:sz w:val="16"/>
                <w:szCs w:val="16"/>
              </w:rPr>
            </w:pPr>
            <w:r>
              <w:rPr>
                <w:rFonts w:ascii="Times New Roman" w:eastAsia="Times New Roman" w:hAnsi="Times New Roman" w:cs="Times New Roman"/>
                <w:color w:val="000000"/>
                <w:sz w:val="16"/>
                <w:szCs w:val="16"/>
              </w:rPr>
              <w:t>P</w:t>
            </w:r>
          </w:p>
        </w:tc>
        <w:tc>
          <w:tcPr>
            <w:tcW w:w="1248" w:type="dxa"/>
            <w:shd w:val="clear" w:color="auto" w:fill="FFFFFF"/>
          </w:tcPr>
          <w:p w14:paraId="7F121C60" w14:textId="77777777" w:rsidR="00924992" w:rsidRDefault="00924992">
            <w:pPr>
              <w:framePr w:w="10286" w:h="4469" w:vSpace="1022" w:wrap="none" w:hAnchor="page" w:x="635" w:y="356"/>
              <w:rPr>
                <w:sz w:val="10"/>
                <w:szCs w:val="10"/>
              </w:rPr>
            </w:pPr>
          </w:p>
        </w:tc>
      </w:tr>
      <w:tr w:rsidR="00924992" w14:paraId="25367855" w14:textId="77777777">
        <w:tblPrEx>
          <w:tblCellMar>
            <w:top w:w="0" w:type="dxa"/>
            <w:bottom w:w="0" w:type="dxa"/>
          </w:tblCellMar>
        </w:tblPrEx>
        <w:trPr>
          <w:trHeight w:hRule="exact" w:val="216"/>
        </w:trPr>
        <w:tc>
          <w:tcPr>
            <w:tcW w:w="1666" w:type="dxa"/>
            <w:shd w:val="clear" w:color="auto" w:fill="FFFFFF"/>
            <w:vAlign w:val="bottom"/>
          </w:tcPr>
          <w:p w14:paraId="0E6A6F11" w14:textId="77777777" w:rsidR="00924992" w:rsidRDefault="00924992">
            <w:pPr>
              <w:pStyle w:val="Other0"/>
              <w:framePr w:w="10286" w:h="4469" w:vSpace="1022" w:wrap="none" w:hAnchor="page" w:x="635" w:y="356"/>
              <w:spacing w:line="240" w:lineRule="auto"/>
              <w:ind w:firstLine="160"/>
              <w:rPr>
                <w:sz w:val="16"/>
                <w:szCs w:val="16"/>
              </w:rPr>
            </w:pPr>
            <w:r>
              <w:rPr>
                <w:rFonts w:ascii="Times New Roman" w:eastAsia="Times New Roman" w:hAnsi="Times New Roman" w:cs="Times New Roman"/>
                <w:color w:val="000000"/>
                <w:sz w:val="16"/>
                <w:szCs w:val="16"/>
              </w:rPr>
              <w:t>esofágica</w:t>
            </w:r>
          </w:p>
        </w:tc>
        <w:tc>
          <w:tcPr>
            <w:tcW w:w="1315" w:type="dxa"/>
            <w:shd w:val="clear" w:color="auto" w:fill="FFFFFF"/>
            <w:vAlign w:val="bottom"/>
          </w:tcPr>
          <w:p w14:paraId="243389D0" w14:textId="77777777" w:rsidR="00924992" w:rsidRDefault="00924992">
            <w:pPr>
              <w:pStyle w:val="Other0"/>
              <w:framePr w:w="10286" w:h="4469" w:vSpace="1022" w:wrap="none" w:hAnchor="page" w:x="635" w:y="356"/>
              <w:spacing w:line="240" w:lineRule="auto"/>
              <w:ind w:firstLine="0"/>
              <w:rPr>
                <w:sz w:val="16"/>
                <w:szCs w:val="16"/>
              </w:rPr>
            </w:pPr>
            <w:r>
              <w:rPr>
                <w:rFonts w:ascii="Times New Roman" w:eastAsia="Times New Roman" w:hAnsi="Times New Roman" w:cs="Times New Roman"/>
                <w:color w:val="000000"/>
                <w:sz w:val="16"/>
                <w:szCs w:val="16"/>
              </w:rPr>
              <w:t>(casos graves)</w:t>
            </w:r>
          </w:p>
        </w:tc>
        <w:tc>
          <w:tcPr>
            <w:tcW w:w="2491" w:type="dxa"/>
            <w:shd w:val="clear" w:color="auto" w:fill="FFFFFF"/>
          </w:tcPr>
          <w:p w14:paraId="683AB199" w14:textId="77777777" w:rsidR="00924992" w:rsidRDefault="00924992">
            <w:pPr>
              <w:framePr w:w="10286" w:h="4469" w:vSpace="1022" w:wrap="none" w:hAnchor="page" w:x="635" w:y="356"/>
              <w:rPr>
                <w:sz w:val="10"/>
                <w:szCs w:val="10"/>
              </w:rPr>
            </w:pPr>
          </w:p>
        </w:tc>
        <w:tc>
          <w:tcPr>
            <w:tcW w:w="1330" w:type="dxa"/>
            <w:shd w:val="clear" w:color="auto" w:fill="FFFFFF"/>
          </w:tcPr>
          <w:p w14:paraId="2EBC2DE6" w14:textId="77777777" w:rsidR="00924992" w:rsidRDefault="00924992">
            <w:pPr>
              <w:framePr w:w="10286" w:h="4469" w:vSpace="1022" w:wrap="none" w:hAnchor="page" w:x="635" w:y="356"/>
              <w:rPr>
                <w:sz w:val="10"/>
                <w:szCs w:val="10"/>
              </w:rPr>
            </w:pPr>
          </w:p>
        </w:tc>
        <w:tc>
          <w:tcPr>
            <w:tcW w:w="1162" w:type="dxa"/>
            <w:shd w:val="clear" w:color="auto" w:fill="FFFFFF"/>
          </w:tcPr>
          <w:p w14:paraId="043998F0" w14:textId="77777777" w:rsidR="00924992" w:rsidRDefault="00924992">
            <w:pPr>
              <w:framePr w:w="10286" w:h="4469" w:vSpace="1022" w:wrap="none" w:hAnchor="page" w:x="635" w:y="356"/>
              <w:rPr>
                <w:sz w:val="10"/>
                <w:szCs w:val="10"/>
              </w:rPr>
            </w:pPr>
          </w:p>
        </w:tc>
        <w:tc>
          <w:tcPr>
            <w:tcW w:w="1075" w:type="dxa"/>
            <w:shd w:val="clear" w:color="auto" w:fill="FFFFFF"/>
          </w:tcPr>
          <w:p w14:paraId="30ACF47F" w14:textId="77777777" w:rsidR="00924992" w:rsidRDefault="00924992">
            <w:pPr>
              <w:framePr w:w="10286" w:h="4469" w:vSpace="1022" w:wrap="none" w:hAnchor="page" w:x="635" w:y="356"/>
              <w:rPr>
                <w:sz w:val="10"/>
                <w:szCs w:val="10"/>
              </w:rPr>
            </w:pPr>
          </w:p>
        </w:tc>
        <w:tc>
          <w:tcPr>
            <w:tcW w:w="1248" w:type="dxa"/>
            <w:shd w:val="clear" w:color="auto" w:fill="FFFFFF"/>
          </w:tcPr>
          <w:p w14:paraId="762C86A6" w14:textId="77777777" w:rsidR="00924992" w:rsidRDefault="00924992">
            <w:pPr>
              <w:framePr w:w="10286" w:h="4469" w:vSpace="1022" w:wrap="none" w:hAnchor="page" w:x="635" w:y="356"/>
              <w:rPr>
                <w:sz w:val="10"/>
                <w:szCs w:val="10"/>
              </w:rPr>
            </w:pPr>
          </w:p>
        </w:tc>
      </w:tr>
      <w:tr w:rsidR="00924992" w14:paraId="46700CF3" w14:textId="77777777">
        <w:tblPrEx>
          <w:tblCellMar>
            <w:top w:w="0" w:type="dxa"/>
            <w:bottom w:w="0" w:type="dxa"/>
          </w:tblCellMar>
        </w:tblPrEx>
        <w:trPr>
          <w:trHeight w:hRule="exact" w:val="197"/>
        </w:trPr>
        <w:tc>
          <w:tcPr>
            <w:tcW w:w="1666" w:type="dxa"/>
            <w:shd w:val="clear" w:color="auto" w:fill="FFFFFF"/>
          </w:tcPr>
          <w:p w14:paraId="35B30941" w14:textId="77777777" w:rsidR="00924992" w:rsidRDefault="00924992">
            <w:pPr>
              <w:pStyle w:val="Other0"/>
              <w:framePr w:w="10286" w:h="4469" w:vSpace="1022" w:wrap="none" w:hAnchor="page" w:x="635" w:y="356"/>
              <w:spacing w:line="240" w:lineRule="auto"/>
              <w:ind w:firstLine="160"/>
              <w:rPr>
                <w:sz w:val="16"/>
                <w:szCs w:val="16"/>
              </w:rPr>
            </w:pPr>
            <w:r>
              <w:rPr>
                <w:rFonts w:ascii="Times New Roman" w:eastAsia="Times New Roman" w:hAnsi="Times New Roman" w:cs="Times New Roman"/>
                <w:color w:val="000000"/>
                <w:sz w:val="16"/>
                <w:szCs w:val="16"/>
              </w:rPr>
              <w:t>Crónica,</w:t>
            </w:r>
          </w:p>
        </w:tc>
        <w:tc>
          <w:tcPr>
            <w:tcW w:w="1315" w:type="dxa"/>
            <w:shd w:val="clear" w:color="auto" w:fill="FFFFFF"/>
          </w:tcPr>
          <w:p w14:paraId="3076DB2E" w14:textId="77777777" w:rsidR="00924992" w:rsidRDefault="00924992">
            <w:pPr>
              <w:pStyle w:val="Other0"/>
              <w:framePr w:w="10286" w:h="4469" w:vSpace="1022" w:wrap="none" w:hAnchor="page" w:x="635" w:y="356"/>
              <w:spacing w:line="240" w:lineRule="auto"/>
              <w:ind w:firstLine="0"/>
              <w:rPr>
                <w:sz w:val="16"/>
                <w:szCs w:val="16"/>
              </w:rPr>
            </w:pPr>
            <w:r>
              <w:rPr>
                <w:rFonts w:ascii="Times New Roman" w:eastAsia="Times New Roman" w:hAnsi="Times New Roman" w:cs="Times New Roman"/>
                <w:color w:val="000000"/>
                <w:sz w:val="16"/>
                <w:szCs w:val="16"/>
              </w:rPr>
              <w:t>A</w:t>
            </w:r>
          </w:p>
        </w:tc>
        <w:tc>
          <w:tcPr>
            <w:tcW w:w="2491" w:type="dxa"/>
            <w:shd w:val="clear" w:color="auto" w:fill="FFFFFF"/>
          </w:tcPr>
          <w:p w14:paraId="5AC34202" w14:textId="77777777" w:rsidR="00924992" w:rsidRDefault="00924992">
            <w:pPr>
              <w:framePr w:w="10286" w:h="4469" w:vSpace="1022" w:wrap="none" w:hAnchor="page" w:x="635" w:y="356"/>
              <w:rPr>
                <w:sz w:val="10"/>
                <w:szCs w:val="10"/>
              </w:rPr>
            </w:pPr>
          </w:p>
        </w:tc>
        <w:tc>
          <w:tcPr>
            <w:tcW w:w="1330" w:type="dxa"/>
            <w:shd w:val="clear" w:color="auto" w:fill="FFFFFF"/>
          </w:tcPr>
          <w:p w14:paraId="0FC83FD0" w14:textId="77777777" w:rsidR="00924992" w:rsidRDefault="00924992">
            <w:pPr>
              <w:pStyle w:val="Other0"/>
              <w:framePr w:w="10286" w:h="4469" w:vSpace="1022" w:wrap="none" w:hAnchor="page" w:x="635" w:y="356"/>
              <w:spacing w:line="240" w:lineRule="auto"/>
              <w:ind w:firstLine="0"/>
              <w:rPr>
                <w:sz w:val="16"/>
                <w:szCs w:val="16"/>
              </w:rPr>
            </w:pPr>
            <w:r>
              <w:rPr>
                <w:rFonts w:ascii="Times New Roman" w:eastAsia="Times New Roman" w:hAnsi="Times New Roman" w:cs="Times New Roman"/>
                <w:color w:val="000000"/>
                <w:sz w:val="16"/>
                <w:szCs w:val="16"/>
              </w:rPr>
              <w:t>A</w:t>
            </w:r>
          </w:p>
        </w:tc>
        <w:tc>
          <w:tcPr>
            <w:tcW w:w="1162" w:type="dxa"/>
            <w:shd w:val="clear" w:color="auto" w:fill="FFFFFF"/>
          </w:tcPr>
          <w:p w14:paraId="1044D66C" w14:textId="77777777" w:rsidR="00924992" w:rsidRDefault="00924992">
            <w:pPr>
              <w:pStyle w:val="Other0"/>
              <w:framePr w:w="10286" w:h="4469" w:vSpace="1022" w:wrap="none" w:hAnchor="page" w:x="635" w:y="356"/>
              <w:spacing w:line="240" w:lineRule="auto"/>
              <w:ind w:firstLine="160"/>
              <w:rPr>
                <w:sz w:val="16"/>
                <w:szCs w:val="16"/>
              </w:rPr>
            </w:pPr>
            <w:r>
              <w:rPr>
                <w:rFonts w:ascii="Times New Roman" w:eastAsia="Times New Roman" w:hAnsi="Times New Roman" w:cs="Times New Roman"/>
                <w:color w:val="000000"/>
                <w:sz w:val="16"/>
                <w:szCs w:val="16"/>
              </w:rPr>
              <w:t>A</w:t>
            </w:r>
          </w:p>
        </w:tc>
        <w:tc>
          <w:tcPr>
            <w:tcW w:w="1075" w:type="dxa"/>
            <w:shd w:val="clear" w:color="auto" w:fill="FFFFFF"/>
          </w:tcPr>
          <w:p w14:paraId="3BE2A821" w14:textId="77777777" w:rsidR="00924992" w:rsidRDefault="00924992">
            <w:pPr>
              <w:pStyle w:val="Other0"/>
              <w:framePr w:w="10286" w:h="4469" w:vSpace="1022" w:wrap="none" w:hAnchor="page" w:x="635" w:y="356"/>
              <w:spacing w:line="240" w:lineRule="auto"/>
              <w:ind w:firstLine="0"/>
              <w:rPr>
                <w:sz w:val="16"/>
                <w:szCs w:val="16"/>
              </w:rPr>
            </w:pPr>
            <w:r>
              <w:rPr>
                <w:rFonts w:ascii="Times New Roman" w:eastAsia="Times New Roman" w:hAnsi="Times New Roman" w:cs="Times New Roman"/>
                <w:color w:val="000000"/>
                <w:sz w:val="16"/>
                <w:szCs w:val="16"/>
              </w:rPr>
              <w:t>P</w:t>
            </w:r>
          </w:p>
        </w:tc>
        <w:tc>
          <w:tcPr>
            <w:tcW w:w="1248" w:type="dxa"/>
            <w:shd w:val="clear" w:color="auto" w:fill="FFFFFF"/>
          </w:tcPr>
          <w:p w14:paraId="0158CAFD" w14:textId="77777777" w:rsidR="00924992" w:rsidRDefault="00924992">
            <w:pPr>
              <w:framePr w:w="10286" w:h="4469" w:vSpace="1022" w:wrap="none" w:hAnchor="page" w:x="635" w:y="356"/>
              <w:rPr>
                <w:sz w:val="10"/>
                <w:szCs w:val="10"/>
              </w:rPr>
            </w:pPr>
          </w:p>
        </w:tc>
      </w:tr>
      <w:tr w:rsidR="00924992" w14:paraId="49763ABA" w14:textId="77777777">
        <w:tblPrEx>
          <w:tblCellMar>
            <w:top w:w="0" w:type="dxa"/>
            <w:bottom w:w="0" w:type="dxa"/>
          </w:tblCellMar>
        </w:tblPrEx>
        <w:trPr>
          <w:trHeight w:hRule="exact" w:val="216"/>
        </w:trPr>
        <w:tc>
          <w:tcPr>
            <w:tcW w:w="1666" w:type="dxa"/>
            <w:shd w:val="clear" w:color="auto" w:fill="FFFFFF"/>
            <w:vAlign w:val="bottom"/>
          </w:tcPr>
          <w:p w14:paraId="53AD933B" w14:textId="77777777" w:rsidR="00924992" w:rsidRDefault="00924992">
            <w:pPr>
              <w:pStyle w:val="Other0"/>
              <w:framePr w:w="10286" w:h="4469" w:vSpace="1022" w:wrap="none" w:hAnchor="page" w:x="635" w:y="356"/>
              <w:spacing w:line="240" w:lineRule="auto"/>
              <w:ind w:firstLine="160"/>
              <w:rPr>
                <w:sz w:val="16"/>
                <w:szCs w:val="16"/>
              </w:rPr>
            </w:pPr>
            <w:r>
              <w:rPr>
                <w:rFonts w:ascii="Times New Roman" w:eastAsia="Times New Roman" w:hAnsi="Times New Roman" w:cs="Times New Roman"/>
                <w:color w:val="000000"/>
                <w:sz w:val="16"/>
                <w:szCs w:val="16"/>
              </w:rPr>
              <w:t>mucocutánea</w:t>
            </w:r>
          </w:p>
        </w:tc>
        <w:tc>
          <w:tcPr>
            <w:tcW w:w="1315" w:type="dxa"/>
            <w:shd w:val="clear" w:color="auto" w:fill="FFFFFF"/>
          </w:tcPr>
          <w:p w14:paraId="44F61247" w14:textId="77777777" w:rsidR="00924992" w:rsidRDefault="00924992">
            <w:pPr>
              <w:framePr w:w="10286" w:h="4469" w:vSpace="1022" w:wrap="none" w:hAnchor="page" w:x="635" w:y="356"/>
              <w:rPr>
                <w:sz w:val="10"/>
                <w:szCs w:val="10"/>
              </w:rPr>
            </w:pPr>
          </w:p>
        </w:tc>
        <w:tc>
          <w:tcPr>
            <w:tcW w:w="2491" w:type="dxa"/>
            <w:shd w:val="clear" w:color="auto" w:fill="FFFFFF"/>
          </w:tcPr>
          <w:p w14:paraId="2F281173" w14:textId="77777777" w:rsidR="00924992" w:rsidRDefault="00924992">
            <w:pPr>
              <w:framePr w:w="10286" w:h="4469" w:vSpace="1022" w:wrap="none" w:hAnchor="page" w:x="635" w:y="356"/>
              <w:rPr>
                <w:sz w:val="10"/>
                <w:szCs w:val="10"/>
              </w:rPr>
            </w:pPr>
          </w:p>
        </w:tc>
        <w:tc>
          <w:tcPr>
            <w:tcW w:w="1330" w:type="dxa"/>
            <w:shd w:val="clear" w:color="auto" w:fill="FFFFFF"/>
          </w:tcPr>
          <w:p w14:paraId="2F323295" w14:textId="77777777" w:rsidR="00924992" w:rsidRDefault="00924992">
            <w:pPr>
              <w:framePr w:w="10286" w:h="4469" w:vSpace="1022" w:wrap="none" w:hAnchor="page" w:x="635" w:y="356"/>
              <w:rPr>
                <w:sz w:val="10"/>
                <w:szCs w:val="10"/>
              </w:rPr>
            </w:pPr>
          </w:p>
        </w:tc>
        <w:tc>
          <w:tcPr>
            <w:tcW w:w="1162" w:type="dxa"/>
            <w:shd w:val="clear" w:color="auto" w:fill="FFFFFF"/>
          </w:tcPr>
          <w:p w14:paraId="33CB54BF" w14:textId="77777777" w:rsidR="00924992" w:rsidRDefault="00924992">
            <w:pPr>
              <w:framePr w:w="10286" w:h="4469" w:vSpace="1022" w:wrap="none" w:hAnchor="page" w:x="635" w:y="356"/>
              <w:rPr>
                <w:sz w:val="10"/>
                <w:szCs w:val="10"/>
              </w:rPr>
            </w:pPr>
          </w:p>
        </w:tc>
        <w:tc>
          <w:tcPr>
            <w:tcW w:w="1075" w:type="dxa"/>
            <w:shd w:val="clear" w:color="auto" w:fill="FFFFFF"/>
          </w:tcPr>
          <w:p w14:paraId="1A7EFC54" w14:textId="77777777" w:rsidR="00924992" w:rsidRDefault="00924992">
            <w:pPr>
              <w:framePr w:w="10286" w:h="4469" w:vSpace="1022" w:wrap="none" w:hAnchor="page" w:x="635" w:y="356"/>
              <w:rPr>
                <w:sz w:val="10"/>
                <w:szCs w:val="10"/>
              </w:rPr>
            </w:pPr>
          </w:p>
        </w:tc>
        <w:tc>
          <w:tcPr>
            <w:tcW w:w="1248" w:type="dxa"/>
            <w:shd w:val="clear" w:color="auto" w:fill="FFFFFF"/>
          </w:tcPr>
          <w:p w14:paraId="14A2ED4C" w14:textId="77777777" w:rsidR="00924992" w:rsidRDefault="00924992">
            <w:pPr>
              <w:framePr w:w="10286" w:h="4469" w:vSpace="1022" w:wrap="none" w:hAnchor="page" w:x="635" w:y="356"/>
              <w:rPr>
                <w:sz w:val="10"/>
                <w:szCs w:val="10"/>
              </w:rPr>
            </w:pPr>
          </w:p>
        </w:tc>
      </w:tr>
      <w:tr w:rsidR="00924992" w14:paraId="3F1F098D" w14:textId="77777777">
        <w:tblPrEx>
          <w:tblCellMar>
            <w:top w:w="0" w:type="dxa"/>
            <w:bottom w:w="0" w:type="dxa"/>
          </w:tblCellMar>
        </w:tblPrEx>
        <w:trPr>
          <w:trHeight w:hRule="exact" w:val="216"/>
        </w:trPr>
        <w:tc>
          <w:tcPr>
            <w:tcW w:w="1666" w:type="dxa"/>
            <w:shd w:val="clear" w:color="auto" w:fill="FFFFFF"/>
            <w:vAlign w:val="bottom"/>
          </w:tcPr>
          <w:p w14:paraId="57B7BB4C" w14:textId="77777777" w:rsidR="00924992" w:rsidRDefault="00924992">
            <w:pPr>
              <w:pStyle w:val="Other0"/>
              <w:framePr w:w="10286" w:h="4469" w:vSpace="1022" w:wrap="none" w:hAnchor="page" w:x="635" w:y="356"/>
              <w:spacing w:line="240" w:lineRule="auto"/>
              <w:ind w:firstLine="160"/>
              <w:rPr>
                <w:sz w:val="16"/>
                <w:szCs w:val="16"/>
              </w:rPr>
            </w:pPr>
            <w:r>
              <w:rPr>
                <w:rFonts w:ascii="Times New Roman" w:eastAsia="Times New Roman" w:hAnsi="Times New Roman" w:cs="Times New Roman"/>
                <w:color w:val="000000"/>
                <w:sz w:val="16"/>
                <w:szCs w:val="16"/>
              </w:rPr>
              <w:t>Sistémica</w:t>
            </w:r>
          </w:p>
        </w:tc>
        <w:tc>
          <w:tcPr>
            <w:tcW w:w="1315" w:type="dxa"/>
            <w:shd w:val="clear" w:color="auto" w:fill="FFFFFF"/>
            <w:vAlign w:val="bottom"/>
          </w:tcPr>
          <w:p w14:paraId="3E99489F" w14:textId="77777777" w:rsidR="00924992" w:rsidRDefault="00924992">
            <w:pPr>
              <w:pStyle w:val="Other0"/>
              <w:framePr w:w="10286" w:h="4469" w:vSpace="1022" w:wrap="none" w:hAnchor="page" w:x="635" w:y="356"/>
              <w:spacing w:line="240" w:lineRule="auto"/>
              <w:ind w:firstLine="0"/>
              <w:rPr>
                <w:sz w:val="16"/>
                <w:szCs w:val="16"/>
              </w:rPr>
            </w:pPr>
            <w:r>
              <w:rPr>
                <w:rFonts w:ascii="Times New Roman" w:eastAsia="Times New Roman" w:hAnsi="Times New Roman" w:cs="Times New Roman"/>
                <w:color w:val="000000"/>
                <w:sz w:val="16"/>
                <w:szCs w:val="16"/>
              </w:rPr>
              <w:t>P&gt; S</w:t>
            </w:r>
          </w:p>
        </w:tc>
        <w:tc>
          <w:tcPr>
            <w:tcW w:w="2491" w:type="dxa"/>
            <w:shd w:val="clear" w:color="auto" w:fill="FFFFFF"/>
            <w:vAlign w:val="bottom"/>
          </w:tcPr>
          <w:p w14:paraId="1983D8D3" w14:textId="77777777" w:rsidR="00924992" w:rsidRDefault="00924992">
            <w:pPr>
              <w:pStyle w:val="Other0"/>
              <w:framePr w:w="10286" w:h="4469" w:vSpace="1022" w:wrap="none" w:hAnchor="page" w:x="635" w:y="356"/>
              <w:tabs>
                <w:tab w:val="left" w:pos="1392"/>
              </w:tabs>
              <w:spacing w:line="240" w:lineRule="auto"/>
              <w:ind w:firstLine="0"/>
              <w:rPr>
                <w:sz w:val="16"/>
                <w:szCs w:val="16"/>
              </w:rPr>
            </w:pPr>
            <w:r>
              <w:rPr>
                <w:rFonts w:ascii="Times New Roman" w:eastAsia="Times New Roman" w:hAnsi="Times New Roman" w:cs="Times New Roman"/>
                <w:color w:val="000000"/>
                <w:sz w:val="16"/>
                <w:szCs w:val="16"/>
              </w:rPr>
              <w:t>...</w:t>
            </w:r>
            <w:r>
              <w:rPr>
                <w:rFonts w:ascii="Times New Roman" w:eastAsia="Times New Roman" w:hAnsi="Times New Roman" w:cs="Times New Roman"/>
                <w:color w:val="000000"/>
                <w:sz w:val="16"/>
                <w:szCs w:val="16"/>
              </w:rPr>
              <w:tab/>
              <w:t>S</w:t>
            </w:r>
          </w:p>
        </w:tc>
        <w:tc>
          <w:tcPr>
            <w:tcW w:w="1330" w:type="dxa"/>
            <w:shd w:val="clear" w:color="auto" w:fill="FFFFFF"/>
          </w:tcPr>
          <w:p w14:paraId="7221E10E" w14:textId="77777777" w:rsidR="00924992" w:rsidRDefault="00924992">
            <w:pPr>
              <w:framePr w:w="10286" w:h="4469" w:vSpace="1022" w:wrap="none" w:hAnchor="page" w:x="635" w:y="356"/>
              <w:rPr>
                <w:sz w:val="10"/>
                <w:szCs w:val="10"/>
              </w:rPr>
            </w:pPr>
          </w:p>
        </w:tc>
        <w:tc>
          <w:tcPr>
            <w:tcW w:w="1162" w:type="dxa"/>
            <w:shd w:val="clear" w:color="auto" w:fill="FFFFFF"/>
          </w:tcPr>
          <w:p w14:paraId="18C3BE17" w14:textId="77777777" w:rsidR="00924992" w:rsidRDefault="00924992">
            <w:pPr>
              <w:framePr w:w="10286" w:h="4469" w:vSpace="1022" w:wrap="none" w:hAnchor="page" w:x="635" w:y="356"/>
              <w:rPr>
                <w:sz w:val="10"/>
                <w:szCs w:val="10"/>
              </w:rPr>
            </w:pPr>
          </w:p>
        </w:tc>
        <w:tc>
          <w:tcPr>
            <w:tcW w:w="1075" w:type="dxa"/>
            <w:shd w:val="clear" w:color="auto" w:fill="FFFFFF"/>
            <w:vAlign w:val="bottom"/>
          </w:tcPr>
          <w:p w14:paraId="28603054" w14:textId="77777777" w:rsidR="00924992" w:rsidRDefault="00924992">
            <w:pPr>
              <w:pStyle w:val="Other0"/>
              <w:framePr w:w="10286" w:h="4469" w:vSpace="1022" w:wrap="none" w:hAnchor="page" w:x="635" w:y="356"/>
              <w:spacing w:line="240" w:lineRule="auto"/>
              <w:ind w:firstLine="0"/>
              <w:rPr>
                <w:sz w:val="16"/>
                <w:szCs w:val="16"/>
              </w:rPr>
            </w:pPr>
            <w:r>
              <w:rPr>
                <w:rFonts w:ascii="Times New Roman" w:eastAsia="Times New Roman" w:hAnsi="Times New Roman" w:cs="Times New Roman"/>
                <w:color w:val="000000"/>
                <w:sz w:val="16"/>
                <w:szCs w:val="16"/>
              </w:rPr>
              <w:t>(P), A, M</w:t>
            </w:r>
          </w:p>
        </w:tc>
        <w:tc>
          <w:tcPr>
            <w:tcW w:w="1248" w:type="dxa"/>
            <w:shd w:val="clear" w:color="auto" w:fill="FFFFFF"/>
          </w:tcPr>
          <w:p w14:paraId="0D2AD44B" w14:textId="77777777" w:rsidR="00924992" w:rsidRDefault="00924992">
            <w:pPr>
              <w:framePr w:w="10286" w:h="4469" w:vSpace="1022" w:wrap="none" w:hAnchor="page" w:x="635" w:y="356"/>
              <w:rPr>
                <w:sz w:val="10"/>
                <w:szCs w:val="10"/>
              </w:rPr>
            </w:pPr>
          </w:p>
        </w:tc>
      </w:tr>
      <w:tr w:rsidR="00924992" w14:paraId="2F343071" w14:textId="77777777">
        <w:tblPrEx>
          <w:tblCellMar>
            <w:top w:w="0" w:type="dxa"/>
            <w:bottom w:w="0" w:type="dxa"/>
          </w:tblCellMar>
        </w:tblPrEx>
        <w:trPr>
          <w:trHeight w:hRule="exact" w:val="216"/>
        </w:trPr>
        <w:tc>
          <w:tcPr>
            <w:tcW w:w="1666" w:type="dxa"/>
            <w:shd w:val="clear" w:color="auto" w:fill="FFFFFF"/>
            <w:vAlign w:val="bottom"/>
          </w:tcPr>
          <w:p w14:paraId="24BE4AEE" w14:textId="77777777" w:rsidR="00924992" w:rsidRDefault="00924992">
            <w:pPr>
              <w:pStyle w:val="Other0"/>
              <w:framePr w:w="10286" w:h="4469" w:vSpace="1022" w:wrap="none" w:hAnchor="page" w:x="635" w:y="356"/>
              <w:spacing w:line="240" w:lineRule="auto"/>
              <w:ind w:firstLine="0"/>
              <w:rPr>
                <w:sz w:val="16"/>
                <w:szCs w:val="16"/>
              </w:rPr>
            </w:pPr>
            <w:r>
              <w:rPr>
                <w:rFonts w:ascii="Times New Roman" w:eastAsia="Times New Roman" w:hAnsi="Times New Roman" w:cs="Times New Roman"/>
                <w:color w:val="000000"/>
                <w:sz w:val="16"/>
                <w:szCs w:val="16"/>
              </w:rPr>
              <w:t>Coccidioidomicosis</w:t>
            </w:r>
          </w:p>
        </w:tc>
        <w:tc>
          <w:tcPr>
            <w:tcW w:w="1315" w:type="dxa"/>
            <w:shd w:val="clear" w:color="auto" w:fill="FFFFFF"/>
            <w:vAlign w:val="bottom"/>
          </w:tcPr>
          <w:p w14:paraId="334D44BC" w14:textId="77777777" w:rsidR="00924992" w:rsidRDefault="00924992">
            <w:pPr>
              <w:pStyle w:val="Other0"/>
              <w:framePr w:w="10286" w:h="4469" w:vSpace="1022" w:wrap="none" w:hAnchor="page" w:x="635" w:y="356"/>
              <w:spacing w:line="240" w:lineRule="auto"/>
              <w:ind w:firstLine="0"/>
              <w:rPr>
                <w:sz w:val="16"/>
                <w:szCs w:val="16"/>
              </w:rPr>
            </w:pPr>
            <w:r>
              <w:rPr>
                <w:rFonts w:ascii="Times New Roman" w:eastAsia="Times New Roman" w:hAnsi="Times New Roman" w:cs="Times New Roman"/>
                <w:color w:val="000000"/>
                <w:sz w:val="16"/>
                <w:szCs w:val="16"/>
              </w:rPr>
              <w:t>P</w:t>
            </w:r>
          </w:p>
        </w:tc>
        <w:tc>
          <w:tcPr>
            <w:tcW w:w="2491" w:type="dxa"/>
            <w:shd w:val="clear" w:color="auto" w:fill="FFFFFF"/>
          </w:tcPr>
          <w:p w14:paraId="3652A395" w14:textId="77777777" w:rsidR="00924992" w:rsidRDefault="00924992">
            <w:pPr>
              <w:framePr w:w="10286" w:h="4469" w:vSpace="1022" w:wrap="none" w:hAnchor="page" w:x="635" w:y="356"/>
              <w:rPr>
                <w:sz w:val="10"/>
                <w:szCs w:val="10"/>
              </w:rPr>
            </w:pPr>
          </w:p>
        </w:tc>
        <w:tc>
          <w:tcPr>
            <w:tcW w:w="1330" w:type="dxa"/>
            <w:shd w:val="clear" w:color="auto" w:fill="FFFFFF"/>
            <w:vAlign w:val="bottom"/>
          </w:tcPr>
          <w:p w14:paraId="1B5A6951" w14:textId="77777777" w:rsidR="00924992" w:rsidRDefault="00924992">
            <w:pPr>
              <w:pStyle w:val="Other0"/>
              <w:framePr w:w="10286" w:h="4469" w:vSpace="1022" w:wrap="none" w:hAnchor="page" w:x="635" w:y="356"/>
              <w:spacing w:line="240" w:lineRule="auto"/>
              <w:ind w:firstLine="0"/>
              <w:rPr>
                <w:sz w:val="16"/>
                <w:szCs w:val="16"/>
              </w:rPr>
            </w:pPr>
            <w:r>
              <w:rPr>
                <w:rFonts w:ascii="Times New Roman" w:eastAsia="Times New Roman" w:hAnsi="Times New Roman" w:cs="Times New Roman"/>
                <w:color w:val="000000"/>
                <w:sz w:val="16"/>
                <w:szCs w:val="16"/>
              </w:rPr>
              <w:t>A, M</w:t>
            </w:r>
          </w:p>
        </w:tc>
        <w:tc>
          <w:tcPr>
            <w:tcW w:w="1162" w:type="dxa"/>
            <w:shd w:val="clear" w:color="auto" w:fill="FFFFFF"/>
            <w:vAlign w:val="bottom"/>
          </w:tcPr>
          <w:p w14:paraId="76870843" w14:textId="77777777" w:rsidR="00924992" w:rsidRDefault="00924992">
            <w:pPr>
              <w:pStyle w:val="Other0"/>
              <w:framePr w:w="10286" w:h="4469" w:vSpace="1022" w:wrap="none" w:hAnchor="page" w:x="635" w:y="356"/>
              <w:spacing w:line="240" w:lineRule="auto"/>
              <w:ind w:firstLine="160"/>
              <w:rPr>
                <w:sz w:val="16"/>
                <w:szCs w:val="16"/>
              </w:rPr>
            </w:pPr>
            <w:r>
              <w:rPr>
                <w:rFonts w:ascii="Times New Roman" w:eastAsia="Times New Roman" w:hAnsi="Times New Roman" w:cs="Times New Roman"/>
                <w:color w:val="000000"/>
                <w:sz w:val="16"/>
                <w:szCs w:val="16"/>
              </w:rPr>
              <w:t>A, M</w:t>
            </w:r>
          </w:p>
        </w:tc>
        <w:tc>
          <w:tcPr>
            <w:tcW w:w="1075" w:type="dxa"/>
            <w:shd w:val="clear" w:color="auto" w:fill="FFFFFF"/>
            <w:vAlign w:val="bottom"/>
          </w:tcPr>
          <w:p w14:paraId="3554E941" w14:textId="77777777" w:rsidR="00924992" w:rsidRDefault="00924992">
            <w:pPr>
              <w:pStyle w:val="Other0"/>
              <w:framePr w:w="10286" w:h="4469" w:vSpace="1022" w:wrap="none" w:hAnchor="page" w:x="635" w:y="356"/>
              <w:spacing w:line="240" w:lineRule="auto"/>
              <w:ind w:firstLine="0"/>
              <w:rPr>
                <w:sz w:val="16"/>
                <w:szCs w:val="16"/>
              </w:rPr>
            </w:pPr>
            <w:r>
              <w:rPr>
                <w:rFonts w:ascii="Times New Roman" w:eastAsia="Times New Roman" w:hAnsi="Times New Roman" w:cs="Times New Roman"/>
                <w:color w:val="000000"/>
                <w:sz w:val="16"/>
                <w:szCs w:val="16"/>
              </w:rPr>
              <w:t>(P), A, M</w:t>
            </w:r>
          </w:p>
        </w:tc>
        <w:tc>
          <w:tcPr>
            <w:tcW w:w="1248" w:type="dxa"/>
            <w:shd w:val="clear" w:color="auto" w:fill="FFFFFF"/>
          </w:tcPr>
          <w:p w14:paraId="15852048" w14:textId="77777777" w:rsidR="00924992" w:rsidRDefault="00924992">
            <w:pPr>
              <w:framePr w:w="10286" w:h="4469" w:vSpace="1022" w:wrap="none" w:hAnchor="page" w:x="635" w:y="356"/>
              <w:rPr>
                <w:sz w:val="10"/>
                <w:szCs w:val="10"/>
              </w:rPr>
            </w:pPr>
          </w:p>
        </w:tc>
      </w:tr>
      <w:tr w:rsidR="00924992" w14:paraId="5DDAED7C" w14:textId="77777777">
        <w:tblPrEx>
          <w:tblCellMar>
            <w:top w:w="0" w:type="dxa"/>
            <w:bottom w:w="0" w:type="dxa"/>
          </w:tblCellMar>
        </w:tblPrEx>
        <w:trPr>
          <w:trHeight w:hRule="exact" w:val="235"/>
        </w:trPr>
        <w:tc>
          <w:tcPr>
            <w:tcW w:w="1666" w:type="dxa"/>
            <w:shd w:val="clear" w:color="auto" w:fill="FFFFFF"/>
          </w:tcPr>
          <w:p w14:paraId="00332111" w14:textId="77777777" w:rsidR="00924992" w:rsidRDefault="00924992">
            <w:pPr>
              <w:pStyle w:val="Other0"/>
              <w:framePr w:w="10286" w:h="4469" w:vSpace="1022" w:wrap="none" w:hAnchor="page" w:x="635" w:y="356"/>
              <w:spacing w:line="240" w:lineRule="auto"/>
              <w:ind w:firstLine="0"/>
              <w:rPr>
                <w:sz w:val="16"/>
                <w:szCs w:val="16"/>
              </w:rPr>
            </w:pPr>
            <w:r>
              <w:rPr>
                <w:rFonts w:ascii="Times New Roman" w:eastAsia="Times New Roman" w:hAnsi="Times New Roman" w:cs="Times New Roman"/>
                <w:color w:val="000000"/>
                <w:sz w:val="16"/>
                <w:szCs w:val="16"/>
              </w:rPr>
              <w:t>Criptococosis</w:t>
            </w:r>
          </w:p>
        </w:tc>
        <w:tc>
          <w:tcPr>
            <w:tcW w:w="1315" w:type="dxa"/>
            <w:shd w:val="clear" w:color="auto" w:fill="FFFFFF"/>
          </w:tcPr>
          <w:p w14:paraId="44883DA0" w14:textId="77777777" w:rsidR="00924992" w:rsidRDefault="00924992">
            <w:pPr>
              <w:pStyle w:val="Other0"/>
              <w:framePr w:w="10286" w:h="4469" w:vSpace="1022" w:wrap="none" w:hAnchor="page" w:x="635" w:y="356"/>
              <w:spacing w:line="240" w:lineRule="auto"/>
              <w:ind w:firstLine="0"/>
              <w:rPr>
                <w:sz w:val="16"/>
                <w:szCs w:val="16"/>
              </w:rPr>
            </w:pPr>
            <w:r>
              <w:rPr>
                <w:rFonts w:ascii="Times New Roman" w:eastAsia="Times New Roman" w:hAnsi="Times New Roman" w:cs="Times New Roman"/>
                <w:color w:val="000000"/>
                <w:sz w:val="16"/>
                <w:szCs w:val="16"/>
              </w:rPr>
              <w:t>P, S</w:t>
            </w:r>
          </w:p>
        </w:tc>
        <w:tc>
          <w:tcPr>
            <w:tcW w:w="2491" w:type="dxa"/>
            <w:shd w:val="clear" w:color="auto" w:fill="FFFFFF"/>
          </w:tcPr>
          <w:p w14:paraId="39B102A9" w14:textId="77777777" w:rsidR="00924992" w:rsidRDefault="00924992">
            <w:pPr>
              <w:pStyle w:val="Other0"/>
              <w:framePr w:w="10286" w:h="4469" w:vSpace="1022" w:wrap="none" w:hAnchor="page" w:x="635" w:y="356"/>
              <w:tabs>
                <w:tab w:val="left" w:pos="1387"/>
              </w:tabs>
              <w:spacing w:line="240" w:lineRule="auto"/>
              <w:ind w:firstLine="0"/>
              <w:rPr>
                <w:sz w:val="16"/>
                <w:szCs w:val="16"/>
              </w:rPr>
            </w:pPr>
            <w:r>
              <w:rPr>
                <w:rFonts w:ascii="Times New Roman" w:eastAsia="Times New Roman" w:hAnsi="Times New Roman" w:cs="Times New Roman"/>
                <w:color w:val="000000"/>
                <w:sz w:val="16"/>
                <w:szCs w:val="16"/>
              </w:rPr>
              <w:t>...</w:t>
            </w:r>
            <w:r>
              <w:rPr>
                <w:rFonts w:ascii="Times New Roman" w:eastAsia="Times New Roman" w:hAnsi="Times New Roman" w:cs="Times New Roman"/>
                <w:color w:val="000000"/>
                <w:sz w:val="16"/>
                <w:szCs w:val="16"/>
              </w:rPr>
              <w:tab/>
              <w:t>P, S</w:t>
            </w:r>
          </w:p>
        </w:tc>
        <w:tc>
          <w:tcPr>
            <w:tcW w:w="1330" w:type="dxa"/>
            <w:shd w:val="clear" w:color="auto" w:fill="FFFFFF"/>
          </w:tcPr>
          <w:p w14:paraId="56BFE5F5" w14:textId="77777777" w:rsidR="00924992" w:rsidRDefault="00924992">
            <w:pPr>
              <w:framePr w:w="10286" w:h="4469" w:vSpace="1022" w:wrap="none" w:hAnchor="page" w:x="635" w:y="356"/>
              <w:rPr>
                <w:sz w:val="10"/>
                <w:szCs w:val="10"/>
              </w:rPr>
            </w:pPr>
          </w:p>
        </w:tc>
        <w:tc>
          <w:tcPr>
            <w:tcW w:w="1162" w:type="dxa"/>
            <w:shd w:val="clear" w:color="auto" w:fill="FFFFFF"/>
          </w:tcPr>
          <w:p w14:paraId="1AE5DCAB" w14:textId="77777777" w:rsidR="00924992" w:rsidRDefault="00924992">
            <w:pPr>
              <w:pStyle w:val="Other0"/>
              <w:framePr w:w="10286" w:h="4469" w:vSpace="1022" w:wrap="none" w:hAnchor="page" w:x="635" w:y="356"/>
              <w:spacing w:line="240" w:lineRule="auto"/>
              <w:ind w:firstLine="160"/>
              <w:rPr>
                <w:sz w:val="16"/>
                <w:szCs w:val="16"/>
              </w:rPr>
            </w:pPr>
            <w:r>
              <w:rPr>
                <w:rFonts w:ascii="Times New Roman" w:eastAsia="Times New Roman" w:hAnsi="Times New Roman" w:cs="Times New Roman"/>
                <w:color w:val="000000"/>
                <w:sz w:val="16"/>
                <w:szCs w:val="16"/>
              </w:rPr>
              <w:t>A</w:t>
            </w:r>
          </w:p>
        </w:tc>
        <w:tc>
          <w:tcPr>
            <w:tcW w:w="1075" w:type="dxa"/>
            <w:shd w:val="clear" w:color="auto" w:fill="FFFFFF"/>
          </w:tcPr>
          <w:p w14:paraId="7F4F5ED7" w14:textId="77777777" w:rsidR="00924992" w:rsidRDefault="00924992">
            <w:pPr>
              <w:pStyle w:val="Other0"/>
              <w:framePr w:w="10286" w:h="4469" w:vSpace="1022" w:wrap="none" w:hAnchor="page" w:x="635" w:y="356"/>
              <w:spacing w:line="240" w:lineRule="auto"/>
              <w:ind w:firstLine="0"/>
              <w:rPr>
                <w:sz w:val="16"/>
                <w:szCs w:val="16"/>
              </w:rPr>
            </w:pPr>
            <w:r>
              <w:rPr>
                <w:rFonts w:ascii="Times New Roman" w:eastAsia="Times New Roman" w:hAnsi="Times New Roman" w:cs="Times New Roman"/>
                <w:color w:val="000000"/>
                <w:sz w:val="16"/>
                <w:szCs w:val="16"/>
              </w:rPr>
              <w:t>A, M</w:t>
            </w:r>
          </w:p>
        </w:tc>
        <w:tc>
          <w:tcPr>
            <w:tcW w:w="1248" w:type="dxa"/>
            <w:shd w:val="clear" w:color="auto" w:fill="FFFFFF"/>
          </w:tcPr>
          <w:p w14:paraId="22F64C54" w14:textId="77777777" w:rsidR="00924992" w:rsidRDefault="00924992">
            <w:pPr>
              <w:framePr w:w="10286" w:h="4469" w:vSpace="1022" w:wrap="none" w:hAnchor="page" w:x="635" w:y="356"/>
              <w:rPr>
                <w:sz w:val="10"/>
                <w:szCs w:val="10"/>
              </w:rPr>
            </w:pPr>
          </w:p>
        </w:tc>
      </w:tr>
      <w:tr w:rsidR="00924992" w14:paraId="53EE370B" w14:textId="77777777">
        <w:tblPrEx>
          <w:tblCellMar>
            <w:top w:w="0" w:type="dxa"/>
            <w:bottom w:w="0" w:type="dxa"/>
          </w:tblCellMar>
        </w:tblPrEx>
        <w:trPr>
          <w:trHeight w:hRule="exact" w:val="216"/>
        </w:trPr>
        <w:tc>
          <w:tcPr>
            <w:tcW w:w="1666" w:type="dxa"/>
            <w:shd w:val="clear" w:color="auto" w:fill="FFFFFF"/>
          </w:tcPr>
          <w:p w14:paraId="32D58604" w14:textId="77777777" w:rsidR="00924992" w:rsidRDefault="00924992">
            <w:pPr>
              <w:pStyle w:val="Other0"/>
              <w:framePr w:w="10286" w:h="4469" w:vSpace="1022" w:wrap="none" w:hAnchor="page" w:x="635" w:y="356"/>
              <w:spacing w:line="240" w:lineRule="auto"/>
              <w:ind w:firstLine="0"/>
              <w:rPr>
                <w:sz w:val="16"/>
                <w:szCs w:val="16"/>
              </w:rPr>
            </w:pPr>
            <w:r>
              <w:rPr>
                <w:rFonts w:ascii="Times New Roman" w:eastAsia="Times New Roman" w:hAnsi="Times New Roman" w:cs="Times New Roman"/>
                <w:color w:val="000000"/>
                <w:sz w:val="16"/>
                <w:szCs w:val="16"/>
              </w:rPr>
              <w:t>Esporotricosis</w:t>
            </w:r>
          </w:p>
        </w:tc>
        <w:tc>
          <w:tcPr>
            <w:tcW w:w="1315" w:type="dxa"/>
            <w:shd w:val="clear" w:color="auto" w:fill="FFFFFF"/>
          </w:tcPr>
          <w:p w14:paraId="4483045F" w14:textId="77777777" w:rsidR="00924992" w:rsidRDefault="00924992">
            <w:pPr>
              <w:pStyle w:val="Other0"/>
              <w:framePr w:w="10286" w:h="4469" w:vSpace="1022" w:wrap="none" w:hAnchor="page" w:x="635" w:y="356"/>
              <w:spacing w:line="240" w:lineRule="auto"/>
              <w:ind w:firstLine="0"/>
              <w:rPr>
                <w:sz w:val="16"/>
                <w:szCs w:val="16"/>
              </w:rPr>
            </w:pPr>
            <w:r>
              <w:rPr>
                <w:rFonts w:ascii="Times New Roman" w:eastAsia="Times New Roman" w:hAnsi="Times New Roman" w:cs="Times New Roman"/>
                <w:color w:val="000000"/>
                <w:sz w:val="16"/>
                <w:szCs w:val="16"/>
              </w:rPr>
              <w:t>(P)</w:t>
            </w:r>
          </w:p>
        </w:tc>
        <w:tc>
          <w:tcPr>
            <w:tcW w:w="2491" w:type="dxa"/>
            <w:shd w:val="clear" w:color="auto" w:fill="FFFFFF"/>
          </w:tcPr>
          <w:p w14:paraId="714B7DD6" w14:textId="77777777" w:rsidR="00924992" w:rsidRDefault="00924992">
            <w:pPr>
              <w:framePr w:w="10286" w:h="4469" w:vSpace="1022" w:wrap="none" w:hAnchor="page" w:x="635" w:y="356"/>
              <w:rPr>
                <w:sz w:val="10"/>
                <w:szCs w:val="10"/>
              </w:rPr>
            </w:pPr>
          </w:p>
        </w:tc>
        <w:tc>
          <w:tcPr>
            <w:tcW w:w="1330" w:type="dxa"/>
            <w:shd w:val="clear" w:color="auto" w:fill="FFFFFF"/>
          </w:tcPr>
          <w:p w14:paraId="782765F6" w14:textId="77777777" w:rsidR="00924992" w:rsidRDefault="00924992">
            <w:pPr>
              <w:framePr w:w="10286" w:h="4469" w:vSpace="1022" w:wrap="none" w:hAnchor="page" w:x="635" w:y="356"/>
              <w:rPr>
                <w:sz w:val="10"/>
                <w:szCs w:val="10"/>
              </w:rPr>
            </w:pPr>
          </w:p>
        </w:tc>
        <w:tc>
          <w:tcPr>
            <w:tcW w:w="1162" w:type="dxa"/>
            <w:shd w:val="clear" w:color="auto" w:fill="FFFFFF"/>
          </w:tcPr>
          <w:p w14:paraId="1A7F8BE0" w14:textId="77777777" w:rsidR="00924992" w:rsidRDefault="00924992">
            <w:pPr>
              <w:pStyle w:val="Other0"/>
              <w:framePr w:w="10286" w:h="4469" w:vSpace="1022" w:wrap="none" w:hAnchor="page" w:x="635" w:y="356"/>
              <w:spacing w:line="240" w:lineRule="auto"/>
              <w:ind w:firstLine="160"/>
              <w:rPr>
                <w:sz w:val="16"/>
                <w:szCs w:val="16"/>
              </w:rPr>
            </w:pPr>
            <w:r>
              <w:rPr>
                <w:rFonts w:ascii="Times New Roman" w:eastAsia="Times New Roman" w:hAnsi="Times New Roman" w:cs="Times New Roman"/>
                <w:color w:val="000000"/>
                <w:sz w:val="16"/>
                <w:szCs w:val="16"/>
              </w:rPr>
              <w:t>P</w:t>
            </w:r>
          </w:p>
        </w:tc>
        <w:tc>
          <w:tcPr>
            <w:tcW w:w="1075" w:type="dxa"/>
            <w:shd w:val="clear" w:color="auto" w:fill="FFFFFF"/>
          </w:tcPr>
          <w:p w14:paraId="2A25CD71" w14:textId="77777777" w:rsidR="00924992" w:rsidRDefault="00924992">
            <w:pPr>
              <w:pStyle w:val="Other0"/>
              <w:framePr w:w="10286" w:h="4469" w:vSpace="1022" w:wrap="none" w:hAnchor="page" w:x="635" w:y="356"/>
              <w:spacing w:line="240" w:lineRule="auto"/>
              <w:ind w:firstLine="0"/>
              <w:rPr>
                <w:sz w:val="16"/>
                <w:szCs w:val="16"/>
              </w:rPr>
            </w:pPr>
            <w:r>
              <w:rPr>
                <w:rFonts w:ascii="Times New Roman" w:eastAsia="Times New Roman" w:hAnsi="Times New Roman" w:cs="Times New Roman"/>
                <w:color w:val="000000"/>
                <w:sz w:val="16"/>
                <w:szCs w:val="16"/>
              </w:rPr>
              <w:t>A, M</w:t>
            </w:r>
          </w:p>
        </w:tc>
        <w:tc>
          <w:tcPr>
            <w:tcW w:w="1248" w:type="dxa"/>
            <w:shd w:val="clear" w:color="auto" w:fill="FFFFFF"/>
          </w:tcPr>
          <w:p w14:paraId="07474351" w14:textId="77777777" w:rsidR="00924992" w:rsidRDefault="00924992">
            <w:pPr>
              <w:framePr w:w="10286" w:h="4469" w:vSpace="1022" w:wrap="none" w:hAnchor="page" w:x="635" w:y="356"/>
              <w:rPr>
                <w:sz w:val="10"/>
                <w:szCs w:val="10"/>
              </w:rPr>
            </w:pPr>
          </w:p>
        </w:tc>
      </w:tr>
      <w:tr w:rsidR="00924992" w14:paraId="6ED1BAD5" w14:textId="77777777">
        <w:tblPrEx>
          <w:tblCellMar>
            <w:top w:w="0" w:type="dxa"/>
            <w:bottom w:w="0" w:type="dxa"/>
          </w:tblCellMar>
        </w:tblPrEx>
        <w:trPr>
          <w:trHeight w:hRule="exact" w:val="211"/>
        </w:trPr>
        <w:tc>
          <w:tcPr>
            <w:tcW w:w="1666" w:type="dxa"/>
            <w:shd w:val="clear" w:color="auto" w:fill="FFFFFF"/>
          </w:tcPr>
          <w:p w14:paraId="74C278CF" w14:textId="77777777" w:rsidR="00924992" w:rsidRDefault="00924992">
            <w:pPr>
              <w:pStyle w:val="Other0"/>
              <w:framePr w:w="10286" w:h="4469" w:vSpace="1022" w:wrap="none" w:hAnchor="page" w:x="635" w:y="356"/>
              <w:spacing w:line="240" w:lineRule="auto"/>
              <w:ind w:firstLine="0"/>
              <w:rPr>
                <w:sz w:val="16"/>
                <w:szCs w:val="16"/>
              </w:rPr>
            </w:pPr>
            <w:r>
              <w:rPr>
                <w:rFonts w:ascii="Times New Roman" w:eastAsia="Times New Roman" w:hAnsi="Times New Roman" w:cs="Times New Roman"/>
                <w:color w:val="000000"/>
                <w:sz w:val="16"/>
                <w:szCs w:val="16"/>
              </w:rPr>
              <w:t>Histoplasmosis</w:t>
            </w:r>
          </w:p>
        </w:tc>
        <w:tc>
          <w:tcPr>
            <w:tcW w:w="1315" w:type="dxa"/>
            <w:shd w:val="clear" w:color="auto" w:fill="FFFFFF"/>
          </w:tcPr>
          <w:p w14:paraId="63A198E7" w14:textId="77777777" w:rsidR="00924992" w:rsidRDefault="00924992">
            <w:pPr>
              <w:pStyle w:val="Other0"/>
              <w:framePr w:w="10286" w:h="4469" w:vSpace="1022" w:wrap="none" w:hAnchor="page" w:x="635" w:y="356"/>
              <w:spacing w:line="240" w:lineRule="auto"/>
              <w:ind w:firstLine="0"/>
              <w:rPr>
                <w:sz w:val="16"/>
                <w:szCs w:val="16"/>
              </w:rPr>
            </w:pPr>
            <w:r>
              <w:rPr>
                <w:rFonts w:ascii="Times New Roman" w:eastAsia="Times New Roman" w:hAnsi="Times New Roman" w:cs="Times New Roman"/>
                <w:color w:val="000000"/>
                <w:sz w:val="16"/>
                <w:szCs w:val="16"/>
              </w:rPr>
              <w:t>P</w:t>
            </w:r>
          </w:p>
        </w:tc>
        <w:tc>
          <w:tcPr>
            <w:tcW w:w="2491" w:type="dxa"/>
            <w:shd w:val="clear" w:color="auto" w:fill="FFFFFF"/>
          </w:tcPr>
          <w:p w14:paraId="4973D1ED" w14:textId="77777777" w:rsidR="00924992" w:rsidRDefault="00924992">
            <w:pPr>
              <w:framePr w:w="10286" w:h="4469" w:vSpace="1022" w:wrap="none" w:hAnchor="page" w:x="635" w:y="356"/>
              <w:rPr>
                <w:sz w:val="10"/>
                <w:szCs w:val="10"/>
              </w:rPr>
            </w:pPr>
          </w:p>
        </w:tc>
        <w:tc>
          <w:tcPr>
            <w:tcW w:w="1330" w:type="dxa"/>
            <w:shd w:val="clear" w:color="auto" w:fill="FFFFFF"/>
          </w:tcPr>
          <w:p w14:paraId="7B493C2C" w14:textId="77777777" w:rsidR="00924992" w:rsidRDefault="00924992">
            <w:pPr>
              <w:pStyle w:val="Other0"/>
              <w:framePr w:w="10286" w:h="4469" w:vSpace="1022" w:wrap="none" w:hAnchor="page" w:x="635" w:y="356"/>
              <w:spacing w:line="240" w:lineRule="auto"/>
              <w:ind w:firstLine="0"/>
              <w:rPr>
                <w:sz w:val="16"/>
                <w:szCs w:val="16"/>
              </w:rPr>
            </w:pPr>
            <w:r>
              <w:rPr>
                <w:rFonts w:ascii="Times New Roman" w:eastAsia="Times New Roman" w:hAnsi="Times New Roman" w:cs="Times New Roman"/>
                <w:color w:val="000000"/>
                <w:sz w:val="16"/>
                <w:szCs w:val="16"/>
              </w:rPr>
              <w:t>A, M</w:t>
            </w:r>
          </w:p>
        </w:tc>
        <w:tc>
          <w:tcPr>
            <w:tcW w:w="1162" w:type="dxa"/>
            <w:shd w:val="clear" w:color="auto" w:fill="FFFFFF"/>
          </w:tcPr>
          <w:p w14:paraId="43966456" w14:textId="77777777" w:rsidR="00924992" w:rsidRDefault="00924992">
            <w:pPr>
              <w:pStyle w:val="Other0"/>
              <w:framePr w:w="10286" w:h="4469" w:vSpace="1022" w:wrap="none" w:hAnchor="page" w:x="635" w:y="356"/>
              <w:spacing w:line="240" w:lineRule="auto"/>
              <w:ind w:firstLine="160"/>
              <w:rPr>
                <w:sz w:val="16"/>
                <w:szCs w:val="16"/>
              </w:rPr>
            </w:pPr>
            <w:r>
              <w:rPr>
                <w:rFonts w:ascii="Times New Roman" w:eastAsia="Times New Roman" w:hAnsi="Times New Roman" w:cs="Times New Roman"/>
                <w:color w:val="000000"/>
                <w:sz w:val="16"/>
                <w:szCs w:val="16"/>
              </w:rPr>
              <w:t>(P), A</w:t>
            </w:r>
          </w:p>
        </w:tc>
        <w:tc>
          <w:tcPr>
            <w:tcW w:w="1075" w:type="dxa"/>
            <w:shd w:val="clear" w:color="auto" w:fill="FFFFFF"/>
          </w:tcPr>
          <w:p w14:paraId="7B9416EC" w14:textId="77777777" w:rsidR="00924992" w:rsidRDefault="00924992">
            <w:pPr>
              <w:pStyle w:val="Other0"/>
              <w:framePr w:w="10286" w:h="4469" w:vSpace="1022" w:wrap="none" w:hAnchor="page" w:x="635" w:y="356"/>
              <w:spacing w:line="240" w:lineRule="auto"/>
              <w:ind w:firstLine="0"/>
              <w:rPr>
                <w:sz w:val="16"/>
                <w:szCs w:val="16"/>
              </w:rPr>
            </w:pPr>
            <w:r>
              <w:rPr>
                <w:rFonts w:ascii="Times New Roman" w:eastAsia="Times New Roman" w:hAnsi="Times New Roman" w:cs="Times New Roman"/>
                <w:color w:val="000000"/>
                <w:sz w:val="16"/>
                <w:szCs w:val="16"/>
              </w:rPr>
              <w:t>A, M</w:t>
            </w:r>
          </w:p>
        </w:tc>
        <w:tc>
          <w:tcPr>
            <w:tcW w:w="1248" w:type="dxa"/>
            <w:shd w:val="clear" w:color="auto" w:fill="FFFFFF"/>
          </w:tcPr>
          <w:p w14:paraId="7B405A36" w14:textId="77777777" w:rsidR="00924992" w:rsidRDefault="00924992">
            <w:pPr>
              <w:framePr w:w="10286" w:h="4469" w:vSpace="1022" w:wrap="none" w:hAnchor="page" w:x="635" w:y="356"/>
              <w:rPr>
                <w:sz w:val="10"/>
                <w:szCs w:val="10"/>
              </w:rPr>
            </w:pPr>
          </w:p>
        </w:tc>
      </w:tr>
      <w:tr w:rsidR="00924992" w14:paraId="46DB6A0F" w14:textId="77777777">
        <w:tblPrEx>
          <w:tblCellMar>
            <w:top w:w="0" w:type="dxa"/>
            <w:bottom w:w="0" w:type="dxa"/>
          </w:tblCellMar>
        </w:tblPrEx>
        <w:trPr>
          <w:trHeight w:hRule="exact" w:val="202"/>
        </w:trPr>
        <w:tc>
          <w:tcPr>
            <w:tcW w:w="1666" w:type="dxa"/>
            <w:shd w:val="clear" w:color="auto" w:fill="FFFFFF"/>
          </w:tcPr>
          <w:p w14:paraId="7EF968E6" w14:textId="77777777" w:rsidR="00924992" w:rsidRDefault="00924992">
            <w:pPr>
              <w:pStyle w:val="Other0"/>
              <w:framePr w:w="10286" w:h="4469" w:vSpace="1022" w:wrap="none" w:hAnchor="page" w:x="635" w:y="356"/>
              <w:spacing w:line="240" w:lineRule="auto"/>
              <w:ind w:firstLine="0"/>
              <w:rPr>
                <w:sz w:val="16"/>
                <w:szCs w:val="16"/>
              </w:rPr>
            </w:pPr>
            <w:r>
              <w:rPr>
                <w:rFonts w:ascii="Times New Roman" w:eastAsia="Times New Roman" w:hAnsi="Times New Roman" w:cs="Times New Roman"/>
                <w:color w:val="000000"/>
                <w:sz w:val="16"/>
                <w:szCs w:val="16"/>
              </w:rPr>
              <w:t>Mucormicosis</w:t>
            </w:r>
          </w:p>
        </w:tc>
        <w:tc>
          <w:tcPr>
            <w:tcW w:w="1315" w:type="dxa"/>
            <w:shd w:val="clear" w:color="auto" w:fill="FFFFFF"/>
          </w:tcPr>
          <w:p w14:paraId="413A3292" w14:textId="77777777" w:rsidR="00924992" w:rsidRDefault="00924992">
            <w:pPr>
              <w:pStyle w:val="Other0"/>
              <w:framePr w:w="10286" w:h="4469" w:vSpace="1022" w:wrap="none" w:hAnchor="page" w:x="635" w:y="356"/>
              <w:spacing w:line="240" w:lineRule="auto"/>
              <w:ind w:firstLine="0"/>
              <w:rPr>
                <w:sz w:val="16"/>
                <w:szCs w:val="16"/>
              </w:rPr>
            </w:pPr>
            <w:r>
              <w:rPr>
                <w:rFonts w:ascii="Times New Roman" w:eastAsia="Times New Roman" w:hAnsi="Times New Roman" w:cs="Times New Roman"/>
                <w:color w:val="000000"/>
                <w:sz w:val="16"/>
                <w:szCs w:val="16"/>
              </w:rPr>
              <w:t>P</w:t>
            </w:r>
          </w:p>
        </w:tc>
        <w:tc>
          <w:tcPr>
            <w:tcW w:w="2491" w:type="dxa"/>
            <w:shd w:val="clear" w:color="auto" w:fill="FFFFFF"/>
          </w:tcPr>
          <w:p w14:paraId="70B2DDFB" w14:textId="77777777" w:rsidR="00924992" w:rsidRDefault="00924992">
            <w:pPr>
              <w:framePr w:w="10286" w:h="4469" w:vSpace="1022" w:wrap="none" w:hAnchor="page" w:x="635" w:y="356"/>
              <w:rPr>
                <w:sz w:val="10"/>
                <w:szCs w:val="10"/>
              </w:rPr>
            </w:pPr>
          </w:p>
        </w:tc>
        <w:tc>
          <w:tcPr>
            <w:tcW w:w="1330" w:type="dxa"/>
            <w:shd w:val="clear" w:color="auto" w:fill="FFFFFF"/>
          </w:tcPr>
          <w:p w14:paraId="18FAE950" w14:textId="77777777" w:rsidR="00924992" w:rsidRDefault="00924992">
            <w:pPr>
              <w:framePr w:w="10286" w:h="4469" w:vSpace="1022" w:wrap="none" w:hAnchor="page" w:x="635" w:y="356"/>
              <w:rPr>
                <w:sz w:val="10"/>
                <w:szCs w:val="10"/>
              </w:rPr>
            </w:pPr>
          </w:p>
        </w:tc>
        <w:tc>
          <w:tcPr>
            <w:tcW w:w="1162" w:type="dxa"/>
            <w:shd w:val="clear" w:color="auto" w:fill="FFFFFF"/>
          </w:tcPr>
          <w:p w14:paraId="6CD550BE" w14:textId="77777777" w:rsidR="00924992" w:rsidRDefault="00924992">
            <w:pPr>
              <w:framePr w:w="10286" w:h="4469" w:vSpace="1022" w:wrap="none" w:hAnchor="page" w:x="635" w:y="356"/>
              <w:rPr>
                <w:sz w:val="10"/>
                <w:szCs w:val="10"/>
              </w:rPr>
            </w:pPr>
          </w:p>
        </w:tc>
        <w:tc>
          <w:tcPr>
            <w:tcW w:w="1075" w:type="dxa"/>
            <w:shd w:val="clear" w:color="auto" w:fill="FFFFFF"/>
          </w:tcPr>
          <w:p w14:paraId="4E876915" w14:textId="77777777" w:rsidR="00924992" w:rsidRDefault="00924992">
            <w:pPr>
              <w:framePr w:w="10286" w:h="4469" w:vSpace="1022" w:wrap="none" w:hAnchor="page" w:x="635" w:y="356"/>
              <w:rPr>
                <w:sz w:val="10"/>
                <w:szCs w:val="10"/>
              </w:rPr>
            </w:pPr>
          </w:p>
        </w:tc>
        <w:tc>
          <w:tcPr>
            <w:tcW w:w="1248" w:type="dxa"/>
            <w:shd w:val="clear" w:color="auto" w:fill="FFFFFF"/>
          </w:tcPr>
          <w:p w14:paraId="3BD71F60" w14:textId="77777777" w:rsidR="00924992" w:rsidRDefault="00924992">
            <w:pPr>
              <w:framePr w:w="10286" w:h="4469" w:vSpace="1022" w:wrap="none" w:hAnchor="page" w:x="635" w:y="356"/>
              <w:rPr>
                <w:sz w:val="10"/>
                <w:szCs w:val="10"/>
              </w:rPr>
            </w:pPr>
          </w:p>
        </w:tc>
      </w:tr>
      <w:tr w:rsidR="00924992" w14:paraId="409812F1" w14:textId="77777777">
        <w:tblPrEx>
          <w:tblCellMar>
            <w:top w:w="0" w:type="dxa"/>
            <w:bottom w:w="0" w:type="dxa"/>
          </w:tblCellMar>
        </w:tblPrEx>
        <w:trPr>
          <w:trHeight w:hRule="exact" w:val="235"/>
        </w:trPr>
        <w:tc>
          <w:tcPr>
            <w:tcW w:w="1666" w:type="dxa"/>
            <w:shd w:val="clear" w:color="auto" w:fill="FFFFFF"/>
            <w:vAlign w:val="bottom"/>
          </w:tcPr>
          <w:p w14:paraId="6A80A686" w14:textId="77777777" w:rsidR="00924992" w:rsidRDefault="00924992">
            <w:pPr>
              <w:pStyle w:val="Other0"/>
              <w:framePr w:w="10286" w:h="4469" w:vSpace="1022" w:wrap="none" w:hAnchor="page" w:x="635" w:y="356"/>
              <w:spacing w:line="240" w:lineRule="auto"/>
              <w:ind w:firstLine="160"/>
              <w:rPr>
                <w:sz w:val="16"/>
                <w:szCs w:val="16"/>
              </w:rPr>
            </w:pPr>
            <w:r>
              <w:rPr>
                <w:rFonts w:ascii="Times New Roman" w:eastAsia="Times New Roman" w:hAnsi="Times New Roman" w:cs="Times New Roman"/>
                <w:color w:val="000000"/>
                <w:sz w:val="16"/>
                <w:szCs w:val="16"/>
              </w:rPr>
              <w:t>(cigomicosis)</w:t>
            </w:r>
          </w:p>
        </w:tc>
        <w:tc>
          <w:tcPr>
            <w:tcW w:w="1315" w:type="dxa"/>
            <w:shd w:val="clear" w:color="auto" w:fill="FFFFFF"/>
          </w:tcPr>
          <w:p w14:paraId="64816427" w14:textId="77777777" w:rsidR="00924992" w:rsidRDefault="00924992">
            <w:pPr>
              <w:framePr w:w="10286" w:h="4469" w:vSpace="1022" w:wrap="none" w:hAnchor="page" w:x="635" w:y="356"/>
              <w:rPr>
                <w:sz w:val="10"/>
                <w:szCs w:val="10"/>
              </w:rPr>
            </w:pPr>
          </w:p>
        </w:tc>
        <w:tc>
          <w:tcPr>
            <w:tcW w:w="2491" w:type="dxa"/>
            <w:shd w:val="clear" w:color="auto" w:fill="FFFFFF"/>
          </w:tcPr>
          <w:p w14:paraId="52EC2793" w14:textId="77777777" w:rsidR="00924992" w:rsidRDefault="00924992">
            <w:pPr>
              <w:framePr w:w="10286" w:h="4469" w:vSpace="1022" w:wrap="none" w:hAnchor="page" w:x="635" w:y="356"/>
              <w:rPr>
                <w:sz w:val="10"/>
                <w:szCs w:val="10"/>
              </w:rPr>
            </w:pPr>
          </w:p>
        </w:tc>
        <w:tc>
          <w:tcPr>
            <w:tcW w:w="1330" w:type="dxa"/>
            <w:shd w:val="clear" w:color="auto" w:fill="FFFFFF"/>
          </w:tcPr>
          <w:p w14:paraId="48B71276" w14:textId="77777777" w:rsidR="00924992" w:rsidRDefault="00924992">
            <w:pPr>
              <w:framePr w:w="10286" w:h="4469" w:vSpace="1022" w:wrap="none" w:hAnchor="page" w:x="635" w:y="356"/>
              <w:rPr>
                <w:sz w:val="10"/>
                <w:szCs w:val="10"/>
              </w:rPr>
            </w:pPr>
          </w:p>
        </w:tc>
        <w:tc>
          <w:tcPr>
            <w:tcW w:w="1162" w:type="dxa"/>
            <w:shd w:val="clear" w:color="auto" w:fill="FFFFFF"/>
          </w:tcPr>
          <w:p w14:paraId="324C0D76" w14:textId="77777777" w:rsidR="00924992" w:rsidRDefault="00924992">
            <w:pPr>
              <w:framePr w:w="10286" w:h="4469" w:vSpace="1022" w:wrap="none" w:hAnchor="page" w:x="635" w:y="356"/>
              <w:rPr>
                <w:sz w:val="10"/>
                <w:szCs w:val="10"/>
              </w:rPr>
            </w:pPr>
          </w:p>
        </w:tc>
        <w:tc>
          <w:tcPr>
            <w:tcW w:w="1075" w:type="dxa"/>
            <w:shd w:val="clear" w:color="auto" w:fill="FFFFFF"/>
          </w:tcPr>
          <w:p w14:paraId="2AAD447B" w14:textId="77777777" w:rsidR="00924992" w:rsidRDefault="00924992">
            <w:pPr>
              <w:framePr w:w="10286" w:h="4469" w:vSpace="1022" w:wrap="none" w:hAnchor="page" w:x="635" w:y="356"/>
              <w:rPr>
                <w:sz w:val="10"/>
                <w:szCs w:val="10"/>
              </w:rPr>
            </w:pPr>
          </w:p>
        </w:tc>
        <w:tc>
          <w:tcPr>
            <w:tcW w:w="1248" w:type="dxa"/>
            <w:shd w:val="clear" w:color="auto" w:fill="FFFFFF"/>
          </w:tcPr>
          <w:p w14:paraId="5428E9A4" w14:textId="77777777" w:rsidR="00924992" w:rsidRDefault="00924992">
            <w:pPr>
              <w:framePr w:w="10286" w:h="4469" w:vSpace="1022" w:wrap="none" w:hAnchor="page" w:x="635" w:y="356"/>
              <w:rPr>
                <w:sz w:val="10"/>
                <w:szCs w:val="10"/>
              </w:rPr>
            </w:pPr>
          </w:p>
        </w:tc>
      </w:tr>
      <w:tr w:rsidR="00924992" w14:paraId="63F6014E" w14:textId="77777777">
        <w:tblPrEx>
          <w:tblCellMar>
            <w:top w:w="0" w:type="dxa"/>
            <w:bottom w:w="0" w:type="dxa"/>
          </w:tblCellMar>
        </w:tblPrEx>
        <w:trPr>
          <w:trHeight w:hRule="exact" w:val="197"/>
        </w:trPr>
        <w:tc>
          <w:tcPr>
            <w:tcW w:w="1666" w:type="dxa"/>
            <w:shd w:val="clear" w:color="auto" w:fill="FFFFFF"/>
          </w:tcPr>
          <w:p w14:paraId="251B83A4" w14:textId="77777777" w:rsidR="00924992" w:rsidRDefault="00924992">
            <w:pPr>
              <w:pStyle w:val="Other0"/>
              <w:framePr w:w="10286" w:h="4469" w:vSpace="1022" w:wrap="none" w:hAnchor="page" w:x="635" w:y="356"/>
              <w:spacing w:line="240" w:lineRule="auto"/>
              <w:ind w:firstLine="0"/>
              <w:rPr>
                <w:sz w:val="16"/>
                <w:szCs w:val="16"/>
              </w:rPr>
            </w:pPr>
            <w:r>
              <w:rPr>
                <w:rFonts w:ascii="Times New Roman" w:eastAsia="Times New Roman" w:hAnsi="Times New Roman" w:cs="Times New Roman"/>
                <w:color w:val="000000"/>
                <w:sz w:val="16"/>
                <w:szCs w:val="16"/>
              </w:rPr>
              <w:t>Paracoccidioidomicosis</w:t>
            </w:r>
          </w:p>
        </w:tc>
        <w:tc>
          <w:tcPr>
            <w:tcW w:w="1315" w:type="dxa"/>
            <w:shd w:val="clear" w:color="auto" w:fill="FFFFFF"/>
          </w:tcPr>
          <w:p w14:paraId="2B95E71F" w14:textId="77777777" w:rsidR="00924992" w:rsidRDefault="00924992">
            <w:pPr>
              <w:pStyle w:val="Other0"/>
              <w:framePr w:w="10286" w:h="4469" w:vSpace="1022" w:wrap="none" w:hAnchor="page" w:x="635" w:y="356"/>
              <w:spacing w:line="240" w:lineRule="auto"/>
              <w:ind w:firstLine="0"/>
              <w:rPr>
                <w:sz w:val="16"/>
                <w:szCs w:val="16"/>
              </w:rPr>
            </w:pPr>
            <w:r>
              <w:rPr>
                <w:rFonts w:ascii="Times New Roman" w:eastAsia="Times New Roman" w:hAnsi="Times New Roman" w:cs="Times New Roman"/>
                <w:color w:val="000000"/>
                <w:sz w:val="16"/>
                <w:szCs w:val="16"/>
              </w:rPr>
              <w:t>(P3)</w:t>
            </w:r>
          </w:p>
        </w:tc>
        <w:tc>
          <w:tcPr>
            <w:tcW w:w="2491" w:type="dxa"/>
            <w:shd w:val="clear" w:color="auto" w:fill="FFFFFF"/>
          </w:tcPr>
          <w:p w14:paraId="30D0611C" w14:textId="77777777" w:rsidR="00924992" w:rsidRDefault="00924992">
            <w:pPr>
              <w:framePr w:w="10286" w:h="4469" w:vSpace="1022" w:wrap="none" w:hAnchor="page" w:x="635" w:y="356"/>
              <w:rPr>
                <w:sz w:val="10"/>
                <w:szCs w:val="10"/>
              </w:rPr>
            </w:pPr>
          </w:p>
        </w:tc>
        <w:tc>
          <w:tcPr>
            <w:tcW w:w="1330" w:type="dxa"/>
            <w:shd w:val="clear" w:color="auto" w:fill="FFFFFF"/>
          </w:tcPr>
          <w:p w14:paraId="452A48A3" w14:textId="77777777" w:rsidR="00924992" w:rsidRDefault="00924992">
            <w:pPr>
              <w:pStyle w:val="Other0"/>
              <w:framePr w:w="10286" w:h="4469" w:vSpace="1022" w:wrap="none" w:hAnchor="page" w:x="635" w:y="356"/>
              <w:spacing w:line="240" w:lineRule="auto"/>
              <w:ind w:firstLine="0"/>
              <w:rPr>
                <w:sz w:val="16"/>
                <w:szCs w:val="16"/>
              </w:rPr>
            </w:pPr>
            <w:r>
              <w:rPr>
                <w:rFonts w:ascii="Times New Roman" w:eastAsia="Times New Roman" w:hAnsi="Times New Roman" w:cs="Times New Roman"/>
                <w:color w:val="000000"/>
                <w:sz w:val="16"/>
                <w:szCs w:val="16"/>
              </w:rPr>
              <w:t>M</w:t>
            </w:r>
          </w:p>
        </w:tc>
        <w:tc>
          <w:tcPr>
            <w:tcW w:w="1162" w:type="dxa"/>
            <w:shd w:val="clear" w:color="auto" w:fill="FFFFFF"/>
          </w:tcPr>
          <w:p w14:paraId="02316A6A" w14:textId="77777777" w:rsidR="00924992" w:rsidRDefault="00924992">
            <w:pPr>
              <w:pStyle w:val="Other0"/>
              <w:framePr w:w="10286" w:h="4469" w:vSpace="1022" w:wrap="none" w:hAnchor="page" w:x="635" w:y="356"/>
              <w:spacing w:line="240" w:lineRule="auto"/>
              <w:ind w:firstLine="160"/>
              <w:rPr>
                <w:sz w:val="16"/>
                <w:szCs w:val="16"/>
              </w:rPr>
            </w:pPr>
            <w:r>
              <w:rPr>
                <w:rFonts w:ascii="Times New Roman" w:eastAsia="Times New Roman" w:hAnsi="Times New Roman" w:cs="Times New Roman"/>
                <w:color w:val="000000"/>
                <w:sz w:val="16"/>
                <w:szCs w:val="16"/>
              </w:rPr>
              <w:t>P, M</w:t>
            </w:r>
          </w:p>
        </w:tc>
        <w:tc>
          <w:tcPr>
            <w:tcW w:w="1075" w:type="dxa"/>
            <w:shd w:val="clear" w:color="auto" w:fill="FFFFFF"/>
          </w:tcPr>
          <w:p w14:paraId="3CCC05C7" w14:textId="77777777" w:rsidR="00924992" w:rsidRDefault="00924992">
            <w:pPr>
              <w:framePr w:w="10286" w:h="4469" w:vSpace="1022" w:wrap="none" w:hAnchor="page" w:x="635" w:y="356"/>
              <w:rPr>
                <w:sz w:val="10"/>
                <w:szCs w:val="10"/>
              </w:rPr>
            </w:pPr>
          </w:p>
        </w:tc>
        <w:tc>
          <w:tcPr>
            <w:tcW w:w="1248" w:type="dxa"/>
            <w:shd w:val="clear" w:color="auto" w:fill="FFFFFF"/>
          </w:tcPr>
          <w:p w14:paraId="7A066FA5" w14:textId="77777777" w:rsidR="00924992" w:rsidRDefault="00924992">
            <w:pPr>
              <w:framePr w:w="10286" w:h="4469" w:vSpace="1022" w:wrap="none" w:hAnchor="page" w:x="635" w:y="356"/>
              <w:rPr>
                <w:sz w:val="10"/>
                <w:szCs w:val="10"/>
              </w:rPr>
            </w:pPr>
          </w:p>
        </w:tc>
      </w:tr>
      <w:tr w:rsidR="00924992" w14:paraId="3F644122" w14:textId="77777777">
        <w:tblPrEx>
          <w:tblCellMar>
            <w:top w:w="0" w:type="dxa"/>
            <w:bottom w:w="0" w:type="dxa"/>
          </w:tblCellMar>
        </w:tblPrEx>
        <w:trPr>
          <w:trHeight w:hRule="exact" w:val="322"/>
        </w:trPr>
        <w:tc>
          <w:tcPr>
            <w:tcW w:w="1666" w:type="dxa"/>
            <w:tcBorders>
              <w:bottom w:val="single" w:sz="4" w:space="0" w:color="auto"/>
            </w:tcBorders>
            <w:shd w:val="clear" w:color="auto" w:fill="FFFFFF"/>
          </w:tcPr>
          <w:p w14:paraId="6F9CEA9E" w14:textId="77777777" w:rsidR="00924992" w:rsidRDefault="00924992">
            <w:pPr>
              <w:pStyle w:val="Other0"/>
              <w:framePr w:w="10286" w:h="4469" w:vSpace="1022" w:wrap="none" w:hAnchor="page" w:x="635" w:y="356"/>
              <w:spacing w:line="240" w:lineRule="auto"/>
              <w:ind w:firstLine="0"/>
              <w:rPr>
                <w:sz w:val="16"/>
                <w:szCs w:val="16"/>
              </w:rPr>
            </w:pPr>
            <w:r>
              <w:rPr>
                <w:rFonts w:ascii="Times New Roman" w:eastAsia="Times New Roman" w:hAnsi="Times New Roman" w:cs="Times New Roman"/>
                <w:color w:val="000000"/>
                <w:sz w:val="16"/>
                <w:szCs w:val="16"/>
              </w:rPr>
              <w:t>Seudoalesqueriasis</w:t>
            </w:r>
          </w:p>
        </w:tc>
        <w:tc>
          <w:tcPr>
            <w:tcW w:w="1315" w:type="dxa"/>
            <w:tcBorders>
              <w:bottom w:val="single" w:sz="4" w:space="0" w:color="auto"/>
            </w:tcBorders>
            <w:shd w:val="clear" w:color="auto" w:fill="FFFFFF"/>
          </w:tcPr>
          <w:p w14:paraId="71E1B511" w14:textId="77777777" w:rsidR="00924992" w:rsidRDefault="00924992">
            <w:pPr>
              <w:framePr w:w="10286" w:h="4469" w:vSpace="1022" w:wrap="none" w:hAnchor="page" w:x="635" w:y="356"/>
              <w:rPr>
                <w:sz w:val="10"/>
                <w:szCs w:val="10"/>
              </w:rPr>
            </w:pPr>
          </w:p>
        </w:tc>
        <w:tc>
          <w:tcPr>
            <w:tcW w:w="2491" w:type="dxa"/>
            <w:tcBorders>
              <w:bottom w:val="single" w:sz="4" w:space="0" w:color="auto"/>
            </w:tcBorders>
            <w:shd w:val="clear" w:color="auto" w:fill="FFFFFF"/>
          </w:tcPr>
          <w:p w14:paraId="7AEC4F2C" w14:textId="77777777" w:rsidR="00924992" w:rsidRDefault="00924992">
            <w:pPr>
              <w:framePr w:w="10286" w:h="4469" w:vSpace="1022" w:wrap="none" w:hAnchor="page" w:x="635" w:y="356"/>
              <w:rPr>
                <w:sz w:val="10"/>
                <w:szCs w:val="10"/>
              </w:rPr>
            </w:pPr>
          </w:p>
        </w:tc>
        <w:tc>
          <w:tcPr>
            <w:tcW w:w="1330" w:type="dxa"/>
            <w:tcBorders>
              <w:bottom w:val="single" w:sz="4" w:space="0" w:color="auto"/>
            </w:tcBorders>
            <w:shd w:val="clear" w:color="auto" w:fill="FFFFFF"/>
          </w:tcPr>
          <w:p w14:paraId="56A650E1" w14:textId="77777777" w:rsidR="00924992" w:rsidRDefault="00924992">
            <w:pPr>
              <w:pStyle w:val="Other0"/>
              <w:framePr w:w="10286" w:h="4469" w:vSpace="1022" w:wrap="none" w:hAnchor="page" w:x="635" w:y="356"/>
              <w:spacing w:line="240" w:lineRule="auto"/>
              <w:ind w:firstLine="0"/>
              <w:rPr>
                <w:sz w:val="16"/>
                <w:szCs w:val="16"/>
              </w:rPr>
            </w:pPr>
            <w:r>
              <w:rPr>
                <w:rFonts w:ascii="Times New Roman" w:eastAsia="Times New Roman" w:hAnsi="Times New Roman" w:cs="Times New Roman"/>
                <w:color w:val="000000"/>
                <w:sz w:val="16"/>
                <w:szCs w:val="16"/>
              </w:rPr>
              <w:t>A</w:t>
            </w:r>
          </w:p>
        </w:tc>
        <w:tc>
          <w:tcPr>
            <w:tcW w:w="1162" w:type="dxa"/>
            <w:tcBorders>
              <w:bottom w:val="single" w:sz="4" w:space="0" w:color="auto"/>
            </w:tcBorders>
            <w:shd w:val="clear" w:color="auto" w:fill="FFFFFF"/>
          </w:tcPr>
          <w:p w14:paraId="4579B85B" w14:textId="77777777" w:rsidR="00924992" w:rsidRDefault="00924992">
            <w:pPr>
              <w:pStyle w:val="Other0"/>
              <w:framePr w:w="10286" w:h="4469" w:vSpace="1022" w:wrap="none" w:hAnchor="page" w:x="635" w:y="356"/>
              <w:spacing w:line="240" w:lineRule="auto"/>
              <w:ind w:firstLine="160"/>
              <w:rPr>
                <w:sz w:val="16"/>
                <w:szCs w:val="16"/>
              </w:rPr>
            </w:pPr>
            <w:r>
              <w:rPr>
                <w:rFonts w:ascii="Times New Roman" w:eastAsia="Times New Roman" w:hAnsi="Times New Roman" w:cs="Times New Roman"/>
                <w:color w:val="000000"/>
                <w:sz w:val="16"/>
                <w:szCs w:val="16"/>
              </w:rPr>
              <w:t>P</w:t>
            </w:r>
          </w:p>
        </w:tc>
        <w:tc>
          <w:tcPr>
            <w:tcW w:w="1075" w:type="dxa"/>
            <w:tcBorders>
              <w:bottom w:val="single" w:sz="4" w:space="0" w:color="auto"/>
            </w:tcBorders>
            <w:shd w:val="clear" w:color="auto" w:fill="FFFFFF"/>
          </w:tcPr>
          <w:p w14:paraId="69A2551F" w14:textId="77777777" w:rsidR="00924992" w:rsidRDefault="00924992">
            <w:pPr>
              <w:framePr w:w="10286" w:h="4469" w:vSpace="1022" w:wrap="none" w:hAnchor="page" w:x="635" w:y="356"/>
              <w:rPr>
                <w:sz w:val="10"/>
                <w:szCs w:val="10"/>
              </w:rPr>
            </w:pPr>
          </w:p>
        </w:tc>
        <w:tc>
          <w:tcPr>
            <w:tcW w:w="1248" w:type="dxa"/>
            <w:tcBorders>
              <w:bottom w:val="single" w:sz="4" w:space="0" w:color="auto"/>
            </w:tcBorders>
            <w:shd w:val="clear" w:color="auto" w:fill="FFFFFF"/>
          </w:tcPr>
          <w:p w14:paraId="13A86CD7" w14:textId="77777777" w:rsidR="00924992" w:rsidRDefault="00924992">
            <w:pPr>
              <w:pStyle w:val="Other0"/>
              <w:framePr w:w="10286" w:h="4469" w:vSpace="1022" w:wrap="none" w:hAnchor="page" w:x="635" w:y="356"/>
              <w:spacing w:line="240" w:lineRule="auto"/>
              <w:ind w:firstLine="0"/>
              <w:rPr>
                <w:sz w:val="16"/>
                <w:szCs w:val="16"/>
              </w:rPr>
            </w:pPr>
            <w:r>
              <w:rPr>
                <w:rFonts w:ascii="Times New Roman" w:eastAsia="Times New Roman" w:hAnsi="Times New Roman" w:cs="Times New Roman"/>
                <w:color w:val="000000"/>
                <w:sz w:val="16"/>
                <w:szCs w:val="16"/>
              </w:rPr>
              <w:t>A</w:t>
            </w:r>
          </w:p>
        </w:tc>
      </w:tr>
    </w:tbl>
    <w:p w14:paraId="042384B4" w14:textId="77777777" w:rsidR="00924992" w:rsidRDefault="00924992">
      <w:pPr>
        <w:framePr w:w="10286" w:h="4469" w:vSpace="1022" w:wrap="none" w:hAnchor="page" w:x="635" w:y="356"/>
        <w:spacing w:line="1" w:lineRule="exact"/>
      </w:pPr>
    </w:p>
    <w:p w14:paraId="61A6AE94" w14:textId="77777777" w:rsidR="00924992" w:rsidRDefault="00924992">
      <w:pPr>
        <w:pStyle w:val="Tablecaption0"/>
        <w:framePr w:w="10181" w:h="926" w:wrap="none" w:hAnchor="page" w:x="678" w:y="4921"/>
        <w:numPr>
          <w:ilvl w:val="0"/>
          <w:numId w:val="126"/>
        </w:numPr>
        <w:tabs>
          <w:tab w:val="left" w:pos="163"/>
        </w:tabs>
        <w:spacing w:line="240" w:lineRule="auto"/>
        <w:ind w:left="180" w:hanging="180"/>
      </w:pPr>
      <w:r>
        <w:rPr>
          <w:color w:val="000000"/>
        </w:rPr>
        <w:t>P, tratamiento preferido en casi todos los pacientes (entre paréntesis está el fármaco que algunos expertos consideran el tratamiento preferido); A, no se ha definido suficientemente su eficacia o es un fármaco alternativo; M, usar en casos leves o moderadamente graves; S, se recomienda la combinación si la infección es grave (severa) o hay ataque del sistema nervioso central.</w:t>
      </w:r>
    </w:p>
    <w:p w14:paraId="52843EA7" w14:textId="77777777" w:rsidR="00924992" w:rsidRDefault="00924992">
      <w:pPr>
        <w:pStyle w:val="Tablecaption0"/>
        <w:framePr w:w="10181" w:h="926" w:wrap="none" w:hAnchor="page" w:x="678" w:y="4921"/>
        <w:numPr>
          <w:ilvl w:val="0"/>
          <w:numId w:val="126"/>
        </w:numPr>
        <w:tabs>
          <w:tab w:val="left" w:pos="168"/>
        </w:tabs>
        <w:spacing w:line="240" w:lineRule="auto"/>
        <w:ind w:left="0"/>
        <w:rPr>
          <w:sz w:val="8"/>
          <w:szCs w:val="8"/>
        </w:rPr>
      </w:pPr>
      <w:r>
        <w:rPr>
          <w:color w:val="000000"/>
        </w:rPr>
        <w:t>No se ha definido su eficacia y su inocuidad en niños.</w:t>
      </w:r>
      <w:r>
        <w:rPr>
          <w:color w:val="000000"/>
          <w:sz w:val="8"/>
          <w:szCs w:val="8"/>
          <w:vertAlign w:val="superscript"/>
        </w:rPr>
        <w:t>3</w:t>
      </w:r>
    </w:p>
    <w:p w14:paraId="3664732C" w14:textId="77777777" w:rsidR="00924992" w:rsidRDefault="00924992">
      <w:pPr>
        <w:pStyle w:val="Tablecaption0"/>
        <w:framePr w:w="10181" w:h="926" w:wrap="none" w:hAnchor="page" w:x="678" w:y="4921"/>
        <w:numPr>
          <w:ilvl w:val="0"/>
          <w:numId w:val="126"/>
        </w:numPr>
        <w:tabs>
          <w:tab w:val="left" w:pos="168"/>
        </w:tabs>
        <w:spacing w:line="240" w:lineRule="auto"/>
        <w:ind w:left="0"/>
      </w:pPr>
      <w:r>
        <w:rPr>
          <w:color w:val="000000"/>
        </w:rPr>
        <w:t>Por lo común en combinación con itraconazol o una sulfonamida.</w:t>
      </w:r>
    </w:p>
    <w:p w14:paraId="46A3250B" w14:textId="77777777" w:rsidR="00924992" w:rsidRDefault="00924992">
      <w:pPr>
        <w:pStyle w:val="Bodytext80"/>
        <w:framePr w:w="192" w:h="6120" w:hRule="exact" w:wrap="none" w:hAnchor="page" w:x="12390" w:y="30"/>
        <w:textDirection w:val="tbRl"/>
      </w:pPr>
      <w:r>
        <w:rPr>
          <w:sz w:val="16"/>
          <w:szCs w:val="16"/>
        </w:rPr>
        <w:t xml:space="preserve">762 </w:t>
      </w:r>
      <w:r>
        <w:t>FÁRMACOS CONTRA MICOSIS INVASORAS Y OTRAS DE GRAVEDAD EN NIÑOS</w:t>
      </w:r>
    </w:p>
    <w:p w14:paraId="7BD0EA76" w14:textId="77777777" w:rsidR="00924992" w:rsidRDefault="00924992">
      <w:pPr>
        <w:spacing w:line="360" w:lineRule="exact"/>
      </w:pPr>
    </w:p>
    <w:p w14:paraId="18BFBE69" w14:textId="77777777" w:rsidR="00924992" w:rsidRDefault="00924992">
      <w:pPr>
        <w:spacing w:line="360" w:lineRule="exact"/>
      </w:pPr>
    </w:p>
    <w:p w14:paraId="0EF87A45" w14:textId="77777777" w:rsidR="00924992" w:rsidRDefault="00924992">
      <w:pPr>
        <w:spacing w:line="360" w:lineRule="exact"/>
      </w:pPr>
    </w:p>
    <w:p w14:paraId="6D775E6A" w14:textId="77777777" w:rsidR="00924992" w:rsidRDefault="00924992">
      <w:pPr>
        <w:spacing w:line="360" w:lineRule="exact"/>
      </w:pPr>
    </w:p>
    <w:p w14:paraId="176DEEF0" w14:textId="77777777" w:rsidR="00924992" w:rsidRDefault="00924992">
      <w:pPr>
        <w:spacing w:line="360" w:lineRule="exact"/>
      </w:pPr>
    </w:p>
    <w:p w14:paraId="6F742C59" w14:textId="77777777" w:rsidR="00924992" w:rsidRDefault="00924992">
      <w:pPr>
        <w:spacing w:line="360" w:lineRule="exact"/>
      </w:pPr>
    </w:p>
    <w:p w14:paraId="56D65741" w14:textId="77777777" w:rsidR="00924992" w:rsidRDefault="00924992">
      <w:pPr>
        <w:spacing w:line="360" w:lineRule="exact"/>
      </w:pPr>
    </w:p>
    <w:p w14:paraId="77DE3B71" w14:textId="77777777" w:rsidR="00924992" w:rsidRDefault="00924992">
      <w:pPr>
        <w:spacing w:line="360" w:lineRule="exact"/>
      </w:pPr>
    </w:p>
    <w:p w14:paraId="239B4E4C" w14:textId="77777777" w:rsidR="00924992" w:rsidRDefault="00924992">
      <w:pPr>
        <w:spacing w:line="360" w:lineRule="exact"/>
      </w:pPr>
    </w:p>
    <w:p w14:paraId="181770FC" w14:textId="77777777" w:rsidR="00924992" w:rsidRDefault="00924992">
      <w:pPr>
        <w:spacing w:line="360" w:lineRule="exact"/>
      </w:pPr>
    </w:p>
    <w:p w14:paraId="56562FF0" w14:textId="77777777" w:rsidR="00924992" w:rsidRDefault="00924992">
      <w:pPr>
        <w:spacing w:line="360" w:lineRule="exact"/>
      </w:pPr>
    </w:p>
    <w:p w14:paraId="4379F376" w14:textId="77777777" w:rsidR="00924992" w:rsidRDefault="00924992">
      <w:pPr>
        <w:spacing w:line="360" w:lineRule="exact"/>
      </w:pPr>
    </w:p>
    <w:p w14:paraId="387DD793" w14:textId="77777777" w:rsidR="00924992" w:rsidRDefault="00924992">
      <w:pPr>
        <w:spacing w:line="360" w:lineRule="exact"/>
      </w:pPr>
    </w:p>
    <w:p w14:paraId="4EC3F6D9" w14:textId="77777777" w:rsidR="00924992" w:rsidRDefault="00924992">
      <w:pPr>
        <w:spacing w:line="360" w:lineRule="exact"/>
      </w:pPr>
    </w:p>
    <w:p w14:paraId="4EE1B182" w14:textId="77777777" w:rsidR="00924992" w:rsidRDefault="00924992">
      <w:pPr>
        <w:spacing w:line="360" w:lineRule="exact"/>
      </w:pPr>
    </w:p>
    <w:p w14:paraId="4363976D" w14:textId="77777777" w:rsidR="00924992" w:rsidRDefault="00924992">
      <w:pPr>
        <w:spacing w:line="360" w:lineRule="exact"/>
      </w:pPr>
    </w:p>
    <w:p w14:paraId="5EB50A36" w14:textId="77777777" w:rsidR="00924992" w:rsidRDefault="00924992">
      <w:pPr>
        <w:spacing w:after="388" w:line="1" w:lineRule="exact"/>
      </w:pPr>
    </w:p>
    <w:p w14:paraId="62559CBF" w14:textId="77777777" w:rsidR="00924992" w:rsidRDefault="00924992">
      <w:pPr>
        <w:spacing w:line="1" w:lineRule="exact"/>
        <w:sectPr w:rsidR="00924992" w:rsidSect="00924992">
          <w:pgSz w:w="13022" w:h="8501" w:orient="landscape"/>
          <w:pgMar w:top="475" w:right="442" w:bottom="475" w:left="634" w:header="47" w:footer="3" w:gutter="0"/>
          <w:cols w:space="720"/>
          <w:noEndnote/>
          <w:docGrid w:linePitch="360"/>
          <w15:footnoteColumns w:val="1"/>
        </w:sectPr>
      </w:pPr>
    </w:p>
    <w:p w14:paraId="096B3125" w14:textId="77777777" w:rsidR="00924992" w:rsidRDefault="00924992">
      <w:pPr>
        <w:pStyle w:val="Heading31"/>
        <w:keepNext/>
        <w:keepLines/>
        <w:framePr w:w="5333" w:h="317" w:wrap="none" w:hAnchor="page" w:x="3121" w:y="1"/>
      </w:pPr>
      <w:bookmarkStart w:id="385" w:name="bookmark1831"/>
      <w:bookmarkStart w:id="386" w:name="bookmark1832"/>
      <w:bookmarkStart w:id="387" w:name="bookmark1833"/>
      <w:r>
        <w:rPr>
          <w:b w:val="0"/>
          <w:bCs w:val="0"/>
          <w:color w:val="000000"/>
        </w:rPr>
        <w:t xml:space="preserve">Cuadro 4-7. </w:t>
      </w:r>
      <w:r>
        <w:rPr>
          <w:color w:val="000000"/>
        </w:rPr>
        <w:t>Productos tópicos contra micosis superficiales</w:t>
      </w:r>
      <w:bookmarkEnd w:id="385"/>
      <w:bookmarkEnd w:id="386"/>
      <w:bookmarkEnd w:id="387"/>
    </w:p>
    <w:tbl>
      <w:tblPr>
        <w:tblOverlap w:val="never"/>
        <w:tblW w:w="0" w:type="auto"/>
        <w:tblLayout w:type="fixed"/>
        <w:tblCellMar>
          <w:left w:w="10" w:type="dxa"/>
          <w:right w:w="10" w:type="dxa"/>
        </w:tblCellMar>
        <w:tblLook w:val="04A0" w:firstRow="1" w:lastRow="0" w:firstColumn="1" w:lastColumn="0" w:noHBand="0" w:noVBand="1"/>
      </w:tblPr>
      <w:tblGrid>
        <w:gridCol w:w="1656"/>
        <w:gridCol w:w="1003"/>
        <w:gridCol w:w="1373"/>
        <w:gridCol w:w="1728"/>
        <w:gridCol w:w="1282"/>
        <w:gridCol w:w="3245"/>
      </w:tblGrid>
      <w:tr w:rsidR="00924992" w14:paraId="35F387F0" w14:textId="77777777">
        <w:tblPrEx>
          <w:tblCellMar>
            <w:top w:w="0" w:type="dxa"/>
            <w:bottom w:w="0" w:type="dxa"/>
          </w:tblCellMar>
        </w:tblPrEx>
        <w:trPr>
          <w:trHeight w:hRule="exact" w:val="557"/>
        </w:trPr>
        <w:tc>
          <w:tcPr>
            <w:tcW w:w="1656" w:type="dxa"/>
            <w:shd w:val="clear" w:color="auto" w:fill="000000"/>
          </w:tcPr>
          <w:p w14:paraId="7048FF2D" w14:textId="77777777" w:rsidR="00924992" w:rsidRDefault="00924992">
            <w:pPr>
              <w:pStyle w:val="Other0"/>
              <w:framePr w:w="10286" w:h="6494" w:hSpace="14" w:vSpace="302" w:wrap="none" w:hAnchor="page" w:x="635" w:y="356"/>
              <w:pBdr>
                <w:top w:val="single" w:sz="0" w:space="0" w:color="000000"/>
                <w:left w:val="single" w:sz="0" w:space="0" w:color="000000"/>
                <w:bottom w:val="single" w:sz="0" w:space="0" w:color="000000"/>
                <w:right w:val="single" w:sz="0" w:space="0" w:color="000000"/>
              </w:pBdr>
              <w:shd w:val="clear" w:color="auto" w:fill="000000"/>
              <w:spacing w:line="240" w:lineRule="auto"/>
              <w:ind w:firstLine="0"/>
              <w:rPr>
                <w:sz w:val="24"/>
                <w:szCs w:val="24"/>
              </w:rPr>
            </w:pPr>
            <w:r>
              <w:rPr>
                <w:rFonts w:ascii="Arial" w:eastAsia="Arial" w:hAnsi="Arial" w:cs="Arial"/>
                <w:b/>
                <w:bCs/>
                <w:color w:val="FFFFFF"/>
                <w:w w:val="70"/>
                <w:sz w:val="24"/>
                <w:szCs w:val="24"/>
              </w:rPr>
              <w:t>Fármaco</w:t>
            </w:r>
          </w:p>
        </w:tc>
        <w:tc>
          <w:tcPr>
            <w:tcW w:w="1003" w:type="dxa"/>
            <w:shd w:val="clear" w:color="auto" w:fill="000000"/>
          </w:tcPr>
          <w:p w14:paraId="3B725E07" w14:textId="77777777" w:rsidR="00924992" w:rsidRDefault="00924992">
            <w:pPr>
              <w:pStyle w:val="Other0"/>
              <w:framePr w:w="10286" w:h="6494" w:hSpace="14" w:vSpace="302" w:wrap="none" w:hAnchor="page" w:x="635" w:y="356"/>
              <w:pBdr>
                <w:top w:val="single" w:sz="0" w:space="0" w:color="000000"/>
                <w:left w:val="single" w:sz="0" w:space="0" w:color="000000"/>
                <w:bottom w:val="single" w:sz="0" w:space="0" w:color="000000"/>
                <w:right w:val="single" w:sz="0" w:space="0" w:color="000000"/>
              </w:pBdr>
              <w:shd w:val="clear" w:color="auto" w:fill="000000"/>
              <w:spacing w:line="240" w:lineRule="auto"/>
              <w:ind w:firstLine="0"/>
              <w:rPr>
                <w:sz w:val="24"/>
                <w:szCs w:val="24"/>
              </w:rPr>
            </w:pPr>
            <w:r>
              <w:rPr>
                <w:rFonts w:ascii="Arial" w:eastAsia="Arial" w:hAnsi="Arial" w:cs="Arial"/>
                <w:b/>
                <w:bCs/>
                <w:color w:val="FFFFFF"/>
                <w:w w:val="70"/>
                <w:sz w:val="24"/>
                <w:szCs w:val="24"/>
              </w:rPr>
              <w:t>Potencia</w:t>
            </w:r>
          </w:p>
        </w:tc>
        <w:tc>
          <w:tcPr>
            <w:tcW w:w="1373" w:type="dxa"/>
            <w:shd w:val="clear" w:color="auto" w:fill="000000"/>
          </w:tcPr>
          <w:p w14:paraId="2D8E15F9" w14:textId="77777777" w:rsidR="00924992" w:rsidRDefault="00924992">
            <w:pPr>
              <w:pStyle w:val="Other0"/>
              <w:framePr w:w="10286" w:h="6494" w:hSpace="14" w:vSpace="302" w:wrap="none" w:hAnchor="page" w:x="635" w:y="356"/>
              <w:pBdr>
                <w:top w:val="single" w:sz="0" w:space="0" w:color="000000"/>
                <w:left w:val="single" w:sz="0" w:space="0" w:color="000000"/>
                <w:bottom w:val="single" w:sz="0" w:space="0" w:color="000000"/>
                <w:right w:val="single" w:sz="0" w:space="0" w:color="000000"/>
              </w:pBdr>
              <w:shd w:val="clear" w:color="auto" w:fill="000000"/>
              <w:spacing w:line="240" w:lineRule="auto"/>
              <w:ind w:firstLine="220"/>
              <w:rPr>
                <w:sz w:val="24"/>
                <w:szCs w:val="24"/>
              </w:rPr>
            </w:pPr>
            <w:r>
              <w:rPr>
                <w:rFonts w:ascii="Arial" w:eastAsia="Arial" w:hAnsi="Arial" w:cs="Arial"/>
                <w:b/>
                <w:bCs/>
                <w:color w:val="FFFFFF"/>
                <w:w w:val="70"/>
                <w:sz w:val="24"/>
                <w:szCs w:val="24"/>
              </w:rPr>
              <w:t>Presentación</w:t>
            </w:r>
          </w:p>
        </w:tc>
        <w:tc>
          <w:tcPr>
            <w:tcW w:w="1728" w:type="dxa"/>
            <w:shd w:val="clear" w:color="auto" w:fill="000000"/>
          </w:tcPr>
          <w:p w14:paraId="3EEDCCB8" w14:textId="77777777" w:rsidR="00924992" w:rsidRDefault="00924992">
            <w:pPr>
              <w:pStyle w:val="Other0"/>
              <w:framePr w:w="10286" w:h="6494" w:hSpace="14" w:vSpace="302" w:wrap="none" w:hAnchor="page" w:x="635" w:y="356"/>
              <w:pBdr>
                <w:top w:val="single" w:sz="0" w:space="0" w:color="000000"/>
                <w:left w:val="single" w:sz="0" w:space="0" w:color="000000"/>
                <w:bottom w:val="single" w:sz="0" w:space="0" w:color="000000"/>
                <w:right w:val="single" w:sz="0" w:space="0" w:color="000000"/>
              </w:pBdr>
              <w:shd w:val="clear" w:color="auto" w:fill="000000"/>
              <w:spacing w:line="209" w:lineRule="auto"/>
              <w:ind w:firstLine="0"/>
              <w:rPr>
                <w:sz w:val="24"/>
                <w:szCs w:val="24"/>
              </w:rPr>
            </w:pPr>
            <w:r>
              <w:rPr>
                <w:rFonts w:ascii="Arial" w:eastAsia="Arial" w:hAnsi="Arial" w:cs="Arial"/>
                <w:b/>
                <w:bCs/>
                <w:color w:val="FFFFFF"/>
                <w:w w:val="70"/>
                <w:sz w:val="24"/>
                <w:szCs w:val="24"/>
              </w:rPr>
              <w:t>Nombre comercial (ejemplos)</w:t>
            </w:r>
          </w:p>
        </w:tc>
        <w:tc>
          <w:tcPr>
            <w:tcW w:w="1282" w:type="dxa"/>
            <w:shd w:val="clear" w:color="auto" w:fill="000000"/>
          </w:tcPr>
          <w:p w14:paraId="43D391D3" w14:textId="77777777" w:rsidR="00924992" w:rsidRDefault="00924992">
            <w:pPr>
              <w:pStyle w:val="Other0"/>
              <w:framePr w:w="10286" w:h="6494" w:hSpace="14" w:vSpace="302" w:wrap="none" w:hAnchor="page" w:x="635" w:y="356"/>
              <w:pBdr>
                <w:top w:val="single" w:sz="0" w:space="0" w:color="000000"/>
                <w:left w:val="single" w:sz="0" w:space="0" w:color="000000"/>
                <w:bottom w:val="single" w:sz="0" w:space="0" w:color="000000"/>
                <w:right w:val="single" w:sz="0" w:space="0" w:color="000000"/>
              </w:pBdr>
              <w:shd w:val="clear" w:color="auto" w:fill="000000"/>
              <w:spacing w:line="214" w:lineRule="auto"/>
              <w:ind w:firstLine="0"/>
              <w:rPr>
                <w:sz w:val="24"/>
                <w:szCs w:val="24"/>
              </w:rPr>
            </w:pPr>
            <w:r>
              <w:rPr>
                <w:rFonts w:ascii="Arial" w:eastAsia="Arial" w:hAnsi="Arial" w:cs="Arial"/>
                <w:b/>
                <w:bCs/>
                <w:color w:val="FFFFFF"/>
                <w:w w:val="70"/>
                <w:sz w:val="24"/>
                <w:szCs w:val="24"/>
              </w:rPr>
              <w:t>Aplicaciones al día</w:t>
            </w:r>
          </w:p>
        </w:tc>
        <w:tc>
          <w:tcPr>
            <w:tcW w:w="3245" w:type="dxa"/>
            <w:shd w:val="clear" w:color="auto" w:fill="000000"/>
          </w:tcPr>
          <w:p w14:paraId="268E2378" w14:textId="77777777" w:rsidR="00924992" w:rsidRDefault="00924992">
            <w:pPr>
              <w:pStyle w:val="Other0"/>
              <w:framePr w:w="10286" w:h="6494" w:hSpace="14" w:vSpace="302" w:wrap="none" w:hAnchor="page" w:x="635" w:y="356"/>
              <w:pBdr>
                <w:top w:val="single" w:sz="0" w:space="0" w:color="000000"/>
                <w:left w:val="single" w:sz="0" w:space="0" w:color="000000"/>
                <w:bottom w:val="single" w:sz="0" w:space="0" w:color="000000"/>
                <w:right w:val="single" w:sz="0" w:space="0" w:color="000000"/>
              </w:pBdr>
              <w:shd w:val="clear" w:color="auto" w:fill="000000"/>
              <w:spacing w:line="209" w:lineRule="auto"/>
              <w:ind w:firstLine="0"/>
              <w:rPr>
                <w:sz w:val="24"/>
                <w:szCs w:val="24"/>
              </w:rPr>
            </w:pPr>
            <w:r>
              <w:rPr>
                <w:rFonts w:ascii="Arial" w:eastAsia="Arial" w:hAnsi="Arial" w:cs="Arial"/>
                <w:b/>
                <w:bCs/>
                <w:color w:val="FFFFFF"/>
                <w:w w:val="70"/>
                <w:sz w:val="24"/>
                <w:szCs w:val="24"/>
              </w:rPr>
              <w:t>Reacciones adversas/ comentarios</w:t>
            </w:r>
          </w:p>
        </w:tc>
      </w:tr>
      <w:tr w:rsidR="00924992" w14:paraId="56146C20" w14:textId="77777777">
        <w:tblPrEx>
          <w:tblCellMar>
            <w:top w:w="0" w:type="dxa"/>
            <w:bottom w:w="0" w:type="dxa"/>
          </w:tblCellMar>
        </w:tblPrEx>
        <w:trPr>
          <w:trHeight w:hRule="exact" w:val="298"/>
        </w:trPr>
        <w:tc>
          <w:tcPr>
            <w:tcW w:w="1656" w:type="dxa"/>
            <w:shd w:val="clear" w:color="auto" w:fill="FFFFFF"/>
            <w:vAlign w:val="bottom"/>
          </w:tcPr>
          <w:p w14:paraId="5AB2D7C1" w14:textId="77777777" w:rsidR="00924992" w:rsidRDefault="00924992">
            <w:pPr>
              <w:pStyle w:val="Other0"/>
              <w:framePr w:w="10286" w:h="6494" w:hSpace="14" w:vSpace="302" w:wrap="none" w:hAnchor="page" w:x="635" w:y="356"/>
              <w:spacing w:line="240" w:lineRule="auto"/>
              <w:ind w:firstLine="0"/>
              <w:rPr>
                <w:sz w:val="16"/>
                <w:szCs w:val="16"/>
              </w:rPr>
            </w:pPr>
            <w:r>
              <w:rPr>
                <w:rFonts w:ascii="Times New Roman" w:eastAsia="Times New Roman" w:hAnsi="Times New Roman" w:cs="Times New Roman"/>
                <w:color w:val="000000"/>
                <w:sz w:val="16"/>
                <w:szCs w:val="16"/>
              </w:rPr>
              <w:t>Anfotericina B (Rx)</w:t>
            </w:r>
          </w:p>
        </w:tc>
        <w:tc>
          <w:tcPr>
            <w:tcW w:w="1003" w:type="dxa"/>
            <w:shd w:val="clear" w:color="auto" w:fill="FFFFFF"/>
            <w:vAlign w:val="bottom"/>
          </w:tcPr>
          <w:p w14:paraId="1A0BF197" w14:textId="77777777" w:rsidR="00924992" w:rsidRDefault="00924992">
            <w:pPr>
              <w:pStyle w:val="Other0"/>
              <w:framePr w:w="10286" w:h="6494" w:hSpace="14" w:vSpace="302" w:wrap="none" w:hAnchor="page" w:x="635" w:y="356"/>
              <w:spacing w:line="240" w:lineRule="auto"/>
              <w:ind w:firstLine="0"/>
              <w:rPr>
                <w:sz w:val="16"/>
                <w:szCs w:val="16"/>
              </w:rPr>
            </w:pPr>
            <w:r>
              <w:rPr>
                <w:rFonts w:ascii="Times New Roman" w:eastAsia="Times New Roman" w:hAnsi="Times New Roman" w:cs="Times New Roman"/>
                <w:color w:val="000000"/>
                <w:sz w:val="16"/>
                <w:szCs w:val="16"/>
              </w:rPr>
              <w:t>3%</w:t>
            </w:r>
          </w:p>
        </w:tc>
        <w:tc>
          <w:tcPr>
            <w:tcW w:w="1373" w:type="dxa"/>
            <w:shd w:val="clear" w:color="auto" w:fill="FFFFFF"/>
            <w:vAlign w:val="bottom"/>
          </w:tcPr>
          <w:p w14:paraId="573FE59A" w14:textId="77777777" w:rsidR="00924992" w:rsidRDefault="00924992">
            <w:pPr>
              <w:pStyle w:val="Other0"/>
              <w:framePr w:w="10286" w:h="6494" w:hSpace="14" w:vSpace="302" w:wrap="none" w:hAnchor="page" w:x="635" w:y="356"/>
              <w:spacing w:line="240" w:lineRule="auto"/>
              <w:ind w:firstLine="220"/>
              <w:rPr>
                <w:sz w:val="16"/>
                <w:szCs w:val="16"/>
              </w:rPr>
            </w:pPr>
            <w:r>
              <w:rPr>
                <w:rFonts w:ascii="Times New Roman" w:eastAsia="Times New Roman" w:hAnsi="Times New Roman" w:cs="Times New Roman"/>
                <w:color w:val="000000"/>
                <w:sz w:val="16"/>
                <w:szCs w:val="16"/>
              </w:rPr>
              <w:t>C, L, O</w:t>
            </w:r>
          </w:p>
        </w:tc>
        <w:tc>
          <w:tcPr>
            <w:tcW w:w="1728" w:type="dxa"/>
            <w:shd w:val="clear" w:color="auto" w:fill="FFFFFF"/>
            <w:vAlign w:val="bottom"/>
          </w:tcPr>
          <w:p w14:paraId="4958242E" w14:textId="77777777" w:rsidR="00924992" w:rsidRDefault="00924992">
            <w:pPr>
              <w:pStyle w:val="Other0"/>
              <w:framePr w:w="10286" w:h="6494" w:hSpace="14" w:vSpace="302" w:wrap="none" w:hAnchor="page" w:x="635" w:y="356"/>
              <w:spacing w:line="240" w:lineRule="auto"/>
              <w:ind w:firstLine="0"/>
              <w:rPr>
                <w:sz w:val="16"/>
                <w:szCs w:val="16"/>
              </w:rPr>
            </w:pPr>
            <w:r>
              <w:rPr>
                <w:rFonts w:ascii="Times New Roman" w:eastAsia="Times New Roman" w:hAnsi="Times New Roman" w:cs="Times New Roman"/>
                <w:color w:val="000000"/>
                <w:sz w:val="16"/>
                <w:szCs w:val="16"/>
              </w:rPr>
              <w:t>Fungizona</w:t>
            </w:r>
          </w:p>
        </w:tc>
        <w:tc>
          <w:tcPr>
            <w:tcW w:w="1282" w:type="dxa"/>
            <w:shd w:val="clear" w:color="auto" w:fill="FFFFFF"/>
            <w:vAlign w:val="bottom"/>
          </w:tcPr>
          <w:p w14:paraId="5570CD61" w14:textId="77777777" w:rsidR="00924992" w:rsidRDefault="00924992">
            <w:pPr>
              <w:pStyle w:val="Other0"/>
              <w:framePr w:w="10286" w:h="6494" w:hSpace="14" w:vSpace="302" w:wrap="none" w:hAnchor="page" w:x="635" w:y="356"/>
              <w:spacing w:line="240" w:lineRule="auto"/>
              <w:ind w:firstLine="0"/>
              <w:rPr>
                <w:sz w:val="16"/>
                <w:szCs w:val="16"/>
              </w:rPr>
            </w:pPr>
            <w:r>
              <w:rPr>
                <w:rFonts w:ascii="Times New Roman" w:eastAsia="Times New Roman" w:hAnsi="Times New Roman" w:cs="Times New Roman"/>
                <w:color w:val="000000"/>
                <w:sz w:val="16"/>
                <w:szCs w:val="16"/>
              </w:rPr>
              <w:t>2-4</w:t>
            </w:r>
          </w:p>
        </w:tc>
        <w:tc>
          <w:tcPr>
            <w:tcW w:w="3245" w:type="dxa"/>
            <w:shd w:val="clear" w:color="auto" w:fill="FFFFFF"/>
            <w:vAlign w:val="bottom"/>
          </w:tcPr>
          <w:p w14:paraId="6383E5D1" w14:textId="77777777" w:rsidR="00924992" w:rsidRDefault="00924992">
            <w:pPr>
              <w:pStyle w:val="Other0"/>
              <w:framePr w:w="10286" w:h="6494" w:hSpace="14" w:vSpace="302" w:wrap="none" w:hAnchor="page" w:x="635" w:y="356"/>
              <w:spacing w:line="240" w:lineRule="auto"/>
              <w:ind w:firstLine="0"/>
              <w:rPr>
                <w:sz w:val="16"/>
                <w:szCs w:val="16"/>
              </w:rPr>
            </w:pPr>
            <w:r>
              <w:rPr>
                <w:rFonts w:ascii="Times New Roman" w:eastAsia="Times New Roman" w:hAnsi="Times New Roman" w:cs="Times New Roman"/>
                <w:color w:val="000000"/>
                <w:sz w:val="16"/>
                <w:szCs w:val="16"/>
              </w:rPr>
              <w:t>Manchas de la piel, ropas y uñas</w:t>
            </w:r>
          </w:p>
        </w:tc>
      </w:tr>
      <w:tr w:rsidR="00924992" w14:paraId="13C9BEB9" w14:textId="77777777">
        <w:tblPrEx>
          <w:tblCellMar>
            <w:top w:w="0" w:type="dxa"/>
            <w:bottom w:w="0" w:type="dxa"/>
          </w:tblCellMar>
        </w:tblPrEx>
        <w:trPr>
          <w:trHeight w:hRule="exact" w:val="1282"/>
        </w:trPr>
        <w:tc>
          <w:tcPr>
            <w:tcW w:w="1656" w:type="dxa"/>
            <w:shd w:val="clear" w:color="auto" w:fill="FFFFFF"/>
          </w:tcPr>
          <w:p w14:paraId="6884E25C" w14:textId="77777777" w:rsidR="00924992" w:rsidRDefault="00924992">
            <w:pPr>
              <w:pStyle w:val="Other0"/>
              <w:framePr w:w="10286" w:h="6494" w:hSpace="14" w:vSpace="302" w:wrap="none" w:hAnchor="page" w:x="635" w:y="356"/>
              <w:spacing w:line="283" w:lineRule="auto"/>
              <w:ind w:left="160" w:hanging="160"/>
              <w:rPr>
                <w:sz w:val="16"/>
                <w:szCs w:val="16"/>
              </w:rPr>
            </w:pPr>
            <w:r>
              <w:rPr>
                <w:rFonts w:ascii="Times New Roman" w:eastAsia="Times New Roman" w:hAnsi="Times New Roman" w:cs="Times New Roman"/>
                <w:color w:val="000000"/>
                <w:sz w:val="16"/>
                <w:szCs w:val="16"/>
              </w:rPr>
              <w:t>Básica, fucsina, fenol, resorcinol y acetona (Rx)</w:t>
            </w:r>
          </w:p>
        </w:tc>
        <w:tc>
          <w:tcPr>
            <w:tcW w:w="1003" w:type="dxa"/>
            <w:shd w:val="clear" w:color="auto" w:fill="FFFFFF"/>
          </w:tcPr>
          <w:p w14:paraId="4CECE25A" w14:textId="77777777" w:rsidR="00924992" w:rsidRDefault="00924992">
            <w:pPr>
              <w:framePr w:w="10286" w:h="6494" w:hSpace="14" w:vSpace="302" w:wrap="none" w:hAnchor="page" w:x="635" w:y="356"/>
              <w:rPr>
                <w:sz w:val="10"/>
                <w:szCs w:val="10"/>
              </w:rPr>
            </w:pPr>
          </w:p>
        </w:tc>
        <w:tc>
          <w:tcPr>
            <w:tcW w:w="1373" w:type="dxa"/>
            <w:shd w:val="clear" w:color="auto" w:fill="FFFFFF"/>
          </w:tcPr>
          <w:p w14:paraId="36B464FF" w14:textId="77777777" w:rsidR="00924992" w:rsidRDefault="00924992">
            <w:pPr>
              <w:pStyle w:val="Other0"/>
              <w:framePr w:w="10286" w:h="6494" w:hSpace="14" w:vSpace="302" w:wrap="none" w:hAnchor="page" w:x="635" w:y="356"/>
              <w:spacing w:line="240" w:lineRule="auto"/>
              <w:ind w:firstLine="220"/>
              <w:rPr>
                <w:sz w:val="16"/>
                <w:szCs w:val="16"/>
              </w:rPr>
            </w:pPr>
            <w:r>
              <w:rPr>
                <w:rFonts w:ascii="Times New Roman" w:eastAsia="Times New Roman" w:hAnsi="Times New Roman" w:cs="Times New Roman"/>
                <w:color w:val="000000"/>
                <w:sz w:val="16"/>
                <w:szCs w:val="16"/>
              </w:rPr>
              <w:t>S</w:t>
            </w:r>
          </w:p>
        </w:tc>
        <w:tc>
          <w:tcPr>
            <w:tcW w:w="1728" w:type="dxa"/>
            <w:shd w:val="clear" w:color="auto" w:fill="FFFFFF"/>
          </w:tcPr>
          <w:p w14:paraId="41935D5C" w14:textId="77777777" w:rsidR="00924992" w:rsidRDefault="00924992">
            <w:pPr>
              <w:pStyle w:val="Other0"/>
              <w:framePr w:w="10286" w:h="6494" w:hSpace="14" w:vSpace="302" w:wrap="none" w:hAnchor="page" w:x="635" w:y="356"/>
              <w:spacing w:line="283" w:lineRule="auto"/>
              <w:ind w:left="200" w:hanging="200"/>
              <w:rPr>
                <w:sz w:val="16"/>
                <w:szCs w:val="16"/>
              </w:rPr>
            </w:pPr>
            <w:r>
              <w:rPr>
                <w:rFonts w:ascii="Times New Roman" w:eastAsia="Times New Roman" w:hAnsi="Times New Roman" w:cs="Times New Roman"/>
                <w:color w:val="000000"/>
                <w:sz w:val="16"/>
                <w:szCs w:val="16"/>
              </w:rPr>
              <w:t>Pincelaciones de Castellani, modificadas</w:t>
            </w:r>
          </w:p>
        </w:tc>
        <w:tc>
          <w:tcPr>
            <w:tcW w:w="1282" w:type="dxa"/>
            <w:shd w:val="clear" w:color="auto" w:fill="FFFFFF"/>
          </w:tcPr>
          <w:p w14:paraId="4D715A47" w14:textId="77777777" w:rsidR="00924992" w:rsidRDefault="00924992">
            <w:pPr>
              <w:pStyle w:val="Other0"/>
              <w:framePr w:w="10286" w:h="6494" w:hSpace="14" w:vSpace="302" w:wrap="none" w:hAnchor="page" w:x="635" w:y="356"/>
              <w:spacing w:line="240" w:lineRule="auto"/>
              <w:ind w:firstLine="0"/>
              <w:rPr>
                <w:sz w:val="16"/>
                <w:szCs w:val="16"/>
              </w:rPr>
            </w:pPr>
            <w:r>
              <w:rPr>
                <w:rFonts w:ascii="Times New Roman" w:eastAsia="Times New Roman" w:hAnsi="Times New Roman" w:cs="Times New Roman"/>
                <w:color w:val="000000"/>
                <w:sz w:val="16"/>
                <w:szCs w:val="16"/>
              </w:rPr>
              <w:t>1</w:t>
            </w:r>
          </w:p>
        </w:tc>
        <w:tc>
          <w:tcPr>
            <w:tcW w:w="3245" w:type="dxa"/>
            <w:shd w:val="clear" w:color="auto" w:fill="FFFFFF"/>
            <w:vAlign w:val="bottom"/>
          </w:tcPr>
          <w:p w14:paraId="10A1370E" w14:textId="77777777" w:rsidR="00924992" w:rsidRDefault="00924992">
            <w:pPr>
              <w:pStyle w:val="Other0"/>
              <w:framePr w:w="10286" w:h="6494" w:hSpace="14" w:vSpace="302" w:wrap="none" w:hAnchor="page" w:x="635" w:y="356"/>
              <w:spacing w:line="283" w:lineRule="auto"/>
              <w:ind w:left="200" w:hanging="200"/>
              <w:rPr>
                <w:sz w:val="16"/>
                <w:szCs w:val="16"/>
              </w:rPr>
            </w:pPr>
            <w:r>
              <w:rPr>
                <w:rFonts w:ascii="Times New Roman" w:eastAsia="Times New Roman" w:hAnsi="Times New Roman" w:cs="Times New Roman"/>
                <w:color w:val="000000"/>
                <w:sz w:val="16"/>
                <w:szCs w:val="16"/>
              </w:rPr>
              <w:t>Excelente contra zonas intertriginosas en todos los grupos de edad. Mancha todo. También se le expende en la forma de solución incolora con alcohol y sin fucsina básica. A ella puede recurrirse si la persona no tolera otros antimicóticos tópicos.</w:t>
            </w:r>
          </w:p>
        </w:tc>
      </w:tr>
      <w:tr w:rsidR="00924992" w14:paraId="7CD9474A" w14:textId="77777777">
        <w:tblPrEx>
          <w:tblCellMar>
            <w:top w:w="0" w:type="dxa"/>
            <w:bottom w:w="0" w:type="dxa"/>
          </w:tblCellMar>
        </w:tblPrEx>
        <w:trPr>
          <w:trHeight w:hRule="exact" w:val="432"/>
        </w:trPr>
        <w:tc>
          <w:tcPr>
            <w:tcW w:w="1656" w:type="dxa"/>
            <w:shd w:val="clear" w:color="auto" w:fill="FFFFFF"/>
          </w:tcPr>
          <w:p w14:paraId="3DA6803F" w14:textId="77777777" w:rsidR="00924992" w:rsidRDefault="00924992">
            <w:pPr>
              <w:pStyle w:val="Other0"/>
              <w:framePr w:w="10286" w:h="6494" w:hSpace="14" w:vSpace="302" w:wrap="none" w:hAnchor="page" w:x="635" w:y="356"/>
              <w:spacing w:line="240" w:lineRule="auto"/>
              <w:ind w:firstLine="0"/>
              <w:rPr>
                <w:sz w:val="16"/>
                <w:szCs w:val="16"/>
              </w:rPr>
            </w:pPr>
            <w:r>
              <w:rPr>
                <w:rFonts w:ascii="Times New Roman" w:eastAsia="Times New Roman" w:hAnsi="Times New Roman" w:cs="Times New Roman"/>
                <w:color w:val="000000"/>
                <w:sz w:val="16"/>
                <w:szCs w:val="16"/>
              </w:rPr>
              <w:t>Butenafina (Rx)</w:t>
            </w:r>
          </w:p>
        </w:tc>
        <w:tc>
          <w:tcPr>
            <w:tcW w:w="1003" w:type="dxa"/>
            <w:shd w:val="clear" w:color="auto" w:fill="FFFFFF"/>
          </w:tcPr>
          <w:p w14:paraId="3792BDD7" w14:textId="77777777" w:rsidR="00924992" w:rsidRDefault="00924992">
            <w:pPr>
              <w:pStyle w:val="Other0"/>
              <w:framePr w:w="10286" w:h="6494" w:hSpace="14" w:vSpace="302" w:wrap="none" w:hAnchor="page" w:x="635" w:y="356"/>
              <w:spacing w:line="240" w:lineRule="auto"/>
              <w:ind w:firstLine="0"/>
              <w:rPr>
                <w:sz w:val="16"/>
                <w:szCs w:val="16"/>
              </w:rPr>
            </w:pPr>
            <w:r>
              <w:rPr>
                <w:rFonts w:ascii="Times New Roman" w:eastAsia="Times New Roman" w:hAnsi="Times New Roman" w:cs="Times New Roman"/>
                <w:color w:val="000000"/>
                <w:sz w:val="16"/>
                <w:szCs w:val="16"/>
              </w:rPr>
              <w:t>1%</w:t>
            </w:r>
          </w:p>
        </w:tc>
        <w:tc>
          <w:tcPr>
            <w:tcW w:w="1373" w:type="dxa"/>
            <w:shd w:val="clear" w:color="auto" w:fill="FFFFFF"/>
          </w:tcPr>
          <w:p w14:paraId="1389A97D" w14:textId="77777777" w:rsidR="00924992" w:rsidRDefault="00924992">
            <w:pPr>
              <w:pStyle w:val="Other0"/>
              <w:framePr w:w="10286" w:h="6494" w:hSpace="14" w:vSpace="302" w:wrap="none" w:hAnchor="page" w:x="635" w:y="356"/>
              <w:spacing w:line="240" w:lineRule="auto"/>
              <w:ind w:firstLine="220"/>
              <w:rPr>
                <w:sz w:val="16"/>
                <w:szCs w:val="16"/>
              </w:rPr>
            </w:pPr>
            <w:r>
              <w:rPr>
                <w:rFonts w:ascii="Times New Roman" w:eastAsia="Times New Roman" w:hAnsi="Times New Roman" w:cs="Times New Roman"/>
                <w:color w:val="000000"/>
                <w:sz w:val="16"/>
                <w:szCs w:val="16"/>
              </w:rPr>
              <w:t>C</w:t>
            </w:r>
          </w:p>
        </w:tc>
        <w:tc>
          <w:tcPr>
            <w:tcW w:w="1728" w:type="dxa"/>
            <w:shd w:val="clear" w:color="auto" w:fill="FFFFFF"/>
          </w:tcPr>
          <w:p w14:paraId="2337E5B9" w14:textId="77777777" w:rsidR="00924992" w:rsidRDefault="00924992">
            <w:pPr>
              <w:pStyle w:val="Other0"/>
              <w:framePr w:w="10286" w:h="6494" w:hSpace="14" w:vSpace="302" w:wrap="none" w:hAnchor="page" w:x="635" w:y="356"/>
              <w:spacing w:line="240" w:lineRule="auto"/>
              <w:ind w:firstLine="0"/>
              <w:rPr>
                <w:sz w:val="16"/>
                <w:szCs w:val="16"/>
              </w:rPr>
            </w:pPr>
            <w:r>
              <w:rPr>
                <w:rFonts w:ascii="Times New Roman" w:eastAsia="Times New Roman" w:hAnsi="Times New Roman" w:cs="Times New Roman"/>
                <w:color w:val="000000"/>
                <w:sz w:val="16"/>
                <w:szCs w:val="16"/>
              </w:rPr>
              <w:t>Mentax</w:t>
            </w:r>
          </w:p>
        </w:tc>
        <w:tc>
          <w:tcPr>
            <w:tcW w:w="1282" w:type="dxa"/>
            <w:shd w:val="clear" w:color="auto" w:fill="FFFFFF"/>
          </w:tcPr>
          <w:p w14:paraId="32749E5C" w14:textId="77777777" w:rsidR="00924992" w:rsidRDefault="00924992">
            <w:pPr>
              <w:pStyle w:val="Other0"/>
              <w:framePr w:w="10286" w:h="6494" w:hSpace="14" w:vSpace="302" w:wrap="none" w:hAnchor="page" w:x="635" w:y="356"/>
              <w:spacing w:line="240" w:lineRule="auto"/>
              <w:ind w:firstLine="0"/>
              <w:rPr>
                <w:sz w:val="16"/>
                <w:szCs w:val="16"/>
              </w:rPr>
            </w:pPr>
            <w:r>
              <w:rPr>
                <w:rFonts w:ascii="Times New Roman" w:eastAsia="Times New Roman" w:hAnsi="Times New Roman" w:cs="Times New Roman"/>
                <w:color w:val="000000"/>
                <w:sz w:val="16"/>
                <w:szCs w:val="16"/>
              </w:rPr>
              <w:t>1</w:t>
            </w:r>
          </w:p>
        </w:tc>
        <w:tc>
          <w:tcPr>
            <w:tcW w:w="3245" w:type="dxa"/>
            <w:shd w:val="clear" w:color="auto" w:fill="FFFFFF"/>
            <w:vAlign w:val="bottom"/>
          </w:tcPr>
          <w:p w14:paraId="3EEBF315" w14:textId="77777777" w:rsidR="00924992" w:rsidRDefault="00924992">
            <w:pPr>
              <w:pStyle w:val="Other0"/>
              <w:framePr w:w="10286" w:h="6494" w:hSpace="14" w:vSpace="302" w:wrap="none" w:hAnchor="page" w:x="635" w:y="356"/>
              <w:spacing w:line="283" w:lineRule="auto"/>
              <w:ind w:left="200" w:hanging="200"/>
              <w:rPr>
                <w:sz w:val="16"/>
                <w:szCs w:val="16"/>
              </w:rPr>
            </w:pPr>
            <w:r>
              <w:rPr>
                <w:rFonts w:ascii="Times New Roman" w:eastAsia="Times New Roman" w:hAnsi="Times New Roman" w:cs="Times New Roman"/>
                <w:color w:val="000000"/>
                <w:sz w:val="16"/>
                <w:szCs w:val="16"/>
              </w:rPr>
              <w:t>No se ha definido su inocuidad y eficacia en niños menores de 12 años</w:t>
            </w:r>
          </w:p>
        </w:tc>
      </w:tr>
      <w:tr w:rsidR="00924992" w14:paraId="1A9A6E21" w14:textId="77777777">
        <w:tblPrEx>
          <w:tblCellMar>
            <w:top w:w="0" w:type="dxa"/>
            <w:bottom w:w="0" w:type="dxa"/>
          </w:tblCellMar>
        </w:tblPrEx>
        <w:trPr>
          <w:trHeight w:hRule="exact" w:val="859"/>
        </w:trPr>
        <w:tc>
          <w:tcPr>
            <w:tcW w:w="1656" w:type="dxa"/>
            <w:shd w:val="clear" w:color="auto" w:fill="FFFFFF"/>
          </w:tcPr>
          <w:p w14:paraId="3690D9D8" w14:textId="77777777" w:rsidR="00924992" w:rsidRDefault="00924992">
            <w:pPr>
              <w:pStyle w:val="Other0"/>
              <w:framePr w:w="10286" w:h="6494" w:hSpace="14" w:vSpace="302" w:wrap="none" w:hAnchor="page" w:x="635" w:y="356"/>
              <w:spacing w:line="240" w:lineRule="auto"/>
              <w:ind w:firstLine="0"/>
              <w:rPr>
                <w:sz w:val="16"/>
                <w:szCs w:val="16"/>
              </w:rPr>
            </w:pPr>
            <w:r>
              <w:rPr>
                <w:rFonts w:ascii="Times New Roman" w:eastAsia="Times New Roman" w:hAnsi="Times New Roman" w:cs="Times New Roman"/>
                <w:color w:val="000000"/>
                <w:sz w:val="16"/>
                <w:szCs w:val="16"/>
              </w:rPr>
              <w:t>Ciclopirox (Rx)</w:t>
            </w:r>
          </w:p>
        </w:tc>
        <w:tc>
          <w:tcPr>
            <w:tcW w:w="1003" w:type="dxa"/>
            <w:shd w:val="clear" w:color="auto" w:fill="FFFFFF"/>
          </w:tcPr>
          <w:p w14:paraId="6E0205F6" w14:textId="77777777" w:rsidR="00924992" w:rsidRDefault="00924992">
            <w:pPr>
              <w:pStyle w:val="Other0"/>
              <w:framePr w:w="10286" w:h="6494" w:hSpace="14" w:vSpace="302" w:wrap="none" w:hAnchor="page" w:x="635" w:y="356"/>
              <w:spacing w:line="240" w:lineRule="auto"/>
              <w:ind w:firstLine="0"/>
              <w:rPr>
                <w:sz w:val="16"/>
                <w:szCs w:val="16"/>
              </w:rPr>
            </w:pPr>
            <w:r>
              <w:rPr>
                <w:rFonts w:ascii="Times New Roman" w:eastAsia="Times New Roman" w:hAnsi="Times New Roman" w:cs="Times New Roman"/>
                <w:color w:val="000000"/>
                <w:sz w:val="16"/>
                <w:szCs w:val="16"/>
              </w:rPr>
              <w:t>1, 8%</w:t>
            </w:r>
          </w:p>
        </w:tc>
        <w:tc>
          <w:tcPr>
            <w:tcW w:w="1373" w:type="dxa"/>
            <w:shd w:val="clear" w:color="auto" w:fill="FFFFFF"/>
          </w:tcPr>
          <w:p w14:paraId="5EABAE0B" w14:textId="77777777" w:rsidR="00924992" w:rsidRDefault="00924992">
            <w:pPr>
              <w:pStyle w:val="Other0"/>
              <w:framePr w:w="10286" w:h="6494" w:hSpace="14" w:vSpace="302" w:wrap="none" w:hAnchor="page" w:x="635" w:y="356"/>
              <w:spacing w:line="240" w:lineRule="auto"/>
              <w:ind w:firstLine="220"/>
              <w:rPr>
                <w:sz w:val="16"/>
                <w:szCs w:val="16"/>
              </w:rPr>
            </w:pPr>
            <w:r>
              <w:rPr>
                <w:rFonts w:ascii="Times New Roman" w:eastAsia="Times New Roman" w:hAnsi="Times New Roman" w:cs="Times New Roman"/>
                <w:color w:val="000000"/>
                <w:sz w:val="16"/>
                <w:szCs w:val="16"/>
              </w:rPr>
              <w:t>C, L, S</w:t>
            </w:r>
          </w:p>
        </w:tc>
        <w:tc>
          <w:tcPr>
            <w:tcW w:w="1728" w:type="dxa"/>
            <w:shd w:val="clear" w:color="auto" w:fill="FFFFFF"/>
          </w:tcPr>
          <w:p w14:paraId="7B40C99D" w14:textId="77777777" w:rsidR="00924992" w:rsidRDefault="00924992">
            <w:pPr>
              <w:pStyle w:val="Other0"/>
              <w:framePr w:w="10286" w:h="6494" w:hSpace="14" w:vSpace="302" w:wrap="none" w:hAnchor="page" w:x="635" w:y="356"/>
              <w:spacing w:line="240" w:lineRule="auto"/>
              <w:ind w:firstLine="0"/>
              <w:rPr>
                <w:sz w:val="16"/>
                <w:szCs w:val="16"/>
              </w:rPr>
            </w:pPr>
            <w:r>
              <w:rPr>
                <w:rFonts w:ascii="Times New Roman" w:eastAsia="Times New Roman" w:hAnsi="Times New Roman" w:cs="Times New Roman"/>
                <w:color w:val="000000"/>
                <w:sz w:val="16"/>
                <w:szCs w:val="16"/>
              </w:rPr>
              <w:t>Loprox; Penlac</w:t>
            </w:r>
          </w:p>
        </w:tc>
        <w:tc>
          <w:tcPr>
            <w:tcW w:w="1282" w:type="dxa"/>
            <w:shd w:val="clear" w:color="auto" w:fill="FFFFFF"/>
          </w:tcPr>
          <w:p w14:paraId="7F838245" w14:textId="77777777" w:rsidR="00924992" w:rsidRDefault="00924992">
            <w:pPr>
              <w:pStyle w:val="Other0"/>
              <w:framePr w:w="10286" w:h="6494" w:hSpace="14" w:vSpace="302" w:wrap="none" w:hAnchor="page" w:x="635" w:y="356"/>
              <w:spacing w:line="240" w:lineRule="auto"/>
              <w:ind w:firstLine="0"/>
              <w:rPr>
                <w:sz w:val="16"/>
                <w:szCs w:val="16"/>
              </w:rPr>
            </w:pPr>
            <w:r>
              <w:rPr>
                <w:rFonts w:ascii="Times New Roman" w:eastAsia="Times New Roman" w:hAnsi="Times New Roman" w:cs="Times New Roman"/>
                <w:color w:val="000000"/>
                <w:sz w:val="16"/>
                <w:szCs w:val="16"/>
              </w:rPr>
              <w:t>2</w:t>
            </w:r>
          </w:p>
        </w:tc>
        <w:tc>
          <w:tcPr>
            <w:tcW w:w="3245" w:type="dxa"/>
            <w:shd w:val="clear" w:color="auto" w:fill="FFFFFF"/>
            <w:vAlign w:val="bottom"/>
          </w:tcPr>
          <w:p w14:paraId="7329832E" w14:textId="77777777" w:rsidR="00924992" w:rsidRDefault="00924992">
            <w:pPr>
              <w:pStyle w:val="Other0"/>
              <w:framePr w:w="10286" w:h="6494" w:hSpace="14" w:vSpace="302" w:wrap="none" w:hAnchor="page" w:x="635" w:y="356"/>
              <w:spacing w:line="283" w:lineRule="auto"/>
              <w:ind w:left="200" w:hanging="200"/>
              <w:rPr>
                <w:sz w:val="16"/>
                <w:szCs w:val="16"/>
              </w:rPr>
            </w:pPr>
            <w:r>
              <w:rPr>
                <w:rFonts w:ascii="Times New Roman" w:eastAsia="Times New Roman" w:hAnsi="Times New Roman" w:cs="Times New Roman"/>
                <w:color w:val="000000"/>
                <w:sz w:val="16"/>
                <w:szCs w:val="16"/>
              </w:rPr>
              <w:t>Dermatitis irritativa; agitar vigorosamente el recipiente con la loción antes de aplicarla; no se ha corroborado su inocuidad y eficacia en niños menores de 10 años</w:t>
            </w:r>
          </w:p>
        </w:tc>
      </w:tr>
      <w:tr w:rsidR="00924992" w14:paraId="2BAA03E8" w14:textId="77777777">
        <w:tblPrEx>
          <w:tblCellMar>
            <w:top w:w="0" w:type="dxa"/>
            <w:bottom w:w="0" w:type="dxa"/>
          </w:tblCellMar>
        </w:tblPrEx>
        <w:trPr>
          <w:trHeight w:hRule="exact" w:val="994"/>
        </w:trPr>
        <w:tc>
          <w:tcPr>
            <w:tcW w:w="1656" w:type="dxa"/>
            <w:shd w:val="clear" w:color="auto" w:fill="FFFFFF"/>
          </w:tcPr>
          <w:p w14:paraId="317FA98D" w14:textId="77777777" w:rsidR="00924992" w:rsidRDefault="00924992">
            <w:pPr>
              <w:pStyle w:val="Other0"/>
              <w:framePr w:w="10286" w:h="6494" w:hSpace="14" w:vSpace="302" w:wrap="none" w:hAnchor="page" w:x="635" w:y="356"/>
              <w:spacing w:line="283" w:lineRule="auto"/>
              <w:ind w:left="160" w:hanging="160"/>
              <w:rPr>
                <w:sz w:val="16"/>
                <w:szCs w:val="16"/>
              </w:rPr>
            </w:pPr>
            <w:r>
              <w:rPr>
                <w:rFonts w:ascii="Times New Roman" w:eastAsia="Times New Roman" w:hAnsi="Times New Roman" w:cs="Times New Roman"/>
                <w:color w:val="000000"/>
                <w:sz w:val="16"/>
                <w:szCs w:val="16"/>
              </w:rPr>
              <w:t>Clotrimazol (Rx y OTC)</w:t>
            </w:r>
          </w:p>
        </w:tc>
        <w:tc>
          <w:tcPr>
            <w:tcW w:w="1003" w:type="dxa"/>
            <w:shd w:val="clear" w:color="auto" w:fill="FFFFFF"/>
          </w:tcPr>
          <w:p w14:paraId="09985D98" w14:textId="77777777" w:rsidR="00924992" w:rsidRDefault="00924992">
            <w:pPr>
              <w:pStyle w:val="Other0"/>
              <w:framePr w:w="10286" w:h="6494" w:hSpace="14" w:vSpace="302" w:wrap="none" w:hAnchor="page" w:x="635" w:y="356"/>
              <w:spacing w:line="240" w:lineRule="auto"/>
              <w:ind w:firstLine="0"/>
              <w:rPr>
                <w:sz w:val="16"/>
                <w:szCs w:val="16"/>
              </w:rPr>
            </w:pPr>
            <w:r>
              <w:rPr>
                <w:rFonts w:ascii="Times New Roman" w:eastAsia="Times New Roman" w:hAnsi="Times New Roman" w:cs="Times New Roman"/>
                <w:color w:val="000000"/>
                <w:sz w:val="16"/>
                <w:szCs w:val="16"/>
              </w:rPr>
              <w:t>1%</w:t>
            </w:r>
          </w:p>
        </w:tc>
        <w:tc>
          <w:tcPr>
            <w:tcW w:w="1373" w:type="dxa"/>
            <w:shd w:val="clear" w:color="auto" w:fill="FFFFFF"/>
          </w:tcPr>
          <w:p w14:paraId="354B3BC1" w14:textId="77777777" w:rsidR="00924992" w:rsidRDefault="00924992">
            <w:pPr>
              <w:pStyle w:val="Other0"/>
              <w:framePr w:w="10286" w:h="6494" w:hSpace="14" w:vSpace="302" w:wrap="none" w:hAnchor="page" w:x="635" w:y="356"/>
              <w:spacing w:line="240" w:lineRule="auto"/>
              <w:ind w:firstLine="220"/>
              <w:rPr>
                <w:sz w:val="16"/>
                <w:szCs w:val="16"/>
              </w:rPr>
            </w:pPr>
            <w:r>
              <w:rPr>
                <w:rFonts w:ascii="Times New Roman" w:eastAsia="Times New Roman" w:hAnsi="Times New Roman" w:cs="Times New Roman"/>
                <w:color w:val="000000"/>
                <w:sz w:val="16"/>
                <w:szCs w:val="16"/>
              </w:rPr>
              <w:t>C, L, S, Com</w:t>
            </w:r>
          </w:p>
        </w:tc>
        <w:tc>
          <w:tcPr>
            <w:tcW w:w="1728" w:type="dxa"/>
            <w:shd w:val="clear" w:color="auto" w:fill="FFFFFF"/>
          </w:tcPr>
          <w:p w14:paraId="2240230C" w14:textId="77777777" w:rsidR="00924992" w:rsidRDefault="00924992">
            <w:pPr>
              <w:pStyle w:val="Other0"/>
              <w:framePr w:w="10286" w:h="6494" w:hSpace="14" w:vSpace="302" w:wrap="none" w:hAnchor="page" w:x="635" w:y="356"/>
              <w:spacing w:line="286" w:lineRule="auto"/>
              <w:ind w:left="200" w:hanging="200"/>
              <w:rPr>
                <w:sz w:val="16"/>
                <w:szCs w:val="16"/>
              </w:rPr>
            </w:pPr>
            <w:r>
              <w:rPr>
                <w:rFonts w:ascii="Times New Roman" w:eastAsia="Times New Roman" w:hAnsi="Times New Roman" w:cs="Times New Roman"/>
                <w:color w:val="000000"/>
                <w:sz w:val="16"/>
                <w:szCs w:val="16"/>
              </w:rPr>
              <w:t>Solución tópica &gt;10 preparaciones; revisar con el farmacéutico</w:t>
            </w:r>
            <w:r>
              <w:rPr>
                <w:rFonts w:ascii="Times New Roman" w:eastAsia="Times New Roman" w:hAnsi="Times New Roman" w:cs="Times New Roman"/>
                <w:color w:val="000000"/>
                <w:sz w:val="16"/>
                <w:szCs w:val="16"/>
                <w:vertAlign w:val="superscript"/>
              </w:rPr>
              <w:t>1</w:t>
            </w:r>
          </w:p>
        </w:tc>
        <w:tc>
          <w:tcPr>
            <w:tcW w:w="1282" w:type="dxa"/>
            <w:shd w:val="clear" w:color="auto" w:fill="FFFFFF"/>
          </w:tcPr>
          <w:p w14:paraId="118D4539" w14:textId="77777777" w:rsidR="00924992" w:rsidRDefault="00924992">
            <w:pPr>
              <w:pStyle w:val="Other0"/>
              <w:framePr w:w="10286" w:h="6494" w:hSpace="14" w:vSpace="302" w:wrap="none" w:hAnchor="page" w:x="635" w:y="356"/>
              <w:spacing w:line="240" w:lineRule="auto"/>
              <w:ind w:firstLine="0"/>
              <w:rPr>
                <w:sz w:val="16"/>
                <w:szCs w:val="16"/>
              </w:rPr>
            </w:pPr>
            <w:r>
              <w:rPr>
                <w:rFonts w:ascii="Times New Roman" w:eastAsia="Times New Roman" w:hAnsi="Times New Roman" w:cs="Times New Roman"/>
                <w:color w:val="000000"/>
                <w:sz w:val="16"/>
                <w:szCs w:val="16"/>
              </w:rPr>
              <w:t>1 (Rx) 2 (OTC)</w:t>
            </w:r>
          </w:p>
        </w:tc>
        <w:tc>
          <w:tcPr>
            <w:tcW w:w="3245" w:type="dxa"/>
            <w:shd w:val="clear" w:color="auto" w:fill="FFFFFF"/>
          </w:tcPr>
          <w:p w14:paraId="73A56895" w14:textId="77777777" w:rsidR="00924992" w:rsidRDefault="00924992">
            <w:pPr>
              <w:pStyle w:val="Other0"/>
              <w:framePr w:w="10286" w:h="6494" w:hSpace="14" w:vSpace="302" w:wrap="none" w:hAnchor="page" w:x="635" w:y="356"/>
              <w:spacing w:line="288" w:lineRule="auto"/>
              <w:ind w:left="200" w:hanging="200"/>
              <w:rPr>
                <w:sz w:val="16"/>
                <w:szCs w:val="16"/>
              </w:rPr>
            </w:pPr>
            <w:r>
              <w:rPr>
                <w:rFonts w:ascii="Times New Roman" w:eastAsia="Times New Roman" w:hAnsi="Times New Roman" w:cs="Times New Roman"/>
                <w:color w:val="000000"/>
                <w:sz w:val="16"/>
                <w:szCs w:val="16"/>
              </w:rPr>
              <w:t>Dermatitis irritativa; no se ha definido la inocuidad y eficacia en niños. Será mejor no utilizar combinaciones tópicas con corticosteroides.</w:t>
            </w:r>
            <w:r>
              <w:rPr>
                <w:rFonts w:ascii="Times New Roman" w:eastAsia="Times New Roman" w:hAnsi="Times New Roman" w:cs="Times New Roman"/>
                <w:color w:val="000000"/>
                <w:sz w:val="16"/>
                <w:szCs w:val="16"/>
                <w:vertAlign w:val="superscript"/>
              </w:rPr>
              <w:t>2</w:t>
            </w:r>
          </w:p>
        </w:tc>
      </w:tr>
      <w:tr w:rsidR="00924992" w14:paraId="1A442679" w14:textId="77777777">
        <w:tblPrEx>
          <w:tblCellMar>
            <w:top w:w="0" w:type="dxa"/>
            <w:bottom w:w="0" w:type="dxa"/>
          </w:tblCellMar>
        </w:tblPrEx>
        <w:trPr>
          <w:trHeight w:hRule="exact" w:val="1632"/>
        </w:trPr>
        <w:tc>
          <w:tcPr>
            <w:tcW w:w="1656" w:type="dxa"/>
            <w:shd w:val="clear" w:color="auto" w:fill="FFFFFF"/>
          </w:tcPr>
          <w:p w14:paraId="3464A4C9" w14:textId="77777777" w:rsidR="00924992" w:rsidRDefault="00924992">
            <w:pPr>
              <w:pStyle w:val="Other0"/>
              <w:framePr w:w="10286" w:h="6494" w:hSpace="14" w:vSpace="302" w:wrap="none" w:hAnchor="page" w:x="635" w:y="356"/>
              <w:spacing w:before="120" w:line="283" w:lineRule="auto"/>
              <w:ind w:left="160" w:hanging="160"/>
              <w:rPr>
                <w:sz w:val="16"/>
                <w:szCs w:val="16"/>
              </w:rPr>
            </w:pPr>
            <w:r>
              <w:rPr>
                <w:rFonts w:ascii="Times New Roman" w:eastAsia="Times New Roman" w:hAnsi="Times New Roman" w:cs="Times New Roman"/>
                <w:color w:val="000000"/>
                <w:sz w:val="16"/>
                <w:szCs w:val="16"/>
              </w:rPr>
              <w:t>Clotrimazol y dipropionato de betametasona (Rx)</w:t>
            </w:r>
          </w:p>
        </w:tc>
        <w:tc>
          <w:tcPr>
            <w:tcW w:w="1003" w:type="dxa"/>
            <w:shd w:val="clear" w:color="auto" w:fill="FFFFFF"/>
          </w:tcPr>
          <w:p w14:paraId="14129421" w14:textId="77777777" w:rsidR="00924992" w:rsidRDefault="00924992">
            <w:pPr>
              <w:framePr w:w="10286" w:h="6494" w:hSpace="14" w:vSpace="302" w:wrap="none" w:hAnchor="page" w:x="635" w:y="356"/>
              <w:rPr>
                <w:sz w:val="10"/>
                <w:szCs w:val="10"/>
              </w:rPr>
            </w:pPr>
          </w:p>
        </w:tc>
        <w:tc>
          <w:tcPr>
            <w:tcW w:w="1373" w:type="dxa"/>
            <w:shd w:val="clear" w:color="auto" w:fill="FFFFFF"/>
          </w:tcPr>
          <w:p w14:paraId="27C9790D" w14:textId="77777777" w:rsidR="00924992" w:rsidRDefault="00924992">
            <w:pPr>
              <w:pStyle w:val="Other0"/>
              <w:framePr w:w="10286" w:h="6494" w:hSpace="14" w:vSpace="302" w:wrap="none" w:hAnchor="page" w:x="635" w:y="356"/>
              <w:spacing w:before="120" w:line="240" w:lineRule="auto"/>
              <w:ind w:firstLine="220"/>
              <w:rPr>
                <w:sz w:val="16"/>
                <w:szCs w:val="16"/>
              </w:rPr>
            </w:pPr>
            <w:r>
              <w:rPr>
                <w:rFonts w:ascii="Times New Roman" w:eastAsia="Times New Roman" w:hAnsi="Times New Roman" w:cs="Times New Roman"/>
                <w:color w:val="000000"/>
                <w:sz w:val="16"/>
                <w:szCs w:val="16"/>
              </w:rPr>
              <w:t>C, L</w:t>
            </w:r>
          </w:p>
        </w:tc>
        <w:tc>
          <w:tcPr>
            <w:tcW w:w="1728" w:type="dxa"/>
            <w:shd w:val="clear" w:color="auto" w:fill="FFFFFF"/>
          </w:tcPr>
          <w:p w14:paraId="7735B100" w14:textId="77777777" w:rsidR="00924992" w:rsidRDefault="00924992">
            <w:pPr>
              <w:pStyle w:val="Other0"/>
              <w:framePr w:w="10286" w:h="6494" w:hSpace="14" w:vSpace="302" w:wrap="none" w:hAnchor="page" w:x="635" w:y="356"/>
              <w:spacing w:before="120" w:line="240" w:lineRule="auto"/>
              <w:ind w:firstLine="0"/>
              <w:rPr>
                <w:sz w:val="16"/>
                <w:szCs w:val="16"/>
              </w:rPr>
            </w:pPr>
            <w:r>
              <w:rPr>
                <w:rFonts w:ascii="Times New Roman" w:eastAsia="Times New Roman" w:hAnsi="Times New Roman" w:cs="Times New Roman"/>
                <w:color w:val="000000"/>
                <w:sz w:val="16"/>
                <w:szCs w:val="16"/>
              </w:rPr>
              <w:t>Lotrisone</w:t>
            </w:r>
            <w:r>
              <w:rPr>
                <w:rFonts w:ascii="Times New Roman" w:eastAsia="Times New Roman" w:hAnsi="Times New Roman" w:cs="Times New Roman"/>
                <w:color w:val="000000"/>
                <w:sz w:val="16"/>
                <w:szCs w:val="16"/>
                <w:vertAlign w:val="superscript"/>
              </w:rPr>
              <w:t>3</w:t>
            </w:r>
          </w:p>
        </w:tc>
        <w:tc>
          <w:tcPr>
            <w:tcW w:w="1282" w:type="dxa"/>
            <w:shd w:val="clear" w:color="auto" w:fill="FFFFFF"/>
          </w:tcPr>
          <w:p w14:paraId="61D43F90" w14:textId="77777777" w:rsidR="00924992" w:rsidRDefault="00924992">
            <w:pPr>
              <w:pStyle w:val="Other0"/>
              <w:framePr w:w="10286" w:h="6494" w:hSpace="14" w:vSpace="302" w:wrap="none" w:hAnchor="page" w:x="635" w:y="356"/>
              <w:spacing w:before="120" w:line="240" w:lineRule="auto"/>
              <w:ind w:firstLine="0"/>
              <w:rPr>
                <w:sz w:val="16"/>
                <w:szCs w:val="16"/>
              </w:rPr>
            </w:pPr>
            <w:r>
              <w:rPr>
                <w:rFonts w:ascii="Times New Roman" w:eastAsia="Times New Roman" w:hAnsi="Times New Roman" w:cs="Times New Roman"/>
                <w:color w:val="000000"/>
                <w:sz w:val="16"/>
                <w:szCs w:val="16"/>
              </w:rPr>
              <w:t>2</w:t>
            </w:r>
            <w:r>
              <w:rPr>
                <w:rFonts w:ascii="Times New Roman" w:eastAsia="Times New Roman" w:hAnsi="Times New Roman" w:cs="Times New Roman"/>
                <w:color w:val="000000"/>
                <w:sz w:val="16"/>
                <w:szCs w:val="16"/>
                <w:vertAlign w:val="superscript"/>
              </w:rPr>
              <w:t>2</w:t>
            </w:r>
          </w:p>
        </w:tc>
        <w:tc>
          <w:tcPr>
            <w:tcW w:w="3245" w:type="dxa"/>
            <w:shd w:val="clear" w:color="auto" w:fill="FFFFFF"/>
            <w:vAlign w:val="bottom"/>
          </w:tcPr>
          <w:p w14:paraId="26976D2D" w14:textId="77777777" w:rsidR="00924992" w:rsidRDefault="00924992">
            <w:pPr>
              <w:pStyle w:val="Other0"/>
              <w:framePr w:w="10286" w:h="6494" w:hSpace="14" w:vSpace="302" w:wrap="none" w:hAnchor="page" w:x="635" w:y="356"/>
              <w:spacing w:line="283" w:lineRule="auto"/>
              <w:ind w:left="200" w:hanging="200"/>
              <w:rPr>
                <w:sz w:val="16"/>
                <w:szCs w:val="16"/>
              </w:rPr>
            </w:pPr>
            <w:r>
              <w:rPr>
                <w:rFonts w:ascii="Times New Roman" w:eastAsia="Times New Roman" w:hAnsi="Times New Roman" w:cs="Times New Roman"/>
                <w:color w:val="000000"/>
                <w:sz w:val="16"/>
                <w:szCs w:val="16"/>
              </w:rPr>
              <w:t>Dermatitis irritativa: se han definido la inocuidad y eficacia en niños. Será mejor no usar combinaciones tópicas con corticosteroides</w:t>
            </w:r>
            <w:r>
              <w:rPr>
                <w:rFonts w:ascii="Times New Roman" w:eastAsia="Times New Roman" w:hAnsi="Times New Roman" w:cs="Times New Roman"/>
                <w:color w:val="000000"/>
                <w:sz w:val="16"/>
                <w:szCs w:val="16"/>
                <w:vertAlign w:val="superscript"/>
              </w:rPr>
              <w:t>2</w:t>
            </w:r>
            <w:r>
              <w:rPr>
                <w:rFonts w:ascii="Times New Roman" w:eastAsia="Times New Roman" w:hAnsi="Times New Roman" w:cs="Times New Roman"/>
                <w:color w:val="000000"/>
                <w:sz w:val="16"/>
                <w:szCs w:val="16"/>
              </w:rPr>
              <w:t>, en particular si se aplican a la zona del pañal porque puede haber exposición sistémica importante al corticosteroide.</w:t>
            </w:r>
          </w:p>
        </w:tc>
      </w:tr>
      <w:tr w:rsidR="00924992" w14:paraId="4A3F9643" w14:textId="77777777">
        <w:tblPrEx>
          <w:tblCellMar>
            <w:top w:w="0" w:type="dxa"/>
            <w:bottom w:w="0" w:type="dxa"/>
          </w:tblCellMar>
        </w:tblPrEx>
        <w:trPr>
          <w:trHeight w:hRule="exact" w:val="442"/>
        </w:trPr>
        <w:tc>
          <w:tcPr>
            <w:tcW w:w="1656" w:type="dxa"/>
            <w:shd w:val="clear" w:color="auto" w:fill="FFFFFF"/>
          </w:tcPr>
          <w:p w14:paraId="4384C29A" w14:textId="77777777" w:rsidR="00924992" w:rsidRDefault="00924992">
            <w:pPr>
              <w:pStyle w:val="Other0"/>
              <w:framePr w:w="10286" w:h="6494" w:hSpace="14" w:vSpace="302" w:wrap="none" w:hAnchor="page" w:x="635" w:y="356"/>
              <w:spacing w:line="240" w:lineRule="auto"/>
              <w:ind w:firstLine="0"/>
              <w:rPr>
                <w:sz w:val="16"/>
                <w:szCs w:val="16"/>
              </w:rPr>
            </w:pPr>
            <w:r>
              <w:rPr>
                <w:rFonts w:ascii="Times New Roman" w:eastAsia="Times New Roman" w:hAnsi="Times New Roman" w:cs="Times New Roman"/>
                <w:color w:val="000000"/>
                <w:sz w:val="16"/>
                <w:szCs w:val="16"/>
              </w:rPr>
              <w:t>Econazol (Rx)</w:t>
            </w:r>
          </w:p>
        </w:tc>
        <w:tc>
          <w:tcPr>
            <w:tcW w:w="1003" w:type="dxa"/>
            <w:shd w:val="clear" w:color="auto" w:fill="FFFFFF"/>
          </w:tcPr>
          <w:p w14:paraId="572A7532" w14:textId="77777777" w:rsidR="00924992" w:rsidRDefault="00924992">
            <w:pPr>
              <w:pStyle w:val="Other0"/>
              <w:framePr w:w="10286" w:h="6494" w:hSpace="14" w:vSpace="302" w:wrap="none" w:hAnchor="page" w:x="635" w:y="356"/>
              <w:spacing w:line="240" w:lineRule="auto"/>
              <w:ind w:firstLine="0"/>
              <w:rPr>
                <w:sz w:val="16"/>
                <w:szCs w:val="16"/>
              </w:rPr>
            </w:pPr>
            <w:r>
              <w:rPr>
                <w:rFonts w:ascii="Times New Roman" w:eastAsia="Times New Roman" w:hAnsi="Times New Roman" w:cs="Times New Roman"/>
                <w:color w:val="000000"/>
                <w:sz w:val="16"/>
                <w:szCs w:val="16"/>
              </w:rPr>
              <w:t>1%</w:t>
            </w:r>
          </w:p>
        </w:tc>
        <w:tc>
          <w:tcPr>
            <w:tcW w:w="1373" w:type="dxa"/>
            <w:shd w:val="clear" w:color="auto" w:fill="FFFFFF"/>
          </w:tcPr>
          <w:p w14:paraId="12DEE48C" w14:textId="77777777" w:rsidR="00924992" w:rsidRDefault="00924992">
            <w:pPr>
              <w:pStyle w:val="Other0"/>
              <w:framePr w:w="10286" w:h="6494" w:hSpace="14" w:vSpace="302" w:wrap="none" w:hAnchor="page" w:x="635" w:y="356"/>
              <w:spacing w:line="240" w:lineRule="auto"/>
              <w:ind w:firstLine="220"/>
              <w:rPr>
                <w:sz w:val="16"/>
                <w:szCs w:val="16"/>
              </w:rPr>
            </w:pPr>
            <w:r>
              <w:rPr>
                <w:rFonts w:ascii="Times New Roman" w:eastAsia="Times New Roman" w:hAnsi="Times New Roman" w:cs="Times New Roman"/>
                <w:color w:val="000000"/>
                <w:sz w:val="16"/>
                <w:szCs w:val="16"/>
              </w:rPr>
              <w:t>C</w:t>
            </w:r>
          </w:p>
        </w:tc>
        <w:tc>
          <w:tcPr>
            <w:tcW w:w="1728" w:type="dxa"/>
            <w:shd w:val="clear" w:color="auto" w:fill="FFFFFF"/>
          </w:tcPr>
          <w:p w14:paraId="0BF2791F" w14:textId="77777777" w:rsidR="00924992" w:rsidRDefault="00924992">
            <w:pPr>
              <w:pStyle w:val="Other0"/>
              <w:framePr w:w="10286" w:h="6494" w:hSpace="14" w:vSpace="302" w:wrap="none" w:hAnchor="page" w:x="635" w:y="356"/>
              <w:spacing w:line="240" w:lineRule="auto"/>
              <w:ind w:firstLine="0"/>
              <w:rPr>
                <w:sz w:val="16"/>
                <w:szCs w:val="16"/>
              </w:rPr>
            </w:pPr>
            <w:r>
              <w:rPr>
                <w:rFonts w:ascii="Times New Roman" w:eastAsia="Times New Roman" w:hAnsi="Times New Roman" w:cs="Times New Roman"/>
                <w:color w:val="000000"/>
                <w:sz w:val="16"/>
                <w:szCs w:val="16"/>
              </w:rPr>
              <w:t>Spectazole</w:t>
            </w:r>
          </w:p>
        </w:tc>
        <w:tc>
          <w:tcPr>
            <w:tcW w:w="1282" w:type="dxa"/>
            <w:shd w:val="clear" w:color="auto" w:fill="FFFFFF"/>
            <w:vAlign w:val="bottom"/>
          </w:tcPr>
          <w:p w14:paraId="701D5ED2" w14:textId="77777777" w:rsidR="00924992" w:rsidRDefault="00924992">
            <w:pPr>
              <w:pStyle w:val="Other0"/>
              <w:framePr w:w="10286" w:h="6494" w:hSpace="14" w:vSpace="302" w:wrap="none" w:hAnchor="page" w:x="635" w:y="356"/>
              <w:numPr>
                <w:ilvl w:val="0"/>
                <w:numId w:val="127"/>
              </w:numPr>
              <w:tabs>
                <w:tab w:val="left" w:pos="134"/>
              </w:tabs>
              <w:spacing w:line="240" w:lineRule="auto"/>
              <w:ind w:firstLine="0"/>
              <w:rPr>
                <w:sz w:val="16"/>
                <w:szCs w:val="16"/>
              </w:rPr>
            </w:pPr>
            <w:r>
              <w:rPr>
                <w:rFonts w:ascii="Times New Roman" w:eastAsia="Times New Roman" w:hAnsi="Times New Roman" w:cs="Times New Roman"/>
                <w:color w:val="000000"/>
                <w:sz w:val="16"/>
                <w:szCs w:val="16"/>
              </w:rPr>
              <w:t>(dermatófitos)</w:t>
            </w:r>
          </w:p>
          <w:p w14:paraId="31CB7FD9" w14:textId="77777777" w:rsidR="00924992" w:rsidRDefault="00924992">
            <w:pPr>
              <w:pStyle w:val="Other0"/>
              <w:framePr w:w="10286" w:h="6494" w:hSpace="14" w:vSpace="302" w:wrap="none" w:hAnchor="page" w:x="635" w:y="356"/>
              <w:numPr>
                <w:ilvl w:val="0"/>
                <w:numId w:val="127"/>
              </w:numPr>
              <w:tabs>
                <w:tab w:val="left" w:pos="144"/>
              </w:tabs>
              <w:spacing w:line="240" w:lineRule="auto"/>
              <w:ind w:firstLine="0"/>
              <w:rPr>
                <w:sz w:val="16"/>
                <w:szCs w:val="16"/>
              </w:rPr>
            </w:pPr>
            <w:r>
              <w:rPr>
                <w:rFonts w:ascii="Times New Roman" w:eastAsia="Times New Roman" w:hAnsi="Times New Roman" w:cs="Times New Roman"/>
                <w:color w:val="000000"/>
                <w:sz w:val="16"/>
                <w:szCs w:val="16"/>
              </w:rPr>
              <w:t>(candidiasis)</w:t>
            </w:r>
          </w:p>
        </w:tc>
        <w:tc>
          <w:tcPr>
            <w:tcW w:w="3245" w:type="dxa"/>
            <w:shd w:val="clear" w:color="auto" w:fill="FFFFFF"/>
          </w:tcPr>
          <w:p w14:paraId="66F46E7D" w14:textId="77777777" w:rsidR="00924992" w:rsidRDefault="00924992">
            <w:pPr>
              <w:pStyle w:val="Other0"/>
              <w:framePr w:w="10286" w:h="6494" w:hSpace="14" w:vSpace="302" w:wrap="none" w:hAnchor="page" w:x="635" w:y="356"/>
              <w:spacing w:line="240" w:lineRule="auto"/>
              <w:ind w:firstLine="0"/>
              <w:rPr>
                <w:sz w:val="16"/>
                <w:szCs w:val="16"/>
              </w:rPr>
            </w:pPr>
            <w:r>
              <w:rPr>
                <w:rFonts w:ascii="Times New Roman" w:eastAsia="Times New Roman" w:hAnsi="Times New Roman" w:cs="Times New Roman"/>
                <w:color w:val="000000"/>
                <w:sz w:val="16"/>
                <w:szCs w:val="16"/>
              </w:rPr>
              <w:t>Dermatitis irritativa</w:t>
            </w:r>
          </w:p>
        </w:tc>
      </w:tr>
    </w:tbl>
    <w:p w14:paraId="047474EA" w14:textId="77777777" w:rsidR="00924992" w:rsidRDefault="00924992">
      <w:pPr>
        <w:framePr w:w="10286" w:h="6494" w:hSpace="14" w:vSpace="302" w:wrap="none" w:hAnchor="page" w:x="635" w:y="356"/>
        <w:spacing w:line="1" w:lineRule="exact"/>
      </w:pPr>
    </w:p>
    <w:p w14:paraId="02B5F00E" w14:textId="77777777" w:rsidR="00924992" w:rsidRDefault="00924992">
      <w:pPr>
        <w:pStyle w:val="Tablecaption0"/>
        <w:framePr w:w="701" w:h="245" w:wrap="none" w:hAnchor="page" w:x="10235" w:y="6908"/>
        <w:spacing w:line="240" w:lineRule="auto"/>
        <w:ind w:left="0"/>
        <w:rPr>
          <w:sz w:val="16"/>
          <w:szCs w:val="16"/>
        </w:rPr>
      </w:pPr>
      <w:r>
        <w:rPr>
          <w:i/>
          <w:iCs/>
          <w:color w:val="000000"/>
          <w:sz w:val="16"/>
          <w:szCs w:val="16"/>
        </w:rPr>
        <w:t>continúa</w:t>
      </w:r>
    </w:p>
    <w:p w14:paraId="18C701A9" w14:textId="77777777" w:rsidR="00924992" w:rsidRDefault="00924992">
      <w:pPr>
        <w:pStyle w:val="Heading31"/>
        <w:keepNext/>
        <w:keepLines/>
        <w:framePr w:w="254" w:h="845" w:wrap="none" w:hAnchor="page" w:x="11631" w:y="5310"/>
      </w:pPr>
      <w:bookmarkStart w:id="388" w:name="bookmark1834"/>
      <w:bookmarkStart w:id="389" w:name="bookmark1835"/>
      <w:bookmarkStart w:id="390" w:name="bookmark1836"/>
      <w:r>
        <w:rPr>
          <w:color w:val="000000"/>
        </w:rPr>
        <w:t>O</w:t>
      </w:r>
      <w:bookmarkEnd w:id="388"/>
      <w:bookmarkEnd w:id="389"/>
      <w:bookmarkEnd w:id="390"/>
    </w:p>
    <w:p w14:paraId="25976932" w14:textId="77777777" w:rsidR="00924992" w:rsidRDefault="00924992">
      <w:pPr>
        <w:pStyle w:val="Other0"/>
        <w:framePr w:w="254" w:h="845" w:wrap="none" w:hAnchor="page" w:x="11631" w:y="5310"/>
        <w:spacing w:line="180" w:lineRule="auto"/>
        <w:ind w:firstLine="0"/>
        <w:rPr>
          <w:sz w:val="42"/>
          <w:szCs w:val="42"/>
        </w:rPr>
      </w:pPr>
      <w:r>
        <w:rPr>
          <w:rFonts w:ascii="Courier New" w:eastAsia="Courier New" w:hAnsi="Courier New" w:cs="Courier New"/>
          <w:color w:val="000000"/>
          <w:sz w:val="42"/>
          <w:szCs w:val="42"/>
        </w:rPr>
        <w:t>o</w:t>
      </w:r>
    </w:p>
    <w:p w14:paraId="3CAB6181" w14:textId="77777777" w:rsidR="00924992" w:rsidRDefault="00924992">
      <w:pPr>
        <w:pStyle w:val="Bodytext90"/>
        <w:framePr w:w="254" w:h="845" w:wrap="none" w:hAnchor="page" w:x="11631" w:y="5310"/>
        <w:spacing w:after="80"/>
      </w:pPr>
      <w:r>
        <w:rPr>
          <w:color w:val="000000"/>
        </w:rPr>
        <w:t>GC</w:t>
      </w:r>
    </w:p>
    <w:p w14:paraId="15C87080" w14:textId="77777777" w:rsidR="00924992" w:rsidRDefault="00924992">
      <w:pPr>
        <w:pStyle w:val="Bodytext90"/>
        <w:framePr w:w="254" w:h="845" w:wrap="none" w:hAnchor="page" w:x="11631" w:y="5310"/>
      </w:pPr>
      <w:r>
        <w:rPr>
          <w:color w:val="000000"/>
        </w:rPr>
        <w:t>Gn</w:t>
      </w:r>
    </w:p>
    <w:p w14:paraId="4590A1C9" w14:textId="77777777" w:rsidR="00924992" w:rsidRDefault="00924992">
      <w:pPr>
        <w:pStyle w:val="Bodytext80"/>
        <w:framePr w:w="192" w:h="5434" w:hRule="exact" w:wrap="none" w:hAnchor="page" w:x="12390" w:y="1451"/>
        <w:tabs>
          <w:tab w:val="left" w:pos="5117"/>
        </w:tabs>
        <w:textDirection w:val="tbRl"/>
        <w:rPr>
          <w:sz w:val="16"/>
          <w:szCs w:val="16"/>
        </w:rPr>
      </w:pPr>
      <w:r>
        <w:rPr>
          <w:color w:val="000000"/>
        </w:rPr>
        <w:t>PRODUCTOS TÓPICOS CONTRA MICOSIS SUPERFICIALES</w:t>
      </w:r>
      <w:r>
        <w:rPr>
          <w:color w:val="000000"/>
        </w:rPr>
        <w:tab/>
      </w:r>
      <w:r>
        <w:rPr>
          <w:color w:val="000000"/>
          <w:sz w:val="16"/>
          <w:szCs w:val="16"/>
        </w:rPr>
        <w:t>763</w:t>
      </w:r>
    </w:p>
    <w:p w14:paraId="589B7A34" w14:textId="77777777" w:rsidR="00924992" w:rsidRDefault="00924992">
      <w:pPr>
        <w:spacing w:line="360" w:lineRule="exact"/>
      </w:pPr>
    </w:p>
    <w:p w14:paraId="5FAC0317" w14:textId="77777777" w:rsidR="00924992" w:rsidRDefault="00924992">
      <w:pPr>
        <w:spacing w:line="360" w:lineRule="exact"/>
      </w:pPr>
    </w:p>
    <w:p w14:paraId="64FF8044" w14:textId="77777777" w:rsidR="00924992" w:rsidRDefault="00924992">
      <w:pPr>
        <w:spacing w:line="360" w:lineRule="exact"/>
      </w:pPr>
    </w:p>
    <w:p w14:paraId="38E894A9" w14:textId="77777777" w:rsidR="00924992" w:rsidRDefault="00924992">
      <w:pPr>
        <w:spacing w:line="360" w:lineRule="exact"/>
      </w:pPr>
    </w:p>
    <w:p w14:paraId="4D9BD6B5" w14:textId="77777777" w:rsidR="00924992" w:rsidRDefault="00924992">
      <w:pPr>
        <w:spacing w:line="360" w:lineRule="exact"/>
      </w:pPr>
    </w:p>
    <w:p w14:paraId="6E88CA3F" w14:textId="77777777" w:rsidR="00924992" w:rsidRDefault="00924992">
      <w:pPr>
        <w:spacing w:line="360" w:lineRule="exact"/>
      </w:pPr>
    </w:p>
    <w:p w14:paraId="10C3D3B1" w14:textId="77777777" w:rsidR="00924992" w:rsidRDefault="00924992">
      <w:pPr>
        <w:spacing w:line="360" w:lineRule="exact"/>
      </w:pPr>
    </w:p>
    <w:p w14:paraId="439CEA11" w14:textId="77777777" w:rsidR="00924992" w:rsidRDefault="00924992">
      <w:pPr>
        <w:spacing w:line="360" w:lineRule="exact"/>
      </w:pPr>
    </w:p>
    <w:p w14:paraId="75CC73ED" w14:textId="77777777" w:rsidR="00924992" w:rsidRDefault="00924992">
      <w:pPr>
        <w:spacing w:line="360" w:lineRule="exact"/>
      </w:pPr>
    </w:p>
    <w:p w14:paraId="3F883E90" w14:textId="77777777" w:rsidR="00924992" w:rsidRDefault="00924992">
      <w:pPr>
        <w:spacing w:line="360" w:lineRule="exact"/>
      </w:pPr>
    </w:p>
    <w:p w14:paraId="68D4F0B4" w14:textId="77777777" w:rsidR="00924992" w:rsidRDefault="00924992">
      <w:pPr>
        <w:spacing w:line="360" w:lineRule="exact"/>
      </w:pPr>
    </w:p>
    <w:p w14:paraId="4C2313CA" w14:textId="77777777" w:rsidR="00924992" w:rsidRDefault="00924992">
      <w:pPr>
        <w:spacing w:line="360" w:lineRule="exact"/>
      </w:pPr>
    </w:p>
    <w:p w14:paraId="78BB0385" w14:textId="77777777" w:rsidR="00924992" w:rsidRDefault="00924992">
      <w:pPr>
        <w:spacing w:line="360" w:lineRule="exact"/>
      </w:pPr>
    </w:p>
    <w:p w14:paraId="39830F09" w14:textId="77777777" w:rsidR="00924992" w:rsidRDefault="00924992">
      <w:pPr>
        <w:spacing w:line="360" w:lineRule="exact"/>
      </w:pPr>
    </w:p>
    <w:p w14:paraId="73E4A0B6" w14:textId="77777777" w:rsidR="00924992" w:rsidRDefault="00924992">
      <w:pPr>
        <w:spacing w:line="360" w:lineRule="exact"/>
      </w:pPr>
    </w:p>
    <w:p w14:paraId="24F65B28" w14:textId="77777777" w:rsidR="00924992" w:rsidRDefault="00924992">
      <w:pPr>
        <w:spacing w:line="360" w:lineRule="exact"/>
      </w:pPr>
    </w:p>
    <w:p w14:paraId="1A13DCE2" w14:textId="77777777" w:rsidR="00924992" w:rsidRDefault="00924992">
      <w:pPr>
        <w:spacing w:line="360" w:lineRule="exact"/>
      </w:pPr>
    </w:p>
    <w:p w14:paraId="070D8B4B" w14:textId="77777777" w:rsidR="00924992" w:rsidRDefault="00924992">
      <w:pPr>
        <w:spacing w:line="360" w:lineRule="exact"/>
      </w:pPr>
    </w:p>
    <w:p w14:paraId="2DA570C6" w14:textId="77777777" w:rsidR="00924992" w:rsidRDefault="00924992">
      <w:pPr>
        <w:spacing w:after="671" w:line="1" w:lineRule="exact"/>
      </w:pPr>
    </w:p>
    <w:p w14:paraId="3EE41C12" w14:textId="77777777" w:rsidR="00924992" w:rsidRDefault="00924992">
      <w:pPr>
        <w:spacing w:line="1" w:lineRule="exact"/>
        <w:sectPr w:rsidR="00924992" w:rsidSect="00924992">
          <w:pgSz w:w="13022" w:h="8501" w:orient="landscape"/>
          <w:pgMar w:top="1114" w:right="442" w:bottom="36" w:left="634" w:header="686" w:footer="3" w:gutter="0"/>
          <w:cols w:space="720"/>
          <w:noEndnote/>
          <w:docGrid w:linePitch="360"/>
          <w15:footnoteColumns w:val="1"/>
        </w:sectPr>
      </w:pPr>
    </w:p>
    <w:p w14:paraId="5015A499" w14:textId="77777777" w:rsidR="00924992" w:rsidRDefault="00924992">
      <w:pPr>
        <w:pStyle w:val="Heading31"/>
        <w:keepNext/>
        <w:keepLines/>
        <w:framePr w:w="6350" w:h="322" w:wrap="none" w:hAnchor="page" w:x="3169" w:y="1"/>
        <w:rPr>
          <w:sz w:val="16"/>
          <w:szCs w:val="16"/>
        </w:rPr>
      </w:pPr>
      <w:bookmarkStart w:id="391" w:name="bookmark1837"/>
      <w:bookmarkStart w:id="392" w:name="bookmark1838"/>
      <w:bookmarkStart w:id="393" w:name="bookmark1839"/>
      <w:r>
        <w:rPr>
          <w:b w:val="0"/>
          <w:bCs w:val="0"/>
          <w:color w:val="000000"/>
        </w:rPr>
        <w:t xml:space="preserve">Cuadro 4-7. </w:t>
      </w:r>
      <w:r>
        <w:rPr>
          <w:color w:val="000000"/>
        </w:rPr>
        <w:t xml:space="preserve">Productos tópicos contra micosis superficiales </w:t>
      </w:r>
      <w:r>
        <w:rPr>
          <w:rFonts w:ascii="Times New Roman" w:eastAsia="Times New Roman" w:hAnsi="Times New Roman" w:cs="Times New Roman"/>
          <w:b w:val="0"/>
          <w:bCs w:val="0"/>
          <w:i/>
          <w:iCs/>
          <w:color w:val="000000"/>
          <w:w w:val="100"/>
          <w:sz w:val="16"/>
          <w:szCs w:val="16"/>
        </w:rPr>
        <w:t>continuación</w:t>
      </w:r>
      <w:bookmarkEnd w:id="391"/>
      <w:bookmarkEnd w:id="392"/>
      <w:bookmarkEnd w:id="393"/>
    </w:p>
    <w:tbl>
      <w:tblPr>
        <w:tblOverlap w:val="never"/>
        <w:tblW w:w="0" w:type="auto"/>
        <w:tblLayout w:type="fixed"/>
        <w:tblCellMar>
          <w:left w:w="10" w:type="dxa"/>
          <w:right w:w="10" w:type="dxa"/>
        </w:tblCellMar>
        <w:tblLook w:val="04A0" w:firstRow="1" w:lastRow="0" w:firstColumn="1" w:lastColumn="0" w:noHBand="0" w:noVBand="1"/>
      </w:tblPr>
      <w:tblGrid>
        <w:gridCol w:w="1258"/>
        <w:gridCol w:w="1416"/>
        <w:gridCol w:w="3053"/>
        <w:gridCol w:w="1277"/>
        <w:gridCol w:w="4411"/>
      </w:tblGrid>
      <w:tr w:rsidR="00924992" w14:paraId="4CC290D0" w14:textId="77777777">
        <w:tblPrEx>
          <w:tblCellMar>
            <w:top w:w="0" w:type="dxa"/>
            <w:bottom w:w="0" w:type="dxa"/>
          </w:tblCellMar>
        </w:tblPrEx>
        <w:trPr>
          <w:trHeight w:hRule="exact" w:val="274"/>
        </w:trPr>
        <w:tc>
          <w:tcPr>
            <w:tcW w:w="1258" w:type="dxa"/>
            <w:shd w:val="clear" w:color="auto" w:fill="000000"/>
            <w:vAlign w:val="bottom"/>
          </w:tcPr>
          <w:p w14:paraId="6958550D" w14:textId="77777777" w:rsidR="00924992" w:rsidRDefault="00924992">
            <w:pPr>
              <w:pStyle w:val="Other0"/>
              <w:framePr w:w="11414" w:h="576" w:wrap="none" w:hAnchor="page" w:x="635" w:y="371"/>
              <w:pBdr>
                <w:top w:val="single" w:sz="0" w:space="0" w:color="000000"/>
                <w:left w:val="single" w:sz="0" w:space="0" w:color="000000"/>
                <w:bottom w:val="single" w:sz="0" w:space="0" w:color="000000"/>
                <w:right w:val="single" w:sz="0" w:space="0" w:color="000000"/>
              </w:pBdr>
              <w:shd w:val="clear" w:color="auto" w:fill="000000"/>
              <w:spacing w:line="240" w:lineRule="auto"/>
              <w:ind w:firstLine="0"/>
              <w:rPr>
                <w:sz w:val="24"/>
                <w:szCs w:val="24"/>
              </w:rPr>
            </w:pPr>
            <w:r>
              <w:rPr>
                <w:rFonts w:ascii="Arial" w:eastAsia="Arial" w:hAnsi="Arial" w:cs="Arial"/>
                <w:b/>
                <w:bCs/>
                <w:color w:val="FFFFFF"/>
                <w:w w:val="70"/>
                <w:sz w:val="24"/>
                <w:szCs w:val="24"/>
              </w:rPr>
              <w:t>Fármaco</w:t>
            </w:r>
          </w:p>
        </w:tc>
        <w:tc>
          <w:tcPr>
            <w:tcW w:w="1416" w:type="dxa"/>
            <w:shd w:val="clear" w:color="auto" w:fill="000000"/>
            <w:vAlign w:val="bottom"/>
          </w:tcPr>
          <w:p w14:paraId="7CC3BAE5" w14:textId="77777777" w:rsidR="00924992" w:rsidRDefault="00924992">
            <w:pPr>
              <w:pStyle w:val="Other0"/>
              <w:framePr w:w="11414" w:h="576" w:wrap="none" w:hAnchor="page" w:x="635" w:y="371"/>
              <w:pBdr>
                <w:top w:val="single" w:sz="0" w:space="0" w:color="000000"/>
                <w:left w:val="single" w:sz="0" w:space="0" w:color="000000"/>
                <w:bottom w:val="single" w:sz="0" w:space="0" w:color="000000"/>
                <w:right w:val="single" w:sz="0" w:space="0" w:color="000000"/>
              </w:pBdr>
              <w:shd w:val="clear" w:color="auto" w:fill="000000"/>
              <w:spacing w:line="240" w:lineRule="auto"/>
              <w:ind w:firstLine="480"/>
              <w:rPr>
                <w:sz w:val="24"/>
                <w:szCs w:val="24"/>
              </w:rPr>
            </w:pPr>
            <w:r>
              <w:rPr>
                <w:rFonts w:ascii="Arial" w:eastAsia="Arial" w:hAnsi="Arial" w:cs="Arial"/>
                <w:b/>
                <w:bCs/>
                <w:color w:val="FFFFFF"/>
                <w:w w:val="70"/>
                <w:sz w:val="24"/>
                <w:szCs w:val="24"/>
              </w:rPr>
              <w:t>Potencia</w:t>
            </w:r>
          </w:p>
        </w:tc>
        <w:tc>
          <w:tcPr>
            <w:tcW w:w="3053" w:type="dxa"/>
            <w:shd w:val="clear" w:color="auto" w:fill="000000"/>
            <w:vAlign w:val="bottom"/>
          </w:tcPr>
          <w:p w14:paraId="7BE5E7F6" w14:textId="77777777" w:rsidR="00924992" w:rsidRDefault="00924992">
            <w:pPr>
              <w:pStyle w:val="Other0"/>
              <w:framePr w:w="11414" w:h="576" w:wrap="none" w:hAnchor="page" w:x="635" w:y="371"/>
              <w:pBdr>
                <w:top w:val="single" w:sz="0" w:space="0" w:color="000000"/>
                <w:left w:val="single" w:sz="0" w:space="0" w:color="000000"/>
                <w:bottom w:val="single" w:sz="0" w:space="0" w:color="000000"/>
                <w:right w:val="single" w:sz="0" w:space="0" w:color="000000"/>
              </w:pBdr>
              <w:shd w:val="clear" w:color="auto" w:fill="000000"/>
              <w:spacing w:line="240" w:lineRule="auto"/>
              <w:ind w:firstLine="200"/>
              <w:rPr>
                <w:sz w:val="24"/>
                <w:szCs w:val="24"/>
              </w:rPr>
            </w:pPr>
            <w:r>
              <w:rPr>
                <w:rFonts w:ascii="Arial" w:eastAsia="Arial" w:hAnsi="Arial" w:cs="Arial"/>
                <w:b/>
                <w:bCs/>
                <w:color w:val="FFFFFF"/>
                <w:w w:val="70"/>
                <w:sz w:val="24"/>
                <w:szCs w:val="24"/>
              </w:rPr>
              <w:t>Presentación Nombre comercial</w:t>
            </w:r>
          </w:p>
        </w:tc>
        <w:tc>
          <w:tcPr>
            <w:tcW w:w="1277" w:type="dxa"/>
            <w:shd w:val="clear" w:color="auto" w:fill="000000"/>
            <w:vAlign w:val="bottom"/>
          </w:tcPr>
          <w:p w14:paraId="3E00C37A" w14:textId="77777777" w:rsidR="00924992" w:rsidRDefault="00924992">
            <w:pPr>
              <w:pStyle w:val="Other0"/>
              <w:framePr w:w="11414" w:h="576" w:wrap="none" w:hAnchor="page" w:x="635" w:y="371"/>
              <w:pBdr>
                <w:top w:val="single" w:sz="0" w:space="0" w:color="000000"/>
                <w:left w:val="single" w:sz="0" w:space="0" w:color="000000"/>
                <w:bottom w:val="single" w:sz="0" w:space="0" w:color="000000"/>
                <w:right w:val="single" w:sz="0" w:space="0" w:color="000000"/>
              </w:pBdr>
              <w:shd w:val="clear" w:color="auto" w:fill="000000"/>
              <w:spacing w:line="240" w:lineRule="auto"/>
              <w:ind w:firstLine="0"/>
              <w:rPr>
                <w:sz w:val="24"/>
                <w:szCs w:val="24"/>
              </w:rPr>
            </w:pPr>
            <w:r>
              <w:rPr>
                <w:rFonts w:ascii="Arial" w:eastAsia="Arial" w:hAnsi="Arial" w:cs="Arial"/>
                <w:b/>
                <w:bCs/>
                <w:color w:val="FFFFFF"/>
                <w:w w:val="70"/>
                <w:sz w:val="24"/>
                <w:szCs w:val="24"/>
              </w:rPr>
              <w:t>Aplicaciones</w:t>
            </w:r>
          </w:p>
        </w:tc>
        <w:tc>
          <w:tcPr>
            <w:tcW w:w="4411" w:type="dxa"/>
            <w:shd w:val="clear" w:color="auto" w:fill="000000"/>
            <w:vAlign w:val="bottom"/>
          </w:tcPr>
          <w:p w14:paraId="3E57E395" w14:textId="77777777" w:rsidR="00924992" w:rsidRDefault="00924992">
            <w:pPr>
              <w:pStyle w:val="Other0"/>
              <w:framePr w:w="11414" w:h="576" w:wrap="none" w:hAnchor="page" w:x="635" w:y="371"/>
              <w:pBdr>
                <w:top w:val="single" w:sz="0" w:space="0" w:color="000000"/>
                <w:left w:val="single" w:sz="0" w:space="0" w:color="000000"/>
                <w:bottom w:val="single" w:sz="0" w:space="0" w:color="000000"/>
                <w:right w:val="single" w:sz="0" w:space="0" w:color="000000"/>
              </w:pBdr>
              <w:shd w:val="clear" w:color="auto" w:fill="000000"/>
              <w:spacing w:line="240" w:lineRule="auto"/>
              <w:ind w:firstLine="0"/>
              <w:rPr>
                <w:sz w:val="24"/>
                <w:szCs w:val="24"/>
              </w:rPr>
            </w:pPr>
            <w:r>
              <w:rPr>
                <w:rFonts w:ascii="Arial" w:eastAsia="Arial" w:hAnsi="Arial" w:cs="Arial"/>
                <w:b/>
                <w:bCs/>
                <w:color w:val="FFFFFF"/>
                <w:w w:val="70"/>
                <w:sz w:val="24"/>
                <w:szCs w:val="24"/>
              </w:rPr>
              <w:t>Reacciones adversas/</w:t>
            </w:r>
          </w:p>
        </w:tc>
      </w:tr>
      <w:tr w:rsidR="00924992" w14:paraId="50E8BAFD" w14:textId="77777777">
        <w:tblPrEx>
          <w:tblCellMar>
            <w:top w:w="0" w:type="dxa"/>
            <w:bottom w:w="0" w:type="dxa"/>
          </w:tblCellMar>
        </w:tblPrEx>
        <w:trPr>
          <w:trHeight w:hRule="exact" w:val="302"/>
        </w:trPr>
        <w:tc>
          <w:tcPr>
            <w:tcW w:w="1258" w:type="dxa"/>
            <w:shd w:val="clear" w:color="auto" w:fill="000000"/>
          </w:tcPr>
          <w:p w14:paraId="5F3A528D" w14:textId="77777777" w:rsidR="00924992" w:rsidRDefault="00924992">
            <w:pPr>
              <w:framePr w:w="11414" w:h="576" w:wrap="none" w:hAnchor="page" w:x="635" w:y="371"/>
              <w:rPr>
                <w:sz w:val="10"/>
                <w:szCs w:val="10"/>
              </w:rPr>
            </w:pPr>
          </w:p>
        </w:tc>
        <w:tc>
          <w:tcPr>
            <w:tcW w:w="1416" w:type="dxa"/>
            <w:shd w:val="clear" w:color="auto" w:fill="000000"/>
          </w:tcPr>
          <w:p w14:paraId="5B7DE701" w14:textId="77777777" w:rsidR="00924992" w:rsidRDefault="00924992">
            <w:pPr>
              <w:framePr w:w="11414" w:h="576" w:wrap="none" w:hAnchor="page" w:x="635" w:y="371"/>
              <w:rPr>
                <w:sz w:val="10"/>
                <w:szCs w:val="10"/>
              </w:rPr>
            </w:pPr>
          </w:p>
        </w:tc>
        <w:tc>
          <w:tcPr>
            <w:tcW w:w="3053" w:type="dxa"/>
            <w:shd w:val="clear" w:color="auto" w:fill="000000"/>
          </w:tcPr>
          <w:p w14:paraId="0813EDE7" w14:textId="77777777" w:rsidR="00924992" w:rsidRDefault="00924992">
            <w:pPr>
              <w:pStyle w:val="Other0"/>
              <w:framePr w:w="11414" w:h="576" w:wrap="none" w:hAnchor="page" w:x="635" w:y="371"/>
              <w:pBdr>
                <w:top w:val="single" w:sz="0" w:space="0" w:color="000000"/>
                <w:left w:val="single" w:sz="0" w:space="0" w:color="000000"/>
                <w:bottom w:val="single" w:sz="0" w:space="0" w:color="000000"/>
                <w:right w:val="single" w:sz="0" w:space="0" w:color="000000"/>
              </w:pBdr>
              <w:shd w:val="clear" w:color="auto" w:fill="000000"/>
              <w:spacing w:line="240" w:lineRule="auto"/>
              <w:ind w:left="1440" w:firstLine="0"/>
              <w:rPr>
                <w:sz w:val="24"/>
                <w:szCs w:val="24"/>
              </w:rPr>
            </w:pPr>
            <w:r>
              <w:rPr>
                <w:rFonts w:ascii="Arial" w:eastAsia="Arial" w:hAnsi="Arial" w:cs="Arial"/>
                <w:b/>
                <w:bCs/>
                <w:color w:val="FFFFFF"/>
                <w:w w:val="70"/>
                <w:sz w:val="24"/>
                <w:szCs w:val="24"/>
              </w:rPr>
              <w:t>(ejemplos)</w:t>
            </w:r>
          </w:p>
        </w:tc>
        <w:tc>
          <w:tcPr>
            <w:tcW w:w="1277" w:type="dxa"/>
            <w:shd w:val="clear" w:color="auto" w:fill="000000"/>
          </w:tcPr>
          <w:p w14:paraId="7F9A76E7" w14:textId="77777777" w:rsidR="00924992" w:rsidRDefault="00924992">
            <w:pPr>
              <w:pStyle w:val="Other0"/>
              <w:framePr w:w="11414" w:h="576" w:wrap="none" w:hAnchor="page" w:x="635" w:y="371"/>
              <w:pBdr>
                <w:top w:val="single" w:sz="0" w:space="0" w:color="000000"/>
                <w:left w:val="single" w:sz="0" w:space="0" w:color="000000"/>
                <w:bottom w:val="single" w:sz="0" w:space="0" w:color="000000"/>
                <w:right w:val="single" w:sz="0" w:space="0" w:color="000000"/>
              </w:pBdr>
              <w:shd w:val="clear" w:color="auto" w:fill="000000"/>
              <w:spacing w:line="240" w:lineRule="auto"/>
              <w:ind w:firstLine="0"/>
              <w:rPr>
                <w:sz w:val="24"/>
                <w:szCs w:val="24"/>
              </w:rPr>
            </w:pPr>
            <w:r>
              <w:rPr>
                <w:rFonts w:ascii="Arial" w:eastAsia="Arial" w:hAnsi="Arial" w:cs="Arial"/>
                <w:b/>
                <w:bCs/>
                <w:color w:val="FFFFFF"/>
                <w:w w:val="70"/>
                <w:sz w:val="24"/>
                <w:szCs w:val="24"/>
              </w:rPr>
              <w:t>al día</w:t>
            </w:r>
          </w:p>
        </w:tc>
        <w:tc>
          <w:tcPr>
            <w:tcW w:w="4411" w:type="dxa"/>
            <w:shd w:val="clear" w:color="auto" w:fill="000000"/>
          </w:tcPr>
          <w:p w14:paraId="63D080C4" w14:textId="77777777" w:rsidR="00924992" w:rsidRDefault="00924992">
            <w:pPr>
              <w:pStyle w:val="Other0"/>
              <w:framePr w:w="11414" w:h="576" w:wrap="none" w:hAnchor="page" w:x="635" w:y="371"/>
              <w:pBdr>
                <w:top w:val="single" w:sz="0" w:space="0" w:color="000000"/>
                <w:left w:val="single" w:sz="0" w:space="0" w:color="000000"/>
                <w:bottom w:val="single" w:sz="0" w:space="0" w:color="000000"/>
                <w:right w:val="single" w:sz="0" w:space="0" w:color="000000"/>
              </w:pBdr>
              <w:shd w:val="clear" w:color="auto" w:fill="000000"/>
              <w:spacing w:line="240" w:lineRule="auto"/>
              <w:ind w:firstLine="0"/>
              <w:rPr>
                <w:sz w:val="24"/>
                <w:szCs w:val="24"/>
              </w:rPr>
            </w:pPr>
            <w:r>
              <w:rPr>
                <w:rFonts w:ascii="Arial" w:eastAsia="Arial" w:hAnsi="Arial" w:cs="Arial"/>
                <w:b/>
                <w:bCs/>
                <w:color w:val="FFFFFF"/>
                <w:w w:val="70"/>
                <w:sz w:val="24"/>
                <w:szCs w:val="24"/>
              </w:rPr>
              <w:t>comentarios</w:t>
            </w:r>
          </w:p>
        </w:tc>
      </w:tr>
    </w:tbl>
    <w:p w14:paraId="0B5A694F" w14:textId="77777777" w:rsidR="00924992" w:rsidRDefault="00924992">
      <w:pPr>
        <w:framePr w:w="11414" w:h="576" w:wrap="none" w:hAnchor="page" w:x="635" w:y="371"/>
        <w:spacing w:line="1" w:lineRule="exact"/>
      </w:pPr>
    </w:p>
    <w:tbl>
      <w:tblPr>
        <w:tblOverlap w:val="never"/>
        <w:tblW w:w="0" w:type="auto"/>
        <w:tblLayout w:type="fixed"/>
        <w:tblCellMar>
          <w:left w:w="10" w:type="dxa"/>
          <w:right w:w="10" w:type="dxa"/>
        </w:tblCellMar>
        <w:tblLook w:val="04A0" w:firstRow="1" w:lastRow="0" w:firstColumn="1" w:lastColumn="0" w:noHBand="0" w:noVBand="1"/>
      </w:tblPr>
      <w:tblGrid>
        <w:gridCol w:w="1670"/>
        <w:gridCol w:w="1104"/>
        <w:gridCol w:w="1171"/>
        <w:gridCol w:w="1584"/>
      </w:tblGrid>
      <w:tr w:rsidR="00924992" w14:paraId="0FB88E57" w14:textId="77777777">
        <w:tblPrEx>
          <w:tblCellMar>
            <w:top w:w="0" w:type="dxa"/>
            <w:bottom w:w="0" w:type="dxa"/>
          </w:tblCellMar>
        </w:tblPrEx>
        <w:trPr>
          <w:trHeight w:hRule="exact" w:val="211"/>
        </w:trPr>
        <w:tc>
          <w:tcPr>
            <w:tcW w:w="1670" w:type="dxa"/>
            <w:shd w:val="clear" w:color="auto" w:fill="FFFFFF"/>
          </w:tcPr>
          <w:p w14:paraId="2686B6AB" w14:textId="77777777" w:rsidR="00924992" w:rsidRDefault="00924992">
            <w:pPr>
              <w:pStyle w:val="Other0"/>
              <w:framePr w:w="5530" w:h="5986" w:wrap="none" w:hAnchor="page" w:x="673" w:y="985"/>
              <w:spacing w:line="240" w:lineRule="auto"/>
              <w:ind w:firstLine="0"/>
              <w:rPr>
                <w:sz w:val="16"/>
                <w:szCs w:val="16"/>
              </w:rPr>
            </w:pPr>
            <w:r>
              <w:rPr>
                <w:rFonts w:ascii="Times New Roman" w:eastAsia="Times New Roman" w:hAnsi="Times New Roman" w:cs="Times New Roman"/>
                <w:color w:val="000000"/>
                <w:sz w:val="16"/>
                <w:szCs w:val="16"/>
              </w:rPr>
              <w:t>Haloprogin (Rx)</w:t>
            </w:r>
          </w:p>
        </w:tc>
        <w:tc>
          <w:tcPr>
            <w:tcW w:w="1104" w:type="dxa"/>
            <w:shd w:val="clear" w:color="auto" w:fill="FFFFFF"/>
          </w:tcPr>
          <w:p w14:paraId="191A9617" w14:textId="77777777" w:rsidR="00924992" w:rsidRDefault="00924992">
            <w:pPr>
              <w:pStyle w:val="Other0"/>
              <w:framePr w:w="5530" w:h="5986" w:wrap="none" w:hAnchor="page" w:x="673" w:y="985"/>
              <w:spacing w:line="240" w:lineRule="auto"/>
              <w:ind w:firstLine="0"/>
              <w:rPr>
                <w:sz w:val="16"/>
                <w:szCs w:val="16"/>
              </w:rPr>
            </w:pPr>
            <w:r>
              <w:rPr>
                <w:rFonts w:ascii="Times New Roman" w:eastAsia="Times New Roman" w:hAnsi="Times New Roman" w:cs="Times New Roman"/>
                <w:color w:val="000000"/>
                <w:sz w:val="16"/>
                <w:szCs w:val="16"/>
              </w:rPr>
              <w:t>1%</w:t>
            </w:r>
          </w:p>
        </w:tc>
        <w:tc>
          <w:tcPr>
            <w:tcW w:w="1171" w:type="dxa"/>
            <w:shd w:val="clear" w:color="auto" w:fill="FFFFFF"/>
          </w:tcPr>
          <w:p w14:paraId="2BFCAD46" w14:textId="77777777" w:rsidR="00924992" w:rsidRDefault="00924992">
            <w:pPr>
              <w:pStyle w:val="Other0"/>
              <w:framePr w:w="5530" w:h="5986" w:wrap="none" w:hAnchor="page" w:x="673" w:y="985"/>
              <w:spacing w:line="240" w:lineRule="auto"/>
              <w:ind w:firstLine="0"/>
              <w:rPr>
                <w:sz w:val="16"/>
                <w:szCs w:val="16"/>
              </w:rPr>
            </w:pPr>
            <w:r>
              <w:rPr>
                <w:rFonts w:ascii="Times New Roman" w:eastAsia="Times New Roman" w:hAnsi="Times New Roman" w:cs="Times New Roman"/>
                <w:color w:val="000000"/>
                <w:sz w:val="16"/>
                <w:szCs w:val="16"/>
              </w:rPr>
              <w:t>C, S</w:t>
            </w:r>
          </w:p>
        </w:tc>
        <w:tc>
          <w:tcPr>
            <w:tcW w:w="1584" w:type="dxa"/>
            <w:shd w:val="clear" w:color="auto" w:fill="FFFFFF"/>
          </w:tcPr>
          <w:p w14:paraId="179023C2" w14:textId="77777777" w:rsidR="00924992" w:rsidRDefault="00924992">
            <w:pPr>
              <w:pStyle w:val="Other0"/>
              <w:framePr w:w="5530" w:h="5986" w:wrap="none" w:hAnchor="page" w:x="673" w:y="985"/>
              <w:spacing w:line="240" w:lineRule="auto"/>
              <w:ind w:firstLine="140"/>
              <w:rPr>
                <w:sz w:val="16"/>
                <w:szCs w:val="16"/>
              </w:rPr>
            </w:pPr>
            <w:r>
              <w:rPr>
                <w:rFonts w:ascii="Times New Roman" w:eastAsia="Times New Roman" w:hAnsi="Times New Roman" w:cs="Times New Roman"/>
                <w:color w:val="000000"/>
                <w:sz w:val="16"/>
                <w:szCs w:val="16"/>
              </w:rPr>
              <w:t>Halotex</w:t>
            </w:r>
          </w:p>
        </w:tc>
      </w:tr>
      <w:tr w:rsidR="00924992" w14:paraId="656F7530" w14:textId="77777777">
        <w:tblPrEx>
          <w:tblCellMar>
            <w:top w:w="0" w:type="dxa"/>
            <w:bottom w:w="0" w:type="dxa"/>
          </w:tblCellMar>
        </w:tblPrEx>
        <w:trPr>
          <w:trHeight w:hRule="exact" w:val="187"/>
        </w:trPr>
        <w:tc>
          <w:tcPr>
            <w:tcW w:w="1670" w:type="dxa"/>
            <w:shd w:val="clear" w:color="auto" w:fill="FFFFFF"/>
          </w:tcPr>
          <w:p w14:paraId="3639504F" w14:textId="77777777" w:rsidR="00924992" w:rsidRDefault="00924992">
            <w:pPr>
              <w:pStyle w:val="Other0"/>
              <w:framePr w:w="5530" w:h="5986" w:wrap="none" w:hAnchor="page" w:x="673" w:y="985"/>
              <w:spacing w:line="240" w:lineRule="auto"/>
              <w:ind w:firstLine="0"/>
              <w:rPr>
                <w:sz w:val="16"/>
                <w:szCs w:val="16"/>
              </w:rPr>
            </w:pPr>
            <w:r>
              <w:rPr>
                <w:rFonts w:ascii="Times New Roman" w:eastAsia="Times New Roman" w:hAnsi="Times New Roman" w:cs="Times New Roman"/>
                <w:color w:val="000000"/>
                <w:sz w:val="16"/>
                <w:szCs w:val="16"/>
              </w:rPr>
              <w:t>Hidrocortisona-</w:t>
            </w:r>
          </w:p>
        </w:tc>
        <w:tc>
          <w:tcPr>
            <w:tcW w:w="1104" w:type="dxa"/>
            <w:shd w:val="clear" w:color="auto" w:fill="FFFFFF"/>
          </w:tcPr>
          <w:p w14:paraId="4FCAC316" w14:textId="77777777" w:rsidR="00924992" w:rsidRDefault="00924992">
            <w:pPr>
              <w:pStyle w:val="Other0"/>
              <w:framePr w:w="5530" w:h="5986" w:wrap="none" w:hAnchor="page" w:x="673" w:y="985"/>
              <w:spacing w:line="240" w:lineRule="auto"/>
              <w:ind w:firstLine="0"/>
              <w:rPr>
                <w:sz w:val="16"/>
                <w:szCs w:val="16"/>
              </w:rPr>
            </w:pPr>
            <w:r>
              <w:rPr>
                <w:rFonts w:ascii="Times New Roman" w:eastAsia="Times New Roman" w:hAnsi="Times New Roman" w:cs="Times New Roman"/>
                <w:color w:val="000000"/>
                <w:sz w:val="16"/>
                <w:szCs w:val="16"/>
              </w:rPr>
              <w:t>1%</w:t>
            </w:r>
          </w:p>
        </w:tc>
        <w:tc>
          <w:tcPr>
            <w:tcW w:w="1171" w:type="dxa"/>
            <w:shd w:val="clear" w:color="auto" w:fill="FFFFFF"/>
          </w:tcPr>
          <w:p w14:paraId="30AAFB69" w14:textId="77777777" w:rsidR="00924992" w:rsidRDefault="00924992">
            <w:pPr>
              <w:pStyle w:val="Other0"/>
              <w:framePr w:w="5530" w:h="5986" w:wrap="none" w:hAnchor="page" w:x="673" w:y="985"/>
              <w:spacing w:line="240" w:lineRule="auto"/>
              <w:ind w:firstLine="0"/>
              <w:rPr>
                <w:sz w:val="16"/>
                <w:szCs w:val="16"/>
              </w:rPr>
            </w:pPr>
            <w:r>
              <w:rPr>
                <w:rFonts w:ascii="Times New Roman" w:eastAsia="Times New Roman" w:hAnsi="Times New Roman" w:cs="Times New Roman"/>
                <w:color w:val="000000"/>
                <w:sz w:val="16"/>
                <w:szCs w:val="16"/>
              </w:rPr>
              <w:t>C</w:t>
            </w:r>
          </w:p>
        </w:tc>
        <w:tc>
          <w:tcPr>
            <w:tcW w:w="1584" w:type="dxa"/>
            <w:vMerge w:val="restart"/>
            <w:shd w:val="clear" w:color="auto" w:fill="FFFFFF"/>
          </w:tcPr>
          <w:p w14:paraId="2A7BAB82" w14:textId="77777777" w:rsidR="00924992" w:rsidRDefault="00924992">
            <w:pPr>
              <w:pStyle w:val="Other0"/>
              <w:framePr w:w="5530" w:h="5986" w:wrap="none" w:hAnchor="page" w:x="673" w:y="985"/>
              <w:spacing w:line="240" w:lineRule="auto"/>
              <w:ind w:firstLine="140"/>
              <w:rPr>
                <w:sz w:val="16"/>
                <w:szCs w:val="16"/>
              </w:rPr>
            </w:pPr>
            <w:r>
              <w:rPr>
                <w:rFonts w:ascii="Times New Roman" w:eastAsia="Times New Roman" w:hAnsi="Times New Roman" w:cs="Times New Roman"/>
                <w:color w:val="000000"/>
                <w:sz w:val="16"/>
                <w:szCs w:val="16"/>
              </w:rPr>
              <w:t>Vytone Dermazene</w:t>
            </w:r>
          </w:p>
        </w:tc>
      </w:tr>
      <w:tr w:rsidR="00924992" w14:paraId="1152D058" w14:textId="77777777">
        <w:tblPrEx>
          <w:tblCellMar>
            <w:top w:w="0" w:type="dxa"/>
            <w:bottom w:w="0" w:type="dxa"/>
          </w:tblCellMar>
        </w:tblPrEx>
        <w:trPr>
          <w:trHeight w:hRule="exact" w:val="317"/>
        </w:trPr>
        <w:tc>
          <w:tcPr>
            <w:tcW w:w="1670" w:type="dxa"/>
            <w:shd w:val="clear" w:color="auto" w:fill="FFFFFF"/>
          </w:tcPr>
          <w:p w14:paraId="7FEF9FE7" w14:textId="77777777" w:rsidR="00924992" w:rsidRDefault="00924992">
            <w:pPr>
              <w:pStyle w:val="Other0"/>
              <w:framePr w:w="5530" w:h="5986" w:wrap="none" w:hAnchor="page" w:x="673" w:y="985"/>
              <w:spacing w:line="240" w:lineRule="auto"/>
              <w:ind w:firstLine="0"/>
              <w:rPr>
                <w:sz w:val="16"/>
                <w:szCs w:val="16"/>
              </w:rPr>
            </w:pPr>
            <w:r>
              <w:rPr>
                <w:rFonts w:ascii="Times New Roman" w:eastAsia="Times New Roman" w:hAnsi="Times New Roman" w:cs="Times New Roman"/>
                <w:color w:val="000000"/>
                <w:sz w:val="16"/>
                <w:szCs w:val="16"/>
              </w:rPr>
              <w:t>yodoquinol (Rx)</w:t>
            </w:r>
          </w:p>
        </w:tc>
        <w:tc>
          <w:tcPr>
            <w:tcW w:w="1104" w:type="dxa"/>
            <w:shd w:val="clear" w:color="auto" w:fill="FFFFFF"/>
          </w:tcPr>
          <w:p w14:paraId="26D66F95" w14:textId="77777777" w:rsidR="00924992" w:rsidRDefault="00924992">
            <w:pPr>
              <w:framePr w:w="5530" w:h="5986" w:wrap="none" w:hAnchor="page" w:x="673" w:y="985"/>
              <w:rPr>
                <w:sz w:val="10"/>
                <w:szCs w:val="10"/>
              </w:rPr>
            </w:pPr>
          </w:p>
        </w:tc>
        <w:tc>
          <w:tcPr>
            <w:tcW w:w="1171" w:type="dxa"/>
            <w:shd w:val="clear" w:color="auto" w:fill="FFFFFF"/>
          </w:tcPr>
          <w:p w14:paraId="0B837AFA" w14:textId="77777777" w:rsidR="00924992" w:rsidRDefault="00924992">
            <w:pPr>
              <w:framePr w:w="5530" w:h="5986" w:wrap="none" w:hAnchor="page" w:x="673" w:y="985"/>
              <w:rPr>
                <w:sz w:val="10"/>
                <w:szCs w:val="10"/>
              </w:rPr>
            </w:pPr>
          </w:p>
        </w:tc>
        <w:tc>
          <w:tcPr>
            <w:tcW w:w="1584" w:type="dxa"/>
            <w:vMerge/>
            <w:shd w:val="clear" w:color="auto" w:fill="FFFFFF"/>
          </w:tcPr>
          <w:p w14:paraId="4E11861C" w14:textId="77777777" w:rsidR="00924992" w:rsidRDefault="00924992">
            <w:pPr>
              <w:framePr w:w="5530" w:h="5986" w:wrap="none" w:hAnchor="page" w:x="673" w:y="985"/>
            </w:pPr>
          </w:p>
        </w:tc>
      </w:tr>
      <w:tr w:rsidR="00924992" w14:paraId="1FA03FE7" w14:textId="77777777">
        <w:tblPrEx>
          <w:tblCellMar>
            <w:top w:w="0" w:type="dxa"/>
            <w:bottom w:w="0" w:type="dxa"/>
          </w:tblCellMar>
        </w:tblPrEx>
        <w:trPr>
          <w:trHeight w:hRule="exact" w:val="485"/>
        </w:trPr>
        <w:tc>
          <w:tcPr>
            <w:tcW w:w="1670" w:type="dxa"/>
            <w:shd w:val="clear" w:color="auto" w:fill="FFFFFF"/>
            <w:vAlign w:val="center"/>
          </w:tcPr>
          <w:p w14:paraId="310F7039" w14:textId="77777777" w:rsidR="00924992" w:rsidRDefault="00924992">
            <w:pPr>
              <w:pStyle w:val="Other0"/>
              <w:framePr w:w="5530" w:h="5986" w:wrap="none" w:hAnchor="page" w:x="673" w:y="985"/>
              <w:spacing w:line="240" w:lineRule="auto"/>
              <w:ind w:firstLine="0"/>
              <w:rPr>
                <w:sz w:val="16"/>
                <w:szCs w:val="16"/>
              </w:rPr>
            </w:pPr>
            <w:r>
              <w:rPr>
                <w:rFonts w:ascii="Times New Roman" w:eastAsia="Times New Roman" w:hAnsi="Times New Roman" w:cs="Times New Roman"/>
                <w:color w:val="000000"/>
                <w:sz w:val="16"/>
                <w:szCs w:val="16"/>
              </w:rPr>
              <w:t>Ketoconazol (Rx)</w:t>
            </w:r>
          </w:p>
        </w:tc>
        <w:tc>
          <w:tcPr>
            <w:tcW w:w="1104" w:type="dxa"/>
            <w:shd w:val="clear" w:color="auto" w:fill="FFFFFF"/>
            <w:vAlign w:val="center"/>
          </w:tcPr>
          <w:p w14:paraId="385113A6" w14:textId="77777777" w:rsidR="00924992" w:rsidRDefault="00924992">
            <w:pPr>
              <w:pStyle w:val="Other0"/>
              <w:framePr w:w="5530" w:h="5986" w:wrap="none" w:hAnchor="page" w:x="673" w:y="985"/>
              <w:spacing w:line="240" w:lineRule="auto"/>
              <w:ind w:firstLine="0"/>
              <w:rPr>
                <w:sz w:val="16"/>
                <w:szCs w:val="16"/>
              </w:rPr>
            </w:pPr>
            <w:r>
              <w:rPr>
                <w:rFonts w:ascii="Times New Roman" w:eastAsia="Times New Roman" w:hAnsi="Times New Roman" w:cs="Times New Roman"/>
                <w:color w:val="000000"/>
                <w:sz w:val="16"/>
                <w:szCs w:val="16"/>
              </w:rPr>
              <w:t>2%</w:t>
            </w:r>
          </w:p>
        </w:tc>
        <w:tc>
          <w:tcPr>
            <w:tcW w:w="1171" w:type="dxa"/>
            <w:shd w:val="clear" w:color="auto" w:fill="FFFFFF"/>
            <w:vAlign w:val="center"/>
          </w:tcPr>
          <w:p w14:paraId="196B9216" w14:textId="77777777" w:rsidR="00924992" w:rsidRDefault="00924992">
            <w:pPr>
              <w:pStyle w:val="Other0"/>
              <w:framePr w:w="5530" w:h="5986" w:wrap="none" w:hAnchor="page" w:x="673" w:y="985"/>
              <w:spacing w:line="240" w:lineRule="auto"/>
              <w:ind w:firstLine="0"/>
              <w:rPr>
                <w:sz w:val="16"/>
                <w:szCs w:val="16"/>
              </w:rPr>
            </w:pPr>
            <w:r>
              <w:rPr>
                <w:rFonts w:ascii="Times New Roman" w:eastAsia="Times New Roman" w:hAnsi="Times New Roman" w:cs="Times New Roman"/>
                <w:color w:val="000000"/>
                <w:sz w:val="16"/>
                <w:szCs w:val="16"/>
              </w:rPr>
              <w:t>C, Sh</w:t>
            </w:r>
          </w:p>
        </w:tc>
        <w:tc>
          <w:tcPr>
            <w:tcW w:w="1584" w:type="dxa"/>
            <w:shd w:val="clear" w:color="auto" w:fill="FFFFFF"/>
            <w:vAlign w:val="center"/>
          </w:tcPr>
          <w:p w14:paraId="4ED0141B" w14:textId="77777777" w:rsidR="00924992" w:rsidRDefault="00924992">
            <w:pPr>
              <w:pStyle w:val="Other0"/>
              <w:framePr w:w="5530" w:h="5986" w:wrap="none" w:hAnchor="page" w:x="673" w:y="985"/>
              <w:spacing w:line="240" w:lineRule="auto"/>
              <w:ind w:firstLine="140"/>
              <w:rPr>
                <w:sz w:val="16"/>
                <w:szCs w:val="16"/>
              </w:rPr>
            </w:pPr>
            <w:r>
              <w:rPr>
                <w:rFonts w:ascii="Times New Roman" w:eastAsia="Times New Roman" w:hAnsi="Times New Roman" w:cs="Times New Roman"/>
                <w:color w:val="000000"/>
                <w:sz w:val="16"/>
                <w:szCs w:val="16"/>
              </w:rPr>
              <w:t>Nizoral</w:t>
            </w:r>
          </w:p>
        </w:tc>
      </w:tr>
      <w:tr w:rsidR="00924992" w14:paraId="36B00AE6" w14:textId="77777777">
        <w:tblPrEx>
          <w:tblCellMar>
            <w:top w:w="0" w:type="dxa"/>
            <w:bottom w:w="0" w:type="dxa"/>
          </w:tblCellMar>
        </w:tblPrEx>
        <w:trPr>
          <w:trHeight w:hRule="exact" w:val="413"/>
        </w:trPr>
        <w:tc>
          <w:tcPr>
            <w:tcW w:w="1670" w:type="dxa"/>
            <w:shd w:val="clear" w:color="auto" w:fill="FFFFFF"/>
            <w:vAlign w:val="bottom"/>
          </w:tcPr>
          <w:p w14:paraId="61C05091" w14:textId="77777777" w:rsidR="00924992" w:rsidRDefault="00924992">
            <w:pPr>
              <w:pStyle w:val="Other0"/>
              <w:framePr w:w="5530" w:h="5986" w:wrap="none" w:hAnchor="page" w:x="673" w:y="985"/>
              <w:spacing w:line="240" w:lineRule="auto"/>
              <w:ind w:firstLine="0"/>
              <w:rPr>
                <w:sz w:val="16"/>
                <w:szCs w:val="16"/>
              </w:rPr>
            </w:pPr>
            <w:r>
              <w:rPr>
                <w:rFonts w:ascii="Times New Roman" w:eastAsia="Times New Roman" w:hAnsi="Times New Roman" w:cs="Times New Roman"/>
                <w:color w:val="000000"/>
                <w:sz w:val="16"/>
                <w:szCs w:val="16"/>
              </w:rPr>
              <w:t>Miconazol (Rx</w:t>
            </w:r>
          </w:p>
        </w:tc>
        <w:tc>
          <w:tcPr>
            <w:tcW w:w="1104" w:type="dxa"/>
            <w:shd w:val="clear" w:color="auto" w:fill="FFFFFF"/>
            <w:vAlign w:val="bottom"/>
          </w:tcPr>
          <w:p w14:paraId="29DFA7BD" w14:textId="77777777" w:rsidR="00924992" w:rsidRDefault="00924992">
            <w:pPr>
              <w:pStyle w:val="Other0"/>
              <w:framePr w:w="5530" w:h="5986" w:wrap="none" w:hAnchor="page" w:x="673" w:y="985"/>
              <w:spacing w:line="240" w:lineRule="auto"/>
              <w:ind w:firstLine="0"/>
              <w:rPr>
                <w:sz w:val="16"/>
                <w:szCs w:val="16"/>
              </w:rPr>
            </w:pPr>
            <w:r>
              <w:rPr>
                <w:rFonts w:ascii="Times New Roman" w:eastAsia="Times New Roman" w:hAnsi="Times New Roman" w:cs="Times New Roman"/>
                <w:color w:val="000000"/>
                <w:sz w:val="16"/>
                <w:szCs w:val="16"/>
              </w:rPr>
              <w:t>2%</w:t>
            </w:r>
          </w:p>
        </w:tc>
        <w:tc>
          <w:tcPr>
            <w:tcW w:w="1171" w:type="dxa"/>
            <w:shd w:val="clear" w:color="auto" w:fill="FFFFFF"/>
            <w:vAlign w:val="bottom"/>
          </w:tcPr>
          <w:p w14:paraId="0432C811" w14:textId="77777777" w:rsidR="00924992" w:rsidRDefault="00924992">
            <w:pPr>
              <w:pStyle w:val="Other0"/>
              <w:framePr w:w="5530" w:h="5986" w:wrap="none" w:hAnchor="page" w:x="673" w:y="985"/>
              <w:spacing w:line="240" w:lineRule="auto"/>
              <w:ind w:firstLine="0"/>
              <w:rPr>
                <w:sz w:val="16"/>
                <w:szCs w:val="16"/>
              </w:rPr>
            </w:pPr>
            <w:r>
              <w:rPr>
                <w:rFonts w:ascii="Times New Roman" w:eastAsia="Times New Roman" w:hAnsi="Times New Roman" w:cs="Times New Roman"/>
                <w:color w:val="000000"/>
                <w:sz w:val="16"/>
                <w:szCs w:val="16"/>
              </w:rPr>
              <w:t>O, C, P, S,</w:t>
            </w:r>
          </w:p>
        </w:tc>
        <w:tc>
          <w:tcPr>
            <w:tcW w:w="1584" w:type="dxa"/>
            <w:shd w:val="clear" w:color="auto" w:fill="FFFFFF"/>
            <w:vAlign w:val="bottom"/>
          </w:tcPr>
          <w:p w14:paraId="2B31F5D1" w14:textId="77777777" w:rsidR="00924992" w:rsidRDefault="00924992">
            <w:pPr>
              <w:pStyle w:val="Other0"/>
              <w:framePr w:w="5530" w:h="5986" w:wrap="none" w:hAnchor="page" w:x="673" w:y="985"/>
              <w:spacing w:line="240" w:lineRule="auto"/>
              <w:ind w:firstLine="140"/>
              <w:rPr>
                <w:sz w:val="16"/>
                <w:szCs w:val="16"/>
              </w:rPr>
            </w:pPr>
            <w:r>
              <w:rPr>
                <w:rFonts w:ascii="Times New Roman" w:eastAsia="Times New Roman" w:hAnsi="Times New Roman" w:cs="Times New Roman"/>
                <w:color w:val="000000"/>
                <w:sz w:val="16"/>
                <w:szCs w:val="16"/>
              </w:rPr>
              <w:t>&gt;10 preparaciones;</w:t>
            </w:r>
          </w:p>
        </w:tc>
      </w:tr>
      <w:tr w:rsidR="00924992" w14:paraId="3BFF34BF" w14:textId="77777777">
        <w:tblPrEx>
          <w:tblCellMar>
            <w:top w:w="0" w:type="dxa"/>
            <w:bottom w:w="0" w:type="dxa"/>
          </w:tblCellMar>
        </w:tblPrEx>
        <w:trPr>
          <w:trHeight w:hRule="exact" w:val="782"/>
        </w:trPr>
        <w:tc>
          <w:tcPr>
            <w:tcW w:w="1670" w:type="dxa"/>
            <w:shd w:val="clear" w:color="auto" w:fill="FFFFFF"/>
          </w:tcPr>
          <w:p w14:paraId="1A9EE755" w14:textId="77777777" w:rsidR="00924992" w:rsidRDefault="00924992">
            <w:pPr>
              <w:pStyle w:val="Other0"/>
              <w:framePr w:w="5530" w:h="5986" w:wrap="none" w:hAnchor="page" w:x="673" w:y="985"/>
              <w:spacing w:line="240" w:lineRule="auto"/>
              <w:ind w:firstLine="0"/>
              <w:rPr>
                <w:sz w:val="16"/>
                <w:szCs w:val="16"/>
              </w:rPr>
            </w:pPr>
            <w:r>
              <w:rPr>
                <w:rFonts w:ascii="Times New Roman" w:eastAsia="Times New Roman" w:hAnsi="Times New Roman" w:cs="Times New Roman"/>
                <w:color w:val="000000"/>
                <w:sz w:val="16"/>
                <w:szCs w:val="16"/>
              </w:rPr>
              <w:t>y OTC)</w:t>
            </w:r>
          </w:p>
        </w:tc>
        <w:tc>
          <w:tcPr>
            <w:tcW w:w="1104" w:type="dxa"/>
            <w:shd w:val="clear" w:color="auto" w:fill="FFFFFF"/>
          </w:tcPr>
          <w:p w14:paraId="5D1D702F" w14:textId="77777777" w:rsidR="00924992" w:rsidRDefault="00924992">
            <w:pPr>
              <w:framePr w:w="5530" w:h="5986" w:wrap="none" w:hAnchor="page" w:x="673" w:y="985"/>
              <w:rPr>
                <w:sz w:val="10"/>
                <w:szCs w:val="10"/>
              </w:rPr>
            </w:pPr>
          </w:p>
        </w:tc>
        <w:tc>
          <w:tcPr>
            <w:tcW w:w="1171" w:type="dxa"/>
            <w:shd w:val="clear" w:color="auto" w:fill="FFFFFF"/>
          </w:tcPr>
          <w:p w14:paraId="4D659FC7" w14:textId="77777777" w:rsidR="00924992" w:rsidRDefault="00924992">
            <w:pPr>
              <w:pStyle w:val="Other0"/>
              <w:framePr w:w="5530" w:h="5986" w:wrap="none" w:hAnchor="page" w:x="673" w:y="985"/>
              <w:spacing w:line="240" w:lineRule="auto"/>
              <w:ind w:firstLine="160"/>
              <w:rPr>
                <w:sz w:val="16"/>
                <w:szCs w:val="16"/>
              </w:rPr>
            </w:pPr>
            <w:r>
              <w:rPr>
                <w:rFonts w:ascii="Times New Roman" w:eastAsia="Times New Roman" w:hAnsi="Times New Roman" w:cs="Times New Roman"/>
                <w:color w:val="000000"/>
                <w:sz w:val="16"/>
                <w:szCs w:val="16"/>
              </w:rPr>
              <w:t>SpP, SpL</w:t>
            </w:r>
          </w:p>
        </w:tc>
        <w:tc>
          <w:tcPr>
            <w:tcW w:w="1584" w:type="dxa"/>
            <w:shd w:val="clear" w:color="auto" w:fill="FFFFFF"/>
          </w:tcPr>
          <w:p w14:paraId="4EAF73ED" w14:textId="77777777" w:rsidR="00924992" w:rsidRDefault="00924992">
            <w:pPr>
              <w:pStyle w:val="Other0"/>
              <w:framePr w:w="5530" w:h="5986" w:wrap="none" w:hAnchor="page" w:x="673" w:y="985"/>
              <w:spacing w:line="264" w:lineRule="auto"/>
              <w:ind w:left="240" w:firstLine="0"/>
              <w:rPr>
                <w:sz w:val="16"/>
                <w:szCs w:val="16"/>
              </w:rPr>
            </w:pPr>
            <w:r>
              <w:rPr>
                <w:rFonts w:ascii="Times New Roman" w:eastAsia="Times New Roman" w:hAnsi="Times New Roman" w:cs="Times New Roman"/>
                <w:color w:val="000000"/>
                <w:sz w:val="16"/>
                <w:szCs w:val="16"/>
              </w:rPr>
              <w:t>consultar con el farmacéutico</w:t>
            </w:r>
            <w:r>
              <w:rPr>
                <w:rFonts w:ascii="Times New Roman" w:eastAsia="Times New Roman" w:hAnsi="Times New Roman" w:cs="Times New Roman"/>
                <w:color w:val="000000"/>
                <w:sz w:val="16"/>
                <w:szCs w:val="16"/>
                <w:vertAlign w:val="superscript"/>
              </w:rPr>
              <w:t>1</w:t>
            </w:r>
          </w:p>
        </w:tc>
      </w:tr>
      <w:tr w:rsidR="00924992" w14:paraId="7F1D6C51" w14:textId="77777777">
        <w:tblPrEx>
          <w:tblCellMar>
            <w:top w:w="0" w:type="dxa"/>
            <w:bottom w:w="0" w:type="dxa"/>
          </w:tblCellMar>
        </w:tblPrEx>
        <w:trPr>
          <w:trHeight w:hRule="exact" w:val="706"/>
        </w:trPr>
        <w:tc>
          <w:tcPr>
            <w:tcW w:w="1670" w:type="dxa"/>
            <w:shd w:val="clear" w:color="auto" w:fill="FFFFFF"/>
            <w:vAlign w:val="bottom"/>
          </w:tcPr>
          <w:p w14:paraId="48976192" w14:textId="77777777" w:rsidR="00924992" w:rsidRDefault="00924992">
            <w:pPr>
              <w:pStyle w:val="Other0"/>
              <w:framePr w:w="5530" w:h="5986" w:wrap="none" w:hAnchor="page" w:x="673" w:y="985"/>
              <w:spacing w:line="240" w:lineRule="auto"/>
              <w:ind w:firstLine="0"/>
              <w:rPr>
                <w:sz w:val="16"/>
                <w:szCs w:val="16"/>
              </w:rPr>
            </w:pPr>
            <w:r>
              <w:rPr>
                <w:rFonts w:ascii="Times New Roman" w:eastAsia="Times New Roman" w:hAnsi="Times New Roman" w:cs="Times New Roman"/>
                <w:color w:val="000000"/>
                <w:sz w:val="16"/>
                <w:szCs w:val="16"/>
              </w:rPr>
              <w:t>Naftifina (Rx)</w:t>
            </w:r>
          </w:p>
        </w:tc>
        <w:tc>
          <w:tcPr>
            <w:tcW w:w="1104" w:type="dxa"/>
            <w:shd w:val="clear" w:color="auto" w:fill="FFFFFF"/>
            <w:vAlign w:val="bottom"/>
          </w:tcPr>
          <w:p w14:paraId="7287043D" w14:textId="77777777" w:rsidR="00924992" w:rsidRDefault="00924992">
            <w:pPr>
              <w:pStyle w:val="Other0"/>
              <w:framePr w:w="5530" w:h="5986" w:wrap="none" w:hAnchor="page" w:x="673" w:y="985"/>
              <w:spacing w:line="240" w:lineRule="auto"/>
              <w:ind w:firstLine="0"/>
              <w:rPr>
                <w:sz w:val="16"/>
                <w:szCs w:val="16"/>
              </w:rPr>
            </w:pPr>
            <w:r>
              <w:rPr>
                <w:rFonts w:ascii="Times New Roman" w:eastAsia="Times New Roman" w:hAnsi="Times New Roman" w:cs="Times New Roman"/>
                <w:color w:val="000000"/>
                <w:sz w:val="16"/>
                <w:szCs w:val="16"/>
              </w:rPr>
              <w:t>1%</w:t>
            </w:r>
          </w:p>
        </w:tc>
        <w:tc>
          <w:tcPr>
            <w:tcW w:w="1171" w:type="dxa"/>
            <w:shd w:val="clear" w:color="auto" w:fill="FFFFFF"/>
            <w:vAlign w:val="bottom"/>
          </w:tcPr>
          <w:p w14:paraId="40BA8F12" w14:textId="77777777" w:rsidR="00924992" w:rsidRDefault="00924992">
            <w:pPr>
              <w:pStyle w:val="Other0"/>
              <w:framePr w:w="5530" w:h="5986" w:wrap="none" w:hAnchor="page" w:x="673" w:y="985"/>
              <w:spacing w:line="240" w:lineRule="auto"/>
              <w:ind w:firstLine="0"/>
              <w:rPr>
                <w:sz w:val="16"/>
                <w:szCs w:val="16"/>
              </w:rPr>
            </w:pPr>
            <w:r>
              <w:rPr>
                <w:rFonts w:ascii="Times New Roman" w:eastAsia="Times New Roman" w:hAnsi="Times New Roman" w:cs="Times New Roman"/>
                <w:color w:val="000000"/>
                <w:sz w:val="16"/>
                <w:szCs w:val="16"/>
              </w:rPr>
              <w:t>C, Gel</w:t>
            </w:r>
          </w:p>
        </w:tc>
        <w:tc>
          <w:tcPr>
            <w:tcW w:w="1584" w:type="dxa"/>
            <w:shd w:val="clear" w:color="auto" w:fill="FFFFFF"/>
            <w:vAlign w:val="bottom"/>
          </w:tcPr>
          <w:p w14:paraId="500F8991" w14:textId="77777777" w:rsidR="00924992" w:rsidRDefault="00924992">
            <w:pPr>
              <w:pStyle w:val="Other0"/>
              <w:framePr w:w="5530" w:h="5986" w:wrap="none" w:hAnchor="page" w:x="673" w:y="985"/>
              <w:spacing w:line="240" w:lineRule="auto"/>
              <w:ind w:firstLine="140"/>
              <w:rPr>
                <w:sz w:val="16"/>
                <w:szCs w:val="16"/>
              </w:rPr>
            </w:pPr>
            <w:r>
              <w:rPr>
                <w:rFonts w:ascii="Times New Roman" w:eastAsia="Times New Roman" w:hAnsi="Times New Roman" w:cs="Times New Roman"/>
                <w:color w:val="000000"/>
                <w:sz w:val="16"/>
                <w:szCs w:val="16"/>
              </w:rPr>
              <w:t>Naftin</w:t>
            </w:r>
          </w:p>
        </w:tc>
      </w:tr>
      <w:tr w:rsidR="00924992" w14:paraId="748CAE00" w14:textId="77777777">
        <w:tblPrEx>
          <w:tblCellMar>
            <w:top w:w="0" w:type="dxa"/>
            <w:bottom w:w="0" w:type="dxa"/>
          </w:tblCellMar>
        </w:tblPrEx>
        <w:trPr>
          <w:trHeight w:hRule="exact" w:val="307"/>
        </w:trPr>
        <w:tc>
          <w:tcPr>
            <w:tcW w:w="1670" w:type="dxa"/>
            <w:shd w:val="clear" w:color="auto" w:fill="FFFFFF"/>
            <w:vAlign w:val="bottom"/>
          </w:tcPr>
          <w:p w14:paraId="26D16E2B" w14:textId="77777777" w:rsidR="00924992" w:rsidRDefault="00924992">
            <w:pPr>
              <w:pStyle w:val="Other0"/>
              <w:framePr w:w="5530" w:h="5986" w:wrap="none" w:hAnchor="page" w:x="673" w:y="985"/>
              <w:spacing w:line="240" w:lineRule="auto"/>
              <w:ind w:firstLine="0"/>
              <w:rPr>
                <w:sz w:val="16"/>
                <w:szCs w:val="16"/>
              </w:rPr>
            </w:pPr>
            <w:r>
              <w:rPr>
                <w:rFonts w:ascii="Times New Roman" w:eastAsia="Times New Roman" w:hAnsi="Times New Roman" w:cs="Times New Roman"/>
                <w:color w:val="000000"/>
                <w:sz w:val="16"/>
                <w:szCs w:val="16"/>
              </w:rPr>
              <w:t>Nistatina (Rx</w:t>
            </w:r>
          </w:p>
        </w:tc>
        <w:tc>
          <w:tcPr>
            <w:tcW w:w="1104" w:type="dxa"/>
            <w:shd w:val="clear" w:color="auto" w:fill="FFFFFF"/>
            <w:vAlign w:val="bottom"/>
          </w:tcPr>
          <w:p w14:paraId="4B7C1C25" w14:textId="77777777" w:rsidR="00924992" w:rsidRDefault="00924992">
            <w:pPr>
              <w:pStyle w:val="Other0"/>
              <w:framePr w:w="5530" w:h="5986" w:wrap="none" w:hAnchor="page" w:x="673" w:y="985"/>
              <w:spacing w:line="240" w:lineRule="auto"/>
              <w:ind w:firstLine="0"/>
              <w:rPr>
                <w:sz w:val="16"/>
                <w:szCs w:val="16"/>
              </w:rPr>
            </w:pPr>
            <w:r>
              <w:rPr>
                <w:rFonts w:ascii="Times New Roman" w:eastAsia="Times New Roman" w:hAnsi="Times New Roman" w:cs="Times New Roman"/>
                <w:color w:val="000000"/>
                <w:sz w:val="16"/>
                <w:szCs w:val="16"/>
              </w:rPr>
              <w:t>100 000</w:t>
            </w:r>
          </w:p>
        </w:tc>
        <w:tc>
          <w:tcPr>
            <w:tcW w:w="1171" w:type="dxa"/>
            <w:shd w:val="clear" w:color="auto" w:fill="FFFFFF"/>
            <w:vAlign w:val="bottom"/>
          </w:tcPr>
          <w:p w14:paraId="73509DF1" w14:textId="77777777" w:rsidR="00924992" w:rsidRDefault="00924992">
            <w:pPr>
              <w:pStyle w:val="Other0"/>
              <w:framePr w:w="5530" w:h="5986" w:wrap="none" w:hAnchor="page" w:x="673" w:y="985"/>
              <w:spacing w:line="240" w:lineRule="auto"/>
              <w:ind w:firstLine="0"/>
              <w:rPr>
                <w:sz w:val="16"/>
                <w:szCs w:val="16"/>
              </w:rPr>
            </w:pPr>
            <w:r>
              <w:rPr>
                <w:rFonts w:ascii="Times New Roman" w:eastAsia="Times New Roman" w:hAnsi="Times New Roman" w:cs="Times New Roman"/>
                <w:color w:val="000000"/>
                <w:sz w:val="16"/>
                <w:szCs w:val="16"/>
              </w:rPr>
              <w:t>C, P, O, Com</w:t>
            </w:r>
          </w:p>
        </w:tc>
        <w:tc>
          <w:tcPr>
            <w:tcW w:w="1584" w:type="dxa"/>
            <w:shd w:val="clear" w:color="auto" w:fill="FFFFFF"/>
            <w:vAlign w:val="bottom"/>
          </w:tcPr>
          <w:p w14:paraId="76C812F8" w14:textId="77777777" w:rsidR="00924992" w:rsidRDefault="00924992">
            <w:pPr>
              <w:pStyle w:val="Other0"/>
              <w:framePr w:w="5530" w:h="5986" w:wrap="none" w:hAnchor="page" w:x="673" w:y="985"/>
              <w:spacing w:line="240" w:lineRule="auto"/>
              <w:ind w:firstLine="140"/>
              <w:rPr>
                <w:sz w:val="16"/>
                <w:szCs w:val="16"/>
              </w:rPr>
            </w:pPr>
            <w:r>
              <w:rPr>
                <w:rFonts w:ascii="Times New Roman" w:eastAsia="Times New Roman" w:hAnsi="Times New Roman" w:cs="Times New Roman"/>
                <w:color w:val="000000"/>
                <w:sz w:val="16"/>
                <w:szCs w:val="16"/>
              </w:rPr>
              <w:t>Nystatin, Nystop en</w:t>
            </w:r>
          </w:p>
        </w:tc>
      </w:tr>
      <w:tr w:rsidR="00924992" w14:paraId="380DE2CC" w14:textId="77777777">
        <w:tblPrEx>
          <w:tblCellMar>
            <w:top w:w="0" w:type="dxa"/>
            <w:bottom w:w="0" w:type="dxa"/>
          </w:tblCellMar>
        </w:tblPrEx>
        <w:trPr>
          <w:trHeight w:hRule="exact" w:val="202"/>
        </w:trPr>
        <w:tc>
          <w:tcPr>
            <w:tcW w:w="1670" w:type="dxa"/>
            <w:shd w:val="clear" w:color="auto" w:fill="FFFFFF"/>
          </w:tcPr>
          <w:p w14:paraId="53FC2438" w14:textId="77777777" w:rsidR="00924992" w:rsidRDefault="00924992">
            <w:pPr>
              <w:pStyle w:val="Other0"/>
              <w:framePr w:w="5530" w:h="5986" w:wrap="none" w:hAnchor="page" w:x="673" w:y="985"/>
              <w:spacing w:line="240" w:lineRule="auto"/>
              <w:ind w:firstLine="0"/>
              <w:rPr>
                <w:sz w:val="16"/>
                <w:szCs w:val="16"/>
              </w:rPr>
            </w:pPr>
            <w:r>
              <w:rPr>
                <w:rFonts w:ascii="Times New Roman" w:eastAsia="Times New Roman" w:hAnsi="Times New Roman" w:cs="Times New Roman"/>
                <w:color w:val="000000"/>
                <w:sz w:val="16"/>
                <w:szCs w:val="16"/>
              </w:rPr>
              <w:t>y OTC)</w:t>
            </w:r>
          </w:p>
        </w:tc>
        <w:tc>
          <w:tcPr>
            <w:tcW w:w="1104" w:type="dxa"/>
            <w:shd w:val="clear" w:color="auto" w:fill="FFFFFF"/>
          </w:tcPr>
          <w:p w14:paraId="0B0659AE" w14:textId="77777777" w:rsidR="00924992" w:rsidRDefault="00924992">
            <w:pPr>
              <w:pStyle w:val="Other0"/>
              <w:framePr w:w="5530" w:h="5986" w:wrap="none" w:hAnchor="page" w:x="673" w:y="985"/>
              <w:spacing w:line="240" w:lineRule="auto"/>
              <w:ind w:firstLine="0"/>
              <w:rPr>
                <w:sz w:val="16"/>
                <w:szCs w:val="16"/>
              </w:rPr>
            </w:pPr>
            <w:r>
              <w:rPr>
                <w:rFonts w:ascii="Times New Roman" w:eastAsia="Times New Roman" w:hAnsi="Times New Roman" w:cs="Times New Roman"/>
                <w:color w:val="000000"/>
                <w:sz w:val="16"/>
                <w:szCs w:val="16"/>
              </w:rPr>
              <w:t>U/ml o</w:t>
            </w:r>
          </w:p>
        </w:tc>
        <w:tc>
          <w:tcPr>
            <w:tcW w:w="1171" w:type="dxa"/>
            <w:shd w:val="clear" w:color="auto" w:fill="FFFFFF"/>
          </w:tcPr>
          <w:p w14:paraId="0DAB19D1" w14:textId="77777777" w:rsidR="00924992" w:rsidRDefault="00924992">
            <w:pPr>
              <w:framePr w:w="5530" w:h="5986" w:wrap="none" w:hAnchor="page" w:x="673" w:y="985"/>
              <w:rPr>
                <w:sz w:val="10"/>
                <w:szCs w:val="10"/>
              </w:rPr>
            </w:pPr>
          </w:p>
        </w:tc>
        <w:tc>
          <w:tcPr>
            <w:tcW w:w="1584" w:type="dxa"/>
            <w:shd w:val="clear" w:color="auto" w:fill="FFFFFF"/>
          </w:tcPr>
          <w:p w14:paraId="780A23D7" w14:textId="77777777" w:rsidR="00924992" w:rsidRDefault="00924992">
            <w:pPr>
              <w:pStyle w:val="Other0"/>
              <w:framePr w:w="5530" w:h="5986" w:wrap="none" w:hAnchor="page" w:x="673" w:y="985"/>
              <w:spacing w:line="240" w:lineRule="auto"/>
              <w:ind w:firstLine="240"/>
              <w:rPr>
                <w:sz w:val="16"/>
                <w:szCs w:val="16"/>
              </w:rPr>
            </w:pPr>
            <w:r>
              <w:rPr>
                <w:rFonts w:ascii="Times New Roman" w:eastAsia="Times New Roman" w:hAnsi="Times New Roman" w:cs="Times New Roman"/>
                <w:color w:val="000000"/>
                <w:sz w:val="16"/>
                <w:szCs w:val="16"/>
              </w:rPr>
              <w:t>polvo, Pedi-Dri</w:t>
            </w:r>
          </w:p>
        </w:tc>
      </w:tr>
      <w:tr w:rsidR="00924992" w14:paraId="79FCDFC3" w14:textId="77777777">
        <w:tblPrEx>
          <w:tblCellMar>
            <w:top w:w="0" w:type="dxa"/>
            <w:bottom w:w="0" w:type="dxa"/>
          </w:tblCellMar>
        </w:tblPrEx>
        <w:trPr>
          <w:trHeight w:hRule="exact" w:val="307"/>
        </w:trPr>
        <w:tc>
          <w:tcPr>
            <w:tcW w:w="1670" w:type="dxa"/>
            <w:shd w:val="clear" w:color="auto" w:fill="FFFFFF"/>
          </w:tcPr>
          <w:p w14:paraId="07C270F9" w14:textId="77777777" w:rsidR="00924992" w:rsidRDefault="00924992">
            <w:pPr>
              <w:framePr w:w="5530" w:h="5986" w:wrap="none" w:hAnchor="page" w:x="673" w:y="985"/>
              <w:rPr>
                <w:sz w:val="10"/>
                <w:szCs w:val="10"/>
              </w:rPr>
            </w:pPr>
          </w:p>
        </w:tc>
        <w:tc>
          <w:tcPr>
            <w:tcW w:w="1104" w:type="dxa"/>
            <w:shd w:val="clear" w:color="auto" w:fill="FFFFFF"/>
          </w:tcPr>
          <w:p w14:paraId="4974B129" w14:textId="77777777" w:rsidR="00924992" w:rsidRDefault="00924992">
            <w:pPr>
              <w:pStyle w:val="Other0"/>
              <w:framePr w:w="5530" w:h="5986" w:wrap="none" w:hAnchor="page" w:x="673" w:y="985"/>
              <w:spacing w:line="240" w:lineRule="auto"/>
              <w:ind w:firstLine="0"/>
              <w:rPr>
                <w:sz w:val="16"/>
                <w:szCs w:val="16"/>
              </w:rPr>
            </w:pPr>
            <w:r>
              <w:rPr>
                <w:rFonts w:ascii="Times New Roman" w:eastAsia="Times New Roman" w:hAnsi="Times New Roman" w:cs="Times New Roman"/>
                <w:color w:val="000000"/>
                <w:sz w:val="16"/>
                <w:szCs w:val="16"/>
              </w:rPr>
              <w:t>100 000 U/g</w:t>
            </w:r>
          </w:p>
        </w:tc>
        <w:tc>
          <w:tcPr>
            <w:tcW w:w="1171" w:type="dxa"/>
            <w:shd w:val="clear" w:color="auto" w:fill="FFFFFF"/>
          </w:tcPr>
          <w:p w14:paraId="1CBD4E49" w14:textId="77777777" w:rsidR="00924992" w:rsidRDefault="00924992">
            <w:pPr>
              <w:framePr w:w="5530" w:h="5986" w:wrap="none" w:hAnchor="page" w:x="673" w:y="985"/>
              <w:rPr>
                <w:sz w:val="10"/>
                <w:szCs w:val="10"/>
              </w:rPr>
            </w:pPr>
          </w:p>
        </w:tc>
        <w:tc>
          <w:tcPr>
            <w:tcW w:w="1584" w:type="dxa"/>
            <w:shd w:val="clear" w:color="auto" w:fill="FFFFFF"/>
          </w:tcPr>
          <w:p w14:paraId="2570F893" w14:textId="77777777" w:rsidR="00924992" w:rsidRDefault="00924992">
            <w:pPr>
              <w:pStyle w:val="Other0"/>
              <w:framePr w:w="5530" w:h="5986" w:wrap="none" w:hAnchor="page" w:x="673" w:y="985"/>
              <w:spacing w:line="240" w:lineRule="auto"/>
              <w:ind w:firstLine="240"/>
              <w:rPr>
                <w:sz w:val="16"/>
                <w:szCs w:val="16"/>
              </w:rPr>
            </w:pPr>
            <w:r>
              <w:rPr>
                <w:rFonts w:ascii="Times New Roman" w:eastAsia="Times New Roman" w:hAnsi="Times New Roman" w:cs="Times New Roman"/>
                <w:color w:val="000000"/>
                <w:sz w:val="16"/>
                <w:szCs w:val="16"/>
              </w:rPr>
              <w:t>en polvo</w:t>
            </w:r>
          </w:p>
        </w:tc>
      </w:tr>
      <w:tr w:rsidR="00924992" w14:paraId="06CA6983" w14:textId="77777777">
        <w:tblPrEx>
          <w:tblCellMar>
            <w:top w:w="0" w:type="dxa"/>
            <w:bottom w:w="0" w:type="dxa"/>
          </w:tblCellMar>
        </w:tblPrEx>
        <w:trPr>
          <w:trHeight w:hRule="exact" w:val="283"/>
        </w:trPr>
        <w:tc>
          <w:tcPr>
            <w:tcW w:w="1670" w:type="dxa"/>
            <w:shd w:val="clear" w:color="auto" w:fill="FFFFFF"/>
            <w:vAlign w:val="bottom"/>
          </w:tcPr>
          <w:p w14:paraId="75213D2A" w14:textId="77777777" w:rsidR="00924992" w:rsidRDefault="00924992">
            <w:pPr>
              <w:pStyle w:val="Other0"/>
              <w:framePr w:w="5530" w:h="5986" w:wrap="none" w:hAnchor="page" w:x="673" w:y="985"/>
              <w:spacing w:line="240" w:lineRule="auto"/>
              <w:ind w:firstLine="0"/>
              <w:rPr>
                <w:sz w:val="16"/>
                <w:szCs w:val="16"/>
              </w:rPr>
            </w:pPr>
            <w:r>
              <w:rPr>
                <w:rFonts w:ascii="Times New Roman" w:eastAsia="Times New Roman" w:hAnsi="Times New Roman" w:cs="Times New Roman"/>
                <w:color w:val="000000"/>
                <w:sz w:val="16"/>
                <w:szCs w:val="16"/>
              </w:rPr>
              <w:t>Nistatina y acetónido</w:t>
            </w:r>
          </w:p>
        </w:tc>
        <w:tc>
          <w:tcPr>
            <w:tcW w:w="1104" w:type="dxa"/>
            <w:shd w:val="clear" w:color="auto" w:fill="FFFFFF"/>
          </w:tcPr>
          <w:p w14:paraId="173461E1" w14:textId="77777777" w:rsidR="00924992" w:rsidRDefault="00924992">
            <w:pPr>
              <w:framePr w:w="5530" w:h="5986" w:wrap="none" w:hAnchor="page" w:x="673" w:y="985"/>
              <w:rPr>
                <w:sz w:val="10"/>
                <w:szCs w:val="10"/>
              </w:rPr>
            </w:pPr>
          </w:p>
        </w:tc>
        <w:tc>
          <w:tcPr>
            <w:tcW w:w="1171" w:type="dxa"/>
            <w:shd w:val="clear" w:color="auto" w:fill="FFFFFF"/>
            <w:vAlign w:val="bottom"/>
          </w:tcPr>
          <w:p w14:paraId="4F9BC4B0" w14:textId="77777777" w:rsidR="00924992" w:rsidRDefault="00924992">
            <w:pPr>
              <w:pStyle w:val="Other0"/>
              <w:framePr w:w="5530" w:h="5986" w:wrap="none" w:hAnchor="page" w:x="673" w:y="985"/>
              <w:spacing w:line="240" w:lineRule="auto"/>
              <w:ind w:firstLine="0"/>
              <w:rPr>
                <w:sz w:val="16"/>
                <w:szCs w:val="16"/>
              </w:rPr>
            </w:pPr>
            <w:r>
              <w:rPr>
                <w:rFonts w:ascii="Times New Roman" w:eastAsia="Times New Roman" w:hAnsi="Times New Roman" w:cs="Times New Roman"/>
                <w:color w:val="000000"/>
                <w:sz w:val="16"/>
                <w:szCs w:val="16"/>
              </w:rPr>
              <w:t>C, O</w:t>
            </w:r>
          </w:p>
        </w:tc>
        <w:tc>
          <w:tcPr>
            <w:tcW w:w="1584" w:type="dxa"/>
            <w:shd w:val="clear" w:color="auto" w:fill="FFFFFF"/>
            <w:vAlign w:val="bottom"/>
          </w:tcPr>
          <w:p w14:paraId="25D56683" w14:textId="77777777" w:rsidR="00924992" w:rsidRDefault="00924992">
            <w:pPr>
              <w:pStyle w:val="Other0"/>
              <w:framePr w:w="5530" w:h="5986" w:wrap="none" w:hAnchor="page" w:x="673" w:y="985"/>
              <w:spacing w:line="240" w:lineRule="auto"/>
              <w:ind w:firstLine="140"/>
              <w:rPr>
                <w:sz w:val="16"/>
                <w:szCs w:val="16"/>
              </w:rPr>
            </w:pPr>
            <w:r>
              <w:rPr>
                <w:rFonts w:ascii="Times New Roman" w:eastAsia="Times New Roman" w:hAnsi="Times New Roman" w:cs="Times New Roman"/>
                <w:color w:val="000000"/>
                <w:sz w:val="16"/>
                <w:szCs w:val="16"/>
              </w:rPr>
              <w:t>Crema Mytrex,</w:t>
            </w:r>
          </w:p>
        </w:tc>
      </w:tr>
      <w:tr w:rsidR="00924992" w14:paraId="4062A1B2" w14:textId="77777777">
        <w:tblPrEx>
          <w:tblCellMar>
            <w:top w:w="0" w:type="dxa"/>
            <w:bottom w:w="0" w:type="dxa"/>
          </w:tblCellMar>
        </w:tblPrEx>
        <w:trPr>
          <w:trHeight w:hRule="exact" w:val="211"/>
        </w:trPr>
        <w:tc>
          <w:tcPr>
            <w:tcW w:w="1670" w:type="dxa"/>
            <w:shd w:val="clear" w:color="auto" w:fill="FFFFFF"/>
            <w:vAlign w:val="bottom"/>
          </w:tcPr>
          <w:p w14:paraId="1E3E89BA" w14:textId="77777777" w:rsidR="00924992" w:rsidRDefault="00924992">
            <w:pPr>
              <w:pStyle w:val="Other0"/>
              <w:framePr w:w="5530" w:h="5986" w:wrap="none" w:hAnchor="page" w:x="673" w:y="985"/>
              <w:spacing w:line="240" w:lineRule="auto"/>
              <w:ind w:firstLine="0"/>
              <w:rPr>
                <w:sz w:val="16"/>
                <w:szCs w:val="16"/>
              </w:rPr>
            </w:pPr>
            <w:r>
              <w:rPr>
                <w:rFonts w:ascii="Times New Roman" w:eastAsia="Times New Roman" w:hAnsi="Times New Roman" w:cs="Times New Roman"/>
                <w:color w:val="000000"/>
                <w:sz w:val="16"/>
                <w:szCs w:val="16"/>
              </w:rPr>
              <w:t>de triamcinolona (Rx)</w:t>
            </w:r>
          </w:p>
        </w:tc>
        <w:tc>
          <w:tcPr>
            <w:tcW w:w="1104" w:type="dxa"/>
            <w:shd w:val="clear" w:color="auto" w:fill="FFFFFF"/>
          </w:tcPr>
          <w:p w14:paraId="603674D1" w14:textId="77777777" w:rsidR="00924992" w:rsidRDefault="00924992">
            <w:pPr>
              <w:framePr w:w="5530" w:h="5986" w:wrap="none" w:hAnchor="page" w:x="673" w:y="985"/>
              <w:rPr>
                <w:sz w:val="10"/>
                <w:szCs w:val="10"/>
              </w:rPr>
            </w:pPr>
          </w:p>
        </w:tc>
        <w:tc>
          <w:tcPr>
            <w:tcW w:w="1171" w:type="dxa"/>
            <w:shd w:val="clear" w:color="auto" w:fill="FFFFFF"/>
          </w:tcPr>
          <w:p w14:paraId="242C645F" w14:textId="77777777" w:rsidR="00924992" w:rsidRDefault="00924992">
            <w:pPr>
              <w:framePr w:w="5530" w:h="5986" w:wrap="none" w:hAnchor="page" w:x="673" w:y="985"/>
              <w:rPr>
                <w:sz w:val="10"/>
                <w:szCs w:val="10"/>
              </w:rPr>
            </w:pPr>
          </w:p>
        </w:tc>
        <w:tc>
          <w:tcPr>
            <w:tcW w:w="1584" w:type="dxa"/>
            <w:shd w:val="clear" w:color="auto" w:fill="FFFFFF"/>
            <w:vAlign w:val="bottom"/>
          </w:tcPr>
          <w:p w14:paraId="5613604F" w14:textId="77777777" w:rsidR="00924992" w:rsidRDefault="00924992">
            <w:pPr>
              <w:pStyle w:val="Other0"/>
              <w:framePr w:w="5530" w:h="5986" w:wrap="none" w:hAnchor="page" w:x="673" w:y="985"/>
              <w:spacing w:line="240" w:lineRule="auto"/>
              <w:ind w:firstLine="240"/>
              <w:rPr>
                <w:sz w:val="16"/>
                <w:szCs w:val="16"/>
              </w:rPr>
            </w:pPr>
            <w:r>
              <w:rPr>
                <w:rFonts w:ascii="Times New Roman" w:eastAsia="Times New Roman" w:hAnsi="Times New Roman" w:cs="Times New Roman"/>
                <w:color w:val="000000"/>
                <w:sz w:val="16"/>
                <w:szCs w:val="16"/>
              </w:rPr>
              <w:t>ungüento Mytrex</w:t>
            </w:r>
          </w:p>
        </w:tc>
      </w:tr>
      <w:tr w:rsidR="00924992" w14:paraId="6606F656" w14:textId="77777777">
        <w:tblPrEx>
          <w:tblCellMar>
            <w:top w:w="0" w:type="dxa"/>
            <w:bottom w:w="0" w:type="dxa"/>
          </w:tblCellMar>
        </w:tblPrEx>
        <w:trPr>
          <w:trHeight w:hRule="exact" w:val="389"/>
        </w:trPr>
        <w:tc>
          <w:tcPr>
            <w:tcW w:w="1670" w:type="dxa"/>
            <w:shd w:val="clear" w:color="auto" w:fill="FFFFFF"/>
          </w:tcPr>
          <w:p w14:paraId="22E21231" w14:textId="77777777" w:rsidR="00924992" w:rsidRDefault="00924992">
            <w:pPr>
              <w:pStyle w:val="Other0"/>
              <w:framePr w:w="5530" w:h="5986" w:wrap="none" w:hAnchor="page" w:x="673" w:y="985"/>
              <w:spacing w:line="240" w:lineRule="auto"/>
              <w:ind w:firstLine="0"/>
              <w:rPr>
                <w:sz w:val="16"/>
                <w:szCs w:val="16"/>
              </w:rPr>
            </w:pPr>
            <w:r>
              <w:rPr>
                <w:rFonts w:ascii="Times New Roman" w:eastAsia="Times New Roman" w:hAnsi="Times New Roman" w:cs="Times New Roman"/>
                <w:color w:val="000000"/>
                <w:sz w:val="16"/>
                <w:szCs w:val="16"/>
              </w:rPr>
              <w:t>Oxiconazol (Rx)</w:t>
            </w:r>
          </w:p>
        </w:tc>
        <w:tc>
          <w:tcPr>
            <w:tcW w:w="1104" w:type="dxa"/>
            <w:shd w:val="clear" w:color="auto" w:fill="FFFFFF"/>
          </w:tcPr>
          <w:p w14:paraId="55E0A430" w14:textId="77777777" w:rsidR="00924992" w:rsidRDefault="00924992">
            <w:pPr>
              <w:pStyle w:val="Other0"/>
              <w:framePr w:w="5530" w:h="5986" w:wrap="none" w:hAnchor="page" w:x="673" w:y="985"/>
              <w:spacing w:line="240" w:lineRule="auto"/>
              <w:ind w:firstLine="0"/>
              <w:rPr>
                <w:sz w:val="16"/>
                <w:szCs w:val="16"/>
              </w:rPr>
            </w:pPr>
            <w:r>
              <w:rPr>
                <w:rFonts w:ascii="Times New Roman" w:eastAsia="Times New Roman" w:hAnsi="Times New Roman" w:cs="Times New Roman"/>
                <w:color w:val="000000"/>
                <w:sz w:val="16"/>
                <w:szCs w:val="16"/>
              </w:rPr>
              <w:t>1%</w:t>
            </w:r>
          </w:p>
        </w:tc>
        <w:tc>
          <w:tcPr>
            <w:tcW w:w="1171" w:type="dxa"/>
            <w:shd w:val="clear" w:color="auto" w:fill="FFFFFF"/>
          </w:tcPr>
          <w:p w14:paraId="26079CBB" w14:textId="77777777" w:rsidR="00924992" w:rsidRDefault="00924992">
            <w:pPr>
              <w:pStyle w:val="Other0"/>
              <w:framePr w:w="5530" w:h="5986" w:wrap="none" w:hAnchor="page" w:x="673" w:y="985"/>
              <w:spacing w:line="240" w:lineRule="auto"/>
              <w:ind w:firstLine="0"/>
              <w:rPr>
                <w:sz w:val="16"/>
                <w:szCs w:val="16"/>
              </w:rPr>
            </w:pPr>
            <w:r>
              <w:rPr>
                <w:rFonts w:ascii="Times New Roman" w:eastAsia="Times New Roman" w:hAnsi="Times New Roman" w:cs="Times New Roman"/>
                <w:color w:val="000000"/>
                <w:sz w:val="16"/>
                <w:szCs w:val="16"/>
              </w:rPr>
              <w:t>C, L</w:t>
            </w:r>
          </w:p>
        </w:tc>
        <w:tc>
          <w:tcPr>
            <w:tcW w:w="1584" w:type="dxa"/>
            <w:shd w:val="clear" w:color="auto" w:fill="FFFFFF"/>
          </w:tcPr>
          <w:p w14:paraId="0D147CDE" w14:textId="77777777" w:rsidR="00924992" w:rsidRDefault="00924992">
            <w:pPr>
              <w:pStyle w:val="Other0"/>
              <w:framePr w:w="5530" w:h="5986" w:wrap="none" w:hAnchor="page" w:x="673" w:y="985"/>
              <w:spacing w:line="240" w:lineRule="auto"/>
              <w:ind w:firstLine="140"/>
              <w:rPr>
                <w:sz w:val="16"/>
                <w:szCs w:val="16"/>
              </w:rPr>
            </w:pPr>
            <w:r>
              <w:rPr>
                <w:rFonts w:ascii="Times New Roman" w:eastAsia="Times New Roman" w:hAnsi="Times New Roman" w:cs="Times New Roman"/>
                <w:color w:val="000000"/>
                <w:sz w:val="16"/>
                <w:szCs w:val="16"/>
              </w:rPr>
              <w:t>Oxistat</w:t>
            </w:r>
          </w:p>
        </w:tc>
      </w:tr>
      <w:tr w:rsidR="00924992" w14:paraId="5D222FD8" w14:textId="77777777">
        <w:tblPrEx>
          <w:tblCellMar>
            <w:top w:w="0" w:type="dxa"/>
            <w:bottom w:w="0" w:type="dxa"/>
          </w:tblCellMar>
        </w:tblPrEx>
        <w:trPr>
          <w:trHeight w:hRule="exact" w:val="394"/>
        </w:trPr>
        <w:tc>
          <w:tcPr>
            <w:tcW w:w="1670" w:type="dxa"/>
            <w:shd w:val="clear" w:color="auto" w:fill="FFFFFF"/>
            <w:vAlign w:val="bottom"/>
          </w:tcPr>
          <w:p w14:paraId="34252918" w14:textId="77777777" w:rsidR="00924992" w:rsidRDefault="00924992">
            <w:pPr>
              <w:pStyle w:val="Other0"/>
              <w:framePr w:w="5530" w:h="5986" w:wrap="none" w:hAnchor="page" w:x="673" w:y="985"/>
              <w:spacing w:line="240" w:lineRule="auto"/>
              <w:ind w:firstLine="0"/>
              <w:rPr>
                <w:sz w:val="16"/>
                <w:szCs w:val="16"/>
              </w:rPr>
            </w:pPr>
            <w:r>
              <w:rPr>
                <w:rFonts w:ascii="Times New Roman" w:eastAsia="Times New Roman" w:hAnsi="Times New Roman" w:cs="Times New Roman"/>
                <w:color w:val="000000"/>
                <w:sz w:val="16"/>
                <w:szCs w:val="16"/>
              </w:rPr>
              <w:t>Sulconazol (Rx)</w:t>
            </w:r>
          </w:p>
        </w:tc>
        <w:tc>
          <w:tcPr>
            <w:tcW w:w="1104" w:type="dxa"/>
            <w:shd w:val="clear" w:color="auto" w:fill="FFFFFF"/>
            <w:vAlign w:val="bottom"/>
          </w:tcPr>
          <w:p w14:paraId="10A64E1F" w14:textId="77777777" w:rsidR="00924992" w:rsidRDefault="00924992">
            <w:pPr>
              <w:pStyle w:val="Other0"/>
              <w:framePr w:w="5530" w:h="5986" w:wrap="none" w:hAnchor="page" w:x="673" w:y="985"/>
              <w:spacing w:line="240" w:lineRule="auto"/>
              <w:ind w:firstLine="0"/>
              <w:rPr>
                <w:sz w:val="16"/>
                <w:szCs w:val="16"/>
              </w:rPr>
            </w:pPr>
            <w:r>
              <w:rPr>
                <w:rFonts w:ascii="Times New Roman" w:eastAsia="Times New Roman" w:hAnsi="Times New Roman" w:cs="Times New Roman"/>
                <w:color w:val="000000"/>
                <w:sz w:val="16"/>
                <w:szCs w:val="16"/>
              </w:rPr>
              <w:t>1%</w:t>
            </w:r>
          </w:p>
        </w:tc>
        <w:tc>
          <w:tcPr>
            <w:tcW w:w="1171" w:type="dxa"/>
            <w:shd w:val="clear" w:color="auto" w:fill="FFFFFF"/>
            <w:vAlign w:val="bottom"/>
          </w:tcPr>
          <w:p w14:paraId="570FAAEA" w14:textId="77777777" w:rsidR="00924992" w:rsidRDefault="00924992">
            <w:pPr>
              <w:pStyle w:val="Other0"/>
              <w:framePr w:w="5530" w:h="5986" w:wrap="none" w:hAnchor="page" w:x="673" w:y="985"/>
              <w:spacing w:line="240" w:lineRule="auto"/>
              <w:ind w:firstLine="0"/>
              <w:rPr>
                <w:sz w:val="16"/>
                <w:szCs w:val="16"/>
              </w:rPr>
            </w:pPr>
            <w:r>
              <w:rPr>
                <w:rFonts w:ascii="Times New Roman" w:eastAsia="Times New Roman" w:hAnsi="Times New Roman" w:cs="Times New Roman"/>
                <w:color w:val="000000"/>
                <w:sz w:val="16"/>
                <w:szCs w:val="16"/>
              </w:rPr>
              <w:t>C, S</w:t>
            </w:r>
          </w:p>
        </w:tc>
        <w:tc>
          <w:tcPr>
            <w:tcW w:w="1584" w:type="dxa"/>
            <w:shd w:val="clear" w:color="auto" w:fill="FFFFFF"/>
            <w:vAlign w:val="bottom"/>
          </w:tcPr>
          <w:p w14:paraId="0F1CC0EE" w14:textId="77777777" w:rsidR="00924992" w:rsidRDefault="00924992">
            <w:pPr>
              <w:pStyle w:val="Other0"/>
              <w:framePr w:w="5530" w:h="5986" w:wrap="none" w:hAnchor="page" w:x="673" w:y="985"/>
              <w:spacing w:line="240" w:lineRule="auto"/>
              <w:ind w:firstLine="140"/>
              <w:rPr>
                <w:sz w:val="16"/>
                <w:szCs w:val="16"/>
              </w:rPr>
            </w:pPr>
            <w:r>
              <w:rPr>
                <w:rFonts w:ascii="Times New Roman" w:eastAsia="Times New Roman" w:hAnsi="Times New Roman" w:cs="Times New Roman"/>
                <w:color w:val="000000"/>
                <w:sz w:val="16"/>
                <w:szCs w:val="16"/>
              </w:rPr>
              <w:t>Exelderm</w:t>
            </w:r>
          </w:p>
        </w:tc>
      </w:tr>
      <w:tr w:rsidR="00924992" w14:paraId="048662D6" w14:textId="77777777">
        <w:tblPrEx>
          <w:tblCellMar>
            <w:top w:w="0" w:type="dxa"/>
            <w:bottom w:w="0" w:type="dxa"/>
          </w:tblCellMar>
        </w:tblPrEx>
        <w:trPr>
          <w:trHeight w:hRule="exact" w:val="202"/>
        </w:trPr>
        <w:tc>
          <w:tcPr>
            <w:tcW w:w="1670" w:type="dxa"/>
            <w:shd w:val="clear" w:color="auto" w:fill="FFFFFF"/>
            <w:vAlign w:val="bottom"/>
          </w:tcPr>
          <w:p w14:paraId="039252F4" w14:textId="77777777" w:rsidR="00924992" w:rsidRDefault="00924992">
            <w:pPr>
              <w:pStyle w:val="Other0"/>
              <w:framePr w:w="5530" w:h="5986" w:wrap="none" w:hAnchor="page" w:x="673" w:y="985"/>
              <w:spacing w:line="240" w:lineRule="auto"/>
              <w:ind w:firstLine="0"/>
              <w:rPr>
                <w:sz w:val="16"/>
                <w:szCs w:val="16"/>
              </w:rPr>
            </w:pPr>
            <w:r>
              <w:rPr>
                <w:rFonts w:ascii="Times New Roman" w:eastAsia="Times New Roman" w:hAnsi="Times New Roman" w:cs="Times New Roman"/>
                <w:color w:val="000000"/>
                <w:sz w:val="16"/>
                <w:szCs w:val="16"/>
              </w:rPr>
              <w:t>Terbinafina (OTC)</w:t>
            </w:r>
          </w:p>
        </w:tc>
        <w:tc>
          <w:tcPr>
            <w:tcW w:w="1104" w:type="dxa"/>
            <w:shd w:val="clear" w:color="auto" w:fill="FFFFFF"/>
            <w:vAlign w:val="bottom"/>
          </w:tcPr>
          <w:p w14:paraId="1F851A2F" w14:textId="77777777" w:rsidR="00924992" w:rsidRDefault="00924992">
            <w:pPr>
              <w:pStyle w:val="Other0"/>
              <w:framePr w:w="5530" w:h="5986" w:wrap="none" w:hAnchor="page" w:x="673" w:y="985"/>
              <w:spacing w:line="240" w:lineRule="auto"/>
              <w:ind w:firstLine="0"/>
              <w:rPr>
                <w:sz w:val="16"/>
                <w:szCs w:val="16"/>
              </w:rPr>
            </w:pPr>
            <w:r>
              <w:rPr>
                <w:rFonts w:ascii="Times New Roman" w:eastAsia="Times New Roman" w:hAnsi="Times New Roman" w:cs="Times New Roman"/>
                <w:color w:val="000000"/>
                <w:sz w:val="16"/>
                <w:szCs w:val="16"/>
              </w:rPr>
              <w:t>1%</w:t>
            </w:r>
          </w:p>
        </w:tc>
        <w:tc>
          <w:tcPr>
            <w:tcW w:w="1171" w:type="dxa"/>
            <w:shd w:val="clear" w:color="auto" w:fill="FFFFFF"/>
            <w:vAlign w:val="bottom"/>
          </w:tcPr>
          <w:p w14:paraId="504A31C0" w14:textId="77777777" w:rsidR="00924992" w:rsidRDefault="00924992">
            <w:pPr>
              <w:pStyle w:val="Other0"/>
              <w:framePr w:w="5530" w:h="5986" w:wrap="none" w:hAnchor="page" w:x="673" w:y="985"/>
              <w:spacing w:line="240" w:lineRule="auto"/>
              <w:ind w:firstLine="0"/>
              <w:rPr>
                <w:sz w:val="16"/>
                <w:szCs w:val="16"/>
              </w:rPr>
            </w:pPr>
            <w:r>
              <w:rPr>
                <w:rFonts w:ascii="Times New Roman" w:eastAsia="Times New Roman" w:hAnsi="Times New Roman" w:cs="Times New Roman"/>
                <w:color w:val="000000"/>
                <w:sz w:val="16"/>
                <w:szCs w:val="16"/>
              </w:rPr>
              <w:t>C, Gel</w:t>
            </w:r>
          </w:p>
        </w:tc>
        <w:tc>
          <w:tcPr>
            <w:tcW w:w="1584" w:type="dxa"/>
            <w:shd w:val="clear" w:color="auto" w:fill="FFFFFF"/>
            <w:vAlign w:val="bottom"/>
          </w:tcPr>
          <w:p w14:paraId="496360D3" w14:textId="77777777" w:rsidR="00924992" w:rsidRDefault="00924992">
            <w:pPr>
              <w:pStyle w:val="Other0"/>
              <w:framePr w:w="5530" w:h="5986" w:wrap="none" w:hAnchor="page" w:x="673" w:y="985"/>
              <w:spacing w:line="240" w:lineRule="auto"/>
              <w:ind w:firstLine="140"/>
              <w:rPr>
                <w:sz w:val="16"/>
                <w:szCs w:val="16"/>
              </w:rPr>
            </w:pPr>
            <w:r>
              <w:rPr>
                <w:rFonts w:ascii="Times New Roman" w:eastAsia="Times New Roman" w:hAnsi="Times New Roman" w:cs="Times New Roman"/>
                <w:color w:val="000000"/>
                <w:sz w:val="16"/>
                <w:szCs w:val="16"/>
              </w:rPr>
              <w:t>Lamisil</w:t>
            </w:r>
          </w:p>
        </w:tc>
      </w:tr>
      <w:tr w:rsidR="00924992" w14:paraId="617C863D" w14:textId="77777777">
        <w:tblPrEx>
          <w:tblCellMar>
            <w:top w:w="0" w:type="dxa"/>
            <w:bottom w:w="0" w:type="dxa"/>
          </w:tblCellMar>
        </w:tblPrEx>
        <w:trPr>
          <w:trHeight w:hRule="exact" w:val="216"/>
        </w:trPr>
        <w:tc>
          <w:tcPr>
            <w:tcW w:w="1670" w:type="dxa"/>
            <w:shd w:val="clear" w:color="auto" w:fill="FFFFFF"/>
            <w:vAlign w:val="bottom"/>
          </w:tcPr>
          <w:p w14:paraId="328A5999" w14:textId="77777777" w:rsidR="00924992" w:rsidRDefault="00924992">
            <w:pPr>
              <w:pStyle w:val="Other0"/>
              <w:framePr w:w="5530" w:h="5986" w:wrap="none" w:hAnchor="page" w:x="673" w:y="985"/>
              <w:spacing w:line="240" w:lineRule="auto"/>
              <w:ind w:firstLine="0"/>
              <w:rPr>
                <w:sz w:val="16"/>
                <w:szCs w:val="16"/>
              </w:rPr>
            </w:pPr>
            <w:r>
              <w:rPr>
                <w:rFonts w:ascii="Times New Roman" w:eastAsia="Times New Roman" w:hAnsi="Times New Roman" w:cs="Times New Roman"/>
                <w:color w:val="000000"/>
                <w:sz w:val="16"/>
                <w:szCs w:val="16"/>
              </w:rPr>
              <w:t>Tolnaftato (OTC)</w:t>
            </w:r>
          </w:p>
        </w:tc>
        <w:tc>
          <w:tcPr>
            <w:tcW w:w="1104" w:type="dxa"/>
            <w:shd w:val="clear" w:color="auto" w:fill="FFFFFF"/>
            <w:vAlign w:val="bottom"/>
          </w:tcPr>
          <w:p w14:paraId="009C22B8" w14:textId="77777777" w:rsidR="00924992" w:rsidRDefault="00924992">
            <w:pPr>
              <w:pStyle w:val="Other0"/>
              <w:framePr w:w="5530" w:h="5986" w:wrap="none" w:hAnchor="page" w:x="673" w:y="985"/>
              <w:spacing w:line="240" w:lineRule="auto"/>
              <w:ind w:firstLine="0"/>
              <w:rPr>
                <w:sz w:val="16"/>
                <w:szCs w:val="16"/>
              </w:rPr>
            </w:pPr>
            <w:r>
              <w:rPr>
                <w:rFonts w:ascii="Times New Roman" w:eastAsia="Times New Roman" w:hAnsi="Times New Roman" w:cs="Times New Roman"/>
                <w:color w:val="000000"/>
                <w:sz w:val="16"/>
                <w:szCs w:val="16"/>
              </w:rPr>
              <w:t>1%</w:t>
            </w:r>
          </w:p>
        </w:tc>
        <w:tc>
          <w:tcPr>
            <w:tcW w:w="1171" w:type="dxa"/>
            <w:shd w:val="clear" w:color="auto" w:fill="FFFFFF"/>
            <w:vAlign w:val="bottom"/>
          </w:tcPr>
          <w:p w14:paraId="00ECA20C" w14:textId="77777777" w:rsidR="00924992" w:rsidRDefault="00924992">
            <w:pPr>
              <w:pStyle w:val="Other0"/>
              <w:framePr w:w="5530" w:h="5986" w:wrap="none" w:hAnchor="page" w:x="673" w:y="985"/>
              <w:spacing w:line="240" w:lineRule="auto"/>
              <w:ind w:firstLine="0"/>
              <w:rPr>
                <w:sz w:val="16"/>
                <w:szCs w:val="16"/>
              </w:rPr>
            </w:pPr>
            <w:r>
              <w:rPr>
                <w:rFonts w:ascii="Times New Roman" w:eastAsia="Times New Roman" w:hAnsi="Times New Roman" w:cs="Times New Roman"/>
                <w:color w:val="000000"/>
                <w:sz w:val="16"/>
                <w:szCs w:val="16"/>
              </w:rPr>
              <w:t>C, P, S, Gel,</w:t>
            </w:r>
          </w:p>
        </w:tc>
        <w:tc>
          <w:tcPr>
            <w:tcW w:w="1584" w:type="dxa"/>
            <w:shd w:val="clear" w:color="auto" w:fill="FFFFFF"/>
            <w:vAlign w:val="bottom"/>
          </w:tcPr>
          <w:p w14:paraId="1111587E" w14:textId="77777777" w:rsidR="00924992" w:rsidRDefault="00924992">
            <w:pPr>
              <w:pStyle w:val="Other0"/>
              <w:framePr w:w="5530" w:h="5986" w:wrap="none" w:hAnchor="page" w:x="673" w:y="985"/>
              <w:spacing w:line="240" w:lineRule="auto"/>
              <w:ind w:firstLine="140"/>
              <w:rPr>
                <w:sz w:val="16"/>
                <w:szCs w:val="16"/>
              </w:rPr>
            </w:pPr>
            <w:r>
              <w:rPr>
                <w:rFonts w:ascii="Times New Roman" w:eastAsia="Times New Roman" w:hAnsi="Times New Roman" w:cs="Times New Roman"/>
                <w:color w:val="000000"/>
                <w:sz w:val="16"/>
                <w:szCs w:val="16"/>
              </w:rPr>
              <w:t>&gt;10 preparaciones;</w:t>
            </w:r>
          </w:p>
        </w:tc>
      </w:tr>
      <w:tr w:rsidR="00924992" w14:paraId="32BD173B" w14:textId="77777777">
        <w:tblPrEx>
          <w:tblCellMar>
            <w:top w:w="0" w:type="dxa"/>
            <w:bottom w:w="0" w:type="dxa"/>
          </w:tblCellMar>
        </w:tblPrEx>
        <w:trPr>
          <w:trHeight w:hRule="exact" w:val="374"/>
        </w:trPr>
        <w:tc>
          <w:tcPr>
            <w:tcW w:w="1670" w:type="dxa"/>
            <w:shd w:val="clear" w:color="auto" w:fill="FFFFFF"/>
          </w:tcPr>
          <w:p w14:paraId="0136C704" w14:textId="77777777" w:rsidR="00924992" w:rsidRDefault="00924992">
            <w:pPr>
              <w:framePr w:w="5530" w:h="5986" w:wrap="none" w:hAnchor="page" w:x="673" w:y="985"/>
              <w:rPr>
                <w:sz w:val="10"/>
                <w:szCs w:val="10"/>
              </w:rPr>
            </w:pPr>
          </w:p>
        </w:tc>
        <w:tc>
          <w:tcPr>
            <w:tcW w:w="1104" w:type="dxa"/>
            <w:shd w:val="clear" w:color="auto" w:fill="FFFFFF"/>
          </w:tcPr>
          <w:p w14:paraId="2D7D8F04" w14:textId="77777777" w:rsidR="00924992" w:rsidRDefault="00924992">
            <w:pPr>
              <w:framePr w:w="5530" w:h="5986" w:wrap="none" w:hAnchor="page" w:x="673" w:y="985"/>
              <w:rPr>
                <w:sz w:val="10"/>
                <w:szCs w:val="10"/>
              </w:rPr>
            </w:pPr>
          </w:p>
        </w:tc>
        <w:tc>
          <w:tcPr>
            <w:tcW w:w="1171" w:type="dxa"/>
            <w:shd w:val="clear" w:color="auto" w:fill="FFFFFF"/>
          </w:tcPr>
          <w:p w14:paraId="44E44686" w14:textId="77777777" w:rsidR="00924992" w:rsidRDefault="00924992">
            <w:pPr>
              <w:pStyle w:val="Other0"/>
              <w:framePr w:w="5530" w:h="5986" w:wrap="none" w:hAnchor="page" w:x="673" w:y="985"/>
              <w:spacing w:line="240" w:lineRule="auto"/>
              <w:ind w:firstLine="160"/>
              <w:rPr>
                <w:sz w:val="16"/>
                <w:szCs w:val="16"/>
              </w:rPr>
            </w:pPr>
            <w:r>
              <w:rPr>
                <w:rFonts w:ascii="Times New Roman" w:eastAsia="Times New Roman" w:hAnsi="Times New Roman" w:cs="Times New Roman"/>
                <w:color w:val="000000"/>
                <w:sz w:val="16"/>
                <w:szCs w:val="16"/>
              </w:rPr>
              <w:t>SpP, SpL</w:t>
            </w:r>
          </w:p>
        </w:tc>
        <w:tc>
          <w:tcPr>
            <w:tcW w:w="1584" w:type="dxa"/>
            <w:shd w:val="clear" w:color="auto" w:fill="FFFFFF"/>
          </w:tcPr>
          <w:p w14:paraId="04725F42" w14:textId="77777777" w:rsidR="00924992" w:rsidRDefault="00924992">
            <w:pPr>
              <w:pStyle w:val="Other0"/>
              <w:framePr w:w="5530" w:h="5986" w:wrap="none" w:hAnchor="page" w:x="673" w:y="985"/>
              <w:spacing w:line="257" w:lineRule="auto"/>
              <w:ind w:left="240" w:firstLine="0"/>
              <w:rPr>
                <w:sz w:val="16"/>
                <w:szCs w:val="16"/>
              </w:rPr>
            </w:pPr>
            <w:r>
              <w:rPr>
                <w:rFonts w:ascii="Times New Roman" w:eastAsia="Times New Roman" w:hAnsi="Times New Roman" w:cs="Times New Roman"/>
                <w:color w:val="000000"/>
                <w:sz w:val="16"/>
                <w:szCs w:val="16"/>
              </w:rPr>
              <w:t>consultar con el farmacéutico</w:t>
            </w:r>
          </w:p>
        </w:tc>
      </w:tr>
    </w:tbl>
    <w:p w14:paraId="1B310B60" w14:textId="77777777" w:rsidR="00924992" w:rsidRDefault="00924992">
      <w:pPr>
        <w:framePr w:w="5530" w:h="5986" w:wrap="none" w:hAnchor="page" w:x="673" w:y="985"/>
        <w:spacing w:line="1" w:lineRule="exact"/>
      </w:pPr>
    </w:p>
    <w:tbl>
      <w:tblPr>
        <w:tblOverlap w:val="never"/>
        <w:tblW w:w="0" w:type="auto"/>
        <w:tblLayout w:type="fixed"/>
        <w:tblCellMar>
          <w:left w:w="10" w:type="dxa"/>
          <w:right w:w="10" w:type="dxa"/>
        </w:tblCellMar>
        <w:tblLook w:val="04A0" w:firstRow="1" w:lastRow="0" w:firstColumn="1" w:lastColumn="0" w:noHBand="0" w:noVBand="1"/>
      </w:tblPr>
      <w:tblGrid>
        <w:gridCol w:w="1306"/>
        <w:gridCol w:w="4291"/>
      </w:tblGrid>
      <w:tr w:rsidR="00924992" w14:paraId="6DD76688" w14:textId="77777777">
        <w:tblPrEx>
          <w:tblCellMar>
            <w:top w:w="0" w:type="dxa"/>
            <w:bottom w:w="0" w:type="dxa"/>
          </w:tblCellMar>
        </w:tblPrEx>
        <w:trPr>
          <w:trHeight w:hRule="exact" w:val="187"/>
        </w:trPr>
        <w:tc>
          <w:tcPr>
            <w:tcW w:w="1306" w:type="dxa"/>
            <w:shd w:val="clear" w:color="auto" w:fill="FFFFFF"/>
          </w:tcPr>
          <w:p w14:paraId="438E2CA7" w14:textId="77777777" w:rsidR="00924992" w:rsidRDefault="00924992">
            <w:pPr>
              <w:pStyle w:val="Other0"/>
              <w:framePr w:w="5597" w:h="5626" w:wrap="none" w:hAnchor="page" w:x="6423" w:y="995"/>
              <w:spacing w:line="240" w:lineRule="auto"/>
              <w:ind w:firstLine="0"/>
              <w:rPr>
                <w:sz w:val="16"/>
                <w:szCs w:val="16"/>
              </w:rPr>
            </w:pPr>
            <w:r>
              <w:rPr>
                <w:rFonts w:ascii="Times New Roman" w:eastAsia="Times New Roman" w:hAnsi="Times New Roman" w:cs="Times New Roman"/>
                <w:color w:val="000000"/>
                <w:sz w:val="16"/>
                <w:szCs w:val="16"/>
              </w:rPr>
              <w:t>2</w:t>
            </w:r>
          </w:p>
        </w:tc>
        <w:tc>
          <w:tcPr>
            <w:tcW w:w="4291" w:type="dxa"/>
            <w:shd w:val="clear" w:color="auto" w:fill="FFFFFF"/>
          </w:tcPr>
          <w:p w14:paraId="4053E726" w14:textId="77777777" w:rsidR="00924992" w:rsidRDefault="00924992">
            <w:pPr>
              <w:pStyle w:val="Other0"/>
              <w:framePr w:w="5597" w:h="5626" w:wrap="none" w:hAnchor="page" w:x="6423" w:y="995"/>
              <w:spacing w:line="240" w:lineRule="auto"/>
              <w:ind w:firstLine="0"/>
              <w:jc w:val="both"/>
              <w:rPr>
                <w:sz w:val="16"/>
                <w:szCs w:val="16"/>
              </w:rPr>
            </w:pPr>
            <w:r>
              <w:rPr>
                <w:rFonts w:ascii="Times New Roman" w:eastAsia="Times New Roman" w:hAnsi="Times New Roman" w:cs="Times New Roman"/>
                <w:color w:val="000000"/>
                <w:sz w:val="16"/>
                <w:szCs w:val="16"/>
              </w:rPr>
              <w:t>Dermatitis irritativa</w:t>
            </w:r>
          </w:p>
        </w:tc>
      </w:tr>
      <w:tr w:rsidR="00924992" w14:paraId="10FDF92D" w14:textId="77777777">
        <w:tblPrEx>
          <w:tblCellMar>
            <w:top w:w="0" w:type="dxa"/>
            <w:bottom w:w="0" w:type="dxa"/>
          </w:tblCellMar>
        </w:tblPrEx>
        <w:trPr>
          <w:trHeight w:hRule="exact" w:val="610"/>
        </w:trPr>
        <w:tc>
          <w:tcPr>
            <w:tcW w:w="1306" w:type="dxa"/>
            <w:shd w:val="clear" w:color="auto" w:fill="FFFFFF"/>
          </w:tcPr>
          <w:p w14:paraId="7B85656A" w14:textId="77777777" w:rsidR="00924992" w:rsidRDefault="00924992">
            <w:pPr>
              <w:pStyle w:val="Other0"/>
              <w:framePr w:w="5597" w:h="5626" w:wrap="none" w:hAnchor="page" w:x="6423" w:y="995"/>
              <w:spacing w:line="240" w:lineRule="auto"/>
              <w:ind w:firstLine="0"/>
              <w:rPr>
                <w:sz w:val="16"/>
                <w:szCs w:val="16"/>
              </w:rPr>
            </w:pPr>
            <w:r>
              <w:rPr>
                <w:rFonts w:ascii="Times New Roman" w:eastAsia="Times New Roman" w:hAnsi="Times New Roman" w:cs="Times New Roman"/>
                <w:color w:val="000000"/>
                <w:sz w:val="16"/>
                <w:szCs w:val="16"/>
              </w:rPr>
              <w:t>3-4</w:t>
            </w:r>
          </w:p>
        </w:tc>
        <w:tc>
          <w:tcPr>
            <w:tcW w:w="4291" w:type="dxa"/>
            <w:shd w:val="clear" w:color="auto" w:fill="FFFFFF"/>
            <w:vAlign w:val="bottom"/>
          </w:tcPr>
          <w:p w14:paraId="47909702" w14:textId="77777777" w:rsidR="00924992" w:rsidRDefault="00924992">
            <w:pPr>
              <w:pStyle w:val="Other0"/>
              <w:framePr w:w="5597" w:h="5626" w:wrap="none" w:hAnchor="page" w:x="6423" w:y="995"/>
              <w:spacing w:line="259" w:lineRule="auto"/>
              <w:ind w:left="160" w:hanging="160"/>
              <w:rPr>
                <w:sz w:val="16"/>
                <w:szCs w:val="16"/>
              </w:rPr>
            </w:pPr>
            <w:r>
              <w:rPr>
                <w:rFonts w:ascii="Times New Roman" w:eastAsia="Times New Roman" w:hAnsi="Times New Roman" w:cs="Times New Roman"/>
                <w:color w:val="000000"/>
                <w:sz w:val="16"/>
                <w:szCs w:val="16"/>
              </w:rPr>
              <w:t>No utilizar en niños menores de dos años.</w:t>
            </w:r>
            <w:r>
              <w:rPr>
                <w:rFonts w:ascii="Times New Roman" w:eastAsia="Times New Roman" w:hAnsi="Times New Roman" w:cs="Times New Roman"/>
                <w:color w:val="000000"/>
                <w:sz w:val="16"/>
                <w:szCs w:val="16"/>
                <w:vertAlign w:val="superscript"/>
              </w:rPr>
              <w:t>2</w:t>
            </w:r>
            <w:r>
              <w:rPr>
                <w:rFonts w:ascii="Times New Roman" w:eastAsia="Times New Roman" w:hAnsi="Times New Roman" w:cs="Times New Roman"/>
                <w:color w:val="000000"/>
                <w:sz w:val="16"/>
                <w:szCs w:val="16"/>
              </w:rPr>
              <w:t xml:space="preserve"> Puede manchar la ropa y la piel e interferir en la función tiroidea y en las pruebas de fenilcetonuria.</w:t>
            </w:r>
          </w:p>
        </w:tc>
      </w:tr>
      <w:tr w:rsidR="00924992" w14:paraId="417C74CC" w14:textId="77777777">
        <w:tblPrEx>
          <w:tblCellMar>
            <w:top w:w="0" w:type="dxa"/>
            <w:bottom w:w="0" w:type="dxa"/>
          </w:tblCellMar>
        </w:tblPrEx>
        <w:trPr>
          <w:trHeight w:hRule="exact" w:val="192"/>
        </w:trPr>
        <w:tc>
          <w:tcPr>
            <w:tcW w:w="1306" w:type="dxa"/>
            <w:shd w:val="clear" w:color="auto" w:fill="FFFFFF"/>
            <w:vAlign w:val="bottom"/>
          </w:tcPr>
          <w:p w14:paraId="7A4CF7D4" w14:textId="77777777" w:rsidR="00924992" w:rsidRDefault="00924992">
            <w:pPr>
              <w:pStyle w:val="Other0"/>
              <w:framePr w:w="5597" w:h="5626" w:wrap="none" w:hAnchor="page" w:x="6423" w:y="995"/>
              <w:spacing w:line="240" w:lineRule="auto"/>
              <w:ind w:firstLine="0"/>
              <w:rPr>
                <w:sz w:val="16"/>
                <w:szCs w:val="16"/>
              </w:rPr>
            </w:pPr>
            <w:r>
              <w:rPr>
                <w:rFonts w:ascii="Times New Roman" w:eastAsia="Times New Roman" w:hAnsi="Times New Roman" w:cs="Times New Roman"/>
                <w:color w:val="000000"/>
                <w:sz w:val="16"/>
                <w:szCs w:val="16"/>
              </w:rPr>
              <w:t>1 (candidiasis),</w:t>
            </w:r>
          </w:p>
        </w:tc>
        <w:tc>
          <w:tcPr>
            <w:tcW w:w="4291" w:type="dxa"/>
            <w:shd w:val="clear" w:color="auto" w:fill="FFFFFF"/>
            <w:vAlign w:val="bottom"/>
          </w:tcPr>
          <w:p w14:paraId="75CC80F7" w14:textId="77777777" w:rsidR="00924992" w:rsidRDefault="00924992">
            <w:pPr>
              <w:pStyle w:val="Other0"/>
              <w:framePr w:w="5597" w:h="5626" w:wrap="none" w:hAnchor="page" w:x="6423" w:y="995"/>
              <w:spacing w:line="240" w:lineRule="auto"/>
              <w:ind w:firstLine="0"/>
              <w:rPr>
                <w:sz w:val="16"/>
                <w:szCs w:val="16"/>
              </w:rPr>
            </w:pPr>
            <w:r>
              <w:rPr>
                <w:rFonts w:ascii="Times New Roman" w:eastAsia="Times New Roman" w:hAnsi="Times New Roman" w:cs="Times New Roman"/>
                <w:color w:val="000000"/>
                <w:sz w:val="16"/>
                <w:szCs w:val="16"/>
              </w:rPr>
              <w:t>Posible reacción sulfítica, con manifestaciones anafilácticas y</w:t>
            </w:r>
          </w:p>
        </w:tc>
      </w:tr>
      <w:tr w:rsidR="00924992" w14:paraId="2ABAA834" w14:textId="77777777">
        <w:tblPrEx>
          <w:tblCellMar>
            <w:top w:w="0" w:type="dxa"/>
            <w:bottom w:w="0" w:type="dxa"/>
          </w:tblCellMar>
        </w:tblPrEx>
        <w:trPr>
          <w:trHeight w:hRule="exact" w:val="403"/>
        </w:trPr>
        <w:tc>
          <w:tcPr>
            <w:tcW w:w="1306" w:type="dxa"/>
            <w:shd w:val="clear" w:color="auto" w:fill="FFFFFF"/>
          </w:tcPr>
          <w:p w14:paraId="5E9993B1" w14:textId="77777777" w:rsidR="00924992" w:rsidRDefault="00924992">
            <w:pPr>
              <w:pStyle w:val="Other0"/>
              <w:framePr w:w="5597" w:h="5626" w:wrap="none" w:hAnchor="page" w:x="6423" w:y="995"/>
              <w:spacing w:line="240" w:lineRule="auto"/>
              <w:ind w:firstLine="0"/>
              <w:rPr>
                <w:sz w:val="16"/>
                <w:szCs w:val="16"/>
              </w:rPr>
            </w:pPr>
            <w:r>
              <w:rPr>
                <w:rFonts w:ascii="Times New Roman" w:eastAsia="Times New Roman" w:hAnsi="Times New Roman" w:cs="Times New Roman"/>
                <w:color w:val="000000"/>
                <w:sz w:val="16"/>
                <w:szCs w:val="16"/>
              </w:rPr>
              <w:t>tiña dermatofito</w:t>
            </w:r>
          </w:p>
        </w:tc>
        <w:tc>
          <w:tcPr>
            <w:tcW w:w="4291" w:type="dxa"/>
            <w:shd w:val="clear" w:color="auto" w:fill="FFFFFF"/>
            <w:vAlign w:val="bottom"/>
          </w:tcPr>
          <w:p w14:paraId="44C3E87C" w14:textId="77777777" w:rsidR="00924992" w:rsidRDefault="00924992">
            <w:pPr>
              <w:pStyle w:val="Other0"/>
              <w:framePr w:w="5597" w:h="5626" w:wrap="none" w:hAnchor="page" w:x="6423" w:y="995"/>
              <w:spacing w:line="264" w:lineRule="auto"/>
              <w:ind w:left="160" w:firstLine="0"/>
              <w:rPr>
                <w:sz w:val="16"/>
                <w:szCs w:val="16"/>
              </w:rPr>
            </w:pPr>
            <w:r>
              <w:rPr>
                <w:rFonts w:ascii="Times New Roman" w:eastAsia="Times New Roman" w:hAnsi="Times New Roman" w:cs="Times New Roman"/>
                <w:color w:val="000000"/>
                <w:sz w:val="16"/>
                <w:szCs w:val="16"/>
              </w:rPr>
              <w:t>asmáticas; el champú puede hacer que el cabello quede seco u oleoso e incremente la caída capilar</w:t>
            </w:r>
          </w:p>
        </w:tc>
      </w:tr>
      <w:tr w:rsidR="00924992" w14:paraId="38B33624" w14:textId="77777777">
        <w:tblPrEx>
          <w:tblCellMar>
            <w:top w:w="0" w:type="dxa"/>
            <w:bottom w:w="0" w:type="dxa"/>
          </w:tblCellMar>
        </w:tblPrEx>
        <w:trPr>
          <w:trHeight w:hRule="exact" w:val="1406"/>
        </w:trPr>
        <w:tc>
          <w:tcPr>
            <w:tcW w:w="1306" w:type="dxa"/>
            <w:shd w:val="clear" w:color="auto" w:fill="FFFFFF"/>
            <w:vAlign w:val="bottom"/>
          </w:tcPr>
          <w:p w14:paraId="55D38D7C" w14:textId="77777777" w:rsidR="00924992" w:rsidRDefault="00924992">
            <w:pPr>
              <w:pStyle w:val="Other0"/>
              <w:framePr w:w="5597" w:h="5626" w:wrap="none" w:hAnchor="page" w:x="6423" w:y="995"/>
              <w:spacing w:line="262" w:lineRule="auto"/>
              <w:ind w:firstLine="0"/>
              <w:rPr>
                <w:sz w:val="16"/>
                <w:szCs w:val="16"/>
              </w:rPr>
            </w:pPr>
            <w:r>
              <w:rPr>
                <w:rFonts w:ascii="Times New Roman" w:eastAsia="Times New Roman" w:hAnsi="Times New Roman" w:cs="Times New Roman"/>
                <w:color w:val="000000"/>
                <w:sz w:val="16"/>
                <w:szCs w:val="16"/>
              </w:rPr>
              <w:t>2 (seborrea), aplicar dos veces a la semana durante</w:t>
            </w:r>
          </w:p>
          <w:p w14:paraId="2FE7A989" w14:textId="77777777" w:rsidR="00924992" w:rsidRDefault="00924992">
            <w:pPr>
              <w:pStyle w:val="Other0"/>
              <w:framePr w:w="5597" w:h="5626" w:wrap="none" w:hAnchor="page" w:x="6423" w:y="995"/>
              <w:spacing w:line="262" w:lineRule="auto"/>
              <w:ind w:firstLine="0"/>
              <w:rPr>
                <w:sz w:val="16"/>
                <w:szCs w:val="16"/>
              </w:rPr>
            </w:pPr>
            <w:r>
              <w:rPr>
                <w:rFonts w:ascii="Times New Roman" w:eastAsia="Times New Roman" w:hAnsi="Times New Roman" w:cs="Times New Roman"/>
                <w:color w:val="000000"/>
                <w:sz w:val="16"/>
                <w:szCs w:val="16"/>
              </w:rPr>
              <w:t>4 semanas</w:t>
            </w:r>
          </w:p>
          <w:p w14:paraId="655FBE4A" w14:textId="77777777" w:rsidR="00924992" w:rsidRDefault="00924992">
            <w:pPr>
              <w:pStyle w:val="Other0"/>
              <w:framePr w:w="5597" w:h="5626" w:wrap="none" w:hAnchor="page" w:x="6423" w:y="995"/>
              <w:spacing w:line="262" w:lineRule="auto"/>
              <w:ind w:firstLine="0"/>
              <w:rPr>
                <w:sz w:val="16"/>
                <w:szCs w:val="16"/>
              </w:rPr>
            </w:pPr>
            <w:r>
              <w:rPr>
                <w:rFonts w:ascii="Times New Roman" w:eastAsia="Times New Roman" w:hAnsi="Times New Roman" w:cs="Times New Roman"/>
                <w:color w:val="000000"/>
                <w:sz w:val="16"/>
                <w:szCs w:val="16"/>
              </w:rPr>
              <w:t>2 (C, L)</w:t>
            </w:r>
          </w:p>
          <w:p w14:paraId="25140EB3" w14:textId="77777777" w:rsidR="00924992" w:rsidRDefault="00924992">
            <w:pPr>
              <w:pStyle w:val="Other0"/>
              <w:framePr w:w="5597" w:h="5626" w:wrap="none" w:hAnchor="page" w:x="6423" w:y="995"/>
              <w:spacing w:line="262" w:lineRule="auto"/>
              <w:ind w:firstLine="0"/>
              <w:rPr>
                <w:sz w:val="16"/>
                <w:szCs w:val="16"/>
              </w:rPr>
            </w:pPr>
            <w:r>
              <w:rPr>
                <w:rFonts w:ascii="Times New Roman" w:eastAsia="Times New Roman" w:hAnsi="Times New Roman" w:cs="Times New Roman"/>
                <w:color w:val="000000"/>
                <w:sz w:val="16"/>
                <w:szCs w:val="16"/>
              </w:rPr>
              <w:t>2 (P&gt; L)</w:t>
            </w:r>
          </w:p>
        </w:tc>
        <w:tc>
          <w:tcPr>
            <w:tcW w:w="4291" w:type="dxa"/>
            <w:shd w:val="clear" w:color="auto" w:fill="FFFFFF"/>
          </w:tcPr>
          <w:p w14:paraId="0D84BF7F" w14:textId="77777777" w:rsidR="00924992" w:rsidRDefault="00924992">
            <w:pPr>
              <w:pStyle w:val="Other0"/>
              <w:framePr w:w="5597" w:h="5626" w:wrap="none" w:hAnchor="page" w:x="6423" w:y="995"/>
              <w:spacing w:line="240" w:lineRule="auto"/>
              <w:ind w:firstLine="0"/>
              <w:jc w:val="both"/>
              <w:rPr>
                <w:sz w:val="16"/>
                <w:szCs w:val="16"/>
              </w:rPr>
            </w:pPr>
            <w:r>
              <w:rPr>
                <w:rFonts w:ascii="Times New Roman" w:eastAsia="Times New Roman" w:hAnsi="Times New Roman" w:cs="Times New Roman"/>
                <w:color w:val="000000"/>
                <w:sz w:val="16"/>
                <w:szCs w:val="16"/>
              </w:rPr>
              <w:t>Dermatitis irritativa y alérgica por contacto</w:t>
            </w:r>
          </w:p>
        </w:tc>
      </w:tr>
      <w:tr w:rsidR="00924992" w14:paraId="7749A1BC" w14:textId="77777777">
        <w:tblPrEx>
          <w:tblCellMar>
            <w:top w:w="0" w:type="dxa"/>
            <w:bottom w:w="0" w:type="dxa"/>
          </w:tblCellMar>
        </w:tblPrEx>
        <w:trPr>
          <w:trHeight w:hRule="exact" w:val="398"/>
        </w:trPr>
        <w:tc>
          <w:tcPr>
            <w:tcW w:w="1306" w:type="dxa"/>
            <w:shd w:val="clear" w:color="auto" w:fill="FFFFFF"/>
            <w:vAlign w:val="bottom"/>
          </w:tcPr>
          <w:p w14:paraId="4E30D619" w14:textId="77777777" w:rsidR="00924992" w:rsidRDefault="00924992">
            <w:pPr>
              <w:pStyle w:val="Other0"/>
              <w:framePr w:w="5597" w:h="5626" w:wrap="none" w:hAnchor="page" w:x="6423" w:y="995"/>
              <w:numPr>
                <w:ilvl w:val="0"/>
                <w:numId w:val="128"/>
              </w:numPr>
              <w:tabs>
                <w:tab w:val="left" w:pos="134"/>
              </w:tabs>
              <w:spacing w:line="240" w:lineRule="auto"/>
              <w:ind w:firstLine="0"/>
              <w:rPr>
                <w:sz w:val="16"/>
                <w:szCs w:val="16"/>
              </w:rPr>
            </w:pPr>
            <w:r>
              <w:rPr>
                <w:rFonts w:ascii="Times New Roman" w:eastAsia="Times New Roman" w:hAnsi="Times New Roman" w:cs="Times New Roman"/>
                <w:color w:val="000000"/>
                <w:sz w:val="16"/>
                <w:szCs w:val="16"/>
              </w:rPr>
              <w:t>(C)</w:t>
            </w:r>
          </w:p>
          <w:p w14:paraId="429260D0" w14:textId="77777777" w:rsidR="00924992" w:rsidRDefault="00924992">
            <w:pPr>
              <w:pStyle w:val="Other0"/>
              <w:framePr w:w="5597" w:h="5626" w:wrap="none" w:hAnchor="page" w:x="6423" w:y="995"/>
              <w:numPr>
                <w:ilvl w:val="0"/>
                <w:numId w:val="128"/>
              </w:numPr>
              <w:tabs>
                <w:tab w:val="left" w:pos="144"/>
              </w:tabs>
              <w:spacing w:line="226" w:lineRule="auto"/>
              <w:ind w:firstLine="0"/>
              <w:rPr>
                <w:sz w:val="16"/>
                <w:szCs w:val="16"/>
              </w:rPr>
            </w:pPr>
            <w:r>
              <w:rPr>
                <w:rFonts w:ascii="Times New Roman" w:eastAsia="Times New Roman" w:hAnsi="Times New Roman" w:cs="Times New Roman"/>
                <w:color w:val="000000"/>
                <w:sz w:val="16"/>
                <w:szCs w:val="16"/>
              </w:rPr>
              <w:t>(Gel)</w:t>
            </w:r>
          </w:p>
        </w:tc>
        <w:tc>
          <w:tcPr>
            <w:tcW w:w="4291" w:type="dxa"/>
            <w:shd w:val="clear" w:color="auto" w:fill="FFFFFF"/>
          </w:tcPr>
          <w:p w14:paraId="0498DC57" w14:textId="77777777" w:rsidR="00924992" w:rsidRDefault="00924992">
            <w:pPr>
              <w:pStyle w:val="Other0"/>
              <w:framePr w:w="5597" w:h="5626" w:wrap="none" w:hAnchor="page" w:x="6423" w:y="995"/>
              <w:spacing w:line="240" w:lineRule="auto"/>
              <w:ind w:firstLine="0"/>
              <w:jc w:val="both"/>
              <w:rPr>
                <w:sz w:val="16"/>
                <w:szCs w:val="16"/>
              </w:rPr>
            </w:pPr>
            <w:r>
              <w:rPr>
                <w:rFonts w:ascii="Times New Roman" w:eastAsia="Times New Roman" w:hAnsi="Times New Roman" w:cs="Times New Roman"/>
                <w:color w:val="000000"/>
                <w:sz w:val="16"/>
                <w:szCs w:val="16"/>
              </w:rPr>
              <w:t>Dermatitis irritativa</w:t>
            </w:r>
          </w:p>
        </w:tc>
      </w:tr>
      <w:tr w:rsidR="00924992" w14:paraId="4BCE3D24" w14:textId="77777777">
        <w:tblPrEx>
          <w:tblCellMar>
            <w:top w:w="0" w:type="dxa"/>
            <w:bottom w:w="0" w:type="dxa"/>
          </w:tblCellMar>
        </w:tblPrEx>
        <w:trPr>
          <w:trHeight w:hRule="exact" w:val="192"/>
        </w:trPr>
        <w:tc>
          <w:tcPr>
            <w:tcW w:w="1306" w:type="dxa"/>
            <w:shd w:val="clear" w:color="auto" w:fill="FFFFFF"/>
            <w:vAlign w:val="bottom"/>
          </w:tcPr>
          <w:p w14:paraId="5ECEA8F9" w14:textId="77777777" w:rsidR="00924992" w:rsidRDefault="00924992">
            <w:pPr>
              <w:pStyle w:val="Other0"/>
              <w:framePr w:w="5597" w:h="5626" w:wrap="none" w:hAnchor="page" w:x="6423" w:y="995"/>
              <w:spacing w:line="240" w:lineRule="auto"/>
              <w:ind w:firstLine="0"/>
              <w:rPr>
                <w:sz w:val="16"/>
                <w:szCs w:val="16"/>
              </w:rPr>
            </w:pPr>
            <w:r>
              <w:rPr>
                <w:rFonts w:ascii="Times New Roman" w:eastAsia="Times New Roman" w:hAnsi="Times New Roman" w:cs="Times New Roman"/>
                <w:color w:val="000000"/>
                <w:sz w:val="16"/>
                <w:szCs w:val="16"/>
              </w:rPr>
              <w:t>2 (C)</w:t>
            </w:r>
          </w:p>
        </w:tc>
        <w:tc>
          <w:tcPr>
            <w:tcW w:w="4291" w:type="dxa"/>
            <w:shd w:val="clear" w:color="auto" w:fill="FFFFFF"/>
            <w:vAlign w:val="bottom"/>
          </w:tcPr>
          <w:p w14:paraId="39354614" w14:textId="77777777" w:rsidR="00924992" w:rsidRDefault="00924992">
            <w:pPr>
              <w:pStyle w:val="Other0"/>
              <w:framePr w:w="5597" w:h="5626" w:wrap="none" w:hAnchor="page" w:x="6423" w:y="995"/>
              <w:spacing w:line="240" w:lineRule="auto"/>
              <w:ind w:firstLine="0"/>
              <w:jc w:val="both"/>
              <w:rPr>
                <w:sz w:val="16"/>
                <w:szCs w:val="16"/>
              </w:rPr>
            </w:pPr>
            <w:r>
              <w:rPr>
                <w:rFonts w:ascii="Times New Roman" w:eastAsia="Times New Roman" w:hAnsi="Times New Roman" w:cs="Times New Roman"/>
                <w:color w:val="000000"/>
                <w:sz w:val="16"/>
                <w:szCs w:val="16"/>
              </w:rPr>
              <w:t>Producto atóxico, excepto si se le combina con</w:t>
            </w:r>
          </w:p>
        </w:tc>
      </w:tr>
      <w:tr w:rsidR="00924992" w14:paraId="09A854BE" w14:textId="77777777">
        <w:tblPrEx>
          <w:tblCellMar>
            <w:top w:w="0" w:type="dxa"/>
            <w:bottom w:w="0" w:type="dxa"/>
          </w:tblCellMar>
        </w:tblPrEx>
        <w:trPr>
          <w:trHeight w:hRule="exact" w:val="898"/>
        </w:trPr>
        <w:tc>
          <w:tcPr>
            <w:tcW w:w="1306" w:type="dxa"/>
            <w:shd w:val="clear" w:color="auto" w:fill="FFFFFF"/>
          </w:tcPr>
          <w:p w14:paraId="420C59AE" w14:textId="77777777" w:rsidR="00924992" w:rsidRDefault="00924992">
            <w:pPr>
              <w:pStyle w:val="Other0"/>
              <w:framePr w:w="5597" w:h="5626" w:wrap="none" w:hAnchor="page" w:x="6423" w:y="995"/>
              <w:spacing w:after="400" w:line="240" w:lineRule="auto"/>
              <w:ind w:firstLine="0"/>
              <w:rPr>
                <w:sz w:val="16"/>
                <w:szCs w:val="16"/>
              </w:rPr>
            </w:pPr>
            <w:r>
              <w:rPr>
                <w:rFonts w:ascii="Times New Roman" w:eastAsia="Times New Roman" w:hAnsi="Times New Roman" w:cs="Times New Roman"/>
                <w:color w:val="000000"/>
                <w:sz w:val="16"/>
                <w:szCs w:val="16"/>
              </w:rPr>
              <w:t>2-3 (P)</w:t>
            </w:r>
          </w:p>
          <w:p w14:paraId="6ED94C9D" w14:textId="77777777" w:rsidR="00924992" w:rsidRDefault="00924992">
            <w:pPr>
              <w:pStyle w:val="Other0"/>
              <w:framePr w:w="5597" w:h="5626" w:wrap="none" w:hAnchor="page" w:x="6423" w:y="995"/>
              <w:spacing w:line="240" w:lineRule="auto"/>
              <w:ind w:firstLine="0"/>
              <w:rPr>
                <w:sz w:val="10"/>
                <w:szCs w:val="10"/>
              </w:rPr>
            </w:pPr>
            <w:r>
              <w:rPr>
                <w:rFonts w:ascii="Times New Roman" w:eastAsia="Times New Roman" w:hAnsi="Times New Roman" w:cs="Times New Roman"/>
                <w:color w:val="000000"/>
                <w:sz w:val="16"/>
                <w:szCs w:val="16"/>
              </w:rPr>
              <w:t>2</w:t>
            </w:r>
            <w:r>
              <w:rPr>
                <w:rFonts w:ascii="Times New Roman" w:eastAsia="Times New Roman" w:hAnsi="Times New Roman" w:cs="Times New Roman"/>
                <w:color w:val="000000"/>
                <w:sz w:val="10"/>
                <w:szCs w:val="10"/>
              </w:rPr>
              <w:t>3</w:t>
            </w:r>
          </w:p>
        </w:tc>
        <w:tc>
          <w:tcPr>
            <w:tcW w:w="4291" w:type="dxa"/>
            <w:shd w:val="clear" w:color="auto" w:fill="FFFFFF"/>
          </w:tcPr>
          <w:p w14:paraId="215D0C29" w14:textId="77777777" w:rsidR="00924992" w:rsidRDefault="00924992">
            <w:pPr>
              <w:pStyle w:val="Other0"/>
              <w:framePr w:w="5597" w:h="5626" w:wrap="none" w:hAnchor="page" w:x="6423" w:y="995"/>
              <w:spacing w:line="240" w:lineRule="auto"/>
              <w:ind w:firstLine="200"/>
              <w:jc w:val="both"/>
              <w:rPr>
                <w:sz w:val="16"/>
                <w:szCs w:val="16"/>
              </w:rPr>
            </w:pPr>
            <w:r>
              <w:rPr>
                <w:rFonts w:ascii="Times New Roman" w:eastAsia="Times New Roman" w:hAnsi="Times New Roman" w:cs="Times New Roman"/>
                <w:color w:val="000000"/>
                <w:sz w:val="16"/>
                <w:szCs w:val="16"/>
              </w:rPr>
              <w:t>corticosteroides tópicos.</w:t>
            </w:r>
            <w:r>
              <w:rPr>
                <w:rFonts w:ascii="Times New Roman" w:eastAsia="Times New Roman" w:hAnsi="Times New Roman" w:cs="Times New Roman"/>
                <w:color w:val="000000"/>
                <w:sz w:val="16"/>
                <w:szCs w:val="16"/>
                <w:vertAlign w:val="superscript"/>
              </w:rPr>
              <w:t>4</w:t>
            </w:r>
          </w:p>
        </w:tc>
      </w:tr>
      <w:tr w:rsidR="00924992" w14:paraId="1E74D10E" w14:textId="77777777">
        <w:tblPrEx>
          <w:tblCellMar>
            <w:top w:w="0" w:type="dxa"/>
            <w:bottom w:w="0" w:type="dxa"/>
          </w:tblCellMar>
        </w:tblPrEx>
        <w:trPr>
          <w:trHeight w:hRule="exact" w:val="610"/>
        </w:trPr>
        <w:tc>
          <w:tcPr>
            <w:tcW w:w="1306" w:type="dxa"/>
            <w:shd w:val="clear" w:color="auto" w:fill="FFFFFF"/>
            <w:vAlign w:val="center"/>
          </w:tcPr>
          <w:p w14:paraId="19C7BA51" w14:textId="77777777" w:rsidR="00924992" w:rsidRDefault="00924992">
            <w:pPr>
              <w:pStyle w:val="Other0"/>
              <w:framePr w:w="5597" w:h="5626" w:wrap="none" w:hAnchor="page" w:x="6423" w:y="995"/>
              <w:spacing w:line="257" w:lineRule="auto"/>
              <w:ind w:firstLine="0"/>
              <w:rPr>
                <w:sz w:val="16"/>
                <w:szCs w:val="16"/>
              </w:rPr>
            </w:pPr>
            <w:r>
              <w:rPr>
                <w:rFonts w:ascii="Times New Roman" w:eastAsia="Times New Roman" w:hAnsi="Times New Roman" w:cs="Times New Roman"/>
                <w:color w:val="000000"/>
                <w:sz w:val="16"/>
                <w:szCs w:val="16"/>
              </w:rPr>
              <w:t>1-2 (tiña dermatofítica)</w:t>
            </w:r>
          </w:p>
        </w:tc>
        <w:tc>
          <w:tcPr>
            <w:tcW w:w="4291" w:type="dxa"/>
            <w:shd w:val="clear" w:color="auto" w:fill="FFFFFF"/>
          </w:tcPr>
          <w:p w14:paraId="1E437F3C" w14:textId="77777777" w:rsidR="00924992" w:rsidRDefault="00924992">
            <w:pPr>
              <w:pStyle w:val="Other0"/>
              <w:framePr w:w="5597" w:h="5626" w:wrap="none" w:hAnchor="page" w:x="6423" w:y="995"/>
              <w:spacing w:before="100" w:line="240" w:lineRule="auto"/>
              <w:ind w:firstLine="0"/>
              <w:jc w:val="both"/>
              <w:rPr>
                <w:sz w:val="16"/>
                <w:szCs w:val="16"/>
              </w:rPr>
            </w:pPr>
            <w:r>
              <w:rPr>
                <w:rFonts w:ascii="Times New Roman" w:eastAsia="Times New Roman" w:hAnsi="Times New Roman" w:cs="Times New Roman"/>
                <w:color w:val="000000"/>
                <w:sz w:val="16"/>
                <w:szCs w:val="16"/>
              </w:rPr>
              <w:t>Dermatitis irritativa</w:t>
            </w:r>
          </w:p>
        </w:tc>
      </w:tr>
      <w:tr w:rsidR="00924992" w14:paraId="642C9840" w14:textId="77777777">
        <w:tblPrEx>
          <w:tblCellMar>
            <w:top w:w="0" w:type="dxa"/>
            <w:bottom w:w="0" w:type="dxa"/>
          </w:tblCellMar>
        </w:tblPrEx>
        <w:trPr>
          <w:trHeight w:hRule="exact" w:val="298"/>
        </w:trPr>
        <w:tc>
          <w:tcPr>
            <w:tcW w:w="1306" w:type="dxa"/>
            <w:shd w:val="clear" w:color="auto" w:fill="FFFFFF"/>
            <w:vAlign w:val="bottom"/>
          </w:tcPr>
          <w:p w14:paraId="0284B8AB" w14:textId="77777777" w:rsidR="00924992" w:rsidRDefault="00924992">
            <w:pPr>
              <w:pStyle w:val="Other0"/>
              <w:framePr w:w="5597" w:h="5626" w:wrap="none" w:hAnchor="page" w:x="6423" w:y="995"/>
              <w:spacing w:line="240" w:lineRule="auto"/>
              <w:ind w:firstLine="0"/>
              <w:rPr>
                <w:sz w:val="16"/>
                <w:szCs w:val="16"/>
              </w:rPr>
            </w:pPr>
            <w:r>
              <w:rPr>
                <w:rFonts w:ascii="Times New Roman" w:eastAsia="Times New Roman" w:hAnsi="Times New Roman" w:cs="Times New Roman"/>
                <w:color w:val="000000"/>
                <w:sz w:val="16"/>
                <w:szCs w:val="16"/>
              </w:rPr>
              <w:t>1-2 (tiña vesicular)</w:t>
            </w:r>
          </w:p>
        </w:tc>
        <w:tc>
          <w:tcPr>
            <w:tcW w:w="4291" w:type="dxa"/>
            <w:shd w:val="clear" w:color="auto" w:fill="FFFFFF"/>
            <w:vAlign w:val="bottom"/>
          </w:tcPr>
          <w:p w14:paraId="38AD1C89" w14:textId="77777777" w:rsidR="00924992" w:rsidRDefault="00924992">
            <w:pPr>
              <w:pStyle w:val="Other0"/>
              <w:framePr w:w="5597" w:h="5626" w:wrap="none" w:hAnchor="page" w:x="6423" w:y="995"/>
              <w:spacing w:line="240" w:lineRule="auto"/>
              <w:ind w:firstLine="0"/>
              <w:jc w:val="both"/>
              <w:rPr>
                <w:sz w:val="16"/>
                <w:szCs w:val="16"/>
              </w:rPr>
            </w:pPr>
            <w:r>
              <w:rPr>
                <w:rFonts w:ascii="Times New Roman" w:eastAsia="Times New Roman" w:hAnsi="Times New Roman" w:cs="Times New Roman"/>
                <w:color w:val="000000"/>
                <w:sz w:val="16"/>
                <w:szCs w:val="16"/>
              </w:rPr>
              <w:t>Dermatitis irritativa</w:t>
            </w:r>
          </w:p>
        </w:tc>
      </w:tr>
      <w:tr w:rsidR="00924992" w14:paraId="340758E0" w14:textId="77777777">
        <w:tblPrEx>
          <w:tblCellMar>
            <w:top w:w="0" w:type="dxa"/>
            <w:bottom w:w="0" w:type="dxa"/>
          </w:tblCellMar>
        </w:tblPrEx>
        <w:trPr>
          <w:trHeight w:hRule="exact" w:val="206"/>
        </w:trPr>
        <w:tc>
          <w:tcPr>
            <w:tcW w:w="1306" w:type="dxa"/>
            <w:shd w:val="clear" w:color="auto" w:fill="FFFFFF"/>
            <w:vAlign w:val="bottom"/>
          </w:tcPr>
          <w:p w14:paraId="1DD9AFFC" w14:textId="77777777" w:rsidR="00924992" w:rsidRDefault="00924992">
            <w:pPr>
              <w:pStyle w:val="Other0"/>
              <w:framePr w:w="5597" w:h="5626" w:wrap="none" w:hAnchor="page" w:x="6423" w:y="995"/>
              <w:spacing w:line="240" w:lineRule="auto"/>
              <w:ind w:firstLine="0"/>
              <w:rPr>
                <w:sz w:val="16"/>
                <w:szCs w:val="16"/>
              </w:rPr>
            </w:pPr>
            <w:r>
              <w:rPr>
                <w:rFonts w:ascii="Times New Roman" w:eastAsia="Times New Roman" w:hAnsi="Times New Roman" w:cs="Times New Roman"/>
                <w:color w:val="000000"/>
                <w:sz w:val="16"/>
                <w:szCs w:val="16"/>
              </w:rPr>
              <w:t>2</w:t>
            </w:r>
          </w:p>
        </w:tc>
        <w:tc>
          <w:tcPr>
            <w:tcW w:w="4291" w:type="dxa"/>
            <w:shd w:val="clear" w:color="auto" w:fill="FFFFFF"/>
            <w:vAlign w:val="bottom"/>
          </w:tcPr>
          <w:p w14:paraId="43411D21" w14:textId="77777777" w:rsidR="00924992" w:rsidRDefault="00924992">
            <w:pPr>
              <w:pStyle w:val="Other0"/>
              <w:framePr w:w="5597" w:h="5626" w:wrap="none" w:hAnchor="page" w:x="6423" w:y="995"/>
              <w:spacing w:line="240" w:lineRule="auto"/>
              <w:ind w:firstLine="0"/>
              <w:jc w:val="both"/>
              <w:rPr>
                <w:sz w:val="16"/>
                <w:szCs w:val="16"/>
              </w:rPr>
            </w:pPr>
            <w:r>
              <w:rPr>
                <w:rFonts w:ascii="Times New Roman" w:eastAsia="Times New Roman" w:hAnsi="Times New Roman" w:cs="Times New Roman"/>
                <w:color w:val="000000"/>
                <w:sz w:val="16"/>
                <w:szCs w:val="16"/>
              </w:rPr>
              <w:t>Dermatitis irritativa; no usar ropas o apósitos oclusivos</w:t>
            </w:r>
          </w:p>
        </w:tc>
      </w:tr>
      <w:tr w:rsidR="00924992" w14:paraId="216C6EB1" w14:textId="77777777">
        <w:tblPrEx>
          <w:tblCellMar>
            <w:top w:w="0" w:type="dxa"/>
            <w:bottom w:w="0" w:type="dxa"/>
          </w:tblCellMar>
        </w:tblPrEx>
        <w:trPr>
          <w:trHeight w:hRule="exact" w:val="226"/>
        </w:trPr>
        <w:tc>
          <w:tcPr>
            <w:tcW w:w="1306" w:type="dxa"/>
            <w:shd w:val="clear" w:color="auto" w:fill="FFFFFF"/>
          </w:tcPr>
          <w:p w14:paraId="18E953B5" w14:textId="77777777" w:rsidR="00924992" w:rsidRDefault="00924992">
            <w:pPr>
              <w:pStyle w:val="Other0"/>
              <w:framePr w:w="5597" w:h="5626" w:wrap="none" w:hAnchor="page" w:x="6423" w:y="995"/>
              <w:spacing w:line="240" w:lineRule="auto"/>
              <w:ind w:firstLine="0"/>
              <w:rPr>
                <w:sz w:val="16"/>
                <w:szCs w:val="16"/>
              </w:rPr>
            </w:pPr>
            <w:r>
              <w:rPr>
                <w:rFonts w:ascii="Times New Roman" w:eastAsia="Times New Roman" w:hAnsi="Times New Roman" w:cs="Times New Roman"/>
                <w:color w:val="000000"/>
                <w:sz w:val="16"/>
                <w:szCs w:val="16"/>
              </w:rPr>
              <w:t>2</w:t>
            </w:r>
          </w:p>
        </w:tc>
        <w:tc>
          <w:tcPr>
            <w:tcW w:w="4291" w:type="dxa"/>
            <w:shd w:val="clear" w:color="auto" w:fill="FFFFFF"/>
          </w:tcPr>
          <w:p w14:paraId="4A3D016C" w14:textId="77777777" w:rsidR="00924992" w:rsidRDefault="00924992">
            <w:pPr>
              <w:pStyle w:val="Other0"/>
              <w:framePr w:w="5597" w:h="5626" w:wrap="none" w:hAnchor="page" w:x="6423" w:y="995"/>
              <w:spacing w:line="240" w:lineRule="auto"/>
              <w:ind w:firstLine="0"/>
              <w:jc w:val="both"/>
              <w:rPr>
                <w:sz w:val="16"/>
                <w:szCs w:val="16"/>
              </w:rPr>
            </w:pPr>
            <w:r>
              <w:rPr>
                <w:rFonts w:ascii="Times New Roman" w:eastAsia="Times New Roman" w:hAnsi="Times New Roman" w:cs="Times New Roman"/>
                <w:color w:val="000000"/>
                <w:sz w:val="16"/>
                <w:szCs w:val="16"/>
              </w:rPr>
              <w:t>Dermatitis irritativa y alérgica por contacto</w:t>
            </w:r>
          </w:p>
        </w:tc>
      </w:tr>
    </w:tbl>
    <w:p w14:paraId="57DF49B3" w14:textId="77777777" w:rsidR="00924992" w:rsidRDefault="00924992">
      <w:pPr>
        <w:framePr w:w="5597" w:h="5626" w:wrap="none" w:hAnchor="page" w:x="6423" w:y="995"/>
        <w:spacing w:line="1" w:lineRule="exact"/>
      </w:pPr>
    </w:p>
    <w:p w14:paraId="2C1B4A38" w14:textId="77777777" w:rsidR="00924992" w:rsidRDefault="00924992">
      <w:pPr>
        <w:pStyle w:val="Bodytext80"/>
        <w:framePr w:w="192" w:h="5443" w:hRule="exact" w:wrap="none" w:hAnchor="page" w:x="12390" w:y="54"/>
        <w:tabs>
          <w:tab w:val="left" w:pos="1430"/>
        </w:tabs>
        <w:textDirection w:val="tbRl"/>
      </w:pPr>
      <w:r>
        <w:rPr>
          <w:sz w:val="16"/>
          <w:szCs w:val="16"/>
        </w:rPr>
        <w:t>764</w:t>
      </w:r>
      <w:r>
        <w:rPr>
          <w:sz w:val="16"/>
          <w:szCs w:val="16"/>
        </w:rPr>
        <w:tab/>
      </w:r>
      <w:r>
        <w:t>PRODUCTOS TÓPICOS CONTRA MICOSIS SUPERFICIALES</w:t>
      </w:r>
    </w:p>
    <w:p w14:paraId="2DFB194A" w14:textId="77777777" w:rsidR="00924992" w:rsidRDefault="00924992">
      <w:pPr>
        <w:spacing w:line="360" w:lineRule="exact"/>
      </w:pPr>
    </w:p>
    <w:p w14:paraId="150608A6" w14:textId="77777777" w:rsidR="00924992" w:rsidRDefault="00924992">
      <w:pPr>
        <w:spacing w:line="360" w:lineRule="exact"/>
      </w:pPr>
    </w:p>
    <w:p w14:paraId="238676D6" w14:textId="77777777" w:rsidR="00924992" w:rsidRDefault="00924992">
      <w:pPr>
        <w:spacing w:line="360" w:lineRule="exact"/>
      </w:pPr>
    </w:p>
    <w:p w14:paraId="7889C1DC" w14:textId="77777777" w:rsidR="00924992" w:rsidRDefault="00924992">
      <w:pPr>
        <w:spacing w:line="360" w:lineRule="exact"/>
      </w:pPr>
    </w:p>
    <w:p w14:paraId="57DF181F" w14:textId="77777777" w:rsidR="00924992" w:rsidRDefault="00924992">
      <w:pPr>
        <w:spacing w:line="360" w:lineRule="exact"/>
      </w:pPr>
    </w:p>
    <w:p w14:paraId="24AD3933" w14:textId="77777777" w:rsidR="00924992" w:rsidRDefault="00924992">
      <w:pPr>
        <w:spacing w:line="360" w:lineRule="exact"/>
      </w:pPr>
    </w:p>
    <w:p w14:paraId="24782E7F" w14:textId="77777777" w:rsidR="00924992" w:rsidRDefault="00924992">
      <w:pPr>
        <w:spacing w:line="360" w:lineRule="exact"/>
      </w:pPr>
    </w:p>
    <w:p w14:paraId="319C973A" w14:textId="77777777" w:rsidR="00924992" w:rsidRDefault="00924992">
      <w:pPr>
        <w:spacing w:line="360" w:lineRule="exact"/>
      </w:pPr>
    </w:p>
    <w:p w14:paraId="5F6264C9" w14:textId="77777777" w:rsidR="00924992" w:rsidRDefault="00924992">
      <w:pPr>
        <w:spacing w:line="360" w:lineRule="exact"/>
      </w:pPr>
    </w:p>
    <w:p w14:paraId="5CC14F41" w14:textId="77777777" w:rsidR="00924992" w:rsidRDefault="00924992">
      <w:pPr>
        <w:spacing w:line="360" w:lineRule="exact"/>
      </w:pPr>
    </w:p>
    <w:p w14:paraId="7F0A6174" w14:textId="77777777" w:rsidR="00924992" w:rsidRDefault="00924992">
      <w:pPr>
        <w:spacing w:line="360" w:lineRule="exact"/>
      </w:pPr>
    </w:p>
    <w:p w14:paraId="4C498E1C" w14:textId="77777777" w:rsidR="00924992" w:rsidRDefault="00924992">
      <w:pPr>
        <w:spacing w:line="360" w:lineRule="exact"/>
      </w:pPr>
    </w:p>
    <w:p w14:paraId="3CDDA276" w14:textId="77777777" w:rsidR="00924992" w:rsidRDefault="00924992">
      <w:pPr>
        <w:spacing w:line="360" w:lineRule="exact"/>
      </w:pPr>
    </w:p>
    <w:p w14:paraId="1DAE5DFD" w14:textId="77777777" w:rsidR="00924992" w:rsidRDefault="00924992">
      <w:pPr>
        <w:spacing w:line="360" w:lineRule="exact"/>
      </w:pPr>
    </w:p>
    <w:p w14:paraId="45587393" w14:textId="77777777" w:rsidR="00924992" w:rsidRDefault="00924992">
      <w:pPr>
        <w:spacing w:line="360" w:lineRule="exact"/>
      </w:pPr>
    </w:p>
    <w:p w14:paraId="6D569EDF" w14:textId="77777777" w:rsidR="00924992" w:rsidRDefault="00924992">
      <w:pPr>
        <w:spacing w:line="360" w:lineRule="exact"/>
      </w:pPr>
    </w:p>
    <w:p w14:paraId="2F19D45D" w14:textId="77777777" w:rsidR="00924992" w:rsidRDefault="00924992">
      <w:pPr>
        <w:spacing w:line="360" w:lineRule="exact"/>
      </w:pPr>
    </w:p>
    <w:p w14:paraId="0CF4B74D" w14:textId="77777777" w:rsidR="00924992" w:rsidRDefault="00924992">
      <w:pPr>
        <w:spacing w:line="360" w:lineRule="exact"/>
      </w:pPr>
    </w:p>
    <w:p w14:paraId="2328AB57" w14:textId="77777777" w:rsidR="00924992" w:rsidRDefault="00924992">
      <w:pPr>
        <w:spacing w:after="489" w:line="1" w:lineRule="exact"/>
      </w:pPr>
    </w:p>
    <w:p w14:paraId="6A41DC14" w14:textId="77777777" w:rsidR="00924992" w:rsidRDefault="00924992">
      <w:pPr>
        <w:spacing w:line="1" w:lineRule="exact"/>
        <w:sectPr w:rsidR="00924992" w:rsidSect="00924992">
          <w:headerReference w:type="even" r:id="rId289"/>
          <w:headerReference w:type="default" r:id="rId290"/>
          <w:footerReference w:type="even" r:id="rId291"/>
          <w:footerReference w:type="default" r:id="rId292"/>
          <w:pgSz w:w="13022" w:h="8501" w:orient="landscape"/>
          <w:pgMar w:top="451" w:right="442" w:bottom="975" w:left="634" w:header="23" w:footer="3" w:gutter="0"/>
          <w:cols w:space="720"/>
          <w:noEndnote/>
          <w:docGrid w:linePitch="360"/>
          <w15:footnoteColumns w:val="1"/>
        </w:sectPr>
      </w:pPr>
    </w:p>
    <w:p w14:paraId="7BA4E34C" w14:textId="77777777" w:rsidR="00924992" w:rsidRDefault="00924992">
      <w:pPr>
        <w:spacing w:line="1" w:lineRule="exact"/>
      </w:pPr>
      <w:r>
        <w:rPr>
          <w:noProof/>
        </w:rPr>
        <mc:AlternateContent>
          <mc:Choice Requires="wps">
            <w:drawing>
              <wp:anchor distT="0" distB="0" distL="114300" distR="114300" simplePos="0" relativeHeight="251684864" behindDoc="0" locked="0" layoutInCell="1" allowOverlap="1" wp14:anchorId="071ADEDE" wp14:editId="2CE4A3BF">
                <wp:simplePos x="0" y="0"/>
                <wp:positionH relativeFrom="page">
                  <wp:posOffset>399415</wp:posOffset>
                </wp:positionH>
                <wp:positionV relativeFrom="paragraph">
                  <wp:posOffset>198120</wp:posOffset>
                </wp:positionV>
                <wp:extent cx="7232650" cy="2749550"/>
                <wp:effectExtent l="0" t="0" r="0" b="0"/>
                <wp:wrapTopAndBottom/>
                <wp:docPr id="2303" name="Shape 2303"/>
                <wp:cNvGraphicFramePr/>
                <a:graphic xmlns:a="http://schemas.openxmlformats.org/drawingml/2006/main">
                  <a:graphicData uri="http://schemas.microsoft.com/office/word/2010/wordprocessingShape">
                    <wps:wsp>
                      <wps:cNvSpPr txBox="1"/>
                      <wps:spPr>
                        <a:xfrm>
                          <a:off x="0" y="0"/>
                          <a:ext cx="7232650" cy="2749550"/>
                        </a:xfrm>
                        <a:prstGeom prst="rect">
                          <a:avLst/>
                        </a:prstGeom>
                        <a:noFill/>
                      </wps:spPr>
                      <wps:txbx>
                        <w:txbxContent>
                          <w:tbl>
                            <w:tblPr>
                              <w:tblOverlap w:val="never"/>
                              <w:tblW w:w="0" w:type="auto"/>
                              <w:tblLayout w:type="fixed"/>
                              <w:tblCellMar>
                                <w:left w:w="10" w:type="dxa"/>
                                <w:right w:w="10" w:type="dxa"/>
                              </w:tblCellMar>
                              <w:tblLook w:val="04A0" w:firstRow="1" w:lastRow="0" w:firstColumn="1" w:lastColumn="0" w:noHBand="0" w:noVBand="1"/>
                            </w:tblPr>
                            <w:tblGrid>
                              <w:gridCol w:w="1603"/>
                              <w:gridCol w:w="1046"/>
                              <w:gridCol w:w="1368"/>
                              <w:gridCol w:w="1694"/>
                              <w:gridCol w:w="1330"/>
                              <w:gridCol w:w="4349"/>
                            </w:tblGrid>
                            <w:tr w:rsidR="00924992" w14:paraId="505277E7" w14:textId="77777777">
                              <w:tblPrEx>
                                <w:tblCellMar>
                                  <w:top w:w="0" w:type="dxa"/>
                                  <w:bottom w:w="0" w:type="dxa"/>
                                </w:tblCellMar>
                              </w:tblPrEx>
                              <w:trPr>
                                <w:trHeight w:hRule="exact" w:val="562"/>
                                <w:tblHeader/>
                              </w:trPr>
                              <w:tc>
                                <w:tcPr>
                                  <w:tcW w:w="1603" w:type="dxa"/>
                                  <w:shd w:val="clear" w:color="auto" w:fill="000000"/>
                                </w:tcPr>
                                <w:p w14:paraId="6AB6EF8C" w14:textId="77777777" w:rsidR="00924992" w:rsidRDefault="00924992">
                                  <w:pPr>
                                    <w:pStyle w:val="Other0"/>
                                    <w:pBdr>
                                      <w:top w:val="single" w:sz="0" w:space="0" w:color="000000"/>
                                      <w:left w:val="single" w:sz="0" w:space="0" w:color="000000"/>
                                      <w:bottom w:val="single" w:sz="0" w:space="0" w:color="000000"/>
                                      <w:right w:val="single" w:sz="0" w:space="0" w:color="000000"/>
                                    </w:pBdr>
                                    <w:shd w:val="clear" w:color="auto" w:fill="000000"/>
                                    <w:spacing w:line="240" w:lineRule="auto"/>
                                    <w:ind w:firstLine="0"/>
                                    <w:rPr>
                                      <w:sz w:val="24"/>
                                      <w:szCs w:val="24"/>
                                    </w:rPr>
                                  </w:pPr>
                                  <w:r>
                                    <w:rPr>
                                      <w:rFonts w:ascii="Arial" w:eastAsia="Arial" w:hAnsi="Arial" w:cs="Arial"/>
                                      <w:b/>
                                      <w:bCs/>
                                      <w:color w:val="FFFFFF"/>
                                      <w:w w:val="70"/>
                                      <w:sz w:val="24"/>
                                      <w:szCs w:val="24"/>
                                    </w:rPr>
                                    <w:t>Fármaco</w:t>
                                  </w:r>
                                </w:p>
                              </w:tc>
                              <w:tc>
                                <w:tcPr>
                                  <w:tcW w:w="1046" w:type="dxa"/>
                                  <w:shd w:val="clear" w:color="auto" w:fill="000000"/>
                                </w:tcPr>
                                <w:p w14:paraId="0710B1F8" w14:textId="77777777" w:rsidR="00924992" w:rsidRDefault="00924992">
                                  <w:pPr>
                                    <w:pStyle w:val="Other0"/>
                                    <w:pBdr>
                                      <w:top w:val="single" w:sz="0" w:space="0" w:color="000000"/>
                                      <w:left w:val="single" w:sz="0" w:space="0" w:color="000000"/>
                                      <w:bottom w:val="single" w:sz="0" w:space="0" w:color="000000"/>
                                      <w:right w:val="single" w:sz="0" w:space="0" w:color="000000"/>
                                    </w:pBdr>
                                    <w:shd w:val="clear" w:color="auto" w:fill="000000"/>
                                    <w:spacing w:line="240" w:lineRule="auto"/>
                                    <w:ind w:firstLine="0"/>
                                    <w:rPr>
                                      <w:sz w:val="24"/>
                                      <w:szCs w:val="24"/>
                                    </w:rPr>
                                  </w:pPr>
                                  <w:r>
                                    <w:rPr>
                                      <w:rFonts w:ascii="Arial" w:eastAsia="Arial" w:hAnsi="Arial" w:cs="Arial"/>
                                      <w:b/>
                                      <w:bCs/>
                                      <w:color w:val="FFFFFF"/>
                                      <w:w w:val="70"/>
                                      <w:sz w:val="24"/>
                                      <w:szCs w:val="24"/>
                                    </w:rPr>
                                    <w:t>Potencia</w:t>
                                  </w:r>
                                </w:p>
                              </w:tc>
                              <w:tc>
                                <w:tcPr>
                                  <w:tcW w:w="1368" w:type="dxa"/>
                                  <w:shd w:val="clear" w:color="auto" w:fill="000000"/>
                                </w:tcPr>
                                <w:p w14:paraId="26881DFC" w14:textId="77777777" w:rsidR="00924992" w:rsidRDefault="00924992">
                                  <w:pPr>
                                    <w:pStyle w:val="Other0"/>
                                    <w:pBdr>
                                      <w:top w:val="single" w:sz="0" w:space="0" w:color="000000"/>
                                      <w:left w:val="single" w:sz="0" w:space="0" w:color="000000"/>
                                      <w:bottom w:val="single" w:sz="0" w:space="0" w:color="000000"/>
                                      <w:right w:val="single" w:sz="0" w:space="0" w:color="000000"/>
                                    </w:pBdr>
                                    <w:shd w:val="clear" w:color="auto" w:fill="000000"/>
                                    <w:spacing w:line="240" w:lineRule="auto"/>
                                    <w:ind w:firstLine="220"/>
                                    <w:rPr>
                                      <w:sz w:val="24"/>
                                      <w:szCs w:val="24"/>
                                    </w:rPr>
                                  </w:pPr>
                                  <w:r>
                                    <w:rPr>
                                      <w:rFonts w:ascii="Arial" w:eastAsia="Arial" w:hAnsi="Arial" w:cs="Arial"/>
                                      <w:b/>
                                      <w:bCs/>
                                      <w:color w:val="FFFFFF"/>
                                      <w:w w:val="70"/>
                                      <w:sz w:val="24"/>
                                      <w:szCs w:val="24"/>
                                    </w:rPr>
                                    <w:t>Presentación</w:t>
                                  </w:r>
                                </w:p>
                              </w:tc>
                              <w:tc>
                                <w:tcPr>
                                  <w:tcW w:w="1694" w:type="dxa"/>
                                  <w:shd w:val="clear" w:color="auto" w:fill="000000"/>
                                </w:tcPr>
                                <w:p w14:paraId="4EF30A70" w14:textId="77777777" w:rsidR="00924992" w:rsidRDefault="00924992">
                                  <w:pPr>
                                    <w:pStyle w:val="Other0"/>
                                    <w:pBdr>
                                      <w:top w:val="single" w:sz="0" w:space="0" w:color="000000"/>
                                      <w:left w:val="single" w:sz="0" w:space="0" w:color="000000"/>
                                      <w:bottom w:val="single" w:sz="0" w:space="0" w:color="000000"/>
                                      <w:right w:val="single" w:sz="0" w:space="0" w:color="000000"/>
                                    </w:pBdr>
                                    <w:shd w:val="clear" w:color="auto" w:fill="000000"/>
                                    <w:spacing w:line="209" w:lineRule="auto"/>
                                    <w:ind w:firstLine="0"/>
                                    <w:rPr>
                                      <w:sz w:val="24"/>
                                      <w:szCs w:val="24"/>
                                    </w:rPr>
                                  </w:pPr>
                                  <w:r>
                                    <w:rPr>
                                      <w:rFonts w:ascii="Arial" w:eastAsia="Arial" w:hAnsi="Arial" w:cs="Arial"/>
                                      <w:b/>
                                      <w:bCs/>
                                      <w:color w:val="FFFFFF"/>
                                      <w:w w:val="70"/>
                                      <w:sz w:val="24"/>
                                      <w:szCs w:val="24"/>
                                    </w:rPr>
                                    <w:t>Nombre comercial (ejemplos)</w:t>
                                  </w:r>
                                </w:p>
                              </w:tc>
                              <w:tc>
                                <w:tcPr>
                                  <w:tcW w:w="1330" w:type="dxa"/>
                                  <w:shd w:val="clear" w:color="auto" w:fill="000000"/>
                                </w:tcPr>
                                <w:p w14:paraId="5CE445E0" w14:textId="77777777" w:rsidR="00924992" w:rsidRDefault="00924992">
                                  <w:pPr>
                                    <w:pStyle w:val="Other0"/>
                                    <w:pBdr>
                                      <w:top w:val="single" w:sz="0" w:space="0" w:color="000000"/>
                                      <w:left w:val="single" w:sz="0" w:space="0" w:color="000000"/>
                                      <w:bottom w:val="single" w:sz="0" w:space="0" w:color="000000"/>
                                      <w:right w:val="single" w:sz="0" w:space="0" w:color="000000"/>
                                    </w:pBdr>
                                    <w:shd w:val="clear" w:color="auto" w:fill="000000"/>
                                    <w:spacing w:line="214" w:lineRule="auto"/>
                                    <w:ind w:firstLine="0"/>
                                    <w:rPr>
                                      <w:sz w:val="24"/>
                                      <w:szCs w:val="24"/>
                                    </w:rPr>
                                  </w:pPr>
                                  <w:r>
                                    <w:rPr>
                                      <w:rFonts w:ascii="Arial" w:eastAsia="Arial" w:hAnsi="Arial" w:cs="Arial"/>
                                      <w:b/>
                                      <w:bCs/>
                                      <w:color w:val="FFFFFF"/>
                                      <w:w w:val="70"/>
                                      <w:sz w:val="24"/>
                                      <w:szCs w:val="24"/>
                                    </w:rPr>
                                    <w:t>Aplicaciones al día</w:t>
                                  </w:r>
                                </w:p>
                              </w:tc>
                              <w:tc>
                                <w:tcPr>
                                  <w:tcW w:w="4349" w:type="dxa"/>
                                  <w:shd w:val="clear" w:color="auto" w:fill="000000"/>
                                </w:tcPr>
                                <w:p w14:paraId="3C597E63" w14:textId="77777777" w:rsidR="00924992" w:rsidRDefault="00924992">
                                  <w:pPr>
                                    <w:pStyle w:val="Other0"/>
                                    <w:pBdr>
                                      <w:top w:val="single" w:sz="0" w:space="0" w:color="000000"/>
                                      <w:left w:val="single" w:sz="0" w:space="0" w:color="000000"/>
                                      <w:bottom w:val="single" w:sz="0" w:space="0" w:color="000000"/>
                                      <w:right w:val="single" w:sz="0" w:space="0" w:color="000000"/>
                                    </w:pBdr>
                                    <w:shd w:val="clear" w:color="auto" w:fill="000000"/>
                                    <w:spacing w:line="204" w:lineRule="auto"/>
                                    <w:ind w:firstLine="0"/>
                                    <w:rPr>
                                      <w:sz w:val="24"/>
                                      <w:szCs w:val="24"/>
                                    </w:rPr>
                                  </w:pPr>
                                  <w:r>
                                    <w:rPr>
                                      <w:rFonts w:ascii="Arial" w:eastAsia="Arial" w:hAnsi="Arial" w:cs="Arial"/>
                                      <w:b/>
                                      <w:bCs/>
                                      <w:color w:val="FFFFFF"/>
                                      <w:w w:val="70"/>
                                      <w:sz w:val="24"/>
                                      <w:szCs w:val="24"/>
                                    </w:rPr>
                                    <w:t>Reacciones adversas/ comentarios</w:t>
                                  </w:r>
                                </w:p>
                              </w:tc>
                            </w:tr>
                            <w:tr w:rsidR="00924992" w14:paraId="6C0BBD0A" w14:textId="77777777">
                              <w:tblPrEx>
                                <w:tblCellMar>
                                  <w:top w:w="0" w:type="dxa"/>
                                  <w:bottom w:w="0" w:type="dxa"/>
                                </w:tblCellMar>
                              </w:tblPrEx>
                              <w:trPr>
                                <w:trHeight w:hRule="exact" w:val="667"/>
                              </w:trPr>
                              <w:tc>
                                <w:tcPr>
                                  <w:tcW w:w="1603" w:type="dxa"/>
                                  <w:shd w:val="clear" w:color="auto" w:fill="FFFFFF"/>
                                </w:tcPr>
                                <w:p w14:paraId="06CEADE4" w14:textId="77777777" w:rsidR="00924992" w:rsidRDefault="00924992">
                                  <w:pPr>
                                    <w:pStyle w:val="Other0"/>
                                    <w:spacing w:line="240" w:lineRule="auto"/>
                                    <w:ind w:firstLine="0"/>
                                    <w:rPr>
                                      <w:sz w:val="16"/>
                                      <w:szCs w:val="16"/>
                                    </w:rPr>
                                  </w:pPr>
                                  <w:r>
                                    <w:rPr>
                                      <w:rFonts w:ascii="Times New Roman" w:eastAsia="Times New Roman" w:hAnsi="Times New Roman" w:cs="Times New Roman"/>
                                      <w:color w:val="000000"/>
                                      <w:sz w:val="16"/>
                                      <w:szCs w:val="16"/>
                                    </w:rPr>
                                    <w:t>Triacetín (Rx)</w:t>
                                  </w:r>
                                </w:p>
                              </w:tc>
                              <w:tc>
                                <w:tcPr>
                                  <w:tcW w:w="1046" w:type="dxa"/>
                                  <w:shd w:val="clear" w:color="auto" w:fill="FFFFFF"/>
                                </w:tcPr>
                                <w:p w14:paraId="41F1B68E" w14:textId="77777777" w:rsidR="00924992" w:rsidRDefault="00924992">
                                  <w:pPr>
                                    <w:pStyle w:val="Other0"/>
                                    <w:spacing w:line="257" w:lineRule="auto"/>
                                    <w:ind w:firstLine="0"/>
                                    <w:jc w:val="center"/>
                                    <w:rPr>
                                      <w:sz w:val="16"/>
                                      <w:szCs w:val="16"/>
                                    </w:rPr>
                                  </w:pPr>
                                  <w:r>
                                    <w:rPr>
                                      <w:rFonts w:ascii="Times New Roman" w:eastAsia="Times New Roman" w:hAnsi="Times New Roman" w:cs="Times New Roman"/>
                                      <w:color w:val="000000"/>
                                      <w:sz w:val="16"/>
                                      <w:szCs w:val="16"/>
                                    </w:rPr>
                                    <w:t>Porcentaje variable</w:t>
                                  </w:r>
                                </w:p>
                              </w:tc>
                              <w:tc>
                                <w:tcPr>
                                  <w:tcW w:w="1368" w:type="dxa"/>
                                  <w:shd w:val="clear" w:color="auto" w:fill="FFFFFF"/>
                                </w:tcPr>
                                <w:p w14:paraId="70F53E4C" w14:textId="77777777" w:rsidR="00924992" w:rsidRDefault="00924992">
                                  <w:pPr>
                                    <w:pStyle w:val="Other0"/>
                                    <w:spacing w:line="240" w:lineRule="auto"/>
                                    <w:ind w:firstLine="220"/>
                                    <w:rPr>
                                      <w:sz w:val="16"/>
                                      <w:szCs w:val="16"/>
                                    </w:rPr>
                                  </w:pPr>
                                  <w:r>
                                    <w:rPr>
                                      <w:rFonts w:ascii="Times New Roman" w:eastAsia="Times New Roman" w:hAnsi="Times New Roman" w:cs="Times New Roman"/>
                                      <w:color w:val="000000"/>
                                      <w:sz w:val="16"/>
                                      <w:szCs w:val="16"/>
                                    </w:rPr>
                                    <w:t>S, C, Sp</w:t>
                                  </w:r>
                                </w:p>
                              </w:tc>
                              <w:tc>
                                <w:tcPr>
                                  <w:tcW w:w="1694" w:type="dxa"/>
                                  <w:shd w:val="clear" w:color="auto" w:fill="FFFFFF"/>
                                  <w:vAlign w:val="bottom"/>
                                </w:tcPr>
                                <w:p w14:paraId="0B63EC37" w14:textId="77777777" w:rsidR="00924992" w:rsidRDefault="00924992">
                                  <w:pPr>
                                    <w:pStyle w:val="Other0"/>
                                    <w:spacing w:line="259" w:lineRule="auto"/>
                                    <w:ind w:left="180" w:hanging="180"/>
                                    <w:rPr>
                                      <w:sz w:val="16"/>
                                      <w:szCs w:val="16"/>
                                    </w:rPr>
                                  </w:pPr>
                                  <w:r>
                                    <w:rPr>
                                      <w:rFonts w:ascii="Times New Roman" w:eastAsia="Times New Roman" w:hAnsi="Times New Roman" w:cs="Times New Roman"/>
                                      <w:color w:val="000000"/>
                                      <w:sz w:val="16"/>
                                      <w:szCs w:val="16"/>
                                    </w:rPr>
                                    <w:t>Tintura fungoide, crema fungoide sólo para uña limpia</w:t>
                                  </w:r>
                                </w:p>
                              </w:tc>
                              <w:tc>
                                <w:tcPr>
                                  <w:tcW w:w="1330" w:type="dxa"/>
                                  <w:shd w:val="clear" w:color="auto" w:fill="FFFFFF"/>
                                </w:tcPr>
                                <w:p w14:paraId="13699E2D" w14:textId="77777777" w:rsidR="00924992" w:rsidRDefault="00924992">
                                  <w:pPr>
                                    <w:pStyle w:val="Other0"/>
                                    <w:spacing w:line="240" w:lineRule="auto"/>
                                    <w:ind w:firstLine="0"/>
                                    <w:rPr>
                                      <w:sz w:val="16"/>
                                      <w:szCs w:val="16"/>
                                    </w:rPr>
                                  </w:pPr>
                                  <w:r>
                                    <w:rPr>
                                      <w:rFonts w:ascii="Times New Roman" w:eastAsia="Times New Roman" w:hAnsi="Times New Roman" w:cs="Times New Roman"/>
                                      <w:color w:val="000000"/>
                                      <w:sz w:val="16"/>
                                      <w:szCs w:val="16"/>
                                    </w:rPr>
                                    <w:t>3 (C, S)</w:t>
                                  </w:r>
                                </w:p>
                              </w:tc>
                              <w:tc>
                                <w:tcPr>
                                  <w:tcW w:w="4349" w:type="dxa"/>
                                  <w:shd w:val="clear" w:color="auto" w:fill="FFFFFF"/>
                                </w:tcPr>
                                <w:p w14:paraId="55E5CD8F" w14:textId="77777777" w:rsidR="00924992" w:rsidRDefault="00924992">
                                  <w:pPr>
                                    <w:pStyle w:val="Other0"/>
                                    <w:spacing w:line="240" w:lineRule="auto"/>
                                    <w:ind w:firstLine="0"/>
                                    <w:rPr>
                                      <w:sz w:val="16"/>
                                      <w:szCs w:val="16"/>
                                    </w:rPr>
                                  </w:pPr>
                                  <w:r>
                                    <w:rPr>
                                      <w:rFonts w:ascii="Times New Roman" w:eastAsia="Times New Roman" w:hAnsi="Times New Roman" w:cs="Times New Roman"/>
                                      <w:color w:val="000000"/>
                                      <w:sz w:val="16"/>
                                      <w:szCs w:val="16"/>
                                    </w:rPr>
                                    <w:t>Dermatitis irritativa</w:t>
                                  </w:r>
                                </w:p>
                              </w:tc>
                            </w:tr>
                            <w:tr w:rsidR="00924992" w14:paraId="6D558DD2" w14:textId="77777777">
                              <w:tblPrEx>
                                <w:tblCellMar>
                                  <w:top w:w="0" w:type="dxa"/>
                                  <w:bottom w:w="0" w:type="dxa"/>
                                </w:tblCellMar>
                              </w:tblPrEx>
                              <w:trPr>
                                <w:trHeight w:hRule="exact" w:val="1080"/>
                              </w:trPr>
                              <w:tc>
                                <w:tcPr>
                                  <w:tcW w:w="1603" w:type="dxa"/>
                                  <w:shd w:val="clear" w:color="auto" w:fill="FFFFFF"/>
                                </w:tcPr>
                                <w:p w14:paraId="19601D86" w14:textId="77777777" w:rsidR="00924992" w:rsidRDefault="00924992">
                                  <w:pPr>
                                    <w:pStyle w:val="Other0"/>
                                    <w:spacing w:line="257" w:lineRule="auto"/>
                                    <w:ind w:left="140" w:hanging="140"/>
                                    <w:rPr>
                                      <w:sz w:val="16"/>
                                      <w:szCs w:val="16"/>
                                    </w:rPr>
                                  </w:pPr>
                                  <w:r>
                                    <w:rPr>
                                      <w:rFonts w:ascii="Times New Roman" w:eastAsia="Times New Roman" w:hAnsi="Times New Roman" w:cs="Times New Roman"/>
                                      <w:color w:val="000000"/>
                                      <w:sz w:val="16"/>
                                      <w:szCs w:val="16"/>
                                    </w:rPr>
                                    <w:t>Undecilénico, ácido, y derivados (OTC)</w:t>
                                  </w:r>
                                </w:p>
                              </w:tc>
                              <w:tc>
                                <w:tcPr>
                                  <w:tcW w:w="1046" w:type="dxa"/>
                                  <w:shd w:val="clear" w:color="auto" w:fill="FFFFFF"/>
                                </w:tcPr>
                                <w:p w14:paraId="17595EF2" w14:textId="77777777" w:rsidR="00924992" w:rsidRDefault="00924992">
                                  <w:pPr>
                                    <w:pStyle w:val="Other0"/>
                                    <w:spacing w:line="240" w:lineRule="auto"/>
                                    <w:ind w:firstLine="0"/>
                                    <w:rPr>
                                      <w:sz w:val="16"/>
                                      <w:szCs w:val="16"/>
                                    </w:rPr>
                                  </w:pPr>
                                  <w:r>
                                    <w:rPr>
                                      <w:rFonts w:ascii="Times New Roman" w:eastAsia="Times New Roman" w:hAnsi="Times New Roman" w:cs="Times New Roman"/>
                                      <w:color w:val="000000"/>
                                      <w:sz w:val="16"/>
                                      <w:szCs w:val="16"/>
                                    </w:rPr>
                                    <w:t>8-25%</w:t>
                                  </w:r>
                                </w:p>
                              </w:tc>
                              <w:tc>
                                <w:tcPr>
                                  <w:tcW w:w="1368" w:type="dxa"/>
                                  <w:shd w:val="clear" w:color="auto" w:fill="FFFFFF"/>
                                </w:tcPr>
                                <w:p w14:paraId="5A9C2568" w14:textId="77777777" w:rsidR="00924992" w:rsidRDefault="00924992">
                                  <w:pPr>
                                    <w:pStyle w:val="Other0"/>
                                    <w:spacing w:line="257" w:lineRule="auto"/>
                                    <w:ind w:left="300" w:hanging="80"/>
                                    <w:rPr>
                                      <w:sz w:val="16"/>
                                      <w:szCs w:val="16"/>
                                    </w:rPr>
                                  </w:pPr>
                                  <w:r>
                                    <w:rPr>
                                      <w:rFonts w:ascii="Times New Roman" w:eastAsia="Times New Roman" w:hAnsi="Times New Roman" w:cs="Times New Roman"/>
                                      <w:color w:val="000000"/>
                                      <w:sz w:val="16"/>
                                      <w:szCs w:val="16"/>
                                    </w:rPr>
                                    <w:t>C, O, S, F, SpP, P, jabón</w:t>
                                  </w:r>
                                </w:p>
                              </w:tc>
                              <w:tc>
                                <w:tcPr>
                                  <w:tcW w:w="1694" w:type="dxa"/>
                                  <w:shd w:val="clear" w:color="auto" w:fill="FFFFFF"/>
                                </w:tcPr>
                                <w:p w14:paraId="3353E92A" w14:textId="77777777" w:rsidR="00924992" w:rsidRDefault="00924992">
                                  <w:pPr>
                                    <w:pStyle w:val="Other0"/>
                                    <w:spacing w:line="259" w:lineRule="auto"/>
                                    <w:ind w:left="180" w:hanging="180"/>
                                    <w:rPr>
                                      <w:sz w:val="16"/>
                                      <w:szCs w:val="16"/>
                                    </w:rPr>
                                  </w:pPr>
                                  <w:r>
                                    <w:rPr>
                                      <w:rFonts w:ascii="Times New Roman" w:eastAsia="Times New Roman" w:hAnsi="Times New Roman" w:cs="Times New Roman"/>
                                      <w:color w:val="000000"/>
                                      <w:sz w:val="16"/>
                                      <w:szCs w:val="16"/>
                                    </w:rPr>
                                    <w:t>Consultar al farmacéutico respecto a presentaciones y aplicaciones</w:t>
                                  </w:r>
                                  <w:r>
                                    <w:rPr>
                                      <w:rFonts w:ascii="Times New Roman" w:eastAsia="Times New Roman" w:hAnsi="Times New Roman" w:cs="Times New Roman"/>
                                      <w:color w:val="000000"/>
                                      <w:sz w:val="16"/>
                                      <w:szCs w:val="16"/>
                                      <w:vertAlign w:val="superscript"/>
                                    </w:rPr>
                                    <w:t>1</w:t>
                                  </w:r>
                                </w:p>
                              </w:tc>
                              <w:tc>
                                <w:tcPr>
                                  <w:tcW w:w="1330" w:type="dxa"/>
                                  <w:shd w:val="clear" w:color="auto" w:fill="FFFFFF"/>
                                </w:tcPr>
                                <w:p w14:paraId="3524B6B1" w14:textId="77777777" w:rsidR="00924992" w:rsidRDefault="00924992">
                                  <w:pPr>
                                    <w:pStyle w:val="Other0"/>
                                    <w:spacing w:line="257" w:lineRule="auto"/>
                                    <w:ind w:left="180" w:hanging="180"/>
                                    <w:rPr>
                                      <w:sz w:val="16"/>
                                      <w:szCs w:val="16"/>
                                    </w:rPr>
                                  </w:pPr>
                                  <w:r>
                                    <w:rPr>
                                      <w:rFonts w:ascii="Times New Roman" w:eastAsia="Times New Roman" w:hAnsi="Times New Roman" w:cs="Times New Roman"/>
                                      <w:color w:val="000000"/>
                                      <w:sz w:val="16"/>
                                      <w:szCs w:val="16"/>
                                    </w:rPr>
                                    <w:t>2 (tintura) Nebulizar 1-2 s</w:t>
                                  </w:r>
                                </w:p>
                              </w:tc>
                              <w:tc>
                                <w:tcPr>
                                  <w:tcW w:w="4349" w:type="dxa"/>
                                  <w:shd w:val="clear" w:color="auto" w:fill="FFFFFF"/>
                                </w:tcPr>
                                <w:p w14:paraId="5C81743F" w14:textId="77777777" w:rsidR="00924992" w:rsidRDefault="00924992">
                                  <w:pPr>
                                    <w:pStyle w:val="Other0"/>
                                    <w:spacing w:line="240" w:lineRule="auto"/>
                                    <w:ind w:firstLine="0"/>
                                    <w:rPr>
                                      <w:sz w:val="16"/>
                                      <w:szCs w:val="16"/>
                                    </w:rPr>
                                  </w:pPr>
                                  <w:r>
                                    <w:rPr>
                                      <w:rFonts w:ascii="Times New Roman" w:eastAsia="Times New Roman" w:hAnsi="Times New Roman" w:cs="Times New Roman"/>
                                      <w:color w:val="000000"/>
                                      <w:sz w:val="16"/>
                                      <w:szCs w:val="16"/>
                                    </w:rPr>
                                    <w:t>Dermatitis irritativa</w:t>
                                  </w:r>
                                </w:p>
                              </w:tc>
                            </w:tr>
                            <w:tr w:rsidR="00924992" w14:paraId="0B609941" w14:textId="77777777">
                              <w:tblPrEx>
                                <w:tblCellMar>
                                  <w:top w:w="0" w:type="dxa"/>
                                  <w:bottom w:w="0" w:type="dxa"/>
                                </w:tblCellMar>
                              </w:tblPrEx>
                              <w:trPr>
                                <w:trHeight w:hRule="exact" w:val="317"/>
                              </w:trPr>
                              <w:tc>
                                <w:tcPr>
                                  <w:tcW w:w="1603" w:type="dxa"/>
                                  <w:shd w:val="clear" w:color="auto" w:fill="FFFFFF"/>
                                  <w:vAlign w:val="bottom"/>
                                </w:tcPr>
                                <w:p w14:paraId="062E9193" w14:textId="77777777" w:rsidR="00924992" w:rsidRDefault="00924992">
                                  <w:pPr>
                                    <w:pStyle w:val="Other0"/>
                                    <w:spacing w:line="240" w:lineRule="auto"/>
                                    <w:ind w:firstLine="0"/>
                                    <w:rPr>
                                      <w:sz w:val="16"/>
                                      <w:szCs w:val="16"/>
                                    </w:rPr>
                                  </w:pPr>
                                  <w:r>
                                    <w:rPr>
                                      <w:rFonts w:ascii="Times New Roman" w:eastAsia="Times New Roman" w:hAnsi="Times New Roman" w:cs="Times New Roman"/>
                                      <w:b/>
                                      <w:bCs/>
                                      <w:color w:val="000000"/>
                                      <w:sz w:val="16"/>
                                      <w:szCs w:val="16"/>
                                    </w:rPr>
                                    <w:t>Otros productos</w:t>
                                  </w:r>
                                </w:p>
                              </w:tc>
                              <w:tc>
                                <w:tcPr>
                                  <w:tcW w:w="9787" w:type="dxa"/>
                                  <w:gridSpan w:val="5"/>
                                  <w:shd w:val="clear" w:color="auto" w:fill="FFFFFF"/>
                                </w:tcPr>
                                <w:p w14:paraId="4393779D" w14:textId="77777777" w:rsidR="00924992" w:rsidRDefault="00924992">
                                  <w:pPr>
                                    <w:rPr>
                                      <w:sz w:val="10"/>
                                      <w:szCs w:val="10"/>
                                    </w:rPr>
                                  </w:pPr>
                                </w:p>
                              </w:tc>
                            </w:tr>
                            <w:tr w:rsidR="00924992" w14:paraId="25D27279" w14:textId="77777777">
                              <w:tblPrEx>
                                <w:tblCellMar>
                                  <w:top w:w="0" w:type="dxa"/>
                                  <w:bottom w:w="0" w:type="dxa"/>
                                </w:tblCellMar>
                              </w:tblPrEx>
                              <w:trPr>
                                <w:trHeight w:hRule="exact" w:val="178"/>
                              </w:trPr>
                              <w:tc>
                                <w:tcPr>
                                  <w:tcW w:w="1603" w:type="dxa"/>
                                  <w:shd w:val="clear" w:color="auto" w:fill="FFFFFF"/>
                                </w:tcPr>
                                <w:p w14:paraId="13E41694" w14:textId="77777777" w:rsidR="00924992" w:rsidRDefault="00924992">
                                  <w:pPr>
                                    <w:pStyle w:val="Other0"/>
                                    <w:spacing w:line="240" w:lineRule="auto"/>
                                    <w:ind w:firstLine="0"/>
                                    <w:rPr>
                                      <w:sz w:val="16"/>
                                      <w:szCs w:val="16"/>
                                    </w:rPr>
                                  </w:pPr>
                                  <w:r>
                                    <w:rPr>
                                      <w:rFonts w:ascii="Times New Roman" w:eastAsia="Times New Roman" w:hAnsi="Times New Roman" w:cs="Times New Roman"/>
                                      <w:color w:val="000000"/>
                                      <w:sz w:val="16"/>
                                      <w:szCs w:val="16"/>
                                    </w:rPr>
                                    <w:t>Genciana, violeta</w:t>
                                  </w:r>
                                </w:p>
                              </w:tc>
                              <w:tc>
                                <w:tcPr>
                                  <w:tcW w:w="1046" w:type="dxa"/>
                                  <w:shd w:val="clear" w:color="auto" w:fill="FFFFFF"/>
                                </w:tcPr>
                                <w:p w14:paraId="3042D594" w14:textId="77777777" w:rsidR="00924992" w:rsidRDefault="00924992">
                                  <w:pPr>
                                    <w:pStyle w:val="Other0"/>
                                    <w:spacing w:line="240" w:lineRule="auto"/>
                                    <w:ind w:firstLine="0"/>
                                    <w:rPr>
                                      <w:sz w:val="16"/>
                                      <w:szCs w:val="16"/>
                                    </w:rPr>
                                  </w:pPr>
                                  <w:r>
                                    <w:rPr>
                                      <w:rFonts w:ascii="Times New Roman" w:eastAsia="Times New Roman" w:hAnsi="Times New Roman" w:cs="Times New Roman"/>
                                      <w:color w:val="000000"/>
                                      <w:sz w:val="16"/>
                                      <w:szCs w:val="16"/>
                                    </w:rPr>
                                    <w:t>2%</w:t>
                                  </w:r>
                                </w:p>
                              </w:tc>
                              <w:tc>
                                <w:tcPr>
                                  <w:tcW w:w="1368" w:type="dxa"/>
                                  <w:shd w:val="clear" w:color="auto" w:fill="FFFFFF"/>
                                </w:tcPr>
                                <w:p w14:paraId="0F084FE2" w14:textId="77777777" w:rsidR="00924992" w:rsidRDefault="00924992">
                                  <w:pPr>
                                    <w:pStyle w:val="Other0"/>
                                    <w:spacing w:line="240" w:lineRule="auto"/>
                                    <w:ind w:firstLine="220"/>
                                    <w:rPr>
                                      <w:sz w:val="16"/>
                                      <w:szCs w:val="16"/>
                                    </w:rPr>
                                  </w:pPr>
                                  <w:r>
                                    <w:rPr>
                                      <w:rFonts w:ascii="Times New Roman" w:eastAsia="Times New Roman" w:hAnsi="Times New Roman" w:cs="Times New Roman"/>
                                      <w:color w:val="000000"/>
                                      <w:sz w:val="16"/>
                                      <w:szCs w:val="16"/>
                                    </w:rPr>
                                    <w:t>S</w:t>
                                  </w:r>
                                </w:p>
                              </w:tc>
                              <w:tc>
                                <w:tcPr>
                                  <w:tcW w:w="1694" w:type="dxa"/>
                                  <w:shd w:val="clear" w:color="auto" w:fill="FFFFFF"/>
                                </w:tcPr>
                                <w:p w14:paraId="4CED3EA8" w14:textId="77777777" w:rsidR="00924992" w:rsidRDefault="00924992">
                                  <w:pPr>
                                    <w:rPr>
                                      <w:sz w:val="10"/>
                                      <w:szCs w:val="10"/>
                                    </w:rPr>
                                  </w:pPr>
                                </w:p>
                              </w:tc>
                              <w:tc>
                                <w:tcPr>
                                  <w:tcW w:w="1330" w:type="dxa"/>
                                  <w:shd w:val="clear" w:color="auto" w:fill="FFFFFF"/>
                                </w:tcPr>
                                <w:p w14:paraId="44899DA7" w14:textId="77777777" w:rsidR="00924992" w:rsidRDefault="00924992">
                                  <w:pPr>
                                    <w:pStyle w:val="Other0"/>
                                    <w:spacing w:line="240" w:lineRule="auto"/>
                                    <w:ind w:firstLine="0"/>
                                    <w:rPr>
                                      <w:sz w:val="16"/>
                                      <w:szCs w:val="16"/>
                                    </w:rPr>
                                  </w:pPr>
                                  <w:r>
                                    <w:rPr>
                                      <w:rFonts w:ascii="Times New Roman" w:eastAsia="Times New Roman" w:hAnsi="Times New Roman" w:cs="Times New Roman"/>
                                      <w:color w:val="000000"/>
                                      <w:sz w:val="16"/>
                                      <w:szCs w:val="16"/>
                                    </w:rPr>
                                    <w:t>2</w:t>
                                  </w:r>
                                </w:p>
                              </w:tc>
                              <w:tc>
                                <w:tcPr>
                                  <w:tcW w:w="4349" w:type="dxa"/>
                                  <w:shd w:val="clear" w:color="auto" w:fill="FFFFFF"/>
                                </w:tcPr>
                                <w:p w14:paraId="6E71FBB6" w14:textId="77777777" w:rsidR="00924992" w:rsidRDefault="00924992">
                                  <w:pPr>
                                    <w:pStyle w:val="Other0"/>
                                    <w:spacing w:line="240" w:lineRule="auto"/>
                                    <w:ind w:firstLine="0"/>
                                    <w:rPr>
                                      <w:sz w:val="16"/>
                                      <w:szCs w:val="16"/>
                                    </w:rPr>
                                  </w:pPr>
                                  <w:r>
                                    <w:rPr>
                                      <w:rFonts w:ascii="Times New Roman" w:eastAsia="Times New Roman" w:hAnsi="Times New Roman" w:cs="Times New Roman"/>
                                      <w:color w:val="000000"/>
                                      <w:sz w:val="16"/>
                                      <w:szCs w:val="16"/>
                                    </w:rPr>
                                    <w:t>Manchas</w:t>
                                  </w:r>
                                </w:p>
                              </w:tc>
                            </w:tr>
                            <w:tr w:rsidR="00924992" w14:paraId="7A7A1862" w14:textId="77777777">
                              <w:tblPrEx>
                                <w:tblCellMar>
                                  <w:top w:w="0" w:type="dxa"/>
                                  <w:bottom w:w="0" w:type="dxa"/>
                                </w:tblCellMar>
                              </w:tblPrEx>
                              <w:trPr>
                                <w:trHeight w:hRule="exact" w:val="216"/>
                              </w:trPr>
                              <w:tc>
                                <w:tcPr>
                                  <w:tcW w:w="1603" w:type="dxa"/>
                                  <w:shd w:val="clear" w:color="auto" w:fill="FFFFFF"/>
                                  <w:vAlign w:val="bottom"/>
                                </w:tcPr>
                                <w:p w14:paraId="157E6174" w14:textId="77777777" w:rsidR="00924992" w:rsidRDefault="00924992">
                                  <w:pPr>
                                    <w:pStyle w:val="Other0"/>
                                    <w:spacing w:line="240" w:lineRule="auto"/>
                                    <w:ind w:firstLine="140"/>
                                    <w:rPr>
                                      <w:sz w:val="16"/>
                                      <w:szCs w:val="16"/>
                                    </w:rPr>
                                  </w:pPr>
                                  <w:r>
                                    <w:rPr>
                                      <w:rFonts w:ascii="Times New Roman" w:eastAsia="Times New Roman" w:hAnsi="Times New Roman" w:cs="Times New Roman"/>
                                      <w:color w:val="000000"/>
                                      <w:sz w:val="16"/>
                                      <w:szCs w:val="16"/>
                                    </w:rPr>
                                    <w:t>de (OTC)</w:t>
                                  </w:r>
                                </w:p>
                              </w:tc>
                              <w:tc>
                                <w:tcPr>
                                  <w:tcW w:w="9787" w:type="dxa"/>
                                  <w:gridSpan w:val="5"/>
                                  <w:shd w:val="clear" w:color="auto" w:fill="FFFFFF"/>
                                </w:tcPr>
                                <w:p w14:paraId="2C6D5C49" w14:textId="77777777" w:rsidR="00924992" w:rsidRDefault="00924992">
                                  <w:pPr>
                                    <w:rPr>
                                      <w:sz w:val="10"/>
                                      <w:szCs w:val="10"/>
                                    </w:rPr>
                                  </w:pPr>
                                </w:p>
                              </w:tc>
                            </w:tr>
                            <w:tr w:rsidR="00924992" w14:paraId="4F0B5B86" w14:textId="77777777">
                              <w:tblPrEx>
                                <w:tblCellMar>
                                  <w:top w:w="0" w:type="dxa"/>
                                  <w:bottom w:w="0" w:type="dxa"/>
                                </w:tblCellMar>
                              </w:tblPrEx>
                              <w:trPr>
                                <w:trHeight w:hRule="exact" w:val="590"/>
                              </w:trPr>
                              <w:tc>
                                <w:tcPr>
                                  <w:tcW w:w="1603" w:type="dxa"/>
                                  <w:shd w:val="clear" w:color="auto" w:fill="FFFFFF"/>
                                </w:tcPr>
                                <w:p w14:paraId="39066CD3" w14:textId="77777777" w:rsidR="00924992" w:rsidRDefault="00924992">
                                  <w:pPr>
                                    <w:pStyle w:val="Other0"/>
                                    <w:spacing w:line="257" w:lineRule="auto"/>
                                    <w:ind w:left="140" w:hanging="140"/>
                                    <w:rPr>
                                      <w:sz w:val="16"/>
                                      <w:szCs w:val="16"/>
                                    </w:rPr>
                                  </w:pPr>
                                  <w:r>
                                    <w:rPr>
                                      <w:rFonts w:ascii="Times New Roman" w:eastAsia="Times New Roman" w:hAnsi="Times New Roman" w:cs="Times New Roman"/>
                                      <w:color w:val="000000"/>
                                      <w:sz w:val="16"/>
                                      <w:szCs w:val="16"/>
                                    </w:rPr>
                                    <w:t>Selenio, sulfuro de (OTC)</w:t>
                                  </w:r>
                                </w:p>
                              </w:tc>
                              <w:tc>
                                <w:tcPr>
                                  <w:tcW w:w="1046" w:type="dxa"/>
                                  <w:shd w:val="clear" w:color="auto" w:fill="FFFFFF"/>
                                </w:tcPr>
                                <w:p w14:paraId="4689B2FE" w14:textId="77777777" w:rsidR="00924992" w:rsidRDefault="00924992">
                                  <w:pPr>
                                    <w:pStyle w:val="Other0"/>
                                    <w:spacing w:line="240" w:lineRule="auto"/>
                                    <w:ind w:firstLine="0"/>
                                    <w:rPr>
                                      <w:sz w:val="16"/>
                                      <w:szCs w:val="16"/>
                                    </w:rPr>
                                  </w:pPr>
                                  <w:r>
                                    <w:rPr>
                                      <w:rFonts w:ascii="Times New Roman" w:eastAsia="Times New Roman" w:hAnsi="Times New Roman" w:cs="Times New Roman"/>
                                      <w:color w:val="000000"/>
                                      <w:sz w:val="16"/>
                                      <w:szCs w:val="16"/>
                                    </w:rPr>
                                    <w:t>2.5%</w:t>
                                  </w:r>
                                </w:p>
                              </w:tc>
                              <w:tc>
                                <w:tcPr>
                                  <w:tcW w:w="1368" w:type="dxa"/>
                                  <w:shd w:val="clear" w:color="auto" w:fill="FFFFFF"/>
                                </w:tcPr>
                                <w:p w14:paraId="2BA49A09" w14:textId="77777777" w:rsidR="00924992" w:rsidRDefault="00924992">
                                  <w:pPr>
                                    <w:pStyle w:val="Other0"/>
                                    <w:spacing w:line="240" w:lineRule="auto"/>
                                    <w:ind w:firstLine="220"/>
                                    <w:rPr>
                                      <w:sz w:val="16"/>
                                      <w:szCs w:val="16"/>
                                    </w:rPr>
                                  </w:pPr>
                                  <w:r>
                                    <w:rPr>
                                      <w:rFonts w:ascii="Times New Roman" w:eastAsia="Times New Roman" w:hAnsi="Times New Roman" w:cs="Times New Roman"/>
                                      <w:color w:val="000000"/>
                                      <w:sz w:val="16"/>
                                      <w:szCs w:val="16"/>
                                    </w:rPr>
                                    <w:t>L, Sh</w:t>
                                  </w:r>
                                </w:p>
                              </w:tc>
                              <w:tc>
                                <w:tcPr>
                                  <w:tcW w:w="1694" w:type="dxa"/>
                                  <w:shd w:val="clear" w:color="auto" w:fill="FFFFFF"/>
                                </w:tcPr>
                                <w:p w14:paraId="64B603FD" w14:textId="77777777" w:rsidR="00924992" w:rsidRDefault="00924992">
                                  <w:pPr>
                                    <w:pStyle w:val="Other0"/>
                                    <w:spacing w:line="240" w:lineRule="auto"/>
                                    <w:ind w:firstLine="0"/>
                                    <w:rPr>
                                      <w:sz w:val="16"/>
                                      <w:szCs w:val="16"/>
                                    </w:rPr>
                                  </w:pPr>
                                  <w:r>
                                    <w:rPr>
                                      <w:rFonts w:ascii="Times New Roman" w:eastAsia="Times New Roman" w:hAnsi="Times New Roman" w:cs="Times New Roman"/>
                                      <w:color w:val="000000"/>
                                      <w:sz w:val="16"/>
                                      <w:szCs w:val="16"/>
                                    </w:rPr>
                                    <w:t>Exsel</w:t>
                                  </w:r>
                                </w:p>
                              </w:tc>
                              <w:tc>
                                <w:tcPr>
                                  <w:tcW w:w="1330" w:type="dxa"/>
                                  <w:shd w:val="clear" w:color="auto" w:fill="FFFFFF"/>
                                </w:tcPr>
                                <w:p w14:paraId="35C3EE02" w14:textId="77777777" w:rsidR="00924992" w:rsidRDefault="00924992">
                                  <w:pPr>
                                    <w:pStyle w:val="Other0"/>
                                    <w:spacing w:line="240" w:lineRule="auto"/>
                                    <w:ind w:firstLine="0"/>
                                    <w:rPr>
                                      <w:sz w:val="16"/>
                                      <w:szCs w:val="16"/>
                                    </w:rPr>
                                  </w:pPr>
                                  <w:r>
                                    <w:rPr>
                                      <w:rFonts w:ascii="Times New Roman" w:eastAsia="Times New Roman" w:hAnsi="Times New Roman" w:cs="Times New Roman"/>
                                      <w:color w:val="000000"/>
                                      <w:sz w:val="16"/>
                                      <w:szCs w:val="16"/>
                                    </w:rPr>
                                    <w:t>1</w:t>
                                  </w:r>
                                </w:p>
                              </w:tc>
                              <w:tc>
                                <w:tcPr>
                                  <w:tcW w:w="4349" w:type="dxa"/>
                                  <w:shd w:val="clear" w:color="auto" w:fill="FFFFFF"/>
                                </w:tcPr>
                                <w:p w14:paraId="388E8830" w14:textId="77777777" w:rsidR="00924992" w:rsidRDefault="00924992">
                                  <w:pPr>
                                    <w:pStyle w:val="Other0"/>
                                    <w:spacing w:line="259" w:lineRule="auto"/>
                                    <w:ind w:left="200" w:hanging="200"/>
                                    <w:rPr>
                                      <w:sz w:val="16"/>
                                      <w:szCs w:val="16"/>
                                    </w:rPr>
                                  </w:pPr>
                                  <w:r>
                                    <w:rPr>
                                      <w:rFonts w:ascii="Times New Roman" w:eastAsia="Times New Roman" w:hAnsi="Times New Roman" w:cs="Times New Roman"/>
                                      <w:color w:val="000000"/>
                                      <w:sz w:val="16"/>
                                      <w:szCs w:val="16"/>
                                    </w:rPr>
                                    <w:t>Contra la tiña de la cabeza, para disminuir la formación de esporas y aminorar la posible propagación de un dermatófito.</w:t>
                                  </w:r>
                                </w:p>
                              </w:tc>
                            </w:tr>
                            <w:tr w:rsidR="00924992" w14:paraId="630E98DB" w14:textId="77777777">
                              <w:tblPrEx>
                                <w:tblCellMar>
                                  <w:top w:w="0" w:type="dxa"/>
                                  <w:bottom w:w="0" w:type="dxa"/>
                                </w:tblCellMar>
                              </w:tblPrEx>
                              <w:trPr>
                                <w:trHeight w:hRule="exact" w:val="720"/>
                              </w:trPr>
                              <w:tc>
                                <w:tcPr>
                                  <w:tcW w:w="1603" w:type="dxa"/>
                                  <w:tcBorders>
                                    <w:bottom w:val="single" w:sz="4" w:space="0" w:color="auto"/>
                                  </w:tcBorders>
                                  <w:shd w:val="clear" w:color="auto" w:fill="FFFFFF"/>
                                </w:tcPr>
                                <w:p w14:paraId="01C30577" w14:textId="77777777" w:rsidR="00924992" w:rsidRDefault="00924992">
                                  <w:pPr>
                                    <w:rPr>
                                      <w:sz w:val="10"/>
                                      <w:szCs w:val="10"/>
                                    </w:rPr>
                                  </w:pPr>
                                </w:p>
                              </w:tc>
                              <w:tc>
                                <w:tcPr>
                                  <w:tcW w:w="1046" w:type="dxa"/>
                                  <w:tcBorders>
                                    <w:bottom w:val="single" w:sz="4" w:space="0" w:color="auto"/>
                                  </w:tcBorders>
                                  <w:shd w:val="clear" w:color="auto" w:fill="FFFFFF"/>
                                </w:tcPr>
                                <w:p w14:paraId="31B55B48" w14:textId="77777777" w:rsidR="00924992" w:rsidRDefault="00924992">
                                  <w:pPr>
                                    <w:pStyle w:val="Other0"/>
                                    <w:spacing w:line="240" w:lineRule="auto"/>
                                    <w:ind w:firstLine="0"/>
                                    <w:rPr>
                                      <w:sz w:val="16"/>
                                      <w:szCs w:val="16"/>
                                    </w:rPr>
                                  </w:pPr>
                                  <w:r>
                                    <w:rPr>
                                      <w:rFonts w:ascii="Times New Roman" w:eastAsia="Times New Roman" w:hAnsi="Times New Roman" w:cs="Times New Roman"/>
                                      <w:color w:val="000000"/>
                                      <w:sz w:val="16"/>
                                      <w:szCs w:val="16"/>
                                    </w:rPr>
                                    <w:t>1%</w:t>
                                  </w:r>
                                </w:p>
                              </w:tc>
                              <w:tc>
                                <w:tcPr>
                                  <w:tcW w:w="1368" w:type="dxa"/>
                                  <w:tcBorders>
                                    <w:bottom w:val="single" w:sz="4" w:space="0" w:color="auto"/>
                                  </w:tcBorders>
                                  <w:shd w:val="clear" w:color="auto" w:fill="FFFFFF"/>
                                </w:tcPr>
                                <w:p w14:paraId="157BA3B7" w14:textId="77777777" w:rsidR="00924992" w:rsidRDefault="00924992">
                                  <w:pPr>
                                    <w:pStyle w:val="Other0"/>
                                    <w:spacing w:line="240" w:lineRule="auto"/>
                                    <w:ind w:firstLine="220"/>
                                    <w:rPr>
                                      <w:sz w:val="16"/>
                                      <w:szCs w:val="16"/>
                                    </w:rPr>
                                  </w:pPr>
                                  <w:r>
                                    <w:rPr>
                                      <w:rFonts w:ascii="Times New Roman" w:eastAsia="Times New Roman" w:hAnsi="Times New Roman" w:cs="Times New Roman"/>
                                      <w:color w:val="000000"/>
                                      <w:sz w:val="16"/>
                                      <w:szCs w:val="16"/>
                                    </w:rPr>
                                    <w:t>Sh</w:t>
                                  </w:r>
                                </w:p>
                              </w:tc>
                              <w:tc>
                                <w:tcPr>
                                  <w:tcW w:w="1694" w:type="dxa"/>
                                  <w:tcBorders>
                                    <w:bottom w:val="single" w:sz="4" w:space="0" w:color="auto"/>
                                  </w:tcBorders>
                                  <w:shd w:val="clear" w:color="auto" w:fill="FFFFFF"/>
                                </w:tcPr>
                                <w:p w14:paraId="434463B2" w14:textId="77777777" w:rsidR="00924992" w:rsidRDefault="00924992">
                                  <w:pPr>
                                    <w:pStyle w:val="Other0"/>
                                    <w:spacing w:line="257" w:lineRule="auto"/>
                                    <w:ind w:firstLine="0"/>
                                    <w:rPr>
                                      <w:sz w:val="16"/>
                                      <w:szCs w:val="16"/>
                                    </w:rPr>
                                  </w:pPr>
                                  <w:r>
                                    <w:rPr>
                                      <w:rFonts w:ascii="Times New Roman" w:eastAsia="Times New Roman" w:hAnsi="Times New Roman" w:cs="Times New Roman"/>
                                      <w:color w:val="000000"/>
                                      <w:sz w:val="16"/>
                                      <w:szCs w:val="16"/>
                                    </w:rPr>
                                    <w:t>Head &amp; Shoulders, Selsun Blue</w:t>
                                  </w:r>
                                </w:p>
                              </w:tc>
                              <w:tc>
                                <w:tcPr>
                                  <w:tcW w:w="1330" w:type="dxa"/>
                                  <w:tcBorders>
                                    <w:bottom w:val="single" w:sz="4" w:space="0" w:color="auto"/>
                                  </w:tcBorders>
                                  <w:shd w:val="clear" w:color="auto" w:fill="FFFFFF"/>
                                </w:tcPr>
                                <w:p w14:paraId="31B170B1" w14:textId="77777777" w:rsidR="00924992" w:rsidRDefault="00924992">
                                  <w:pPr>
                                    <w:pStyle w:val="Other0"/>
                                    <w:spacing w:line="240" w:lineRule="auto"/>
                                    <w:ind w:firstLine="0"/>
                                    <w:rPr>
                                      <w:sz w:val="16"/>
                                      <w:szCs w:val="16"/>
                                    </w:rPr>
                                  </w:pPr>
                                  <w:r>
                                    <w:rPr>
                                      <w:rFonts w:ascii="Times New Roman" w:eastAsia="Times New Roman" w:hAnsi="Times New Roman" w:cs="Times New Roman"/>
                                      <w:color w:val="000000"/>
                                      <w:sz w:val="16"/>
                                      <w:szCs w:val="16"/>
                                    </w:rPr>
                                    <w:t>1</w:t>
                                  </w:r>
                                </w:p>
                              </w:tc>
                              <w:tc>
                                <w:tcPr>
                                  <w:tcW w:w="4349" w:type="dxa"/>
                                  <w:tcBorders>
                                    <w:bottom w:val="single" w:sz="4" w:space="0" w:color="auto"/>
                                  </w:tcBorders>
                                  <w:shd w:val="clear" w:color="auto" w:fill="FFFFFF"/>
                                </w:tcPr>
                                <w:p w14:paraId="7F3D05A5" w14:textId="77777777" w:rsidR="00924992" w:rsidRDefault="00924992">
                                  <w:pPr>
                                    <w:pStyle w:val="Other0"/>
                                    <w:spacing w:line="259" w:lineRule="auto"/>
                                    <w:ind w:left="200" w:hanging="200"/>
                                    <w:rPr>
                                      <w:sz w:val="16"/>
                                      <w:szCs w:val="16"/>
                                    </w:rPr>
                                  </w:pPr>
                                  <w:r>
                                    <w:rPr>
                                      <w:rFonts w:ascii="Times New Roman" w:eastAsia="Times New Roman" w:hAnsi="Times New Roman" w:cs="Times New Roman"/>
                                      <w:color w:val="000000"/>
                                      <w:sz w:val="16"/>
                                      <w:szCs w:val="16"/>
                                    </w:rPr>
                                    <w:t>Contra la tiña de la cabeza, para disminuir la formación de esporas y aminorar la posibilidad de propagación de un dermatofito.</w:t>
                                  </w:r>
                                </w:p>
                              </w:tc>
                            </w:tr>
                          </w:tbl>
                          <w:p w14:paraId="420AE499" w14:textId="77777777" w:rsidR="00924992" w:rsidRDefault="00924992">
                            <w:pPr>
                              <w:spacing w:line="1" w:lineRule="exact"/>
                            </w:pPr>
                          </w:p>
                        </w:txbxContent>
                      </wps:txbx>
                      <wps:bodyPr lIns="0" tIns="0" rIns="0" bIns="0"/>
                    </wps:wsp>
                  </a:graphicData>
                </a:graphic>
              </wp:anchor>
            </w:drawing>
          </mc:Choice>
          <mc:Fallback>
            <w:pict>
              <v:shape w14:anchorId="071ADEDE" id="Shape 2303" o:spid="_x0000_s1052" type="#_x0000_t202" style="position:absolute;margin-left:31.45pt;margin-top:15.6pt;width:569.5pt;height:216.5pt;z-index:251684864;visibility:visible;mso-wrap-style:square;mso-wrap-distance-left:9pt;mso-wrap-distance-top:0;mso-wrap-distance-right:9pt;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" filled="f" stroked="f">
                <v:textbox inset="0,0,0,0">
                  <w:txbxContent>
                    <w:tbl>
                      <w:tblPr>
                        <w:tblOverlap w:val="never"/>
                        <w:tblW w:w="0" w:type="auto"/>
                        <w:tblLayout w:type="fixed"/>
                        <w:tblCellMar>
                          <w:left w:w="10" w:type="dxa"/>
                          <w:right w:w="10" w:type="dxa"/>
                        </w:tblCellMar>
                        <w:tblLook w:val="04A0" w:firstRow="1" w:lastRow="0" w:firstColumn="1" w:lastColumn="0" w:noHBand="0" w:noVBand="1"/>
                      </w:tblPr>
                      <w:tblGrid>
                        <w:gridCol w:w="1603"/>
                        <w:gridCol w:w="1046"/>
                        <w:gridCol w:w="1368"/>
                        <w:gridCol w:w="1694"/>
                        <w:gridCol w:w="1330"/>
                        <w:gridCol w:w="4349"/>
                      </w:tblGrid>
                      <w:tr w:rsidR="00924992" w14:paraId="505277E7" w14:textId="77777777">
                        <w:tblPrEx>
                          <w:tblCellMar>
                            <w:top w:w="0" w:type="dxa"/>
                            <w:bottom w:w="0" w:type="dxa"/>
                          </w:tblCellMar>
                        </w:tblPrEx>
                        <w:trPr>
                          <w:trHeight w:hRule="exact" w:val="562"/>
                          <w:tblHeader/>
                        </w:trPr>
                        <w:tc>
                          <w:tcPr>
                            <w:tcW w:w="1603" w:type="dxa"/>
                            <w:shd w:val="clear" w:color="auto" w:fill="000000"/>
                          </w:tcPr>
                          <w:p w14:paraId="6AB6EF8C" w14:textId="77777777" w:rsidR="00924992" w:rsidRDefault="00924992">
                            <w:pPr>
                              <w:pStyle w:val="Other0"/>
                              <w:pBdr>
                                <w:top w:val="single" w:sz="0" w:space="0" w:color="000000"/>
                                <w:left w:val="single" w:sz="0" w:space="0" w:color="000000"/>
                                <w:bottom w:val="single" w:sz="0" w:space="0" w:color="000000"/>
                                <w:right w:val="single" w:sz="0" w:space="0" w:color="000000"/>
                              </w:pBdr>
                              <w:shd w:val="clear" w:color="auto" w:fill="000000"/>
                              <w:spacing w:line="240" w:lineRule="auto"/>
                              <w:ind w:firstLine="0"/>
                              <w:rPr>
                                <w:sz w:val="24"/>
                                <w:szCs w:val="24"/>
                              </w:rPr>
                            </w:pPr>
                            <w:r>
                              <w:rPr>
                                <w:rFonts w:ascii="Arial" w:eastAsia="Arial" w:hAnsi="Arial" w:cs="Arial"/>
                                <w:b/>
                                <w:bCs/>
                                <w:color w:val="FFFFFF"/>
                                <w:w w:val="70"/>
                                <w:sz w:val="24"/>
                                <w:szCs w:val="24"/>
                              </w:rPr>
                              <w:t>Fármaco</w:t>
                            </w:r>
                          </w:p>
                        </w:tc>
                        <w:tc>
                          <w:tcPr>
                            <w:tcW w:w="1046" w:type="dxa"/>
                            <w:shd w:val="clear" w:color="auto" w:fill="000000"/>
                          </w:tcPr>
                          <w:p w14:paraId="0710B1F8" w14:textId="77777777" w:rsidR="00924992" w:rsidRDefault="00924992">
                            <w:pPr>
                              <w:pStyle w:val="Other0"/>
                              <w:pBdr>
                                <w:top w:val="single" w:sz="0" w:space="0" w:color="000000"/>
                                <w:left w:val="single" w:sz="0" w:space="0" w:color="000000"/>
                                <w:bottom w:val="single" w:sz="0" w:space="0" w:color="000000"/>
                                <w:right w:val="single" w:sz="0" w:space="0" w:color="000000"/>
                              </w:pBdr>
                              <w:shd w:val="clear" w:color="auto" w:fill="000000"/>
                              <w:spacing w:line="240" w:lineRule="auto"/>
                              <w:ind w:firstLine="0"/>
                              <w:rPr>
                                <w:sz w:val="24"/>
                                <w:szCs w:val="24"/>
                              </w:rPr>
                            </w:pPr>
                            <w:r>
                              <w:rPr>
                                <w:rFonts w:ascii="Arial" w:eastAsia="Arial" w:hAnsi="Arial" w:cs="Arial"/>
                                <w:b/>
                                <w:bCs/>
                                <w:color w:val="FFFFFF"/>
                                <w:w w:val="70"/>
                                <w:sz w:val="24"/>
                                <w:szCs w:val="24"/>
                              </w:rPr>
                              <w:t>Potencia</w:t>
                            </w:r>
                          </w:p>
                        </w:tc>
                        <w:tc>
                          <w:tcPr>
                            <w:tcW w:w="1368" w:type="dxa"/>
                            <w:shd w:val="clear" w:color="auto" w:fill="000000"/>
                          </w:tcPr>
                          <w:p w14:paraId="26881DFC" w14:textId="77777777" w:rsidR="00924992" w:rsidRDefault="00924992">
                            <w:pPr>
                              <w:pStyle w:val="Other0"/>
                              <w:pBdr>
                                <w:top w:val="single" w:sz="0" w:space="0" w:color="000000"/>
                                <w:left w:val="single" w:sz="0" w:space="0" w:color="000000"/>
                                <w:bottom w:val="single" w:sz="0" w:space="0" w:color="000000"/>
                                <w:right w:val="single" w:sz="0" w:space="0" w:color="000000"/>
                              </w:pBdr>
                              <w:shd w:val="clear" w:color="auto" w:fill="000000"/>
                              <w:spacing w:line="240" w:lineRule="auto"/>
                              <w:ind w:firstLine="220"/>
                              <w:rPr>
                                <w:sz w:val="24"/>
                                <w:szCs w:val="24"/>
                              </w:rPr>
                            </w:pPr>
                            <w:r>
                              <w:rPr>
                                <w:rFonts w:ascii="Arial" w:eastAsia="Arial" w:hAnsi="Arial" w:cs="Arial"/>
                                <w:b/>
                                <w:bCs/>
                                <w:color w:val="FFFFFF"/>
                                <w:w w:val="70"/>
                                <w:sz w:val="24"/>
                                <w:szCs w:val="24"/>
                              </w:rPr>
                              <w:t>Presentación</w:t>
                            </w:r>
                          </w:p>
                        </w:tc>
                        <w:tc>
                          <w:tcPr>
                            <w:tcW w:w="1694" w:type="dxa"/>
                            <w:shd w:val="clear" w:color="auto" w:fill="000000"/>
                          </w:tcPr>
                          <w:p w14:paraId="4EF30A70" w14:textId="77777777" w:rsidR="00924992" w:rsidRDefault="00924992">
                            <w:pPr>
                              <w:pStyle w:val="Other0"/>
                              <w:pBdr>
                                <w:top w:val="single" w:sz="0" w:space="0" w:color="000000"/>
                                <w:left w:val="single" w:sz="0" w:space="0" w:color="000000"/>
                                <w:bottom w:val="single" w:sz="0" w:space="0" w:color="000000"/>
                                <w:right w:val="single" w:sz="0" w:space="0" w:color="000000"/>
                              </w:pBdr>
                              <w:shd w:val="clear" w:color="auto" w:fill="000000"/>
                              <w:spacing w:line="209" w:lineRule="auto"/>
                              <w:ind w:firstLine="0"/>
                              <w:rPr>
                                <w:sz w:val="24"/>
                                <w:szCs w:val="24"/>
                              </w:rPr>
                            </w:pPr>
                            <w:r>
                              <w:rPr>
                                <w:rFonts w:ascii="Arial" w:eastAsia="Arial" w:hAnsi="Arial" w:cs="Arial"/>
                                <w:b/>
                                <w:bCs/>
                                <w:color w:val="FFFFFF"/>
                                <w:w w:val="70"/>
                                <w:sz w:val="24"/>
                                <w:szCs w:val="24"/>
                              </w:rPr>
                              <w:t>Nombre comercial (ejemplos)</w:t>
                            </w:r>
                          </w:p>
                        </w:tc>
                        <w:tc>
                          <w:tcPr>
                            <w:tcW w:w="1330" w:type="dxa"/>
                            <w:shd w:val="clear" w:color="auto" w:fill="000000"/>
                          </w:tcPr>
                          <w:p w14:paraId="5CE445E0" w14:textId="77777777" w:rsidR="00924992" w:rsidRDefault="00924992">
                            <w:pPr>
                              <w:pStyle w:val="Other0"/>
                              <w:pBdr>
                                <w:top w:val="single" w:sz="0" w:space="0" w:color="000000"/>
                                <w:left w:val="single" w:sz="0" w:space="0" w:color="000000"/>
                                <w:bottom w:val="single" w:sz="0" w:space="0" w:color="000000"/>
                                <w:right w:val="single" w:sz="0" w:space="0" w:color="000000"/>
                              </w:pBdr>
                              <w:shd w:val="clear" w:color="auto" w:fill="000000"/>
                              <w:spacing w:line="214" w:lineRule="auto"/>
                              <w:ind w:firstLine="0"/>
                              <w:rPr>
                                <w:sz w:val="24"/>
                                <w:szCs w:val="24"/>
                              </w:rPr>
                            </w:pPr>
                            <w:r>
                              <w:rPr>
                                <w:rFonts w:ascii="Arial" w:eastAsia="Arial" w:hAnsi="Arial" w:cs="Arial"/>
                                <w:b/>
                                <w:bCs/>
                                <w:color w:val="FFFFFF"/>
                                <w:w w:val="70"/>
                                <w:sz w:val="24"/>
                                <w:szCs w:val="24"/>
                              </w:rPr>
                              <w:t>Aplicaciones al día</w:t>
                            </w:r>
                          </w:p>
                        </w:tc>
                        <w:tc>
                          <w:tcPr>
                            <w:tcW w:w="4349" w:type="dxa"/>
                            <w:shd w:val="clear" w:color="auto" w:fill="000000"/>
                          </w:tcPr>
                          <w:p w14:paraId="3C597E63" w14:textId="77777777" w:rsidR="00924992" w:rsidRDefault="00924992">
                            <w:pPr>
                              <w:pStyle w:val="Other0"/>
                              <w:pBdr>
                                <w:top w:val="single" w:sz="0" w:space="0" w:color="000000"/>
                                <w:left w:val="single" w:sz="0" w:space="0" w:color="000000"/>
                                <w:bottom w:val="single" w:sz="0" w:space="0" w:color="000000"/>
                                <w:right w:val="single" w:sz="0" w:space="0" w:color="000000"/>
                              </w:pBdr>
                              <w:shd w:val="clear" w:color="auto" w:fill="000000"/>
                              <w:spacing w:line="204" w:lineRule="auto"/>
                              <w:ind w:firstLine="0"/>
                              <w:rPr>
                                <w:sz w:val="24"/>
                                <w:szCs w:val="24"/>
                              </w:rPr>
                            </w:pPr>
                            <w:r>
                              <w:rPr>
                                <w:rFonts w:ascii="Arial" w:eastAsia="Arial" w:hAnsi="Arial" w:cs="Arial"/>
                                <w:b/>
                                <w:bCs/>
                                <w:color w:val="FFFFFF"/>
                                <w:w w:val="70"/>
                                <w:sz w:val="24"/>
                                <w:szCs w:val="24"/>
                              </w:rPr>
                              <w:t>Reacciones adversas/ comentarios</w:t>
                            </w:r>
                          </w:p>
                        </w:tc>
                      </w:tr>
                      <w:tr w:rsidR="00924992" w14:paraId="6C0BBD0A" w14:textId="77777777">
                        <w:tblPrEx>
                          <w:tblCellMar>
                            <w:top w:w="0" w:type="dxa"/>
                            <w:bottom w:w="0" w:type="dxa"/>
                          </w:tblCellMar>
                        </w:tblPrEx>
                        <w:trPr>
                          <w:trHeight w:hRule="exact" w:val="667"/>
                        </w:trPr>
                        <w:tc>
                          <w:tcPr>
                            <w:tcW w:w="1603" w:type="dxa"/>
                            <w:shd w:val="clear" w:color="auto" w:fill="FFFFFF"/>
                          </w:tcPr>
                          <w:p w14:paraId="06CEADE4" w14:textId="77777777" w:rsidR="00924992" w:rsidRDefault="00924992">
                            <w:pPr>
                              <w:pStyle w:val="Other0"/>
                              <w:spacing w:line="240" w:lineRule="auto"/>
                              <w:ind w:firstLine="0"/>
                              <w:rPr>
                                <w:sz w:val="16"/>
                                <w:szCs w:val="16"/>
                              </w:rPr>
                            </w:pPr>
                            <w:r>
                              <w:rPr>
                                <w:rFonts w:ascii="Times New Roman" w:eastAsia="Times New Roman" w:hAnsi="Times New Roman" w:cs="Times New Roman"/>
                                <w:color w:val="000000"/>
                                <w:sz w:val="16"/>
                                <w:szCs w:val="16"/>
                              </w:rPr>
                              <w:t>Triacetín (Rx)</w:t>
                            </w:r>
                          </w:p>
                        </w:tc>
                        <w:tc>
                          <w:tcPr>
                            <w:tcW w:w="1046" w:type="dxa"/>
                            <w:shd w:val="clear" w:color="auto" w:fill="FFFFFF"/>
                          </w:tcPr>
                          <w:p w14:paraId="41F1B68E" w14:textId="77777777" w:rsidR="00924992" w:rsidRDefault="00924992">
                            <w:pPr>
                              <w:pStyle w:val="Other0"/>
                              <w:spacing w:line="257" w:lineRule="auto"/>
                              <w:ind w:firstLine="0"/>
                              <w:jc w:val="center"/>
                              <w:rPr>
                                <w:sz w:val="16"/>
                                <w:szCs w:val="16"/>
                              </w:rPr>
                            </w:pPr>
                            <w:r>
                              <w:rPr>
                                <w:rFonts w:ascii="Times New Roman" w:eastAsia="Times New Roman" w:hAnsi="Times New Roman" w:cs="Times New Roman"/>
                                <w:color w:val="000000"/>
                                <w:sz w:val="16"/>
                                <w:szCs w:val="16"/>
                              </w:rPr>
                              <w:t>Porcentaje variable</w:t>
                            </w:r>
                          </w:p>
                        </w:tc>
                        <w:tc>
                          <w:tcPr>
                            <w:tcW w:w="1368" w:type="dxa"/>
                            <w:shd w:val="clear" w:color="auto" w:fill="FFFFFF"/>
                          </w:tcPr>
                          <w:p w14:paraId="70F53E4C" w14:textId="77777777" w:rsidR="00924992" w:rsidRDefault="00924992">
                            <w:pPr>
                              <w:pStyle w:val="Other0"/>
                              <w:spacing w:line="240" w:lineRule="auto"/>
                              <w:ind w:firstLine="220"/>
                              <w:rPr>
                                <w:sz w:val="16"/>
                                <w:szCs w:val="16"/>
                              </w:rPr>
                            </w:pPr>
                            <w:r>
                              <w:rPr>
                                <w:rFonts w:ascii="Times New Roman" w:eastAsia="Times New Roman" w:hAnsi="Times New Roman" w:cs="Times New Roman"/>
                                <w:color w:val="000000"/>
                                <w:sz w:val="16"/>
                                <w:szCs w:val="16"/>
                              </w:rPr>
                              <w:t>S, C, Sp</w:t>
                            </w:r>
                          </w:p>
                        </w:tc>
                        <w:tc>
                          <w:tcPr>
                            <w:tcW w:w="1694" w:type="dxa"/>
                            <w:shd w:val="clear" w:color="auto" w:fill="FFFFFF"/>
                            <w:vAlign w:val="bottom"/>
                          </w:tcPr>
                          <w:p w14:paraId="0B63EC37" w14:textId="77777777" w:rsidR="00924992" w:rsidRDefault="00924992">
                            <w:pPr>
                              <w:pStyle w:val="Other0"/>
                              <w:spacing w:line="259" w:lineRule="auto"/>
                              <w:ind w:left="180" w:hanging="180"/>
                              <w:rPr>
                                <w:sz w:val="16"/>
                                <w:szCs w:val="16"/>
                              </w:rPr>
                            </w:pPr>
                            <w:r>
                              <w:rPr>
                                <w:rFonts w:ascii="Times New Roman" w:eastAsia="Times New Roman" w:hAnsi="Times New Roman" w:cs="Times New Roman"/>
                                <w:color w:val="000000"/>
                                <w:sz w:val="16"/>
                                <w:szCs w:val="16"/>
                              </w:rPr>
                              <w:t>Tintura fungoide, crema fungoide sólo para uña limpia</w:t>
                            </w:r>
                          </w:p>
                        </w:tc>
                        <w:tc>
                          <w:tcPr>
                            <w:tcW w:w="1330" w:type="dxa"/>
                            <w:shd w:val="clear" w:color="auto" w:fill="FFFFFF"/>
                          </w:tcPr>
                          <w:p w14:paraId="13699E2D" w14:textId="77777777" w:rsidR="00924992" w:rsidRDefault="00924992">
                            <w:pPr>
                              <w:pStyle w:val="Other0"/>
                              <w:spacing w:line="240" w:lineRule="auto"/>
                              <w:ind w:firstLine="0"/>
                              <w:rPr>
                                <w:sz w:val="16"/>
                                <w:szCs w:val="16"/>
                              </w:rPr>
                            </w:pPr>
                            <w:r>
                              <w:rPr>
                                <w:rFonts w:ascii="Times New Roman" w:eastAsia="Times New Roman" w:hAnsi="Times New Roman" w:cs="Times New Roman"/>
                                <w:color w:val="000000"/>
                                <w:sz w:val="16"/>
                                <w:szCs w:val="16"/>
                              </w:rPr>
                              <w:t>3 (C, S)</w:t>
                            </w:r>
                          </w:p>
                        </w:tc>
                        <w:tc>
                          <w:tcPr>
                            <w:tcW w:w="4349" w:type="dxa"/>
                            <w:shd w:val="clear" w:color="auto" w:fill="FFFFFF"/>
                          </w:tcPr>
                          <w:p w14:paraId="55E5CD8F" w14:textId="77777777" w:rsidR="00924992" w:rsidRDefault="00924992">
                            <w:pPr>
                              <w:pStyle w:val="Other0"/>
                              <w:spacing w:line="240" w:lineRule="auto"/>
                              <w:ind w:firstLine="0"/>
                              <w:rPr>
                                <w:sz w:val="16"/>
                                <w:szCs w:val="16"/>
                              </w:rPr>
                            </w:pPr>
                            <w:r>
                              <w:rPr>
                                <w:rFonts w:ascii="Times New Roman" w:eastAsia="Times New Roman" w:hAnsi="Times New Roman" w:cs="Times New Roman"/>
                                <w:color w:val="000000"/>
                                <w:sz w:val="16"/>
                                <w:szCs w:val="16"/>
                              </w:rPr>
                              <w:t>Dermatitis irritativa</w:t>
                            </w:r>
                          </w:p>
                        </w:tc>
                      </w:tr>
                      <w:tr w:rsidR="00924992" w14:paraId="6D558DD2" w14:textId="77777777">
                        <w:tblPrEx>
                          <w:tblCellMar>
                            <w:top w:w="0" w:type="dxa"/>
                            <w:bottom w:w="0" w:type="dxa"/>
                          </w:tblCellMar>
                        </w:tblPrEx>
                        <w:trPr>
                          <w:trHeight w:hRule="exact" w:val="1080"/>
                        </w:trPr>
                        <w:tc>
                          <w:tcPr>
                            <w:tcW w:w="1603" w:type="dxa"/>
                            <w:shd w:val="clear" w:color="auto" w:fill="FFFFFF"/>
                          </w:tcPr>
                          <w:p w14:paraId="19601D86" w14:textId="77777777" w:rsidR="00924992" w:rsidRDefault="00924992">
                            <w:pPr>
                              <w:pStyle w:val="Other0"/>
                              <w:spacing w:line="257" w:lineRule="auto"/>
                              <w:ind w:left="140" w:hanging="140"/>
                              <w:rPr>
                                <w:sz w:val="16"/>
                                <w:szCs w:val="16"/>
                              </w:rPr>
                            </w:pPr>
                            <w:r>
                              <w:rPr>
                                <w:rFonts w:ascii="Times New Roman" w:eastAsia="Times New Roman" w:hAnsi="Times New Roman" w:cs="Times New Roman"/>
                                <w:color w:val="000000"/>
                                <w:sz w:val="16"/>
                                <w:szCs w:val="16"/>
                              </w:rPr>
                              <w:t>Undecilénico, ácido, y derivados (OTC)</w:t>
                            </w:r>
                          </w:p>
                        </w:tc>
                        <w:tc>
                          <w:tcPr>
                            <w:tcW w:w="1046" w:type="dxa"/>
                            <w:shd w:val="clear" w:color="auto" w:fill="FFFFFF"/>
                          </w:tcPr>
                          <w:p w14:paraId="17595EF2" w14:textId="77777777" w:rsidR="00924992" w:rsidRDefault="00924992">
                            <w:pPr>
                              <w:pStyle w:val="Other0"/>
                              <w:spacing w:line="240" w:lineRule="auto"/>
                              <w:ind w:firstLine="0"/>
                              <w:rPr>
                                <w:sz w:val="16"/>
                                <w:szCs w:val="16"/>
                              </w:rPr>
                            </w:pPr>
                            <w:r>
                              <w:rPr>
                                <w:rFonts w:ascii="Times New Roman" w:eastAsia="Times New Roman" w:hAnsi="Times New Roman" w:cs="Times New Roman"/>
                                <w:color w:val="000000"/>
                                <w:sz w:val="16"/>
                                <w:szCs w:val="16"/>
                              </w:rPr>
                              <w:t>8-25%</w:t>
                            </w:r>
                          </w:p>
                        </w:tc>
                        <w:tc>
                          <w:tcPr>
                            <w:tcW w:w="1368" w:type="dxa"/>
                            <w:shd w:val="clear" w:color="auto" w:fill="FFFFFF"/>
                          </w:tcPr>
                          <w:p w14:paraId="5A9C2568" w14:textId="77777777" w:rsidR="00924992" w:rsidRDefault="00924992">
                            <w:pPr>
                              <w:pStyle w:val="Other0"/>
                              <w:spacing w:line="257" w:lineRule="auto"/>
                              <w:ind w:left="300" w:hanging="80"/>
                              <w:rPr>
                                <w:sz w:val="16"/>
                                <w:szCs w:val="16"/>
                              </w:rPr>
                            </w:pPr>
                            <w:r>
                              <w:rPr>
                                <w:rFonts w:ascii="Times New Roman" w:eastAsia="Times New Roman" w:hAnsi="Times New Roman" w:cs="Times New Roman"/>
                                <w:color w:val="000000"/>
                                <w:sz w:val="16"/>
                                <w:szCs w:val="16"/>
                              </w:rPr>
                              <w:t>C, O, S, F, SpP, P, jabón</w:t>
                            </w:r>
                          </w:p>
                        </w:tc>
                        <w:tc>
                          <w:tcPr>
                            <w:tcW w:w="1694" w:type="dxa"/>
                            <w:shd w:val="clear" w:color="auto" w:fill="FFFFFF"/>
                          </w:tcPr>
                          <w:p w14:paraId="3353E92A" w14:textId="77777777" w:rsidR="00924992" w:rsidRDefault="00924992">
                            <w:pPr>
                              <w:pStyle w:val="Other0"/>
                              <w:spacing w:line="259" w:lineRule="auto"/>
                              <w:ind w:left="180" w:hanging="180"/>
                              <w:rPr>
                                <w:sz w:val="16"/>
                                <w:szCs w:val="16"/>
                              </w:rPr>
                            </w:pPr>
                            <w:r>
                              <w:rPr>
                                <w:rFonts w:ascii="Times New Roman" w:eastAsia="Times New Roman" w:hAnsi="Times New Roman" w:cs="Times New Roman"/>
                                <w:color w:val="000000"/>
                                <w:sz w:val="16"/>
                                <w:szCs w:val="16"/>
                              </w:rPr>
                              <w:t>Consultar al farmacéutico respecto a presentaciones y aplicaciones</w:t>
                            </w:r>
                            <w:r>
                              <w:rPr>
                                <w:rFonts w:ascii="Times New Roman" w:eastAsia="Times New Roman" w:hAnsi="Times New Roman" w:cs="Times New Roman"/>
                                <w:color w:val="000000"/>
                                <w:sz w:val="16"/>
                                <w:szCs w:val="16"/>
                                <w:vertAlign w:val="superscript"/>
                              </w:rPr>
                              <w:t>1</w:t>
                            </w:r>
                          </w:p>
                        </w:tc>
                        <w:tc>
                          <w:tcPr>
                            <w:tcW w:w="1330" w:type="dxa"/>
                            <w:shd w:val="clear" w:color="auto" w:fill="FFFFFF"/>
                          </w:tcPr>
                          <w:p w14:paraId="3524B6B1" w14:textId="77777777" w:rsidR="00924992" w:rsidRDefault="00924992">
                            <w:pPr>
                              <w:pStyle w:val="Other0"/>
                              <w:spacing w:line="257" w:lineRule="auto"/>
                              <w:ind w:left="180" w:hanging="180"/>
                              <w:rPr>
                                <w:sz w:val="16"/>
                                <w:szCs w:val="16"/>
                              </w:rPr>
                            </w:pPr>
                            <w:r>
                              <w:rPr>
                                <w:rFonts w:ascii="Times New Roman" w:eastAsia="Times New Roman" w:hAnsi="Times New Roman" w:cs="Times New Roman"/>
                                <w:color w:val="000000"/>
                                <w:sz w:val="16"/>
                                <w:szCs w:val="16"/>
                              </w:rPr>
                              <w:t>2 (tintura) Nebulizar 1-2 s</w:t>
                            </w:r>
                          </w:p>
                        </w:tc>
                        <w:tc>
                          <w:tcPr>
                            <w:tcW w:w="4349" w:type="dxa"/>
                            <w:shd w:val="clear" w:color="auto" w:fill="FFFFFF"/>
                          </w:tcPr>
                          <w:p w14:paraId="5C81743F" w14:textId="77777777" w:rsidR="00924992" w:rsidRDefault="00924992">
                            <w:pPr>
                              <w:pStyle w:val="Other0"/>
                              <w:spacing w:line="240" w:lineRule="auto"/>
                              <w:ind w:firstLine="0"/>
                              <w:rPr>
                                <w:sz w:val="16"/>
                                <w:szCs w:val="16"/>
                              </w:rPr>
                            </w:pPr>
                            <w:r>
                              <w:rPr>
                                <w:rFonts w:ascii="Times New Roman" w:eastAsia="Times New Roman" w:hAnsi="Times New Roman" w:cs="Times New Roman"/>
                                <w:color w:val="000000"/>
                                <w:sz w:val="16"/>
                                <w:szCs w:val="16"/>
                              </w:rPr>
                              <w:t>Dermatitis irritativa</w:t>
                            </w:r>
                          </w:p>
                        </w:tc>
                      </w:tr>
                      <w:tr w:rsidR="00924992" w14:paraId="0B609941" w14:textId="77777777">
                        <w:tblPrEx>
                          <w:tblCellMar>
                            <w:top w:w="0" w:type="dxa"/>
                            <w:bottom w:w="0" w:type="dxa"/>
                          </w:tblCellMar>
                        </w:tblPrEx>
                        <w:trPr>
                          <w:trHeight w:hRule="exact" w:val="317"/>
                        </w:trPr>
                        <w:tc>
                          <w:tcPr>
                            <w:tcW w:w="1603" w:type="dxa"/>
                            <w:shd w:val="clear" w:color="auto" w:fill="FFFFFF"/>
                            <w:vAlign w:val="bottom"/>
                          </w:tcPr>
                          <w:p w14:paraId="062E9193" w14:textId="77777777" w:rsidR="00924992" w:rsidRDefault="00924992">
                            <w:pPr>
                              <w:pStyle w:val="Other0"/>
                              <w:spacing w:line="240" w:lineRule="auto"/>
                              <w:ind w:firstLine="0"/>
                              <w:rPr>
                                <w:sz w:val="16"/>
                                <w:szCs w:val="16"/>
                              </w:rPr>
                            </w:pPr>
                            <w:r>
                              <w:rPr>
                                <w:rFonts w:ascii="Times New Roman" w:eastAsia="Times New Roman" w:hAnsi="Times New Roman" w:cs="Times New Roman"/>
                                <w:b/>
                                <w:bCs/>
                                <w:color w:val="000000"/>
                                <w:sz w:val="16"/>
                                <w:szCs w:val="16"/>
                              </w:rPr>
                              <w:t>Otros productos</w:t>
                            </w:r>
                          </w:p>
                        </w:tc>
                        <w:tc>
                          <w:tcPr>
                            <w:tcW w:w="9787" w:type="dxa"/>
                            <w:gridSpan w:val="5"/>
                            <w:shd w:val="clear" w:color="auto" w:fill="FFFFFF"/>
                          </w:tcPr>
                          <w:p w14:paraId="4393779D" w14:textId="77777777" w:rsidR="00924992" w:rsidRDefault="00924992">
                            <w:pPr>
                              <w:rPr>
                                <w:sz w:val="10"/>
                                <w:szCs w:val="10"/>
                              </w:rPr>
                            </w:pPr>
                          </w:p>
                        </w:tc>
                      </w:tr>
                      <w:tr w:rsidR="00924992" w14:paraId="25D27279" w14:textId="77777777">
                        <w:tblPrEx>
                          <w:tblCellMar>
                            <w:top w:w="0" w:type="dxa"/>
                            <w:bottom w:w="0" w:type="dxa"/>
                          </w:tblCellMar>
                        </w:tblPrEx>
                        <w:trPr>
                          <w:trHeight w:hRule="exact" w:val="178"/>
                        </w:trPr>
                        <w:tc>
                          <w:tcPr>
                            <w:tcW w:w="1603" w:type="dxa"/>
                            <w:shd w:val="clear" w:color="auto" w:fill="FFFFFF"/>
                          </w:tcPr>
                          <w:p w14:paraId="13E41694" w14:textId="77777777" w:rsidR="00924992" w:rsidRDefault="00924992">
                            <w:pPr>
                              <w:pStyle w:val="Other0"/>
                              <w:spacing w:line="240" w:lineRule="auto"/>
                              <w:ind w:firstLine="0"/>
                              <w:rPr>
                                <w:sz w:val="16"/>
                                <w:szCs w:val="16"/>
                              </w:rPr>
                            </w:pPr>
                            <w:r>
                              <w:rPr>
                                <w:rFonts w:ascii="Times New Roman" w:eastAsia="Times New Roman" w:hAnsi="Times New Roman" w:cs="Times New Roman"/>
                                <w:color w:val="000000"/>
                                <w:sz w:val="16"/>
                                <w:szCs w:val="16"/>
                              </w:rPr>
                              <w:t>Genciana, violeta</w:t>
                            </w:r>
                          </w:p>
                        </w:tc>
                        <w:tc>
                          <w:tcPr>
                            <w:tcW w:w="1046" w:type="dxa"/>
                            <w:shd w:val="clear" w:color="auto" w:fill="FFFFFF"/>
                          </w:tcPr>
                          <w:p w14:paraId="3042D594" w14:textId="77777777" w:rsidR="00924992" w:rsidRDefault="00924992">
                            <w:pPr>
                              <w:pStyle w:val="Other0"/>
                              <w:spacing w:line="240" w:lineRule="auto"/>
                              <w:ind w:firstLine="0"/>
                              <w:rPr>
                                <w:sz w:val="16"/>
                                <w:szCs w:val="16"/>
                              </w:rPr>
                            </w:pPr>
                            <w:r>
                              <w:rPr>
                                <w:rFonts w:ascii="Times New Roman" w:eastAsia="Times New Roman" w:hAnsi="Times New Roman" w:cs="Times New Roman"/>
                                <w:color w:val="000000"/>
                                <w:sz w:val="16"/>
                                <w:szCs w:val="16"/>
                              </w:rPr>
                              <w:t>2%</w:t>
                            </w:r>
                          </w:p>
                        </w:tc>
                        <w:tc>
                          <w:tcPr>
                            <w:tcW w:w="1368" w:type="dxa"/>
                            <w:shd w:val="clear" w:color="auto" w:fill="FFFFFF"/>
                          </w:tcPr>
                          <w:p w14:paraId="0F084FE2" w14:textId="77777777" w:rsidR="00924992" w:rsidRDefault="00924992">
                            <w:pPr>
                              <w:pStyle w:val="Other0"/>
                              <w:spacing w:line="240" w:lineRule="auto"/>
                              <w:ind w:firstLine="220"/>
                              <w:rPr>
                                <w:sz w:val="16"/>
                                <w:szCs w:val="16"/>
                              </w:rPr>
                            </w:pPr>
                            <w:r>
                              <w:rPr>
                                <w:rFonts w:ascii="Times New Roman" w:eastAsia="Times New Roman" w:hAnsi="Times New Roman" w:cs="Times New Roman"/>
                                <w:color w:val="000000"/>
                                <w:sz w:val="16"/>
                                <w:szCs w:val="16"/>
                              </w:rPr>
                              <w:t>S</w:t>
                            </w:r>
                          </w:p>
                        </w:tc>
                        <w:tc>
                          <w:tcPr>
                            <w:tcW w:w="1694" w:type="dxa"/>
                            <w:shd w:val="clear" w:color="auto" w:fill="FFFFFF"/>
                          </w:tcPr>
                          <w:p w14:paraId="4CED3EA8" w14:textId="77777777" w:rsidR="00924992" w:rsidRDefault="00924992">
                            <w:pPr>
                              <w:rPr>
                                <w:sz w:val="10"/>
                                <w:szCs w:val="10"/>
                              </w:rPr>
                            </w:pPr>
                          </w:p>
                        </w:tc>
                        <w:tc>
                          <w:tcPr>
                            <w:tcW w:w="1330" w:type="dxa"/>
                            <w:shd w:val="clear" w:color="auto" w:fill="FFFFFF"/>
                          </w:tcPr>
                          <w:p w14:paraId="44899DA7" w14:textId="77777777" w:rsidR="00924992" w:rsidRDefault="00924992">
                            <w:pPr>
                              <w:pStyle w:val="Other0"/>
                              <w:spacing w:line="240" w:lineRule="auto"/>
                              <w:ind w:firstLine="0"/>
                              <w:rPr>
                                <w:sz w:val="16"/>
                                <w:szCs w:val="16"/>
                              </w:rPr>
                            </w:pPr>
                            <w:r>
                              <w:rPr>
                                <w:rFonts w:ascii="Times New Roman" w:eastAsia="Times New Roman" w:hAnsi="Times New Roman" w:cs="Times New Roman"/>
                                <w:color w:val="000000"/>
                                <w:sz w:val="16"/>
                                <w:szCs w:val="16"/>
                              </w:rPr>
                              <w:t>2</w:t>
                            </w:r>
                          </w:p>
                        </w:tc>
                        <w:tc>
                          <w:tcPr>
                            <w:tcW w:w="4349" w:type="dxa"/>
                            <w:shd w:val="clear" w:color="auto" w:fill="FFFFFF"/>
                          </w:tcPr>
                          <w:p w14:paraId="6E71FBB6" w14:textId="77777777" w:rsidR="00924992" w:rsidRDefault="00924992">
                            <w:pPr>
                              <w:pStyle w:val="Other0"/>
                              <w:spacing w:line="240" w:lineRule="auto"/>
                              <w:ind w:firstLine="0"/>
                              <w:rPr>
                                <w:sz w:val="16"/>
                                <w:szCs w:val="16"/>
                              </w:rPr>
                            </w:pPr>
                            <w:r>
                              <w:rPr>
                                <w:rFonts w:ascii="Times New Roman" w:eastAsia="Times New Roman" w:hAnsi="Times New Roman" w:cs="Times New Roman"/>
                                <w:color w:val="000000"/>
                                <w:sz w:val="16"/>
                                <w:szCs w:val="16"/>
                              </w:rPr>
                              <w:t>Manchas</w:t>
                            </w:r>
                          </w:p>
                        </w:tc>
                      </w:tr>
                      <w:tr w:rsidR="00924992" w14:paraId="7A7A1862" w14:textId="77777777">
                        <w:tblPrEx>
                          <w:tblCellMar>
                            <w:top w:w="0" w:type="dxa"/>
                            <w:bottom w:w="0" w:type="dxa"/>
                          </w:tblCellMar>
                        </w:tblPrEx>
                        <w:trPr>
                          <w:trHeight w:hRule="exact" w:val="216"/>
                        </w:trPr>
                        <w:tc>
                          <w:tcPr>
                            <w:tcW w:w="1603" w:type="dxa"/>
                            <w:shd w:val="clear" w:color="auto" w:fill="FFFFFF"/>
                            <w:vAlign w:val="bottom"/>
                          </w:tcPr>
                          <w:p w14:paraId="157E6174" w14:textId="77777777" w:rsidR="00924992" w:rsidRDefault="00924992">
                            <w:pPr>
                              <w:pStyle w:val="Other0"/>
                              <w:spacing w:line="240" w:lineRule="auto"/>
                              <w:ind w:firstLine="140"/>
                              <w:rPr>
                                <w:sz w:val="16"/>
                                <w:szCs w:val="16"/>
                              </w:rPr>
                            </w:pPr>
                            <w:r>
                              <w:rPr>
                                <w:rFonts w:ascii="Times New Roman" w:eastAsia="Times New Roman" w:hAnsi="Times New Roman" w:cs="Times New Roman"/>
                                <w:color w:val="000000"/>
                                <w:sz w:val="16"/>
                                <w:szCs w:val="16"/>
                              </w:rPr>
                              <w:t>de (OTC)</w:t>
                            </w:r>
                          </w:p>
                        </w:tc>
                        <w:tc>
                          <w:tcPr>
                            <w:tcW w:w="9787" w:type="dxa"/>
                            <w:gridSpan w:val="5"/>
                            <w:shd w:val="clear" w:color="auto" w:fill="FFFFFF"/>
                          </w:tcPr>
                          <w:p w14:paraId="2C6D5C49" w14:textId="77777777" w:rsidR="00924992" w:rsidRDefault="00924992">
                            <w:pPr>
                              <w:rPr>
                                <w:sz w:val="10"/>
                                <w:szCs w:val="10"/>
                              </w:rPr>
                            </w:pPr>
                          </w:p>
                        </w:tc>
                      </w:tr>
                      <w:tr w:rsidR="00924992" w14:paraId="4F0B5B86" w14:textId="77777777">
                        <w:tblPrEx>
                          <w:tblCellMar>
                            <w:top w:w="0" w:type="dxa"/>
                            <w:bottom w:w="0" w:type="dxa"/>
                          </w:tblCellMar>
                        </w:tblPrEx>
                        <w:trPr>
                          <w:trHeight w:hRule="exact" w:val="590"/>
                        </w:trPr>
                        <w:tc>
                          <w:tcPr>
                            <w:tcW w:w="1603" w:type="dxa"/>
                            <w:shd w:val="clear" w:color="auto" w:fill="FFFFFF"/>
                          </w:tcPr>
                          <w:p w14:paraId="39066CD3" w14:textId="77777777" w:rsidR="00924992" w:rsidRDefault="00924992">
                            <w:pPr>
                              <w:pStyle w:val="Other0"/>
                              <w:spacing w:line="257" w:lineRule="auto"/>
                              <w:ind w:left="140" w:hanging="140"/>
                              <w:rPr>
                                <w:sz w:val="16"/>
                                <w:szCs w:val="16"/>
                              </w:rPr>
                            </w:pPr>
                            <w:r>
                              <w:rPr>
                                <w:rFonts w:ascii="Times New Roman" w:eastAsia="Times New Roman" w:hAnsi="Times New Roman" w:cs="Times New Roman"/>
                                <w:color w:val="000000"/>
                                <w:sz w:val="16"/>
                                <w:szCs w:val="16"/>
                              </w:rPr>
                              <w:t>Selenio, sulfuro de (OTC)</w:t>
                            </w:r>
                          </w:p>
                        </w:tc>
                        <w:tc>
                          <w:tcPr>
                            <w:tcW w:w="1046" w:type="dxa"/>
                            <w:shd w:val="clear" w:color="auto" w:fill="FFFFFF"/>
                          </w:tcPr>
                          <w:p w14:paraId="4689B2FE" w14:textId="77777777" w:rsidR="00924992" w:rsidRDefault="00924992">
                            <w:pPr>
                              <w:pStyle w:val="Other0"/>
                              <w:spacing w:line="240" w:lineRule="auto"/>
                              <w:ind w:firstLine="0"/>
                              <w:rPr>
                                <w:sz w:val="16"/>
                                <w:szCs w:val="16"/>
                              </w:rPr>
                            </w:pPr>
                            <w:r>
                              <w:rPr>
                                <w:rFonts w:ascii="Times New Roman" w:eastAsia="Times New Roman" w:hAnsi="Times New Roman" w:cs="Times New Roman"/>
                                <w:color w:val="000000"/>
                                <w:sz w:val="16"/>
                                <w:szCs w:val="16"/>
                              </w:rPr>
                              <w:t>2.5%</w:t>
                            </w:r>
                          </w:p>
                        </w:tc>
                        <w:tc>
                          <w:tcPr>
                            <w:tcW w:w="1368" w:type="dxa"/>
                            <w:shd w:val="clear" w:color="auto" w:fill="FFFFFF"/>
                          </w:tcPr>
                          <w:p w14:paraId="2BA49A09" w14:textId="77777777" w:rsidR="00924992" w:rsidRDefault="00924992">
                            <w:pPr>
                              <w:pStyle w:val="Other0"/>
                              <w:spacing w:line="240" w:lineRule="auto"/>
                              <w:ind w:firstLine="220"/>
                              <w:rPr>
                                <w:sz w:val="16"/>
                                <w:szCs w:val="16"/>
                              </w:rPr>
                            </w:pPr>
                            <w:r>
                              <w:rPr>
                                <w:rFonts w:ascii="Times New Roman" w:eastAsia="Times New Roman" w:hAnsi="Times New Roman" w:cs="Times New Roman"/>
                                <w:color w:val="000000"/>
                                <w:sz w:val="16"/>
                                <w:szCs w:val="16"/>
                              </w:rPr>
                              <w:t>L, Sh</w:t>
                            </w:r>
                          </w:p>
                        </w:tc>
                        <w:tc>
                          <w:tcPr>
                            <w:tcW w:w="1694" w:type="dxa"/>
                            <w:shd w:val="clear" w:color="auto" w:fill="FFFFFF"/>
                          </w:tcPr>
                          <w:p w14:paraId="64B603FD" w14:textId="77777777" w:rsidR="00924992" w:rsidRDefault="00924992">
                            <w:pPr>
                              <w:pStyle w:val="Other0"/>
                              <w:spacing w:line="240" w:lineRule="auto"/>
                              <w:ind w:firstLine="0"/>
                              <w:rPr>
                                <w:sz w:val="16"/>
                                <w:szCs w:val="16"/>
                              </w:rPr>
                            </w:pPr>
                            <w:r>
                              <w:rPr>
                                <w:rFonts w:ascii="Times New Roman" w:eastAsia="Times New Roman" w:hAnsi="Times New Roman" w:cs="Times New Roman"/>
                                <w:color w:val="000000"/>
                                <w:sz w:val="16"/>
                                <w:szCs w:val="16"/>
                              </w:rPr>
                              <w:t>Exsel</w:t>
                            </w:r>
                          </w:p>
                        </w:tc>
                        <w:tc>
                          <w:tcPr>
                            <w:tcW w:w="1330" w:type="dxa"/>
                            <w:shd w:val="clear" w:color="auto" w:fill="FFFFFF"/>
                          </w:tcPr>
                          <w:p w14:paraId="35C3EE02" w14:textId="77777777" w:rsidR="00924992" w:rsidRDefault="00924992">
                            <w:pPr>
                              <w:pStyle w:val="Other0"/>
                              <w:spacing w:line="240" w:lineRule="auto"/>
                              <w:ind w:firstLine="0"/>
                              <w:rPr>
                                <w:sz w:val="16"/>
                                <w:szCs w:val="16"/>
                              </w:rPr>
                            </w:pPr>
                            <w:r>
                              <w:rPr>
                                <w:rFonts w:ascii="Times New Roman" w:eastAsia="Times New Roman" w:hAnsi="Times New Roman" w:cs="Times New Roman"/>
                                <w:color w:val="000000"/>
                                <w:sz w:val="16"/>
                                <w:szCs w:val="16"/>
                              </w:rPr>
                              <w:t>1</w:t>
                            </w:r>
                          </w:p>
                        </w:tc>
                        <w:tc>
                          <w:tcPr>
                            <w:tcW w:w="4349" w:type="dxa"/>
                            <w:shd w:val="clear" w:color="auto" w:fill="FFFFFF"/>
                          </w:tcPr>
                          <w:p w14:paraId="388E8830" w14:textId="77777777" w:rsidR="00924992" w:rsidRDefault="00924992">
                            <w:pPr>
                              <w:pStyle w:val="Other0"/>
                              <w:spacing w:line="259" w:lineRule="auto"/>
                              <w:ind w:left="200" w:hanging="200"/>
                              <w:rPr>
                                <w:sz w:val="16"/>
                                <w:szCs w:val="16"/>
                              </w:rPr>
                            </w:pPr>
                            <w:r>
                              <w:rPr>
                                <w:rFonts w:ascii="Times New Roman" w:eastAsia="Times New Roman" w:hAnsi="Times New Roman" w:cs="Times New Roman"/>
                                <w:color w:val="000000"/>
                                <w:sz w:val="16"/>
                                <w:szCs w:val="16"/>
                              </w:rPr>
                              <w:t>Contra la tiña de la cabeza, para disminuir la formación de esporas y aminorar la posible propagación de un dermatófito.</w:t>
                            </w:r>
                          </w:p>
                        </w:tc>
                      </w:tr>
                      <w:tr w:rsidR="00924992" w14:paraId="630E98DB" w14:textId="77777777">
                        <w:tblPrEx>
                          <w:tblCellMar>
                            <w:top w:w="0" w:type="dxa"/>
                            <w:bottom w:w="0" w:type="dxa"/>
                          </w:tblCellMar>
                        </w:tblPrEx>
                        <w:trPr>
                          <w:trHeight w:hRule="exact" w:val="720"/>
                        </w:trPr>
                        <w:tc>
                          <w:tcPr>
                            <w:tcW w:w="1603" w:type="dxa"/>
                            <w:tcBorders>
                              <w:bottom w:val="single" w:sz="4" w:space="0" w:color="auto"/>
                            </w:tcBorders>
                            <w:shd w:val="clear" w:color="auto" w:fill="FFFFFF"/>
                          </w:tcPr>
                          <w:p w14:paraId="01C30577" w14:textId="77777777" w:rsidR="00924992" w:rsidRDefault="00924992">
                            <w:pPr>
                              <w:rPr>
                                <w:sz w:val="10"/>
                                <w:szCs w:val="10"/>
                              </w:rPr>
                            </w:pPr>
                          </w:p>
                        </w:tc>
                        <w:tc>
                          <w:tcPr>
                            <w:tcW w:w="1046" w:type="dxa"/>
                            <w:tcBorders>
                              <w:bottom w:val="single" w:sz="4" w:space="0" w:color="auto"/>
                            </w:tcBorders>
                            <w:shd w:val="clear" w:color="auto" w:fill="FFFFFF"/>
                          </w:tcPr>
                          <w:p w14:paraId="31B55B48" w14:textId="77777777" w:rsidR="00924992" w:rsidRDefault="00924992">
                            <w:pPr>
                              <w:pStyle w:val="Other0"/>
                              <w:spacing w:line="240" w:lineRule="auto"/>
                              <w:ind w:firstLine="0"/>
                              <w:rPr>
                                <w:sz w:val="16"/>
                                <w:szCs w:val="16"/>
                              </w:rPr>
                            </w:pPr>
                            <w:r>
                              <w:rPr>
                                <w:rFonts w:ascii="Times New Roman" w:eastAsia="Times New Roman" w:hAnsi="Times New Roman" w:cs="Times New Roman"/>
                                <w:color w:val="000000"/>
                                <w:sz w:val="16"/>
                                <w:szCs w:val="16"/>
                              </w:rPr>
                              <w:t>1%</w:t>
                            </w:r>
                          </w:p>
                        </w:tc>
                        <w:tc>
                          <w:tcPr>
                            <w:tcW w:w="1368" w:type="dxa"/>
                            <w:tcBorders>
                              <w:bottom w:val="single" w:sz="4" w:space="0" w:color="auto"/>
                            </w:tcBorders>
                            <w:shd w:val="clear" w:color="auto" w:fill="FFFFFF"/>
                          </w:tcPr>
                          <w:p w14:paraId="157BA3B7" w14:textId="77777777" w:rsidR="00924992" w:rsidRDefault="00924992">
                            <w:pPr>
                              <w:pStyle w:val="Other0"/>
                              <w:spacing w:line="240" w:lineRule="auto"/>
                              <w:ind w:firstLine="220"/>
                              <w:rPr>
                                <w:sz w:val="16"/>
                                <w:szCs w:val="16"/>
                              </w:rPr>
                            </w:pPr>
                            <w:r>
                              <w:rPr>
                                <w:rFonts w:ascii="Times New Roman" w:eastAsia="Times New Roman" w:hAnsi="Times New Roman" w:cs="Times New Roman"/>
                                <w:color w:val="000000"/>
                                <w:sz w:val="16"/>
                                <w:szCs w:val="16"/>
                              </w:rPr>
                              <w:t>Sh</w:t>
                            </w:r>
                          </w:p>
                        </w:tc>
                        <w:tc>
                          <w:tcPr>
                            <w:tcW w:w="1694" w:type="dxa"/>
                            <w:tcBorders>
                              <w:bottom w:val="single" w:sz="4" w:space="0" w:color="auto"/>
                            </w:tcBorders>
                            <w:shd w:val="clear" w:color="auto" w:fill="FFFFFF"/>
                          </w:tcPr>
                          <w:p w14:paraId="434463B2" w14:textId="77777777" w:rsidR="00924992" w:rsidRDefault="00924992">
                            <w:pPr>
                              <w:pStyle w:val="Other0"/>
                              <w:spacing w:line="257" w:lineRule="auto"/>
                              <w:ind w:firstLine="0"/>
                              <w:rPr>
                                <w:sz w:val="16"/>
                                <w:szCs w:val="16"/>
                              </w:rPr>
                            </w:pPr>
                            <w:r>
                              <w:rPr>
                                <w:rFonts w:ascii="Times New Roman" w:eastAsia="Times New Roman" w:hAnsi="Times New Roman" w:cs="Times New Roman"/>
                                <w:color w:val="000000"/>
                                <w:sz w:val="16"/>
                                <w:szCs w:val="16"/>
                              </w:rPr>
                              <w:t>Head &amp; Shoulders, Selsun Blue</w:t>
                            </w:r>
                          </w:p>
                        </w:tc>
                        <w:tc>
                          <w:tcPr>
                            <w:tcW w:w="1330" w:type="dxa"/>
                            <w:tcBorders>
                              <w:bottom w:val="single" w:sz="4" w:space="0" w:color="auto"/>
                            </w:tcBorders>
                            <w:shd w:val="clear" w:color="auto" w:fill="FFFFFF"/>
                          </w:tcPr>
                          <w:p w14:paraId="31B170B1" w14:textId="77777777" w:rsidR="00924992" w:rsidRDefault="00924992">
                            <w:pPr>
                              <w:pStyle w:val="Other0"/>
                              <w:spacing w:line="240" w:lineRule="auto"/>
                              <w:ind w:firstLine="0"/>
                              <w:rPr>
                                <w:sz w:val="16"/>
                                <w:szCs w:val="16"/>
                              </w:rPr>
                            </w:pPr>
                            <w:r>
                              <w:rPr>
                                <w:rFonts w:ascii="Times New Roman" w:eastAsia="Times New Roman" w:hAnsi="Times New Roman" w:cs="Times New Roman"/>
                                <w:color w:val="000000"/>
                                <w:sz w:val="16"/>
                                <w:szCs w:val="16"/>
                              </w:rPr>
                              <w:t>1</w:t>
                            </w:r>
                          </w:p>
                        </w:tc>
                        <w:tc>
                          <w:tcPr>
                            <w:tcW w:w="4349" w:type="dxa"/>
                            <w:tcBorders>
                              <w:bottom w:val="single" w:sz="4" w:space="0" w:color="auto"/>
                            </w:tcBorders>
                            <w:shd w:val="clear" w:color="auto" w:fill="FFFFFF"/>
                          </w:tcPr>
                          <w:p w14:paraId="7F3D05A5" w14:textId="77777777" w:rsidR="00924992" w:rsidRDefault="00924992">
                            <w:pPr>
                              <w:pStyle w:val="Other0"/>
                              <w:spacing w:line="259" w:lineRule="auto"/>
                              <w:ind w:left="200" w:hanging="200"/>
                              <w:rPr>
                                <w:sz w:val="16"/>
                                <w:szCs w:val="16"/>
                              </w:rPr>
                            </w:pPr>
                            <w:r>
                              <w:rPr>
                                <w:rFonts w:ascii="Times New Roman" w:eastAsia="Times New Roman" w:hAnsi="Times New Roman" w:cs="Times New Roman"/>
                                <w:color w:val="000000"/>
                                <w:sz w:val="16"/>
                                <w:szCs w:val="16"/>
                              </w:rPr>
                              <w:t>Contra la tiña de la cabeza, para disminuir la formación de esporas y aminorar la posibilidad de propagación de un dermatofito.</w:t>
                            </w:r>
                          </w:p>
                        </w:tc>
                      </w:tr>
                    </w:tbl>
                    <w:p w14:paraId="420AE499" w14:textId="77777777" w:rsidR="00924992" w:rsidRDefault="00924992">
                      <w:pPr>
                        <w:spacing w:line="1" w:lineRule="exact"/>
                      </w:pPr>
                    </w:p>
                  </w:txbxContent>
                </v:textbox>
                <w10:wrap type="topAndBottom" anchorx="page"/>
              </v:shape>
            </w:pict>
          </mc:Fallback>
        </mc:AlternateContent>
      </w:r>
      <w:r>
        <w:rPr>
          <w:noProof/>
        </w:rPr>
        <mc:AlternateContent>
          <mc:Choice Requires="wps">
            <w:drawing>
              <wp:anchor distT="0" distB="0" distL="114300" distR="114300" simplePos="0" relativeHeight="251685888" behindDoc="0" locked="0" layoutInCell="1" allowOverlap="1" wp14:anchorId="5A6A9999" wp14:editId="469359CC">
                <wp:simplePos x="0" y="0"/>
                <wp:positionH relativeFrom="page">
                  <wp:posOffset>7867015</wp:posOffset>
                </wp:positionH>
                <wp:positionV relativeFrom="paragraph">
                  <wp:posOffset>941705</wp:posOffset>
                </wp:positionV>
                <wp:extent cx="121920" cy="3450590"/>
                <wp:effectExtent l="0" t="0" r="0" b="0"/>
                <wp:wrapSquare wrapText="bothSides"/>
                <wp:docPr id="2305" name="Shape 2305"/>
                <wp:cNvGraphicFramePr/>
                <a:graphic xmlns:a="http://schemas.openxmlformats.org/drawingml/2006/main">
                  <a:graphicData uri="http://schemas.microsoft.com/office/word/2010/wordprocessingShape">
                    <wps:wsp>
                      <wps:cNvSpPr txBox="1"/>
                      <wps:spPr>
                        <a:xfrm>
                          <a:off x="0" y="0"/>
                          <a:ext cx="121920" cy="3450590"/>
                        </a:xfrm>
                        <a:prstGeom prst="rect">
                          <a:avLst/>
                        </a:prstGeom>
                        <a:noFill/>
                      </wps:spPr>
                      <wps:txbx>
                        <w:txbxContent>
                          <w:p w14:paraId="45C40436" w14:textId="77777777" w:rsidR="00924992" w:rsidRDefault="00924992">
                            <w:pPr>
                              <w:pStyle w:val="Bodytext80"/>
                              <w:tabs>
                                <w:tab w:val="left" w:pos="5117"/>
                              </w:tabs>
                              <w:rPr>
                                <w:sz w:val="16"/>
                                <w:szCs w:val="16"/>
                              </w:rPr>
                            </w:pPr>
                            <w:r>
                              <w:t>PRODUCTOS TÓPICOS CONTRA MICOSIS SUPERFICIALES</w:t>
                            </w:r>
                            <w:r>
                              <w:tab/>
                            </w:r>
                            <w:r>
                              <w:rPr>
                                <w:sz w:val="16"/>
                                <w:szCs w:val="16"/>
                              </w:rPr>
                              <w:t>765</w:t>
                            </w:r>
                          </w:p>
                        </w:txbxContent>
                      </wps:txbx>
                      <wps:bodyPr vert="vert" lIns="0" tIns="0" rIns="0" bIns="0" upright="1"/>
                    </wps:wsp>
                  </a:graphicData>
                </a:graphic>
              </wp:anchor>
            </w:drawing>
          </mc:Choice>
          <mc:Fallback>
            <w:pict>
              <v:shape w14:anchorId="5A6A9999" id="Shape 2305" o:spid="_x0000_s1053" type="#_x0000_t202" style="position:absolute;margin-left:619.45pt;margin-top:74.15pt;width:9.6pt;height:271.7pt;z-index:251685888;visibility:visible;mso-wrap-style:square;mso-wrap-distance-left:9pt;mso-wrap-distance-top:0;mso-wrap-distance-right:9pt;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" filled="f" stroked="f">
                <v:textbox style="layout-flow:vertical" inset="0,0,0,0">
                  <w:txbxContent>
                    <w:p w14:paraId="45C40436" w14:textId="77777777" w:rsidR="00924992" w:rsidRDefault="00924992">
                      <w:pPr>
                        <w:pStyle w:val="Bodytext80"/>
                        <w:tabs>
                          <w:tab w:val="left" w:pos="5117"/>
                        </w:tabs>
                        <w:rPr>
                          <w:sz w:val="16"/>
                          <w:szCs w:val="16"/>
                        </w:rPr>
                      </w:pPr>
                      <w:r>
                        <w:t>PRODUCTOS TÓPICOS CONTRA MICOSIS SUPERFICIALES</w:t>
                      </w:r>
                      <w:r>
                        <w:tab/>
                      </w:r>
                      <w:r>
                        <w:rPr>
                          <w:sz w:val="16"/>
                          <w:szCs w:val="16"/>
                        </w:rPr>
                        <w:t>765</w:t>
                      </w:r>
                    </w:p>
                  </w:txbxContent>
                </v:textbox>
                <w10:wrap type="square" anchorx="page"/>
              </v:shape>
            </w:pict>
          </mc:Fallback>
        </mc:AlternateContent>
      </w:r>
    </w:p>
    <w:p w14:paraId="7FB0DA5C" w14:textId="77777777" w:rsidR="00924992" w:rsidRDefault="00924992">
      <w:pPr>
        <w:pStyle w:val="Heading31"/>
        <w:keepNext/>
        <w:keepLines/>
        <w:jc w:val="center"/>
        <w:rPr>
          <w:sz w:val="16"/>
          <w:szCs w:val="16"/>
        </w:rPr>
      </w:pPr>
      <w:bookmarkStart w:id="394" w:name="bookmark1840"/>
      <w:bookmarkStart w:id="395" w:name="bookmark1841"/>
      <w:bookmarkStart w:id="396" w:name="bookmark1842"/>
      <w:r>
        <w:rPr>
          <w:b w:val="0"/>
          <w:bCs w:val="0"/>
          <w:color w:val="000000"/>
        </w:rPr>
        <w:t xml:space="preserve">Cuadro 4-7. </w:t>
      </w:r>
      <w:r>
        <w:rPr>
          <w:color w:val="000000"/>
        </w:rPr>
        <w:t xml:space="preserve">Productos tópicos contra micosis superficiales </w:t>
      </w:r>
      <w:r>
        <w:rPr>
          <w:rFonts w:ascii="Times New Roman" w:eastAsia="Times New Roman" w:hAnsi="Times New Roman" w:cs="Times New Roman"/>
          <w:b w:val="0"/>
          <w:bCs w:val="0"/>
          <w:i/>
          <w:iCs/>
          <w:color w:val="000000"/>
          <w:w w:val="100"/>
          <w:sz w:val="16"/>
          <w:szCs w:val="16"/>
        </w:rPr>
        <w:t>continuación</w:t>
      </w:r>
      <w:bookmarkEnd w:id="394"/>
      <w:bookmarkEnd w:id="395"/>
      <w:bookmarkEnd w:id="396"/>
    </w:p>
    <w:p w14:paraId="3EB5F016" w14:textId="77777777" w:rsidR="00924992" w:rsidRDefault="00924992">
      <w:pPr>
        <w:pStyle w:val="Bodytext20"/>
        <w:spacing w:line="240" w:lineRule="auto"/>
        <w:ind w:left="220"/>
        <w:rPr>
          <w:sz w:val="15"/>
          <w:szCs w:val="15"/>
        </w:rPr>
      </w:pPr>
      <w:r>
        <w:rPr>
          <w:color w:val="000000"/>
          <w:sz w:val="15"/>
          <w:szCs w:val="15"/>
        </w:rPr>
        <w:t xml:space="preserve">Rx, medicamento que se obtiene sólo con receta; C, crema; L, loción; O, pomada o ungüento </w:t>
      </w:r>
      <w:r>
        <w:rPr>
          <w:i/>
          <w:iCs/>
          <w:color w:val="000000"/>
          <w:sz w:val="15"/>
          <w:szCs w:val="15"/>
        </w:rPr>
        <w:t>(ointment)</w:t>
      </w:r>
      <w:r>
        <w:rPr>
          <w:color w:val="000000"/>
          <w:sz w:val="15"/>
          <w:szCs w:val="15"/>
        </w:rPr>
        <w:t xml:space="preserve"> S, solución; OTC, producto que se obtiene sin receta </w:t>
      </w:r>
      <w:r>
        <w:rPr>
          <w:i/>
          <w:iCs/>
          <w:color w:val="000000"/>
          <w:sz w:val="15"/>
          <w:szCs w:val="15"/>
        </w:rPr>
        <w:t xml:space="preserve">(over the counter); </w:t>
      </w:r>
      <w:r>
        <w:rPr>
          <w:color w:val="000000"/>
          <w:sz w:val="15"/>
          <w:szCs w:val="15"/>
        </w:rPr>
        <w:t xml:space="preserve">Com, combinaciones; Sh, champú </w:t>
      </w:r>
      <w:r>
        <w:rPr>
          <w:i/>
          <w:iCs/>
          <w:color w:val="000000"/>
          <w:sz w:val="15"/>
          <w:szCs w:val="15"/>
        </w:rPr>
        <w:t>(shampoo);</w:t>
      </w:r>
      <w:r>
        <w:rPr>
          <w:color w:val="000000"/>
          <w:sz w:val="15"/>
          <w:szCs w:val="15"/>
        </w:rPr>
        <w:t xml:space="preserve"> P, polvo o talco </w:t>
      </w:r>
      <w:r>
        <w:rPr>
          <w:i/>
          <w:iCs/>
          <w:color w:val="000000"/>
          <w:sz w:val="15"/>
          <w:szCs w:val="15"/>
        </w:rPr>
        <w:t>(powder);</w:t>
      </w:r>
      <w:r>
        <w:rPr>
          <w:color w:val="000000"/>
          <w:sz w:val="15"/>
          <w:szCs w:val="15"/>
        </w:rPr>
        <w:t xml:space="preserve"> Sp, nebulizador (</w:t>
      </w:r>
      <w:r>
        <w:rPr>
          <w:i/>
          <w:iCs/>
          <w:color w:val="000000"/>
          <w:sz w:val="15"/>
          <w:szCs w:val="15"/>
        </w:rPr>
        <w:t>spray</w:t>
      </w:r>
      <w:r>
        <w:rPr>
          <w:color w:val="000000"/>
          <w:sz w:val="15"/>
          <w:szCs w:val="15"/>
        </w:rPr>
        <w:t>); F, espuma (foam).</w:t>
      </w:r>
    </w:p>
    <w:p w14:paraId="64C84EC9" w14:textId="77777777" w:rsidR="00924992" w:rsidRDefault="00924992">
      <w:pPr>
        <w:pStyle w:val="Bodytext20"/>
        <w:numPr>
          <w:ilvl w:val="0"/>
          <w:numId w:val="129"/>
        </w:numPr>
        <w:tabs>
          <w:tab w:val="left" w:pos="184"/>
        </w:tabs>
        <w:spacing w:line="240" w:lineRule="auto"/>
        <w:ind w:left="220" w:hanging="220"/>
        <w:rPr>
          <w:sz w:val="15"/>
          <w:szCs w:val="15"/>
        </w:rPr>
      </w:pPr>
      <w:bookmarkStart w:id="397" w:name="bookmark1843"/>
      <w:bookmarkEnd w:id="397"/>
      <w:r>
        <w:rPr>
          <w:color w:val="000000"/>
          <w:sz w:val="15"/>
          <w:szCs w:val="15"/>
        </w:rPr>
        <w:t xml:space="preserve">Conviene consultar al farmacéutico respecto a presentaciones y fórmulas disponibles o nuevas. Utilizan los productos de referencia </w:t>
      </w:r>
      <w:r>
        <w:rPr>
          <w:i/>
          <w:iCs/>
          <w:color w:val="000000"/>
          <w:sz w:val="15"/>
          <w:szCs w:val="15"/>
        </w:rPr>
        <w:t>Facts and Comparisons</w:t>
      </w:r>
      <w:r>
        <w:rPr>
          <w:color w:val="000000"/>
          <w:sz w:val="15"/>
          <w:szCs w:val="15"/>
        </w:rPr>
        <w:t xml:space="preserve"> (Facts and Comparisons, St Louis, MO [Division of Lippincott Williams &amp; Wilkins]).</w:t>
      </w:r>
    </w:p>
    <w:p w14:paraId="73836A34" w14:textId="77777777" w:rsidR="00924992" w:rsidRDefault="00924992">
      <w:pPr>
        <w:pStyle w:val="Bodytext20"/>
        <w:numPr>
          <w:ilvl w:val="0"/>
          <w:numId w:val="129"/>
        </w:numPr>
        <w:tabs>
          <w:tab w:val="left" w:pos="198"/>
        </w:tabs>
        <w:spacing w:line="240" w:lineRule="auto"/>
        <w:ind w:left="220" w:hanging="220"/>
        <w:rPr>
          <w:sz w:val="15"/>
          <w:szCs w:val="15"/>
        </w:rPr>
      </w:pPr>
      <w:bookmarkStart w:id="398" w:name="bookmark1844"/>
      <w:bookmarkEnd w:id="398"/>
      <w:r>
        <w:rPr>
          <w:color w:val="000000"/>
          <w:sz w:val="15"/>
          <w:szCs w:val="15"/>
        </w:rPr>
        <w:t>Hay que administrar con mucha cautela los corticosteroides tópicos en niños de corta edad y en zonas de piel delgada (como el área del pañal). En estas circunstancias puede surgir una gran exposición de tipo sistémico que culmine en la supresión endógena de la síntesis de corticosteroides y la posibilidad de efectos adversos graves. Entre estos últimos están dermatitis irritativa, foliculitis, hipertricosis, erupciones acneiformes, hipopigmentación, dermatitis peribucal, dermatitis alérgica por contacto, maceración, infección secundaria, atrofia cutánea, estrías y miliaria.</w:t>
      </w:r>
    </w:p>
    <w:p w14:paraId="138E5065" w14:textId="77777777" w:rsidR="00924992" w:rsidRDefault="00924992">
      <w:pPr>
        <w:pStyle w:val="Bodytext20"/>
        <w:numPr>
          <w:ilvl w:val="0"/>
          <w:numId w:val="129"/>
        </w:numPr>
        <w:tabs>
          <w:tab w:val="left" w:pos="198"/>
        </w:tabs>
        <w:spacing w:line="442" w:lineRule="auto"/>
        <w:jc w:val="both"/>
        <w:rPr>
          <w:sz w:val="15"/>
          <w:szCs w:val="15"/>
        </w:rPr>
      </w:pPr>
      <w:bookmarkStart w:id="399" w:name="bookmark1845"/>
      <w:bookmarkEnd w:id="399"/>
      <w:r>
        <w:rPr>
          <w:color w:val="000000"/>
          <w:sz w:val="15"/>
          <w:szCs w:val="15"/>
        </w:rPr>
        <w:t>No se fabrica ya la crema de Lotrisone; se puede obtener la loción.</w:t>
      </w:r>
    </w:p>
    <w:p w14:paraId="55AEDDC6" w14:textId="77777777" w:rsidR="00924992" w:rsidRDefault="00924992">
      <w:pPr>
        <w:pStyle w:val="Bodytext20"/>
        <w:numPr>
          <w:ilvl w:val="0"/>
          <w:numId w:val="129"/>
        </w:numPr>
        <w:tabs>
          <w:tab w:val="left" w:pos="198"/>
        </w:tabs>
        <w:spacing w:line="240" w:lineRule="auto"/>
        <w:jc w:val="both"/>
        <w:rPr>
          <w:sz w:val="15"/>
          <w:szCs w:val="15"/>
        </w:rPr>
      </w:pPr>
      <w:bookmarkStart w:id="400" w:name="bookmark1846"/>
      <w:bookmarkEnd w:id="400"/>
      <w:r>
        <w:rPr>
          <w:color w:val="000000"/>
          <w:sz w:val="15"/>
          <w:szCs w:val="15"/>
        </w:rPr>
        <w:t>Cualquier preparado tópico tiene la capacidad de irritar la piel y ocasionar prurito, ardor, sensaciones punzantes, eritema, edema, vesículas o pápulas.</w:t>
      </w:r>
    </w:p>
    <w:p w14:paraId="307EDFC7" w14:textId="77777777" w:rsidR="00924992" w:rsidRDefault="00924992">
      <w:pPr>
        <w:pStyle w:val="Bodytext20"/>
        <w:spacing w:line="240" w:lineRule="auto"/>
        <w:ind w:left="220"/>
        <w:jc w:val="both"/>
        <w:rPr>
          <w:sz w:val="15"/>
          <w:szCs w:val="15"/>
        </w:rPr>
        <w:sectPr w:rsidR="00924992" w:rsidSect="00924992">
          <w:headerReference w:type="even" r:id="rId293"/>
          <w:headerReference w:type="default" r:id="rId294"/>
          <w:footerReference w:type="even" r:id="rId295"/>
          <w:footerReference w:type="default" r:id="rId296"/>
          <w:pgSz w:w="13022" w:h="8501" w:orient="landscape"/>
          <w:pgMar w:top="1080" w:right="1003" w:bottom="304" w:left="629" w:header="652" w:footer="3" w:gutter="0"/>
          <w:cols w:space="720"/>
          <w:noEndnote/>
          <w:docGrid w:linePitch="360"/>
          <w15:footnoteColumns w:val="1"/>
        </w:sectPr>
      </w:pPr>
      <w:r>
        <w:rPr>
          <w:color w:val="000000"/>
          <w:sz w:val="15"/>
          <w:szCs w:val="15"/>
        </w:rPr>
        <w:t xml:space="preserve">Si se desea más información sobre fármacos individuales, véase </w:t>
      </w:r>
      <w:r>
        <w:rPr>
          <w:i/>
          <w:iCs/>
          <w:color w:val="000000"/>
          <w:sz w:val="15"/>
          <w:szCs w:val="15"/>
        </w:rPr>
        <w:t>Physicians Desk Reference</w:t>
      </w:r>
      <w:r>
        <w:rPr>
          <w:color w:val="000000"/>
          <w:sz w:val="15"/>
          <w:szCs w:val="15"/>
        </w:rPr>
        <w:t xml:space="preserve"> (Greenwood Village, CO: Thomson Micromedex) o </w:t>
      </w:r>
      <w:hyperlink r:id="rId297" w:history="1">
        <w:r>
          <w:rPr>
            <w:color w:val="000000"/>
            <w:sz w:val="15"/>
            <w:szCs w:val="15"/>
          </w:rPr>
          <w:t>http://pdrel.thomsonhc.com/pdrel/librarian/action/command.Command</w:t>
        </w:r>
      </w:hyperlink>
      <w:r>
        <w:rPr>
          <w:color w:val="000000"/>
          <w:sz w:val="15"/>
          <w:szCs w:val="15"/>
        </w:rPr>
        <w:t>.</w:t>
      </w:r>
    </w:p>
    <w:p w14:paraId="0E5BAFE2" w14:textId="77777777" w:rsidR="00924992" w:rsidRDefault="00924992">
      <w:pPr>
        <w:pStyle w:val="Heading31"/>
        <w:keepNext/>
        <w:keepLines/>
        <w:framePr w:w="5856" w:h="317" w:wrap="none" w:hAnchor="page" w:x="2857" w:y="1"/>
      </w:pPr>
      <w:bookmarkStart w:id="401" w:name="bookmark1847"/>
      <w:bookmarkStart w:id="402" w:name="bookmark1848"/>
      <w:bookmarkStart w:id="403" w:name="bookmark1849"/>
      <w:r>
        <w:rPr>
          <w:b w:val="0"/>
          <w:bCs w:val="0"/>
          <w:color w:val="000000"/>
        </w:rPr>
        <w:t xml:space="preserve">Cuadro 4-8. </w:t>
      </w:r>
      <w:r>
        <w:rPr>
          <w:color w:val="000000"/>
        </w:rPr>
        <w:t>Antivíricos contra infecciones no producidas por VIH</w:t>
      </w:r>
      <w:bookmarkEnd w:id="401"/>
      <w:bookmarkEnd w:id="402"/>
      <w:bookmarkEnd w:id="403"/>
    </w:p>
    <w:tbl>
      <w:tblPr>
        <w:tblOverlap w:val="never"/>
        <w:tblW w:w="0" w:type="auto"/>
        <w:tblLayout w:type="fixed"/>
        <w:tblCellMar>
          <w:left w:w="10" w:type="dxa"/>
          <w:right w:w="10" w:type="dxa"/>
        </w:tblCellMar>
        <w:tblLook w:val="04A0" w:firstRow="1" w:lastRow="0" w:firstColumn="1" w:lastColumn="0" w:noHBand="0" w:noVBand="1"/>
      </w:tblPr>
      <w:tblGrid>
        <w:gridCol w:w="1762"/>
        <w:gridCol w:w="3283"/>
        <w:gridCol w:w="1718"/>
        <w:gridCol w:w="3547"/>
      </w:tblGrid>
      <w:tr w:rsidR="00924992" w14:paraId="6A3DF64E" w14:textId="77777777">
        <w:tblPrEx>
          <w:tblCellMar>
            <w:top w:w="0" w:type="dxa"/>
            <w:bottom w:w="0" w:type="dxa"/>
          </w:tblCellMar>
        </w:tblPrEx>
        <w:trPr>
          <w:trHeight w:hRule="exact" w:val="518"/>
        </w:trPr>
        <w:tc>
          <w:tcPr>
            <w:tcW w:w="1762" w:type="dxa"/>
            <w:shd w:val="clear" w:color="auto" w:fill="000000"/>
          </w:tcPr>
          <w:p w14:paraId="6E773BBA" w14:textId="77777777" w:rsidR="00924992" w:rsidRDefault="00924992">
            <w:pPr>
              <w:pStyle w:val="Other0"/>
              <w:framePr w:w="10310" w:h="6192" w:vSpace="394" w:wrap="none" w:hAnchor="page" w:x="611" w:y="395"/>
              <w:pBdr>
                <w:top w:val="single" w:sz="0" w:space="0" w:color="000000"/>
                <w:left w:val="single" w:sz="0" w:space="0" w:color="000000"/>
                <w:bottom w:val="single" w:sz="0" w:space="0" w:color="000000"/>
                <w:right w:val="single" w:sz="0" w:space="0" w:color="000000"/>
              </w:pBdr>
              <w:shd w:val="clear" w:color="auto" w:fill="000000"/>
              <w:spacing w:line="209" w:lineRule="auto"/>
              <w:ind w:firstLine="0"/>
              <w:rPr>
                <w:sz w:val="24"/>
                <w:szCs w:val="24"/>
              </w:rPr>
            </w:pPr>
            <w:r>
              <w:rPr>
                <w:rFonts w:ascii="Arial" w:eastAsia="Arial" w:hAnsi="Arial" w:cs="Arial"/>
                <w:b/>
                <w:bCs/>
                <w:color w:val="FFFFFF"/>
                <w:w w:val="70"/>
                <w:sz w:val="24"/>
                <w:szCs w:val="24"/>
              </w:rPr>
              <w:t>Nombre genérico (comercial)</w:t>
            </w:r>
          </w:p>
        </w:tc>
        <w:tc>
          <w:tcPr>
            <w:tcW w:w="3283" w:type="dxa"/>
            <w:shd w:val="clear" w:color="auto" w:fill="000000"/>
          </w:tcPr>
          <w:p w14:paraId="6F3B4B79" w14:textId="77777777" w:rsidR="00924992" w:rsidRDefault="00924992">
            <w:pPr>
              <w:pStyle w:val="Other0"/>
              <w:framePr w:w="10310" w:h="6192" w:vSpace="394" w:wrap="none" w:hAnchor="page" w:x="611" w:y="395"/>
              <w:pBdr>
                <w:top w:val="single" w:sz="0" w:space="0" w:color="000000"/>
                <w:left w:val="single" w:sz="0" w:space="0" w:color="000000"/>
                <w:bottom w:val="single" w:sz="0" w:space="0" w:color="000000"/>
                <w:right w:val="single" w:sz="0" w:space="0" w:color="000000"/>
              </w:pBdr>
              <w:shd w:val="clear" w:color="auto" w:fill="000000"/>
              <w:spacing w:line="240" w:lineRule="auto"/>
              <w:ind w:firstLine="280"/>
              <w:rPr>
                <w:sz w:val="24"/>
                <w:szCs w:val="24"/>
              </w:rPr>
            </w:pPr>
            <w:r>
              <w:rPr>
                <w:rFonts w:ascii="Arial" w:eastAsia="Arial" w:hAnsi="Arial" w:cs="Arial"/>
                <w:b/>
                <w:bCs/>
                <w:color w:val="FFFFFF"/>
                <w:w w:val="70"/>
                <w:sz w:val="24"/>
                <w:szCs w:val="24"/>
              </w:rPr>
              <w:t>Indicación</w:t>
            </w:r>
          </w:p>
        </w:tc>
        <w:tc>
          <w:tcPr>
            <w:tcW w:w="1718" w:type="dxa"/>
            <w:shd w:val="clear" w:color="auto" w:fill="000000"/>
          </w:tcPr>
          <w:p w14:paraId="50CB595E" w14:textId="77777777" w:rsidR="00924992" w:rsidRDefault="00924992">
            <w:pPr>
              <w:pStyle w:val="Other0"/>
              <w:framePr w:w="10310" w:h="6192" w:vSpace="394" w:wrap="none" w:hAnchor="page" w:x="611" w:y="395"/>
              <w:pBdr>
                <w:top w:val="single" w:sz="0" w:space="0" w:color="000000"/>
                <w:left w:val="single" w:sz="0" w:space="0" w:color="000000"/>
                <w:bottom w:val="single" w:sz="0" w:space="0" w:color="000000"/>
                <w:right w:val="single" w:sz="0" w:space="0" w:color="000000"/>
              </w:pBdr>
              <w:shd w:val="clear" w:color="auto" w:fill="000000"/>
              <w:spacing w:line="204" w:lineRule="auto"/>
              <w:ind w:firstLine="0"/>
              <w:rPr>
                <w:sz w:val="24"/>
                <w:szCs w:val="24"/>
              </w:rPr>
            </w:pPr>
            <w:r>
              <w:rPr>
                <w:rFonts w:ascii="Arial" w:eastAsia="Arial" w:hAnsi="Arial" w:cs="Arial"/>
                <w:b/>
                <w:bCs/>
                <w:color w:val="FFFFFF"/>
                <w:w w:val="70"/>
                <w:sz w:val="24"/>
                <w:szCs w:val="24"/>
              </w:rPr>
              <w:t>Vía de Administración</w:t>
            </w:r>
          </w:p>
        </w:tc>
        <w:tc>
          <w:tcPr>
            <w:tcW w:w="3547" w:type="dxa"/>
            <w:shd w:val="clear" w:color="auto" w:fill="000000"/>
          </w:tcPr>
          <w:p w14:paraId="24304118" w14:textId="77777777" w:rsidR="00924992" w:rsidRDefault="00924992">
            <w:pPr>
              <w:pStyle w:val="Other0"/>
              <w:framePr w:w="10310" w:h="6192" w:vSpace="394" w:wrap="none" w:hAnchor="page" w:x="611" w:y="395"/>
              <w:pBdr>
                <w:top w:val="single" w:sz="0" w:space="0" w:color="000000"/>
                <w:left w:val="single" w:sz="0" w:space="0" w:color="000000"/>
                <w:bottom w:val="single" w:sz="0" w:space="0" w:color="000000"/>
                <w:right w:val="single" w:sz="0" w:space="0" w:color="000000"/>
              </w:pBdr>
              <w:shd w:val="clear" w:color="auto" w:fill="000000"/>
              <w:spacing w:line="240" w:lineRule="auto"/>
              <w:ind w:firstLine="0"/>
              <w:rPr>
                <w:sz w:val="24"/>
                <w:szCs w:val="24"/>
              </w:rPr>
            </w:pPr>
            <w:r>
              <w:rPr>
                <w:rFonts w:ascii="Arial" w:eastAsia="Arial" w:hAnsi="Arial" w:cs="Arial"/>
                <w:b/>
                <w:bCs/>
                <w:color w:val="FFFFFF"/>
                <w:w w:val="70"/>
                <w:sz w:val="24"/>
                <w:szCs w:val="24"/>
              </w:rPr>
              <w:t>Dosis recomendada usualmente</w:t>
            </w:r>
          </w:p>
        </w:tc>
      </w:tr>
      <w:tr w:rsidR="00924992" w14:paraId="439FB391" w14:textId="77777777">
        <w:tblPrEx>
          <w:tblCellMar>
            <w:top w:w="0" w:type="dxa"/>
            <w:bottom w:w="0" w:type="dxa"/>
          </w:tblCellMar>
        </w:tblPrEx>
        <w:trPr>
          <w:trHeight w:hRule="exact" w:val="1373"/>
        </w:trPr>
        <w:tc>
          <w:tcPr>
            <w:tcW w:w="1762" w:type="dxa"/>
            <w:shd w:val="clear" w:color="auto" w:fill="FFFFFF"/>
          </w:tcPr>
          <w:p w14:paraId="661EFE34" w14:textId="77777777" w:rsidR="00924992" w:rsidRDefault="00924992">
            <w:pPr>
              <w:pStyle w:val="Other0"/>
              <w:framePr w:w="10310" w:h="6192" w:vSpace="394" w:wrap="none" w:hAnchor="page" w:x="611" w:y="395"/>
              <w:spacing w:before="80" w:line="240" w:lineRule="auto"/>
              <w:ind w:firstLine="0"/>
              <w:rPr>
                <w:sz w:val="16"/>
                <w:szCs w:val="16"/>
              </w:rPr>
            </w:pPr>
            <w:r>
              <w:rPr>
                <w:rFonts w:ascii="Times New Roman" w:eastAsia="Times New Roman" w:hAnsi="Times New Roman" w:cs="Times New Roman"/>
                <w:color w:val="000000"/>
                <w:sz w:val="16"/>
                <w:szCs w:val="16"/>
              </w:rPr>
              <w:t>Aciclovir</w:t>
            </w:r>
            <w:r>
              <w:rPr>
                <w:rFonts w:ascii="Times New Roman" w:eastAsia="Times New Roman" w:hAnsi="Times New Roman" w:cs="Times New Roman"/>
                <w:color w:val="000000"/>
                <w:sz w:val="16"/>
                <w:szCs w:val="16"/>
                <w:vertAlign w:val="superscript"/>
              </w:rPr>
              <w:t>1,2</w:t>
            </w:r>
            <w:r>
              <w:rPr>
                <w:rFonts w:ascii="Times New Roman" w:eastAsia="Times New Roman" w:hAnsi="Times New Roman" w:cs="Times New Roman"/>
                <w:color w:val="000000"/>
                <w:sz w:val="16"/>
                <w:szCs w:val="16"/>
              </w:rPr>
              <w:t xml:space="preserve"> (Zovirax)</w:t>
            </w:r>
          </w:p>
        </w:tc>
        <w:tc>
          <w:tcPr>
            <w:tcW w:w="3283" w:type="dxa"/>
            <w:shd w:val="clear" w:color="auto" w:fill="FFFFFF"/>
          </w:tcPr>
          <w:p w14:paraId="4E0AF1FF" w14:textId="77777777" w:rsidR="00924992" w:rsidRDefault="00924992">
            <w:pPr>
              <w:pStyle w:val="Other0"/>
              <w:framePr w:w="10310" w:h="6192" w:vSpace="394" w:wrap="none" w:hAnchor="page" w:x="611" w:y="395"/>
              <w:spacing w:before="80" w:line="283" w:lineRule="auto"/>
              <w:ind w:left="400" w:hanging="100"/>
              <w:rPr>
                <w:sz w:val="16"/>
                <w:szCs w:val="16"/>
              </w:rPr>
            </w:pPr>
            <w:r>
              <w:rPr>
                <w:rFonts w:ascii="Times New Roman" w:eastAsia="Times New Roman" w:hAnsi="Times New Roman" w:cs="Times New Roman"/>
                <w:color w:val="000000"/>
                <w:sz w:val="16"/>
                <w:szCs w:val="16"/>
              </w:rPr>
              <w:t>Infección de genitales por virus de herpes simple (HSV); primer episodio</w:t>
            </w:r>
          </w:p>
        </w:tc>
        <w:tc>
          <w:tcPr>
            <w:tcW w:w="1718" w:type="dxa"/>
            <w:shd w:val="clear" w:color="auto" w:fill="FFFFFF"/>
          </w:tcPr>
          <w:p w14:paraId="14F2AD10" w14:textId="77777777" w:rsidR="00924992" w:rsidRDefault="00924992">
            <w:pPr>
              <w:pStyle w:val="Other0"/>
              <w:framePr w:w="10310" w:h="6192" w:vSpace="394" w:wrap="none" w:hAnchor="page" w:x="611" w:y="395"/>
              <w:spacing w:before="80" w:after="240" w:line="240" w:lineRule="auto"/>
              <w:ind w:firstLine="0"/>
              <w:rPr>
                <w:sz w:val="16"/>
                <w:szCs w:val="16"/>
              </w:rPr>
            </w:pPr>
            <w:r>
              <w:rPr>
                <w:rFonts w:ascii="Times New Roman" w:eastAsia="Times New Roman" w:hAnsi="Times New Roman" w:cs="Times New Roman"/>
                <w:color w:val="000000"/>
                <w:sz w:val="16"/>
                <w:szCs w:val="16"/>
              </w:rPr>
              <w:t>Oral</w:t>
            </w:r>
          </w:p>
          <w:p w14:paraId="3CE60818" w14:textId="77777777" w:rsidR="00924992" w:rsidRDefault="00924992">
            <w:pPr>
              <w:pStyle w:val="Other0"/>
              <w:framePr w:w="10310" w:h="6192" w:vSpace="394" w:wrap="none" w:hAnchor="page" w:x="611" w:y="395"/>
              <w:spacing w:line="240" w:lineRule="auto"/>
              <w:ind w:firstLine="0"/>
              <w:rPr>
                <w:sz w:val="16"/>
                <w:szCs w:val="16"/>
              </w:rPr>
            </w:pPr>
            <w:r>
              <w:rPr>
                <w:rFonts w:ascii="Times New Roman" w:eastAsia="Times New Roman" w:hAnsi="Times New Roman" w:cs="Times New Roman"/>
                <w:color w:val="000000"/>
                <w:sz w:val="16"/>
                <w:szCs w:val="16"/>
              </w:rPr>
              <w:t>IV</w:t>
            </w:r>
          </w:p>
        </w:tc>
        <w:tc>
          <w:tcPr>
            <w:tcW w:w="3547" w:type="dxa"/>
            <w:shd w:val="clear" w:color="auto" w:fill="FFFFFF"/>
            <w:vAlign w:val="bottom"/>
          </w:tcPr>
          <w:p w14:paraId="5FD14CEB" w14:textId="77777777" w:rsidR="00924992" w:rsidRDefault="00924992">
            <w:pPr>
              <w:pStyle w:val="Other0"/>
              <w:framePr w:w="10310" w:h="6192" w:vSpace="394" w:wrap="none" w:hAnchor="page" w:x="611" w:y="395"/>
              <w:spacing w:line="283" w:lineRule="auto"/>
              <w:ind w:left="220" w:hanging="220"/>
              <w:jc w:val="both"/>
              <w:rPr>
                <w:sz w:val="16"/>
                <w:szCs w:val="16"/>
              </w:rPr>
            </w:pPr>
            <w:r>
              <w:rPr>
                <w:rFonts w:ascii="Times New Roman" w:eastAsia="Times New Roman" w:hAnsi="Times New Roman" w:cs="Times New Roman"/>
                <w:color w:val="000000"/>
                <w:sz w:val="16"/>
                <w:szCs w:val="16"/>
              </w:rPr>
              <w:t>1 000-1 200 mg/día en 3 a 5 fracciones durante 5 a 10 días.</w:t>
            </w:r>
          </w:p>
          <w:p w14:paraId="7B80C928" w14:textId="77777777" w:rsidR="00924992" w:rsidRDefault="00924992">
            <w:pPr>
              <w:pStyle w:val="Other0"/>
              <w:framePr w:w="10310" w:h="6192" w:vSpace="394" w:wrap="none" w:hAnchor="page" w:x="611" w:y="395"/>
              <w:spacing w:line="283" w:lineRule="auto"/>
              <w:ind w:left="220" w:hanging="220"/>
              <w:jc w:val="both"/>
              <w:rPr>
                <w:sz w:val="16"/>
                <w:szCs w:val="16"/>
              </w:rPr>
            </w:pPr>
            <w:r>
              <w:rPr>
                <w:rFonts w:ascii="Times New Roman" w:eastAsia="Times New Roman" w:hAnsi="Times New Roman" w:cs="Times New Roman"/>
                <w:color w:val="000000"/>
                <w:sz w:val="16"/>
                <w:szCs w:val="16"/>
              </w:rPr>
              <w:t>Dosis oral para niños: 40-80 mg/kg al día en 3 a 4 fracciones durante 5 a 10 días (dosis máxima, 1.0 g/día).</w:t>
            </w:r>
          </w:p>
          <w:p w14:paraId="16B1F20E" w14:textId="77777777" w:rsidR="00924992" w:rsidRDefault="00924992">
            <w:pPr>
              <w:pStyle w:val="Other0"/>
              <w:framePr w:w="10310" w:h="6192" w:vSpace="394" w:wrap="none" w:hAnchor="page" w:x="611" w:y="395"/>
              <w:spacing w:line="283" w:lineRule="auto"/>
              <w:ind w:firstLine="220"/>
              <w:rPr>
                <w:sz w:val="16"/>
                <w:szCs w:val="16"/>
              </w:rPr>
            </w:pPr>
            <w:r>
              <w:rPr>
                <w:rFonts w:ascii="Times New Roman" w:eastAsia="Times New Roman" w:hAnsi="Times New Roman" w:cs="Times New Roman"/>
                <w:color w:val="000000"/>
                <w:sz w:val="16"/>
                <w:szCs w:val="16"/>
              </w:rPr>
              <w:t>15 mg/kg al día en 3 fracciones durante 5 a 7 días.</w:t>
            </w:r>
          </w:p>
        </w:tc>
      </w:tr>
      <w:tr w:rsidR="00924992" w14:paraId="182F4410" w14:textId="77777777">
        <w:tblPrEx>
          <w:tblCellMar>
            <w:top w:w="0" w:type="dxa"/>
            <w:bottom w:w="0" w:type="dxa"/>
          </w:tblCellMar>
        </w:tblPrEx>
        <w:trPr>
          <w:trHeight w:hRule="exact" w:val="427"/>
        </w:trPr>
        <w:tc>
          <w:tcPr>
            <w:tcW w:w="1762" w:type="dxa"/>
            <w:shd w:val="clear" w:color="auto" w:fill="FFFFFF"/>
          </w:tcPr>
          <w:p w14:paraId="60B88928" w14:textId="77777777" w:rsidR="00924992" w:rsidRDefault="00924992">
            <w:pPr>
              <w:framePr w:w="10310" w:h="6192" w:vSpace="394" w:wrap="none" w:hAnchor="page" w:x="611" w:y="395"/>
              <w:rPr>
                <w:sz w:val="10"/>
                <w:szCs w:val="10"/>
              </w:rPr>
            </w:pPr>
          </w:p>
        </w:tc>
        <w:tc>
          <w:tcPr>
            <w:tcW w:w="3283" w:type="dxa"/>
            <w:shd w:val="clear" w:color="auto" w:fill="FFFFFF"/>
          </w:tcPr>
          <w:p w14:paraId="2272A850" w14:textId="77777777" w:rsidR="00924992" w:rsidRDefault="00924992">
            <w:pPr>
              <w:pStyle w:val="Other0"/>
              <w:framePr w:w="10310" w:h="6192" w:vSpace="394" w:wrap="none" w:hAnchor="page" w:x="611" w:y="395"/>
              <w:spacing w:line="240" w:lineRule="auto"/>
              <w:ind w:firstLine="280"/>
              <w:rPr>
                <w:sz w:val="16"/>
                <w:szCs w:val="16"/>
              </w:rPr>
            </w:pPr>
            <w:r>
              <w:rPr>
                <w:rFonts w:ascii="Times New Roman" w:eastAsia="Times New Roman" w:hAnsi="Times New Roman" w:cs="Times New Roman"/>
                <w:color w:val="000000"/>
                <w:sz w:val="16"/>
                <w:szCs w:val="16"/>
              </w:rPr>
              <w:t>Infección genital con HSV: recidiva</w:t>
            </w:r>
          </w:p>
        </w:tc>
        <w:tc>
          <w:tcPr>
            <w:tcW w:w="1718" w:type="dxa"/>
            <w:shd w:val="clear" w:color="auto" w:fill="FFFFFF"/>
          </w:tcPr>
          <w:p w14:paraId="23AFC44E" w14:textId="77777777" w:rsidR="00924992" w:rsidRDefault="00924992">
            <w:pPr>
              <w:pStyle w:val="Other0"/>
              <w:framePr w:w="10310" w:h="6192" w:vSpace="394" w:wrap="none" w:hAnchor="page" w:x="611" w:y="395"/>
              <w:spacing w:line="240" w:lineRule="auto"/>
              <w:ind w:firstLine="0"/>
              <w:rPr>
                <w:sz w:val="16"/>
                <w:szCs w:val="16"/>
              </w:rPr>
            </w:pPr>
            <w:r>
              <w:rPr>
                <w:rFonts w:ascii="Times New Roman" w:eastAsia="Times New Roman" w:hAnsi="Times New Roman" w:cs="Times New Roman"/>
                <w:color w:val="000000"/>
                <w:sz w:val="16"/>
                <w:szCs w:val="16"/>
              </w:rPr>
              <w:t>Oral</w:t>
            </w:r>
          </w:p>
        </w:tc>
        <w:tc>
          <w:tcPr>
            <w:tcW w:w="3547" w:type="dxa"/>
            <w:shd w:val="clear" w:color="auto" w:fill="FFFFFF"/>
          </w:tcPr>
          <w:p w14:paraId="290AA381" w14:textId="77777777" w:rsidR="00924992" w:rsidRDefault="00924992">
            <w:pPr>
              <w:pStyle w:val="Other0"/>
              <w:framePr w:w="10310" w:h="6192" w:vSpace="394" w:wrap="none" w:hAnchor="page" w:x="611" w:y="395"/>
              <w:spacing w:line="283" w:lineRule="auto"/>
              <w:ind w:left="220" w:hanging="220"/>
              <w:rPr>
                <w:sz w:val="16"/>
                <w:szCs w:val="16"/>
              </w:rPr>
            </w:pPr>
            <w:r>
              <w:rPr>
                <w:rFonts w:ascii="Times New Roman" w:eastAsia="Times New Roman" w:hAnsi="Times New Roman" w:cs="Times New Roman"/>
                <w:color w:val="000000"/>
                <w:sz w:val="16"/>
                <w:szCs w:val="16"/>
              </w:rPr>
              <w:t>1 000 a 1 200 mg/día en 3 a 5 fracciones durante 5 días.</w:t>
            </w:r>
          </w:p>
        </w:tc>
      </w:tr>
      <w:tr w:rsidR="00924992" w14:paraId="72353178" w14:textId="77777777">
        <w:tblPrEx>
          <w:tblCellMar>
            <w:top w:w="0" w:type="dxa"/>
            <w:bottom w:w="0" w:type="dxa"/>
          </w:tblCellMar>
        </w:tblPrEx>
        <w:trPr>
          <w:trHeight w:hRule="exact" w:val="864"/>
        </w:trPr>
        <w:tc>
          <w:tcPr>
            <w:tcW w:w="1762" w:type="dxa"/>
            <w:shd w:val="clear" w:color="auto" w:fill="FFFFFF"/>
          </w:tcPr>
          <w:p w14:paraId="6852D621" w14:textId="77777777" w:rsidR="00924992" w:rsidRDefault="00924992">
            <w:pPr>
              <w:framePr w:w="10310" w:h="6192" w:vSpace="394" w:wrap="none" w:hAnchor="page" w:x="611" w:y="395"/>
              <w:rPr>
                <w:sz w:val="10"/>
                <w:szCs w:val="10"/>
              </w:rPr>
            </w:pPr>
          </w:p>
        </w:tc>
        <w:tc>
          <w:tcPr>
            <w:tcW w:w="3283" w:type="dxa"/>
            <w:shd w:val="clear" w:color="auto" w:fill="FFFFFF"/>
          </w:tcPr>
          <w:p w14:paraId="4CED924B" w14:textId="77777777" w:rsidR="00924992" w:rsidRDefault="00924992">
            <w:pPr>
              <w:pStyle w:val="Other0"/>
              <w:framePr w:w="10310" w:h="6192" w:vSpace="394" w:wrap="none" w:hAnchor="page" w:x="611" w:y="395"/>
              <w:spacing w:line="283" w:lineRule="auto"/>
              <w:ind w:left="400" w:hanging="100"/>
              <w:rPr>
                <w:sz w:val="16"/>
                <w:szCs w:val="16"/>
              </w:rPr>
            </w:pPr>
            <w:r>
              <w:rPr>
                <w:rFonts w:ascii="Times New Roman" w:eastAsia="Times New Roman" w:hAnsi="Times New Roman" w:cs="Times New Roman"/>
                <w:color w:val="000000"/>
                <w:sz w:val="16"/>
                <w:szCs w:val="16"/>
              </w:rPr>
              <w:t>Episodios por HSV genital y cutáneo recurrentes (ocular) en un sujeto con recidivas frecuentes; terapia supresora crónica</w:t>
            </w:r>
          </w:p>
        </w:tc>
        <w:tc>
          <w:tcPr>
            <w:tcW w:w="1718" w:type="dxa"/>
            <w:shd w:val="clear" w:color="auto" w:fill="FFFFFF"/>
          </w:tcPr>
          <w:p w14:paraId="51122D13" w14:textId="77777777" w:rsidR="00924992" w:rsidRDefault="00924992">
            <w:pPr>
              <w:pStyle w:val="Other0"/>
              <w:framePr w:w="10310" w:h="6192" w:vSpace="394" w:wrap="none" w:hAnchor="page" w:x="611" w:y="395"/>
              <w:spacing w:line="240" w:lineRule="auto"/>
              <w:ind w:firstLine="0"/>
              <w:rPr>
                <w:sz w:val="16"/>
                <w:szCs w:val="16"/>
              </w:rPr>
            </w:pPr>
            <w:r>
              <w:rPr>
                <w:rFonts w:ascii="Times New Roman" w:eastAsia="Times New Roman" w:hAnsi="Times New Roman" w:cs="Times New Roman"/>
                <w:color w:val="000000"/>
                <w:sz w:val="16"/>
                <w:szCs w:val="16"/>
              </w:rPr>
              <w:t>Oral</w:t>
            </w:r>
          </w:p>
        </w:tc>
        <w:tc>
          <w:tcPr>
            <w:tcW w:w="3547" w:type="dxa"/>
            <w:shd w:val="clear" w:color="auto" w:fill="FFFFFF"/>
          </w:tcPr>
          <w:p w14:paraId="415805F9" w14:textId="77777777" w:rsidR="00924992" w:rsidRDefault="00924992">
            <w:pPr>
              <w:pStyle w:val="Other0"/>
              <w:framePr w:w="10310" w:h="6192" w:vSpace="394" w:wrap="none" w:hAnchor="page" w:x="611" w:y="395"/>
              <w:spacing w:line="240" w:lineRule="auto"/>
              <w:ind w:firstLine="0"/>
              <w:rPr>
                <w:sz w:val="16"/>
                <w:szCs w:val="16"/>
              </w:rPr>
            </w:pPr>
            <w:r>
              <w:rPr>
                <w:rFonts w:ascii="Times New Roman" w:eastAsia="Times New Roman" w:hAnsi="Times New Roman" w:cs="Times New Roman"/>
                <w:color w:val="000000"/>
                <w:sz w:val="16"/>
                <w:szCs w:val="16"/>
              </w:rPr>
              <w:t>400-1 200 mg/día en 2 a 3 fracciones, durante</w:t>
            </w:r>
          </w:p>
          <w:p w14:paraId="68E9F3A7" w14:textId="77777777" w:rsidR="00924992" w:rsidRDefault="00924992">
            <w:pPr>
              <w:pStyle w:val="Other0"/>
              <w:framePr w:w="10310" w:h="6192" w:vSpace="394" w:wrap="none" w:hAnchor="page" w:x="611" w:y="395"/>
              <w:spacing w:line="240" w:lineRule="auto"/>
              <w:ind w:firstLine="220"/>
              <w:rPr>
                <w:sz w:val="16"/>
                <w:szCs w:val="16"/>
              </w:rPr>
            </w:pPr>
            <w:r>
              <w:rPr>
                <w:rFonts w:ascii="Times New Roman" w:eastAsia="Times New Roman" w:hAnsi="Times New Roman" w:cs="Times New Roman"/>
                <w:color w:val="000000"/>
                <w:sz w:val="16"/>
                <w:szCs w:val="16"/>
              </w:rPr>
              <w:t>12 meses continuos como fecha máxima.</w:t>
            </w:r>
          </w:p>
        </w:tc>
      </w:tr>
      <w:tr w:rsidR="00924992" w14:paraId="0AC97016" w14:textId="77777777">
        <w:tblPrEx>
          <w:tblCellMar>
            <w:top w:w="0" w:type="dxa"/>
            <w:bottom w:w="0" w:type="dxa"/>
          </w:tblCellMar>
        </w:tblPrEx>
        <w:trPr>
          <w:trHeight w:hRule="exact" w:val="1080"/>
        </w:trPr>
        <w:tc>
          <w:tcPr>
            <w:tcW w:w="1762" w:type="dxa"/>
            <w:shd w:val="clear" w:color="auto" w:fill="FFFFFF"/>
          </w:tcPr>
          <w:p w14:paraId="7DB7C6B2" w14:textId="77777777" w:rsidR="00924992" w:rsidRDefault="00924992">
            <w:pPr>
              <w:framePr w:w="10310" w:h="6192" w:vSpace="394" w:wrap="none" w:hAnchor="page" w:x="611" w:y="395"/>
              <w:rPr>
                <w:sz w:val="10"/>
                <w:szCs w:val="10"/>
              </w:rPr>
            </w:pPr>
          </w:p>
        </w:tc>
        <w:tc>
          <w:tcPr>
            <w:tcW w:w="3283" w:type="dxa"/>
            <w:shd w:val="clear" w:color="auto" w:fill="FFFFFF"/>
          </w:tcPr>
          <w:p w14:paraId="0E4E8F7B" w14:textId="77777777" w:rsidR="00924992" w:rsidRDefault="00924992">
            <w:pPr>
              <w:pStyle w:val="Other0"/>
              <w:framePr w:w="10310" w:h="6192" w:vSpace="394" w:wrap="none" w:hAnchor="page" w:x="611" w:y="395"/>
              <w:spacing w:line="283" w:lineRule="auto"/>
              <w:ind w:left="400" w:hanging="100"/>
              <w:rPr>
                <w:sz w:val="16"/>
                <w:szCs w:val="16"/>
              </w:rPr>
            </w:pPr>
            <w:r>
              <w:rPr>
                <w:rFonts w:ascii="Times New Roman" w:eastAsia="Times New Roman" w:hAnsi="Times New Roman" w:cs="Times New Roman"/>
                <w:color w:val="000000"/>
                <w:sz w:val="16"/>
                <w:szCs w:val="16"/>
              </w:rPr>
              <w:t>HSV en hospedador inmunodeficiente (ataque localizado, progresivo o diseminado)</w:t>
            </w:r>
          </w:p>
        </w:tc>
        <w:tc>
          <w:tcPr>
            <w:tcW w:w="1718" w:type="dxa"/>
            <w:shd w:val="clear" w:color="auto" w:fill="FFFFFF"/>
          </w:tcPr>
          <w:p w14:paraId="76E31C0D" w14:textId="77777777" w:rsidR="00924992" w:rsidRDefault="00924992">
            <w:pPr>
              <w:pStyle w:val="Other0"/>
              <w:framePr w:w="10310" w:h="6192" w:vSpace="394" w:wrap="none" w:hAnchor="page" w:x="611" w:y="395"/>
              <w:spacing w:after="460" w:line="240" w:lineRule="auto"/>
              <w:ind w:firstLine="0"/>
              <w:rPr>
                <w:sz w:val="16"/>
                <w:szCs w:val="16"/>
              </w:rPr>
            </w:pPr>
            <w:r>
              <w:rPr>
                <w:rFonts w:ascii="Times New Roman" w:eastAsia="Times New Roman" w:hAnsi="Times New Roman" w:cs="Times New Roman"/>
                <w:color w:val="000000"/>
                <w:sz w:val="16"/>
                <w:szCs w:val="16"/>
              </w:rPr>
              <w:t>IV</w:t>
            </w:r>
          </w:p>
          <w:p w14:paraId="01B80BAC" w14:textId="77777777" w:rsidR="00924992" w:rsidRDefault="00924992">
            <w:pPr>
              <w:pStyle w:val="Other0"/>
              <w:framePr w:w="10310" w:h="6192" w:vSpace="394" w:wrap="none" w:hAnchor="page" w:x="611" w:y="395"/>
              <w:spacing w:line="240" w:lineRule="auto"/>
              <w:ind w:firstLine="0"/>
              <w:rPr>
                <w:sz w:val="16"/>
                <w:szCs w:val="16"/>
              </w:rPr>
            </w:pPr>
            <w:r>
              <w:rPr>
                <w:rFonts w:ascii="Times New Roman" w:eastAsia="Times New Roman" w:hAnsi="Times New Roman" w:cs="Times New Roman"/>
                <w:color w:val="000000"/>
                <w:sz w:val="16"/>
                <w:szCs w:val="16"/>
              </w:rPr>
              <w:t>Oral</w:t>
            </w:r>
          </w:p>
        </w:tc>
        <w:tc>
          <w:tcPr>
            <w:tcW w:w="3547" w:type="dxa"/>
            <w:shd w:val="clear" w:color="auto" w:fill="FFFFFF"/>
            <w:vAlign w:val="bottom"/>
          </w:tcPr>
          <w:p w14:paraId="0CA47D29" w14:textId="77777777" w:rsidR="00924992" w:rsidRDefault="00924992">
            <w:pPr>
              <w:pStyle w:val="Other0"/>
              <w:framePr w:w="10310" w:h="6192" w:vSpace="394" w:wrap="none" w:hAnchor="page" w:x="611" w:y="395"/>
              <w:spacing w:after="200" w:line="283" w:lineRule="auto"/>
              <w:ind w:left="220" w:hanging="220"/>
              <w:rPr>
                <w:sz w:val="16"/>
                <w:szCs w:val="16"/>
              </w:rPr>
            </w:pPr>
            <w:r>
              <w:rPr>
                <w:rFonts w:ascii="Times New Roman" w:eastAsia="Times New Roman" w:hAnsi="Times New Roman" w:cs="Times New Roman"/>
                <w:color w:val="000000"/>
                <w:sz w:val="16"/>
                <w:szCs w:val="16"/>
              </w:rPr>
              <w:t>15-30 mg/kg al día en 3 fracciones durante 7 a 14 días.</w:t>
            </w:r>
          </w:p>
          <w:p w14:paraId="1D623FCD" w14:textId="77777777" w:rsidR="00924992" w:rsidRDefault="00924992">
            <w:pPr>
              <w:pStyle w:val="Other0"/>
              <w:framePr w:w="10310" w:h="6192" w:vSpace="394" w:wrap="none" w:hAnchor="page" w:x="611" w:y="395"/>
              <w:spacing w:line="283" w:lineRule="auto"/>
              <w:ind w:firstLine="0"/>
              <w:rPr>
                <w:sz w:val="16"/>
                <w:szCs w:val="16"/>
              </w:rPr>
            </w:pPr>
            <w:r>
              <w:rPr>
                <w:rFonts w:ascii="Times New Roman" w:eastAsia="Times New Roman" w:hAnsi="Times New Roman" w:cs="Times New Roman"/>
                <w:color w:val="000000"/>
                <w:sz w:val="16"/>
                <w:szCs w:val="16"/>
              </w:rPr>
              <w:t>1 000 mg/día en 3 a 5 fracciones durante</w:t>
            </w:r>
          </w:p>
          <w:p w14:paraId="5D3664E4" w14:textId="77777777" w:rsidR="00924992" w:rsidRDefault="00924992">
            <w:pPr>
              <w:pStyle w:val="Other0"/>
              <w:framePr w:w="10310" w:h="6192" w:vSpace="394" w:wrap="none" w:hAnchor="page" w:x="611" w:y="395"/>
              <w:spacing w:line="283" w:lineRule="auto"/>
              <w:ind w:firstLine="220"/>
              <w:rPr>
                <w:sz w:val="16"/>
                <w:szCs w:val="16"/>
              </w:rPr>
            </w:pPr>
            <w:r>
              <w:rPr>
                <w:rFonts w:ascii="Times New Roman" w:eastAsia="Times New Roman" w:hAnsi="Times New Roman" w:cs="Times New Roman"/>
                <w:color w:val="000000"/>
                <w:sz w:val="16"/>
                <w:szCs w:val="16"/>
              </w:rPr>
              <w:t>7 a 14 días.</w:t>
            </w:r>
          </w:p>
        </w:tc>
      </w:tr>
      <w:tr w:rsidR="00924992" w14:paraId="31E549C9" w14:textId="77777777">
        <w:tblPrEx>
          <w:tblCellMar>
            <w:top w:w="0" w:type="dxa"/>
            <w:bottom w:w="0" w:type="dxa"/>
          </w:tblCellMar>
        </w:tblPrEx>
        <w:trPr>
          <w:trHeight w:hRule="exact" w:val="552"/>
        </w:trPr>
        <w:tc>
          <w:tcPr>
            <w:tcW w:w="1762" w:type="dxa"/>
            <w:shd w:val="clear" w:color="auto" w:fill="FFFFFF"/>
          </w:tcPr>
          <w:p w14:paraId="6CDDB157" w14:textId="77777777" w:rsidR="00924992" w:rsidRDefault="00924992">
            <w:pPr>
              <w:framePr w:w="10310" w:h="6192" w:vSpace="394" w:wrap="none" w:hAnchor="page" w:x="611" w:y="395"/>
              <w:rPr>
                <w:sz w:val="10"/>
                <w:szCs w:val="10"/>
              </w:rPr>
            </w:pPr>
          </w:p>
        </w:tc>
        <w:tc>
          <w:tcPr>
            <w:tcW w:w="3283" w:type="dxa"/>
            <w:shd w:val="clear" w:color="auto" w:fill="FFFFFF"/>
          </w:tcPr>
          <w:p w14:paraId="0FE93D09" w14:textId="77777777" w:rsidR="00924992" w:rsidRDefault="00924992">
            <w:pPr>
              <w:pStyle w:val="Other0"/>
              <w:framePr w:w="10310" w:h="6192" w:vSpace="394" w:wrap="none" w:hAnchor="page" w:x="611" w:y="395"/>
              <w:spacing w:line="283" w:lineRule="auto"/>
              <w:ind w:left="400" w:hanging="100"/>
              <w:rPr>
                <w:sz w:val="16"/>
                <w:szCs w:val="16"/>
              </w:rPr>
            </w:pPr>
            <w:r>
              <w:rPr>
                <w:rFonts w:ascii="Times New Roman" w:eastAsia="Times New Roman" w:hAnsi="Times New Roman" w:cs="Times New Roman"/>
                <w:color w:val="000000"/>
                <w:sz w:val="16"/>
                <w:szCs w:val="16"/>
              </w:rPr>
              <w:t>Profilaxia contra HSV en el hospedador inmunodeficiente</w:t>
            </w:r>
          </w:p>
        </w:tc>
        <w:tc>
          <w:tcPr>
            <w:tcW w:w="1718" w:type="dxa"/>
            <w:shd w:val="clear" w:color="auto" w:fill="FFFFFF"/>
          </w:tcPr>
          <w:p w14:paraId="01D74170" w14:textId="77777777" w:rsidR="00924992" w:rsidRDefault="00924992">
            <w:pPr>
              <w:pStyle w:val="Other0"/>
              <w:framePr w:w="10310" w:h="6192" w:vSpace="394" w:wrap="none" w:hAnchor="page" w:x="611" w:y="395"/>
              <w:spacing w:line="240" w:lineRule="auto"/>
              <w:ind w:firstLine="0"/>
              <w:rPr>
                <w:sz w:val="16"/>
                <w:szCs w:val="16"/>
              </w:rPr>
            </w:pPr>
            <w:r>
              <w:rPr>
                <w:rFonts w:ascii="Times New Roman" w:eastAsia="Times New Roman" w:hAnsi="Times New Roman" w:cs="Times New Roman"/>
                <w:color w:val="000000"/>
                <w:sz w:val="16"/>
                <w:szCs w:val="16"/>
              </w:rPr>
              <w:t>Oral</w:t>
            </w:r>
          </w:p>
        </w:tc>
        <w:tc>
          <w:tcPr>
            <w:tcW w:w="3547" w:type="dxa"/>
            <w:shd w:val="clear" w:color="auto" w:fill="FFFFFF"/>
          </w:tcPr>
          <w:p w14:paraId="39F61DE2" w14:textId="77777777" w:rsidR="00924992" w:rsidRDefault="00924992">
            <w:pPr>
              <w:pStyle w:val="Other0"/>
              <w:framePr w:w="10310" w:h="6192" w:vSpace="394" w:wrap="none" w:hAnchor="page" w:x="611" w:y="395"/>
              <w:spacing w:line="283" w:lineRule="auto"/>
              <w:ind w:left="220" w:hanging="220"/>
              <w:rPr>
                <w:sz w:val="16"/>
                <w:szCs w:val="16"/>
              </w:rPr>
            </w:pPr>
            <w:r>
              <w:rPr>
                <w:rFonts w:ascii="Times New Roman" w:eastAsia="Times New Roman" w:hAnsi="Times New Roman" w:cs="Times New Roman"/>
                <w:color w:val="000000"/>
                <w:sz w:val="16"/>
                <w:szCs w:val="16"/>
              </w:rPr>
              <w:t>600-1 000 mg/día en 3 a 5 fracciones durante el periodo de riesgo.</w:t>
            </w:r>
          </w:p>
        </w:tc>
      </w:tr>
      <w:tr w:rsidR="00924992" w14:paraId="111D2D5D" w14:textId="77777777">
        <w:tblPrEx>
          <w:tblCellMar>
            <w:top w:w="0" w:type="dxa"/>
            <w:bottom w:w="0" w:type="dxa"/>
          </w:tblCellMar>
        </w:tblPrEx>
        <w:trPr>
          <w:trHeight w:hRule="exact" w:val="547"/>
        </w:trPr>
        <w:tc>
          <w:tcPr>
            <w:tcW w:w="1762" w:type="dxa"/>
            <w:shd w:val="clear" w:color="auto" w:fill="FFFFFF"/>
          </w:tcPr>
          <w:p w14:paraId="444C76F7" w14:textId="77777777" w:rsidR="00924992" w:rsidRDefault="00924992">
            <w:pPr>
              <w:framePr w:w="10310" w:h="6192" w:vSpace="394" w:wrap="none" w:hAnchor="page" w:x="611" w:y="395"/>
              <w:rPr>
                <w:sz w:val="10"/>
                <w:szCs w:val="10"/>
              </w:rPr>
            </w:pPr>
          </w:p>
        </w:tc>
        <w:tc>
          <w:tcPr>
            <w:tcW w:w="3283" w:type="dxa"/>
            <w:shd w:val="clear" w:color="auto" w:fill="FFFFFF"/>
            <w:vAlign w:val="center"/>
          </w:tcPr>
          <w:p w14:paraId="447CBE7E" w14:textId="77777777" w:rsidR="00924992" w:rsidRDefault="00924992">
            <w:pPr>
              <w:pStyle w:val="Other0"/>
              <w:framePr w:w="10310" w:h="6192" w:vSpace="394" w:wrap="none" w:hAnchor="page" w:x="611" w:y="395"/>
              <w:spacing w:line="240" w:lineRule="auto"/>
              <w:ind w:firstLine="280"/>
              <w:rPr>
                <w:sz w:val="16"/>
                <w:szCs w:val="16"/>
              </w:rPr>
            </w:pPr>
            <w:r>
              <w:rPr>
                <w:rFonts w:ascii="Times New Roman" w:eastAsia="Times New Roman" w:hAnsi="Times New Roman" w:cs="Times New Roman"/>
                <w:color w:val="000000"/>
                <w:sz w:val="16"/>
                <w:szCs w:val="16"/>
              </w:rPr>
              <w:t>Pacientes HSV-seropositivos</w:t>
            </w:r>
          </w:p>
        </w:tc>
        <w:tc>
          <w:tcPr>
            <w:tcW w:w="1718" w:type="dxa"/>
            <w:shd w:val="clear" w:color="auto" w:fill="FFFFFF"/>
            <w:vAlign w:val="center"/>
          </w:tcPr>
          <w:p w14:paraId="00A4BCAC" w14:textId="77777777" w:rsidR="00924992" w:rsidRDefault="00924992">
            <w:pPr>
              <w:pStyle w:val="Other0"/>
              <w:framePr w:w="10310" w:h="6192" w:vSpace="394" w:wrap="none" w:hAnchor="page" w:x="611" w:y="395"/>
              <w:spacing w:line="240" w:lineRule="auto"/>
              <w:ind w:firstLine="0"/>
              <w:rPr>
                <w:sz w:val="16"/>
                <w:szCs w:val="16"/>
              </w:rPr>
            </w:pPr>
            <w:r>
              <w:rPr>
                <w:rFonts w:ascii="Times New Roman" w:eastAsia="Times New Roman" w:hAnsi="Times New Roman" w:cs="Times New Roman"/>
                <w:color w:val="000000"/>
                <w:sz w:val="16"/>
                <w:szCs w:val="16"/>
              </w:rPr>
              <w:t>IV</w:t>
            </w:r>
          </w:p>
        </w:tc>
        <w:tc>
          <w:tcPr>
            <w:tcW w:w="3547" w:type="dxa"/>
            <w:shd w:val="clear" w:color="auto" w:fill="FFFFFF"/>
            <w:vAlign w:val="bottom"/>
          </w:tcPr>
          <w:p w14:paraId="4AE6BE3E" w14:textId="77777777" w:rsidR="00924992" w:rsidRDefault="00924992">
            <w:pPr>
              <w:pStyle w:val="Other0"/>
              <w:framePr w:w="10310" w:h="6192" w:vSpace="394" w:wrap="none" w:hAnchor="page" w:x="611" w:y="395"/>
              <w:spacing w:line="283" w:lineRule="auto"/>
              <w:ind w:left="220" w:hanging="220"/>
              <w:rPr>
                <w:sz w:val="16"/>
                <w:szCs w:val="16"/>
              </w:rPr>
            </w:pPr>
            <w:r>
              <w:rPr>
                <w:rFonts w:ascii="Times New Roman" w:eastAsia="Times New Roman" w:hAnsi="Times New Roman" w:cs="Times New Roman"/>
                <w:color w:val="000000"/>
                <w:sz w:val="16"/>
                <w:szCs w:val="16"/>
              </w:rPr>
              <w:t>15 mg/kg en 3 fracciones durante el periodo de riesgo.</w:t>
            </w:r>
          </w:p>
        </w:tc>
      </w:tr>
      <w:tr w:rsidR="00924992" w14:paraId="4ECC84B0" w14:textId="77777777">
        <w:tblPrEx>
          <w:tblCellMar>
            <w:top w:w="0" w:type="dxa"/>
            <w:bottom w:w="0" w:type="dxa"/>
          </w:tblCellMar>
        </w:tblPrEx>
        <w:trPr>
          <w:trHeight w:hRule="exact" w:val="408"/>
        </w:trPr>
        <w:tc>
          <w:tcPr>
            <w:tcW w:w="1762" w:type="dxa"/>
            <w:shd w:val="clear" w:color="auto" w:fill="FFFFFF"/>
          </w:tcPr>
          <w:p w14:paraId="276209C0" w14:textId="77777777" w:rsidR="00924992" w:rsidRDefault="00924992">
            <w:pPr>
              <w:framePr w:w="10310" w:h="6192" w:vSpace="394" w:wrap="none" w:hAnchor="page" w:x="611" w:y="395"/>
              <w:rPr>
                <w:sz w:val="10"/>
                <w:szCs w:val="10"/>
              </w:rPr>
            </w:pPr>
          </w:p>
        </w:tc>
        <w:tc>
          <w:tcPr>
            <w:tcW w:w="3283" w:type="dxa"/>
            <w:shd w:val="clear" w:color="auto" w:fill="FFFFFF"/>
          </w:tcPr>
          <w:p w14:paraId="771CD0BB" w14:textId="77777777" w:rsidR="00924992" w:rsidRDefault="00924992">
            <w:pPr>
              <w:pStyle w:val="Other0"/>
              <w:framePr w:w="10310" w:h="6192" w:vSpace="394" w:wrap="none" w:hAnchor="page" w:x="611" w:y="395"/>
              <w:spacing w:line="240" w:lineRule="auto"/>
              <w:ind w:firstLine="280"/>
              <w:rPr>
                <w:sz w:val="16"/>
                <w:szCs w:val="16"/>
              </w:rPr>
            </w:pPr>
            <w:r>
              <w:rPr>
                <w:rFonts w:ascii="Times New Roman" w:eastAsia="Times New Roman" w:hAnsi="Times New Roman" w:cs="Times New Roman"/>
                <w:color w:val="000000"/>
                <w:sz w:val="16"/>
                <w:szCs w:val="16"/>
              </w:rPr>
              <w:t>Encefalitis por HSV</w:t>
            </w:r>
          </w:p>
        </w:tc>
        <w:tc>
          <w:tcPr>
            <w:tcW w:w="1718" w:type="dxa"/>
            <w:shd w:val="clear" w:color="auto" w:fill="FFFFFF"/>
          </w:tcPr>
          <w:p w14:paraId="278088CD" w14:textId="77777777" w:rsidR="00924992" w:rsidRDefault="00924992">
            <w:pPr>
              <w:pStyle w:val="Other0"/>
              <w:framePr w:w="10310" w:h="6192" w:vSpace="394" w:wrap="none" w:hAnchor="page" w:x="611" w:y="395"/>
              <w:spacing w:line="240" w:lineRule="auto"/>
              <w:ind w:firstLine="0"/>
              <w:rPr>
                <w:sz w:val="16"/>
                <w:szCs w:val="16"/>
              </w:rPr>
            </w:pPr>
            <w:r>
              <w:rPr>
                <w:rFonts w:ascii="Times New Roman" w:eastAsia="Times New Roman" w:hAnsi="Times New Roman" w:cs="Times New Roman"/>
                <w:color w:val="000000"/>
                <w:sz w:val="16"/>
                <w:szCs w:val="16"/>
              </w:rPr>
              <w:t>IV</w:t>
            </w:r>
          </w:p>
        </w:tc>
        <w:tc>
          <w:tcPr>
            <w:tcW w:w="3547" w:type="dxa"/>
            <w:shd w:val="clear" w:color="auto" w:fill="FFFFFF"/>
          </w:tcPr>
          <w:p w14:paraId="090CE57C" w14:textId="77777777" w:rsidR="00924992" w:rsidRDefault="00924992">
            <w:pPr>
              <w:pStyle w:val="Other0"/>
              <w:framePr w:w="10310" w:h="6192" w:vSpace="394" w:wrap="none" w:hAnchor="page" w:x="611" w:y="395"/>
              <w:spacing w:line="283" w:lineRule="auto"/>
              <w:ind w:left="220" w:hanging="220"/>
              <w:rPr>
                <w:sz w:val="16"/>
                <w:szCs w:val="16"/>
              </w:rPr>
            </w:pPr>
            <w:r>
              <w:rPr>
                <w:rFonts w:ascii="Times New Roman" w:eastAsia="Times New Roman" w:hAnsi="Times New Roman" w:cs="Times New Roman"/>
                <w:color w:val="000000"/>
                <w:sz w:val="16"/>
                <w:szCs w:val="16"/>
              </w:rPr>
              <w:t>30 mg/kg al día en 3 fracciones durante un mínimo de 14 a 21 días.</w:t>
            </w:r>
          </w:p>
        </w:tc>
      </w:tr>
      <w:tr w:rsidR="00924992" w14:paraId="3C7FCF1F" w14:textId="77777777">
        <w:tblPrEx>
          <w:tblCellMar>
            <w:top w:w="0" w:type="dxa"/>
            <w:bottom w:w="0" w:type="dxa"/>
          </w:tblCellMar>
        </w:tblPrEx>
        <w:trPr>
          <w:trHeight w:hRule="exact" w:val="422"/>
        </w:trPr>
        <w:tc>
          <w:tcPr>
            <w:tcW w:w="1762" w:type="dxa"/>
            <w:shd w:val="clear" w:color="auto" w:fill="FFFFFF"/>
          </w:tcPr>
          <w:p w14:paraId="170B2816" w14:textId="77777777" w:rsidR="00924992" w:rsidRDefault="00924992">
            <w:pPr>
              <w:framePr w:w="10310" w:h="6192" w:vSpace="394" w:wrap="none" w:hAnchor="page" w:x="611" w:y="395"/>
              <w:rPr>
                <w:sz w:val="10"/>
                <w:szCs w:val="10"/>
              </w:rPr>
            </w:pPr>
          </w:p>
        </w:tc>
        <w:tc>
          <w:tcPr>
            <w:tcW w:w="3283" w:type="dxa"/>
            <w:shd w:val="clear" w:color="auto" w:fill="FFFFFF"/>
          </w:tcPr>
          <w:p w14:paraId="220D86CC" w14:textId="77777777" w:rsidR="00924992" w:rsidRDefault="00924992">
            <w:pPr>
              <w:pStyle w:val="Other0"/>
              <w:framePr w:w="10310" w:h="6192" w:vSpace="394" w:wrap="none" w:hAnchor="page" w:x="611" w:y="395"/>
              <w:spacing w:line="240" w:lineRule="auto"/>
              <w:ind w:firstLine="280"/>
              <w:rPr>
                <w:sz w:val="16"/>
                <w:szCs w:val="16"/>
              </w:rPr>
            </w:pPr>
            <w:r>
              <w:rPr>
                <w:rFonts w:ascii="Times New Roman" w:eastAsia="Times New Roman" w:hAnsi="Times New Roman" w:cs="Times New Roman"/>
                <w:color w:val="000000"/>
                <w:sz w:val="16"/>
                <w:szCs w:val="16"/>
              </w:rPr>
              <w:t>HSV neonatal</w:t>
            </w:r>
          </w:p>
        </w:tc>
        <w:tc>
          <w:tcPr>
            <w:tcW w:w="1718" w:type="dxa"/>
            <w:shd w:val="clear" w:color="auto" w:fill="FFFFFF"/>
          </w:tcPr>
          <w:p w14:paraId="7BF8F96D" w14:textId="77777777" w:rsidR="00924992" w:rsidRDefault="00924992">
            <w:pPr>
              <w:pStyle w:val="Other0"/>
              <w:framePr w:w="10310" w:h="6192" w:vSpace="394" w:wrap="none" w:hAnchor="page" w:x="611" w:y="395"/>
              <w:spacing w:line="240" w:lineRule="auto"/>
              <w:ind w:firstLine="0"/>
              <w:rPr>
                <w:sz w:val="16"/>
                <w:szCs w:val="16"/>
              </w:rPr>
            </w:pPr>
            <w:r>
              <w:rPr>
                <w:rFonts w:ascii="Times New Roman" w:eastAsia="Times New Roman" w:hAnsi="Times New Roman" w:cs="Times New Roman"/>
                <w:color w:val="000000"/>
                <w:sz w:val="16"/>
                <w:szCs w:val="16"/>
              </w:rPr>
              <w:t>IV</w:t>
            </w:r>
          </w:p>
        </w:tc>
        <w:tc>
          <w:tcPr>
            <w:tcW w:w="3547" w:type="dxa"/>
            <w:shd w:val="clear" w:color="auto" w:fill="FFFFFF"/>
            <w:vAlign w:val="bottom"/>
          </w:tcPr>
          <w:p w14:paraId="1985C914" w14:textId="77777777" w:rsidR="00924992" w:rsidRDefault="00924992">
            <w:pPr>
              <w:pStyle w:val="Other0"/>
              <w:framePr w:w="10310" w:h="6192" w:vSpace="394" w:wrap="none" w:hAnchor="page" w:x="611" w:y="395"/>
              <w:spacing w:line="283" w:lineRule="auto"/>
              <w:ind w:left="220" w:hanging="220"/>
              <w:rPr>
                <w:sz w:val="16"/>
                <w:szCs w:val="16"/>
              </w:rPr>
            </w:pPr>
            <w:r>
              <w:rPr>
                <w:rFonts w:ascii="Times New Roman" w:eastAsia="Times New Roman" w:hAnsi="Times New Roman" w:cs="Times New Roman"/>
                <w:color w:val="000000"/>
                <w:sz w:val="16"/>
                <w:szCs w:val="16"/>
              </w:rPr>
              <w:t>60 mg/kg al día en 3 fracciones durante 14 a 21 días.</w:t>
            </w:r>
          </w:p>
        </w:tc>
      </w:tr>
    </w:tbl>
    <w:p w14:paraId="0E399D59" w14:textId="77777777" w:rsidR="00924992" w:rsidRDefault="00924992">
      <w:pPr>
        <w:framePr w:w="10310" w:h="6192" w:vSpace="394" w:wrap="none" w:hAnchor="page" w:x="611" w:y="395"/>
        <w:spacing w:line="1" w:lineRule="exact"/>
      </w:pPr>
    </w:p>
    <w:p w14:paraId="535624F1" w14:textId="77777777" w:rsidR="00924992" w:rsidRDefault="00924992">
      <w:pPr>
        <w:pStyle w:val="Tablecaption0"/>
        <w:framePr w:w="701" w:h="245" w:wrap="none" w:hAnchor="page" w:x="10221" w:y="6736"/>
        <w:spacing w:line="240" w:lineRule="auto"/>
        <w:ind w:left="0"/>
        <w:rPr>
          <w:sz w:val="16"/>
          <w:szCs w:val="16"/>
        </w:rPr>
      </w:pPr>
      <w:r>
        <w:rPr>
          <w:i/>
          <w:iCs/>
          <w:color w:val="000000"/>
          <w:sz w:val="16"/>
          <w:szCs w:val="16"/>
        </w:rPr>
        <w:t>continúa</w:t>
      </w:r>
    </w:p>
    <w:p w14:paraId="2AD40193" w14:textId="77777777" w:rsidR="00924992" w:rsidRDefault="00924992">
      <w:pPr>
        <w:pStyle w:val="Bodytext80"/>
        <w:framePr w:w="192" w:h="5635" w:hRule="exact" w:wrap="none" w:hAnchor="page" w:x="12390" w:y="49"/>
        <w:tabs>
          <w:tab w:val="left" w:pos="1219"/>
        </w:tabs>
        <w:textDirection w:val="tbRl"/>
      </w:pPr>
      <w:r>
        <w:rPr>
          <w:color w:val="000000"/>
          <w:sz w:val="16"/>
          <w:szCs w:val="16"/>
        </w:rPr>
        <w:t>766</w:t>
      </w:r>
      <w:r>
        <w:rPr>
          <w:color w:val="000000"/>
          <w:sz w:val="16"/>
          <w:szCs w:val="16"/>
        </w:rPr>
        <w:tab/>
      </w:r>
      <w:r>
        <w:rPr>
          <w:color w:val="000000"/>
        </w:rPr>
        <w:t>ANTIVÍRICOS CONTRA INFECCIONES NO PRODUCIDAS POR VIH</w:t>
      </w:r>
    </w:p>
    <w:p w14:paraId="224D3DF2" w14:textId="77777777" w:rsidR="00924992" w:rsidRDefault="00924992">
      <w:pPr>
        <w:spacing w:line="360" w:lineRule="exact"/>
      </w:pPr>
    </w:p>
    <w:p w14:paraId="084E22B7" w14:textId="77777777" w:rsidR="00924992" w:rsidRDefault="00924992">
      <w:pPr>
        <w:spacing w:line="360" w:lineRule="exact"/>
      </w:pPr>
    </w:p>
    <w:p w14:paraId="389689FE" w14:textId="77777777" w:rsidR="00924992" w:rsidRDefault="00924992">
      <w:pPr>
        <w:spacing w:line="360" w:lineRule="exact"/>
      </w:pPr>
    </w:p>
    <w:p w14:paraId="0238A201" w14:textId="77777777" w:rsidR="00924992" w:rsidRDefault="00924992">
      <w:pPr>
        <w:spacing w:line="360" w:lineRule="exact"/>
      </w:pPr>
    </w:p>
    <w:p w14:paraId="51ABB3D7" w14:textId="77777777" w:rsidR="00924992" w:rsidRDefault="00924992">
      <w:pPr>
        <w:spacing w:line="360" w:lineRule="exact"/>
      </w:pPr>
    </w:p>
    <w:p w14:paraId="431F10C8" w14:textId="77777777" w:rsidR="00924992" w:rsidRDefault="00924992">
      <w:pPr>
        <w:spacing w:line="360" w:lineRule="exact"/>
      </w:pPr>
    </w:p>
    <w:p w14:paraId="19D392B0" w14:textId="77777777" w:rsidR="00924992" w:rsidRDefault="00924992">
      <w:pPr>
        <w:spacing w:line="360" w:lineRule="exact"/>
      </w:pPr>
    </w:p>
    <w:p w14:paraId="64AF2F18" w14:textId="77777777" w:rsidR="00924992" w:rsidRDefault="00924992">
      <w:pPr>
        <w:spacing w:line="360" w:lineRule="exact"/>
      </w:pPr>
    </w:p>
    <w:p w14:paraId="2FAE9EA9" w14:textId="77777777" w:rsidR="00924992" w:rsidRDefault="00924992">
      <w:pPr>
        <w:spacing w:line="360" w:lineRule="exact"/>
      </w:pPr>
    </w:p>
    <w:p w14:paraId="5909854C" w14:textId="77777777" w:rsidR="00924992" w:rsidRDefault="00924992">
      <w:pPr>
        <w:spacing w:line="360" w:lineRule="exact"/>
      </w:pPr>
    </w:p>
    <w:p w14:paraId="5D4B8E86" w14:textId="77777777" w:rsidR="00924992" w:rsidRDefault="00924992">
      <w:pPr>
        <w:spacing w:line="360" w:lineRule="exact"/>
      </w:pPr>
    </w:p>
    <w:p w14:paraId="36A78352" w14:textId="77777777" w:rsidR="00924992" w:rsidRDefault="00924992">
      <w:pPr>
        <w:spacing w:line="360" w:lineRule="exact"/>
      </w:pPr>
    </w:p>
    <w:p w14:paraId="5365B60E" w14:textId="77777777" w:rsidR="00924992" w:rsidRDefault="00924992">
      <w:pPr>
        <w:spacing w:line="360" w:lineRule="exact"/>
      </w:pPr>
    </w:p>
    <w:p w14:paraId="00062C0E" w14:textId="77777777" w:rsidR="00924992" w:rsidRDefault="00924992">
      <w:pPr>
        <w:spacing w:line="360" w:lineRule="exact"/>
      </w:pPr>
    </w:p>
    <w:p w14:paraId="07D4B6F5" w14:textId="77777777" w:rsidR="00924992" w:rsidRDefault="00924992">
      <w:pPr>
        <w:spacing w:line="360" w:lineRule="exact"/>
      </w:pPr>
    </w:p>
    <w:p w14:paraId="067B8C62" w14:textId="77777777" w:rsidR="00924992" w:rsidRDefault="00924992">
      <w:pPr>
        <w:spacing w:line="360" w:lineRule="exact"/>
      </w:pPr>
    </w:p>
    <w:p w14:paraId="4CC52F49" w14:textId="77777777" w:rsidR="00924992" w:rsidRDefault="00924992">
      <w:pPr>
        <w:spacing w:line="360" w:lineRule="exact"/>
      </w:pPr>
    </w:p>
    <w:p w14:paraId="43B3E731" w14:textId="77777777" w:rsidR="00924992" w:rsidRDefault="00924992">
      <w:pPr>
        <w:spacing w:line="360" w:lineRule="exact"/>
      </w:pPr>
    </w:p>
    <w:p w14:paraId="67B92B19" w14:textId="77777777" w:rsidR="00924992" w:rsidRDefault="00924992">
      <w:pPr>
        <w:spacing w:after="498" w:line="1" w:lineRule="exact"/>
      </w:pPr>
    </w:p>
    <w:p w14:paraId="45B7584A" w14:textId="77777777" w:rsidR="00924992" w:rsidRDefault="00924992">
      <w:pPr>
        <w:spacing w:line="1" w:lineRule="exact"/>
        <w:sectPr w:rsidR="00924992" w:rsidSect="00924992">
          <w:pgSz w:w="13022" w:h="8501" w:orient="landscape"/>
          <w:pgMar w:top="456" w:right="442" w:bottom="456" w:left="610" w:header="28" w:footer="3" w:gutter="0"/>
          <w:cols w:space="720"/>
          <w:noEndnote/>
          <w:docGrid w:linePitch="360"/>
          <w15:footnoteColumns w:val="1"/>
        </w:sectPr>
      </w:pPr>
    </w:p>
    <w:p w14:paraId="25C2F28A" w14:textId="77777777" w:rsidR="00924992" w:rsidRDefault="00924992">
      <w:pPr>
        <w:pStyle w:val="Heading31"/>
        <w:keepNext/>
        <w:keepLines/>
        <w:framePr w:w="6874" w:h="317" w:wrap="none" w:hAnchor="page" w:x="2905" w:y="1"/>
        <w:rPr>
          <w:sz w:val="16"/>
          <w:szCs w:val="16"/>
        </w:rPr>
      </w:pPr>
      <w:bookmarkStart w:id="404" w:name="bookmark1850"/>
      <w:bookmarkStart w:id="405" w:name="bookmark1851"/>
      <w:bookmarkStart w:id="406" w:name="bookmark1852"/>
      <w:r>
        <w:rPr>
          <w:b w:val="0"/>
          <w:bCs w:val="0"/>
          <w:color w:val="000000"/>
        </w:rPr>
        <w:t xml:space="preserve">Cuadro 4-8. </w:t>
      </w:r>
      <w:r>
        <w:rPr>
          <w:color w:val="000000"/>
        </w:rPr>
        <w:t xml:space="preserve">Antivíricos contra infecciones no producidas por VIH </w:t>
      </w:r>
      <w:r>
        <w:rPr>
          <w:rFonts w:ascii="Times New Roman" w:eastAsia="Times New Roman" w:hAnsi="Times New Roman" w:cs="Times New Roman"/>
          <w:b w:val="0"/>
          <w:bCs w:val="0"/>
          <w:i/>
          <w:iCs/>
          <w:color w:val="000000"/>
          <w:w w:val="100"/>
          <w:sz w:val="16"/>
          <w:szCs w:val="16"/>
        </w:rPr>
        <w:t>continuación</w:t>
      </w:r>
      <w:bookmarkEnd w:id="404"/>
      <w:bookmarkEnd w:id="405"/>
      <w:bookmarkEnd w:id="406"/>
    </w:p>
    <w:p w14:paraId="42DF61F0" w14:textId="77777777" w:rsidR="00924992" w:rsidRDefault="00924992">
      <w:pPr>
        <w:pStyle w:val="Heading41"/>
        <w:keepNext/>
        <w:keepLines/>
        <w:framePr w:w="1435" w:h="509" w:wrap="none" w:hAnchor="page" w:x="678" w:y="395"/>
        <w:pBdr>
          <w:top w:val="single" w:sz="0" w:space="0" w:color="000000"/>
          <w:left w:val="single" w:sz="0" w:space="0" w:color="000000"/>
          <w:bottom w:val="single" w:sz="0" w:space="0" w:color="000000"/>
          <w:right w:val="single" w:sz="0" w:space="0" w:color="000000"/>
        </w:pBdr>
        <w:shd w:val="clear" w:color="auto" w:fill="000000"/>
        <w:spacing w:line="209" w:lineRule="auto"/>
        <w:jc w:val="center"/>
      </w:pPr>
      <w:bookmarkStart w:id="407" w:name="bookmark1853"/>
      <w:bookmarkStart w:id="408" w:name="bookmark1854"/>
      <w:bookmarkStart w:id="409" w:name="bookmark1855"/>
      <w:r>
        <w:rPr>
          <w:color w:val="FFFFFF"/>
        </w:rPr>
        <w:t>Nombre genérico</w:t>
      </w:r>
      <w:r>
        <w:rPr>
          <w:color w:val="FFFFFF"/>
        </w:rPr>
        <w:br/>
        <w:t>(comercial)</w:t>
      </w:r>
      <w:bookmarkEnd w:id="407"/>
      <w:bookmarkEnd w:id="408"/>
      <w:bookmarkEnd w:id="409"/>
    </w:p>
    <w:p w14:paraId="0EBD0ACF" w14:textId="77777777" w:rsidR="00924992" w:rsidRDefault="00924992">
      <w:pPr>
        <w:pStyle w:val="Heading41"/>
        <w:keepNext/>
        <w:keepLines/>
        <w:framePr w:w="878" w:h="278" w:wrap="none" w:hAnchor="page" w:x="2651" w:y="371"/>
        <w:pBdr>
          <w:top w:val="single" w:sz="0" w:space="0" w:color="000000"/>
          <w:left w:val="single" w:sz="0" w:space="0" w:color="000000"/>
          <w:bottom w:val="single" w:sz="0" w:space="0" w:color="000000"/>
          <w:right w:val="single" w:sz="0" w:space="0" w:color="000000"/>
        </w:pBdr>
        <w:shd w:val="clear" w:color="auto" w:fill="000000"/>
      </w:pPr>
      <w:bookmarkStart w:id="410" w:name="bookmark1856"/>
      <w:bookmarkStart w:id="411" w:name="bookmark1857"/>
      <w:bookmarkStart w:id="412" w:name="bookmark1858"/>
      <w:r>
        <w:rPr>
          <w:color w:val="FFFFFF"/>
        </w:rPr>
        <w:t>Indicación</w:t>
      </w:r>
      <w:bookmarkEnd w:id="410"/>
      <w:bookmarkEnd w:id="411"/>
      <w:bookmarkEnd w:id="412"/>
    </w:p>
    <w:p w14:paraId="055459C8" w14:textId="77777777" w:rsidR="00924992" w:rsidRDefault="00924992">
      <w:pPr>
        <w:pStyle w:val="Heading41"/>
        <w:keepNext/>
        <w:keepLines/>
        <w:framePr w:w="4382" w:h="274" w:wrap="none" w:hAnchor="page" w:x="5756" w:y="375"/>
        <w:pBdr>
          <w:top w:val="single" w:sz="0" w:space="0" w:color="000000"/>
          <w:left w:val="single" w:sz="0" w:space="0" w:color="000000"/>
          <w:bottom w:val="single" w:sz="0" w:space="0" w:color="000000"/>
          <w:right w:val="single" w:sz="0" w:space="0" w:color="000000"/>
        </w:pBdr>
        <w:shd w:val="clear" w:color="auto" w:fill="000000"/>
        <w:tabs>
          <w:tab w:val="left" w:pos="1709"/>
        </w:tabs>
        <w:jc w:val="center"/>
      </w:pPr>
      <w:bookmarkStart w:id="413" w:name="bookmark1859"/>
      <w:bookmarkStart w:id="414" w:name="bookmark1860"/>
      <w:bookmarkStart w:id="415" w:name="bookmark1861"/>
      <w:r>
        <w:rPr>
          <w:color w:val="FFFFFF"/>
        </w:rPr>
        <w:t>Vía</w:t>
      </w:r>
      <w:r>
        <w:rPr>
          <w:color w:val="FFFFFF"/>
        </w:rPr>
        <w:tab/>
        <w:t>Dosis recomendada usualmente</w:t>
      </w:r>
      <w:bookmarkEnd w:id="413"/>
      <w:bookmarkEnd w:id="414"/>
      <w:bookmarkEnd w:id="415"/>
    </w:p>
    <w:p w14:paraId="1004F213" w14:textId="77777777" w:rsidR="00924992" w:rsidRDefault="00924992">
      <w:pPr>
        <w:pStyle w:val="Heading41"/>
        <w:keepNext/>
        <w:keepLines/>
        <w:framePr w:w="1531" w:h="298" w:wrap="none" w:hAnchor="page" w:x="5761" w:y="654"/>
        <w:pBdr>
          <w:top w:val="single" w:sz="0" w:space="0" w:color="000000"/>
          <w:left w:val="single" w:sz="0" w:space="0" w:color="000000"/>
          <w:bottom w:val="single" w:sz="0" w:space="0" w:color="000000"/>
          <w:right w:val="single" w:sz="0" w:space="0" w:color="000000"/>
        </w:pBdr>
        <w:shd w:val="clear" w:color="auto" w:fill="000000"/>
        <w:jc w:val="center"/>
      </w:pPr>
      <w:bookmarkStart w:id="416" w:name="bookmark1862"/>
      <w:bookmarkStart w:id="417" w:name="bookmark1863"/>
      <w:bookmarkStart w:id="418" w:name="bookmark1864"/>
      <w:r>
        <w:rPr>
          <w:color w:val="FFFFFF"/>
        </w:rPr>
        <w:t>de Administración</w:t>
      </w:r>
      <w:bookmarkEnd w:id="416"/>
      <w:bookmarkEnd w:id="417"/>
      <w:bookmarkEnd w:id="418"/>
    </w:p>
    <w:p w14:paraId="28C78105" w14:textId="77777777" w:rsidR="00924992" w:rsidRDefault="00924992">
      <w:pPr>
        <w:pStyle w:val="Bodytext20"/>
        <w:framePr w:w="5525" w:h="2333" w:wrap="none" w:hAnchor="page" w:x="606" w:y="995"/>
        <w:spacing w:after="420" w:line="240" w:lineRule="auto"/>
        <w:ind w:left="2040"/>
      </w:pPr>
      <w:r>
        <w:rPr>
          <w:color w:val="000000"/>
        </w:rPr>
        <w:t>Varicela en hospedador inmunodeficiente IV</w:t>
      </w:r>
    </w:p>
    <w:p w14:paraId="08AD668D" w14:textId="77777777" w:rsidR="00924992" w:rsidRDefault="00924992">
      <w:pPr>
        <w:pStyle w:val="Bodytext20"/>
        <w:framePr w:w="5525" w:h="2333" w:wrap="none" w:hAnchor="page" w:x="606" w:y="995"/>
        <w:spacing w:after="220" w:line="240" w:lineRule="auto"/>
        <w:ind w:right="140"/>
        <w:jc w:val="right"/>
      </w:pPr>
      <w:r>
        <w:rPr>
          <w:color w:val="000000"/>
        </w:rPr>
        <w:t>IV</w:t>
      </w:r>
    </w:p>
    <w:p w14:paraId="7F43D881" w14:textId="77777777" w:rsidR="00924992" w:rsidRDefault="00924992">
      <w:pPr>
        <w:pStyle w:val="Bodytext20"/>
        <w:framePr w:w="5525" w:h="2333" w:wrap="none" w:hAnchor="page" w:x="606" w:y="995"/>
        <w:spacing w:line="240" w:lineRule="auto"/>
        <w:ind w:left="2040"/>
      </w:pPr>
      <w:r>
        <w:rPr>
          <w:color w:val="000000"/>
        </w:rPr>
        <w:t>Zoster en hospedador inmunocompetente IV</w:t>
      </w:r>
    </w:p>
    <w:p w14:paraId="68D5D049" w14:textId="77777777" w:rsidR="00924992" w:rsidRDefault="00924992">
      <w:pPr>
        <w:pStyle w:val="Bodytext20"/>
        <w:framePr w:w="5525" w:h="2333" w:wrap="none" w:hAnchor="page" w:x="606" w:y="995"/>
        <w:spacing w:after="220" w:line="240" w:lineRule="auto"/>
        <w:jc w:val="right"/>
      </w:pPr>
      <w:r>
        <w:rPr>
          <w:color w:val="000000"/>
        </w:rPr>
        <w:t>Oral</w:t>
      </w:r>
    </w:p>
    <w:p w14:paraId="6DA4716F" w14:textId="77777777" w:rsidR="00924992" w:rsidRDefault="00924992">
      <w:pPr>
        <w:pStyle w:val="Bodytext20"/>
        <w:framePr w:w="5525" w:h="2333" w:wrap="none" w:hAnchor="page" w:x="606" w:y="995"/>
        <w:spacing w:after="220" w:line="240" w:lineRule="auto"/>
        <w:ind w:left="2040"/>
      </w:pPr>
      <w:r>
        <w:rPr>
          <w:color w:val="000000"/>
        </w:rPr>
        <w:t>Varicela en hospedador inmunocompetente</w:t>
      </w:r>
      <w:r>
        <w:rPr>
          <w:color w:val="000000"/>
          <w:vertAlign w:val="superscript"/>
        </w:rPr>
        <w:t>3</w:t>
      </w:r>
      <w:r>
        <w:rPr>
          <w:color w:val="000000"/>
        </w:rPr>
        <w:t xml:space="preserve"> Oral</w:t>
      </w:r>
    </w:p>
    <w:p w14:paraId="58A0A543" w14:textId="77777777" w:rsidR="00924992" w:rsidRDefault="00924992">
      <w:pPr>
        <w:pStyle w:val="Bodytext20"/>
        <w:framePr w:w="5525" w:h="2333" w:wrap="none" w:hAnchor="page" w:x="606" w:y="995"/>
        <w:spacing w:after="220" w:line="240" w:lineRule="auto"/>
      </w:pPr>
      <w:r>
        <w:rPr>
          <w:color w:val="000000"/>
        </w:rPr>
        <w:t>Amantadina (Symmetrel) Influenza A: tratamiento y profilaxia Oral</w:t>
      </w:r>
    </w:p>
    <w:p w14:paraId="25F0D196" w14:textId="77777777" w:rsidR="00924992" w:rsidRDefault="00924992">
      <w:pPr>
        <w:pStyle w:val="Bodytext20"/>
        <w:framePr w:w="5381" w:h="235" w:wrap="none" w:hAnchor="page" w:x="620" w:y="5195"/>
        <w:tabs>
          <w:tab w:val="left" w:pos="2021"/>
        </w:tabs>
        <w:spacing w:line="240" w:lineRule="auto"/>
      </w:pPr>
      <w:r>
        <w:rPr>
          <w:color w:val="000000"/>
        </w:rPr>
        <w:t>Cidofovir (Vistide)</w:t>
      </w:r>
      <w:r>
        <w:rPr>
          <w:color w:val="000000"/>
        </w:rPr>
        <w:tab/>
        <w:t>Retinitis por virus citomegálico (CMV) IV</w:t>
      </w:r>
    </w:p>
    <w:p w14:paraId="22A51D98" w14:textId="77777777" w:rsidR="00924992" w:rsidRDefault="00924992">
      <w:pPr>
        <w:pStyle w:val="Bodytext20"/>
        <w:framePr w:w="1430" w:h="226" w:wrap="none" w:hAnchor="page" w:x="620" w:y="5823"/>
        <w:spacing w:line="240" w:lineRule="auto"/>
      </w:pPr>
      <w:r>
        <w:rPr>
          <w:color w:val="000000"/>
        </w:rPr>
        <w:t>Famciclovir (Famvir)</w:t>
      </w:r>
    </w:p>
    <w:p w14:paraId="336D093E" w14:textId="77777777" w:rsidR="00924992" w:rsidRDefault="00924992">
      <w:pPr>
        <w:pStyle w:val="Bodytext20"/>
        <w:framePr w:w="3490" w:h="864" w:wrap="none" w:hAnchor="page" w:x="2641" w:y="5823"/>
        <w:tabs>
          <w:tab w:val="right" w:pos="3413"/>
        </w:tabs>
        <w:spacing w:line="240" w:lineRule="auto"/>
      </w:pPr>
      <w:r>
        <w:rPr>
          <w:color w:val="000000"/>
        </w:rPr>
        <w:t>Infección genital por HSV</w:t>
      </w:r>
      <w:r>
        <w:rPr>
          <w:color w:val="000000"/>
        </w:rPr>
        <w:tab/>
        <w:t>Oral</w:t>
      </w:r>
    </w:p>
    <w:p w14:paraId="79084BC3" w14:textId="77777777" w:rsidR="00924992" w:rsidRDefault="00924992">
      <w:pPr>
        <w:pStyle w:val="Bodytext20"/>
        <w:framePr w:w="3490" w:h="864" w:wrap="none" w:hAnchor="page" w:x="2641" w:y="5823"/>
        <w:tabs>
          <w:tab w:val="right" w:pos="3427"/>
        </w:tabs>
        <w:spacing w:line="240" w:lineRule="auto"/>
      </w:pPr>
      <w:r>
        <w:rPr>
          <w:color w:val="000000"/>
        </w:rPr>
        <w:t>Infección genital recurrente y episódica</w:t>
      </w:r>
      <w:r>
        <w:rPr>
          <w:color w:val="000000"/>
        </w:rPr>
        <w:tab/>
        <w:t>Oral</w:t>
      </w:r>
    </w:p>
    <w:p w14:paraId="4E4F798A" w14:textId="77777777" w:rsidR="00924992" w:rsidRDefault="00924992">
      <w:pPr>
        <w:pStyle w:val="Bodytext20"/>
        <w:framePr w:w="3490" w:h="864" w:wrap="none" w:hAnchor="page" w:x="2641" w:y="5823"/>
        <w:spacing w:line="240" w:lineRule="auto"/>
      </w:pPr>
      <w:r>
        <w:rPr>
          <w:color w:val="000000"/>
        </w:rPr>
        <w:t>por HSV</w:t>
      </w:r>
    </w:p>
    <w:p w14:paraId="59F68D28" w14:textId="77777777" w:rsidR="00924992" w:rsidRDefault="00924992">
      <w:pPr>
        <w:pStyle w:val="Bodytext20"/>
        <w:framePr w:w="3490" w:h="864" w:wrap="none" w:hAnchor="page" w:x="2641" w:y="5823"/>
        <w:tabs>
          <w:tab w:val="right" w:pos="3437"/>
        </w:tabs>
        <w:spacing w:line="240" w:lineRule="auto"/>
      </w:pPr>
      <w:r>
        <w:rPr>
          <w:color w:val="000000"/>
        </w:rPr>
        <w:t>Terapia supresora diaria</w:t>
      </w:r>
      <w:r>
        <w:rPr>
          <w:color w:val="000000"/>
        </w:rPr>
        <w:tab/>
        <w:t>Oral</w:t>
      </w:r>
    </w:p>
    <w:p w14:paraId="62921231" w14:textId="77777777" w:rsidR="00924992" w:rsidRDefault="00924992">
      <w:pPr>
        <w:pStyle w:val="Bodytext20"/>
        <w:framePr w:w="4603" w:h="6173" w:wrap="none" w:hAnchor="page" w:x="7451" w:y="995"/>
        <w:spacing w:line="276" w:lineRule="auto"/>
      </w:pPr>
      <w:r>
        <w:rPr>
          <w:color w:val="000000"/>
        </w:rPr>
        <w:t>Para niños menores de 1 año: 30 mg/kg al día en 3 fracciones durante 7 a 10 días; algunos expertos recomiendan la misma dosis para niños de 1 año o mayores.</w:t>
      </w:r>
    </w:p>
    <w:p w14:paraId="18D0D9C4" w14:textId="77777777" w:rsidR="00924992" w:rsidRDefault="00924992">
      <w:pPr>
        <w:pStyle w:val="Bodytext20"/>
        <w:framePr w:w="4603" w:h="6173" w:wrap="none" w:hAnchor="page" w:x="7451" w:y="995"/>
        <w:spacing w:line="276" w:lineRule="auto"/>
      </w:pPr>
      <w:r>
        <w:rPr>
          <w:color w:val="000000"/>
        </w:rPr>
        <w:t>Para niños de un año y mayores: 1 500 mg/m</w:t>
      </w:r>
      <w:r>
        <w:rPr>
          <w:color w:val="000000"/>
          <w:vertAlign w:val="superscript"/>
        </w:rPr>
        <w:t>2</w:t>
      </w:r>
      <w:r>
        <w:rPr>
          <w:color w:val="000000"/>
        </w:rPr>
        <w:t xml:space="preserve"> de superficie corporal al día en 3 fracciones durante 7 a 10 días.</w:t>
      </w:r>
    </w:p>
    <w:p w14:paraId="1F3EE043" w14:textId="77777777" w:rsidR="00924992" w:rsidRDefault="00924992">
      <w:pPr>
        <w:pStyle w:val="Bodytext20"/>
        <w:framePr w:w="4603" w:h="6173" w:wrap="none" w:hAnchor="page" w:x="7451" w:y="995"/>
        <w:spacing w:line="276" w:lineRule="auto"/>
      </w:pPr>
      <w:r>
        <w:rPr>
          <w:color w:val="000000"/>
        </w:rPr>
        <w:t>Igual que con la varicela en el hospedador inmunodeficiente.</w:t>
      </w:r>
    </w:p>
    <w:p w14:paraId="4A2E3CB0" w14:textId="77777777" w:rsidR="00924992" w:rsidRDefault="00924992">
      <w:pPr>
        <w:pStyle w:val="Bodytext20"/>
        <w:framePr w:w="4603" w:h="6173" w:wrap="none" w:hAnchor="page" w:x="7451" w:y="995"/>
        <w:spacing w:line="276" w:lineRule="auto"/>
      </w:pPr>
      <w:r>
        <w:rPr>
          <w:color w:val="000000"/>
        </w:rPr>
        <w:t>4 000 mg/día en 5 fracciones durante 5 a 7 días para pacientes de 12 años y mayores.</w:t>
      </w:r>
    </w:p>
    <w:p w14:paraId="6ADAF750" w14:textId="77777777" w:rsidR="00924992" w:rsidRDefault="00924992">
      <w:pPr>
        <w:pStyle w:val="Bodytext20"/>
        <w:framePr w:w="4603" w:h="6173" w:wrap="none" w:hAnchor="page" w:x="7451" w:y="995"/>
        <w:spacing w:line="276" w:lineRule="auto"/>
      </w:pPr>
      <w:r>
        <w:rPr>
          <w:color w:val="000000"/>
        </w:rPr>
        <w:t>80 mg/kg al día en 4 fracciones durante 5 días; dosis máxima;</w:t>
      </w:r>
    </w:p>
    <w:p w14:paraId="6D4EADEC" w14:textId="77777777" w:rsidR="00924992" w:rsidRDefault="00924992">
      <w:pPr>
        <w:pStyle w:val="Bodytext20"/>
        <w:framePr w:w="4603" w:h="6173" w:wrap="none" w:hAnchor="page" w:x="7451" w:y="995"/>
        <w:spacing w:line="276" w:lineRule="auto"/>
      </w:pPr>
      <w:r>
        <w:rPr>
          <w:color w:val="000000"/>
        </w:rPr>
        <w:t>3 200 mg/día.</w:t>
      </w:r>
    </w:p>
    <w:p w14:paraId="7E732C4B" w14:textId="77777777" w:rsidR="00924992" w:rsidRDefault="00924992">
      <w:pPr>
        <w:pStyle w:val="Bodytext20"/>
        <w:framePr w:w="4603" w:h="6173" w:wrap="none" w:hAnchor="page" w:x="7451" w:y="995"/>
        <w:spacing w:line="276" w:lineRule="auto"/>
      </w:pPr>
      <w:r>
        <w:rPr>
          <w:color w:val="000000"/>
        </w:rPr>
        <w:t>Tratamiento:</w:t>
      </w:r>
    </w:p>
    <w:p w14:paraId="2377394D" w14:textId="77777777" w:rsidR="00924992" w:rsidRDefault="00924992">
      <w:pPr>
        <w:pStyle w:val="Bodytext20"/>
        <w:framePr w:w="4603" w:h="6173" w:wrap="none" w:hAnchor="page" w:x="7451" w:y="995"/>
        <w:spacing w:line="276" w:lineRule="auto"/>
      </w:pPr>
      <w:r>
        <w:rPr>
          <w:color w:val="000000"/>
        </w:rPr>
        <w:t>1-9 años: 5 mg/kg al día; dosis máxima, 150 mg/día</w:t>
      </w:r>
    </w:p>
    <w:p w14:paraId="2FDE02C9" w14:textId="77777777" w:rsidR="00924992" w:rsidRDefault="00924992">
      <w:pPr>
        <w:pStyle w:val="Bodytext20"/>
        <w:framePr w:w="4603" w:h="6173" w:wrap="none" w:hAnchor="page" w:x="7451" w:y="995"/>
        <w:spacing w:line="276" w:lineRule="auto"/>
      </w:pPr>
      <w:r>
        <w:rPr>
          <w:color w:val="000000"/>
        </w:rPr>
        <w:t>en 2 fracciones</w:t>
      </w:r>
    </w:p>
    <w:p w14:paraId="731D9B41" w14:textId="77777777" w:rsidR="00924992" w:rsidRDefault="00924992">
      <w:pPr>
        <w:pStyle w:val="Bodytext20"/>
        <w:framePr w:w="4603" w:h="6173" w:wrap="none" w:hAnchor="page" w:x="7451" w:y="995"/>
        <w:spacing w:line="276" w:lineRule="auto"/>
      </w:pPr>
      <w:r>
        <w:rPr>
          <w:color w:val="000000"/>
        </w:rPr>
        <w:t>10 años y mayores con menos de 40 kg de peso: 5 mg/kg al día en 2 fracciones; 40 kg de peso o más: 200 mg/día en</w:t>
      </w:r>
    </w:p>
    <w:p w14:paraId="51D9FC55" w14:textId="77777777" w:rsidR="00924992" w:rsidRDefault="00924992">
      <w:pPr>
        <w:pStyle w:val="Bodytext20"/>
        <w:framePr w:w="4603" w:h="6173" w:wrap="none" w:hAnchor="page" w:x="7451" w:y="995"/>
        <w:spacing w:line="276" w:lineRule="auto"/>
      </w:pPr>
      <w:r>
        <w:rPr>
          <w:color w:val="000000"/>
        </w:rPr>
        <w:t>2 fracciones</w:t>
      </w:r>
    </w:p>
    <w:p w14:paraId="32B21C20" w14:textId="77777777" w:rsidR="00924992" w:rsidRDefault="00924992">
      <w:pPr>
        <w:pStyle w:val="Bodytext20"/>
        <w:framePr w:w="4603" w:h="6173" w:wrap="none" w:hAnchor="page" w:x="7451" w:y="995"/>
        <w:spacing w:line="276" w:lineRule="auto"/>
      </w:pPr>
      <w:r>
        <w:rPr>
          <w:color w:val="000000"/>
        </w:rPr>
        <w:t>Profilaxia:</w:t>
      </w:r>
    </w:p>
    <w:p w14:paraId="75EDC9E5" w14:textId="77777777" w:rsidR="00924992" w:rsidRDefault="00924992">
      <w:pPr>
        <w:pStyle w:val="Bodytext20"/>
        <w:framePr w:w="4603" w:h="6173" w:wrap="none" w:hAnchor="page" w:x="7451" w:y="995"/>
        <w:spacing w:line="276" w:lineRule="auto"/>
      </w:pPr>
      <w:r>
        <w:rPr>
          <w:color w:val="000000"/>
        </w:rPr>
        <w:t>Igual que el tratamiento. Otra dosificación igualmente aceptable sería 100 mg/día en niños que pesan más de 20 kg y adultos. Véase “Influenza”, sección 3.</w:t>
      </w:r>
    </w:p>
    <w:p w14:paraId="3E6740F7" w14:textId="77777777" w:rsidR="00924992" w:rsidRDefault="00924992">
      <w:pPr>
        <w:pStyle w:val="Bodytext20"/>
        <w:framePr w:w="4603" w:h="6173" w:wrap="none" w:hAnchor="page" w:x="7451" w:y="995"/>
        <w:spacing w:line="276" w:lineRule="auto"/>
      </w:pPr>
      <w:r>
        <w:rPr>
          <w:color w:val="000000"/>
        </w:rPr>
        <w:t>Inducción: 5 mg/kg una vez, con probenecid e hidratación.</w:t>
      </w:r>
    </w:p>
    <w:p w14:paraId="1A34176E" w14:textId="77777777" w:rsidR="00924992" w:rsidRDefault="00924992">
      <w:pPr>
        <w:pStyle w:val="Bodytext20"/>
        <w:framePr w:w="4603" w:h="6173" w:wrap="none" w:hAnchor="page" w:x="7451" w:y="995"/>
        <w:spacing w:line="276" w:lineRule="auto"/>
      </w:pPr>
      <w:r>
        <w:rPr>
          <w:color w:val="000000"/>
        </w:rPr>
        <w:t>Dosis de sostén semanal: 3 mg/kg una vez, con probenecid e hidratación.</w:t>
      </w:r>
    </w:p>
    <w:p w14:paraId="5B738650" w14:textId="77777777" w:rsidR="00924992" w:rsidRDefault="00924992">
      <w:pPr>
        <w:pStyle w:val="Bodytext20"/>
        <w:framePr w:w="4603" w:h="6173" w:wrap="none" w:hAnchor="page" w:x="7451" w:y="995"/>
        <w:spacing w:after="200" w:line="276" w:lineRule="auto"/>
      </w:pPr>
      <w:r>
        <w:rPr>
          <w:color w:val="000000"/>
        </w:rPr>
        <w:t>Para adolescentes, 750 mg/día en 3 fracciones durante 7 a 10 días. Para adolescentes, 250 mg/día en 2 fracciones durante 5 días.</w:t>
      </w:r>
    </w:p>
    <w:p w14:paraId="79F4A378" w14:textId="77777777" w:rsidR="00924992" w:rsidRDefault="00924992">
      <w:pPr>
        <w:pStyle w:val="Bodytext20"/>
        <w:framePr w:w="4603" w:h="6173" w:wrap="none" w:hAnchor="page" w:x="7451" w:y="995"/>
        <w:tabs>
          <w:tab w:val="left" w:pos="3893"/>
        </w:tabs>
      </w:pPr>
      <w:r>
        <w:rPr>
          <w:color w:val="000000"/>
        </w:rPr>
        <w:t>Para adolescentes, 250-500 mg/día en 2 fracciones durante un año; en ese momento revalorar en busca de recidiva de la infección por virus de herpes simple.</w:t>
      </w:r>
      <w:r>
        <w:rPr>
          <w:color w:val="000000"/>
        </w:rPr>
        <w:tab/>
      </w:r>
      <w:r>
        <w:rPr>
          <w:i/>
          <w:iCs/>
          <w:color w:val="000000"/>
        </w:rPr>
        <w:t>continúa</w:t>
      </w:r>
    </w:p>
    <w:p w14:paraId="39302ED3" w14:textId="77777777" w:rsidR="00924992" w:rsidRDefault="00924992">
      <w:pPr>
        <w:pStyle w:val="Bodytext80"/>
        <w:framePr w:w="192" w:h="5640" w:hRule="exact" w:wrap="none" w:hAnchor="page" w:x="12390" w:y="1268"/>
        <w:tabs>
          <w:tab w:val="left" w:pos="5323"/>
        </w:tabs>
        <w:textDirection w:val="tbRl"/>
        <w:rPr>
          <w:sz w:val="16"/>
          <w:szCs w:val="16"/>
        </w:rPr>
      </w:pPr>
      <w:r>
        <w:t>ANTIVÍRICOS CONTRA INFECCIONES NO PRODUCIDAS POR VIH</w:t>
      </w:r>
      <w:r>
        <w:tab/>
      </w:r>
      <w:r>
        <w:rPr>
          <w:sz w:val="16"/>
          <w:szCs w:val="16"/>
        </w:rPr>
        <w:t>767</w:t>
      </w:r>
    </w:p>
    <w:p w14:paraId="088134CA" w14:textId="77777777" w:rsidR="00924992" w:rsidRDefault="00924992">
      <w:pPr>
        <w:spacing w:line="360" w:lineRule="exact"/>
      </w:pPr>
    </w:p>
    <w:p w14:paraId="5FD2DE95" w14:textId="77777777" w:rsidR="00924992" w:rsidRDefault="00924992">
      <w:pPr>
        <w:spacing w:line="360" w:lineRule="exact"/>
      </w:pPr>
    </w:p>
    <w:p w14:paraId="37B1D29F" w14:textId="77777777" w:rsidR="00924992" w:rsidRDefault="00924992">
      <w:pPr>
        <w:spacing w:line="360" w:lineRule="exact"/>
      </w:pPr>
    </w:p>
    <w:p w14:paraId="3BE9E518" w14:textId="77777777" w:rsidR="00924992" w:rsidRDefault="00924992">
      <w:pPr>
        <w:spacing w:line="360" w:lineRule="exact"/>
      </w:pPr>
    </w:p>
    <w:p w14:paraId="1706A090" w14:textId="77777777" w:rsidR="00924992" w:rsidRDefault="00924992">
      <w:pPr>
        <w:spacing w:line="360" w:lineRule="exact"/>
      </w:pPr>
    </w:p>
    <w:p w14:paraId="744A7BCB" w14:textId="77777777" w:rsidR="00924992" w:rsidRDefault="00924992">
      <w:pPr>
        <w:spacing w:line="360" w:lineRule="exact"/>
      </w:pPr>
    </w:p>
    <w:p w14:paraId="687BFF86" w14:textId="77777777" w:rsidR="00924992" w:rsidRDefault="00924992">
      <w:pPr>
        <w:spacing w:line="360" w:lineRule="exact"/>
      </w:pPr>
    </w:p>
    <w:p w14:paraId="78069D5B" w14:textId="77777777" w:rsidR="00924992" w:rsidRDefault="00924992">
      <w:pPr>
        <w:spacing w:line="360" w:lineRule="exact"/>
      </w:pPr>
    </w:p>
    <w:p w14:paraId="30CF988E" w14:textId="77777777" w:rsidR="00924992" w:rsidRDefault="00924992">
      <w:pPr>
        <w:spacing w:line="360" w:lineRule="exact"/>
      </w:pPr>
    </w:p>
    <w:p w14:paraId="271C5A07" w14:textId="77777777" w:rsidR="00924992" w:rsidRDefault="00924992">
      <w:pPr>
        <w:spacing w:line="360" w:lineRule="exact"/>
      </w:pPr>
    </w:p>
    <w:p w14:paraId="05B67B3D" w14:textId="77777777" w:rsidR="00924992" w:rsidRDefault="00924992">
      <w:pPr>
        <w:spacing w:line="360" w:lineRule="exact"/>
      </w:pPr>
    </w:p>
    <w:p w14:paraId="44A28B95" w14:textId="77777777" w:rsidR="00924992" w:rsidRDefault="00924992">
      <w:pPr>
        <w:spacing w:line="360" w:lineRule="exact"/>
      </w:pPr>
    </w:p>
    <w:p w14:paraId="2AD1A45A" w14:textId="77777777" w:rsidR="00924992" w:rsidRDefault="00924992">
      <w:pPr>
        <w:spacing w:line="360" w:lineRule="exact"/>
      </w:pPr>
    </w:p>
    <w:p w14:paraId="479AE6A3" w14:textId="77777777" w:rsidR="00924992" w:rsidRDefault="00924992">
      <w:pPr>
        <w:spacing w:line="360" w:lineRule="exact"/>
      </w:pPr>
    </w:p>
    <w:p w14:paraId="1C8EE22B" w14:textId="77777777" w:rsidR="00924992" w:rsidRDefault="00924992">
      <w:pPr>
        <w:spacing w:line="360" w:lineRule="exact"/>
      </w:pPr>
    </w:p>
    <w:p w14:paraId="30875521" w14:textId="77777777" w:rsidR="00924992" w:rsidRDefault="00924992">
      <w:pPr>
        <w:spacing w:line="360" w:lineRule="exact"/>
      </w:pPr>
    </w:p>
    <w:p w14:paraId="52D98DBB" w14:textId="77777777" w:rsidR="00924992" w:rsidRDefault="00924992">
      <w:pPr>
        <w:spacing w:line="360" w:lineRule="exact"/>
      </w:pPr>
    </w:p>
    <w:p w14:paraId="7F1F285B" w14:textId="77777777" w:rsidR="00924992" w:rsidRDefault="00924992">
      <w:pPr>
        <w:spacing w:line="360" w:lineRule="exact"/>
      </w:pPr>
    </w:p>
    <w:p w14:paraId="695C1AB3" w14:textId="77777777" w:rsidR="00924992" w:rsidRDefault="00924992">
      <w:pPr>
        <w:spacing w:after="685" w:line="1" w:lineRule="exact"/>
      </w:pPr>
    </w:p>
    <w:p w14:paraId="0D7937BF" w14:textId="77777777" w:rsidR="00924992" w:rsidRDefault="00924992">
      <w:pPr>
        <w:spacing w:line="1" w:lineRule="exact"/>
        <w:sectPr w:rsidR="00924992" w:rsidSect="00924992">
          <w:pgSz w:w="13022" w:h="8501" w:orient="landscape"/>
          <w:pgMar w:top="1090" w:right="442" w:bottom="45" w:left="605" w:header="662" w:footer="3" w:gutter="0"/>
          <w:cols w:space="720"/>
          <w:noEndnote/>
          <w:docGrid w:linePitch="360"/>
          <w15:footnoteColumns w:val="1"/>
        </w:sectPr>
      </w:pPr>
    </w:p>
    <w:tbl>
      <w:tblPr>
        <w:tblOverlap w:val="never"/>
        <w:tblW w:w="0" w:type="auto"/>
        <w:tblLayout w:type="fixed"/>
        <w:tblCellMar>
          <w:left w:w="10" w:type="dxa"/>
          <w:right w:w="10" w:type="dxa"/>
        </w:tblCellMar>
        <w:tblLook w:val="04A0" w:firstRow="1" w:lastRow="0" w:firstColumn="1" w:lastColumn="0" w:noHBand="0" w:noVBand="1"/>
      </w:tblPr>
      <w:tblGrid>
        <w:gridCol w:w="1829"/>
        <w:gridCol w:w="9619"/>
      </w:tblGrid>
      <w:tr w:rsidR="00924992" w14:paraId="599A4954" w14:textId="77777777">
        <w:tblPrEx>
          <w:tblCellMar>
            <w:top w:w="0" w:type="dxa"/>
            <w:bottom w:w="0" w:type="dxa"/>
          </w:tblCellMar>
        </w:tblPrEx>
        <w:trPr>
          <w:trHeight w:hRule="exact" w:val="350"/>
        </w:trPr>
        <w:tc>
          <w:tcPr>
            <w:tcW w:w="1829" w:type="dxa"/>
            <w:shd w:val="clear" w:color="auto" w:fill="FFFFFF"/>
          </w:tcPr>
          <w:p w14:paraId="7E5C5161" w14:textId="77777777" w:rsidR="00924992" w:rsidRDefault="00924992">
            <w:pPr>
              <w:framePr w:w="11448" w:h="2280" w:wrap="none" w:hAnchor="page" w:x="625" w:y="11"/>
              <w:rPr>
                <w:sz w:val="10"/>
                <w:szCs w:val="10"/>
              </w:rPr>
            </w:pPr>
          </w:p>
        </w:tc>
        <w:tc>
          <w:tcPr>
            <w:tcW w:w="9619" w:type="dxa"/>
            <w:shd w:val="clear" w:color="auto" w:fill="FFFFFF"/>
          </w:tcPr>
          <w:p w14:paraId="36AB02E1" w14:textId="77777777" w:rsidR="00924992" w:rsidRDefault="00924992">
            <w:pPr>
              <w:pStyle w:val="Other0"/>
              <w:framePr w:w="11448" w:h="2280" w:wrap="none" w:hAnchor="page" w:x="625" w:y="11"/>
              <w:spacing w:line="240" w:lineRule="auto"/>
              <w:ind w:firstLine="460"/>
              <w:rPr>
                <w:sz w:val="16"/>
                <w:szCs w:val="16"/>
              </w:rPr>
            </w:pPr>
            <w:r>
              <w:rPr>
                <w:rFonts w:ascii="Arial" w:eastAsia="Arial" w:hAnsi="Arial" w:cs="Arial"/>
                <w:color w:val="000000"/>
                <w:w w:val="70"/>
                <w:sz w:val="26"/>
                <w:szCs w:val="26"/>
              </w:rPr>
              <w:t xml:space="preserve">Cuadro 4-8. </w:t>
            </w:r>
            <w:r>
              <w:rPr>
                <w:rFonts w:ascii="Arial" w:eastAsia="Arial" w:hAnsi="Arial" w:cs="Arial"/>
                <w:b/>
                <w:bCs/>
                <w:color w:val="000000"/>
                <w:w w:val="70"/>
                <w:sz w:val="26"/>
                <w:szCs w:val="26"/>
              </w:rPr>
              <w:t xml:space="preserve">Antivíricos contra infecciones no producidas por VIH </w:t>
            </w:r>
            <w:r>
              <w:rPr>
                <w:rFonts w:ascii="Times New Roman" w:eastAsia="Times New Roman" w:hAnsi="Times New Roman" w:cs="Times New Roman"/>
                <w:i/>
                <w:iCs/>
                <w:color w:val="000000"/>
                <w:sz w:val="16"/>
                <w:szCs w:val="16"/>
              </w:rPr>
              <w:t>continuación</w:t>
            </w:r>
          </w:p>
        </w:tc>
      </w:tr>
      <w:tr w:rsidR="00924992" w14:paraId="315B519B" w14:textId="77777777">
        <w:tblPrEx>
          <w:tblCellMar>
            <w:top w:w="0" w:type="dxa"/>
            <w:bottom w:w="0" w:type="dxa"/>
          </w:tblCellMar>
        </w:tblPrEx>
        <w:trPr>
          <w:trHeight w:hRule="exact" w:val="533"/>
        </w:trPr>
        <w:tc>
          <w:tcPr>
            <w:tcW w:w="1829" w:type="dxa"/>
            <w:shd w:val="clear" w:color="auto" w:fill="000000"/>
          </w:tcPr>
          <w:p w14:paraId="0EFC0252" w14:textId="77777777" w:rsidR="00924992" w:rsidRDefault="00924992">
            <w:pPr>
              <w:pStyle w:val="Other0"/>
              <w:framePr w:w="11448" w:h="2280" w:wrap="none" w:hAnchor="page" w:x="625" w:y="11"/>
              <w:pBdr>
                <w:top w:val="single" w:sz="0" w:space="0" w:color="000000"/>
                <w:left w:val="single" w:sz="0" w:space="0" w:color="000000"/>
                <w:bottom w:val="single" w:sz="0" w:space="0" w:color="000000"/>
                <w:right w:val="single" w:sz="0" w:space="0" w:color="000000"/>
              </w:pBdr>
              <w:shd w:val="clear" w:color="auto" w:fill="000000"/>
              <w:spacing w:line="209" w:lineRule="auto"/>
              <w:ind w:firstLine="0"/>
              <w:rPr>
                <w:sz w:val="24"/>
                <w:szCs w:val="24"/>
              </w:rPr>
            </w:pPr>
            <w:r>
              <w:rPr>
                <w:rFonts w:ascii="Arial" w:eastAsia="Arial" w:hAnsi="Arial" w:cs="Arial"/>
                <w:b/>
                <w:bCs/>
                <w:color w:val="FFFFFF"/>
                <w:w w:val="70"/>
                <w:sz w:val="24"/>
                <w:szCs w:val="24"/>
              </w:rPr>
              <w:t>Nombre genérico (comercial)</w:t>
            </w:r>
          </w:p>
        </w:tc>
        <w:tc>
          <w:tcPr>
            <w:tcW w:w="9619" w:type="dxa"/>
            <w:shd w:val="clear" w:color="auto" w:fill="000000"/>
          </w:tcPr>
          <w:p w14:paraId="74F1BF5B" w14:textId="77777777" w:rsidR="00924992" w:rsidRDefault="00924992">
            <w:pPr>
              <w:pStyle w:val="Other0"/>
              <w:framePr w:w="11448" w:h="2280" w:wrap="none" w:hAnchor="page" w:x="625" w:y="11"/>
              <w:pBdr>
                <w:top w:val="single" w:sz="0" w:space="0" w:color="000000"/>
                <w:left w:val="single" w:sz="0" w:space="0" w:color="000000"/>
                <w:bottom w:val="single" w:sz="0" w:space="0" w:color="000000"/>
                <w:right w:val="single" w:sz="0" w:space="0" w:color="000000"/>
              </w:pBdr>
              <w:shd w:val="clear" w:color="auto" w:fill="000000"/>
              <w:tabs>
                <w:tab w:val="left" w:pos="3306"/>
                <w:tab w:val="left" w:pos="5014"/>
              </w:tabs>
              <w:spacing w:line="240" w:lineRule="auto"/>
              <w:ind w:firstLine="200"/>
              <w:rPr>
                <w:sz w:val="24"/>
                <w:szCs w:val="24"/>
              </w:rPr>
            </w:pPr>
            <w:r>
              <w:rPr>
                <w:rFonts w:ascii="Arial" w:eastAsia="Arial" w:hAnsi="Arial" w:cs="Arial"/>
                <w:b/>
                <w:bCs/>
                <w:color w:val="FFFFFF"/>
                <w:w w:val="70"/>
                <w:sz w:val="24"/>
                <w:szCs w:val="24"/>
              </w:rPr>
              <w:t>Indicación</w:t>
            </w:r>
            <w:r>
              <w:rPr>
                <w:rFonts w:ascii="Arial" w:eastAsia="Arial" w:hAnsi="Arial" w:cs="Arial"/>
                <w:b/>
                <w:bCs/>
                <w:color w:val="FFFFFF"/>
                <w:w w:val="70"/>
                <w:sz w:val="24"/>
                <w:szCs w:val="24"/>
              </w:rPr>
              <w:tab/>
              <w:t>Vía</w:t>
            </w:r>
            <w:r>
              <w:rPr>
                <w:rFonts w:ascii="Arial" w:eastAsia="Arial" w:hAnsi="Arial" w:cs="Arial"/>
                <w:b/>
                <w:bCs/>
                <w:color w:val="FFFFFF"/>
                <w:w w:val="70"/>
                <w:sz w:val="24"/>
                <w:szCs w:val="24"/>
              </w:rPr>
              <w:tab/>
              <w:t>Dosis recomendada usualmente</w:t>
            </w:r>
          </w:p>
          <w:p w14:paraId="7946EF68" w14:textId="77777777" w:rsidR="00924992" w:rsidRDefault="00924992">
            <w:pPr>
              <w:pStyle w:val="Other0"/>
              <w:framePr w:w="11448" w:h="2280" w:wrap="none" w:hAnchor="page" w:x="625" w:y="11"/>
              <w:pBdr>
                <w:top w:val="single" w:sz="0" w:space="0" w:color="000000"/>
                <w:left w:val="single" w:sz="0" w:space="0" w:color="000000"/>
                <w:bottom w:val="single" w:sz="0" w:space="0" w:color="000000"/>
                <w:right w:val="single" w:sz="0" w:space="0" w:color="000000"/>
              </w:pBdr>
              <w:shd w:val="clear" w:color="auto" w:fill="000000"/>
              <w:spacing w:line="209" w:lineRule="auto"/>
              <w:ind w:firstLine="0"/>
              <w:jc w:val="center"/>
              <w:rPr>
                <w:sz w:val="24"/>
                <w:szCs w:val="24"/>
              </w:rPr>
            </w:pPr>
            <w:r>
              <w:rPr>
                <w:rFonts w:ascii="Arial" w:eastAsia="Arial" w:hAnsi="Arial" w:cs="Arial"/>
                <w:b/>
                <w:bCs/>
                <w:color w:val="FFFFFF"/>
                <w:w w:val="70"/>
                <w:sz w:val="24"/>
                <w:szCs w:val="24"/>
              </w:rPr>
              <w:t>de Administración</w:t>
            </w:r>
          </w:p>
        </w:tc>
      </w:tr>
      <w:tr w:rsidR="00924992" w14:paraId="5FF83D95" w14:textId="77777777">
        <w:tblPrEx>
          <w:tblCellMar>
            <w:top w:w="0" w:type="dxa"/>
            <w:bottom w:w="0" w:type="dxa"/>
          </w:tblCellMar>
        </w:tblPrEx>
        <w:trPr>
          <w:trHeight w:hRule="exact" w:val="499"/>
        </w:trPr>
        <w:tc>
          <w:tcPr>
            <w:tcW w:w="1829" w:type="dxa"/>
            <w:shd w:val="clear" w:color="auto" w:fill="FFFFFF"/>
            <w:vAlign w:val="center"/>
          </w:tcPr>
          <w:p w14:paraId="175685A5" w14:textId="77777777" w:rsidR="00924992" w:rsidRDefault="00924992">
            <w:pPr>
              <w:pStyle w:val="Other0"/>
              <w:framePr w:w="11448" w:h="2280" w:wrap="none" w:hAnchor="page" w:x="625" w:y="11"/>
              <w:spacing w:line="240" w:lineRule="auto"/>
              <w:ind w:firstLine="0"/>
              <w:rPr>
                <w:sz w:val="16"/>
                <w:szCs w:val="16"/>
              </w:rPr>
            </w:pPr>
            <w:r>
              <w:rPr>
                <w:rFonts w:ascii="Times New Roman" w:eastAsia="Times New Roman" w:hAnsi="Times New Roman" w:cs="Times New Roman"/>
                <w:color w:val="000000"/>
                <w:sz w:val="16"/>
                <w:szCs w:val="16"/>
              </w:rPr>
              <w:t>Fomivirsen (Vitravene)</w:t>
            </w:r>
          </w:p>
        </w:tc>
        <w:tc>
          <w:tcPr>
            <w:tcW w:w="9619" w:type="dxa"/>
            <w:shd w:val="clear" w:color="auto" w:fill="FFFFFF"/>
            <w:vAlign w:val="bottom"/>
          </w:tcPr>
          <w:p w14:paraId="6D51D8B7" w14:textId="77777777" w:rsidR="00924992" w:rsidRDefault="00924992">
            <w:pPr>
              <w:pStyle w:val="Other0"/>
              <w:framePr w:w="11448" w:h="2280" w:wrap="none" w:hAnchor="page" w:x="625" w:y="11"/>
              <w:tabs>
                <w:tab w:val="left" w:pos="3320"/>
                <w:tab w:val="left" w:pos="5000"/>
              </w:tabs>
              <w:spacing w:line="240" w:lineRule="auto"/>
              <w:ind w:firstLine="200"/>
              <w:rPr>
                <w:sz w:val="16"/>
                <w:szCs w:val="16"/>
              </w:rPr>
            </w:pPr>
            <w:r>
              <w:rPr>
                <w:rFonts w:ascii="Times New Roman" w:eastAsia="Times New Roman" w:hAnsi="Times New Roman" w:cs="Times New Roman"/>
                <w:color w:val="000000"/>
                <w:sz w:val="16"/>
                <w:szCs w:val="16"/>
              </w:rPr>
              <w:t>Retinitis por CMV</w:t>
            </w:r>
            <w:r>
              <w:rPr>
                <w:rFonts w:ascii="Times New Roman" w:eastAsia="Times New Roman" w:hAnsi="Times New Roman" w:cs="Times New Roman"/>
                <w:color w:val="000000"/>
                <w:sz w:val="16"/>
                <w:szCs w:val="16"/>
              </w:rPr>
              <w:tab/>
              <w:t>IO</w:t>
            </w:r>
            <w:r>
              <w:rPr>
                <w:rFonts w:ascii="Times New Roman" w:eastAsia="Times New Roman" w:hAnsi="Times New Roman" w:cs="Times New Roman"/>
                <w:color w:val="000000"/>
                <w:sz w:val="16"/>
                <w:szCs w:val="16"/>
              </w:rPr>
              <w:tab/>
              <w:t>Una ampolleta (330 mg) inyectada en el vítreo; repetir cada 2 a 4</w:t>
            </w:r>
          </w:p>
          <w:p w14:paraId="77F3D325" w14:textId="77777777" w:rsidR="00924992" w:rsidRDefault="00924992">
            <w:pPr>
              <w:pStyle w:val="Other0"/>
              <w:framePr w:w="11448" w:h="2280" w:wrap="none" w:hAnchor="page" w:x="625" w:y="11"/>
              <w:spacing w:line="240" w:lineRule="auto"/>
              <w:ind w:left="5120" w:firstLine="0"/>
              <w:rPr>
                <w:sz w:val="16"/>
                <w:szCs w:val="16"/>
              </w:rPr>
            </w:pPr>
            <w:r>
              <w:rPr>
                <w:rFonts w:ascii="Times New Roman" w:eastAsia="Times New Roman" w:hAnsi="Times New Roman" w:cs="Times New Roman"/>
                <w:color w:val="000000"/>
                <w:sz w:val="16"/>
                <w:szCs w:val="16"/>
              </w:rPr>
              <w:t>semanas.</w:t>
            </w:r>
          </w:p>
        </w:tc>
      </w:tr>
      <w:tr w:rsidR="00924992" w14:paraId="7A2AE3D0" w14:textId="77777777">
        <w:tblPrEx>
          <w:tblCellMar>
            <w:top w:w="0" w:type="dxa"/>
            <w:bottom w:w="0" w:type="dxa"/>
          </w:tblCellMar>
        </w:tblPrEx>
        <w:trPr>
          <w:trHeight w:hRule="exact" w:val="898"/>
        </w:trPr>
        <w:tc>
          <w:tcPr>
            <w:tcW w:w="1829" w:type="dxa"/>
            <w:shd w:val="clear" w:color="auto" w:fill="FFFFFF"/>
          </w:tcPr>
          <w:p w14:paraId="515F62CE" w14:textId="77777777" w:rsidR="00924992" w:rsidRDefault="00924992">
            <w:pPr>
              <w:pStyle w:val="Other0"/>
              <w:framePr w:w="11448" w:h="2280" w:wrap="none" w:hAnchor="page" w:x="625" w:y="11"/>
              <w:spacing w:line="240" w:lineRule="auto"/>
              <w:ind w:firstLine="0"/>
              <w:rPr>
                <w:sz w:val="16"/>
                <w:szCs w:val="16"/>
              </w:rPr>
            </w:pPr>
            <w:r>
              <w:rPr>
                <w:rFonts w:ascii="Times New Roman" w:eastAsia="Times New Roman" w:hAnsi="Times New Roman" w:cs="Times New Roman"/>
                <w:color w:val="000000"/>
                <w:sz w:val="16"/>
                <w:szCs w:val="16"/>
              </w:rPr>
              <w:t>Foscarnet</w:t>
            </w:r>
            <w:r>
              <w:rPr>
                <w:rFonts w:ascii="Times New Roman" w:eastAsia="Times New Roman" w:hAnsi="Times New Roman" w:cs="Times New Roman"/>
                <w:color w:val="000000"/>
                <w:sz w:val="16"/>
                <w:szCs w:val="16"/>
                <w:vertAlign w:val="superscript"/>
              </w:rPr>
              <w:t>1</w:t>
            </w:r>
            <w:r>
              <w:rPr>
                <w:rFonts w:ascii="Times New Roman" w:eastAsia="Times New Roman" w:hAnsi="Times New Roman" w:cs="Times New Roman"/>
                <w:color w:val="000000"/>
                <w:sz w:val="16"/>
                <w:szCs w:val="16"/>
              </w:rPr>
              <w:t xml:space="preserve"> (Foscavir)</w:t>
            </w:r>
          </w:p>
        </w:tc>
        <w:tc>
          <w:tcPr>
            <w:tcW w:w="9619" w:type="dxa"/>
            <w:shd w:val="clear" w:color="auto" w:fill="FFFFFF"/>
            <w:vAlign w:val="bottom"/>
          </w:tcPr>
          <w:p w14:paraId="535E6555" w14:textId="77777777" w:rsidR="00924992" w:rsidRDefault="00924992">
            <w:pPr>
              <w:pStyle w:val="Other0"/>
              <w:framePr w:w="11448" w:h="2280" w:wrap="none" w:hAnchor="page" w:x="625" w:y="11"/>
              <w:tabs>
                <w:tab w:val="left" w:pos="3282"/>
                <w:tab w:val="left" w:pos="4976"/>
              </w:tabs>
              <w:spacing w:line="240" w:lineRule="auto"/>
              <w:ind w:firstLine="200"/>
              <w:rPr>
                <w:sz w:val="16"/>
                <w:szCs w:val="16"/>
              </w:rPr>
            </w:pPr>
            <w:r>
              <w:rPr>
                <w:rFonts w:ascii="Times New Roman" w:eastAsia="Times New Roman" w:hAnsi="Times New Roman" w:cs="Times New Roman"/>
                <w:color w:val="000000"/>
                <w:sz w:val="16"/>
                <w:szCs w:val="16"/>
              </w:rPr>
              <w:t>Retinitis por CMV en personas con</w:t>
            </w:r>
            <w:r>
              <w:rPr>
                <w:rFonts w:ascii="Times New Roman" w:eastAsia="Times New Roman" w:hAnsi="Times New Roman" w:cs="Times New Roman"/>
                <w:color w:val="000000"/>
                <w:sz w:val="16"/>
                <w:szCs w:val="16"/>
              </w:rPr>
              <w:tab/>
              <w:t>IV</w:t>
            </w:r>
            <w:r>
              <w:rPr>
                <w:rFonts w:ascii="Times New Roman" w:eastAsia="Times New Roman" w:hAnsi="Times New Roman" w:cs="Times New Roman"/>
                <w:color w:val="000000"/>
                <w:sz w:val="16"/>
                <w:szCs w:val="16"/>
              </w:rPr>
              <w:tab/>
              <w:t>180 mg/kg al día en 3 fracciones durante 14 a 21 días; seguir</w:t>
            </w:r>
          </w:p>
          <w:p w14:paraId="67624851" w14:textId="77777777" w:rsidR="00924992" w:rsidRDefault="00924992">
            <w:pPr>
              <w:pStyle w:val="Other0"/>
              <w:framePr w:w="11448" w:h="2280" w:wrap="none" w:hAnchor="page" w:x="625" w:y="11"/>
              <w:tabs>
                <w:tab w:val="left" w:pos="5105"/>
              </w:tabs>
              <w:spacing w:line="240" w:lineRule="auto"/>
              <w:ind w:firstLine="300"/>
              <w:rPr>
                <w:sz w:val="16"/>
                <w:szCs w:val="16"/>
              </w:rPr>
            </w:pPr>
            <w:r>
              <w:rPr>
                <w:rFonts w:ascii="Times New Roman" w:eastAsia="Times New Roman" w:hAnsi="Times New Roman" w:cs="Times New Roman"/>
                <w:color w:val="000000"/>
                <w:sz w:val="16"/>
                <w:szCs w:val="16"/>
              </w:rPr>
              <w:t>síndrome de inmunodeficiencia adquirida</w:t>
            </w:r>
            <w:r>
              <w:rPr>
                <w:rFonts w:ascii="Times New Roman" w:eastAsia="Times New Roman" w:hAnsi="Times New Roman" w:cs="Times New Roman"/>
                <w:color w:val="000000"/>
                <w:sz w:val="16"/>
                <w:szCs w:val="16"/>
              </w:rPr>
              <w:tab/>
              <w:t>con 90 a 120 mg/kg una vez al día, como dosis de sostén.</w:t>
            </w:r>
          </w:p>
          <w:p w14:paraId="407D2E7B" w14:textId="77777777" w:rsidR="00924992" w:rsidRDefault="00924992">
            <w:pPr>
              <w:pStyle w:val="Other0"/>
              <w:framePr w:w="11448" w:h="2280" w:wrap="none" w:hAnchor="page" w:x="625" w:y="11"/>
              <w:tabs>
                <w:tab w:val="left" w:pos="3282"/>
                <w:tab w:val="left" w:pos="4976"/>
              </w:tabs>
              <w:spacing w:line="240" w:lineRule="auto"/>
              <w:ind w:firstLine="200"/>
              <w:rPr>
                <w:sz w:val="16"/>
                <w:szCs w:val="16"/>
              </w:rPr>
            </w:pPr>
            <w:r>
              <w:rPr>
                <w:rFonts w:ascii="Times New Roman" w:eastAsia="Times New Roman" w:hAnsi="Times New Roman" w:cs="Times New Roman"/>
                <w:color w:val="000000"/>
                <w:sz w:val="16"/>
                <w:szCs w:val="16"/>
              </w:rPr>
              <w:t>Infección por HSV resistente a aciclovir</w:t>
            </w:r>
            <w:r>
              <w:rPr>
                <w:rFonts w:ascii="Times New Roman" w:eastAsia="Times New Roman" w:hAnsi="Times New Roman" w:cs="Times New Roman"/>
                <w:color w:val="000000"/>
                <w:sz w:val="16"/>
                <w:szCs w:val="16"/>
              </w:rPr>
              <w:tab/>
              <w:t>IV</w:t>
            </w:r>
            <w:r>
              <w:rPr>
                <w:rFonts w:ascii="Times New Roman" w:eastAsia="Times New Roman" w:hAnsi="Times New Roman" w:cs="Times New Roman"/>
                <w:color w:val="000000"/>
                <w:sz w:val="16"/>
                <w:szCs w:val="16"/>
              </w:rPr>
              <w:tab/>
              <w:t>80-120 mg/kg al día en 2 a 3 fracciones hasta la resolución</w:t>
            </w:r>
          </w:p>
          <w:p w14:paraId="1D6D0378" w14:textId="77777777" w:rsidR="00924992" w:rsidRDefault="00924992">
            <w:pPr>
              <w:pStyle w:val="Other0"/>
              <w:framePr w:w="11448" w:h="2280" w:wrap="none" w:hAnchor="page" w:x="625" w:y="11"/>
              <w:tabs>
                <w:tab w:val="left" w:pos="5105"/>
              </w:tabs>
              <w:spacing w:line="240" w:lineRule="auto"/>
              <w:ind w:firstLine="300"/>
              <w:rPr>
                <w:sz w:val="16"/>
                <w:szCs w:val="16"/>
              </w:rPr>
            </w:pPr>
            <w:r>
              <w:rPr>
                <w:rFonts w:ascii="Times New Roman" w:eastAsia="Times New Roman" w:hAnsi="Times New Roman" w:cs="Times New Roman"/>
                <w:color w:val="000000"/>
                <w:sz w:val="16"/>
                <w:szCs w:val="16"/>
              </w:rPr>
              <w:t>en hospedador inmunodeficiente</w:t>
            </w:r>
            <w:r>
              <w:rPr>
                <w:rFonts w:ascii="Times New Roman" w:eastAsia="Times New Roman" w:hAnsi="Times New Roman" w:cs="Times New Roman"/>
                <w:color w:val="000000"/>
                <w:sz w:val="16"/>
                <w:szCs w:val="16"/>
              </w:rPr>
              <w:tab/>
              <w:t>de la infección.</w:t>
            </w:r>
          </w:p>
        </w:tc>
      </w:tr>
    </w:tbl>
    <w:p w14:paraId="5A729EDE" w14:textId="77777777" w:rsidR="00924992" w:rsidRDefault="00924992">
      <w:pPr>
        <w:framePr w:w="11448" w:h="2280" w:wrap="none" w:hAnchor="page" w:x="625" w:y="11"/>
        <w:spacing w:line="1" w:lineRule="exact"/>
      </w:pPr>
    </w:p>
    <w:tbl>
      <w:tblPr>
        <w:tblOverlap w:val="never"/>
        <w:tblW w:w="0" w:type="auto"/>
        <w:tblLayout w:type="fixed"/>
        <w:tblCellMar>
          <w:left w:w="10" w:type="dxa"/>
          <w:right w:w="10" w:type="dxa"/>
        </w:tblCellMar>
        <w:tblLook w:val="04A0" w:firstRow="1" w:lastRow="0" w:firstColumn="1" w:lastColumn="0" w:noHBand="0" w:noVBand="1"/>
      </w:tblPr>
      <w:tblGrid>
        <w:gridCol w:w="1949"/>
        <w:gridCol w:w="2990"/>
        <w:gridCol w:w="571"/>
      </w:tblGrid>
      <w:tr w:rsidR="00924992" w14:paraId="5C8E5D78" w14:textId="77777777">
        <w:tblPrEx>
          <w:tblCellMar>
            <w:top w:w="0" w:type="dxa"/>
            <w:bottom w:w="0" w:type="dxa"/>
          </w:tblCellMar>
        </w:tblPrEx>
        <w:trPr>
          <w:trHeight w:hRule="exact" w:val="552"/>
        </w:trPr>
        <w:tc>
          <w:tcPr>
            <w:tcW w:w="1949" w:type="dxa"/>
            <w:shd w:val="clear" w:color="auto" w:fill="FFFFFF"/>
          </w:tcPr>
          <w:p w14:paraId="7A4591AC" w14:textId="77777777" w:rsidR="00924992" w:rsidRDefault="00924992">
            <w:pPr>
              <w:pStyle w:val="Other0"/>
              <w:framePr w:w="5510" w:h="1541" w:hSpace="53" w:vSpace="432" w:wrap="none" w:hAnchor="page" w:x="625" w:y="2487"/>
              <w:spacing w:line="240" w:lineRule="auto"/>
              <w:ind w:firstLine="0"/>
              <w:rPr>
                <w:sz w:val="16"/>
                <w:szCs w:val="16"/>
              </w:rPr>
            </w:pPr>
            <w:r>
              <w:rPr>
                <w:rFonts w:ascii="Times New Roman" w:eastAsia="Times New Roman" w:hAnsi="Times New Roman" w:cs="Times New Roman"/>
                <w:color w:val="000000"/>
                <w:sz w:val="16"/>
                <w:szCs w:val="16"/>
              </w:rPr>
              <w:t>Ganciclovir (Cytovene)</w:t>
            </w:r>
          </w:p>
        </w:tc>
        <w:tc>
          <w:tcPr>
            <w:tcW w:w="2990" w:type="dxa"/>
            <w:shd w:val="clear" w:color="auto" w:fill="FFFFFF"/>
          </w:tcPr>
          <w:p w14:paraId="59F26A52" w14:textId="77777777" w:rsidR="00924992" w:rsidRDefault="00924992">
            <w:pPr>
              <w:pStyle w:val="Other0"/>
              <w:framePr w:w="5510" w:h="1541" w:hSpace="53" w:vSpace="432" w:wrap="none" w:hAnchor="page" w:x="625" w:y="2487"/>
              <w:spacing w:line="295" w:lineRule="auto"/>
              <w:ind w:left="180" w:hanging="180"/>
              <w:rPr>
                <w:sz w:val="16"/>
                <w:szCs w:val="16"/>
              </w:rPr>
            </w:pPr>
            <w:r>
              <w:rPr>
                <w:rFonts w:ascii="Times New Roman" w:eastAsia="Times New Roman" w:hAnsi="Times New Roman" w:cs="Times New Roman"/>
                <w:color w:val="000000"/>
                <w:sz w:val="16"/>
                <w:szCs w:val="16"/>
              </w:rPr>
              <w:t>Retinitis adquirida por CMV en el hospedador inmunodeficiente</w:t>
            </w:r>
            <w:r>
              <w:rPr>
                <w:rFonts w:ascii="Times New Roman" w:eastAsia="Times New Roman" w:hAnsi="Times New Roman" w:cs="Times New Roman"/>
                <w:color w:val="000000"/>
                <w:sz w:val="16"/>
                <w:szCs w:val="16"/>
                <w:vertAlign w:val="superscript"/>
              </w:rPr>
              <w:t>4</w:t>
            </w:r>
          </w:p>
        </w:tc>
        <w:tc>
          <w:tcPr>
            <w:tcW w:w="571" w:type="dxa"/>
            <w:shd w:val="clear" w:color="auto" w:fill="FFFFFF"/>
          </w:tcPr>
          <w:p w14:paraId="43E5A8ED" w14:textId="77777777" w:rsidR="00924992" w:rsidRDefault="00924992">
            <w:pPr>
              <w:pStyle w:val="Other0"/>
              <w:framePr w:w="5510" w:h="1541" w:hSpace="53" w:vSpace="432" w:wrap="none" w:hAnchor="page" w:x="625" w:y="2487"/>
              <w:spacing w:line="240" w:lineRule="auto"/>
              <w:ind w:right="140" w:firstLine="0"/>
              <w:jc w:val="right"/>
              <w:rPr>
                <w:sz w:val="16"/>
                <w:szCs w:val="16"/>
              </w:rPr>
            </w:pPr>
            <w:r>
              <w:rPr>
                <w:rFonts w:ascii="Times New Roman" w:eastAsia="Times New Roman" w:hAnsi="Times New Roman" w:cs="Times New Roman"/>
                <w:color w:val="000000"/>
                <w:sz w:val="16"/>
                <w:szCs w:val="16"/>
              </w:rPr>
              <w:t>IV</w:t>
            </w:r>
          </w:p>
        </w:tc>
      </w:tr>
      <w:tr w:rsidR="00924992" w14:paraId="449A06F0" w14:textId="77777777">
        <w:tblPrEx>
          <w:tblCellMar>
            <w:top w:w="0" w:type="dxa"/>
            <w:bottom w:w="0" w:type="dxa"/>
          </w:tblCellMar>
        </w:tblPrEx>
        <w:trPr>
          <w:trHeight w:hRule="exact" w:val="326"/>
        </w:trPr>
        <w:tc>
          <w:tcPr>
            <w:tcW w:w="1949" w:type="dxa"/>
            <w:shd w:val="clear" w:color="auto" w:fill="FFFFFF"/>
          </w:tcPr>
          <w:p w14:paraId="5CA4A879" w14:textId="77777777" w:rsidR="00924992" w:rsidRDefault="00924992">
            <w:pPr>
              <w:framePr w:w="5510" w:h="1541" w:hSpace="53" w:vSpace="432" w:wrap="none" w:hAnchor="page" w:x="625" w:y="2487"/>
              <w:rPr>
                <w:sz w:val="10"/>
                <w:szCs w:val="10"/>
              </w:rPr>
            </w:pPr>
          </w:p>
        </w:tc>
        <w:tc>
          <w:tcPr>
            <w:tcW w:w="2990" w:type="dxa"/>
            <w:shd w:val="clear" w:color="auto" w:fill="FFFFFF"/>
            <w:vAlign w:val="bottom"/>
          </w:tcPr>
          <w:p w14:paraId="33E008AB" w14:textId="77777777" w:rsidR="00924992" w:rsidRDefault="00924992">
            <w:pPr>
              <w:pStyle w:val="Other0"/>
              <w:framePr w:w="5510" w:h="1541" w:hSpace="53" w:vSpace="432" w:wrap="none" w:hAnchor="page" w:x="625" w:y="2487"/>
              <w:spacing w:line="240" w:lineRule="auto"/>
              <w:ind w:firstLine="0"/>
              <w:rPr>
                <w:sz w:val="16"/>
                <w:szCs w:val="16"/>
              </w:rPr>
            </w:pPr>
            <w:r>
              <w:rPr>
                <w:rFonts w:ascii="Times New Roman" w:eastAsia="Times New Roman" w:hAnsi="Times New Roman" w:cs="Times New Roman"/>
                <w:color w:val="000000"/>
                <w:sz w:val="16"/>
                <w:szCs w:val="16"/>
              </w:rPr>
              <w:t>Profilaxia contra CMV en hospedador</w:t>
            </w:r>
          </w:p>
        </w:tc>
        <w:tc>
          <w:tcPr>
            <w:tcW w:w="571" w:type="dxa"/>
            <w:shd w:val="clear" w:color="auto" w:fill="FFFFFF"/>
            <w:vAlign w:val="bottom"/>
          </w:tcPr>
          <w:p w14:paraId="34B95260" w14:textId="77777777" w:rsidR="00924992" w:rsidRDefault="00924992">
            <w:pPr>
              <w:pStyle w:val="Other0"/>
              <w:framePr w:w="5510" w:h="1541" w:hSpace="53" w:vSpace="432" w:wrap="none" w:hAnchor="page" w:x="625" w:y="2487"/>
              <w:spacing w:line="240" w:lineRule="auto"/>
              <w:ind w:right="140" w:firstLine="0"/>
              <w:jc w:val="right"/>
              <w:rPr>
                <w:sz w:val="16"/>
                <w:szCs w:val="16"/>
              </w:rPr>
            </w:pPr>
            <w:r>
              <w:rPr>
                <w:rFonts w:ascii="Times New Roman" w:eastAsia="Times New Roman" w:hAnsi="Times New Roman" w:cs="Times New Roman"/>
                <w:color w:val="000000"/>
                <w:sz w:val="16"/>
                <w:szCs w:val="16"/>
              </w:rPr>
              <w:t>IV</w:t>
            </w:r>
          </w:p>
        </w:tc>
      </w:tr>
      <w:tr w:rsidR="00924992" w14:paraId="0909F136" w14:textId="77777777">
        <w:tblPrEx>
          <w:tblCellMar>
            <w:top w:w="0" w:type="dxa"/>
            <w:bottom w:w="0" w:type="dxa"/>
          </w:tblCellMar>
        </w:tblPrEx>
        <w:trPr>
          <w:trHeight w:hRule="exact" w:val="413"/>
        </w:trPr>
        <w:tc>
          <w:tcPr>
            <w:tcW w:w="1949" w:type="dxa"/>
            <w:shd w:val="clear" w:color="auto" w:fill="FFFFFF"/>
          </w:tcPr>
          <w:p w14:paraId="64090BC3" w14:textId="77777777" w:rsidR="00924992" w:rsidRDefault="00924992">
            <w:pPr>
              <w:framePr w:w="5510" w:h="1541" w:hSpace="53" w:vSpace="432" w:wrap="none" w:hAnchor="page" w:x="625" w:y="2487"/>
              <w:rPr>
                <w:sz w:val="10"/>
                <w:szCs w:val="10"/>
              </w:rPr>
            </w:pPr>
          </w:p>
        </w:tc>
        <w:tc>
          <w:tcPr>
            <w:tcW w:w="2990" w:type="dxa"/>
            <w:shd w:val="clear" w:color="auto" w:fill="FFFFFF"/>
          </w:tcPr>
          <w:p w14:paraId="4A152B3B" w14:textId="77777777" w:rsidR="00924992" w:rsidRDefault="00924992">
            <w:pPr>
              <w:pStyle w:val="Other0"/>
              <w:framePr w:w="5510" w:h="1541" w:hSpace="53" w:vSpace="432" w:wrap="none" w:hAnchor="page" w:x="625" w:y="2487"/>
              <w:spacing w:line="240" w:lineRule="auto"/>
              <w:ind w:firstLine="180"/>
              <w:rPr>
                <w:sz w:val="16"/>
                <w:szCs w:val="16"/>
              </w:rPr>
            </w:pPr>
            <w:r>
              <w:rPr>
                <w:rFonts w:ascii="Times New Roman" w:eastAsia="Times New Roman" w:hAnsi="Times New Roman" w:cs="Times New Roman"/>
                <w:color w:val="000000"/>
                <w:sz w:val="16"/>
                <w:szCs w:val="16"/>
              </w:rPr>
              <w:t>de alto riesgo</w:t>
            </w:r>
          </w:p>
        </w:tc>
        <w:tc>
          <w:tcPr>
            <w:tcW w:w="571" w:type="dxa"/>
            <w:shd w:val="clear" w:color="auto" w:fill="FFFFFF"/>
            <w:vAlign w:val="bottom"/>
          </w:tcPr>
          <w:p w14:paraId="292845C9" w14:textId="77777777" w:rsidR="00924992" w:rsidRDefault="00924992">
            <w:pPr>
              <w:pStyle w:val="Other0"/>
              <w:framePr w:w="5510" w:h="1541" w:hSpace="53" w:vSpace="432" w:wrap="none" w:hAnchor="page" w:x="625" w:y="2487"/>
              <w:spacing w:line="240" w:lineRule="auto"/>
              <w:ind w:firstLine="220"/>
              <w:rPr>
                <w:sz w:val="16"/>
                <w:szCs w:val="16"/>
              </w:rPr>
            </w:pPr>
            <w:r>
              <w:rPr>
                <w:rFonts w:ascii="Times New Roman" w:eastAsia="Times New Roman" w:hAnsi="Times New Roman" w:cs="Times New Roman"/>
                <w:color w:val="000000"/>
                <w:sz w:val="16"/>
                <w:szCs w:val="16"/>
              </w:rPr>
              <w:t>Oral</w:t>
            </w:r>
          </w:p>
        </w:tc>
      </w:tr>
      <w:tr w:rsidR="00924992" w14:paraId="504916E8" w14:textId="77777777">
        <w:tblPrEx>
          <w:tblCellMar>
            <w:top w:w="0" w:type="dxa"/>
            <w:bottom w:w="0" w:type="dxa"/>
          </w:tblCellMar>
        </w:tblPrEx>
        <w:trPr>
          <w:trHeight w:hRule="exact" w:val="250"/>
        </w:trPr>
        <w:tc>
          <w:tcPr>
            <w:tcW w:w="1949" w:type="dxa"/>
            <w:shd w:val="clear" w:color="auto" w:fill="FFFFFF"/>
          </w:tcPr>
          <w:p w14:paraId="5D775924" w14:textId="77777777" w:rsidR="00924992" w:rsidRDefault="00924992">
            <w:pPr>
              <w:pStyle w:val="Other0"/>
              <w:framePr w:w="5510" w:h="1541" w:hSpace="53" w:vSpace="432" w:wrap="none" w:hAnchor="page" w:x="625" w:y="2487"/>
              <w:spacing w:line="240" w:lineRule="auto"/>
              <w:ind w:firstLine="0"/>
              <w:rPr>
                <w:sz w:val="16"/>
                <w:szCs w:val="16"/>
              </w:rPr>
            </w:pPr>
            <w:r>
              <w:rPr>
                <w:rFonts w:ascii="Times New Roman" w:eastAsia="Times New Roman" w:hAnsi="Times New Roman" w:cs="Times New Roman"/>
                <w:color w:val="000000"/>
                <w:sz w:val="16"/>
                <w:szCs w:val="16"/>
              </w:rPr>
              <w:t>Lamivudina (Epivir-HBV)</w:t>
            </w:r>
          </w:p>
        </w:tc>
        <w:tc>
          <w:tcPr>
            <w:tcW w:w="2990" w:type="dxa"/>
            <w:shd w:val="clear" w:color="auto" w:fill="FFFFFF"/>
          </w:tcPr>
          <w:p w14:paraId="46A3A094" w14:textId="77777777" w:rsidR="00924992" w:rsidRDefault="00924992">
            <w:pPr>
              <w:pStyle w:val="Other0"/>
              <w:framePr w:w="5510" w:h="1541" w:hSpace="53" w:vSpace="432" w:wrap="none" w:hAnchor="page" w:x="625" w:y="2487"/>
              <w:spacing w:line="240" w:lineRule="auto"/>
              <w:ind w:firstLine="0"/>
              <w:rPr>
                <w:sz w:val="16"/>
                <w:szCs w:val="16"/>
              </w:rPr>
            </w:pPr>
            <w:r>
              <w:rPr>
                <w:rFonts w:ascii="Times New Roman" w:eastAsia="Times New Roman" w:hAnsi="Times New Roman" w:cs="Times New Roman"/>
                <w:color w:val="000000"/>
                <w:sz w:val="16"/>
                <w:szCs w:val="16"/>
              </w:rPr>
              <w:t>Tratamiento de la hepatitis B crónica</w:t>
            </w:r>
          </w:p>
        </w:tc>
        <w:tc>
          <w:tcPr>
            <w:tcW w:w="571" w:type="dxa"/>
            <w:shd w:val="clear" w:color="auto" w:fill="FFFFFF"/>
          </w:tcPr>
          <w:p w14:paraId="0E543A31" w14:textId="77777777" w:rsidR="00924992" w:rsidRDefault="00924992">
            <w:pPr>
              <w:pStyle w:val="Other0"/>
              <w:framePr w:w="5510" w:h="1541" w:hSpace="53" w:vSpace="432" w:wrap="none" w:hAnchor="page" w:x="625" w:y="2487"/>
              <w:spacing w:line="240" w:lineRule="auto"/>
              <w:ind w:firstLine="220"/>
              <w:rPr>
                <w:sz w:val="16"/>
                <w:szCs w:val="16"/>
              </w:rPr>
            </w:pPr>
            <w:r>
              <w:rPr>
                <w:rFonts w:ascii="Times New Roman" w:eastAsia="Times New Roman" w:hAnsi="Times New Roman" w:cs="Times New Roman"/>
                <w:color w:val="000000"/>
                <w:sz w:val="16"/>
                <w:szCs w:val="16"/>
              </w:rPr>
              <w:t>Oral</w:t>
            </w:r>
          </w:p>
        </w:tc>
      </w:tr>
    </w:tbl>
    <w:p w14:paraId="1F00A976" w14:textId="77777777" w:rsidR="00924992" w:rsidRDefault="00924992">
      <w:pPr>
        <w:framePr w:w="5510" w:h="1541" w:hSpace="53" w:vSpace="432" w:wrap="none" w:hAnchor="page" w:x="625" w:y="2487"/>
        <w:spacing w:line="1" w:lineRule="exact"/>
      </w:pPr>
    </w:p>
    <w:p w14:paraId="7771CBE9" w14:textId="77777777" w:rsidR="00924992" w:rsidRDefault="00924992">
      <w:pPr>
        <w:pStyle w:val="Tablecaption0"/>
        <w:framePr w:w="5563" w:h="230" w:wrap="none" w:hAnchor="page" w:x="625" w:y="4229"/>
        <w:tabs>
          <w:tab w:val="left" w:pos="5102"/>
        </w:tabs>
        <w:spacing w:line="240" w:lineRule="auto"/>
        <w:ind w:left="0"/>
        <w:rPr>
          <w:sz w:val="16"/>
          <w:szCs w:val="16"/>
        </w:rPr>
      </w:pPr>
      <w:r>
        <w:rPr>
          <w:color w:val="000000"/>
          <w:sz w:val="16"/>
          <w:szCs w:val="16"/>
        </w:rPr>
        <w:t>Oseltamivir (Tamiflu) Influenza A y B: tratamiento</w:t>
      </w:r>
      <w:r>
        <w:rPr>
          <w:color w:val="000000"/>
          <w:sz w:val="16"/>
          <w:szCs w:val="16"/>
        </w:rPr>
        <w:tab/>
        <w:t>Oral</w:t>
      </w:r>
      <w:r>
        <w:rPr>
          <w:color w:val="000000"/>
          <w:sz w:val="16"/>
          <w:szCs w:val="16"/>
          <w:vertAlign w:val="superscript"/>
        </w:rPr>
        <w:t>5</w:t>
      </w:r>
    </w:p>
    <w:tbl>
      <w:tblPr>
        <w:tblOverlap w:val="never"/>
        <w:tblW w:w="0" w:type="auto"/>
        <w:tblLayout w:type="fixed"/>
        <w:tblCellMar>
          <w:left w:w="10" w:type="dxa"/>
          <w:right w:w="10" w:type="dxa"/>
        </w:tblCellMar>
        <w:tblLook w:val="04A0" w:firstRow="1" w:lastRow="0" w:firstColumn="1" w:lastColumn="0" w:noHBand="0" w:noVBand="1"/>
      </w:tblPr>
      <w:tblGrid>
        <w:gridCol w:w="1752"/>
        <w:gridCol w:w="3139"/>
        <w:gridCol w:w="816"/>
      </w:tblGrid>
      <w:tr w:rsidR="00924992" w14:paraId="450630F1" w14:textId="77777777">
        <w:tblPrEx>
          <w:tblCellMar>
            <w:top w:w="0" w:type="dxa"/>
            <w:bottom w:w="0" w:type="dxa"/>
          </w:tblCellMar>
        </w:tblPrEx>
        <w:trPr>
          <w:trHeight w:hRule="exact" w:val="221"/>
        </w:trPr>
        <w:tc>
          <w:tcPr>
            <w:tcW w:w="1752" w:type="dxa"/>
            <w:shd w:val="clear" w:color="auto" w:fill="FFFFFF"/>
          </w:tcPr>
          <w:p w14:paraId="63A8A4C0" w14:textId="77777777" w:rsidR="00924992" w:rsidRDefault="00924992">
            <w:pPr>
              <w:framePr w:w="5707" w:h="672" w:wrap="none" w:hAnchor="page" w:x="625" w:y="5315"/>
              <w:rPr>
                <w:sz w:val="10"/>
                <w:szCs w:val="10"/>
              </w:rPr>
            </w:pPr>
          </w:p>
        </w:tc>
        <w:tc>
          <w:tcPr>
            <w:tcW w:w="3139" w:type="dxa"/>
            <w:shd w:val="clear" w:color="auto" w:fill="FFFFFF"/>
          </w:tcPr>
          <w:p w14:paraId="57C5445F" w14:textId="77777777" w:rsidR="00924992" w:rsidRDefault="00924992">
            <w:pPr>
              <w:pStyle w:val="Other0"/>
              <w:framePr w:w="5707" w:h="672" w:wrap="none" w:hAnchor="page" w:x="625" w:y="5315"/>
              <w:spacing w:line="240" w:lineRule="auto"/>
              <w:ind w:firstLine="280"/>
              <w:rPr>
                <w:sz w:val="16"/>
                <w:szCs w:val="16"/>
              </w:rPr>
            </w:pPr>
            <w:r>
              <w:rPr>
                <w:rFonts w:ascii="Times New Roman" w:eastAsia="Times New Roman" w:hAnsi="Times New Roman" w:cs="Times New Roman"/>
                <w:color w:val="000000"/>
                <w:sz w:val="16"/>
                <w:szCs w:val="16"/>
              </w:rPr>
              <w:t>Influenza A y B: profilaxia</w:t>
            </w:r>
          </w:p>
        </w:tc>
        <w:tc>
          <w:tcPr>
            <w:tcW w:w="816" w:type="dxa"/>
            <w:shd w:val="clear" w:color="auto" w:fill="FFFFFF"/>
          </w:tcPr>
          <w:p w14:paraId="45DCDC8F" w14:textId="77777777" w:rsidR="00924992" w:rsidRDefault="00924992">
            <w:pPr>
              <w:pStyle w:val="Other0"/>
              <w:framePr w:w="5707" w:h="672" w:wrap="none" w:hAnchor="page" w:x="625" w:y="5315"/>
              <w:spacing w:line="240" w:lineRule="auto"/>
              <w:ind w:firstLine="260"/>
              <w:rPr>
                <w:sz w:val="16"/>
                <w:szCs w:val="16"/>
              </w:rPr>
            </w:pPr>
            <w:r>
              <w:rPr>
                <w:rFonts w:ascii="Times New Roman" w:eastAsia="Times New Roman" w:hAnsi="Times New Roman" w:cs="Times New Roman"/>
                <w:color w:val="000000"/>
                <w:sz w:val="16"/>
                <w:szCs w:val="16"/>
              </w:rPr>
              <w:t>Oral</w:t>
            </w:r>
            <w:r>
              <w:rPr>
                <w:rFonts w:ascii="Times New Roman" w:eastAsia="Times New Roman" w:hAnsi="Times New Roman" w:cs="Times New Roman"/>
                <w:color w:val="000000"/>
                <w:sz w:val="16"/>
                <w:szCs w:val="16"/>
                <w:vertAlign w:val="superscript"/>
              </w:rPr>
              <w:t>5</w:t>
            </w:r>
          </w:p>
        </w:tc>
      </w:tr>
      <w:tr w:rsidR="00924992" w14:paraId="4B9AE497" w14:textId="77777777">
        <w:tblPrEx>
          <w:tblCellMar>
            <w:top w:w="0" w:type="dxa"/>
            <w:bottom w:w="0" w:type="dxa"/>
          </w:tblCellMar>
        </w:tblPrEx>
        <w:trPr>
          <w:trHeight w:hRule="exact" w:val="451"/>
        </w:trPr>
        <w:tc>
          <w:tcPr>
            <w:tcW w:w="1752" w:type="dxa"/>
            <w:shd w:val="clear" w:color="auto" w:fill="FFFFFF"/>
          </w:tcPr>
          <w:p w14:paraId="199062F9" w14:textId="77777777" w:rsidR="00924992" w:rsidRDefault="00924992">
            <w:pPr>
              <w:pStyle w:val="Other0"/>
              <w:framePr w:w="5707" w:h="672" w:wrap="none" w:hAnchor="page" w:x="625" w:y="5315"/>
              <w:spacing w:line="240" w:lineRule="auto"/>
              <w:ind w:firstLine="0"/>
              <w:rPr>
                <w:sz w:val="16"/>
                <w:szCs w:val="16"/>
              </w:rPr>
            </w:pPr>
            <w:r>
              <w:rPr>
                <w:rFonts w:ascii="Times New Roman" w:eastAsia="Times New Roman" w:hAnsi="Times New Roman" w:cs="Times New Roman"/>
                <w:color w:val="000000"/>
                <w:sz w:val="16"/>
                <w:szCs w:val="16"/>
              </w:rPr>
              <w:t>Ribavirina (Virazole)</w:t>
            </w:r>
          </w:p>
        </w:tc>
        <w:tc>
          <w:tcPr>
            <w:tcW w:w="3139" w:type="dxa"/>
            <w:shd w:val="clear" w:color="auto" w:fill="FFFFFF"/>
          </w:tcPr>
          <w:p w14:paraId="5331A0A1" w14:textId="77777777" w:rsidR="00924992" w:rsidRDefault="00924992">
            <w:pPr>
              <w:pStyle w:val="Other0"/>
              <w:framePr w:w="5707" w:h="672" w:wrap="none" w:hAnchor="page" w:x="625" w:y="5315"/>
              <w:spacing w:line="283" w:lineRule="auto"/>
              <w:ind w:left="380" w:hanging="100"/>
              <w:rPr>
                <w:sz w:val="16"/>
                <w:szCs w:val="16"/>
              </w:rPr>
            </w:pPr>
            <w:r>
              <w:rPr>
                <w:rFonts w:ascii="Times New Roman" w:eastAsia="Times New Roman" w:hAnsi="Times New Roman" w:cs="Times New Roman"/>
                <w:color w:val="000000"/>
                <w:sz w:val="16"/>
                <w:szCs w:val="16"/>
              </w:rPr>
              <w:t>Tratamiento de la infección por virus sincicial respiratorio</w:t>
            </w:r>
          </w:p>
        </w:tc>
        <w:tc>
          <w:tcPr>
            <w:tcW w:w="816" w:type="dxa"/>
            <w:shd w:val="clear" w:color="auto" w:fill="FFFFFF"/>
          </w:tcPr>
          <w:p w14:paraId="31EC26D7" w14:textId="77777777" w:rsidR="00924992" w:rsidRDefault="00924992">
            <w:pPr>
              <w:pStyle w:val="Other0"/>
              <w:framePr w:w="5707" w:h="672" w:wrap="none" w:hAnchor="page" w:x="625" w:y="5315"/>
              <w:spacing w:line="240" w:lineRule="auto"/>
              <w:ind w:firstLine="260"/>
              <w:rPr>
                <w:sz w:val="16"/>
                <w:szCs w:val="16"/>
              </w:rPr>
            </w:pPr>
            <w:r>
              <w:rPr>
                <w:rFonts w:ascii="Times New Roman" w:eastAsia="Times New Roman" w:hAnsi="Times New Roman" w:cs="Times New Roman"/>
                <w:color w:val="000000"/>
                <w:sz w:val="16"/>
                <w:szCs w:val="16"/>
              </w:rPr>
              <w:t>Aerosol</w:t>
            </w:r>
          </w:p>
        </w:tc>
      </w:tr>
    </w:tbl>
    <w:p w14:paraId="10405092" w14:textId="77777777" w:rsidR="00924992" w:rsidRDefault="00924992">
      <w:pPr>
        <w:framePr w:w="5707" w:h="672" w:wrap="none" w:hAnchor="page" w:x="625" w:y="5315"/>
        <w:spacing w:line="1" w:lineRule="exact"/>
      </w:pPr>
    </w:p>
    <w:p w14:paraId="0E5FB11B" w14:textId="77777777" w:rsidR="00924992" w:rsidRDefault="00924992">
      <w:pPr>
        <w:pStyle w:val="Bodytext20"/>
        <w:framePr w:w="4618" w:h="4157" w:wrap="none" w:hAnchor="page" w:x="7455" w:y="2487"/>
      </w:pPr>
      <w:r>
        <w:rPr>
          <w:color w:val="000000"/>
        </w:rPr>
        <w:t>10 mg/kg al día en 2 fracciones durante 14 a 21 días;</w:t>
      </w:r>
    </w:p>
    <w:p w14:paraId="081A17E7" w14:textId="77777777" w:rsidR="00924992" w:rsidRDefault="00924992">
      <w:pPr>
        <w:pStyle w:val="Bodytext20"/>
        <w:framePr w:w="4618" w:h="4157" w:wrap="none" w:hAnchor="page" w:x="7455" w:y="2487"/>
      </w:pPr>
      <w:r>
        <w:rPr>
          <w:color w:val="000000"/>
        </w:rPr>
        <w:t>para supresión por largo tiempo, 5 mg/kg al día durante 5 a 7 días por semana.</w:t>
      </w:r>
    </w:p>
    <w:p w14:paraId="6C13AA25" w14:textId="77777777" w:rsidR="00924992" w:rsidRDefault="00924992">
      <w:pPr>
        <w:pStyle w:val="Bodytext20"/>
        <w:framePr w:w="4618" w:h="4157" w:wrap="none" w:hAnchor="page" w:x="7455" w:y="2487"/>
      </w:pPr>
      <w:r>
        <w:rPr>
          <w:color w:val="000000"/>
        </w:rPr>
        <w:t>10 mg/kg al día en 2 fracciones durante una semana; seguir con 5 mg/kg al día, una dosis durante 100 días.</w:t>
      </w:r>
    </w:p>
    <w:p w14:paraId="4973343E" w14:textId="77777777" w:rsidR="00924992" w:rsidRDefault="00924992">
      <w:pPr>
        <w:pStyle w:val="Bodytext20"/>
        <w:framePr w:w="4618" w:h="4157" w:wrap="none" w:hAnchor="page" w:x="7455" w:y="2487"/>
      </w:pPr>
      <w:r>
        <w:rPr>
          <w:color w:val="000000"/>
        </w:rPr>
        <w:t>1 g ingerido tres veces al día.</w:t>
      </w:r>
    </w:p>
    <w:p w14:paraId="63A81074" w14:textId="77777777" w:rsidR="00924992" w:rsidRDefault="00924992">
      <w:pPr>
        <w:pStyle w:val="Bodytext20"/>
        <w:framePr w:w="4618" w:h="4157" w:wrap="none" w:hAnchor="page" w:x="7455" w:y="2487"/>
      </w:pPr>
      <w:r>
        <w:rPr>
          <w:color w:val="000000"/>
        </w:rPr>
        <w:t>Para niños de 2 años y mayores, 3 mg/kg al día</w:t>
      </w:r>
    </w:p>
    <w:p w14:paraId="418C1B7D" w14:textId="77777777" w:rsidR="00924992" w:rsidRDefault="00924992">
      <w:pPr>
        <w:pStyle w:val="Bodytext20"/>
        <w:framePr w:w="4618" w:h="4157" w:wrap="none" w:hAnchor="page" w:x="7455" w:y="2487"/>
      </w:pPr>
      <w:r>
        <w:rPr>
          <w:color w:val="000000"/>
        </w:rPr>
        <w:t>(máximo 100 mg/día).</w:t>
      </w:r>
    </w:p>
    <w:p w14:paraId="37077316" w14:textId="77777777" w:rsidR="00924992" w:rsidRDefault="00924992">
      <w:pPr>
        <w:pStyle w:val="Bodytext20"/>
        <w:framePr w:w="4618" w:h="4157" w:wrap="none" w:hAnchor="page" w:x="7455" w:y="2487"/>
      </w:pPr>
      <w:r>
        <w:rPr>
          <w:color w:val="000000"/>
        </w:rPr>
        <w:t>Tratamiento para niños de uno a 12 años: 15 kg o menos de peso: 30 mg, dos veces al día; más de 15 kg a 23 kg: 45 mg, dos veces al día; más de 23 kg a 40 kg: 60 mg, dos veces al día; más de 40 kg: 75 mg dos veces al día. Profilaxia, 13 años o más: 75 mg dos veces al día. Véase “Influenza” (sección 3).</w:t>
      </w:r>
    </w:p>
    <w:p w14:paraId="33D6E351" w14:textId="77777777" w:rsidR="00924992" w:rsidRDefault="00924992">
      <w:pPr>
        <w:pStyle w:val="Bodytext20"/>
        <w:framePr w:w="4618" w:h="4157" w:wrap="none" w:hAnchor="page" w:x="7455" w:y="2487"/>
      </w:pPr>
      <w:r>
        <w:rPr>
          <w:color w:val="000000"/>
        </w:rPr>
        <w:t>Para adolescentes (13 años de edad o más): 75 mg al día.</w:t>
      </w:r>
    </w:p>
    <w:p w14:paraId="55DB6979" w14:textId="77777777" w:rsidR="00924992" w:rsidRDefault="00924992">
      <w:pPr>
        <w:pStyle w:val="Bodytext20"/>
        <w:framePr w:w="4618" w:h="4157" w:wrap="none" w:hAnchor="page" w:x="7455" w:y="2487"/>
      </w:pPr>
      <w:r>
        <w:rPr>
          <w:color w:val="000000"/>
        </w:rPr>
        <w:t>Se administra con un generador de partículas finas en una solución de 6 g en 300 ml de agua estéril (20 mg/ml), durante 18 h al día durante 3 a 7 días o 6 g en 100 ml de agua estéril durante 2 h, tres veces al día; en algunos pacientes se necesita a veces un tratamiento más largo.</w:t>
      </w:r>
    </w:p>
    <w:p w14:paraId="5D6A38FF" w14:textId="77777777" w:rsidR="00924992" w:rsidRDefault="00924992">
      <w:pPr>
        <w:pStyle w:val="Bodytext80"/>
        <w:framePr w:w="192" w:h="5635" w:hRule="exact" w:wrap="none" w:hAnchor="page" w:x="12390" w:y="1"/>
        <w:tabs>
          <w:tab w:val="left" w:pos="1219"/>
        </w:tabs>
        <w:textDirection w:val="tbRl"/>
      </w:pPr>
      <w:r>
        <w:rPr>
          <w:sz w:val="16"/>
          <w:szCs w:val="16"/>
        </w:rPr>
        <w:t>768</w:t>
      </w:r>
      <w:r>
        <w:rPr>
          <w:sz w:val="16"/>
          <w:szCs w:val="16"/>
        </w:rPr>
        <w:tab/>
      </w:r>
      <w:r>
        <w:t>ANTIVÍRICOS CONTRA INFECCIONES NO PRODUCIDAS POR VIH</w:t>
      </w:r>
    </w:p>
    <w:p w14:paraId="4F197A02" w14:textId="77777777" w:rsidR="00924992" w:rsidRDefault="00924992">
      <w:pPr>
        <w:spacing w:line="360" w:lineRule="exact"/>
      </w:pPr>
    </w:p>
    <w:p w14:paraId="1F6A83BB" w14:textId="77777777" w:rsidR="00924992" w:rsidRDefault="00924992">
      <w:pPr>
        <w:spacing w:line="360" w:lineRule="exact"/>
      </w:pPr>
    </w:p>
    <w:p w14:paraId="544C7114" w14:textId="77777777" w:rsidR="00924992" w:rsidRDefault="00924992">
      <w:pPr>
        <w:spacing w:line="360" w:lineRule="exact"/>
      </w:pPr>
    </w:p>
    <w:p w14:paraId="139AE56F" w14:textId="77777777" w:rsidR="00924992" w:rsidRDefault="00924992">
      <w:pPr>
        <w:spacing w:line="360" w:lineRule="exact"/>
      </w:pPr>
    </w:p>
    <w:p w14:paraId="38608CA5" w14:textId="77777777" w:rsidR="00924992" w:rsidRDefault="00924992">
      <w:pPr>
        <w:spacing w:line="360" w:lineRule="exact"/>
      </w:pPr>
    </w:p>
    <w:p w14:paraId="6B006E0E" w14:textId="77777777" w:rsidR="00924992" w:rsidRDefault="00924992">
      <w:pPr>
        <w:spacing w:line="360" w:lineRule="exact"/>
      </w:pPr>
    </w:p>
    <w:p w14:paraId="0A8B004E" w14:textId="77777777" w:rsidR="00924992" w:rsidRDefault="00924992">
      <w:pPr>
        <w:spacing w:line="360" w:lineRule="exact"/>
      </w:pPr>
    </w:p>
    <w:p w14:paraId="1197757F" w14:textId="77777777" w:rsidR="00924992" w:rsidRDefault="00924992">
      <w:pPr>
        <w:spacing w:line="360" w:lineRule="exact"/>
      </w:pPr>
    </w:p>
    <w:p w14:paraId="7A8355B6" w14:textId="77777777" w:rsidR="00924992" w:rsidRDefault="00924992">
      <w:pPr>
        <w:spacing w:line="360" w:lineRule="exact"/>
      </w:pPr>
    </w:p>
    <w:p w14:paraId="1B7C1963" w14:textId="77777777" w:rsidR="00924992" w:rsidRDefault="00924992">
      <w:pPr>
        <w:spacing w:line="360" w:lineRule="exact"/>
      </w:pPr>
    </w:p>
    <w:p w14:paraId="02E69E98" w14:textId="77777777" w:rsidR="00924992" w:rsidRDefault="00924992">
      <w:pPr>
        <w:spacing w:line="360" w:lineRule="exact"/>
      </w:pPr>
    </w:p>
    <w:p w14:paraId="645EE676" w14:textId="77777777" w:rsidR="00924992" w:rsidRDefault="00924992">
      <w:pPr>
        <w:spacing w:line="360" w:lineRule="exact"/>
      </w:pPr>
    </w:p>
    <w:p w14:paraId="27BC3462" w14:textId="77777777" w:rsidR="00924992" w:rsidRDefault="00924992">
      <w:pPr>
        <w:spacing w:line="360" w:lineRule="exact"/>
      </w:pPr>
    </w:p>
    <w:p w14:paraId="7A325336" w14:textId="77777777" w:rsidR="00924992" w:rsidRDefault="00924992">
      <w:pPr>
        <w:spacing w:line="360" w:lineRule="exact"/>
      </w:pPr>
    </w:p>
    <w:p w14:paraId="77AF46FC" w14:textId="77777777" w:rsidR="00924992" w:rsidRDefault="00924992">
      <w:pPr>
        <w:spacing w:line="360" w:lineRule="exact"/>
      </w:pPr>
    </w:p>
    <w:p w14:paraId="1A4321DE" w14:textId="77777777" w:rsidR="00924992" w:rsidRDefault="00924992">
      <w:pPr>
        <w:spacing w:line="360" w:lineRule="exact"/>
      </w:pPr>
    </w:p>
    <w:p w14:paraId="1C76FFEB" w14:textId="77777777" w:rsidR="00924992" w:rsidRDefault="00924992">
      <w:pPr>
        <w:spacing w:line="360" w:lineRule="exact"/>
      </w:pPr>
    </w:p>
    <w:p w14:paraId="1C448BAD" w14:textId="77777777" w:rsidR="00924992" w:rsidRDefault="00924992">
      <w:pPr>
        <w:spacing w:after="522" w:line="1" w:lineRule="exact"/>
      </w:pPr>
    </w:p>
    <w:p w14:paraId="0CAF3342" w14:textId="77777777" w:rsidR="00924992" w:rsidRDefault="00924992">
      <w:pPr>
        <w:spacing w:line="1" w:lineRule="exact"/>
        <w:sectPr w:rsidR="00924992" w:rsidSect="00924992">
          <w:headerReference w:type="even" r:id="rId298"/>
          <w:headerReference w:type="default" r:id="rId299"/>
          <w:footerReference w:type="even" r:id="rId300"/>
          <w:footerReference w:type="default" r:id="rId301"/>
          <w:pgSz w:w="13022" w:h="8501" w:orient="landscape"/>
          <w:pgMar w:top="504" w:right="442" w:bottom="970" w:left="624" w:header="76" w:footer="3" w:gutter="0"/>
          <w:cols w:space="720"/>
          <w:noEndnote/>
          <w:docGrid w:linePitch="360"/>
          <w15:footnoteColumns w:val="1"/>
        </w:sectPr>
      </w:pPr>
    </w:p>
    <w:p w14:paraId="384E226D" w14:textId="77777777" w:rsidR="00924992" w:rsidRDefault="00924992">
      <w:pPr>
        <w:pStyle w:val="Heading31"/>
        <w:keepNext/>
        <w:keepLines/>
        <w:framePr w:w="6878" w:h="322" w:wrap="none" w:hAnchor="page" w:x="2900" w:y="1"/>
        <w:rPr>
          <w:sz w:val="16"/>
          <w:szCs w:val="16"/>
        </w:rPr>
      </w:pPr>
      <w:bookmarkStart w:id="419" w:name="bookmark1865"/>
      <w:bookmarkStart w:id="420" w:name="bookmark1866"/>
      <w:bookmarkStart w:id="421" w:name="bookmark1867"/>
      <w:r>
        <w:rPr>
          <w:b w:val="0"/>
          <w:bCs w:val="0"/>
          <w:color w:val="000000"/>
        </w:rPr>
        <w:t xml:space="preserve">Cuadro 4-8. </w:t>
      </w:r>
      <w:r>
        <w:rPr>
          <w:color w:val="000000"/>
        </w:rPr>
        <w:t xml:space="preserve">Antivíricos contra infecciones no producidas por VIH </w:t>
      </w:r>
      <w:r>
        <w:rPr>
          <w:rFonts w:ascii="Times New Roman" w:eastAsia="Times New Roman" w:hAnsi="Times New Roman" w:cs="Times New Roman"/>
          <w:b w:val="0"/>
          <w:bCs w:val="0"/>
          <w:i/>
          <w:iCs/>
          <w:color w:val="000000"/>
          <w:w w:val="100"/>
          <w:sz w:val="16"/>
          <w:szCs w:val="16"/>
        </w:rPr>
        <w:t>continuación</w:t>
      </w:r>
      <w:bookmarkEnd w:id="419"/>
      <w:bookmarkEnd w:id="420"/>
      <w:bookmarkEnd w:id="421"/>
    </w:p>
    <w:tbl>
      <w:tblPr>
        <w:tblOverlap w:val="never"/>
        <w:tblW w:w="0" w:type="auto"/>
        <w:tblLayout w:type="fixed"/>
        <w:tblCellMar>
          <w:left w:w="10" w:type="dxa"/>
          <w:right w:w="10" w:type="dxa"/>
        </w:tblCellMar>
        <w:tblLook w:val="04A0" w:firstRow="1" w:lastRow="0" w:firstColumn="1" w:lastColumn="0" w:noHBand="0" w:noVBand="1"/>
      </w:tblPr>
      <w:tblGrid>
        <w:gridCol w:w="1944"/>
        <w:gridCol w:w="3077"/>
        <w:gridCol w:w="1733"/>
        <w:gridCol w:w="4714"/>
      </w:tblGrid>
      <w:tr w:rsidR="00924992" w14:paraId="000F3071" w14:textId="77777777">
        <w:tblPrEx>
          <w:tblCellMar>
            <w:top w:w="0" w:type="dxa"/>
            <w:bottom w:w="0" w:type="dxa"/>
          </w:tblCellMar>
        </w:tblPrEx>
        <w:trPr>
          <w:trHeight w:hRule="exact" w:val="557"/>
        </w:trPr>
        <w:tc>
          <w:tcPr>
            <w:tcW w:w="1944" w:type="dxa"/>
            <w:shd w:val="clear" w:color="auto" w:fill="000000"/>
            <w:vAlign w:val="bottom"/>
          </w:tcPr>
          <w:p w14:paraId="288B72F6" w14:textId="77777777" w:rsidR="00924992" w:rsidRDefault="00924992">
            <w:pPr>
              <w:pStyle w:val="Other0"/>
              <w:framePr w:w="11467" w:h="4728" w:vSpace="1795" w:wrap="none" w:hAnchor="page" w:x="606" w:y="375"/>
              <w:pBdr>
                <w:top w:val="single" w:sz="0" w:space="0" w:color="000000"/>
                <w:left w:val="single" w:sz="0" w:space="0" w:color="000000"/>
                <w:bottom w:val="single" w:sz="0" w:space="0" w:color="000000"/>
                <w:right w:val="single" w:sz="0" w:space="0" w:color="000000"/>
              </w:pBdr>
              <w:shd w:val="clear" w:color="auto" w:fill="000000"/>
              <w:spacing w:line="209" w:lineRule="auto"/>
              <w:ind w:firstLine="0"/>
              <w:rPr>
                <w:sz w:val="24"/>
                <w:szCs w:val="24"/>
              </w:rPr>
            </w:pPr>
            <w:r>
              <w:rPr>
                <w:rFonts w:ascii="Arial" w:eastAsia="Arial" w:hAnsi="Arial" w:cs="Arial"/>
                <w:b/>
                <w:bCs/>
                <w:color w:val="FFFFFF"/>
                <w:w w:val="70"/>
                <w:sz w:val="24"/>
                <w:szCs w:val="24"/>
              </w:rPr>
              <w:t>Nombre genérico (comercial)</w:t>
            </w:r>
          </w:p>
        </w:tc>
        <w:tc>
          <w:tcPr>
            <w:tcW w:w="3077" w:type="dxa"/>
            <w:shd w:val="clear" w:color="auto" w:fill="000000"/>
          </w:tcPr>
          <w:p w14:paraId="08C60629" w14:textId="77777777" w:rsidR="00924992" w:rsidRDefault="00924992">
            <w:pPr>
              <w:pStyle w:val="Other0"/>
              <w:framePr w:w="11467" w:h="4728" w:vSpace="1795" w:wrap="none" w:hAnchor="page" w:x="606" w:y="375"/>
              <w:pBdr>
                <w:top w:val="single" w:sz="0" w:space="0" w:color="000000"/>
                <w:left w:val="single" w:sz="0" w:space="0" w:color="000000"/>
                <w:bottom w:val="single" w:sz="0" w:space="0" w:color="000000"/>
                <w:right w:val="single" w:sz="0" w:space="0" w:color="000000"/>
              </w:pBdr>
              <w:shd w:val="clear" w:color="auto" w:fill="000000"/>
              <w:spacing w:line="240" w:lineRule="auto"/>
              <w:ind w:firstLine="0"/>
              <w:rPr>
                <w:sz w:val="24"/>
                <w:szCs w:val="24"/>
              </w:rPr>
            </w:pPr>
            <w:r>
              <w:rPr>
                <w:rFonts w:ascii="Arial" w:eastAsia="Arial" w:hAnsi="Arial" w:cs="Arial"/>
                <w:b/>
                <w:bCs/>
                <w:color w:val="FFFFFF"/>
                <w:w w:val="70"/>
                <w:sz w:val="24"/>
                <w:szCs w:val="24"/>
              </w:rPr>
              <w:t>Indicación</w:t>
            </w:r>
          </w:p>
        </w:tc>
        <w:tc>
          <w:tcPr>
            <w:tcW w:w="1733" w:type="dxa"/>
            <w:shd w:val="clear" w:color="auto" w:fill="000000"/>
            <w:vAlign w:val="bottom"/>
          </w:tcPr>
          <w:p w14:paraId="2FE70E9D" w14:textId="77777777" w:rsidR="00924992" w:rsidRDefault="00924992">
            <w:pPr>
              <w:pStyle w:val="Other0"/>
              <w:framePr w:w="11467" w:h="4728" w:vSpace="1795" w:wrap="none" w:hAnchor="page" w:x="606" w:y="375"/>
              <w:pBdr>
                <w:top w:val="single" w:sz="0" w:space="0" w:color="000000"/>
                <w:left w:val="single" w:sz="0" w:space="0" w:color="000000"/>
                <w:bottom w:val="single" w:sz="0" w:space="0" w:color="000000"/>
                <w:right w:val="single" w:sz="0" w:space="0" w:color="000000"/>
              </w:pBdr>
              <w:shd w:val="clear" w:color="auto" w:fill="000000"/>
              <w:spacing w:line="204" w:lineRule="auto"/>
              <w:ind w:left="140"/>
              <w:rPr>
                <w:sz w:val="24"/>
                <w:szCs w:val="24"/>
              </w:rPr>
            </w:pPr>
            <w:r>
              <w:rPr>
                <w:rFonts w:ascii="Arial" w:eastAsia="Arial" w:hAnsi="Arial" w:cs="Arial"/>
                <w:b/>
                <w:bCs/>
                <w:color w:val="FFFFFF"/>
                <w:w w:val="70"/>
                <w:sz w:val="24"/>
                <w:szCs w:val="24"/>
              </w:rPr>
              <w:t>Vía de Administración</w:t>
            </w:r>
          </w:p>
        </w:tc>
        <w:tc>
          <w:tcPr>
            <w:tcW w:w="4714" w:type="dxa"/>
            <w:shd w:val="clear" w:color="auto" w:fill="000000"/>
          </w:tcPr>
          <w:p w14:paraId="4E286DF5" w14:textId="77777777" w:rsidR="00924992" w:rsidRDefault="00924992">
            <w:pPr>
              <w:pStyle w:val="Other0"/>
              <w:framePr w:w="11467" w:h="4728" w:vSpace="1795" w:wrap="none" w:hAnchor="page" w:x="606" w:y="375"/>
              <w:pBdr>
                <w:top w:val="single" w:sz="0" w:space="0" w:color="000000"/>
                <w:left w:val="single" w:sz="0" w:space="0" w:color="000000"/>
                <w:bottom w:val="single" w:sz="0" w:space="0" w:color="000000"/>
                <w:right w:val="single" w:sz="0" w:space="0" w:color="000000"/>
              </w:pBdr>
              <w:shd w:val="clear" w:color="auto" w:fill="000000"/>
              <w:spacing w:line="240" w:lineRule="auto"/>
              <w:ind w:firstLine="0"/>
              <w:rPr>
                <w:sz w:val="24"/>
                <w:szCs w:val="24"/>
              </w:rPr>
            </w:pPr>
            <w:r>
              <w:rPr>
                <w:rFonts w:ascii="Arial" w:eastAsia="Arial" w:hAnsi="Arial" w:cs="Arial"/>
                <w:b/>
                <w:bCs/>
                <w:color w:val="FFFFFF"/>
                <w:w w:val="70"/>
                <w:sz w:val="24"/>
                <w:szCs w:val="24"/>
              </w:rPr>
              <w:t>Dosis recomendada usualmente</w:t>
            </w:r>
          </w:p>
        </w:tc>
      </w:tr>
      <w:tr w:rsidR="00924992" w14:paraId="202C59A9" w14:textId="77777777">
        <w:tblPrEx>
          <w:tblCellMar>
            <w:top w:w="0" w:type="dxa"/>
            <w:bottom w:w="0" w:type="dxa"/>
          </w:tblCellMar>
        </w:tblPrEx>
        <w:trPr>
          <w:trHeight w:hRule="exact" w:val="874"/>
        </w:trPr>
        <w:tc>
          <w:tcPr>
            <w:tcW w:w="1944" w:type="dxa"/>
            <w:shd w:val="clear" w:color="auto" w:fill="FFFFFF"/>
          </w:tcPr>
          <w:p w14:paraId="61C209C2" w14:textId="77777777" w:rsidR="00924992" w:rsidRDefault="00924992">
            <w:pPr>
              <w:pStyle w:val="Other0"/>
              <w:framePr w:w="11467" w:h="4728" w:vSpace="1795" w:wrap="none" w:hAnchor="page" w:x="606" w:y="375"/>
              <w:spacing w:line="240" w:lineRule="auto"/>
              <w:ind w:firstLine="0"/>
              <w:rPr>
                <w:sz w:val="16"/>
                <w:szCs w:val="16"/>
              </w:rPr>
            </w:pPr>
            <w:r>
              <w:rPr>
                <w:rFonts w:ascii="Times New Roman" w:eastAsia="Times New Roman" w:hAnsi="Times New Roman" w:cs="Times New Roman"/>
                <w:color w:val="000000"/>
                <w:sz w:val="16"/>
                <w:szCs w:val="16"/>
              </w:rPr>
              <w:t>Ribavirina (Rebetol)</w:t>
            </w:r>
          </w:p>
        </w:tc>
        <w:tc>
          <w:tcPr>
            <w:tcW w:w="3077" w:type="dxa"/>
            <w:shd w:val="clear" w:color="auto" w:fill="FFFFFF"/>
          </w:tcPr>
          <w:p w14:paraId="6BFD45D8" w14:textId="77777777" w:rsidR="00924992" w:rsidRDefault="00924992">
            <w:pPr>
              <w:pStyle w:val="Other0"/>
              <w:framePr w:w="11467" w:h="4728" w:vSpace="1795" w:wrap="none" w:hAnchor="page" w:x="606" w:y="375"/>
              <w:spacing w:line="257" w:lineRule="auto"/>
              <w:ind w:left="200" w:hanging="200"/>
              <w:rPr>
                <w:sz w:val="16"/>
                <w:szCs w:val="16"/>
              </w:rPr>
            </w:pPr>
            <w:r>
              <w:rPr>
                <w:rFonts w:ascii="Times New Roman" w:eastAsia="Times New Roman" w:hAnsi="Times New Roman" w:cs="Times New Roman"/>
                <w:color w:val="000000"/>
                <w:sz w:val="16"/>
                <w:szCs w:val="16"/>
              </w:rPr>
              <w:t>Tratamiento de la hepatitis C en combinación con interferón</w:t>
            </w:r>
          </w:p>
        </w:tc>
        <w:tc>
          <w:tcPr>
            <w:tcW w:w="1733" w:type="dxa"/>
            <w:shd w:val="clear" w:color="auto" w:fill="FFFFFF"/>
          </w:tcPr>
          <w:p w14:paraId="6E6D6C4C" w14:textId="77777777" w:rsidR="00924992" w:rsidRDefault="00924992">
            <w:pPr>
              <w:pStyle w:val="Other0"/>
              <w:framePr w:w="11467" w:h="4728" w:vSpace="1795" w:wrap="none" w:hAnchor="page" w:x="606" w:y="375"/>
              <w:spacing w:line="240" w:lineRule="auto"/>
              <w:ind w:firstLine="140"/>
              <w:rPr>
                <w:sz w:val="16"/>
                <w:szCs w:val="16"/>
              </w:rPr>
            </w:pPr>
            <w:r>
              <w:rPr>
                <w:rFonts w:ascii="Times New Roman" w:eastAsia="Times New Roman" w:hAnsi="Times New Roman" w:cs="Times New Roman"/>
                <w:color w:val="000000"/>
                <w:sz w:val="16"/>
                <w:szCs w:val="16"/>
              </w:rPr>
              <w:t>Oral</w:t>
            </w:r>
          </w:p>
        </w:tc>
        <w:tc>
          <w:tcPr>
            <w:tcW w:w="4714" w:type="dxa"/>
            <w:shd w:val="clear" w:color="auto" w:fill="FFFFFF"/>
            <w:vAlign w:val="bottom"/>
          </w:tcPr>
          <w:p w14:paraId="76E0911F" w14:textId="77777777" w:rsidR="00924992" w:rsidRDefault="00924992">
            <w:pPr>
              <w:pStyle w:val="Other0"/>
              <w:framePr w:w="11467" w:h="4728" w:vSpace="1795" w:wrap="none" w:hAnchor="page" w:x="606" w:y="375"/>
              <w:spacing w:line="262" w:lineRule="auto"/>
              <w:ind w:left="200" w:hanging="200"/>
              <w:rPr>
                <w:sz w:val="16"/>
                <w:szCs w:val="16"/>
              </w:rPr>
            </w:pPr>
            <w:r>
              <w:rPr>
                <w:rFonts w:ascii="Times New Roman" w:eastAsia="Times New Roman" w:hAnsi="Times New Roman" w:cs="Times New Roman"/>
                <w:color w:val="000000"/>
                <w:sz w:val="16"/>
                <w:szCs w:val="16"/>
              </w:rPr>
              <w:t>Se sugiere una dosis fija con base en el peso corporal: 25 a 36 kg: 200 mg am y pm; más de 36 a 49 kg: 200 mg am y 400 mg pm; más de 49 a 61 kg: 400 mg am y pm; más de 61 a 75 kg: 400 mg am y 600 mg pm; más de 75 kg: 600 mg am y pm.</w:t>
            </w:r>
          </w:p>
        </w:tc>
      </w:tr>
      <w:tr w:rsidR="00924992" w14:paraId="630AEADC" w14:textId="77777777">
        <w:tblPrEx>
          <w:tblCellMar>
            <w:top w:w="0" w:type="dxa"/>
            <w:bottom w:w="0" w:type="dxa"/>
          </w:tblCellMar>
        </w:tblPrEx>
        <w:trPr>
          <w:trHeight w:hRule="exact" w:val="1584"/>
        </w:trPr>
        <w:tc>
          <w:tcPr>
            <w:tcW w:w="1944" w:type="dxa"/>
            <w:shd w:val="clear" w:color="auto" w:fill="FFFFFF"/>
          </w:tcPr>
          <w:p w14:paraId="6078648F" w14:textId="77777777" w:rsidR="00924992" w:rsidRDefault="00924992">
            <w:pPr>
              <w:pStyle w:val="Other0"/>
              <w:framePr w:w="11467" w:h="4728" w:vSpace="1795" w:wrap="none" w:hAnchor="page" w:x="606" w:y="375"/>
              <w:spacing w:line="240" w:lineRule="auto"/>
              <w:ind w:firstLine="0"/>
              <w:rPr>
                <w:sz w:val="16"/>
                <w:szCs w:val="16"/>
              </w:rPr>
            </w:pPr>
            <w:r>
              <w:rPr>
                <w:rFonts w:ascii="Times New Roman" w:eastAsia="Times New Roman" w:hAnsi="Times New Roman" w:cs="Times New Roman"/>
                <w:color w:val="000000"/>
                <w:sz w:val="16"/>
                <w:szCs w:val="16"/>
              </w:rPr>
              <w:t>Rimantadina (Flumadine)</w:t>
            </w:r>
          </w:p>
        </w:tc>
        <w:tc>
          <w:tcPr>
            <w:tcW w:w="3077" w:type="dxa"/>
            <w:shd w:val="clear" w:color="auto" w:fill="FFFFFF"/>
          </w:tcPr>
          <w:p w14:paraId="05B6BCB0" w14:textId="77777777" w:rsidR="00924992" w:rsidRDefault="00924992">
            <w:pPr>
              <w:pStyle w:val="Other0"/>
              <w:framePr w:w="11467" w:h="4728" w:vSpace="1795" w:wrap="none" w:hAnchor="page" w:x="606" w:y="375"/>
              <w:spacing w:line="240" w:lineRule="auto"/>
              <w:ind w:firstLine="0"/>
              <w:rPr>
                <w:sz w:val="16"/>
                <w:szCs w:val="16"/>
              </w:rPr>
            </w:pPr>
            <w:r>
              <w:rPr>
                <w:rFonts w:ascii="Times New Roman" w:eastAsia="Times New Roman" w:hAnsi="Times New Roman" w:cs="Times New Roman"/>
                <w:color w:val="000000"/>
                <w:sz w:val="16"/>
                <w:szCs w:val="16"/>
              </w:rPr>
              <w:t>Influenza A: tratamiento y profilaxia</w:t>
            </w:r>
          </w:p>
        </w:tc>
        <w:tc>
          <w:tcPr>
            <w:tcW w:w="1733" w:type="dxa"/>
            <w:shd w:val="clear" w:color="auto" w:fill="FFFFFF"/>
          </w:tcPr>
          <w:p w14:paraId="4E714D48" w14:textId="77777777" w:rsidR="00924992" w:rsidRDefault="00924992">
            <w:pPr>
              <w:pStyle w:val="Other0"/>
              <w:framePr w:w="11467" w:h="4728" w:vSpace="1795" w:wrap="none" w:hAnchor="page" w:x="606" w:y="375"/>
              <w:spacing w:line="240" w:lineRule="auto"/>
              <w:ind w:firstLine="140"/>
              <w:rPr>
                <w:sz w:val="16"/>
                <w:szCs w:val="16"/>
              </w:rPr>
            </w:pPr>
            <w:r>
              <w:rPr>
                <w:rFonts w:ascii="Times New Roman" w:eastAsia="Times New Roman" w:hAnsi="Times New Roman" w:cs="Times New Roman"/>
                <w:color w:val="000000"/>
                <w:sz w:val="16"/>
                <w:szCs w:val="16"/>
              </w:rPr>
              <w:t>Oral</w:t>
            </w:r>
          </w:p>
        </w:tc>
        <w:tc>
          <w:tcPr>
            <w:tcW w:w="4714" w:type="dxa"/>
            <w:shd w:val="clear" w:color="auto" w:fill="FFFFFF"/>
          </w:tcPr>
          <w:p w14:paraId="6BAE9679" w14:textId="77777777" w:rsidR="00924992" w:rsidRDefault="00924992">
            <w:pPr>
              <w:pStyle w:val="Other0"/>
              <w:framePr w:w="11467" w:h="4728" w:vSpace="1795" w:wrap="none" w:hAnchor="page" w:x="606" w:y="375"/>
              <w:spacing w:line="259" w:lineRule="auto"/>
              <w:ind w:firstLine="0"/>
              <w:rPr>
                <w:sz w:val="16"/>
                <w:szCs w:val="16"/>
              </w:rPr>
            </w:pPr>
            <w:r>
              <w:rPr>
                <w:rFonts w:ascii="Times New Roman" w:eastAsia="Times New Roman" w:hAnsi="Times New Roman" w:cs="Times New Roman"/>
                <w:color w:val="000000"/>
                <w:sz w:val="16"/>
                <w:szCs w:val="16"/>
              </w:rPr>
              <w:t>Tratamiento:</w:t>
            </w:r>
          </w:p>
          <w:p w14:paraId="23CF9F90" w14:textId="77777777" w:rsidR="00924992" w:rsidRDefault="00924992">
            <w:pPr>
              <w:pStyle w:val="Other0"/>
              <w:framePr w:w="11467" w:h="4728" w:vSpace="1795" w:wrap="none" w:hAnchor="page" w:x="606" w:y="375"/>
              <w:spacing w:line="259" w:lineRule="auto"/>
              <w:ind w:firstLine="200"/>
              <w:rPr>
                <w:sz w:val="16"/>
                <w:szCs w:val="16"/>
              </w:rPr>
            </w:pPr>
            <w:r>
              <w:rPr>
                <w:rFonts w:ascii="Times New Roman" w:eastAsia="Times New Roman" w:hAnsi="Times New Roman" w:cs="Times New Roman"/>
                <w:color w:val="000000"/>
                <w:sz w:val="16"/>
                <w:szCs w:val="16"/>
              </w:rPr>
              <w:t>13 años y mayores, 200 mg/día en 2 fracciones</w:t>
            </w:r>
          </w:p>
          <w:p w14:paraId="6F2917AC" w14:textId="77777777" w:rsidR="00924992" w:rsidRDefault="00924992">
            <w:pPr>
              <w:pStyle w:val="Other0"/>
              <w:framePr w:w="11467" w:h="4728" w:vSpace="1795" w:wrap="none" w:hAnchor="page" w:x="606" w:y="375"/>
              <w:spacing w:line="259" w:lineRule="auto"/>
              <w:ind w:firstLine="0"/>
              <w:rPr>
                <w:sz w:val="16"/>
                <w:szCs w:val="16"/>
              </w:rPr>
            </w:pPr>
            <w:r>
              <w:rPr>
                <w:rFonts w:ascii="Times New Roman" w:eastAsia="Times New Roman" w:hAnsi="Times New Roman" w:cs="Times New Roman"/>
                <w:color w:val="000000"/>
                <w:sz w:val="16"/>
                <w:szCs w:val="16"/>
              </w:rPr>
              <w:t>Profilaxia:</w:t>
            </w:r>
          </w:p>
          <w:p w14:paraId="167E22D0" w14:textId="77777777" w:rsidR="00924992" w:rsidRDefault="00924992">
            <w:pPr>
              <w:pStyle w:val="Other0"/>
              <w:framePr w:w="11467" w:h="4728" w:vSpace="1795" w:wrap="none" w:hAnchor="page" w:x="606" w:y="375"/>
              <w:spacing w:line="259" w:lineRule="auto"/>
              <w:ind w:firstLine="200"/>
              <w:rPr>
                <w:sz w:val="16"/>
                <w:szCs w:val="16"/>
              </w:rPr>
            </w:pPr>
            <w:r>
              <w:rPr>
                <w:rFonts w:ascii="Times New Roman" w:eastAsia="Times New Roman" w:hAnsi="Times New Roman" w:cs="Times New Roman"/>
                <w:color w:val="000000"/>
                <w:sz w:val="16"/>
                <w:szCs w:val="16"/>
              </w:rPr>
              <w:t>1 a 9 años: 5 mg/kg al día; dosis máxima 150 mg/día en</w:t>
            </w:r>
          </w:p>
          <w:p w14:paraId="000A4CD3" w14:textId="77777777" w:rsidR="00924992" w:rsidRDefault="00924992">
            <w:pPr>
              <w:pStyle w:val="Other0"/>
              <w:framePr w:w="11467" w:h="4728" w:vSpace="1795" w:wrap="none" w:hAnchor="page" w:x="606" w:y="375"/>
              <w:spacing w:line="259" w:lineRule="auto"/>
              <w:ind w:firstLine="300"/>
              <w:rPr>
                <w:sz w:val="16"/>
                <w:szCs w:val="16"/>
              </w:rPr>
            </w:pPr>
            <w:r>
              <w:rPr>
                <w:rFonts w:ascii="Times New Roman" w:eastAsia="Times New Roman" w:hAnsi="Times New Roman" w:cs="Times New Roman"/>
                <w:color w:val="000000"/>
                <w:sz w:val="16"/>
                <w:szCs w:val="16"/>
              </w:rPr>
              <w:t>2 fracciones</w:t>
            </w:r>
          </w:p>
          <w:p w14:paraId="2631E42A" w14:textId="77777777" w:rsidR="00924992" w:rsidRDefault="00924992">
            <w:pPr>
              <w:pStyle w:val="Other0"/>
              <w:framePr w:w="11467" w:h="4728" w:vSpace="1795" w:wrap="none" w:hAnchor="page" w:x="606" w:y="375"/>
              <w:spacing w:line="259" w:lineRule="auto"/>
              <w:ind w:left="200" w:firstLine="0"/>
              <w:rPr>
                <w:sz w:val="16"/>
                <w:szCs w:val="16"/>
              </w:rPr>
            </w:pPr>
            <w:r>
              <w:rPr>
                <w:rFonts w:ascii="Times New Roman" w:eastAsia="Times New Roman" w:hAnsi="Times New Roman" w:cs="Times New Roman"/>
                <w:color w:val="000000"/>
                <w:sz w:val="16"/>
                <w:szCs w:val="16"/>
              </w:rPr>
              <w:t>10 años y mayores, con menos de 40 kg de peso; 5 mg/kg al día en 2 fracciones; 40 kg o más: 200 mg/día en 2 fracciones Véase “Influenza” (sección 3).</w:t>
            </w:r>
          </w:p>
        </w:tc>
      </w:tr>
      <w:tr w:rsidR="00924992" w14:paraId="3FE46215" w14:textId="77777777">
        <w:tblPrEx>
          <w:tblCellMar>
            <w:top w:w="0" w:type="dxa"/>
            <w:bottom w:w="0" w:type="dxa"/>
          </w:tblCellMar>
        </w:tblPrEx>
        <w:trPr>
          <w:trHeight w:hRule="exact" w:val="197"/>
        </w:trPr>
        <w:tc>
          <w:tcPr>
            <w:tcW w:w="1944" w:type="dxa"/>
            <w:shd w:val="clear" w:color="auto" w:fill="FFFFFF"/>
            <w:vAlign w:val="bottom"/>
          </w:tcPr>
          <w:p w14:paraId="34E0EBF7" w14:textId="77777777" w:rsidR="00924992" w:rsidRDefault="00924992">
            <w:pPr>
              <w:pStyle w:val="Other0"/>
              <w:framePr w:w="11467" w:h="4728" w:vSpace="1795" w:wrap="none" w:hAnchor="page" w:x="606" w:y="375"/>
              <w:spacing w:line="240" w:lineRule="auto"/>
              <w:ind w:firstLine="0"/>
              <w:rPr>
                <w:sz w:val="16"/>
                <w:szCs w:val="16"/>
              </w:rPr>
            </w:pPr>
            <w:r>
              <w:rPr>
                <w:rFonts w:ascii="Times New Roman" w:eastAsia="Times New Roman" w:hAnsi="Times New Roman" w:cs="Times New Roman"/>
                <w:color w:val="000000"/>
                <w:sz w:val="16"/>
                <w:szCs w:val="16"/>
              </w:rPr>
              <w:t>Valaciclovir (Valtrex)</w:t>
            </w:r>
          </w:p>
        </w:tc>
        <w:tc>
          <w:tcPr>
            <w:tcW w:w="3077" w:type="dxa"/>
            <w:shd w:val="clear" w:color="auto" w:fill="FFFFFF"/>
            <w:vAlign w:val="bottom"/>
          </w:tcPr>
          <w:p w14:paraId="33C927BE" w14:textId="77777777" w:rsidR="00924992" w:rsidRDefault="00924992">
            <w:pPr>
              <w:pStyle w:val="Other0"/>
              <w:framePr w:w="11467" w:h="4728" w:vSpace="1795" w:wrap="none" w:hAnchor="page" w:x="606" w:y="375"/>
              <w:spacing w:line="240" w:lineRule="auto"/>
              <w:ind w:firstLine="0"/>
              <w:rPr>
                <w:sz w:val="16"/>
                <w:szCs w:val="16"/>
              </w:rPr>
            </w:pPr>
            <w:r>
              <w:rPr>
                <w:rFonts w:ascii="Times New Roman" w:eastAsia="Times New Roman" w:hAnsi="Times New Roman" w:cs="Times New Roman"/>
                <w:color w:val="000000"/>
                <w:sz w:val="16"/>
                <w:szCs w:val="16"/>
              </w:rPr>
              <w:t>Infección genital por HSV</w:t>
            </w:r>
          </w:p>
        </w:tc>
        <w:tc>
          <w:tcPr>
            <w:tcW w:w="1733" w:type="dxa"/>
            <w:shd w:val="clear" w:color="auto" w:fill="FFFFFF"/>
            <w:vAlign w:val="bottom"/>
          </w:tcPr>
          <w:p w14:paraId="470662AA" w14:textId="77777777" w:rsidR="00924992" w:rsidRDefault="00924992">
            <w:pPr>
              <w:pStyle w:val="Other0"/>
              <w:framePr w:w="11467" w:h="4728" w:vSpace="1795" w:wrap="none" w:hAnchor="page" w:x="606" w:y="375"/>
              <w:spacing w:line="240" w:lineRule="auto"/>
              <w:ind w:firstLine="140"/>
              <w:rPr>
                <w:sz w:val="16"/>
                <w:szCs w:val="16"/>
              </w:rPr>
            </w:pPr>
            <w:r>
              <w:rPr>
                <w:rFonts w:ascii="Times New Roman" w:eastAsia="Times New Roman" w:hAnsi="Times New Roman" w:cs="Times New Roman"/>
                <w:color w:val="000000"/>
                <w:sz w:val="16"/>
                <w:szCs w:val="16"/>
              </w:rPr>
              <w:t>Oral</w:t>
            </w:r>
          </w:p>
        </w:tc>
        <w:tc>
          <w:tcPr>
            <w:tcW w:w="4714" w:type="dxa"/>
            <w:shd w:val="clear" w:color="auto" w:fill="FFFFFF"/>
            <w:vAlign w:val="bottom"/>
          </w:tcPr>
          <w:p w14:paraId="5B03E7E7" w14:textId="77777777" w:rsidR="00924992" w:rsidRDefault="00924992">
            <w:pPr>
              <w:pStyle w:val="Other0"/>
              <w:framePr w:w="11467" w:h="4728" w:vSpace="1795" w:wrap="none" w:hAnchor="page" w:x="606" w:y="375"/>
              <w:spacing w:line="240" w:lineRule="auto"/>
              <w:ind w:firstLine="0"/>
              <w:rPr>
                <w:sz w:val="16"/>
                <w:szCs w:val="16"/>
              </w:rPr>
            </w:pPr>
            <w:r>
              <w:rPr>
                <w:rFonts w:ascii="Times New Roman" w:eastAsia="Times New Roman" w:hAnsi="Times New Roman" w:cs="Times New Roman"/>
                <w:color w:val="000000"/>
                <w:sz w:val="16"/>
                <w:szCs w:val="16"/>
              </w:rPr>
              <w:t>Para adolescentes, 2 g/día en 2 fracciones durante 7 a 10 días.</w:t>
            </w:r>
          </w:p>
        </w:tc>
      </w:tr>
      <w:tr w:rsidR="00924992" w14:paraId="12958074" w14:textId="77777777">
        <w:tblPrEx>
          <w:tblCellMar>
            <w:top w:w="0" w:type="dxa"/>
            <w:bottom w:w="0" w:type="dxa"/>
          </w:tblCellMar>
        </w:tblPrEx>
        <w:trPr>
          <w:trHeight w:hRule="exact" w:val="398"/>
        </w:trPr>
        <w:tc>
          <w:tcPr>
            <w:tcW w:w="1944" w:type="dxa"/>
            <w:shd w:val="clear" w:color="auto" w:fill="FFFFFF"/>
          </w:tcPr>
          <w:p w14:paraId="37939F50" w14:textId="77777777" w:rsidR="00924992" w:rsidRDefault="00924992">
            <w:pPr>
              <w:framePr w:w="11467" w:h="4728" w:vSpace="1795" w:wrap="none" w:hAnchor="page" w:x="606" w:y="375"/>
              <w:rPr>
                <w:sz w:val="10"/>
                <w:szCs w:val="10"/>
              </w:rPr>
            </w:pPr>
          </w:p>
        </w:tc>
        <w:tc>
          <w:tcPr>
            <w:tcW w:w="3077" w:type="dxa"/>
            <w:shd w:val="clear" w:color="auto" w:fill="FFFFFF"/>
            <w:vAlign w:val="bottom"/>
          </w:tcPr>
          <w:p w14:paraId="3553982E" w14:textId="77777777" w:rsidR="00924992" w:rsidRDefault="00924992">
            <w:pPr>
              <w:pStyle w:val="Other0"/>
              <w:framePr w:w="11467" w:h="4728" w:vSpace="1795" w:wrap="none" w:hAnchor="page" w:x="606" w:y="375"/>
              <w:spacing w:line="264" w:lineRule="auto"/>
              <w:ind w:firstLine="0"/>
              <w:rPr>
                <w:sz w:val="16"/>
                <w:szCs w:val="16"/>
              </w:rPr>
            </w:pPr>
            <w:r>
              <w:rPr>
                <w:rFonts w:ascii="Times New Roman" w:eastAsia="Times New Roman" w:hAnsi="Times New Roman" w:cs="Times New Roman"/>
                <w:color w:val="000000"/>
                <w:sz w:val="16"/>
                <w:szCs w:val="16"/>
              </w:rPr>
              <w:t>Infección genital recurrente y episódica con HSV</w:t>
            </w:r>
          </w:p>
        </w:tc>
        <w:tc>
          <w:tcPr>
            <w:tcW w:w="1733" w:type="dxa"/>
            <w:shd w:val="clear" w:color="auto" w:fill="FFFFFF"/>
          </w:tcPr>
          <w:p w14:paraId="6301E790" w14:textId="77777777" w:rsidR="00924992" w:rsidRDefault="00924992">
            <w:pPr>
              <w:pStyle w:val="Other0"/>
              <w:framePr w:w="11467" w:h="4728" w:vSpace="1795" w:wrap="none" w:hAnchor="page" w:x="606" w:y="375"/>
              <w:spacing w:line="240" w:lineRule="auto"/>
              <w:ind w:firstLine="140"/>
              <w:rPr>
                <w:sz w:val="16"/>
                <w:szCs w:val="16"/>
              </w:rPr>
            </w:pPr>
            <w:r>
              <w:rPr>
                <w:rFonts w:ascii="Times New Roman" w:eastAsia="Times New Roman" w:hAnsi="Times New Roman" w:cs="Times New Roman"/>
                <w:color w:val="000000"/>
                <w:sz w:val="16"/>
                <w:szCs w:val="16"/>
              </w:rPr>
              <w:t>Oral</w:t>
            </w:r>
          </w:p>
        </w:tc>
        <w:tc>
          <w:tcPr>
            <w:tcW w:w="4714" w:type="dxa"/>
            <w:shd w:val="clear" w:color="auto" w:fill="FFFFFF"/>
            <w:vAlign w:val="bottom"/>
          </w:tcPr>
          <w:p w14:paraId="5B1D6AC2" w14:textId="77777777" w:rsidR="00924992" w:rsidRDefault="00924992">
            <w:pPr>
              <w:pStyle w:val="Other0"/>
              <w:framePr w:w="11467" w:h="4728" w:vSpace="1795" w:wrap="none" w:hAnchor="page" w:x="606" w:y="375"/>
              <w:spacing w:line="264" w:lineRule="auto"/>
              <w:ind w:firstLine="0"/>
              <w:rPr>
                <w:sz w:val="16"/>
                <w:szCs w:val="16"/>
              </w:rPr>
            </w:pPr>
            <w:r>
              <w:rPr>
                <w:rFonts w:ascii="Times New Roman" w:eastAsia="Times New Roman" w:hAnsi="Times New Roman" w:cs="Times New Roman"/>
                <w:color w:val="000000"/>
                <w:sz w:val="16"/>
                <w:szCs w:val="16"/>
              </w:rPr>
              <w:t>Para adolescentes, 1 g/día en 2 fracciones durante 5 días. Para adolescentes, 500-1 000 mg una vez al día durante un año,</w:t>
            </w:r>
          </w:p>
        </w:tc>
      </w:tr>
      <w:tr w:rsidR="00924992" w14:paraId="4B6FD15A" w14:textId="77777777">
        <w:tblPrEx>
          <w:tblCellMar>
            <w:top w:w="0" w:type="dxa"/>
            <w:bottom w:w="0" w:type="dxa"/>
          </w:tblCellMar>
        </w:tblPrEx>
        <w:trPr>
          <w:trHeight w:hRule="exact" w:val="418"/>
        </w:trPr>
        <w:tc>
          <w:tcPr>
            <w:tcW w:w="1944" w:type="dxa"/>
            <w:shd w:val="clear" w:color="auto" w:fill="FFFFFF"/>
          </w:tcPr>
          <w:p w14:paraId="0C6D8BCE" w14:textId="77777777" w:rsidR="00924992" w:rsidRDefault="00924992">
            <w:pPr>
              <w:framePr w:w="11467" w:h="4728" w:vSpace="1795" w:wrap="none" w:hAnchor="page" w:x="606" w:y="375"/>
              <w:rPr>
                <w:sz w:val="10"/>
                <w:szCs w:val="10"/>
              </w:rPr>
            </w:pPr>
          </w:p>
        </w:tc>
        <w:tc>
          <w:tcPr>
            <w:tcW w:w="3077" w:type="dxa"/>
            <w:shd w:val="clear" w:color="auto" w:fill="FFFFFF"/>
            <w:vAlign w:val="bottom"/>
          </w:tcPr>
          <w:p w14:paraId="61991103" w14:textId="77777777" w:rsidR="00924992" w:rsidRDefault="00924992">
            <w:pPr>
              <w:pStyle w:val="Other0"/>
              <w:framePr w:w="11467" w:h="4728" w:vSpace="1795" w:wrap="none" w:hAnchor="page" w:x="606" w:y="375"/>
              <w:spacing w:line="257" w:lineRule="auto"/>
              <w:ind w:firstLine="0"/>
              <w:rPr>
                <w:sz w:val="16"/>
                <w:szCs w:val="16"/>
              </w:rPr>
            </w:pPr>
            <w:r>
              <w:rPr>
                <w:rFonts w:ascii="Times New Roman" w:eastAsia="Times New Roman" w:hAnsi="Times New Roman" w:cs="Times New Roman"/>
                <w:color w:val="000000"/>
                <w:sz w:val="16"/>
                <w:szCs w:val="16"/>
              </w:rPr>
              <w:t>Terapia supresora diaria contra infección por HSV</w:t>
            </w:r>
          </w:p>
        </w:tc>
        <w:tc>
          <w:tcPr>
            <w:tcW w:w="1733" w:type="dxa"/>
            <w:shd w:val="clear" w:color="auto" w:fill="FFFFFF"/>
          </w:tcPr>
          <w:p w14:paraId="482E7C40" w14:textId="77777777" w:rsidR="00924992" w:rsidRDefault="00924992">
            <w:pPr>
              <w:pStyle w:val="Other0"/>
              <w:framePr w:w="11467" w:h="4728" w:vSpace="1795" w:wrap="none" w:hAnchor="page" w:x="606" w:y="375"/>
              <w:spacing w:line="240" w:lineRule="auto"/>
              <w:ind w:firstLine="140"/>
              <w:rPr>
                <w:sz w:val="16"/>
                <w:szCs w:val="16"/>
              </w:rPr>
            </w:pPr>
            <w:r>
              <w:rPr>
                <w:rFonts w:ascii="Times New Roman" w:eastAsia="Times New Roman" w:hAnsi="Times New Roman" w:cs="Times New Roman"/>
                <w:color w:val="000000"/>
                <w:sz w:val="16"/>
                <w:szCs w:val="16"/>
              </w:rPr>
              <w:t>Oral</w:t>
            </w:r>
          </w:p>
        </w:tc>
        <w:tc>
          <w:tcPr>
            <w:tcW w:w="4714" w:type="dxa"/>
            <w:shd w:val="clear" w:color="auto" w:fill="FFFFFF"/>
          </w:tcPr>
          <w:p w14:paraId="3A618D20" w14:textId="77777777" w:rsidR="00924992" w:rsidRDefault="00924992">
            <w:pPr>
              <w:pStyle w:val="Other0"/>
              <w:framePr w:w="11467" w:h="4728" w:vSpace="1795" w:wrap="none" w:hAnchor="page" w:x="606" w:y="375"/>
              <w:spacing w:line="240" w:lineRule="auto"/>
              <w:ind w:firstLine="200"/>
              <w:rPr>
                <w:sz w:val="16"/>
                <w:szCs w:val="16"/>
              </w:rPr>
            </w:pPr>
            <w:r>
              <w:rPr>
                <w:rFonts w:ascii="Times New Roman" w:eastAsia="Times New Roman" w:hAnsi="Times New Roman" w:cs="Times New Roman"/>
                <w:color w:val="000000"/>
                <w:sz w:val="16"/>
                <w:szCs w:val="16"/>
              </w:rPr>
              <w:t>y a partir de esa fecha revalorar al paciente en busca de recidivas.</w:t>
            </w:r>
          </w:p>
        </w:tc>
      </w:tr>
      <w:tr w:rsidR="00924992" w14:paraId="4946908C" w14:textId="77777777">
        <w:tblPrEx>
          <w:tblCellMar>
            <w:top w:w="0" w:type="dxa"/>
            <w:bottom w:w="0" w:type="dxa"/>
          </w:tblCellMar>
        </w:tblPrEx>
        <w:trPr>
          <w:trHeight w:hRule="exact" w:val="701"/>
        </w:trPr>
        <w:tc>
          <w:tcPr>
            <w:tcW w:w="1944" w:type="dxa"/>
            <w:tcBorders>
              <w:bottom w:val="single" w:sz="4" w:space="0" w:color="auto"/>
            </w:tcBorders>
            <w:shd w:val="clear" w:color="auto" w:fill="FFFFFF"/>
          </w:tcPr>
          <w:p w14:paraId="1BBF4389" w14:textId="77777777" w:rsidR="00924992" w:rsidRDefault="00924992">
            <w:pPr>
              <w:pStyle w:val="Other0"/>
              <w:framePr w:w="11467" w:h="4728" w:vSpace="1795" w:wrap="none" w:hAnchor="page" w:x="606" w:y="375"/>
              <w:spacing w:line="240" w:lineRule="auto"/>
              <w:ind w:firstLine="0"/>
              <w:rPr>
                <w:sz w:val="16"/>
                <w:szCs w:val="16"/>
              </w:rPr>
            </w:pPr>
            <w:r>
              <w:rPr>
                <w:rFonts w:ascii="Times New Roman" w:eastAsia="Times New Roman" w:hAnsi="Times New Roman" w:cs="Times New Roman"/>
                <w:color w:val="000000"/>
                <w:sz w:val="16"/>
                <w:szCs w:val="16"/>
              </w:rPr>
              <w:t>Zanamivir (Relenza)</w:t>
            </w:r>
          </w:p>
        </w:tc>
        <w:tc>
          <w:tcPr>
            <w:tcW w:w="3077" w:type="dxa"/>
            <w:tcBorders>
              <w:bottom w:val="single" w:sz="4" w:space="0" w:color="auto"/>
            </w:tcBorders>
            <w:shd w:val="clear" w:color="auto" w:fill="FFFFFF"/>
          </w:tcPr>
          <w:p w14:paraId="138EB072" w14:textId="77777777" w:rsidR="00924992" w:rsidRDefault="00924992">
            <w:pPr>
              <w:pStyle w:val="Other0"/>
              <w:framePr w:w="11467" w:h="4728" w:vSpace="1795" w:wrap="none" w:hAnchor="page" w:x="606" w:y="375"/>
              <w:spacing w:line="240" w:lineRule="auto"/>
              <w:ind w:firstLine="0"/>
              <w:rPr>
                <w:sz w:val="16"/>
                <w:szCs w:val="16"/>
              </w:rPr>
            </w:pPr>
            <w:r>
              <w:rPr>
                <w:rFonts w:ascii="Times New Roman" w:eastAsia="Times New Roman" w:hAnsi="Times New Roman" w:cs="Times New Roman"/>
                <w:color w:val="000000"/>
                <w:sz w:val="16"/>
                <w:szCs w:val="16"/>
              </w:rPr>
              <w:t>Influenza A y B: tratamiento</w:t>
            </w:r>
          </w:p>
        </w:tc>
        <w:tc>
          <w:tcPr>
            <w:tcW w:w="1733" w:type="dxa"/>
            <w:tcBorders>
              <w:bottom w:val="single" w:sz="4" w:space="0" w:color="auto"/>
            </w:tcBorders>
            <w:shd w:val="clear" w:color="auto" w:fill="FFFFFF"/>
          </w:tcPr>
          <w:p w14:paraId="6413B870" w14:textId="77777777" w:rsidR="00924992" w:rsidRDefault="00924992">
            <w:pPr>
              <w:pStyle w:val="Other0"/>
              <w:framePr w:w="11467" w:h="4728" w:vSpace="1795" w:wrap="none" w:hAnchor="page" w:x="606" w:y="375"/>
              <w:spacing w:line="240" w:lineRule="auto"/>
              <w:ind w:firstLine="140"/>
              <w:rPr>
                <w:sz w:val="16"/>
                <w:szCs w:val="16"/>
              </w:rPr>
            </w:pPr>
            <w:r>
              <w:rPr>
                <w:rFonts w:ascii="Times New Roman" w:eastAsia="Times New Roman" w:hAnsi="Times New Roman" w:cs="Times New Roman"/>
                <w:color w:val="000000"/>
                <w:sz w:val="16"/>
                <w:szCs w:val="16"/>
              </w:rPr>
              <w:t>Inhalación</w:t>
            </w:r>
          </w:p>
        </w:tc>
        <w:tc>
          <w:tcPr>
            <w:tcW w:w="4714" w:type="dxa"/>
            <w:tcBorders>
              <w:bottom w:val="single" w:sz="4" w:space="0" w:color="auto"/>
            </w:tcBorders>
            <w:shd w:val="clear" w:color="auto" w:fill="FFFFFF"/>
          </w:tcPr>
          <w:p w14:paraId="63979546" w14:textId="77777777" w:rsidR="00924992" w:rsidRDefault="00924992">
            <w:pPr>
              <w:pStyle w:val="Other0"/>
              <w:framePr w:w="11467" w:h="4728" w:vSpace="1795" w:wrap="none" w:hAnchor="page" w:x="606" w:y="375"/>
              <w:spacing w:line="259" w:lineRule="auto"/>
              <w:ind w:left="200" w:hanging="200"/>
              <w:rPr>
                <w:sz w:val="16"/>
                <w:szCs w:val="16"/>
              </w:rPr>
            </w:pPr>
            <w:r>
              <w:rPr>
                <w:rFonts w:ascii="Times New Roman" w:eastAsia="Times New Roman" w:hAnsi="Times New Roman" w:cs="Times New Roman"/>
                <w:color w:val="000000"/>
                <w:sz w:val="16"/>
                <w:szCs w:val="16"/>
              </w:rPr>
              <w:t>Tratamiento de niños de 7 años o más y adultos: 10 mg dos veces al día. Véase “Influenza” (sección 3). No se ha aprobado para utilizar con fin profiláctico.</w:t>
            </w:r>
          </w:p>
        </w:tc>
      </w:tr>
    </w:tbl>
    <w:p w14:paraId="332416D6" w14:textId="77777777" w:rsidR="00924992" w:rsidRDefault="00924992">
      <w:pPr>
        <w:framePr w:w="11467" w:h="4728" w:vSpace="1795" w:wrap="none" w:hAnchor="page" w:x="606" w:y="375"/>
        <w:spacing w:line="1" w:lineRule="exact"/>
      </w:pPr>
    </w:p>
    <w:p w14:paraId="0A8CF0A1" w14:textId="77777777" w:rsidR="00924992" w:rsidRDefault="00924992">
      <w:pPr>
        <w:pStyle w:val="Tablecaption0"/>
        <w:framePr w:w="11054" w:h="1747" w:wrap="none" w:hAnchor="page" w:x="673" w:y="5151"/>
        <w:spacing w:line="233" w:lineRule="auto"/>
        <w:ind w:left="0" w:firstLine="180"/>
        <w:jc w:val="both"/>
      </w:pPr>
      <w:r>
        <w:rPr>
          <w:color w:val="000000"/>
        </w:rPr>
        <w:t xml:space="preserve">IV, intravenoso; IO, intraocular; HSV, virus de herpes simple </w:t>
      </w:r>
      <w:r>
        <w:rPr>
          <w:i/>
          <w:iCs/>
          <w:color w:val="000000"/>
        </w:rPr>
        <w:t>(herpes simplex virus')</w:t>
      </w:r>
      <w:r>
        <w:rPr>
          <w:color w:val="000000"/>
        </w:rPr>
        <w:t xml:space="preserve"> CMV, virus citomegálico </w:t>
      </w:r>
      <w:r>
        <w:rPr>
          <w:i/>
          <w:iCs/>
          <w:color w:val="000000"/>
        </w:rPr>
        <w:t>(cytomegalovirus).</w:t>
      </w:r>
    </w:p>
    <w:p w14:paraId="5BF7FEA5" w14:textId="77777777" w:rsidR="00924992" w:rsidRDefault="00924992">
      <w:pPr>
        <w:pStyle w:val="Tablecaption0"/>
        <w:framePr w:w="11054" w:h="1747" w:wrap="none" w:hAnchor="page" w:x="673" w:y="5151"/>
        <w:numPr>
          <w:ilvl w:val="0"/>
          <w:numId w:val="130"/>
        </w:numPr>
        <w:tabs>
          <w:tab w:val="left" w:pos="163"/>
        </w:tabs>
        <w:spacing w:line="233" w:lineRule="auto"/>
        <w:ind w:left="0"/>
        <w:jc w:val="both"/>
      </w:pPr>
      <w:r>
        <w:rPr>
          <w:color w:val="000000"/>
        </w:rPr>
        <w:t>Es necesario disminuir la dosis en personas con deficiencia de la función renal.</w:t>
      </w:r>
    </w:p>
    <w:p w14:paraId="53F0D595" w14:textId="77777777" w:rsidR="00924992" w:rsidRDefault="00924992">
      <w:pPr>
        <w:pStyle w:val="Tablecaption0"/>
        <w:framePr w:w="11054" w:h="1747" w:wrap="none" w:hAnchor="page" w:x="673" w:y="5151"/>
        <w:numPr>
          <w:ilvl w:val="0"/>
          <w:numId w:val="130"/>
        </w:numPr>
        <w:tabs>
          <w:tab w:val="left" w:pos="173"/>
        </w:tabs>
        <w:spacing w:line="233" w:lineRule="auto"/>
        <w:ind w:left="0"/>
        <w:jc w:val="both"/>
      </w:pPr>
      <w:r>
        <w:rPr>
          <w:color w:val="000000"/>
        </w:rPr>
        <w:t>La dosis de aciclovir ingerible en niños no debe exceder de 80 mg/kg de peso al día.</w:t>
      </w:r>
    </w:p>
    <w:p w14:paraId="593EA692" w14:textId="77777777" w:rsidR="00924992" w:rsidRDefault="00924992">
      <w:pPr>
        <w:pStyle w:val="Tablecaption0"/>
        <w:framePr w:w="11054" w:h="1747" w:wrap="none" w:hAnchor="page" w:x="673" w:y="5151"/>
        <w:numPr>
          <w:ilvl w:val="0"/>
          <w:numId w:val="130"/>
        </w:numPr>
        <w:tabs>
          <w:tab w:val="left" w:pos="168"/>
        </w:tabs>
        <w:spacing w:line="233" w:lineRule="auto"/>
        <w:ind w:left="0"/>
        <w:jc w:val="both"/>
      </w:pPr>
      <w:r>
        <w:rPr>
          <w:color w:val="000000"/>
        </w:rPr>
        <w:t>Indicaciones selectivas; véase “Varicela-zoster, infecciones por el virus” (sección 3).</w:t>
      </w:r>
    </w:p>
    <w:p w14:paraId="53890907" w14:textId="77777777" w:rsidR="00924992" w:rsidRDefault="00924992">
      <w:pPr>
        <w:pStyle w:val="Tablecaption0"/>
        <w:framePr w:w="11054" w:h="1747" w:wrap="none" w:hAnchor="page" w:x="673" w:y="5151"/>
        <w:numPr>
          <w:ilvl w:val="0"/>
          <w:numId w:val="130"/>
        </w:numPr>
        <w:tabs>
          <w:tab w:val="left" w:pos="158"/>
        </w:tabs>
        <w:spacing w:line="233" w:lineRule="auto"/>
        <w:ind w:left="180" w:hanging="180"/>
      </w:pPr>
      <w:r>
        <w:rPr>
          <w:color w:val="000000"/>
        </w:rPr>
        <w:t>Algunos expertos usan ganciclovir en el hospedador inmunodeficiente con ataque de vías gastrointestinales y neumonitis, ambas por virus citomegálico (con la aplicación del concentrado inmunoglobulínico intravenoso contra CMV o sin ella).</w:t>
      </w:r>
    </w:p>
    <w:p w14:paraId="4B2C3127" w14:textId="77777777" w:rsidR="00924992" w:rsidRDefault="00924992">
      <w:pPr>
        <w:pStyle w:val="Tablecaption0"/>
        <w:framePr w:w="11054" w:h="1747" w:wrap="none" w:hAnchor="page" w:x="673" w:y="5151"/>
        <w:numPr>
          <w:ilvl w:val="0"/>
          <w:numId w:val="130"/>
        </w:numPr>
        <w:tabs>
          <w:tab w:val="left" w:pos="168"/>
        </w:tabs>
        <w:spacing w:line="233" w:lineRule="auto"/>
        <w:ind w:left="180" w:hanging="180"/>
      </w:pPr>
      <w:r>
        <w:rPr>
          <w:color w:val="000000"/>
        </w:rPr>
        <w:t>La suspensión ingerible de oseltamivir se expende con una jeringuilla calibrada con graduaciones de 30, 45 y 60 mg; es posible administrar 75 mg con una combinación de las graduaciones de 30 y 45 miligramos.</w:t>
      </w:r>
    </w:p>
    <w:p w14:paraId="79667650" w14:textId="77777777" w:rsidR="00924992" w:rsidRDefault="00924992">
      <w:pPr>
        <w:pStyle w:val="Tablecaption0"/>
        <w:framePr w:w="11054" w:h="1747" w:wrap="none" w:hAnchor="page" w:x="673" w:y="5151"/>
        <w:spacing w:line="233" w:lineRule="auto"/>
        <w:ind w:left="180"/>
      </w:pPr>
      <w:r>
        <w:rPr>
          <w:color w:val="000000"/>
        </w:rPr>
        <w:t xml:space="preserve">Para mayor información sobre fármacos individuales, véase </w:t>
      </w:r>
      <w:r>
        <w:rPr>
          <w:i/>
          <w:iCs/>
          <w:color w:val="000000"/>
        </w:rPr>
        <w:t>Physician’s Desk Reference</w:t>
      </w:r>
      <w:r>
        <w:rPr>
          <w:color w:val="000000"/>
        </w:rPr>
        <w:t xml:space="preserve"> (Greenwood Village, CO: Thomson Micromedex) o </w:t>
      </w:r>
      <w:hyperlink r:id="rId302" w:history="1">
        <w:r>
          <w:rPr>
            <w:color w:val="000000"/>
          </w:rPr>
          <w:t>http://pdrel.thomsonhc.com/pdrel/librarian/action/command.Command</w:t>
        </w:r>
      </w:hyperlink>
      <w:r>
        <w:rPr>
          <w:color w:val="000000"/>
        </w:rPr>
        <w:t>.</w:t>
      </w:r>
    </w:p>
    <w:p w14:paraId="6AD5D066" w14:textId="77777777" w:rsidR="00924992" w:rsidRDefault="00924992">
      <w:pPr>
        <w:pStyle w:val="Bodytext80"/>
        <w:framePr w:w="192" w:h="5640" w:hRule="exact" w:wrap="none" w:hAnchor="page" w:x="12390" w:y="1268"/>
        <w:tabs>
          <w:tab w:val="left" w:pos="5323"/>
        </w:tabs>
        <w:textDirection w:val="tbRl"/>
        <w:rPr>
          <w:sz w:val="16"/>
          <w:szCs w:val="16"/>
        </w:rPr>
      </w:pPr>
      <w:r>
        <w:t>ANTIVÍRICOS CONTRA INFECCIONES NO PRODUCIDAS POR VIH</w:t>
      </w:r>
      <w:r>
        <w:tab/>
      </w:r>
      <w:r>
        <w:rPr>
          <w:sz w:val="16"/>
          <w:szCs w:val="16"/>
        </w:rPr>
        <w:t>769</w:t>
      </w:r>
    </w:p>
    <w:p w14:paraId="27A8C447" w14:textId="77777777" w:rsidR="00924992" w:rsidRDefault="00924992">
      <w:pPr>
        <w:spacing w:line="360" w:lineRule="exact"/>
      </w:pPr>
    </w:p>
    <w:p w14:paraId="107EAEF0" w14:textId="77777777" w:rsidR="00924992" w:rsidRDefault="00924992">
      <w:pPr>
        <w:spacing w:line="360" w:lineRule="exact"/>
      </w:pPr>
    </w:p>
    <w:p w14:paraId="6709EA2D" w14:textId="77777777" w:rsidR="00924992" w:rsidRDefault="00924992">
      <w:pPr>
        <w:spacing w:line="360" w:lineRule="exact"/>
      </w:pPr>
    </w:p>
    <w:p w14:paraId="0269BB02" w14:textId="77777777" w:rsidR="00924992" w:rsidRDefault="00924992">
      <w:pPr>
        <w:spacing w:line="360" w:lineRule="exact"/>
      </w:pPr>
    </w:p>
    <w:p w14:paraId="2D37FC77" w14:textId="77777777" w:rsidR="00924992" w:rsidRDefault="00924992">
      <w:pPr>
        <w:spacing w:line="360" w:lineRule="exact"/>
      </w:pPr>
    </w:p>
    <w:p w14:paraId="57DD38AC" w14:textId="77777777" w:rsidR="00924992" w:rsidRDefault="00924992">
      <w:pPr>
        <w:spacing w:line="360" w:lineRule="exact"/>
      </w:pPr>
    </w:p>
    <w:p w14:paraId="5CD40E5A" w14:textId="77777777" w:rsidR="00924992" w:rsidRDefault="00924992">
      <w:pPr>
        <w:spacing w:line="360" w:lineRule="exact"/>
      </w:pPr>
    </w:p>
    <w:p w14:paraId="4E3773CD" w14:textId="77777777" w:rsidR="00924992" w:rsidRDefault="00924992">
      <w:pPr>
        <w:spacing w:line="360" w:lineRule="exact"/>
      </w:pPr>
    </w:p>
    <w:p w14:paraId="406268E6" w14:textId="77777777" w:rsidR="00924992" w:rsidRDefault="00924992">
      <w:pPr>
        <w:spacing w:line="360" w:lineRule="exact"/>
      </w:pPr>
    </w:p>
    <w:p w14:paraId="1A5F08D6" w14:textId="77777777" w:rsidR="00924992" w:rsidRDefault="00924992">
      <w:pPr>
        <w:spacing w:line="360" w:lineRule="exact"/>
      </w:pPr>
    </w:p>
    <w:p w14:paraId="4AE2C5F2" w14:textId="77777777" w:rsidR="00924992" w:rsidRDefault="00924992">
      <w:pPr>
        <w:spacing w:line="360" w:lineRule="exact"/>
      </w:pPr>
    </w:p>
    <w:p w14:paraId="78D0A456" w14:textId="77777777" w:rsidR="00924992" w:rsidRDefault="00924992">
      <w:pPr>
        <w:spacing w:line="360" w:lineRule="exact"/>
      </w:pPr>
    </w:p>
    <w:p w14:paraId="773D65C2" w14:textId="77777777" w:rsidR="00924992" w:rsidRDefault="00924992">
      <w:pPr>
        <w:spacing w:line="360" w:lineRule="exact"/>
      </w:pPr>
    </w:p>
    <w:p w14:paraId="0975C0AF" w14:textId="77777777" w:rsidR="00924992" w:rsidRDefault="00924992">
      <w:pPr>
        <w:spacing w:line="360" w:lineRule="exact"/>
      </w:pPr>
    </w:p>
    <w:p w14:paraId="056DC122" w14:textId="77777777" w:rsidR="00924992" w:rsidRDefault="00924992">
      <w:pPr>
        <w:spacing w:line="360" w:lineRule="exact"/>
      </w:pPr>
    </w:p>
    <w:p w14:paraId="5E96FABC" w14:textId="77777777" w:rsidR="00924992" w:rsidRDefault="00924992">
      <w:pPr>
        <w:spacing w:line="360" w:lineRule="exact"/>
      </w:pPr>
    </w:p>
    <w:p w14:paraId="611DDFC7" w14:textId="77777777" w:rsidR="00924992" w:rsidRDefault="00924992">
      <w:pPr>
        <w:spacing w:line="360" w:lineRule="exact"/>
      </w:pPr>
    </w:p>
    <w:p w14:paraId="521EBB32" w14:textId="77777777" w:rsidR="00924992" w:rsidRDefault="00924992">
      <w:pPr>
        <w:spacing w:line="360" w:lineRule="exact"/>
      </w:pPr>
    </w:p>
    <w:p w14:paraId="00004835" w14:textId="77777777" w:rsidR="00924992" w:rsidRDefault="00924992">
      <w:pPr>
        <w:spacing w:after="426" w:line="1" w:lineRule="exact"/>
      </w:pPr>
    </w:p>
    <w:p w14:paraId="25DEC0F8" w14:textId="77777777" w:rsidR="00924992" w:rsidRDefault="00924992">
      <w:pPr>
        <w:spacing w:line="1" w:lineRule="exact"/>
        <w:sectPr w:rsidR="00924992" w:rsidSect="00924992">
          <w:headerReference w:type="even" r:id="rId303"/>
          <w:headerReference w:type="default" r:id="rId304"/>
          <w:footerReference w:type="even" r:id="rId305"/>
          <w:footerReference w:type="default" r:id="rId306"/>
          <w:pgSz w:w="13022" w:h="8501" w:orient="landscape"/>
          <w:pgMar w:top="1090" w:right="442" w:bottom="304" w:left="605" w:header="662" w:footer="3" w:gutter="0"/>
          <w:cols w:space="720"/>
          <w:noEndnote/>
          <w:docGrid w:linePitch="360"/>
          <w15:footnoteColumns w:val="1"/>
        </w:sectPr>
      </w:pPr>
    </w:p>
    <w:p w14:paraId="6D9DA7E9" w14:textId="77777777" w:rsidR="00924992" w:rsidRDefault="00924992">
      <w:pPr>
        <w:pStyle w:val="Heading31"/>
        <w:keepNext/>
        <w:keepLines/>
        <w:framePr w:w="7958" w:h="557" w:wrap="none" w:hAnchor="page" w:x="1931" w:y="1"/>
        <w:spacing w:line="216" w:lineRule="auto"/>
        <w:jc w:val="center"/>
      </w:pPr>
      <w:bookmarkStart w:id="422" w:name="bookmark1868"/>
      <w:bookmarkStart w:id="423" w:name="bookmark1869"/>
      <w:bookmarkStart w:id="424" w:name="bookmark1870"/>
      <w:r>
        <w:rPr>
          <w:b w:val="0"/>
          <w:bCs w:val="0"/>
          <w:color w:val="000000"/>
        </w:rPr>
        <w:t xml:space="preserve">Cuadro 4-9. </w:t>
      </w:r>
      <w:r>
        <w:rPr>
          <w:color w:val="000000"/>
        </w:rPr>
        <w:t>Características de los antirretrovíricos: inhibidores nucleósidos/nucléotidos</w:t>
      </w:r>
      <w:r>
        <w:rPr>
          <w:color w:val="000000"/>
        </w:rPr>
        <w:br/>
        <w:t>de la transcriptasa inversa</w:t>
      </w:r>
      <w:bookmarkEnd w:id="422"/>
      <w:bookmarkEnd w:id="423"/>
      <w:bookmarkEnd w:id="424"/>
    </w:p>
    <w:tbl>
      <w:tblPr>
        <w:tblOverlap w:val="never"/>
        <w:tblW w:w="0" w:type="auto"/>
        <w:tblLayout w:type="fixed"/>
        <w:tblCellMar>
          <w:left w:w="10" w:type="dxa"/>
          <w:right w:w="10" w:type="dxa"/>
        </w:tblCellMar>
        <w:tblLook w:val="04A0" w:firstRow="1" w:lastRow="0" w:firstColumn="1" w:lastColumn="0" w:noHBand="0" w:noVBand="1"/>
      </w:tblPr>
      <w:tblGrid>
        <w:gridCol w:w="2424"/>
        <w:gridCol w:w="4142"/>
        <w:gridCol w:w="3970"/>
      </w:tblGrid>
      <w:tr w:rsidR="00924992" w14:paraId="25356F20" w14:textId="77777777">
        <w:tblPrEx>
          <w:tblCellMar>
            <w:top w:w="0" w:type="dxa"/>
            <w:bottom w:w="0" w:type="dxa"/>
          </w:tblCellMar>
        </w:tblPrEx>
        <w:trPr>
          <w:trHeight w:hRule="exact" w:val="283"/>
        </w:trPr>
        <w:tc>
          <w:tcPr>
            <w:tcW w:w="2424" w:type="dxa"/>
            <w:vMerge w:val="restart"/>
            <w:shd w:val="clear" w:color="auto" w:fill="000000"/>
          </w:tcPr>
          <w:p w14:paraId="543F77A6" w14:textId="77777777" w:rsidR="00924992" w:rsidRDefault="00924992">
            <w:pPr>
              <w:pStyle w:val="Other0"/>
              <w:framePr w:w="10536" w:h="5851" w:wrap="none" w:hAnchor="page" w:x="639" w:y="596"/>
              <w:pBdr>
                <w:top w:val="single" w:sz="0" w:space="0" w:color="000000"/>
                <w:left w:val="single" w:sz="0" w:space="0" w:color="000000"/>
                <w:bottom w:val="single" w:sz="0" w:space="0" w:color="000000"/>
                <w:right w:val="single" w:sz="0" w:space="0" w:color="000000"/>
              </w:pBdr>
              <w:shd w:val="clear" w:color="auto" w:fill="000000"/>
              <w:spacing w:line="209" w:lineRule="auto"/>
              <w:ind w:firstLine="0"/>
              <w:rPr>
                <w:sz w:val="24"/>
                <w:szCs w:val="24"/>
              </w:rPr>
            </w:pPr>
            <w:r>
              <w:rPr>
                <w:rFonts w:ascii="Arial" w:eastAsia="Arial" w:hAnsi="Arial" w:cs="Arial"/>
                <w:b/>
                <w:bCs/>
                <w:color w:val="FFFFFF"/>
                <w:w w:val="70"/>
                <w:sz w:val="24"/>
                <w:szCs w:val="24"/>
              </w:rPr>
              <w:t>Fármaco (siglas)/ nombre comercial</w:t>
            </w:r>
          </w:p>
        </w:tc>
        <w:tc>
          <w:tcPr>
            <w:tcW w:w="4142" w:type="dxa"/>
            <w:shd w:val="clear" w:color="auto" w:fill="000000"/>
            <w:vAlign w:val="bottom"/>
          </w:tcPr>
          <w:p w14:paraId="21DE0BA0" w14:textId="77777777" w:rsidR="00924992" w:rsidRDefault="00924992">
            <w:pPr>
              <w:pStyle w:val="Other0"/>
              <w:framePr w:w="10536" w:h="5851" w:wrap="none" w:hAnchor="page" w:x="639" w:y="596"/>
              <w:pBdr>
                <w:top w:val="single" w:sz="0" w:space="0" w:color="000000"/>
                <w:left w:val="single" w:sz="0" w:space="0" w:color="000000"/>
                <w:bottom w:val="single" w:sz="0" w:space="0" w:color="000000"/>
                <w:right w:val="single" w:sz="0" w:space="0" w:color="000000"/>
              </w:pBdr>
              <w:shd w:val="clear" w:color="auto" w:fill="000000"/>
              <w:spacing w:line="240" w:lineRule="auto"/>
              <w:ind w:firstLine="460"/>
              <w:rPr>
                <w:sz w:val="8"/>
                <w:szCs w:val="8"/>
              </w:rPr>
            </w:pPr>
            <w:r>
              <w:rPr>
                <w:rFonts w:ascii="Arial" w:eastAsia="Arial" w:hAnsi="Arial" w:cs="Arial"/>
                <w:b/>
                <w:bCs/>
                <w:color w:val="FFFFFF"/>
                <w:w w:val="70"/>
                <w:sz w:val="24"/>
                <w:szCs w:val="24"/>
              </w:rPr>
              <w:t>Dosis</w:t>
            </w:r>
            <w:r>
              <w:rPr>
                <w:rFonts w:ascii="Times New Roman" w:eastAsia="Times New Roman" w:hAnsi="Times New Roman" w:cs="Times New Roman"/>
                <w:color w:val="FFFFFF"/>
                <w:sz w:val="8"/>
                <w:szCs w:val="8"/>
                <w:vertAlign w:val="superscript"/>
              </w:rPr>
              <w:t>1</w:t>
            </w:r>
          </w:p>
        </w:tc>
        <w:tc>
          <w:tcPr>
            <w:tcW w:w="3970" w:type="dxa"/>
            <w:vMerge w:val="restart"/>
            <w:shd w:val="clear" w:color="auto" w:fill="000000"/>
          </w:tcPr>
          <w:p w14:paraId="5E70B750" w14:textId="77777777" w:rsidR="00924992" w:rsidRDefault="00924992">
            <w:pPr>
              <w:pStyle w:val="Other0"/>
              <w:framePr w:w="10536" w:h="5851" w:wrap="none" w:hAnchor="page" w:x="639" w:y="596"/>
              <w:pBdr>
                <w:top w:val="single" w:sz="0" w:space="0" w:color="000000"/>
                <w:left w:val="single" w:sz="0" w:space="0" w:color="000000"/>
                <w:bottom w:val="single" w:sz="0" w:space="0" w:color="000000"/>
                <w:right w:val="single" w:sz="0" w:space="0" w:color="000000"/>
              </w:pBdr>
              <w:shd w:val="clear" w:color="auto" w:fill="000000"/>
              <w:spacing w:line="240" w:lineRule="auto"/>
              <w:ind w:firstLine="0"/>
              <w:rPr>
                <w:sz w:val="24"/>
                <w:szCs w:val="24"/>
              </w:rPr>
            </w:pPr>
            <w:r>
              <w:rPr>
                <w:rFonts w:ascii="Arial" w:eastAsia="Arial" w:hAnsi="Arial" w:cs="Arial"/>
                <w:b/>
                <w:bCs/>
                <w:color w:val="FFFFFF"/>
                <w:w w:val="70"/>
                <w:sz w:val="24"/>
                <w:szCs w:val="24"/>
              </w:rPr>
              <w:t>Instrucciones especiales</w:t>
            </w:r>
          </w:p>
        </w:tc>
      </w:tr>
      <w:tr w:rsidR="00924992" w14:paraId="66383732" w14:textId="77777777">
        <w:tblPrEx>
          <w:tblCellMar>
            <w:top w:w="0" w:type="dxa"/>
            <w:bottom w:w="0" w:type="dxa"/>
          </w:tblCellMar>
        </w:tblPrEx>
        <w:trPr>
          <w:trHeight w:hRule="exact" w:val="274"/>
        </w:trPr>
        <w:tc>
          <w:tcPr>
            <w:tcW w:w="2424" w:type="dxa"/>
            <w:vMerge/>
            <w:shd w:val="clear" w:color="auto" w:fill="000000"/>
          </w:tcPr>
          <w:p w14:paraId="0DF4EA28" w14:textId="77777777" w:rsidR="00924992" w:rsidRDefault="00924992">
            <w:pPr>
              <w:framePr w:w="10536" w:h="5851" w:wrap="none" w:hAnchor="page" w:x="639" w:y="596"/>
            </w:pPr>
          </w:p>
        </w:tc>
        <w:tc>
          <w:tcPr>
            <w:tcW w:w="4142" w:type="dxa"/>
            <w:shd w:val="clear" w:color="auto" w:fill="000000"/>
          </w:tcPr>
          <w:p w14:paraId="07C7B79B" w14:textId="77777777" w:rsidR="00924992" w:rsidRDefault="00924992">
            <w:pPr>
              <w:framePr w:w="10536" w:h="5851" w:wrap="none" w:hAnchor="page" w:x="639" w:y="596"/>
              <w:rPr>
                <w:sz w:val="10"/>
                <w:szCs w:val="10"/>
              </w:rPr>
            </w:pPr>
          </w:p>
        </w:tc>
        <w:tc>
          <w:tcPr>
            <w:tcW w:w="3970" w:type="dxa"/>
            <w:vMerge/>
            <w:shd w:val="clear" w:color="auto" w:fill="000000"/>
          </w:tcPr>
          <w:p w14:paraId="13DB7C32" w14:textId="77777777" w:rsidR="00924992" w:rsidRDefault="00924992">
            <w:pPr>
              <w:framePr w:w="10536" w:h="5851" w:wrap="none" w:hAnchor="page" w:x="639" w:y="596"/>
            </w:pPr>
          </w:p>
        </w:tc>
      </w:tr>
      <w:tr w:rsidR="00924992" w14:paraId="618343DA" w14:textId="77777777">
        <w:tblPrEx>
          <w:tblCellMar>
            <w:top w:w="0" w:type="dxa"/>
            <w:bottom w:w="0" w:type="dxa"/>
          </w:tblCellMar>
        </w:tblPrEx>
        <w:trPr>
          <w:trHeight w:hRule="exact" w:val="509"/>
        </w:trPr>
        <w:tc>
          <w:tcPr>
            <w:tcW w:w="2424" w:type="dxa"/>
            <w:shd w:val="clear" w:color="auto" w:fill="FFFFFF"/>
            <w:vAlign w:val="center"/>
          </w:tcPr>
          <w:p w14:paraId="15AA5960" w14:textId="77777777" w:rsidR="00924992" w:rsidRDefault="00924992">
            <w:pPr>
              <w:pStyle w:val="Other0"/>
              <w:framePr w:w="10536" w:h="5851" w:wrap="none" w:hAnchor="page" w:x="639" w:y="596"/>
              <w:spacing w:line="240" w:lineRule="auto"/>
              <w:ind w:firstLine="0"/>
              <w:rPr>
                <w:sz w:val="16"/>
                <w:szCs w:val="16"/>
              </w:rPr>
            </w:pPr>
            <w:r>
              <w:rPr>
                <w:rFonts w:ascii="Times New Roman" w:eastAsia="Times New Roman" w:hAnsi="Times New Roman" w:cs="Times New Roman"/>
                <w:b/>
                <w:bCs/>
                <w:color w:val="000000"/>
                <w:sz w:val="16"/>
                <w:szCs w:val="16"/>
              </w:rPr>
              <w:t>Abacavir (ABC)ZZiagen</w:t>
            </w:r>
          </w:p>
        </w:tc>
        <w:tc>
          <w:tcPr>
            <w:tcW w:w="4142" w:type="dxa"/>
            <w:shd w:val="clear" w:color="auto" w:fill="FFFFFF"/>
            <w:vAlign w:val="bottom"/>
          </w:tcPr>
          <w:p w14:paraId="4333740B" w14:textId="77777777" w:rsidR="00924992" w:rsidRDefault="00924992">
            <w:pPr>
              <w:pStyle w:val="Other0"/>
              <w:framePr w:w="10536" w:h="5851" w:wrap="none" w:hAnchor="page" w:x="639" w:y="596"/>
              <w:spacing w:line="283" w:lineRule="auto"/>
              <w:ind w:left="580" w:hanging="100"/>
              <w:rPr>
                <w:sz w:val="16"/>
                <w:szCs w:val="16"/>
              </w:rPr>
            </w:pPr>
            <w:r>
              <w:rPr>
                <w:rFonts w:ascii="Times New Roman" w:eastAsia="Times New Roman" w:hAnsi="Times New Roman" w:cs="Times New Roman"/>
                <w:i/>
                <w:iCs/>
                <w:color w:val="000000"/>
                <w:sz w:val="16"/>
                <w:szCs w:val="16"/>
              </w:rPr>
              <w:t>Neonatos:</w:t>
            </w:r>
            <w:r>
              <w:rPr>
                <w:rFonts w:ascii="Times New Roman" w:eastAsia="Times New Roman" w:hAnsi="Times New Roman" w:cs="Times New Roman"/>
                <w:color w:val="000000"/>
                <w:sz w:val="16"/>
                <w:szCs w:val="16"/>
              </w:rPr>
              <w:t xml:space="preserve"> uno a 3 meses de edad: 8 mg/kg dos veces al día (posologia en estudio)</w:t>
            </w:r>
          </w:p>
        </w:tc>
        <w:tc>
          <w:tcPr>
            <w:tcW w:w="3970" w:type="dxa"/>
            <w:shd w:val="clear" w:color="auto" w:fill="FFFFFF"/>
            <w:vAlign w:val="bottom"/>
          </w:tcPr>
          <w:p w14:paraId="27F79E5E" w14:textId="77777777" w:rsidR="00924992" w:rsidRDefault="00924992">
            <w:pPr>
              <w:pStyle w:val="Other0"/>
              <w:framePr w:w="10536" w:h="5851" w:wrap="none" w:hAnchor="page" w:x="639" w:y="596"/>
              <w:spacing w:line="283" w:lineRule="auto"/>
              <w:ind w:left="200" w:hanging="200"/>
              <w:rPr>
                <w:sz w:val="16"/>
                <w:szCs w:val="16"/>
              </w:rPr>
            </w:pPr>
            <w:r>
              <w:rPr>
                <w:rFonts w:ascii="Times New Roman" w:eastAsia="Times New Roman" w:hAnsi="Times New Roman" w:cs="Times New Roman"/>
                <w:color w:val="000000"/>
                <w:sz w:val="16"/>
                <w:szCs w:val="16"/>
              </w:rPr>
              <w:t>El médico, al recetar abacavir, debe dar al paciente una tarjeta de precauciones que incluya signos y</w:t>
            </w:r>
          </w:p>
        </w:tc>
      </w:tr>
      <w:tr w:rsidR="00924992" w14:paraId="55631CF1" w14:textId="77777777">
        <w:tblPrEx>
          <w:tblCellMar>
            <w:top w:w="0" w:type="dxa"/>
            <w:bottom w:w="0" w:type="dxa"/>
          </w:tblCellMar>
        </w:tblPrEx>
        <w:trPr>
          <w:trHeight w:hRule="exact" w:val="638"/>
        </w:trPr>
        <w:tc>
          <w:tcPr>
            <w:tcW w:w="2424" w:type="dxa"/>
            <w:shd w:val="clear" w:color="auto" w:fill="FFFFFF"/>
          </w:tcPr>
          <w:p w14:paraId="03CEFBE2" w14:textId="77777777" w:rsidR="00924992" w:rsidRDefault="00924992">
            <w:pPr>
              <w:pStyle w:val="Other0"/>
              <w:framePr w:w="10536" w:h="5851" w:wrap="none" w:hAnchor="page" w:x="639" w:y="596"/>
              <w:spacing w:line="240" w:lineRule="auto"/>
              <w:ind w:firstLine="0"/>
              <w:rPr>
                <w:sz w:val="16"/>
                <w:szCs w:val="16"/>
              </w:rPr>
            </w:pPr>
            <w:r>
              <w:rPr>
                <w:rFonts w:ascii="Times New Roman" w:eastAsia="Times New Roman" w:hAnsi="Times New Roman" w:cs="Times New Roman"/>
                <w:color w:val="000000"/>
                <w:sz w:val="16"/>
                <w:szCs w:val="16"/>
              </w:rPr>
              <w:t>Componente de Combivir</w:t>
            </w:r>
          </w:p>
        </w:tc>
        <w:tc>
          <w:tcPr>
            <w:tcW w:w="4142" w:type="dxa"/>
            <w:shd w:val="clear" w:color="auto" w:fill="FFFFFF"/>
            <w:vAlign w:val="bottom"/>
          </w:tcPr>
          <w:p w14:paraId="36A1BFFB" w14:textId="77777777" w:rsidR="00924992" w:rsidRDefault="00924992">
            <w:pPr>
              <w:pStyle w:val="Other0"/>
              <w:framePr w:w="10536" w:h="5851" w:wrap="none" w:hAnchor="page" w:x="639" w:y="596"/>
              <w:spacing w:line="283" w:lineRule="auto"/>
              <w:ind w:left="580" w:hanging="100"/>
              <w:rPr>
                <w:sz w:val="16"/>
                <w:szCs w:val="16"/>
              </w:rPr>
            </w:pPr>
            <w:r>
              <w:rPr>
                <w:rFonts w:ascii="Times New Roman" w:eastAsia="Times New Roman" w:hAnsi="Times New Roman" w:cs="Times New Roman"/>
                <w:i/>
                <w:iCs/>
                <w:color w:val="000000"/>
                <w:sz w:val="16"/>
                <w:szCs w:val="16"/>
              </w:rPr>
              <w:t>Niños y adolescentes:</w:t>
            </w:r>
            <w:r>
              <w:rPr>
                <w:rFonts w:ascii="Times New Roman" w:eastAsia="Times New Roman" w:hAnsi="Times New Roman" w:cs="Times New Roman"/>
                <w:color w:val="000000"/>
                <w:sz w:val="16"/>
                <w:szCs w:val="16"/>
              </w:rPr>
              <w:t xml:space="preserve"> 8 mg/kg, dos veces al día; dosis máxima, 300 mg dos veces al día</w:t>
            </w:r>
          </w:p>
          <w:p w14:paraId="764EC078" w14:textId="77777777" w:rsidR="00924992" w:rsidRDefault="00924992">
            <w:pPr>
              <w:pStyle w:val="Other0"/>
              <w:framePr w:w="10536" w:h="5851" w:wrap="none" w:hAnchor="page" w:x="639" w:y="596"/>
              <w:spacing w:line="283" w:lineRule="auto"/>
              <w:ind w:firstLine="460"/>
              <w:rPr>
                <w:sz w:val="16"/>
                <w:szCs w:val="16"/>
              </w:rPr>
            </w:pPr>
            <w:r>
              <w:rPr>
                <w:rFonts w:ascii="Times New Roman" w:eastAsia="Times New Roman" w:hAnsi="Times New Roman" w:cs="Times New Roman"/>
                <w:i/>
                <w:iCs/>
                <w:color w:val="000000"/>
                <w:sz w:val="16"/>
                <w:szCs w:val="16"/>
              </w:rPr>
              <w:t>Adultos:</w:t>
            </w:r>
            <w:r>
              <w:rPr>
                <w:rFonts w:ascii="Times New Roman" w:eastAsia="Times New Roman" w:hAnsi="Times New Roman" w:cs="Times New Roman"/>
                <w:color w:val="000000"/>
                <w:sz w:val="16"/>
                <w:szCs w:val="16"/>
              </w:rPr>
              <w:t xml:space="preserve"> 300 mg dos veces al día</w:t>
            </w:r>
          </w:p>
        </w:tc>
        <w:tc>
          <w:tcPr>
            <w:tcW w:w="3970" w:type="dxa"/>
            <w:shd w:val="clear" w:color="auto" w:fill="FFFFFF"/>
          </w:tcPr>
          <w:p w14:paraId="463AB5F4" w14:textId="77777777" w:rsidR="00924992" w:rsidRDefault="00924992">
            <w:pPr>
              <w:pStyle w:val="Other0"/>
              <w:framePr w:w="10536" w:h="5851" w:wrap="none" w:hAnchor="page" w:x="639" w:y="596"/>
              <w:spacing w:line="240" w:lineRule="auto"/>
              <w:ind w:firstLine="200"/>
              <w:rPr>
                <w:sz w:val="16"/>
                <w:szCs w:val="16"/>
              </w:rPr>
            </w:pPr>
            <w:r>
              <w:rPr>
                <w:rFonts w:ascii="Times New Roman" w:eastAsia="Times New Roman" w:hAnsi="Times New Roman" w:cs="Times New Roman"/>
                <w:color w:val="000000"/>
                <w:sz w:val="16"/>
                <w:szCs w:val="16"/>
              </w:rPr>
              <w:t>síntomas de hipersensibilidad a dicho fármaco.</w:t>
            </w:r>
          </w:p>
        </w:tc>
      </w:tr>
      <w:tr w:rsidR="00924992" w14:paraId="701361DD" w14:textId="77777777">
        <w:tblPrEx>
          <w:tblCellMar>
            <w:top w:w="0" w:type="dxa"/>
            <w:bottom w:w="0" w:type="dxa"/>
          </w:tblCellMar>
        </w:tblPrEx>
        <w:trPr>
          <w:trHeight w:hRule="exact" w:val="2395"/>
        </w:trPr>
        <w:tc>
          <w:tcPr>
            <w:tcW w:w="2424" w:type="dxa"/>
            <w:shd w:val="clear" w:color="auto" w:fill="FFFFFF"/>
          </w:tcPr>
          <w:p w14:paraId="565A3872" w14:textId="77777777" w:rsidR="00924992" w:rsidRDefault="00924992">
            <w:pPr>
              <w:pStyle w:val="Other0"/>
              <w:framePr w:w="10536" w:h="5851" w:wrap="none" w:hAnchor="page" w:x="639" w:y="596"/>
              <w:spacing w:line="240" w:lineRule="auto"/>
              <w:ind w:firstLine="0"/>
              <w:rPr>
                <w:sz w:val="16"/>
                <w:szCs w:val="16"/>
              </w:rPr>
            </w:pPr>
            <w:r>
              <w:rPr>
                <w:rFonts w:ascii="Times New Roman" w:eastAsia="Times New Roman" w:hAnsi="Times New Roman" w:cs="Times New Roman"/>
                <w:b/>
                <w:bCs/>
                <w:color w:val="000000"/>
                <w:sz w:val="16"/>
                <w:szCs w:val="16"/>
              </w:rPr>
              <w:t>Didanosina (ddl)ZVidex</w:t>
            </w:r>
          </w:p>
        </w:tc>
        <w:tc>
          <w:tcPr>
            <w:tcW w:w="4142" w:type="dxa"/>
            <w:shd w:val="clear" w:color="auto" w:fill="FFFFFF"/>
            <w:vAlign w:val="bottom"/>
          </w:tcPr>
          <w:p w14:paraId="5E3440A8" w14:textId="77777777" w:rsidR="00924992" w:rsidRDefault="00924992">
            <w:pPr>
              <w:pStyle w:val="Other0"/>
              <w:framePr w:w="10536" w:h="5851" w:wrap="none" w:hAnchor="page" w:x="639" w:y="596"/>
              <w:spacing w:line="240" w:lineRule="auto"/>
              <w:ind w:firstLine="460"/>
              <w:rPr>
                <w:sz w:val="16"/>
                <w:szCs w:val="16"/>
              </w:rPr>
            </w:pPr>
            <w:r>
              <w:rPr>
                <w:rFonts w:ascii="Times New Roman" w:eastAsia="Times New Roman" w:hAnsi="Times New Roman" w:cs="Times New Roman"/>
                <w:i/>
                <w:iCs/>
                <w:color w:val="000000"/>
                <w:sz w:val="16"/>
                <w:szCs w:val="16"/>
              </w:rPr>
              <w:t>Límites usuales para niños:</w:t>
            </w:r>
            <w:r>
              <w:rPr>
                <w:rFonts w:ascii="Times New Roman" w:eastAsia="Times New Roman" w:hAnsi="Times New Roman" w:cs="Times New Roman"/>
                <w:color w:val="000000"/>
                <w:sz w:val="16"/>
                <w:szCs w:val="16"/>
              </w:rPr>
              <w:t xml:space="preserve"> 90-120 mg/m</w:t>
            </w:r>
            <w:r>
              <w:rPr>
                <w:rFonts w:ascii="Times New Roman" w:eastAsia="Times New Roman" w:hAnsi="Times New Roman" w:cs="Times New Roman"/>
                <w:color w:val="000000"/>
                <w:sz w:val="16"/>
                <w:szCs w:val="16"/>
                <w:vertAlign w:val="superscript"/>
              </w:rPr>
              <w:t>2</w:t>
            </w:r>
          </w:p>
          <w:p w14:paraId="15A165AB" w14:textId="77777777" w:rsidR="00924992" w:rsidRDefault="00924992">
            <w:pPr>
              <w:pStyle w:val="Other0"/>
              <w:framePr w:w="10536" w:h="5851" w:wrap="none" w:hAnchor="page" w:x="639" w:y="596"/>
              <w:spacing w:line="240" w:lineRule="auto"/>
              <w:ind w:firstLine="580"/>
              <w:rPr>
                <w:sz w:val="16"/>
                <w:szCs w:val="16"/>
              </w:rPr>
            </w:pPr>
            <w:r>
              <w:rPr>
                <w:rFonts w:ascii="Times New Roman" w:eastAsia="Times New Roman" w:hAnsi="Times New Roman" w:cs="Times New Roman"/>
                <w:color w:val="000000"/>
                <w:sz w:val="16"/>
                <w:szCs w:val="16"/>
              </w:rPr>
              <w:t>cada 12 h</w:t>
            </w:r>
          </w:p>
          <w:p w14:paraId="6BC61587" w14:textId="77777777" w:rsidR="00924992" w:rsidRDefault="00924992">
            <w:pPr>
              <w:pStyle w:val="Other0"/>
              <w:framePr w:w="10536" w:h="5851" w:wrap="none" w:hAnchor="page" w:x="639" w:y="596"/>
              <w:spacing w:line="240" w:lineRule="auto"/>
              <w:ind w:firstLine="460"/>
              <w:rPr>
                <w:sz w:val="16"/>
                <w:szCs w:val="16"/>
              </w:rPr>
            </w:pPr>
            <w:r>
              <w:rPr>
                <w:rFonts w:ascii="Times New Roman" w:eastAsia="Times New Roman" w:hAnsi="Times New Roman" w:cs="Times New Roman"/>
                <w:i/>
                <w:iCs/>
                <w:color w:val="000000"/>
                <w:sz w:val="16"/>
                <w:szCs w:val="16"/>
              </w:rPr>
              <w:t>Neonatos (menos de 90 días):</w:t>
            </w:r>
            <w:r>
              <w:rPr>
                <w:rFonts w:ascii="Times New Roman" w:eastAsia="Times New Roman" w:hAnsi="Times New Roman" w:cs="Times New Roman"/>
                <w:color w:val="000000"/>
                <w:sz w:val="16"/>
                <w:szCs w:val="16"/>
              </w:rPr>
              <w:t xml:space="preserve"> 100 mg/m</w:t>
            </w:r>
            <w:r>
              <w:rPr>
                <w:rFonts w:ascii="Times New Roman" w:eastAsia="Times New Roman" w:hAnsi="Times New Roman" w:cs="Times New Roman"/>
                <w:color w:val="000000"/>
                <w:sz w:val="16"/>
                <w:szCs w:val="16"/>
                <w:vertAlign w:val="superscript"/>
              </w:rPr>
              <w:t>2</w:t>
            </w:r>
          </w:p>
          <w:p w14:paraId="2934D607" w14:textId="77777777" w:rsidR="00924992" w:rsidRDefault="00924992">
            <w:pPr>
              <w:pStyle w:val="Other0"/>
              <w:framePr w:w="10536" w:h="5851" w:wrap="none" w:hAnchor="page" w:x="639" w:y="596"/>
              <w:spacing w:after="240" w:line="240" w:lineRule="auto"/>
              <w:ind w:firstLine="580"/>
              <w:rPr>
                <w:sz w:val="16"/>
                <w:szCs w:val="16"/>
              </w:rPr>
            </w:pPr>
            <w:r>
              <w:rPr>
                <w:rFonts w:ascii="Times New Roman" w:eastAsia="Times New Roman" w:hAnsi="Times New Roman" w:cs="Times New Roman"/>
                <w:color w:val="000000"/>
                <w:sz w:val="16"/>
                <w:szCs w:val="16"/>
              </w:rPr>
              <w:t>de 14 días a 6 semanas de edad</w:t>
            </w:r>
          </w:p>
          <w:p w14:paraId="6B03994A" w14:textId="77777777" w:rsidR="00924992" w:rsidRDefault="00924992">
            <w:pPr>
              <w:pStyle w:val="Other0"/>
              <w:framePr w:w="10536" w:h="5851" w:wrap="none" w:hAnchor="page" w:x="639" w:y="596"/>
              <w:spacing w:line="240" w:lineRule="auto"/>
              <w:ind w:firstLine="460"/>
              <w:rPr>
                <w:sz w:val="16"/>
                <w:szCs w:val="16"/>
              </w:rPr>
            </w:pPr>
            <w:r>
              <w:rPr>
                <w:rFonts w:ascii="Times New Roman" w:eastAsia="Times New Roman" w:hAnsi="Times New Roman" w:cs="Times New Roman"/>
                <w:i/>
                <w:iCs/>
                <w:color w:val="000000"/>
                <w:sz w:val="16"/>
                <w:szCs w:val="16"/>
              </w:rPr>
              <w:t>Adolescentes y adultos:</w:t>
            </w:r>
          </w:p>
          <w:p w14:paraId="041CA86B" w14:textId="77777777" w:rsidR="00924992" w:rsidRDefault="00924992">
            <w:pPr>
              <w:pStyle w:val="Other0"/>
              <w:framePr w:w="10536" w:h="5851" w:wrap="none" w:hAnchor="page" w:x="639" w:y="596"/>
              <w:spacing w:line="240" w:lineRule="auto"/>
              <w:ind w:firstLine="580"/>
              <w:rPr>
                <w:sz w:val="16"/>
                <w:szCs w:val="16"/>
              </w:rPr>
            </w:pPr>
            <w:r>
              <w:rPr>
                <w:rFonts w:ascii="Times New Roman" w:eastAsia="Times New Roman" w:hAnsi="Times New Roman" w:cs="Times New Roman"/>
                <w:color w:val="000000"/>
                <w:sz w:val="16"/>
                <w:szCs w:val="16"/>
              </w:rPr>
              <w:t>Más de 60 kg de peso: 200 mg, dos veces al día</w:t>
            </w:r>
          </w:p>
          <w:p w14:paraId="5A75C026" w14:textId="77777777" w:rsidR="00924992" w:rsidRDefault="00924992">
            <w:pPr>
              <w:pStyle w:val="Other0"/>
              <w:framePr w:w="10536" w:h="5851" w:wrap="none" w:hAnchor="page" w:x="639" w:y="596"/>
              <w:spacing w:line="240" w:lineRule="auto"/>
              <w:ind w:firstLine="580"/>
              <w:rPr>
                <w:sz w:val="16"/>
                <w:szCs w:val="16"/>
              </w:rPr>
            </w:pPr>
            <w:r>
              <w:rPr>
                <w:rFonts w:ascii="Times New Roman" w:eastAsia="Times New Roman" w:hAnsi="Times New Roman" w:cs="Times New Roman"/>
                <w:color w:val="000000"/>
                <w:sz w:val="16"/>
                <w:szCs w:val="16"/>
              </w:rPr>
              <w:t>Menos de 60 kg de peso: 125 mg dos veces al día</w:t>
            </w:r>
          </w:p>
          <w:p w14:paraId="7259633E" w14:textId="77777777" w:rsidR="00924992" w:rsidRDefault="00924992">
            <w:pPr>
              <w:pStyle w:val="Other0"/>
              <w:framePr w:w="10536" w:h="5851" w:wrap="none" w:hAnchor="page" w:x="639" w:y="596"/>
              <w:spacing w:line="240" w:lineRule="auto"/>
              <w:ind w:firstLine="460"/>
              <w:rPr>
                <w:sz w:val="16"/>
                <w:szCs w:val="16"/>
              </w:rPr>
            </w:pPr>
            <w:r>
              <w:rPr>
                <w:rFonts w:ascii="Times New Roman" w:eastAsia="Times New Roman" w:hAnsi="Times New Roman" w:cs="Times New Roman"/>
                <w:i/>
                <w:iCs/>
                <w:color w:val="000000"/>
                <w:sz w:val="16"/>
                <w:szCs w:val="16"/>
              </w:rPr>
              <w:t>Videx EC, adolescentes y adultos:</w:t>
            </w:r>
          </w:p>
          <w:p w14:paraId="6A4141E0" w14:textId="77777777" w:rsidR="00924992" w:rsidRDefault="00924992">
            <w:pPr>
              <w:pStyle w:val="Other0"/>
              <w:framePr w:w="10536" w:h="5851" w:wrap="none" w:hAnchor="page" w:x="639" w:y="596"/>
              <w:spacing w:line="240" w:lineRule="auto"/>
              <w:ind w:firstLine="580"/>
              <w:rPr>
                <w:sz w:val="16"/>
                <w:szCs w:val="16"/>
              </w:rPr>
            </w:pPr>
            <w:r>
              <w:rPr>
                <w:rFonts w:ascii="Times New Roman" w:eastAsia="Times New Roman" w:hAnsi="Times New Roman" w:cs="Times New Roman"/>
                <w:color w:val="000000"/>
                <w:sz w:val="16"/>
                <w:szCs w:val="16"/>
              </w:rPr>
              <w:t>Más de 60 kg de peso: 400 mg una vez al día</w:t>
            </w:r>
          </w:p>
          <w:p w14:paraId="64890E0E" w14:textId="77777777" w:rsidR="00924992" w:rsidRDefault="00924992">
            <w:pPr>
              <w:pStyle w:val="Other0"/>
              <w:framePr w:w="10536" w:h="5851" w:wrap="none" w:hAnchor="page" w:x="639" w:y="596"/>
              <w:spacing w:line="240" w:lineRule="auto"/>
              <w:ind w:firstLine="580"/>
              <w:rPr>
                <w:sz w:val="16"/>
                <w:szCs w:val="16"/>
              </w:rPr>
            </w:pPr>
            <w:r>
              <w:rPr>
                <w:rFonts w:ascii="Times New Roman" w:eastAsia="Times New Roman" w:hAnsi="Times New Roman" w:cs="Times New Roman"/>
                <w:color w:val="000000"/>
                <w:sz w:val="16"/>
                <w:szCs w:val="16"/>
              </w:rPr>
              <w:t>Menos de 60 kg de peso: 250 mg una vez al día</w:t>
            </w:r>
          </w:p>
        </w:tc>
        <w:tc>
          <w:tcPr>
            <w:tcW w:w="3970" w:type="dxa"/>
            <w:shd w:val="clear" w:color="auto" w:fill="FFFFFF"/>
            <w:vAlign w:val="bottom"/>
          </w:tcPr>
          <w:p w14:paraId="78ED2D90" w14:textId="77777777" w:rsidR="00924992" w:rsidRDefault="00924992">
            <w:pPr>
              <w:pStyle w:val="Other0"/>
              <w:framePr w:w="10536" w:h="5851" w:wrap="none" w:hAnchor="page" w:x="639" w:y="596"/>
              <w:spacing w:line="283" w:lineRule="auto"/>
              <w:ind w:left="200" w:hanging="200"/>
              <w:rPr>
                <w:sz w:val="16"/>
                <w:szCs w:val="16"/>
              </w:rPr>
            </w:pPr>
            <w:r>
              <w:rPr>
                <w:rFonts w:ascii="Times New Roman" w:eastAsia="Times New Roman" w:hAnsi="Times New Roman" w:cs="Times New Roman"/>
                <w:color w:val="000000"/>
                <w:sz w:val="16"/>
                <w:szCs w:val="16"/>
              </w:rPr>
              <w:t>Todas las presentaciones, excepto Videx EC, contienen agentes neutralizantes o antiácidos.</w:t>
            </w:r>
          </w:p>
          <w:p w14:paraId="3DF9DE88" w14:textId="77777777" w:rsidR="00924992" w:rsidRDefault="00924992">
            <w:pPr>
              <w:pStyle w:val="Other0"/>
              <w:framePr w:w="10536" w:h="5851" w:wrap="none" w:hAnchor="page" w:x="639" w:y="596"/>
              <w:spacing w:line="283" w:lineRule="auto"/>
              <w:ind w:firstLine="0"/>
              <w:rPr>
                <w:sz w:val="16"/>
                <w:szCs w:val="16"/>
              </w:rPr>
            </w:pPr>
            <w:r>
              <w:rPr>
                <w:rFonts w:ascii="Times New Roman" w:eastAsia="Times New Roman" w:hAnsi="Times New Roman" w:cs="Times New Roman"/>
                <w:color w:val="000000"/>
                <w:sz w:val="16"/>
                <w:szCs w:val="16"/>
              </w:rPr>
              <w:t>Los alimentos disminuyen la absorción;</w:t>
            </w:r>
          </w:p>
          <w:p w14:paraId="35DACC91" w14:textId="77777777" w:rsidR="00924992" w:rsidRDefault="00924992">
            <w:pPr>
              <w:pStyle w:val="Other0"/>
              <w:framePr w:w="10536" w:h="5851" w:wrap="none" w:hAnchor="page" w:x="639" w:y="596"/>
              <w:spacing w:line="283" w:lineRule="auto"/>
              <w:ind w:left="200" w:firstLine="0"/>
              <w:rPr>
                <w:sz w:val="16"/>
                <w:szCs w:val="16"/>
              </w:rPr>
            </w:pPr>
            <w:r>
              <w:rPr>
                <w:rFonts w:ascii="Times New Roman" w:eastAsia="Times New Roman" w:hAnsi="Times New Roman" w:cs="Times New Roman"/>
                <w:color w:val="000000"/>
                <w:sz w:val="16"/>
                <w:szCs w:val="16"/>
              </w:rPr>
              <w:t>se administrará ddI con el estómago vacío (1 h antes de la comida o 2 h después).</w:t>
            </w:r>
          </w:p>
          <w:p w14:paraId="25E6A341" w14:textId="77777777" w:rsidR="00924992" w:rsidRDefault="00924992">
            <w:pPr>
              <w:pStyle w:val="Other0"/>
              <w:framePr w:w="10536" w:h="5851" w:wrap="none" w:hAnchor="page" w:x="639" w:y="596"/>
              <w:spacing w:line="283" w:lineRule="auto"/>
              <w:ind w:left="200" w:hanging="200"/>
              <w:rPr>
                <w:sz w:val="16"/>
                <w:szCs w:val="16"/>
              </w:rPr>
            </w:pPr>
            <w:r>
              <w:rPr>
                <w:rFonts w:ascii="Times New Roman" w:eastAsia="Times New Roman" w:hAnsi="Times New Roman" w:cs="Times New Roman"/>
                <w:color w:val="000000"/>
                <w:sz w:val="16"/>
                <w:szCs w:val="16"/>
              </w:rPr>
              <w:t>Administración concomitante de quinolonas: se administrará ddI 2 h después de la dosis de quinolona o 6 h antes de administrarla.</w:t>
            </w:r>
          </w:p>
          <w:p w14:paraId="1C11C085" w14:textId="77777777" w:rsidR="00924992" w:rsidRDefault="00924992">
            <w:pPr>
              <w:pStyle w:val="Other0"/>
              <w:framePr w:w="10536" w:h="5851" w:wrap="none" w:hAnchor="page" w:x="639" w:y="596"/>
              <w:spacing w:line="283" w:lineRule="auto"/>
              <w:ind w:left="200" w:hanging="200"/>
              <w:rPr>
                <w:sz w:val="16"/>
                <w:szCs w:val="16"/>
              </w:rPr>
            </w:pPr>
            <w:r>
              <w:rPr>
                <w:rFonts w:ascii="Times New Roman" w:eastAsia="Times New Roman" w:hAnsi="Times New Roman" w:cs="Times New Roman"/>
                <w:color w:val="000000"/>
                <w:sz w:val="16"/>
                <w:szCs w:val="16"/>
              </w:rPr>
              <w:t>En el caso de solución ingerible: se agitará perfectamente el recipiente y se conservará en refrigeración; mezcla estable durante 30 días.</w:t>
            </w:r>
          </w:p>
        </w:tc>
      </w:tr>
      <w:tr w:rsidR="00924992" w14:paraId="6471CE12" w14:textId="77777777">
        <w:tblPrEx>
          <w:tblCellMar>
            <w:top w:w="0" w:type="dxa"/>
            <w:bottom w:w="0" w:type="dxa"/>
          </w:tblCellMar>
        </w:tblPrEx>
        <w:trPr>
          <w:trHeight w:hRule="exact" w:val="1512"/>
        </w:trPr>
        <w:tc>
          <w:tcPr>
            <w:tcW w:w="2424" w:type="dxa"/>
            <w:shd w:val="clear" w:color="auto" w:fill="FFFFFF"/>
          </w:tcPr>
          <w:p w14:paraId="329E5A4A" w14:textId="77777777" w:rsidR="00924992" w:rsidRDefault="00924992">
            <w:pPr>
              <w:pStyle w:val="Other0"/>
              <w:framePr w:w="10536" w:h="5851" w:wrap="none" w:hAnchor="page" w:x="639" w:y="596"/>
              <w:spacing w:line="240" w:lineRule="auto"/>
              <w:ind w:firstLine="0"/>
              <w:rPr>
                <w:sz w:val="16"/>
                <w:szCs w:val="16"/>
              </w:rPr>
            </w:pPr>
            <w:r>
              <w:rPr>
                <w:rFonts w:ascii="Times New Roman" w:eastAsia="Times New Roman" w:hAnsi="Times New Roman" w:cs="Times New Roman"/>
                <w:b/>
                <w:bCs/>
                <w:color w:val="000000"/>
                <w:sz w:val="16"/>
                <w:szCs w:val="16"/>
              </w:rPr>
              <w:t>Estavudina (d4T)ZZerit</w:t>
            </w:r>
          </w:p>
        </w:tc>
        <w:tc>
          <w:tcPr>
            <w:tcW w:w="4142" w:type="dxa"/>
            <w:shd w:val="clear" w:color="auto" w:fill="FFFFFF"/>
            <w:vAlign w:val="bottom"/>
          </w:tcPr>
          <w:p w14:paraId="7FFA9E39" w14:textId="77777777" w:rsidR="00924992" w:rsidRDefault="00924992">
            <w:pPr>
              <w:pStyle w:val="Other0"/>
              <w:framePr w:w="10536" w:h="5851" w:wrap="none" w:hAnchor="page" w:x="639" w:y="596"/>
              <w:spacing w:line="240" w:lineRule="auto"/>
              <w:ind w:firstLine="460"/>
              <w:rPr>
                <w:sz w:val="16"/>
                <w:szCs w:val="16"/>
              </w:rPr>
            </w:pPr>
            <w:r>
              <w:rPr>
                <w:rFonts w:ascii="Times New Roman" w:eastAsia="Times New Roman" w:hAnsi="Times New Roman" w:cs="Times New Roman"/>
                <w:i/>
                <w:iCs/>
                <w:color w:val="000000"/>
                <w:sz w:val="16"/>
                <w:szCs w:val="16"/>
              </w:rPr>
              <w:t>Niños:</w:t>
            </w:r>
            <w:r>
              <w:rPr>
                <w:rFonts w:ascii="Times New Roman" w:eastAsia="Times New Roman" w:hAnsi="Times New Roman" w:cs="Times New Roman"/>
                <w:color w:val="000000"/>
                <w:sz w:val="16"/>
                <w:szCs w:val="16"/>
              </w:rPr>
              <w:t xml:space="preserve"> 1 mg/kg cada 12 h (peso de 30 kg o menos)</w:t>
            </w:r>
          </w:p>
          <w:p w14:paraId="4C94ECA3" w14:textId="77777777" w:rsidR="00924992" w:rsidRDefault="00924992">
            <w:pPr>
              <w:pStyle w:val="Other0"/>
              <w:framePr w:w="10536" w:h="5851" w:wrap="none" w:hAnchor="page" w:x="639" w:y="596"/>
              <w:spacing w:line="240" w:lineRule="auto"/>
              <w:ind w:firstLine="460"/>
              <w:rPr>
                <w:sz w:val="16"/>
                <w:szCs w:val="16"/>
              </w:rPr>
            </w:pPr>
            <w:r>
              <w:rPr>
                <w:rFonts w:ascii="Times New Roman" w:eastAsia="Times New Roman" w:hAnsi="Times New Roman" w:cs="Times New Roman"/>
                <w:i/>
                <w:iCs/>
                <w:color w:val="000000"/>
                <w:sz w:val="16"/>
                <w:szCs w:val="16"/>
              </w:rPr>
              <w:t>Neonatos:</w:t>
            </w:r>
            <w:r>
              <w:rPr>
                <w:rFonts w:ascii="Times New Roman" w:eastAsia="Times New Roman" w:hAnsi="Times New Roman" w:cs="Times New Roman"/>
                <w:color w:val="000000"/>
                <w:sz w:val="16"/>
                <w:szCs w:val="16"/>
              </w:rPr>
              <w:t xml:space="preserve"> desde el nacimiento hasta los 13 días:</w:t>
            </w:r>
          </w:p>
          <w:p w14:paraId="084713D7" w14:textId="77777777" w:rsidR="00924992" w:rsidRDefault="00924992">
            <w:pPr>
              <w:pStyle w:val="Other0"/>
              <w:framePr w:w="10536" w:h="5851" w:wrap="none" w:hAnchor="page" w:x="639" w:y="596"/>
              <w:spacing w:line="240" w:lineRule="auto"/>
              <w:ind w:firstLine="580"/>
              <w:rPr>
                <w:sz w:val="16"/>
                <w:szCs w:val="16"/>
              </w:rPr>
            </w:pPr>
            <w:r>
              <w:rPr>
                <w:rFonts w:ascii="Times New Roman" w:eastAsia="Times New Roman" w:hAnsi="Times New Roman" w:cs="Times New Roman"/>
                <w:color w:val="000000"/>
                <w:sz w:val="16"/>
                <w:szCs w:val="16"/>
              </w:rPr>
              <w:t>0.5 mg/kg cada 12 h</w:t>
            </w:r>
          </w:p>
          <w:p w14:paraId="29D0E4CA" w14:textId="77777777" w:rsidR="00924992" w:rsidRDefault="00924992">
            <w:pPr>
              <w:pStyle w:val="Other0"/>
              <w:framePr w:w="10536" w:h="5851" w:wrap="none" w:hAnchor="page" w:x="639" w:y="596"/>
              <w:spacing w:line="240" w:lineRule="auto"/>
              <w:ind w:firstLine="580"/>
              <w:rPr>
                <w:sz w:val="16"/>
                <w:szCs w:val="16"/>
              </w:rPr>
            </w:pPr>
            <w:r>
              <w:rPr>
                <w:rFonts w:ascii="Times New Roman" w:eastAsia="Times New Roman" w:hAnsi="Times New Roman" w:cs="Times New Roman"/>
                <w:color w:val="000000"/>
                <w:sz w:val="16"/>
                <w:szCs w:val="16"/>
              </w:rPr>
              <w:t>mayores de 13 días: 1 mg/kg cada 12 h</w:t>
            </w:r>
          </w:p>
          <w:p w14:paraId="4DE5F060" w14:textId="77777777" w:rsidR="00924992" w:rsidRDefault="00924992">
            <w:pPr>
              <w:pStyle w:val="Other0"/>
              <w:framePr w:w="10536" w:h="5851" w:wrap="none" w:hAnchor="page" w:x="639" w:y="596"/>
              <w:spacing w:line="240" w:lineRule="auto"/>
              <w:ind w:firstLine="460"/>
              <w:rPr>
                <w:sz w:val="16"/>
                <w:szCs w:val="16"/>
              </w:rPr>
            </w:pPr>
            <w:r>
              <w:rPr>
                <w:rFonts w:ascii="Times New Roman" w:eastAsia="Times New Roman" w:hAnsi="Times New Roman" w:cs="Times New Roman"/>
                <w:i/>
                <w:iCs/>
                <w:color w:val="000000"/>
                <w:sz w:val="16"/>
                <w:szCs w:val="16"/>
              </w:rPr>
              <w:t>Adolescentes y adultos:</w:t>
            </w:r>
          </w:p>
          <w:p w14:paraId="0943684C" w14:textId="77777777" w:rsidR="00924992" w:rsidRDefault="00924992">
            <w:pPr>
              <w:pStyle w:val="Other0"/>
              <w:framePr w:w="10536" w:h="5851" w:wrap="none" w:hAnchor="page" w:x="639" w:y="596"/>
              <w:spacing w:line="240" w:lineRule="auto"/>
              <w:ind w:firstLine="580"/>
              <w:rPr>
                <w:sz w:val="16"/>
                <w:szCs w:val="16"/>
              </w:rPr>
            </w:pPr>
            <w:r>
              <w:rPr>
                <w:rFonts w:ascii="Times New Roman" w:eastAsia="Times New Roman" w:hAnsi="Times New Roman" w:cs="Times New Roman"/>
                <w:color w:val="000000"/>
                <w:sz w:val="16"/>
                <w:szCs w:val="16"/>
              </w:rPr>
              <w:t>Más de 60 kg de peso: 40 mg dos veces al día</w:t>
            </w:r>
          </w:p>
          <w:p w14:paraId="7A04E1C8" w14:textId="77777777" w:rsidR="00924992" w:rsidRDefault="00924992">
            <w:pPr>
              <w:pStyle w:val="Other0"/>
              <w:framePr w:w="10536" w:h="5851" w:wrap="none" w:hAnchor="page" w:x="639" w:y="596"/>
              <w:spacing w:line="240" w:lineRule="auto"/>
              <w:ind w:firstLine="580"/>
              <w:rPr>
                <w:sz w:val="16"/>
                <w:szCs w:val="16"/>
              </w:rPr>
            </w:pPr>
            <w:r>
              <w:rPr>
                <w:rFonts w:ascii="Times New Roman" w:eastAsia="Times New Roman" w:hAnsi="Times New Roman" w:cs="Times New Roman"/>
                <w:color w:val="000000"/>
                <w:sz w:val="16"/>
                <w:szCs w:val="16"/>
              </w:rPr>
              <w:t>30 a 60 kg: 30 mg dos veces al día</w:t>
            </w:r>
          </w:p>
        </w:tc>
        <w:tc>
          <w:tcPr>
            <w:tcW w:w="3970" w:type="dxa"/>
            <w:shd w:val="clear" w:color="auto" w:fill="FFFFFF"/>
          </w:tcPr>
          <w:p w14:paraId="28569C03" w14:textId="77777777" w:rsidR="00924992" w:rsidRDefault="00924992">
            <w:pPr>
              <w:pStyle w:val="Other0"/>
              <w:framePr w:w="10536" w:h="5851" w:wrap="none" w:hAnchor="page" w:x="639" w:y="596"/>
              <w:spacing w:line="283" w:lineRule="auto"/>
              <w:ind w:firstLine="0"/>
              <w:rPr>
                <w:sz w:val="16"/>
                <w:szCs w:val="16"/>
              </w:rPr>
            </w:pPr>
            <w:r>
              <w:rPr>
                <w:rFonts w:ascii="Times New Roman" w:eastAsia="Times New Roman" w:hAnsi="Times New Roman" w:cs="Times New Roman"/>
                <w:color w:val="000000"/>
                <w:sz w:val="16"/>
                <w:szCs w:val="16"/>
              </w:rPr>
              <w:t>Se puede administrar junto con alimentos.</w:t>
            </w:r>
          </w:p>
          <w:p w14:paraId="1DABD75D" w14:textId="77777777" w:rsidR="00924992" w:rsidRDefault="00924992">
            <w:pPr>
              <w:pStyle w:val="Other0"/>
              <w:framePr w:w="10536" w:h="5851" w:wrap="none" w:hAnchor="page" w:x="639" w:y="596"/>
              <w:spacing w:line="283" w:lineRule="auto"/>
              <w:ind w:left="200" w:hanging="200"/>
              <w:rPr>
                <w:sz w:val="16"/>
                <w:szCs w:val="16"/>
              </w:rPr>
            </w:pPr>
            <w:r>
              <w:rPr>
                <w:rFonts w:ascii="Times New Roman" w:eastAsia="Times New Roman" w:hAnsi="Times New Roman" w:cs="Times New Roman"/>
                <w:color w:val="000000"/>
                <w:sz w:val="16"/>
                <w:szCs w:val="16"/>
              </w:rPr>
              <w:t>En el caso de la solución ingerible: agitar perfectamente el recipiente y conservarlo en refrigeración; la solución es estable durante 30 días.</w:t>
            </w:r>
          </w:p>
        </w:tc>
      </w:tr>
      <w:tr w:rsidR="00924992" w14:paraId="0D2F1B42" w14:textId="77777777">
        <w:tblPrEx>
          <w:tblCellMar>
            <w:top w:w="0" w:type="dxa"/>
            <w:bottom w:w="0" w:type="dxa"/>
          </w:tblCellMar>
        </w:tblPrEx>
        <w:trPr>
          <w:trHeight w:hRule="exact" w:val="240"/>
        </w:trPr>
        <w:tc>
          <w:tcPr>
            <w:tcW w:w="2424" w:type="dxa"/>
            <w:shd w:val="clear" w:color="auto" w:fill="FFFFFF"/>
            <w:vAlign w:val="bottom"/>
          </w:tcPr>
          <w:p w14:paraId="7CFB66B8" w14:textId="77777777" w:rsidR="00924992" w:rsidRDefault="00924992">
            <w:pPr>
              <w:pStyle w:val="Other0"/>
              <w:framePr w:w="10536" w:h="5851" w:wrap="none" w:hAnchor="page" w:x="639" w:y="596"/>
              <w:spacing w:line="240" w:lineRule="auto"/>
              <w:ind w:firstLine="0"/>
              <w:rPr>
                <w:sz w:val="16"/>
                <w:szCs w:val="16"/>
              </w:rPr>
            </w:pPr>
            <w:r>
              <w:rPr>
                <w:rFonts w:ascii="Times New Roman" w:eastAsia="Times New Roman" w:hAnsi="Times New Roman" w:cs="Times New Roman"/>
                <w:b/>
                <w:bCs/>
                <w:color w:val="000000"/>
                <w:sz w:val="16"/>
                <w:szCs w:val="16"/>
              </w:rPr>
              <w:t>Lamivudina (3TC)ZEpivir</w:t>
            </w:r>
          </w:p>
        </w:tc>
        <w:tc>
          <w:tcPr>
            <w:tcW w:w="4142" w:type="dxa"/>
            <w:shd w:val="clear" w:color="auto" w:fill="FFFFFF"/>
            <w:vAlign w:val="bottom"/>
          </w:tcPr>
          <w:p w14:paraId="53A0AD69" w14:textId="77777777" w:rsidR="00924992" w:rsidRDefault="00924992">
            <w:pPr>
              <w:pStyle w:val="Other0"/>
              <w:framePr w:w="10536" w:h="5851" w:wrap="none" w:hAnchor="page" w:x="639" w:y="596"/>
              <w:spacing w:line="240" w:lineRule="auto"/>
              <w:ind w:firstLine="460"/>
              <w:rPr>
                <w:sz w:val="16"/>
                <w:szCs w:val="16"/>
              </w:rPr>
            </w:pPr>
            <w:r>
              <w:rPr>
                <w:rFonts w:ascii="Times New Roman" w:eastAsia="Times New Roman" w:hAnsi="Times New Roman" w:cs="Times New Roman"/>
                <w:i/>
                <w:iCs/>
                <w:color w:val="000000"/>
                <w:sz w:val="16"/>
                <w:szCs w:val="16"/>
              </w:rPr>
              <w:t>Niños:</w:t>
            </w:r>
            <w:r>
              <w:rPr>
                <w:rFonts w:ascii="Times New Roman" w:eastAsia="Times New Roman" w:hAnsi="Times New Roman" w:cs="Times New Roman"/>
                <w:color w:val="000000"/>
                <w:sz w:val="16"/>
                <w:szCs w:val="16"/>
              </w:rPr>
              <w:t xml:space="preserve"> 4 mg/kg cada 12 h</w:t>
            </w:r>
          </w:p>
        </w:tc>
        <w:tc>
          <w:tcPr>
            <w:tcW w:w="3970" w:type="dxa"/>
            <w:shd w:val="clear" w:color="auto" w:fill="FFFFFF"/>
            <w:vAlign w:val="bottom"/>
          </w:tcPr>
          <w:p w14:paraId="562965B1" w14:textId="77777777" w:rsidR="00924992" w:rsidRDefault="00924992">
            <w:pPr>
              <w:pStyle w:val="Other0"/>
              <w:framePr w:w="10536" w:h="5851" w:wrap="none" w:hAnchor="page" w:x="639" w:y="596"/>
              <w:spacing w:line="240" w:lineRule="auto"/>
              <w:ind w:firstLine="0"/>
              <w:rPr>
                <w:sz w:val="16"/>
                <w:szCs w:val="16"/>
              </w:rPr>
            </w:pPr>
            <w:r>
              <w:rPr>
                <w:rFonts w:ascii="Times New Roman" w:eastAsia="Times New Roman" w:hAnsi="Times New Roman" w:cs="Times New Roman"/>
                <w:color w:val="000000"/>
                <w:sz w:val="16"/>
                <w:szCs w:val="16"/>
              </w:rPr>
              <w:t>Se puede administrar con alimentos o sin ellos.</w:t>
            </w:r>
          </w:p>
        </w:tc>
      </w:tr>
    </w:tbl>
    <w:p w14:paraId="6335724A" w14:textId="77777777" w:rsidR="00924992" w:rsidRDefault="00924992">
      <w:pPr>
        <w:framePr w:w="10536" w:h="5851" w:wrap="none" w:hAnchor="page" w:x="639" w:y="596"/>
        <w:spacing w:line="1" w:lineRule="exact"/>
      </w:pPr>
    </w:p>
    <w:p w14:paraId="146E6D62" w14:textId="77777777" w:rsidR="00924992" w:rsidRDefault="00924992">
      <w:pPr>
        <w:pStyle w:val="Bodytext20"/>
        <w:framePr w:w="701" w:h="245" w:wrap="none" w:hAnchor="page" w:x="10475" w:y="6870"/>
        <w:spacing w:line="240" w:lineRule="auto"/>
        <w:jc w:val="right"/>
      </w:pPr>
      <w:r>
        <w:rPr>
          <w:i/>
          <w:iCs/>
          <w:color w:val="000000"/>
        </w:rPr>
        <w:t>continúa</w:t>
      </w:r>
    </w:p>
    <w:p w14:paraId="6B66FCAD" w14:textId="77777777" w:rsidR="00924992" w:rsidRDefault="00924992">
      <w:pPr>
        <w:pStyle w:val="Bodytext80"/>
        <w:framePr w:w="192" w:h="4694" w:hRule="exact" w:wrap="none" w:hAnchor="page" w:x="12390" w:y="11"/>
        <w:tabs>
          <w:tab w:val="left" w:pos="2165"/>
        </w:tabs>
        <w:textDirection w:val="tbRl"/>
      </w:pPr>
      <w:r>
        <w:rPr>
          <w:color w:val="000000"/>
          <w:sz w:val="16"/>
          <w:szCs w:val="16"/>
        </w:rPr>
        <w:t>770</w:t>
      </w:r>
      <w:r>
        <w:rPr>
          <w:color w:val="000000"/>
          <w:sz w:val="16"/>
          <w:szCs w:val="16"/>
        </w:rPr>
        <w:tab/>
      </w:r>
      <w:r>
        <w:rPr>
          <w:color w:val="000000"/>
        </w:rPr>
        <w:t>TERAPIA CON ANTIRRETROVÍRICOS</w:t>
      </w:r>
    </w:p>
    <w:p w14:paraId="68F85BE7" w14:textId="77777777" w:rsidR="00924992" w:rsidRDefault="00924992">
      <w:pPr>
        <w:spacing w:line="360" w:lineRule="exact"/>
      </w:pPr>
    </w:p>
    <w:p w14:paraId="1AEA8BDB" w14:textId="77777777" w:rsidR="00924992" w:rsidRDefault="00924992">
      <w:pPr>
        <w:spacing w:line="360" w:lineRule="exact"/>
      </w:pPr>
    </w:p>
    <w:p w14:paraId="3304095B" w14:textId="77777777" w:rsidR="00924992" w:rsidRDefault="00924992">
      <w:pPr>
        <w:spacing w:line="360" w:lineRule="exact"/>
      </w:pPr>
    </w:p>
    <w:p w14:paraId="3CE7B5C2" w14:textId="77777777" w:rsidR="00924992" w:rsidRDefault="00924992">
      <w:pPr>
        <w:spacing w:line="360" w:lineRule="exact"/>
      </w:pPr>
    </w:p>
    <w:p w14:paraId="2034BB2E" w14:textId="77777777" w:rsidR="00924992" w:rsidRDefault="00924992">
      <w:pPr>
        <w:spacing w:line="360" w:lineRule="exact"/>
      </w:pPr>
    </w:p>
    <w:p w14:paraId="21FD962D" w14:textId="77777777" w:rsidR="00924992" w:rsidRDefault="00924992">
      <w:pPr>
        <w:spacing w:line="360" w:lineRule="exact"/>
      </w:pPr>
    </w:p>
    <w:p w14:paraId="1876F43F" w14:textId="77777777" w:rsidR="00924992" w:rsidRDefault="00924992">
      <w:pPr>
        <w:spacing w:line="360" w:lineRule="exact"/>
      </w:pPr>
    </w:p>
    <w:p w14:paraId="2684DBB2" w14:textId="77777777" w:rsidR="00924992" w:rsidRDefault="00924992">
      <w:pPr>
        <w:spacing w:line="360" w:lineRule="exact"/>
      </w:pPr>
    </w:p>
    <w:p w14:paraId="51ED0817" w14:textId="77777777" w:rsidR="00924992" w:rsidRDefault="00924992">
      <w:pPr>
        <w:spacing w:line="360" w:lineRule="exact"/>
      </w:pPr>
    </w:p>
    <w:p w14:paraId="0D5C3EB0" w14:textId="77777777" w:rsidR="00924992" w:rsidRDefault="00924992">
      <w:pPr>
        <w:spacing w:line="360" w:lineRule="exact"/>
      </w:pPr>
    </w:p>
    <w:p w14:paraId="26DDA1BB" w14:textId="77777777" w:rsidR="00924992" w:rsidRDefault="00924992">
      <w:pPr>
        <w:spacing w:line="360" w:lineRule="exact"/>
      </w:pPr>
    </w:p>
    <w:p w14:paraId="1F925AD4" w14:textId="77777777" w:rsidR="00924992" w:rsidRDefault="00924992">
      <w:pPr>
        <w:spacing w:line="360" w:lineRule="exact"/>
      </w:pPr>
    </w:p>
    <w:p w14:paraId="4CB32CF7" w14:textId="77777777" w:rsidR="00924992" w:rsidRDefault="00924992">
      <w:pPr>
        <w:spacing w:line="360" w:lineRule="exact"/>
      </w:pPr>
    </w:p>
    <w:p w14:paraId="10D0D12E" w14:textId="77777777" w:rsidR="00924992" w:rsidRDefault="00924992">
      <w:pPr>
        <w:spacing w:line="360" w:lineRule="exact"/>
      </w:pPr>
    </w:p>
    <w:p w14:paraId="35F59632" w14:textId="77777777" w:rsidR="00924992" w:rsidRDefault="00924992">
      <w:pPr>
        <w:spacing w:line="360" w:lineRule="exact"/>
      </w:pPr>
    </w:p>
    <w:p w14:paraId="298FD6C1" w14:textId="77777777" w:rsidR="00924992" w:rsidRDefault="00924992">
      <w:pPr>
        <w:spacing w:line="360" w:lineRule="exact"/>
      </w:pPr>
    </w:p>
    <w:p w14:paraId="0E2E74BF" w14:textId="77777777" w:rsidR="00924992" w:rsidRDefault="00924992">
      <w:pPr>
        <w:spacing w:line="360" w:lineRule="exact"/>
      </w:pPr>
    </w:p>
    <w:p w14:paraId="27417391" w14:textId="77777777" w:rsidR="00924992" w:rsidRDefault="00924992">
      <w:pPr>
        <w:spacing w:line="360" w:lineRule="exact"/>
      </w:pPr>
    </w:p>
    <w:p w14:paraId="14FB53A6" w14:textId="77777777" w:rsidR="00924992" w:rsidRDefault="00924992">
      <w:pPr>
        <w:spacing w:after="633" w:line="1" w:lineRule="exact"/>
      </w:pPr>
    </w:p>
    <w:p w14:paraId="08C4D635" w14:textId="77777777" w:rsidR="00924992" w:rsidRDefault="00924992">
      <w:pPr>
        <w:spacing w:line="1" w:lineRule="exact"/>
        <w:sectPr w:rsidR="00924992" w:rsidSect="00924992">
          <w:pgSz w:w="13022" w:h="8501" w:orient="landscape"/>
          <w:pgMar w:top="494" w:right="441" w:bottom="494" w:left="638" w:header="66" w:footer="3" w:gutter="0"/>
          <w:cols w:space="720"/>
          <w:noEndnote/>
          <w:docGrid w:linePitch="360"/>
          <w15:footnoteColumns w:val="1"/>
        </w:sectPr>
      </w:pPr>
    </w:p>
    <w:p w14:paraId="025A6D00" w14:textId="77777777" w:rsidR="00924992" w:rsidRDefault="00924992">
      <w:pPr>
        <w:pStyle w:val="Heading31"/>
        <w:keepNext/>
        <w:keepLines/>
        <w:framePr w:w="7963" w:h="562" w:wrap="none" w:hAnchor="page" w:x="2372" w:y="1"/>
        <w:spacing w:line="211" w:lineRule="auto"/>
        <w:jc w:val="center"/>
        <w:rPr>
          <w:sz w:val="16"/>
          <w:szCs w:val="16"/>
        </w:rPr>
      </w:pPr>
      <w:bookmarkStart w:id="425" w:name="bookmark1871"/>
      <w:bookmarkStart w:id="426" w:name="bookmark1872"/>
      <w:bookmarkStart w:id="427" w:name="bookmark1873"/>
      <w:r>
        <w:rPr>
          <w:b w:val="0"/>
          <w:bCs w:val="0"/>
          <w:color w:val="000000"/>
        </w:rPr>
        <w:t xml:space="preserve">Cuadro 4-9. </w:t>
      </w:r>
      <w:r>
        <w:rPr>
          <w:color w:val="000000"/>
        </w:rPr>
        <w:t>Características de los antirretrovíricos: inhibidores nucleósidos/nucléotidos</w:t>
      </w:r>
      <w:r>
        <w:rPr>
          <w:color w:val="000000"/>
        </w:rPr>
        <w:br/>
        <w:t xml:space="preserve">de la transcriptasa inversa </w:t>
      </w:r>
      <w:r>
        <w:rPr>
          <w:rFonts w:ascii="Times New Roman" w:eastAsia="Times New Roman" w:hAnsi="Times New Roman" w:cs="Times New Roman"/>
          <w:b w:val="0"/>
          <w:bCs w:val="0"/>
          <w:i/>
          <w:iCs/>
          <w:color w:val="000000"/>
          <w:w w:val="100"/>
          <w:sz w:val="16"/>
          <w:szCs w:val="16"/>
        </w:rPr>
        <w:t>continuación</w:t>
      </w:r>
      <w:bookmarkEnd w:id="425"/>
      <w:bookmarkEnd w:id="426"/>
      <w:bookmarkEnd w:id="427"/>
    </w:p>
    <w:tbl>
      <w:tblPr>
        <w:tblOverlap w:val="never"/>
        <w:tblW w:w="0" w:type="auto"/>
        <w:tblLayout w:type="fixed"/>
        <w:tblCellMar>
          <w:left w:w="10" w:type="dxa"/>
          <w:right w:w="10" w:type="dxa"/>
        </w:tblCellMar>
        <w:tblLook w:val="04A0" w:firstRow="1" w:lastRow="0" w:firstColumn="1" w:lastColumn="0" w:noHBand="0" w:noVBand="1"/>
      </w:tblPr>
      <w:tblGrid>
        <w:gridCol w:w="2722"/>
        <w:gridCol w:w="4234"/>
        <w:gridCol w:w="4474"/>
      </w:tblGrid>
      <w:tr w:rsidR="00924992" w14:paraId="363DE037" w14:textId="77777777">
        <w:tblPrEx>
          <w:tblCellMar>
            <w:top w:w="0" w:type="dxa"/>
            <w:bottom w:w="0" w:type="dxa"/>
          </w:tblCellMar>
        </w:tblPrEx>
        <w:trPr>
          <w:trHeight w:hRule="exact" w:val="562"/>
        </w:trPr>
        <w:tc>
          <w:tcPr>
            <w:tcW w:w="2722" w:type="dxa"/>
            <w:shd w:val="clear" w:color="auto" w:fill="000000"/>
          </w:tcPr>
          <w:p w14:paraId="62143FE3" w14:textId="77777777" w:rsidR="00924992" w:rsidRDefault="00924992">
            <w:pPr>
              <w:pStyle w:val="Other0"/>
              <w:framePr w:w="11429" w:h="6058" w:wrap="none" w:hAnchor="page" w:x="635" w:y="611"/>
              <w:pBdr>
                <w:top w:val="single" w:sz="0" w:space="0" w:color="000000"/>
                <w:left w:val="single" w:sz="0" w:space="0" w:color="000000"/>
                <w:bottom w:val="single" w:sz="0" w:space="0" w:color="000000"/>
                <w:right w:val="single" w:sz="0" w:space="0" w:color="000000"/>
              </w:pBdr>
              <w:shd w:val="clear" w:color="auto" w:fill="000000"/>
              <w:spacing w:line="209" w:lineRule="auto"/>
              <w:ind w:firstLine="0"/>
              <w:rPr>
                <w:sz w:val="24"/>
                <w:szCs w:val="24"/>
              </w:rPr>
            </w:pPr>
            <w:r>
              <w:rPr>
                <w:rFonts w:ascii="Arial" w:eastAsia="Arial" w:hAnsi="Arial" w:cs="Arial"/>
                <w:b/>
                <w:bCs/>
                <w:color w:val="FFFFFF"/>
                <w:w w:val="70"/>
                <w:sz w:val="24"/>
                <w:szCs w:val="24"/>
              </w:rPr>
              <w:t>Fármaco (siglas)/ nombre comercial</w:t>
            </w:r>
          </w:p>
        </w:tc>
        <w:tc>
          <w:tcPr>
            <w:tcW w:w="4234" w:type="dxa"/>
            <w:shd w:val="clear" w:color="auto" w:fill="000000"/>
          </w:tcPr>
          <w:p w14:paraId="3DE3CBB9" w14:textId="77777777" w:rsidR="00924992" w:rsidRDefault="00924992">
            <w:pPr>
              <w:pStyle w:val="Other0"/>
              <w:framePr w:w="11429" w:h="6058" w:wrap="none" w:hAnchor="page" w:x="635" w:y="611"/>
              <w:pBdr>
                <w:top w:val="single" w:sz="0" w:space="0" w:color="000000"/>
                <w:left w:val="single" w:sz="0" w:space="0" w:color="000000"/>
                <w:bottom w:val="single" w:sz="0" w:space="0" w:color="000000"/>
                <w:right w:val="single" w:sz="0" w:space="0" w:color="000000"/>
              </w:pBdr>
              <w:shd w:val="clear" w:color="auto" w:fill="000000"/>
              <w:spacing w:line="240" w:lineRule="auto"/>
              <w:ind w:firstLine="0"/>
              <w:rPr>
                <w:sz w:val="8"/>
                <w:szCs w:val="8"/>
              </w:rPr>
            </w:pPr>
            <w:r>
              <w:rPr>
                <w:rFonts w:ascii="Arial" w:eastAsia="Arial" w:hAnsi="Arial" w:cs="Arial"/>
                <w:b/>
                <w:bCs/>
                <w:color w:val="FFFFFF"/>
                <w:w w:val="70"/>
                <w:sz w:val="24"/>
                <w:szCs w:val="24"/>
              </w:rPr>
              <w:t>Dosis</w:t>
            </w:r>
            <w:r>
              <w:rPr>
                <w:rFonts w:ascii="Times New Roman" w:eastAsia="Times New Roman" w:hAnsi="Times New Roman" w:cs="Times New Roman"/>
                <w:color w:val="FFFFFF"/>
                <w:sz w:val="8"/>
                <w:szCs w:val="8"/>
                <w:vertAlign w:val="superscript"/>
              </w:rPr>
              <w:t>1</w:t>
            </w:r>
          </w:p>
        </w:tc>
        <w:tc>
          <w:tcPr>
            <w:tcW w:w="4474" w:type="dxa"/>
            <w:shd w:val="clear" w:color="auto" w:fill="000000"/>
          </w:tcPr>
          <w:p w14:paraId="670B4408" w14:textId="77777777" w:rsidR="00924992" w:rsidRDefault="00924992">
            <w:pPr>
              <w:pStyle w:val="Other0"/>
              <w:framePr w:w="11429" w:h="6058" w:wrap="none" w:hAnchor="page" w:x="635" w:y="611"/>
              <w:pBdr>
                <w:top w:val="single" w:sz="0" w:space="0" w:color="000000"/>
                <w:left w:val="single" w:sz="0" w:space="0" w:color="000000"/>
                <w:bottom w:val="single" w:sz="0" w:space="0" w:color="000000"/>
                <w:right w:val="single" w:sz="0" w:space="0" w:color="000000"/>
              </w:pBdr>
              <w:shd w:val="clear" w:color="auto" w:fill="000000"/>
              <w:spacing w:line="240" w:lineRule="auto"/>
              <w:ind w:firstLine="140"/>
              <w:rPr>
                <w:sz w:val="24"/>
                <w:szCs w:val="24"/>
              </w:rPr>
            </w:pPr>
            <w:r>
              <w:rPr>
                <w:rFonts w:ascii="Arial" w:eastAsia="Arial" w:hAnsi="Arial" w:cs="Arial"/>
                <w:b/>
                <w:bCs/>
                <w:color w:val="FFFFFF"/>
                <w:w w:val="70"/>
                <w:sz w:val="24"/>
                <w:szCs w:val="24"/>
              </w:rPr>
              <w:t>Instrucciones especiales</w:t>
            </w:r>
          </w:p>
        </w:tc>
      </w:tr>
      <w:tr w:rsidR="00924992" w14:paraId="008FBA8F" w14:textId="77777777">
        <w:tblPrEx>
          <w:tblCellMar>
            <w:top w:w="0" w:type="dxa"/>
            <w:bottom w:w="0" w:type="dxa"/>
          </w:tblCellMar>
        </w:tblPrEx>
        <w:trPr>
          <w:trHeight w:hRule="exact" w:val="278"/>
        </w:trPr>
        <w:tc>
          <w:tcPr>
            <w:tcW w:w="2722" w:type="dxa"/>
            <w:shd w:val="clear" w:color="auto" w:fill="FFFFFF"/>
            <w:vAlign w:val="bottom"/>
          </w:tcPr>
          <w:p w14:paraId="7ECF7ABD" w14:textId="77777777" w:rsidR="00924992" w:rsidRDefault="00924992">
            <w:pPr>
              <w:pStyle w:val="Other0"/>
              <w:framePr w:w="11429" w:h="6058" w:wrap="none" w:hAnchor="page" w:x="635" w:y="611"/>
              <w:spacing w:line="240" w:lineRule="auto"/>
              <w:ind w:firstLine="160"/>
              <w:rPr>
                <w:sz w:val="16"/>
                <w:szCs w:val="16"/>
              </w:rPr>
            </w:pPr>
            <w:r>
              <w:rPr>
                <w:rFonts w:ascii="Times New Roman" w:eastAsia="Times New Roman" w:hAnsi="Times New Roman" w:cs="Times New Roman"/>
                <w:color w:val="000000"/>
                <w:sz w:val="16"/>
                <w:szCs w:val="16"/>
              </w:rPr>
              <w:t>Lamivudina (3TC)/Epivir</w:t>
            </w:r>
          </w:p>
        </w:tc>
        <w:tc>
          <w:tcPr>
            <w:tcW w:w="4234" w:type="dxa"/>
            <w:shd w:val="clear" w:color="auto" w:fill="FFFFFF"/>
            <w:vAlign w:val="bottom"/>
          </w:tcPr>
          <w:p w14:paraId="78A49FEA" w14:textId="77777777" w:rsidR="00924992" w:rsidRDefault="00924992">
            <w:pPr>
              <w:pStyle w:val="Other0"/>
              <w:framePr w:w="11429" w:h="6058" w:wrap="none" w:hAnchor="page" w:x="635" w:y="611"/>
              <w:spacing w:line="240" w:lineRule="auto"/>
              <w:ind w:firstLine="0"/>
              <w:rPr>
                <w:sz w:val="16"/>
                <w:szCs w:val="16"/>
              </w:rPr>
            </w:pPr>
            <w:r>
              <w:rPr>
                <w:rFonts w:ascii="Times New Roman" w:eastAsia="Times New Roman" w:hAnsi="Times New Roman" w:cs="Times New Roman"/>
                <w:i/>
                <w:iCs/>
                <w:color w:val="000000"/>
                <w:sz w:val="16"/>
                <w:szCs w:val="16"/>
              </w:rPr>
              <w:t>Neonatos</w:t>
            </w:r>
            <w:r>
              <w:rPr>
                <w:rFonts w:ascii="Times New Roman" w:eastAsia="Times New Roman" w:hAnsi="Times New Roman" w:cs="Times New Roman"/>
                <w:color w:val="000000"/>
                <w:sz w:val="16"/>
                <w:szCs w:val="16"/>
              </w:rPr>
              <w:t xml:space="preserve"> (menos de 30 días): está en fase de</w:t>
            </w:r>
          </w:p>
        </w:tc>
        <w:tc>
          <w:tcPr>
            <w:tcW w:w="4474" w:type="dxa"/>
            <w:shd w:val="clear" w:color="auto" w:fill="FFFFFF"/>
            <w:vAlign w:val="bottom"/>
          </w:tcPr>
          <w:p w14:paraId="5E97CC91" w14:textId="77777777" w:rsidR="00924992" w:rsidRDefault="00924992">
            <w:pPr>
              <w:pStyle w:val="Other0"/>
              <w:framePr w:w="11429" w:h="6058" w:wrap="none" w:hAnchor="page" w:x="635" w:y="611"/>
              <w:spacing w:line="240" w:lineRule="auto"/>
              <w:ind w:firstLine="140"/>
              <w:rPr>
                <w:sz w:val="16"/>
                <w:szCs w:val="16"/>
              </w:rPr>
            </w:pPr>
            <w:r>
              <w:rPr>
                <w:rFonts w:ascii="Times New Roman" w:eastAsia="Times New Roman" w:hAnsi="Times New Roman" w:cs="Times New Roman"/>
                <w:color w:val="000000"/>
                <w:sz w:val="16"/>
                <w:szCs w:val="16"/>
              </w:rPr>
              <w:t>En el caso de una solución ingerible: almacenar a</w:t>
            </w:r>
          </w:p>
        </w:tc>
      </w:tr>
      <w:tr w:rsidR="00924992" w14:paraId="4DD60784" w14:textId="77777777">
        <w:tblPrEx>
          <w:tblCellMar>
            <w:top w:w="0" w:type="dxa"/>
            <w:bottom w:w="0" w:type="dxa"/>
          </w:tblCellMar>
        </w:tblPrEx>
        <w:trPr>
          <w:trHeight w:hRule="exact" w:val="859"/>
        </w:trPr>
        <w:tc>
          <w:tcPr>
            <w:tcW w:w="2722" w:type="dxa"/>
            <w:shd w:val="clear" w:color="auto" w:fill="FFFFFF"/>
          </w:tcPr>
          <w:p w14:paraId="24F4B84C" w14:textId="77777777" w:rsidR="00924992" w:rsidRDefault="00924992">
            <w:pPr>
              <w:pStyle w:val="Other0"/>
              <w:framePr w:w="11429" w:h="6058" w:wrap="none" w:hAnchor="page" w:x="635" w:y="611"/>
              <w:spacing w:line="240" w:lineRule="auto"/>
              <w:ind w:firstLine="160"/>
              <w:rPr>
                <w:sz w:val="16"/>
                <w:szCs w:val="16"/>
              </w:rPr>
            </w:pPr>
            <w:r>
              <w:rPr>
                <w:rFonts w:ascii="Times New Roman" w:eastAsia="Times New Roman" w:hAnsi="Times New Roman" w:cs="Times New Roman"/>
                <w:color w:val="000000"/>
                <w:sz w:val="16"/>
                <w:szCs w:val="16"/>
              </w:rPr>
              <w:t>Componente de Combivir, Trizivir</w:t>
            </w:r>
          </w:p>
        </w:tc>
        <w:tc>
          <w:tcPr>
            <w:tcW w:w="4234" w:type="dxa"/>
            <w:shd w:val="clear" w:color="auto" w:fill="FFFFFF"/>
            <w:vAlign w:val="bottom"/>
          </w:tcPr>
          <w:p w14:paraId="5B4F05DD" w14:textId="77777777" w:rsidR="00924992" w:rsidRDefault="00924992">
            <w:pPr>
              <w:pStyle w:val="Other0"/>
              <w:framePr w:w="11429" w:h="6058" w:wrap="none" w:hAnchor="page" w:x="635" w:y="611"/>
              <w:spacing w:after="440" w:line="240" w:lineRule="auto"/>
              <w:ind w:firstLine="240"/>
              <w:rPr>
                <w:sz w:val="16"/>
                <w:szCs w:val="16"/>
              </w:rPr>
            </w:pPr>
            <w:r>
              <w:rPr>
                <w:rFonts w:ascii="Times New Roman" w:eastAsia="Times New Roman" w:hAnsi="Times New Roman" w:cs="Times New Roman"/>
                <w:color w:val="000000"/>
                <w:sz w:val="16"/>
                <w:szCs w:val="16"/>
              </w:rPr>
              <w:t>estudio clínico: 2 mg/kg cada 12 h</w:t>
            </w:r>
          </w:p>
          <w:p w14:paraId="01A0D4DB" w14:textId="77777777" w:rsidR="00924992" w:rsidRDefault="00924992">
            <w:pPr>
              <w:pStyle w:val="Other0"/>
              <w:framePr w:w="11429" w:h="6058" w:wrap="none" w:hAnchor="page" w:x="635" w:y="611"/>
              <w:spacing w:line="240" w:lineRule="auto"/>
              <w:ind w:firstLine="0"/>
              <w:rPr>
                <w:sz w:val="16"/>
                <w:szCs w:val="16"/>
              </w:rPr>
            </w:pPr>
            <w:r>
              <w:rPr>
                <w:rFonts w:ascii="Times New Roman" w:eastAsia="Times New Roman" w:hAnsi="Times New Roman" w:cs="Times New Roman"/>
                <w:i/>
                <w:iCs/>
                <w:color w:val="000000"/>
                <w:sz w:val="16"/>
                <w:szCs w:val="16"/>
              </w:rPr>
              <w:t>Adolescentes y adultos:</w:t>
            </w:r>
            <w:r>
              <w:rPr>
                <w:rFonts w:ascii="Times New Roman" w:eastAsia="Times New Roman" w:hAnsi="Times New Roman" w:cs="Times New Roman"/>
                <w:color w:val="000000"/>
                <w:sz w:val="16"/>
                <w:szCs w:val="16"/>
              </w:rPr>
              <w:t xml:space="preserve"> 150 mg dos veces al día</w:t>
            </w:r>
          </w:p>
        </w:tc>
        <w:tc>
          <w:tcPr>
            <w:tcW w:w="4474" w:type="dxa"/>
            <w:shd w:val="clear" w:color="auto" w:fill="FFFFFF"/>
          </w:tcPr>
          <w:p w14:paraId="12127E06" w14:textId="77777777" w:rsidR="00924992" w:rsidRDefault="00924992">
            <w:pPr>
              <w:pStyle w:val="Other0"/>
              <w:framePr w:w="11429" w:h="6058" w:wrap="none" w:hAnchor="page" w:x="635" w:y="611"/>
              <w:spacing w:line="283" w:lineRule="auto"/>
              <w:ind w:firstLine="240"/>
              <w:jc w:val="both"/>
              <w:rPr>
                <w:sz w:val="16"/>
                <w:szCs w:val="16"/>
              </w:rPr>
            </w:pPr>
            <w:r>
              <w:rPr>
                <w:rFonts w:ascii="Times New Roman" w:eastAsia="Times New Roman" w:hAnsi="Times New Roman" w:cs="Times New Roman"/>
                <w:color w:val="000000"/>
                <w:sz w:val="16"/>
                <w:szCs w:val="16"/>
              </w:rPr>
              <w:t>temperatura ambiente.</w:t>
            </w:r>
          </w:p>
          <w:p w14:paraId="6A7962F4" w14:textId="77777777" w:rsidR="00924992" w:rsidRDefault="00924992">
            <w:pPr>
              <w:pStyle w:val="Other0"/>
              <w:framePr w:w="11429" w:h="6058" w:wrap="none" w:hAnchor="page" w:x="635" w:y="611"/>
              <w:spacing w:line="283" w:lineRule="auto"/>
              <w:ind w:left="240" w:firstLine="0"/>
              <w:rPr>
                <w:sz w:val="16"/>
                <w:szCs w:val="16"/>
              </w:rPr>
            </w:pPr>
            <w:r>
              <w:rPr>
                <w:rFonts w:ascii="Times New Roman" w:eastAsia="Times New Roman" w:hAnsi="Times New Roman" w:cs="Times New Roman"/>
                <w:color w:val="000000"/>
                <w:sz w:val="16"/>
                <w:szCs w:val="16"/>
              </w:rPr>
              <w:t>Disminuir la dosis en niños con deficiencia de la función renal.</w:t>
            </w:r>
          </w:p>
        </w:tc>
      </w:tr>
      <w:tr w:rsidR="00924992" w14:paraId="5E58E221" w14:textId="77777777">
        <w:tblPrEx>
          <w:tblCellMar>
            <w:top w:w="0" w:type="dxa"/>
            <w:bottom w:w="0" w:type="dxa"/>
          </w:tblCellMar>
        </w:tblPrEx>
        <w:trPr>
          <w:trHeight w:hRule="exact" w:val="1306"/>
        </w:trPr>
        <w:tc>
          <w:tcPr>
            <w:tcW w:w="2722" w:type="dxa"/>
            <w:shd w:val="clear" w:color="auto" w:fill="FFFFFF"/>
          </w:tcPr>
          <w:p w14:paraId="26EB1F15" w14:textId="77777777" w:rsidR="00924992" w:rsidRDefault="00924992">
            <w:pPr>
              <w:pStyle w:val="Other0"/>
              <w:framePr w:w="11429" w:h="6058" w:wrap="none" w:hAnchor="page" w:x="635" w:y="611"/>
              <w:spacing w:line="240" w:lineRule="auto"/>
              <w:ind w:firstLine="0"/>
              <w:rPr>
                <w:sz w:val="16"/>
                <w:szCs w:val="16"/>
              </w:rPr>
            </w:pPr>
            <w:r>
              <w:rPr>
                <w:rFonts w:ascii="Times New Roman" w:eastAsia="Times New Roman" w:hAnsi="Times New Roman" w:cs="Times New Roman"/>
                <w:b/>
                <w:bCs/>
                <w:color w:val="000000"/>
                <w:sz w:val="16"/>
                <w:szCs w:val="16"/>
              </w:rPr>
              <w:t>Tenofovir (DF)/Viread</w:t>
            </w:r>
          </w:p>
        </w:tc>
        <w:tc>
          <w:tcPr>
            <w:tcW w:w="4234" w:type="dxa"/>
            <w:shd w:val="clear" w:color="auto" w:fill="FFFFFF"/>
          </w:tcPr>
          <w:p w14:paraId="25143116" w14:textId="77777777" w:rsidR="00924992" w:rsidRDefault="00924992">
            <w:pPr>
              <w:pStyle w:val="Other0"/>
              <w:framePr w:w="11429" w:h="6058" w:wrap="none" w:hAnchor="page" w:x="635" w:y="611"/>
              <w:spacing w:line="240" w:lineRule="auto"/>
              <w:ind w:firstLine="0"/>
              <w:rPr>
                <w:sz w:val="16"/>
                <w:szCs w:val="16"/>
              </w:rPr>
            </w:pPr>
            <w:r>
              <w:rPr>
                <w:rFonts w:ascii="Times New Roman" w:eastAsia="Times New Roman" w:hAnsi="Times New Roman" w:cs="Times New Roman"/>
                <w:i/>
                <w:iCs/>
                <w:color w:val="000000"/>
                <w:sz w:val="16"/>
                <w:szCs w:val="16"/>
              </w:rPr>
              <w:t>Niños:</w:t>
            </w:r>
            <w:r>
              <w:rPr>
                <w:rFonts w:ascii="Times New Roman" w:eastAsia="Times New Roman" w:hAnsi="Times New Roman" w:cs="Times New Roman"/>
                <w:color w:val="000000"/>
                <w:sz w:val="16"/>
                <w:szCs w:val="16"/>
              </w:rPr>
              <w:t xml:space="preserve"> se desconoce</w:t>
            </w:r>
          </w:p>
          <w:p w14:paraId="12ABE546" w14:textId="77777777" w:rsidR="00924992" w:rsidRDefault="00924992">
            <w:pPr>
              <w:pStyle w:val="Other0"/>
              <w:framePr w:w="11429" w:h="6058" w:wrap="none" w:hAnchor="page" w:x="635" w:y="611"/>
              <w:spacing w:line="240" w:lineRule="auto"/>
              <w:ind w:firstLine="0"/>
              <w:rPr>
                <w:sz w:val="16"/>
                <w:szCs w:val="16"/>
              </w:rPr>
            </w:pPr>
            <w:r>
              <w:rPr>
                <w:rFonts w:ascii="Times New Roman" w:eastAsia="Times New Roman" w:hAnsi="Times New Roman" w:cs="Times New Roman"/>
                <w:i/>
                <w:iCs/>
                <w:color w:val="000000"/>
                <w:sz w:val="16"/>
                <w:szCs w:val="16"/>
              </w:rPr>
              <w:t>Neonatos:</w:t>
            </w:r>
            <w:r>
              <w:rPr>
                <w:rFonts w:ascii="Times New Roman" w:eastAsia="Times New Roman" w:hAnsi="Times New Roman" w:cs="Times New Roman"/>
                <w:color w:val="000000"/>
                <w:sz w:val="16"/>
                <w:szCs w:val="16"/>
              </w:rPr>
              <w:t xml:space="preserve"> se desconoce</w:t>
            </w:r>
          </w:p>
          <w:p w14:paraId="67875E75" w14:textId="77777777" w:rsidR="00924992" w:rsidRDefault="00924992">
            <w:pPr>
              <w:pStyle w:val="Other0"/>
              <w:framePr w:w="11429" w:h="6058" w:wrap="none" w:hAnchor="page" w:x="635" w:y="611"/>
              <w:spacing w:line="240" w:lineRule="auto"/>
              <w:ind w:firstLine="0"/>
              <w:rPr>
                <w:sz w:val="16"/>
                <w:szCs w:val="16"/>
              </w:rPr>
            </w:pPr>
            <w:r>
              <w:rPr>
                <w:rFonts w:ascii="Times New Roman" w:eastAsia="Times New Roman" w:hAnsi="Times New Roman" w:cs="Times New Roman"/>
                <w:i/>
                <w:iCs/>
                <w:color w:val="000000"/>
                <w:sz w:val="16"/>
                <w:szCs w:val="16"/>
              </w:rPr>
              <w:t>Adolescentes y adultos:</w:t>
            </w:r>
            <w:r>
              <w:rPr>
                <w:rFonts w:ascii="Times New Roman" w:eastAsia="Times New Roman" w:hAnsi="Times New Roman" w:cs="Times New Roman"/>
                <w:color w:val="000000"/>
                <w:sz w:val="16"/>
                <w:szCs w:val="16"/>
              </w:rPr>
              <w:t xml:space="preserve"> 300 mg/día</w:t>
            </w:r>
          </w:p>
        </w:tc>
        <w:tc>
          <w:tcPr>
            <w:tcW w:w="4474" w:type="dxa"/>
            <w:shd w:val="clear" w:color="auto" w:fill="FFFFFF"/>
            <w:vAlign w:val="bottom"/>
          </w:tcPr>
          <w:p w14:paraId="4F3F98E7" w14:textId="77777777" w:rsidR="00924992" w:rsidRDefault="00924992">
            <w:pPr>
              <w:pStyle w:val="Other0"/>
              <w:framePr w:w="11429" w:h="6058" w:wrap="none" w:hAnchor="page" w:x="635" w:y="611"/>
              <w:spacing w:line="283" w:lineRule="auto"/>
              <w:ind w:left="240" w:hanging="100"/>
              <w:rPr>
                <w:sz w:val="16"/>
                <w:szCs w:val="16"/>
              </w:rPr>
            </w:pPr>
            <w:r>
              <w:rPr>
                <w:rFonts w:ascii="Times New Roman" w:eastAsia="Times New Roman" w:hAnsi="Times New Roman" w:cs="Times New Roman"/>
                <w:color w:val="000000"/>
                <w:sz w:val="16"/>
                <w:szCs w:val="16"/>
              </w:rPr>
              <w:t>El tenofovir debe ingerirse con los alimentos para mejorar su biodisponibilidad.</w:t>
            </w:r>
          </w:p>
          <w:p w14:paraId="55D9AD0F" w14:textId="77777777" w:rsidR="00924992" w:rsidRDefault="00924992">
            <w:pPr>
              <w:pStyle w:val="Other0"/>
              <w:framePr w:w="11429" w:h="6058" w:wrap="none" w:hAnchor="page" w:x="635" w:y="611"/>
              <w:spacing w:line="283" w:lineRule="auto"/>
              <w:ind w:left="240" w:hanging="100"/>
              <w:rPr>
                <w:sz w:val="16"/>
                <w:szCs w:val="16"/>
              </w:rPr>
            </w:pPr>
            <w:r>
              <w:rPr>
                <w:rFonts w:ascii="Times New Roman" w:eastAsia="Times New Roman" w:hAnsi="Times New Roman" w:cs="Times New Roman"/>
                <w:color w:val="000000"/>
                <w:sz w:val="16"/>
                <w:szCs w:val="16"/>
              </w:rPr>
              <w:t>Si se usa en combinación con ddI, el tenofovir debe ingerirse 2 h antes de ddI o 1 h después de su administración.</w:t>
            </w:r>
          </w:p>
          <w:p w14:paraId="1AD0FBCF" w14:textId="77777777" w:rsidR="00924992" w:rsidRDefault="00924992">
            <w:pPr>
              <w:pStyle w:val="Other0"/>
              <w:framePr w:w="11429" w:h="6058" w:wrap="none" w:hAnchor="page" w:x="635" w:y="611"/>
              <w:spacing w:line="283" w:lineRule="auto"/>
              <w:ind w:left="240" w:hanging="100"/>
              <w:rPr>
                <w:sz w:val="16"/>
                <w:szCs w:val="16"/>
              </w:rPr>
            </w:pPr>
            <w:r>
              <w:rPr>
                <w:rFonts w:ascii="Times New Roman" w:eastAsia="Times New Roman" w:hAnsi="Times New Roman" w:cs="Times New Roman"/>
                <w:color w:val="000000"/>
                <w:sz w:val="16"/>
                <w:szCs w:val="16"/>
              </w:rPr>
              <w:t>Es mejor no administrarlo a personas con insuficiencia renal (depuración de creatinina &lt;60 ml/min).</w:t>
            </w:r>
          </w:p>
        </w:tc>
      </w:tr>
      <w:tr w:rsidR="00924992" w14:paraId="5FB1955C" w14:textId="77777777">
        <w:tblPrEx>
          <w:tblCellMar>
            <w:top w:w="0" w:type="dxa"/>
            <w:bottom w:w="0" w:type="dxa"/>
          </w:tblCellMar>
        </w:tblPrEx>
        <w:trPr>
          <w:trHeight w:hRule="exact" w:val="1070"/>
        </w:trPr>
        <w:tc>
          <w:tcPr>
            <w:tcW w:w="2722" w:type="dxa"/>
            <w:shd w:val="clear" w:color="auto" w:fill="FFFFFF"/>
          </w:tcPr>
          <w:p w14:paraId="12E7F318" w14:textId="77777777" w:rsidR="00924992" w:rsidRDefault="00924992">
            <w:pPr>
              <w:pStyle w:val="Other0"/>
              <w:framePr w:w="11429" w:h="6058" w:wrap="none" w:hAnchor="page" w:x="635" w:y="611"/>
              <w:spacing w:line="240" w:lineRule="auto"/>
              <w:ind w:firstLine="0"/>
              <w:rPr>
                <w:sz w:val="16"/>
                <w:szCs w:val="16"/>
              </w:rPr>
            </w:pPr>
            <w:r>
              <w:rPr>
                <w:rFonts w:ascii="Times New Roman" w:eastAsia="Times New Roman" w:hAnsi="Times New Roman" w:cs="Times New Roman"/>
                <w:b/>
                <w:bCs/>
                <w:color w:val="000000"/>
                <w:sz w:val="16"/>
                <w:szCs w:val="16"/>
              </w:rPr>
              <w:t>Zalcitabina (ddC)/HIVID</w:t>
            </w:r>
          </w:p>
        </w:tc>
        <w:tc>
          <w:tcPr>
            <w:tcW w:w="4234" w:type="dxa"/>
            <w:shd w:val="clear" w:color="auto" w:fill="FFFFFF"/>
            <w:vAlign w:val="bottom"/>
          </w:tcPr>
          <w:p w14:paraId="676590CB" w14:textId="77777777" w:rsidR="00924992" w:rsidRDefault="00924992">
            <w:pPr>
              <w:pStyle w:val="Other0"/>
              <w:framePr w:w="11429" w:h="6058" w:wrap="none" w:hAnchor="page" w:x="635" w:y="611"/>
              <w:spacing w:line="283" w:lineRule="auto"/>
              <w:ind w:firstLine="140"/>
              <w:rPr>
                <w:sz w:val="16"/>
                <w:szCs w:val="16"/>
              </w:rPr>
            </w:pPr>
            <w:r>
              <w:rPr>
                <w:rFonts w:ascii="Times New Roman" w:eastAsia="Times New Roman" w:hAnsi="Times New Roman" w:cs="Times New Roman"/>
                <w:i/>
                <w:iCs/>
                <w:color w:val="000000"/>
                <w:sz w:val="16"/>
                <w:szCs w:val="16"/>
              </w:rPr>
              <w:t>Dosis usual para niños:</w:t>
            </w:r>
            <w:r>
              <w:rPr>
                <w:rFonts w:ascii="Times New Roman" w:eastAsia="Times New Roman" w:hAnsi="Times New Roman" w:cs="Times New Roman"/>
                <w:color w:val="000000"/>
                <w:sz w:val="16"/>
                <w:szCs w:val="16"/>
              </w:rPr>
              <w:t xml:space="preserve"> 0.01 mg/kg cada 8 h </w:t>
            </w:r>
            <w:r>
              <w:rPr>
                <w:rFonts w:ascii="Times New Roman" w:eastAsia="Times New Roman" w:hAnsi="Times New Roman" w:cs="Times New Roman"/>
                <w:i/>
                <w:iCs/>
                <w:color w:val="000000"/>
                <w:sz w:val="16"/>
                <w:szCs w:val="16"/>
              </w:rPr>
              <w:t>Limites de dosis para niños:</w:t>
            </w:r>
            <w:r>
              <w:rPr>
                <w:rFonts w:ascii="Times New Roman" w:eastAsia="Times New Roman" w:hAnsi="Times New Roman" w:cs="Times New Roman"/>
                <w:color w:val="000000"/>
                <w:sz w:val="16"/>
                <w:szCs w:val="16"/>
              </w:rPr>
              <w:t xml:space="preserve"> 0.005 a 0.01 mg/kg cada 8 h</w:t>
            </w:r>
          </w:p>
          <w:p w14:paraId="3E70BAFA" w14:textId="77777777" w:rsidR="00924992" w:rsidRDefault="00924992">
            <w:pPr>
              <w:pStyle w:val="Other0"/>
              <w:framePr w:w="11429" w:h="6058" w:wrap="none" w:hAnchor="page" w:x="635" w:y="611"/>
              <w:spacing w:line="283" w:lineRule="auto"/>
              <w:ind w:firstLine="0"/>
              <w:rPr>
                <w:sz w:val="16"/>
                <w:szCs w:val="16"/>
              </w:rPr>
            </w:pPr>
            <w:r>
              <w:rPr>
                <w:rFonts w:ascii="Times New Roman" w:eastAsia="Times New Roman" w:hAnsi="Times New Roman" w:cs="Times New Roman"/>
                <w:i/>
                <w:iCs/>
                <w:color w:val="000000"/>
                <w:sz w:val="16"/>
                <w:szCs w:val="16"/>
              </w:rPr>
              <w:t>Neonatos:</w:t>
            </w:r>
            <w:r>
              <w:rPr>
                <w:rFonts w:ascii="Times New Roman" w:eastAsia="Times New Roman" w:hAnsi="Times New Roman" w:cs="Times New Roman"/>
                <w:color w:val="000000"/>
                <w:sz w:val="16"/>
                <w:szCs w:val="16"/>
              </w:rPr>
              <w:t xml:space="preserve"> se desconoce</w:t>
            </w:r>
          </w:p>
          <w:p w14:paraId="05C1CCA2" w14:textId="77777777" w:rsidR="00924992" w:rsidRDefault="00924992">
            <w:pPr>
              <w:pStyle w:val="Other0"/>
              <w:framePr w:w="11429" w:h="6058" w:wrap="none" w:hAnchor="page" w:x="635" w:y="611"/>
              <w:spacing w:line="283" w:lineRule="auto"/>
              <w:ind w:firstLine="0"/>
              <w:rPr>
                <w:sz w:val="16"/>
                <w:szCs w:val="16"/>
              </w:rPr>
            </w:pPr>
            <w:r>
              <w:rPr>
                <w:rFonts w:ascii="Times New Roman" w:eastAsia="Times New Roman" w:hAnsi="Times New Roman" w:cs="Times New Roman"/>
                <w:i/>
                <w:iCs/>
                <w:color w:val="000000"/>
                <w:sz w:val="16"/>
                <w:szCs w:val="16"/>
              </w:rPr>
              <w:t>Adolescentes y adultos:</w:t>
            </w:r>
            <w:r>
              <w:rPr>
                <w:rFonts w:ascii="Times New Roman" w:eastAsia="Times New Roman" w:hAnsi="Times New Roman" w:cs="Times New Roman"/>
                <w:color w:val="000000"/>
                <w:sz w:val="16"/>
                <w:szCs w:val="16"/>
              </w:rPr>
              <w:t xml:space="preserve"> 0.75 mg, tres veces al día</w:t>
            </w:r>
          </w:p>
        </w:tc>
        <w:tc>
          <w:tcPr>
            <w:tcW w:w="4474" w:type="dxa"/>
            <w:shd w:val="clear" w:color="auto" w:fill="FFFFFF"/>
          </w:tcPr>
          <w:p w14:paraId="76D42516" w14:textId="77777777" w:rsidR="00924992" w:rsidRDefault="00924992">
            <w:pPr>
              <w:pStyle w:val="Other0"/>
              <w:framePr w:w="11429" w:h="6058" w:wrap="none" w:hAnchor="page" w:x="635" w:y="611"/>
              <w:spacing w:line="283" w:lineRule="auto"/>
              <w:ind w:left="240" w:hanging="100"/>
              <w:rPr>
                <w:sz w:val="16"/>
                <w:szCs w:val="16"/>
              </w:rPr>
            </w:pPr>
            <w:r>
              <w:rPr>
                <w:rFonts w:ascii="Times New Roman" w:eastAsia="Times New Roman" w:hAnsi="Times New Roman" w:cs="Times New Roman"/>
                <w:color w:val="000000"/>
                <w:sz w:val="16"/>
                <w:szCs w:val="16"/>
              </w:rPr>
              <w:t>Administrar con el estómago vacío (1 h antes de un alimento o 2 h después de consumido).</w:t>
            </w:r>
          </w:p>
          <w:p w14:paraId="439FACB6" w14:textId="77777777" w:rsidR="00924992" w:rsidRDefault="00924992">
            <w:pPr>
              <w:pStyle w:val="Other0"/>
              <w:framePr w:w="11429" w:h="6058" w:wrap="none" w:hAnchor="page" w:x="635" w:y="611"/>
              <w:spacing w:line="283" w:lineRule="auto"/>
              <w:ind w:left="240" w:hanging="100"/>
              <w:rPr>
                <w:sz w:val="16"/>
                <w:szCs w:val="16"/>
              </w:rPr>
            </w:pPr>
            <w:r>
              <w:rPr>
                <w:rFonts w:ascii="Times New Roman" w:eastAsia="Times New Roman" w:hAnsi="Times New Roman" w:cs="Times New Roman"/>
                <w:color w:val="000000"/>
                <w:sz w:val="16"/>
                <w:szCs w:val="16"/>
              </w:rPr>
              <w:t>Disminuir dosis en pacientes con deficiencia de la función renal.</w:t>
            </w:r>
          </w:p>
        </w:tc>
      </w:tr>
      <w:tr w:rsidR="00924992" w14:paraId="5FEA2C3E" w14:textId="77777777">
        <w:tblPrEx>
          <w:tblCellMar>
            <w:top w:w="0" w:type="dxa"/>
            <w:bottom w:w="0" w:type="dxa"/>
          </w:tblCellMar>
        </w:tblPrEx>
        <w:trPr>
          <w:trHeight w:hRule="exact" w:val="442"/>
        </w:trPr>
        <w:tc>
          <w:tcPr>
            <w:tcW w:w="2722" w:type="dxa"/>
            <w:shd w:val="clear" w:color="auto" w:fill="FFFFFF"/>
          </w:tcPr>
          <w:p w14:paraId="3ABBE30F" w14:textId="77777777" w:rsidR="00924992" w:rsidRDefault="00924992">
            <w:pPr>
              <w:pStyle w:val="Other0"/>
              <w:framePr w:w="11429" w:h="6058" w:wrap="none" w:hAnchor="page" w:x="635" w:y="611"/>
              <w:spacing w:line="240" w:lineRule="auto"/>
              <w:ind w:firstLine="0"/>
              <w:rPr>
                <w:sz w:val="16"/>
                <w:szCs w:val="16"/>
              </w:rPr>
            </w:pPr>
            <w:r>
              <w:rPr>
                <w:rFonts w:ascii="Times New Roman" w:eastAsia="Times New Roman" w:hAnsi="Times New Roman" w:cs="Times New Roman"/>
                <w:b/>
                <w:bCs/>
                <w:color w:val="000000"/>
                <w:sz w:val="16"/>
                <w:szCs w:val="16"/>
              </w:rPr>
              <w:t>Zidovudina (AZT, ZDV)/Retrovir</w:t>
            </w:r>
          </w:p>
        </w:tc>
        <w:tc>
          <w:tcPr>
            <w:tcW w:w="4234" w:type="dxa"/>
            <w:shd w:val="clear" w:color="auto" w:fill="FFFFFF"/>
            <w:vAlign w:val="bottom"/>
          </w:tcPr>
          <w:p w14:paraId="55027ADC" w14:textId="77777777" w:rsidR="00924992" w:rsidRDefault="00924992">
            <w:pPr>
              <w:pStyle w:val="Other0"/>
              <w:framePr w:w="11429" w:h="6058" w:wrap="none" w:hAnchor="page" w:x="635" w:y="611"/>
              <w:spacing w:line="283" w:lineRule="auto"/>
              <w:ind w:left="240" w:hanging="100"/>
              <w:rPr>
                <w:sz w:val="16"/>
                <w:szCs w:val="16"/>
              </w:rPr>
            </w:pPr>
            <w:r>
              <w:rPr>
                <w:rFonts w:ascii="Times New Roman" w:eastAsia="Times New Roman" w:hAnsi="Times New Roman" w:cs="Times New Roman"/>
                <w:i/>
                <w:iCs/>
                <w:color w:val="000000"/>
                <w:sz w:val="16"/>
                <w:szCs w:val="16"/>
              </w:rPr>
              <w:t>Dosis usual para niños:</w:t>
            </w:r>
            <w:r>
              <w:rPr>
                <w:rFonts w:ascii="Times New Roman" w:eastAsia="Times New Roman" w:hAnsi="Times New Roman" w:cs="Times New Roman"/>
                <w:color w:val="000000"/>
                <w:sz w:val="16"/>
                <w:szCs w:val="16"/>
              </w:rPr>
              <w:t xml:space="preserve"> (más de 6 semanas de vida) Vía oral: 160 mg/m2, cada 8 h</w:t>
            </w:r>
          </w:p>
        </w:tc>
        <w:tc>
          <w:tcPr>
            <w:tcW w:w="4474" w:type="dxa"/>
            <w:shd w:val="clear" w:color="auto" w:fill="FFFFFF"/>
          </w:tcPr>
          <w:p w14:paraId="5B301D8A" w14:textId="77777777" w:rsidR="00924992" w:rsidRDefault="00924992">
            <w:pPr>
              <w:pStyle w:val="Other0"/>
              <w:framePr w:w="11429" w:h="6058" w:wrap="none" w:hAnchor="page" w:x="635" w:y="611"/>
              <w:spacing w:line="240" w:lineRule="auto"/>
              <w:ind w:firstLine="140"/>
              <w:rPr>
                <w:sz w:val="16"/>
                <w:szCs w:val="16"/>
              </w:rPr>
            </w:pPr>
            <w:r>
              <w:rPr>
                <w:rFonts w:ascii="Times New Roman" w:eastAsia="Times New Roman" w:hAnsi="Times New Roman" w:cs="Times New Roman"/>
                <w:color w:val="000000"/>
                <w:sz w:val="16"/>
                <w:szCs w:val="16"/>
              </w:rPr>
              <w:t>Se puede administrar con alimentos.</w:t>
            </w:r>
          </w:p>
        </w:tc>
      </w:tr>
      <w:tr w:rsidR="00924992" w14:paraId="61CC01AC" w14:textId="77777777">
        <w:tblPrEx>
          <w:tblCellMar>
            <w:top w:w="0" w:type="dxa"/>
            <w:bottom w:w="0" w:type="dxa"/>
          </w:tblCellMar>
        </w:tblPrEx>
        <w:trPr>
          <w:trHeight w:hRule="exact" w:val="1541"/>
        </w:trPr>
        <w:tc>
          <w:tcPr>
            <w:tcW w:w="2722" w:type="dxa"/>
            <w:shd w:val="clear" w:color="auto" w:fill="FFFFFF"/>
          </w:tcPr>
          <w:p w14:paraId="35B0430E" w14:textId="77777777" w:rsidR="00924992" w:rsidRDefault="00924992">
            <w:pPr>
              <w:pStyle w:val="Other0"/>
              <w:framePr w:w="11429" w:h="6058" w:wrap="none" w:hAnchor="page" w:x="635" w:y="611"/>
              <w:spacing w:line="240" w:lineRule="auto"/>
              <w:ind w:firstLine="0"/>
              <w:rPr>
                <w:sz w:val="16"/>
                <w:szCs w:val="16"/>
              </w:rPr>
            </w:pPr>
            <w:r>
              <w:rPr>
                <w:rFonts w:ascii="Times New Roman" w:eastAsia="Times New Roman" w:hAnsi="Times New Roman" w:cs="Times New Roman"/>
                <w:color w:val="000000"/>
                <w:sz w:val="16"/>
                <w:szCs w:val="16"/>
              </w:rPr>
              <w:t>Componente de Combivir, Trizivir</w:t>
            </w:r>
          </w:p>
        </w:tc>
        <w:tc>
          <w:tcPr>
            <w:tcW w:w="4234" w:type="dxa"/>
            <w:shd w:val="clear" w:color="auto" w:fill="FFFFFF"/>
          </w:tcPr>
          <w:p w14:paraId="46094594" w14:textId="77777777" w:rsidR="00924992" w:rsidRDefault="00924992">
            <w:pPr>
              <w:pStyle w:val="Other0"/>
              <w:framePr w:w="11429" w:h="6058" w:wrap="none" w:hAnchor="page" w:x="635" w:y="611"/>
              <w:spacing w:line="288" w:lineRule="auto"/>
              <w:ind w:left="240" w:hanging="100"/>
              <w:jc w:val="both"/>
              <w:rPr>
                <w:sz w:val="16"/>
                <w:szCs w:val="16"/>
              </w:rPr>
            </w:pPr>
            <w:r>
              <w:rPr>
                <w:rFonts w:ascii="Times New Roman" w:eastAsia="Times New Roman" w:hAnsi="Times New Roman" w:cs="Times New Roman"/>
                <w:color w:val="000000"/>
                <w:sz w:val="16"/>
                <w:szCs w:val="16"/>
              </w:rPr>
              <w:t>Límites de dosis para niños: 90-180 mg/m2 cada 6 a 8 h Algunos expertos utilizan una dosis de 180 mg/m</w:t>
            </w:r>
            <w:r>
              <w:rPr>
                <w:rFonts w:ascii="Times New Roman" w:eastAsia="Times New Roman" w:hAnsi="Times New Roman" w:cs="Times New Roman"/>
                <w:color w:val="000000"/>
                <w:sz w:val="16"/>
                <w:szCs w:val="16"/>
                <w:vertAlign w:val="superscript"/>
              </w:rPr>
              <w:t xml:space="preserve">2 </w:t>
            </w:r>
            <w:r>
              <w:rPr>
                <w:rFonts w:ascii="Times New Roman" w:eastAsia="Times New Roman" w:hAnsi="Times New Roman" w:cs="Times New Roman"/>
                <w:color w:val="000000"/>
                <w:sz w:val="16"/>
                <w:szCs w:val="16"/>
              </w:rPr>
              <w:t>cada 12 h en combinaciones con otros antirretrovíricos.</w:t>
            </w:r>
          </w:p>
          <w:p w14:paraId="6CBF2245" w14:textId="77777777" w:rsidR="00924992" w:rsidRDefault="00924992">
            <w:pPr>
              <w:pStyle w:val="Other0"/>
              <w:framePr w:w="11429" w:h="6058" w:wrap="none" w:hAnchor="page" w:x="635" w:y="611"/>
              <w:spacing w:line="288" w:lineRule="auto"/>
              <w:ind w:firstLine="0"/>
              <w:rPr>
                <w:sz w:val="16"/>
                <w:szCs w:val="16"/>
              </w:rPr>
            </w:pPr>
            <w:r>
              <w:rPr>
                <w:rFonts w:ascii="Times New Roman" w:eastAsia="Times New Roman" w:hAnsi="Times New Roman" w:cs="Times New Roman"/>
                <w:i/>
                <w:iCs/>
                <w:color w:val="000000"/>
                <w:sz w:val="16"/>
                <w:szCs w:val="16"/>
              </w:rPr>
              <w:t>Profilaxia en neonatos (desde el nacimiento hasta las</w:t>
            </w:r>
          </w:p>
          <w:p w14:paraId="7B92934B" w14:textId="77777777" w:rsidR="00924992" w:rsidRDefault="00924992">
            <w:pPr>
              <w:pStyle w:val="Other0"/>
              <w:framePr w:w="11429" w:h="6058" w:wrap="none" w:hAnchor="page" w:x="635" w:y="611"/>
              <w:spacing w:line="288" w:lineRule="auto"/>
              <w:ind w:firstLine="240"/>
              <w:rPr>
                <w:sz w:val="16"/>
                <w:szCs w:val="16"/>
              </w:rPr>
            </w:pPr>
            <w:r>
              <w:rPr>
                <w:rFonts w:ascii="Times New Roman" w:eastAsia="Times New Roman" w:hAnsi="Times New Roman" w:cs="Times New Roman"/>
                <w:i/>
                <w:iCs/>
                <w:color w:val="000000"/>
                <w:sz w:val="16"/>
                <w:szCs w:val="16"/>
              </w:rPr>
              <w:t>6 semanas de vida)</w:t>
            </w:r>
          </w:p>
          <w:p w14:paraId="4129A98B" w14:textId="77777777" w:rsidR="00924992" w:rsidRDefault="00924992">
            <w:pPr>
              <w:pStyle w:val="Other0"/>
              <w:framePr w:w="11429" w:h="6058" w:wrap="none" w:hAnchor="page" w:x="635" w:y="611"/>
              <w:spacing w:line="288" w:lineRule="auto"/>
              <w:ind w:firstLine="240"/>
              <w:rPr>
                <w:sz w:val="16"/>
                <w:szCs w:val="16"/>
              </w:rPr>
            </w:pPr>
            <w:r>
              <w:rPr>
                <w:rFonts w:ascii="Times New Roman" w:eastAsia="Times New Roman" w:hAnsi="Times New Roman" w:cs="Times New Roman"/>
                <w:color w:val="000000"/>
                <w:sz w:val="16"/>
                <w:szCs w:val="16"/>
              </w:rPr>
              <w:t>Oral: 2 mg/kg cada 6 h</w:t>
            </w:r>
          </w:p>
          <w:p w14:paraId="765A18BA" w14:textId="77777777" w:rsidR="00924992" w:rsidRDefault="00924992">
            <w:pPr>
              <w:pStyle w:val="Other0"/>
              <w:framePr w:w="11429" w:h="6058" w:wrap="none" w:hAnchor="page" w:x="635" w:y="611"/>
              <w:spacing w:line="288" w:lineRule="auto"/>
              <w:ind w:firstLine="240"/>
              <w:rPr>
                <w:sz w:val="16"/>
                <w:szCs w:val="16"/>
              </w:rPr>
            </w:pPr>
            <w:r>
              <w:rPr>
                <w:rFonts w:ascii="Times New Roman" w:eastAsia="Times New Roman" w:hAnsi="Times New Roman" w:cs="Times New Roman"/>
                <w:color w:val="000000"/>
                <w:sz w:val="16"/>
                <w:szCs w:val="16"/>
              </w:rPr>
              <w:t>IV: 1.5 mg/kg cada 6 h</w:t>
            </w:r>
          </w:p>
        </w:tc>
        <w:tc>
          <w:tcPr>
            <w:tcW w:w="4474" w:type="dxa"/>
            <w:shd w:val="clear" w:color="auto" w:fill="FFFFFF"/>
          </w:tcPr>
          <w:p w14:paraId="79739299" w14:textId="77777777" w:rsidR="00924992" w:rsidRDefault="00924992">
            <w:pPr>
              <w:pStyle w:val="Other0"/>
              <w:framePr w:w="11429" w:h="6058" w:wrap="none" w:hAnchor="page" w:x="635" w:y="611"/>
              <w:spacing w:line="240" w:lineRule="auto"/>
              <w:ind w:firstLine="140"/>
              <w:rPr>
                <w:sz w:val="16"/>
                <w:szCs w:val="16"/>
              </w:rPr>
            </w:pPr>
            <w:r>
              <w:rPr>
                <w:rFonts w:ascii="Times New Roman" w:eastAsia="Times New Roman" w:hAnsi="Times New Roman" w:cs="Times New Roman"/>
                <w:color w:val="000000"/>
                <w:sz w:val="16"/>
                <w:szCs w:val="16"/>
              </w:rPr>
              <w:t>Consúltese cada fármaco individual en busca de información.</w:t>
            </w:r>
          </w:p>
        </w:tc>
      </w:tr>
    </w:tbl>
    <w:p w14:paraId="6A691AB1" w14:textId="77777777" w:rsidR="00924992" w:rsidRDefault="00924992">
      <w:pPr>
        <w:framePr w:w="11429" w:h="6058" w:wrap="none" w:hAnchor="page" w:x="635" w:y="611"/>
        <w:spacing w:line="1" w:lineRule="exact"/>
      </w:pPr>
    </w:p>
    <w:p w14:paraId="5D31F821" w14:textId="77777777" w:rsidR="00924992" w:rsidRDefault="00924992">
      <w:pPr>
        <w:pStyle w:val="Bodytext80"/>
        <w:framePr w:w="192" w:h="4670" w:hRule="exact" w:wrap="none" w:hAnchor="page" w:x="12390" w:y="2195"/>
        <w:tabs>
          <w:tab w:val="left" w:pos="4378"/>
        </w:tabs>
        <w:textDirection w:val="tbRl"/>
        <w:rPr>
          <w:sz w:val="16"/>
          <w:szCs w:val="16"/>
        </w:rPr>
      </w:pPr>
      <w:r>
        <w:t>TERAPIA CON ANTIRRETROVÍRICOS</w:t>
      </w:r>
      <w:r>
        <w:tab/>
      </w:r>
      <w:r>
        <w:rPr>
          <w:sz w:val="16"/>
          <w:szCs w:val="16"/>
        </w:rPr>
        <w:t>771</w:t>
      </w:r>
    </w:p>
    <w:p w14:paraId="6108DF2E" w14:textId="77777777" w:rsidR="00924992" w:rsidRDefault="00924992">
      <w:pPr>
        <w:spacing w:line="360" w:lineRule="exact"/>
      </w:pPr>
    </w:p>
    <w:p w14:paraId="2C66D5B5" w14:textId="77777777" w:rsidR="00924992" w:rsidRDefault="00924992">
      <w:pPr>
        <w:spacing w:line="360" w:lineRule="exact"/>
      </w:pPr>
    </w:p>
    <w:p w14:paraId="00214D1C" w14:textId="77777777" w:rsidR="00924992" w:rsidRDefault="00924992">
      <w:pPr>
        <w:spacing w:line="360" w:lineRule="exact"/>
      </w:pPr>
    </w:p>
    <w:p w14:paraId="1897E22C" w14:textId="77777777" w:rsidR="00924992" w:rsidRDefault="00924992">
      <w:pPr>
        <w:spacing w:line="360" w:lineRule="exact"/>
      </w:pPr>
    </w:p>
    <w:p w14:paraId="15CC71E7" w14:textId="77777777" w:rsidR="00924992" w:rsidRDefault="00924992">
      <w:pPr>
        <w:spacing w:line="360" w:lineRule="exact"/>
      </w:pPr>
    </w:p>
    <w:p w14:paraId="5F3A6A70" w14:textId="77777777" w:rsidR="00924992" w:rsidRDefault="00924992">
      <w:pPr>
        <w:spacing w:line="360" w:lineRule="exact"/>
      </w:pPr>
    </w:p>
    <w:p w14:paraId="5F122D93" w14:textId="77777777" w:rsidR="00924992" w:rsidRDefault="00924992">
      <w:pPr>
        <w:spacing w:line="360" w:lineRule="exact"/>
      </w:pPr>
    </w:p>
    <w:p w14:paraId="576B391E" w14:textId="77777777" w:rsidR="00924992" w:rsidRDefault="00924992">
      <w:pPr>
        <w:spacing w:line="360" w:lineRule="exact"/>
      </w:pPr>
    </w:p>
    <w:p w14:paraId="477B1023" w14:textId="77777777" w:rsidR="00924992" w:rsidRDefault="00924992">
      <w:pPr>
        <w:spacing w:line="360" w:lineRule="exact"/>
      </w:pPr>
    </w:p>
    <w:p w14:paraId="5726D931" w14:textId="77777777" w:rsidR="00924992" w:rsidRDefault="00924992">
      <w:pPr>
        <w:spacing w:line="360" w:lineRule="exact"/>
      </w:pPr>
    </w:p>
    <w:p w14:paraId="08671BC6" w14:textId="77777777" w:rsidR="00924992" w:rsidRDefault="00924992">
      <w:pPr>
        <w:spacing w:line="360" w:lineRule="exact"/>
      </w:pPr>
    </w:p>
    <w:p w14:paraId="76A12EC7" w14:textId="77777777" w:rsidR="00924992" w:rsidRDefault="00924992">
      <w:pPr>
        <w:spacing w:line="360" w:lineRule="exact"/>
      </w:pPr>
    </w:p>
    <w:p w14:paraId="208C7CCF" w14:textId="77777777" w:rsidR="00924992" w:rsidRDefault="00924992">
      <w:pPr>
        <w:spacing w:line="360" w:lineRule="exact"/>
      </w:pPr>
    </w:p>
    <w:p w14:paraId="489CD60F" w14:textId="77777777" w:rsidR="00924992" w:rsidRDefault="00924992">
      <w:pPr>
        <w:spacing w:line="360" w:lineRule="exact"/>
      </w:pPr>
    </w:p>
    <w:p w14:paraId="43CCD484" w14:textId="77777777" w:rsidR="00924992" w:rsidRDefault="00924992">
      <w:pPr>
        <w:spacing w:line="360" w:lineRule="exact"/>
      </w:pPr>
    </w:p>
    <w:p w14:paraId="2401A857" w14:textId="77777777" w:rsidR="00924992" w:rsidRDefault="00924992">
      <w:pPr>
        <w:spacing w:line="360" w:lineRule="exact"/>
      </w:pPr>
    </w:p>
    <w:p w14:paraId="6EA3EA05" w14:textId="77777777" w:rsidR="00924992" w:rsidRDefault="00924992">
      <w:pPr>
        <w:spacing w:line="360" w:lineRule="exact"/>
      </w:pPr>
    </w:p>
    <w:p w14:paraId="2155A88C" w14:textId="77777777" w:rsidR="00924992" w:rsidRDefault="00924992">
      <w:pPr>
        <w:spacing w:line="360" w:lineRule="exact"/>
      </w:pPr>
    </w:p>
    <w:p w14:paraId="6E2FB788" w14:textId="77777777" w:rsidR="00924992" w:rsidRDefault="00924992">
      <w:pPr>
        <w:spacing w:after="383" w:line="1" w:lineRule="exact"/>
      </w:pPr>
    </w:p>
    <w:p w14:paraId="37A0D0D8" w14:textId="77777777" w:rsidR="00924992" w:rsidRDefault="00924992">
      <w:pPr>
        <w:spacing w:line="1" w:lineRule="exact"/>
        <w:sectPr w:rsidR="00924992" w:rsidSect="00924992">
          <w:headerReference w:type="even" r:id="rId307"/>
          <w:headerReference w:type="default" r:id="rId308"/>
          <w:footerReference w:type="even" r:id="rId309"/>
          <w:footerReference w:type="default" r:id="rId310"/>
          <w:pgSz w:w="13022" w:h="8501" w:orient="landscape"/>
          <w:pgMar w:top="1109" w:right="442" w:bottom="510" w:left="634" w:header="681" w:footer="3" w:gutter="0"/>
          <w:cols w:space="720"/>
          <w:noEndnote/>
          <w:docGrid w:linePitch="360"/>
          <w15:footnoteColumns w:val="1"/>
        </w:sectPr>
      </w:pPr>
    </w:p>
    <w:p w14:paraId="2F78D2CD" w14:textId="77777777" w:rsidR="00924992" w:rsidRDefault="00924992">
      <w:pPr>
        <w:spacing w:line="1" w:lineRule="exact"/>
      </w:pPr>
      <w:r>
        <w:rPr>
          <w:noProof/>
        </w:rPr>
        <mc:AlternateContent>
          <mc:Choice Requires="wps">
            <w:drawing>
              <wp:anchor distT="0" distB="0" distL="114300" distR="114300" simplePos="0" relativeHeight="251686912" behindDoc="0" locked="0" layoutInCell="1" allowOverlap="1" wp14:anchorId="1DE8D16F" wp14:editId="07B75F80">
                <wp:simplePos x="0" y="0"/>
                <wp:positionH relativeFrom="page">
                  <wp:posOffset>389890</wp:posOffset>
                </wp:positionH>
                <wp:positionV relativeFrom="paragraph">
                  <wp:posOffset>387350</wp:posOffset>
                </wp:positionV>
                <wp:extent cx="7257415" cy="1694815"/>
                <wp:effectExtent l="0" t="0" r="0" b="0"/>
                <wp:wrapTopAndBottom/>
                <wp:docPr id="2315" name="Shape 2315"/>
                <wp:cNvGraphicFramePr/>
                <a:graphic xmlns:a="http://schemas.openxmlformats.org/drawingml/2006/main">
                  <a:graphicData uri="http://schemas.microsoft.com/office/word/2010/wordprocessingShape">
                    <wps:wsp>
                      <wps:cNvSpPr txBox="1"/>
                      <wps:spPr>
                        <a:xfrm>
                          <a:off x="0" y="0"/>
                          <a:ext cx="7257415" cy="1694815"/>
                        </a:xfrm>
                        <a:prstGeom prst="rect">
                          <a:avLst/>
                        </a:prstGeom>
                        <a:noFill/>
                      </wps:spPr>
                      <wps:txbx>
                        <w:txbxContent>
                          <w:tbl>
                            <w:tblPr>
                              <w:tblOverlap w:val="never"/>
                              <w:tblW w:w="0" w:type="auto"/>
                              <w:tblLayout w:type="fixed"/>
                              <w:tblCellMar>
                                <w:left w:w="10" w:type="dxa"/>
                                <w:right w:w="10" w:type="dxa"/>
                              </w:tblCellMar>
                              <w:tblLook w:val="04A0" w:firstRow="1" w:lastRow="0" w:firstColumn="1" w:lastColumn="0" w:noHBand="0" w:noVBand="1"/>
                            </w:tblPr>
                            <w:tblGrid>
                              <w:gridCol w:w="2683"/>
                              <w:gridCol w:w="4181"/>
                              <w:gridCol w:w="4565"/>
                            </w:tblGrid>
                            <w:tr w:rsidR="00924992" w14:paraId="5AFC1D9E" w14:textId="77777777">
                              <w:tblPrEx>
                                <w:tblCellMar>
                                  <w:top w:w="0" w:type="dxa"/>
                                  <w:bottom w:w="0" w:type="dxa"/>
                                </w:tblCellMar>
                              </w:tblPrEx>
                              <w:trPr>
                                <w:trHeight w:hRule="exact" w:val="557"/>
                                <w:tblHeader/>
                              </w:trPr>
                              <w:tc>
                                <w:tcPr>
                                  <w:tcW w:w="2683" w:type="dxa"/>
                                  <w:shd w:val="clear" w:color="auto" w:fill="000000"/>
                                </w:tcPr>
                                <w:p w14:paraId="068374E1" w14:textId="77777777" w:rsidR="00924992" w:rsidRDefault="00924992">
                                  <w:pPr>
                                    <w:pStyle w:val="Other0"/>
                                    <w:pBdr>
                                      <w:top w:val="single" w:sz="0" w:space="0" w:color="000000"/>
                                      <w:left w:val="single" w:sz="0" w:space="0" w:color="000000"/>
                                      <w:bottom w:val="single" w:sz="0" w:space="0" w:color="000000"/>
                                      <w:right w:val="single" w:sz="0" w:space="0" w:color="000000"/>
                                    </w:pBdr>
                                    <w:shd w:val="clear" w:color="auto" w:fill="000000"/>
                                    <w:spacing w:line="209" w:lineRule="auto"/>
                                    <w:ind w:firstLine="0"/>
                                    <w:rPr>
                                      <w:sz w:val="24"/>
                                      <w:szCs w:val="24"/>
                                    </w:rPr>
                                  </w:pPr>
                                  <w:r>
                                    <w:rPr>
                                      <w:rFonts w:ascii="Arial" w:eastAsia="Arial" w:hAnsi="Arial" w:cs="Arial"/>
                                      <w:b/>
                                      <w:bCs/>
                                      <w:color w:val="FFFFFF"/>
                                      <w:w w:val="70"/>
                                      <w:sz w:val="24"/>
                                      <w:szCs w:val="24"/>
                                    </w:rPr>
                                    <w:t>Fármaco (siglas)/ nombre comercial</w:t>
                                  </w:r>
                                </w:p>
                              </w:tc>
                              <w:tc>
                                <w:tcPr>
                                  <w:tcW w:w="4181" w:type="dxa"/>
                                  <w:shd w:val="clear" w:color="auto" w:fill="000000"/>
                                </w:tcPr>
                                <w:p w14:paraId="7C2790EF" w14:textId="77777777" w:rsidR="00924992" w:rsidRDefault="00924992">
                                  <w:pPr>
                                    <w:pStyle w:val="Other0"/>
                                    <w:pBdr>
                                      <w:top w:val="single" w:sz="0" w:space="0" w:color="000000"/>
                                      <w:left w:val="single" w:sz="0" w:space="0" w:color="000000"/>
                                      <w:bottom w:val="single" w:sz="0" w:space="0" w:color="000000"/>
                                      <w:right w:val="single" w:sz="0" w:space="0" w:color="000000"/>
                                    </w:pBdr>
                                    <w:shd w:val="clear" w:color="auto" w:fill="000000"/>
                                    <w:spacing w:line="240" w:lineRule="auto"/>
                                    <w:ind w:firstLine="160"/>
                                    <w:rPr>
                                      <w:sz w:val="8"/>
                                      <w:szCs w:val="8"/>
                                    </w:rPr>
                                  </w:pPr>
                                  <w:r>
                                    <w:rPr>
                                      <w:rFonts w:ascii="Arial" w:eastAsia="Arial" w:hAnsi="Arial" w:cs="Arial"/>
                                      <w:b/>
                                      <w:bCs/>
                                      <w:color w:val="FFFFFF"/>
                                      <w:w w:val="70"/>
                                      <w:sz w:val="24"/>
                                      <w:szCs w:val="24"/>
                                    </w:rPr>
                                    <w:t>Dosis</w:t>
                                  </w:r>
                                  <w:r>
                                    <w:rPr>
                                      <w:rFonts w:ascii="Times New Roman" w:eastAsia="Times New Roman" w:hAnsi="Times New Roman" w:cs="Times New Roman"/>
                                      <w:color w:val="FFFFFF"/>
                                      <w:sz w:val="8"/>
                                      <w:szCs w:val="8"/>
                                      <w:vertAlign w:val="superscript"/>
                                    </w:rPr>
                                    <w:t>1</w:t>
                                  </w:r>
                                </w:p>
                              </w:tc>
                              <w:tc>
                                <w:tcPr>
                                  <w:tcW w:w="4565" w:type="dxa"/>
                                  <w:shd w:val="clear" w:color="auto" w:fill="000000"/>
                                </w:tcPr>
                                <w:p w14:paraId="14F01FAE" w14:textId="77777777" w:rsidR="00924992" w:rsidRDefault="00924992">
                                  <w:pPr>
                                    <w:pStyle w:val="Other0"/>
                                    <w:pBdr>
                                      <w:top w:val="single" w:sz="0" w:space="0" w:color="000000"/>
                                      <w:left w:val="single" w:sz="0" w:space="0" w:color="000000"/>
                                      <w:bottom w:val="single" w:sz="0" w:space="0" w:color="000000"/>
                                      <w:right w:val="single" w:sz="0" w:space="0" w:color="000000"/>
                                    </w:pBdr>
                                    <w:shd w:val="clear" w:color="auto" w:fill="000000"/>
                                    <w:spacing w:line="240" w:lineRule="auto"/>
                                    <w:ind w:firstLine="260"/>
                                    <w:rPr>
                                      <w:sz w:val="24"/>
                                      <w:szCs w:val="24"/>
                                    </w:rPr>
                                  </w:pPr>
                                  <w:r>
                                    <w:rPr>
                                      <w:rFonts w:ascii="Arial" w:eastAsia="Arial" w:hAnsi="Arial" w:cs="Arial"/>
                                      <w:b/>
                                      <w:bCs/>
                                      <w:color w:val="FFFFFF"/>
                                      <w:w w:val="70"/>
                                      <w:sz w:val="24"/>
                                      <w:szCs w:val="24"/>
                                    </w:rPr>
                                    <w:t>Instrucciones especiales</w:t>
                                  </w:r>
                                </w:p>
                              </w:tc>
                            </w:tr>
                            <w:tr w:rsidR="00924992" w14:paraId="4D702256" w14:textId="77777777">
                              <w:tblPrEx>
                                <w:tblCellMar>
                                  <w:top w:w="0" w:type="dxa"/>
                                  <w:bottom w:w="0" w:type="dxa"/>
                                </w:tblCellMar>
                              </w:tblPrEx>
                              <w:trPr>
                                <w:trHeight w:hRule="exact" w:val="2112"/>
                              </w:trPr>
                              <w:tc>
                                <w:tcPr>
                                  <w:tcW w:w="2683" w:type="dxa"/>
                                  <w:tcBorders>
                                    <w:bottom w:val="single" w:sz="4" w:space="0" w:color="auto"/>
                                  </w:tcBorders>
                                  <w:shd w:val="clear" w:color="auto" w:fill="FFFFFF"/>
                                  <w:vAlign w:val="bottom"/>
                                </w:tcPr>
                                <w:p w14:paraId="15091436" w14:textId="77777777" w:rsidR="00924992" w:rsidRDefault="00924992">
                                  <w:pPr>
                                    <w:pStyle w:val="Other0"/>
                                    <w:spacing w:line="283" w:lineRule="auto"/>
                                    <w:ind w:firstLine="0"/>
                                    <w:rPr>
                                      <w:sz w:val="16"/>
                                      <w:szCs w:val="16"/>
                                    </w:rPr>
                                  </w:pPr>
                                  <w:r>
                                    <w:rPr>
                                      <w:rFonts w:ascii="Times New Roman" w:eastAsia="Times New Roman" w:hAnsi="Times New Roman" w:cs="Times New Roman"/>
                                      <w:b/>
                                      <w:bCs/>
                                      <w:color w:val="000000"/>
                                      <w:sz w:val="16"/>
                                      <w:szCs w:val="16"/>
                                    </w:rPr>
                                    <w:t xml:space="preserve">Combivir </w:t>
                                  </w:r>
                                  <w:r>
                                    <w:rPr>
                                      <w:rFonts w:ascii="Times New Roman" w:eastAsia="Times New Roman" w:hAnsi="Times New Roman" w:cs="Times New Roman"/>
                                      <w:color w:val="000000"/>
                                      <w:sz w:val="16"/>
                                      <w:szCs w:val="16"/>
                                    </w:rPr>
                                    <w:t>(combinación de zidovudina y lamivudina en dosis fijas)</w:t>
                                  </w:r>
                                </w:p>
                                <w:p w14:paraId="18591EFB" w14:textId="77777777" w:rsidR="00924992" w:rsidRDefault="00924992">
                                  <w:pPr>
                                    <w:pStyle w:val="Other0"/>
                                    <w:spacing w:line="283" w:lineRule="auto"/>
                                    <w:ind w:firstLine="0"/>
                                    <w:rPr>
                                      <w:sz w:val="16"/>
                                      <w:szCs w:val="16"/>
                                    </w:rPr>
                                  </w:pPr>
                                  <w:r>
                                    <w:rPr>
                                      <w:rFonts w:ascii="Times New Roman" w:eastAsia="Times New Roman" w:hAnsi="Times New Roman" w:cs="Times New Roman"/>
                                      <w:b/>
                                      <w:bCs/>
                                      <w:color w:val="000000"/>
                                      <w:sz w:val="16"/>
                                      <w:szCs w:val="16"/>
                                    </w:rPr>
                                    <w:t xml:space="preserve">Trizivir: </w:t>
                                  </w:r>
                                  <w:r>
                                    <w:rPr>
                                      <w:rFonts w:ascii="Times New Roman" w:eastAsia="Times New Roman" w:hAnsi="Times New Roman" w:cs="Times New Roman"/>
                                      <w:color w:val="000000"/>
                                      <w:sz w:val="16"/>
                                      <w:szCs w:val="16"/>
                                    </w:rPr>
                                    <w:t>(combinación de abacavir, zidovudina y lamivudina en dosis fijas)</w:t>
                                  </w:r>
                                </w:p>
                              </w:tc>
                              <w:tc>
                                <w:tcPr>
                                  <w:tcW w:w="4181" w:type="dxa"/>
                                  <w:tcBorders>
                                    <w:bottom w:val="single" w:sz="4" w:space="0" w:color="auto"/>
                                  </w:tcBorders>
                                  <w:shd w:val="clear" w:color="auto" w:fill="FFFFFF"/>
                                </w:tcPr>
                                <w:p w14:paraId="2E0641FA" w14:textId="77777777" w:rsidR="00924992" w:rsidRDefault="00924992">
                                  <w:pPr>
                                    <w:pStyle w:val="Other0"/>
                                    <w:spacing w:line="283" w:lineRule="auto"/>
                                    <w:ind w:left="160" w:firstLine="120"/>
                                    <w:jc w:val="both"/>
                                    <w:rPr>
                                      <w:sz w:val="16"/>
                                      <w:szCs w:val="16"/>
                                    </w:rPr>
                                  </w:pPr>
                                  <w:r>
                                    <w:rPr>
                                      <w:rFonts w:ascii="Times New Roman" w:eastAsia="Times New Roman" w:hAnsi="Times New Roman" w:cs="Times New Roman"/>
                                      <w:color w:val="000000"/>
                                      <w:sz w:val="16"/>
                                      <w:szCs w:val="16"/>
                                    </w:rPr>
                                    <w:t xml:space="preserve">A veces se necesita disminuir la dosis en prematuros </w:t>
                                  </w:r>
                                  <w:r>
                                    <w:rPr>
                                      <w:rFonts w:ascii="Times New Roman" w:eastAsia="Times New Roman" w:hAnsi="Times New Roman" w:cs="Times New Roman"/>
                                      <w:i/>
                                      <w:iCs/>
                                      <w:color w:val="000000"/>
                                      <w:sz w:val="16"/>
                                      <w:szCs w:val="16"/>
                                    </w:rPr>
                                    <w:t>Adolescentes y adultos:</w:t>
                                  </w:r>
                                </w:p>
                                <w:p w14:paraId="411DCF8A" w14:textId="77777777" w:rsidR="00924992" w:rsidRDefault="00924992">
                                  <w:pPr>
                                    <w:pStyle w:val="Other0"/>
                                    <w:spacing w:line="283" w:lineRule="auto"/>
                                    <w:ind w:firstLine="280"/>
                                    <w:rPr>
                                      <w:sz w:val="16"/>
                                      <w:szCs w:val="16"/>
                                    </w:rPr>
                                  </w:pPr>
                                  <w:r>
                                    <w:rPr>
                                      <w:rFonts w:ascii="Times New Roman" w:eastAsia="Times New Roman" w:hAnsi="Times New Roman" w:cs="Times New Roman"/>
                                      <w:color w:val="000000"/>
                                      <w:sz w:val="16"/>
                                      <w:szCs w:val="16"/>
                                    </w:rPr>
                                    <w:t>200 mg tres veces al día o 300 mg dos veces al día</w:t>
                                  </w:r>
                                </w:p>
                                <w:p w14:paraId="2FAFB20F" w14:textId="77777777" w:rsidR="00924992" w:rsidRDefault="00924992">
                                  <w:pPr>
                                    <w:pStyle w:val="Other0"/>
                                    <w:spacing w:after="200" w:line="283" w:lineRule="auto"/>
                                    <w:ind w:left="160"/>
                                    <w:rPr>
                                      <w:sz w:val="16"/>
                                      <w:szCs w:val="16"/>
                                    </w:rPr>
                                  </w:pPr>
                                  <w:r>
                                    <w:rPr>
                                      <w:rFonts w:ascii="Times New Roman" w:eastAsia="Times New Roman" w:hAnsi="Times New Roman" w:cs="Times New Roman"/>
                                      <w:b/>
                                      <w:bCs/>
                                      <w:color w:val="000000"/>
                                      <w:sz w:val="16"/>
                                      <w:szCs w:val="16"/>
                                    </w:rPr>
                                    <w:t>Consúltese cada fármaco individual en busca de información.</w:t>
                                  </w:r>
                                </w:p>
                                <w:p w14:paraId="024EA386" w14:textId="77777777" w:rsidR="00924992" w:rsidRDefault="00924992">
                                  <w:pPr>
                                    <w:pStyle w:val="Other0"/>
                                    <w:spacing w:line="283" w:lineRule="auto"/>
                                    <w:ind w:left="160"/>
                                    <w:rPr>
                                      <w:sz w:val="16"/>
                                      <w:szCs w:val="16"/>
                                    </w:rPr>
                                  </w:pPr>
                                  <w:r>
                                    <w:rPr>
                                      <w:rFonts w:ascii="Times New Roman" w:eastAsia="Times New Roman" w:hAnsi="Times New Roman" w:cs="Times New Roman"/>
                                      <w:b/>
                                      <w:bCs/>
                                      <w:color w:val="000000"/>
                                      <w:sz w:val="16"/>
                                      <w:szCs w:val="16"/>
                                    </w:rPr>
                                    <w:t>Consúltese cada fármaco individual en busca de información.</w:t>
                                  </w:r>
                                </w:p>
                              </w:tc>
                              <w:tc>
                                <w:tcPr>
                                  <w:tcW w:w="4565" w:type="dxa"/>
                                  <w:tcBorders>
                                    <w:bottom w:val="single" w:sz="4" w:space="0" w:color="auto"/>
                                  </w:tcBorders>
                                  <w:shd w:val="clear" w:color="auto" w:fill="FFFFFF"/>
                                  <w:vAlign w:val="bottom"/>
                                </w:tcPr>
                                <w:p w14:paraId="1DE3F664" w14:textId="77777777" w:rsidR="00924992" w:rsidRDefault="00924992">
                                  <w:pPr>
                                    <w:pStyle w:val="Other0"/>
                                    <w:spacing w:line="283" w:lineRule="auto"/>
                                    <w:ind w:left="420" w:hanging="80"/>
                                    <w:rPr>
                                      <w:sz w:val="16"/>
                                      <w:szCs w:val="16"/>
                                    </w:rPr>
                                  </w:pPr>
                                  <w:r>
                                    <w:rPr>
                                      <w:rFonts w:ascii="Times New Roman" w:eastAsia="Times New Roman" w:hAnsi="Times New Roman" w:cs="Times New Roman"/>
                                      <w:color w:val="000000"/>
                                      <w:sz w:val="16"/>
                                      <w:szCs w:val="16"/>
                                    </w:rPr>
                                    <w:t>El médico, al recetar abacavir, debe dar al paciente una tarjeta de precauciones que incluya signos y síntomas de hipersensibilidad a dicho fármaco.</w:t>
                                  </w:r>
                                </w:p>
                              </w:tc>
                            </w:tr>
                          </w:tbl>
                          <w:p w14:paraId="61E21D13" w14:textId="77777777" w:rsidR="00924992" w:rsidRDefault="00924992">
                            <w:pPr>
                              <w:spacing w:line="1" w:lineRule="exact"/>
                            </w:pPr>
                          </w:p>
                        </w:txbxContent>
                      </wps:txbx>
                      <wps:bodyPr lIns="0" tIns="0" rIns="0" bIns="0"/>
                    </wps:wsp>
                  </a:graphicData>
                </a:graphic>
              </wp:anchor>
            </w:drawing>
          </mc:Choice>
          <mc:Fallback>
            <w:pict>
              <v:shape w14:anchorId="1DE8D16F" id="Shape 2315" o:spid="_x0000_s1054" type="#_x0000_t202" style="position:absolute;margin-left:30.7pt;margin-top:30.5pt;width:571.45pt;height:133.45pt;z-index:251686912;visibility:visible;mso-wrap-style:square;mso-wrap-distance-left:9pt;mso-wrap-distance-top:0;mso-wrap-distance-right:9pt;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" filled="f" stroked="f">
                <v:textbox inset="0,0,0,0">
                  <w:txbxContent>
                    <w:tbl>
                      <w:tblPr>
                        <w:tblOverlap w:val="never"/>
                        <w:tblW w:w="0" w:type="auto"/>
                        <w:tblLayout w:type="fixed"/>
                        <w:tblCellMar>
                          <w:left w:w="10" w:type="dxa"/>
                          <w:right w:w="10" w:type="dxa"/>
                        </w:tblCellMar>
                        <w:tblLook w:val="04A0" w:firstRow="1" w:lastRow="0" w:firstColumn="1" w:lastColumn="0" w:noHBand="0" w:noVBand="1"/>
                      </w:tblPr>
                      <w:tblGrid>
                        <w:gridCol w:w="2683"/>
                        <w:gridCol w:w="4181"/>
                        <w:gridCol w:w="4565"/>
                      </w:tblGrid>
                      <w:tr w:rsidR="00924992" w14:paraId="5AFC1D9E" w14:textId="77777777">
                        <w:tblPrEx>
                          <w:tblCellMar>
                            <w:top w:w="0" w:type="dxa"/>
                            <w:bottom w:w="0" w:type="dxa"/>
                          </w:tblCellMar>
                        </w:tblPrEx>
                        <w:trPr>
                          <w:trHeight w:hRule="exact" w:val="557"/>
                          <w:tblHeader/>
                        </w:trPr>
                        <w:tc>
                          <w:tcPr>
                            <w:tcW w:w="2683" w:type="dxa"/>
                            <w:shd w:val="clear" w:color="auto" w:fill="000000"/>
                          </w:tcPr>
                          <w:p w14:paraId="068374E1" w14:textId="77777777" w:rsidR="00924992" w:rsidRDefault="00924992">
                            <w:pPr>
                              <w:pStyle w:val="Other0"/>
                              <w:pBdr>
                                <w:top w:val="single" w:sz="0" w:space="0" w:color="000000"/>
                                <w:left w:val="single" w:sz="0" w:space="0" w:color="000000"/>
                                <w:bottom w:val="single" w:sz="0" w:space="0" w:color="000000"/>
                                <w:right w:val="single" w:sz="0" w:space="0" w:color="000000"/>
                              </w:pBdr>
                              <w:shd w:val="clear" w:color="auto" w:fill="000000"/>
                              <w:spacing w:line="209" w:lineRule="auto"/>
                              <w:ind w:firstLine="0"/>
                              <w:rPr>
                                <w:sz w:val="24"/>
                                <w:szCs w:val="24"/>
                              </w:rPr>
                            </w:pPr>
                            <w:r>
                              <w:rPr>
                                <w:rFonts w:ascii="Arial" w:eastAsia="Arial" w:hAnsi="Arial" w:cs="Arial"/>
                                <w:b/>
                                <w:bCs/>
                                <w:color w:val="FFFFFF"/>
                                <w:w w:val="70"/>
                                <w:sz w:val="24"/>
                                <w:szCs w:val="24"/>
                              </w:rPr>
                              <w:t>Fármaco (siglas)/ nombre comercial</w:t>
                            </w:r>
                          </w:p>
                        </w:tc>
                        <w:tc>
                          <w:tcPr>
                            <w:tcW w:w="4181" w:type="dxa"/>
                            <w:shd w:val="clear" w:color="auto" w:fill="000000"/>
                          </w:tcPr>
                          <w:p w14:paraId="7C2790EF" w14:textId="77777777" w:rsidR="00924992" w:rsidRDefault="00924992">
                            <w:pPr>
                              <w:pStyle w:val="Other0"/>
                              <w:pBdr>
                                <w:top w:val="single" w:sz="0" w:space="0" w:color="000000"/>
                                <w:left w:val="single" w:sz="0" w:space="0" w:color="000000"/>
                                <w:bottom w:val="single" w:sz="0" w:space="0" w:color="000000"/>
                                <w:right w:val="single" w:sz="0" w:space="0" w:color="000000"/>
                              </w:pBdr>
                              <w:shd w:val="clear" w:color="auto" w:fill="000000"/>
                              <w:spacing w:line="240" w:lineRule="auto"/>
                              <w:ind w:firstLine="160"/>
                              <w:rPr>
                                <w:sz w:val="8"/>
                                <w:szCs w:val="8"/>
                              </w:rPr>
                            </w:pPr>
                            <w:r>
                              <w:rPr>
                                <w:rFonts w:ascii="Arial" w:eastAsia="Arial" w:hAnsi="Arial" w:cs="Arial"/>
                                <w:b/>
                                <w:bCs/>
                                <w:color w:val="FFFFFF"/>
                                <w:w w:val="70"/>
                                <w:sz w:val="24"/>
                                <w:szCs w:val="24"/>
                              </w:rPr>
                              <w:t>Dosis</w:t>
                            </w:r>
                            <w:r>
                              <w:rPr>
                                <w:rFonts w:ascii="Times New Roman" w:eastAsia="Times New Roman" w:hAnsi="Times New Roman" w:cs="Times New Roman"/>
                                <w:color w:val="FFFFFF"/>
                                <w:sz w:val="8"/>
                                <w:szCs w:val="8"/>
                                <w:vertAlign w:val="superscript"/>
                              </w:rPr>
                              <w:t>1</w:t>
                            </w:r>
                          </w:p>
                        </w:tc>
                        <w:tc>
                          <w:tcPr>
                            <w:tcW w:w="4565" w:type="dxa"/>
                            <w:shd w:val="clear" w:color="auto" w:fill="000000"/>
                          </w:tcPr>
                          <w:p w14:paraId="14F01FAE" w14:textId="77777777" w:rsidR="00924992" w:rsidRDefault="00924992">
                            <w:pPr>
                              <w:pStyle w:val="Other0"/>
                              <w:pBdr>
                                <w:top w:val="single" w:sz="0" w:space="0" w:color="000000"/>
                                <w:left w:val="single" w:sz="0" w:space="0" w:color="000000"/>
                                <w:bottom w:val="single" w:sz="0" w:space="0" w:color="000000"/>
                                <w:right w:val="single" w:sz="0" w:space="0" w:color="000000"/>
                              </w:pBdr>
                              <w:shd w:val="clear" w:color="auto" w:fill="000000"/>
                              <w:spacing w:line="240" w:lineRule="auto"/>
                              <w:ind w:firstLine="260"/>
                              <w:rPr>
                                <w:sz w:val="24"/>
                                <w:szCs w:val="24"/>
                              </w:rPr>
                            </w:pPr>
                            <w:r>
                              <w:rPr>
                                <w:rFonts w:ascii="Arial" w:eastAsia="Arial" w:hAnsi="Arial" w:cs="Arial"/>
                                <w:b/>
                                <w:bCs/>
                                <w:color w:val="FFFFFF"/>
                                <w:w w:val="70"/>
                                <w:sz w:val="24"/>
                                <w:szCs w:val="24"/>
                              </w:rPr>
                              <w:t>Instrucciones especiales</w:t>
                            </w:r>
                          </w:p>
                        </w:tc>
                      </w:tr>
                      <w:tr w:rsidR="00924992" w14:paraId="4D702256" w14:textId="77777777">
                        <w:tblPrEx>
                          <w:tblCellMar>
                            <w:top w:w="0" w:type="dxa"/>
                            <w:bottom w:w="0" w:type="dxa"/>
                          </w:tblCellMar>
                        </w:tblPrEx>
                        <w:trPr>
                          <w:trHeight w:hRule="exact" w:val="2112"/>
                        </w:trPr>
                        <w:tc>
                          <w:tcPr>
                            <w:tcW w:w="2683" w:type="dxa"/>
                            <w:tcBorders>
                              <w:bottom w:val="single" w:sz="4" w:space="0" w:color="auto"/>
                            </w:tcBorders>
                            <w:shd w:val="clear" w:color="auto" w:fill="FFFFFF"/>
                            <w:vAlign w:val="bottom"/>
                          </w:tcPr>
                          <w:p w14:paraId="15091436" w14:textId="77777777" w:rsidR="00924992" w:rsidRDefault="00924992">
                            <w:pPr>
                              <w:pStyle w:val="Other0"/>
                              <w:spacing w:line="283" w:lineRule="auto"/>
                              <w:ind w:firstLine="0"/>
                              <w:rPr>
                                <w:sz w:val="16"/>
                                <w:szCs w:val="16"/>
                              </w:rPr>
                            </w:pPr>
                            <w:r>
                              <w:rPr>
                                <w:rFonts w:ascii="Times New Roman" w:eastAsia="Times New Roman" w:hAnsi="Times New Roman" w:cs="Times New Roman"/>
                                <w:b/>
                                <w:bCs/>
                                <w:color w:val="000000"/>
                                <w:sz w:val="16"/>
                                <w:szCs w:val="16"/>
                              </w:rPr>
                              <w:t xml:space="preserve">Combivir </w:t>
                            </w:r>
                            <w:r>
                              <w:rPr>
                                <w:rFonts w:ascii="Times New Roman" w:eastAsia="Times New Roman" w:hAnsi="Times New Roman" w:cs="Times New Roman"/>
                                <w:color w:val="000000"/>
                                <w:sz w:val="16"/>
                                <w:szCs w:val="16"/>
                              </w:rPr>
                              <w:t>(combinación de zidovudina y lamivudina en dosis fijas)</w:t>
                            </w:r>
                          </w:p>
                          <w:p w14:paraId="18591EFB" w14:textId="77777777" w:rsidR="00924992" w:rsidRDefault="00924992">
                            <w:pPr>
                              <w:pStyle w:val="Other0"/>
                              <w:spacing w:line="283" w:lineRule="auto"/>
                              <w:ind w:firstLine="0"/>
                              <w:rPr>
                                <w:sz w:val="16"/>
                                <w:szCs w:val="16"/>
                              </w:rPr>
                            </w:pPr>
                            <w:r>
                              <w:rPr>
                                <w:rFonts w:ascii="Times New Roman" w:eastAsia="Times New Roman" w:hAnsi="Times New Roman" w:cs="Times New Roman"/>
                                <w:b/>
                                <w:bCs/>
                                <w:color w:val="000000"/>
                                <w:sz w:val="16"/>
                                <w:szCs w:val="16"/>
                              </w:rPr>
                              <w:t xml:space="preserve">Trizivir: </w:t>
                            </w:r>
                            <w:r>
                              <w:rPr>
                                <w:rFonts w:ascii="Times New Roman" w:eastAsia="Times New Roman" w:hAnsi="Times New Roman" w:cs="Times New Roman"/>
                                <w:color w:val="000000"/>
                                <w:sz w:val="16"/>
                                <w:szCs w:val="16"/>
                              </w:rPr>
                              <w:t>(combinación de abacavir, zidovudina y lamivudina en dosis fijas)</w:t>
                            </w:r>
                          </w:p>
                        </w:tc>
                        <w:tc>
                          <w:tcPr>
                            <w:tcW w:w="4181" w:type="dxa"/>
                            <w:tcBorders>
                              <w:bottom w:val="single" w:sz="4" w:space="0" w:color="auto"/>
                            </w:tcBorders>
                            <w:shd w:val="clear" w:color="auto" w:fill="FFFFFF"/>
                          </w:tcPr>
                          <w:p w14:paraId="2E0641FA" w14:textId="77777777" w:rsidR="00924992" w:rsidRDefault="00924992">
                            <w:pPr>
                              <w:pStyle w:val="Other0"/>
                              <w:spacing w:line="283" w:lineRule="auto"/>
                              <w:ind w:left="160" w:firstLine="120"/>
                              <w:jc w:val="both"/>
                              <w:rPr>
                                <w:sz w:val="16"/>
                                <w:szCs w:val="16"/>
                              </w:rPr>
                            </w:pPr>
                            <w:r>
                              <w:rPr>
                                <w:rFonts w:ascii="Times New Roman" w:eastAsia="Times New Roman" w:hAnsi="Times New Roman" w:cs="Times New Roman"/>
                                <w:color w:val="000000"/>
                                <w:sz w:val="16"/>
                                <w:szCs w:val="16"/>
                              </w:rPr>
                              <w:t xml:space="preserve">A veces se necesita disminuir la dosis en prematuros </w:t>
                            </w:r>
                            <w:r>
                              <w:rPr>
                                <w:rFonts w:ascii="Times New Roman" w:eastAsia="Times New Roman" w:hAnsi="Times New Roman" w:cs="Times New Roman"/>
                                <w:i/>
                                <w:iCs/>
                                <w:color w:val="000000"/>
                                <w:sz w:val="16"/>
                                <w:szCs w:val="16"/>
                              </w:rPr>
                              <w:t>Adolescentes y adultos:</w:t>
                            </w:r>
                          </w:p>
                          <w:p w14:paraId="411DCF8A" w14:textId="77777777" w:rsidR="00924992" w:rsidRDefault="00924992">
                            <w:pPr>
                              <w:pStyle w:val="Other0"/>
                              <w:spacing w:line="283" w:lineRule="auto"/>
                              <w:ind w:firstLine="280"/>
                              <w:rPr>
                                <w:sz w:val="16"/>
                                <w:szCs w:val="16"/>
                              </w:rPr>
                            </w:pPr>
                            <w:r>
                              <w:rPr>
                                <w:rFonts w:ascii="Times New Roman" w:eastAsia="Times New Roman" w:hAnsi="Times New Roman" w:cs="Times New Roman"/>
                                <w:color w:val="000000"/>
                                <w:sz w:val="16"/>
                                <w:szCs w:val="16"/>
                              </w:rPr>
                              <w:t>200 mg tres veces al día o 300 mg dos veces al día</w:t>
                            </w:r>
                          </w:p>
                          <w:p w14:paraId="2FAFB20F" w14:textId="77777777" w:rsidR="00924992" w:rsidRDefault="00924992">
                            <w:pPr>
                              <w:pStyle w:val="Other0"/>
                              <w:spacing w:after="200" w:line="283" w:lineRule="auto"/>
                              <w:ind w:left="160"/>
                              <w:rPr>
                                <w:sz w:val="16"/>
                                <w:szCs w:val="16"/>
                              </w:rPr>
                            </w:pPr>
                            <w:r>
                              <w:rPr>
                                <w:rFonts w:ascii="Times New Roman" w:eastAsia="Times New Roman" w:hAnsi="Times New Roman" w:cs="Times New Roman"/>
                                <w:b/>
                                <w:bCs/>
                                <w:color w:val="000000"/>
                                <w:sz w:val="16"/>
                                <w:szCs w:val="16"/>
                              </w:rPr>
                              <w:t>Consúltese cada fármaco individual en busca de información.</w:t>
                            </w:r>
                          </w:p>
                          <w:p w14:paraId="024EA386" w14:textId="77777777" w:rsidR="00924992" w:rsidRDefault="00924992">
                            <w:pPr>
                              <w:pStyle w:val="Other0"/>
                              <w:spacing w:line="283" w:lineRule="auto"/>
                              <w:ind w:left="160"/>
                              <w:rPr>
                                <w:sz w:val="16"/>
                                <w:szCs w:val="16"/>
                              </w:rPr>
                            </w:pPr>
                            <w:r>
                              <w:rPr>
                                <w:rFonts w:ascii="Times New Roman" w:eastAsia="Times New Roman" w:hAnsi="Times New Roman" w:cs="Times New Roman"/>
                                <w:b/>
                                <w:bCs/>
                                <w:color w:val="000000"/>
                                <w:sz w:val="16"/>
                                <w:szCs w:val="16"/>
                              </w:rPr>
                              <w:t>Consúltese cada fármaco individual en busca de información.</w:t>
                            </w:r>
                          </w:p>
                        </w:tc>
                        <w:tc>
                          <w:tcPr>
                            <w:tcW w:w="4565" w:type="dxa"/>
                            <w:tcBorders>
                              <w:bottom w:val="single" w:sz="4" w:space="0" w:color="auto"/>
                            </w:tcBorders>
                            <w:shd w:val="clear" w:color="auto" w:fill="FFFFFF"/>
                            <w:vAlign w:val="bottom"/>
                          </w:tcPr>
                          <w:p w14:paraId="1DE3F664" w14:textId="77777777" w:rsidR="00924992" w:rsidRDefault="00924992">
                            <w:pPr>
                              <w:pStyle w:val="Other0"/>
                              <w:spacing w:line="283" w:lineRule="auto"/>
                              <w:ind w:left="420" w:hanging="80"/>
                              <w:rPr>
                                <w:sz w:val="16"/>
                                <w:szCs w:val="16"/>
                              </w:rPr>
                            </w:pPr>
                            <w:r>
                              <w:rPr>
                                <w:rFonts w:ascii="Times New Roman" w:eastAsia="Times New Roman" w:hAnsi="Times New Roman" w:cs="Times New Roman"/>
                                <w:color w:val="000000"/>
                                <w:sz w:val="16"/>
                                <w:szCs w:val="16"/>
                              </w:rPr>
                              <w:t>El médico, al recetar abacavir, debe dar al paciente una tarjeta de precauciones que incluya signos y síntomas de hipersensibilidad a dicho fármaco.</w:t>
                            </w:r>
                          </w:p>
                        </w:tc>
                      </w:tr>
                    </w:tbl>
                    <w:p w14:paraId="61E21D13" w14:textId="77777777" w:rsidR="00924992" w:rsidRDefault="00924992">
                      <w:pPr>
                        <w:spacing w:line="1" w:lineRule="exact"/>
                      </w:pPr>
                    </w:p>
                  </w:txbxContent>
                </v:textbox>
                <w10:wrap type="topAndBottom" anchorx="page"/>
              </v:shape>
            </w:pict>
          </mc:Fallback>
        </mc:AlternateContent>
      </w:r>
      <w:r>
        <w:rPr>
          <w:noProof/>
        </w:rPr>
        <mc:AlternateContent>
          <mc:Choice Requires="wps">
            <w:drawing>
              <wp:anchor distT="0" distB="0" distL="114300" distR="114300" simplePos="0" relativeHeight="251687936" behindDoc="0" locked="0" layoutInCell="1" allowOverlap="1" wp14:anchorId="20D7729D" wp14:editId="0454C4F5">
                <wp:simplePos x="0" y="0"/>
                <wp:positionH relativeFrom="page">
                  <wp:posOffset>7867015</wp:posOffset>
                </wp:positionH>
                <wp:positionV relativeFrom="paragraph">
                  <wp:posOffset>12700</wp:posOffset>
                </wp:positionV>
                <wp:extent cx="121920" cy="2980690"/>
                <wp:effectExtent l="0" t="0" r="0" b="0"/>
                <wp:wrapSquare wrapText="bothSides"/>
                <wp:docPr id="2317" name="Shape 2317"/>
                <wp:cNvGraphicFramePr/>
                <a:graphic xmlns:a="http://schemas.openxmlformats.org/drawingml/2006/main">
                  <a:graphicData uri="http://schemas.microsoft.com/office/word/2010/wordprocessingShape">
                    <wps:wsp>
                      <wps:cNvSpPr txBox="1"/>
                      <wps:spPr>
                        <a:xfrm>
                          <a:off x="0" y="0"/>
                          <a:ext cx="121920" cy="2980690"/>
                        </a:xfrm>
                        <a:prstGeom prst="rect">
                          <a:avLst/>
                        </a:prstGeom>
                        <a:noFill/>
                      </wps:spPr>
                      <wps:txbx>
                        <w:txbxContent>
                          <w:p w14:paraId="330F449E" w14:textId="77777777" w:rsidR="00924992" w:rsidRDefault="00924992">
                            <w:pPr>
                              <w:pStyle w:val="Bodytext80"/>
                              <w:tabs>
                                <w:tab w:val="left" w:pos="2165"/>
                              </w:tabs>
                            </w:pPr>
                            <w:r>
                              <w:rPr>
                                <w:sz w:val="16"/>
                                <w:szCs w:val="16"/>
                              </w:rPr>
                              <w:t>772</w:t>
                            </w:r>
                            <w:r>
                              <w:rPr>
                                <w:sz w:val="16"/>
                                <w:szCs w:val="16"/>
                              </w:rPr>
                              <w:tab/>
                            </w:r>
                            <w:r>
                              <w:t>TERAPIA CON ANTIRRETROVÍRICOS</w:t>
                            </w:r>
                          </w:p>
                        </w:txbxContent>
                      </wps:txbx>
                      <wps:bodyPr vert="vert" lIns="0" tIns="0" rIns="0" bIns="0" upright="1"/>
                    </wps:wsp>
                  </a:graphicData>
                </a:graphic>
              </wp:anchor>
            </w:drawing>
          </mc:Choice>
          <mc:Fallback>
            <w:pict>
              <v:shape w14:anchorId="20D7729D" id="Shape 2317" o:spid="_x0000_s1055" type="#_x0000_t202" style="position:absolute;margin-left:619.45pt;margin-top:1pt;width:9.6pt;height:234.7pt;z-index:251687936;visibility:visible;mso-wrap-style:square;mso-wrap-distance-left:9pt;mso-wrap-distance-top:0;mso-wrap-distance-right:9pt;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" filled="f" stroked="f">
                <v:textbox style="layout-flow:vertical" inset="0,0,0,0">
                  <w:txbxContent>
                    <w:p w14:paraId="330F449E" w14:textId="77777777" w:rsidR="00924992" w:rsidRDefault="00924992">
                      <w:pPr>
                        <w:pStyle w:val="Bodytext80"/>
                        <w:tabs>
                          <w:tab w:val="left" w:pos="2165"/>
                        </w:tabs>
                      </w:pPr>
                      <w:r>
                        <w:rPr>
                          <w:sz w:val="16"/>
                          <w:szCs w:val="16"/>
                        </w:rPr>
                        <w:t>772</w:t>
                      </w:r>
                      <w:r>
                        <w:rPr>
                          <w:sz w:val="16"/>
                          <w:szCs w:val="16"/>
                        </w:rPr>
                        <w:tab/>
                      </w:r>
                      <w:r>
                        <w:t>TERAPIA CON ANTIRRETROVÍRICOS</w:t>
                      </w:r>
                    </w:p>
                  </w:txbxContent>
                </v:textbox>
                <w10:wrap type="square" anchorx="page"/>
              </v:shape>
            </w:pict>
          </mc:Fallback>
        </mc:AlternateContent>
      </w:r>
    </w:p>
    <w:p w14:paraId="493BBE44" w14:textId="77777777" w:rsidR="00924992" w:rsidRDefault="00924992">
      <w:pPr>
        <w:pStyle w:val="Heading31"/>
        <w:keepNext/>
        <w:keepLines/>
        <w:spacing w:line="211" w:lineRule="auto"/>
        <w:jc w:val="center"/>
        <w:rPr>
          <w:sz w:val="16"/>
          <w:szCs w:val="16"/>
        </w:rPr>
        <w:sectPr w:rsidR="00924992" w:rsidSect="00924992">
          <w:headerReference w:type="even" r:id="rId311"/>
          <w:headerReference w:type="default" r:id="rId312"/>
          <w:footerReference w:type="even" r:id="rId313"/>
          <w:footerReference w:type="default" r:id="rId314"/>
          <w:footnotePr>
            <w:numFmt w:val="upperRoman"/>
          </w:footnotePr>
          <w:pgSz w:w="13022" w:h="8501" w:orient="landscape"/>
          <w:pgMar w:top="490" w:right="979" w:bottom="490" w:left="614" w:header="0" w:footer="3" w:gutter="0"/>
          <w:cols w:space="720"/>
          <w:noEndnote/>
          <w:docGrid w:linePitch="360"/>
          <w15:footnoteColumns w:val="1"/>
        </w:sectPr>
      </w:pPr>
      <w:bookmarkStart w:id="428" w:name="bookmark1874"/>
      <w:bookmarkStart w:id="429" w:name="bookmark1875"/>
      <w:bookmarkStart w:id="430" w:name="bookmark1876"/>
      <w:r>
        <w:rPr>
          <w:b w:val="0"/>
          <w:bCs w:val="0"/>
          <w:color w:val="000000"/>
        </w:rPr>
        <w:t xml:space="preserve">Cuadro 4-9. </w:t>
      </w:r>
      <w:r>
        <w:rPr>
          <w:color w:val="000000"/>
        </w:rPr>
        <w:t>Características de los antirretrovíricos: inhibidores nucleósidos/nucléotidos</w:t>
      </w:r>
      <w:r>
        <w:rPr>
          <w:color w:val="000000"/>
        </w:rPr>
        <w:br/>
        <w:t xml:space="preserve">de la transcriptasa inversa </w:t>
      </w:r>
      <w:r>
        <w:rPr>
          <w:rFonts w:ascii="Times New Roman" w:eastAsia="Times New Roman" w:hAnsi="Times New Roman" w:cs="Times New Roman"/>
          <w:b w:val="0"/>
          <w:bCs w:val="0"/>
          <w:i/>
          <w:iCs/>
          <w:color w:val="000000"/>
          <w:w w:val="100"/>
          <w:sz w:val="16"/>
          <w:szCs w:val="16"/>
        </w:rPr>
        <w:t>continuación</w:t>
      </w:r>
      <w:bookmarkEnd w:id="428"/>
      <w:bookmarkEnd w:id="429"/>
      <w:bookmarkEnd w:id="430"/>
      <w:r>
        <w:rPr>
          <w:rFonts w:ascii="Times New Roman" w:eastAsia="Times New Roman" w:hAnsi="Times New Roman" w:cs="Times New Roman"/>
          <w:b w:val="0"/>
          <w:bCs w:val="0"/>
          <w:i/>
          <w:iCs/>
          <w:color w:val="000000"/>
          <w:w w:val="100"/>
          <w:sz w:val="16"/>
          <w:szCs w:val="16"/>
        </w:rPr>
        <w:t xml:space="preserve"> </w:t>
      </w:r>
      <w:r>
        <w:rPr>
          <w:rFonts w:ascii="Times New Roman" w:eastAsia="Times New Roman" w:hAnsi="Times New Roman" w:cs="Times New Roman"/>
          <w:b w:val="0"/>
          <w:bCs w:val="0"/>
          <w:i/>
          <w:iCs/>
          <w:color w:val="000000"/>
          <w:w w:val="100"/>
          <w:sz w:val="16"/>
          <w:szCs w:val="16"/>
          <w:vertAlign w:val="superscript"/>
        </w:rPr>
        <w:footnoteReference w:id="40"/>
      </w:r>
    </w:p>
    <w:p w14:paraId="13FF0E99" w14:textId="77777777" w:rsidR="00924992" w:rsidRDefault="00924992">
      <w:pPr>
        <w:pStyle w:val="Heading31"/>
        <w:keepNext/>
        <w:keepLines/>
        <w:framePr w:w="9715" w:h="317" w:wrap="none" w:hAnchor="page" w:x="1494" w:y="1"/>
      </w:pPr>
      <w:bookmarkStart w:id="431" w:name="bookmark1877"/>
      <w:bookmarkStart w:id="432" w:name="bookmark1878"/>
      <w:bookmarkStart w:id="433" w:name="bookmark1879"/>
      <w:r>
        <w:rPr>
          <w:b w:val="0"/>
          <w:bCs w:val="0"/>
          <w:color w:val="000000"/>
        </w:rPr>
        <w:t xml:space="preserve">Cuadro 4-10. </w:t>
      </w:r>
      <w:r>
        <w:rPr>
          <w:color w:val="000000"/>
        </w:rPr>
        <w:t>Características de los antirretrovíricos: inhibidores no nucleósidos de la transcriptasa inversa</w:t>
      </w:r>
      <w:bookmarkEnd w:id="431"/>
      <w:bookmarkEnd w:id="432"/>
      <w:bookmarkEnd w:id="433"/>
    </w:p>
    <w:tbl>
      <w:tblPr>
        <w:tblOverlap w:val="never"/>
        <w:tblW w:w="0" w:type="auto"/>
        <w:tblLayout w:type="fixed"/>
        <w:tblCellMar>
          <w:left w:w="10" w:type="dxa"/>
          <w:right w:w="10" w:type="dxa"/>
        </w:tblCellMar>
        <w:tblLook w:val="04A0" w:firstRow="1" w:lastRow="0" w:firstColumn="1" w:lastColumn="0" w:noHBand="0" w:noVBand="1"/>
      </w:tblPr>
      <w:tblGrid>
        <w:gridCol w:w="2866"/>
        <w:gridCol w:w="4459"/>
        <w:gridCol w:w="4099"/>
      </w:tblGrid>
      <w:tr w:rsidR="00924992" w14:paraId="45C2DD96" w14:textId="77777777">
        <w:tblPrEx>
          <w:tblCellMar>
            <w:top w:w="0" w:type="dxa"/>
            <w:bottom w:w="0" w:type="dxa"/>
          </w:tblCellMar>
        </w:tblPrEx>
        <w:trPr>
          <w:trHeight w:hRule="exact" w:val="562"/>
        </w:trPr>
        <w:tc>
          <w:tcPr>
            <w:tcW w:w="2866" w:type="dxa"/>
            <w:shd w:val="clear" w:color="auto" w:fill="000000"/>
          </w:tcPr>
          <w:p w14:paraId="3ADFB988" w14:textId="77777777" w:rsidR="00924992" w:rsidRDefault="00924992">
            <w:pPr>
              <w:pStyle w:val="Other0"/>
              <w:framePr w:w="11424" w:h="4104" w:vSpace="874" w:wrap="none" w:hAnchor="page" w:x="635" w:y="356"/>
              <w:pBdr>
                <w:top w:val="single" w:sz="0" w:space="0" w:color="000000"/>
                <w:left w:val="single" w:sz="0" w:space="0" w:color="000000"/>
                <w:bottom w:val="single" w:sz="0" w:space="0" w:color="000000"/>
                <w:right w:val="single" w:sz="0" w:space="0" w:color="000000"/>
              </w:pBdr>
              <w:shd w:val="clear" w:color="auto" w:fill="000000"/>
              <w:spacing w:line="209" w:lineRule="auto"/>
              <w:ind w:firstLine="0"/>
              <w:rPr>
                <w:sz w:val="24"/>
                <w:szCs w:val="24"/>
              </w:rPr>
            </w:pPr>
            <w:r>
              <w:rPr>
                <w:rFonts w:ascii="Arial" w:eastAsia="Arial" w:hAnsi="Arial" w:cs="Arial"/>
                <w:b/>
                <w:bCs/>
                <w:color w:val="FFFFFF"/>
                <w:w w:val="70"/>
                <w:sz w:val="24"/>
                <w:szCs w:val="24"/>
              </w:rPr>
              <w:t>Fármaco (siglas)/ nombre comercial</w:t>
            </w:r>
          </w:p>
        </w:tc>
        <w:tc>
          <w:tcPr>
            <w:tcW w:w="4459" w:type="dxa"/>
            <w:shd w:val="clear" w:color="auto" w:fill="000000"/>
          </w:tcPr>
          <w:p w14:paraId="33DD67DB" w14:textId="77777777" w:rsidR="00924992" w:rsidRDefault="00924992">
            <w:pPr>
              <w:pStyle w:val="Other0"/>
              <w:framePr w:w="11424" w:h="4104" w:vSpace="874" w:wrap="none" w:hAnchor="page" w:x="635" w:y="356"/>
              <w:pBdr>
                <w:top w:val="single" w:sz="0" w:space="0" w:color="000000"/>
                <w:left w:val="single" w:sz="0" w:space="0" w:color="000000"/>
                <w:bottom w:val="single" w:sz="0" w:space="0" w:color="000000"/>
                <w:right w:val="single" w:sz="0" w:space="0" w:color="000000"/>
              </w:pBdr>
              <w:shd w:val="clear" w:color="auto" w:fill="000000"/>
              <w:spacing w:line="240" w:lineRule="auto"/>
              <w:ind w:firstLine="580"/>
              <w:rPr>
                <w:sz w:val="24"/>
                <w:szCs w:val="24"/>
              </w:rPr>
            </w:pPr>
            <w:r>
              <w:rPr>
                <w:rFonts w:ascii="Arial" w:eastAsia="Arial" w:hAnsi="Arial" w:cs="Arial"/>
                <w:b/>
                <w:bCs/>
                <w:color w:val="FFFFFF"/>
                <w:w w:val="70"/>
                <w:sz w:val="24"/>
                <w:szCs w:val="24"/>
              </w:rPr>
              <w:t>Dosis</w:t>
            </w:r>
          </w:p>
        </w:tc>
        <w:tc>
          <w:tcPr>
            <w:tcW w:w="4099" w:type="dxa"/>
            <w:shd w:val="clear" w:color="auto" w:fill="000000"/>
          </w:tcPr>
          <w:p w14:paraId="4FE6010B" w14:textId="77777777" w:rsidR="00924992" w:rsidRDefault="00924992">
            <w:pPr>
              <w:pStyle w:val="Other0"/>
              <w:framePr w:w="11424" w:h="4104" w:vSpace="874" w:wrap="none" w:hAnchor="page" w:x="635" w:y="356"/>
              <w:pBdr>
                <w:top w:val="single" w:sz="0" w:space="0" w:color="000000"/>
                <w:left w:val="single" w:sz="0" w:space="0" w:color="000000"/>
                <w:bottom w:val="single" w:sz="0" w:space="0" w:color="000000"/>
                <w:right w:val="single" w:sz="0" w:space="0" w:color="000000"/>
              </w:pBdr>
              <w:shd w:val="clear" w:color="auto" w:fill="000000"/>
              <w:spacing w:line="240" w:lineRule="auto"/>
              <w:ind w:firstLine="0"/>
              <w:rPr>
                <w:sz w:val="24"/>
                <w:szCs w:val="24"/>
              </w:rPr>
            </w:pPr>
            <w:r>
              <w:rPr>
                <w:rFonts w:ascii="Arial" w:eastAsia="Arial" w:hAnsi="Arial" w:cs="Arial"/>
                <w:b/>
                <w:bCs/>
                <w:color w:val="FFFFFF"/>
                <w:w w:val="70"/>
                <w:sz w:val="24"/>
                <w:szCs w:val="24"/>
              </w:rPr>
              <w:t>Instrucciones especiales</w:t>
            </w:r>
          </w:p>
        </w:tc>
      </w:tr>
      <w:tr w:rsidR="00924992" w14:paraId="1BAB35ED" w14:textId="77777777">
        <w:tblPrEx>
          <w:tblCellMar>
            <w:top w:w="0" w:type="dxa"/>
            <w:bottom w:w="0" w:type="dxa"/>
          </w:tblCellMar>
        </w:tblPrEx>
        <w:trPr>
          <w:trHeight w:hRule="exact" w:val="1786"/>
        </w:trPr>
        <w:tc>
          <w:tcPr>
            <w:tcW w:w="2866" w:type="dxa"/>
            <w:shd w:val="clear" w:color="auto" w:fill="FFFFFF"/>
          </w:tcPr>
          <w:p w14:paraId="5FBB8E1F" w14:textId="77777777" w:rsidR="00924992" w:rsidRDefault="00924992">
            <w:pPr>
              <w:pStyle w:val="Other0"/>
              <w:framePr w:w="11424" w:h="4104" w:vSpace="874" w:wrap="none" w:hAnchor="page" w:x="635" w:y="356"/>
              <w:spacing w:line="240" w:lineRule="auto"/>
              <w:ind w:firstLine="0"/>
              <w:rPr>
                <w:sz w:val="16"/>
                <w:szCs w:val="16"/>
              </w:rPr>
            </w:pPr>
            <w:r>
              <w:rPr>
                <w:rFonts w:ascii="Times New Roman" w:eastAsia="Times New Roman" w:hAnsi="Times New Roman" w:cs="Times New Roman"/>
                <w:b/>
                <w:bCs/>
                <w:color w:val="000000"/>
                <w:sz w:val="16"/>
                <w:szCs w:val="16"/>
              </w:rPr>
              <w:t>Delavirdina (DLV)/Rescriptor</w:t>
            </w:r>
          </w:p>
        </w:tc>
        <w:tc>
          <w:tcPr>
            <w:tcW w:w="4459" w:type="dxa"/>
            <w:shd w:val="clear" w:color="auto" w:fill="FFFFFF"/>
          </w:tcPr>
          <w:p w14:paraId="394811CE" w14:textId="77777777" w:rsidR="00924992" w:rsidRDefault="00924992">
            <w:pPr>
              <w:pStyle w:val="Other0"/>
              <w:framePr w:w="11424" w:h="4104" w:vSpace="874" w:wrap="none" w:hAnchor="page" w:x="635" w:y="356"/>
              <w:spacing w:line="240" w:lineRule="auto"/>
              <w:ind w:firstLine="580"/>
              <w:rPr>
                <w:sz w:val="16"/>
                <w:szCs w:val="16"/>
              </w:rPr>
            </w:pPr>
            <w:r>
              <w:rPr>
                <w:rFonts w:ascii="Times New Roman" w:eastAsia="Times New Roman" w:hAnsi="Times New Roman" w:cs="Times New Roman"/>
                <w:i/>
                <w:iCs/>
                <w:color w:val="000000"/>
                <w:sz w:val="16"/>
                <w:szCs w:val="16"/>
              </w:rPr>
              <w:t>Niños:</w:t>
            </w:r>
            <w:r>
              <w:rPr>
                <w:rFonts w:ascii="Times New Roman" w:eastAsia="Times New Roman" w:hAnsi="Times New Roman" w:cs="Times New Roman"/>
                <w:color w:val="000000"/>
                <w:sz w:val="16"/>
                <w:szCs w:val="16"/>
              </w:rPr>
              <w:t xml:space="preserve"> se desconoce</w:t>
            </w:r>
          </w:p>
          <w:p w14:paraId="1CDFDDCF" w14:textId="77777777" w:rsidR="00924992" w:rsidRDefault="00924992">
            <w:pPr>
              <w:pStyle w:val="Other0"/>
              <w:framePr w:w="11424" w:h="4104" w:vSpace="874" w:wrap="none" w:hAnchor="page" w:x="635" w:y="356"/>
              <w:spacing w:line="240" w:lineRule="auto"/>
              <w:ind w:firstLine="580"/>
              <w:rPr>
                <w:sz w:val="16"/>
                <w:szCs w:val="16"/>
              </w:rPr>
            </w:pPr>
            <w:r>
              <w:rPr>
                <w:rFonts w:ascii="Times New Roman" w:eastAsia="Times New Roman" w:hAnsi="Times New Roman" w:cs="Times New Roman"/>
                <w:i/>
                <w:iCs/>
                <w:color w:val="000000"/>
                <w:sz w:val="16"/>
                <w:szCs w:val="16"/>
              </w:rPr>
              <w:t>Neonatos:</w:t>
            </w:r>
            <w:r>
              <w:rPr>
                <w:rFonts w:ascii="Times New Roman" w:eastAsia="Times New Roman" w:hAnsi="Times New Roman" w:cs="Times New Roman"/>
                <w:color w:val="000000"/>
                <w:sz w:val="16"/>
                <w:szCs w:val="16"/>
              </w:rPr>
              <w:t xml:space="preserve"> se desconoce</w:t>
            </w:r>
          </w:p>
          <w:p w14:paraId="534D1D19" w14:textId="77777777" w:rsidR="00924992" w:rsidRDefault="00924992">
            <w:pPr>
              <w:pStyle w:val="Other0"/>
              <w:framePr w:w="11424" w:h="4104" w:vSpace="874" w:wrap="none" w:hAnchor="page" w:x="635" w:y="356"/>
              <w:spacing w:line="240" w:lineRule="auto"/>
              <w:ind w:firstLine="580"/>
              <w:rPr>
                <w:sz w:val="16"/>
                <w:szCs w:val="16"/>
              </w:rPr>
            </w:pPr>
            <w:r>
              <w:rPr>
                <w:rFonts w:ascii="Times New Roman" w:eastAsia="Times New Roman" w:hAnsi="Times New Roman" w:cs="Times New Roman"/>
                <w:i/>
                <w:iCs/>
                <w:color w:val="000000"/>
                <w:sz w:val="16"/>
                <w:szCs w:val="16"/>
              </w:rPr>
              <w:t>Adolescentes y adultos:</w:t>
            </w:r>
            <w:r>
              <w:rPr>
                <w:rFonts w:ascii="Times New Roman" w:eastAsia="Times New Roman" w:hAnsi="Times New Roman" w:cs="Times New Roman"/>
                <w:color w:val="000000"/>
                <w:sz w:val="16"/>
                <w:szCs w:val="16"/>
              </w:rPr>
              <w:t xml:space="preserve"> 400 mg tres veces al día</w:t>
            </w:r>
          </w:p>
        </w:tc>
        <w:tc>
          <w:tcPr>
            <w:tcW w:w="4099" w:type="dxa"/>
            <w:shd w:val="clear" w:color="auto" w:fill="FFFFFF"/>
            <w:vAlign w:val="bottom"/>
          </w:tcPr>
          <w:p w14:paraId="50622C30" w14:textId="77777777" w:rsidR="00924992" w:rsidRDefault="00924992">
            <w:pPr>
              <w:pStyle w:val="Other0"/>
              <w:framePr w:w="11424" w:h="4104" w:vSpace="874" w:wrap="none" w:hAnchor="page" w:x="635" w:y="356"/>
              <w:spacing w:line="283" w:lineRule="auto"/>
              <w:ind w:firstLine="0"/>
              <w:rPr>
                <w:sz w:val="16"/>
                <w:szCs w:val="16"/>
              </w:rPr>
            </w:pPr>
            <w:r>
              <w:rPr>
                <w:rFonts w:ascii="Times New Roman" w:eastAsia="Times New Roman" w:hAnsi="Times New Roman" w:cs="Times New Roman"/>
                <w:color w:val="000000"/>
                <w:sz w:val="16"/>
                <w:szCs w:val="16"/>
              </w:rPr>
              <w:t>Se puede administrar con los alimentos.</w:t>
            </w:r>
          </w:p>
          <w:p w14:paraId="6145FAB0" w14:textId="77777777" w:rsidR="00924992" w:rsidRDefault="00924992">
            <w:pPr>
              <w:pStyle w:val="Other0"/>
              <w:framePr w:w="11424" w:h="4104" w:vSpace="874" w:wrap="none" w:hAnchor="page" w:x="635" w:y="356"/>
              <w:spacing w:line="283" w:lineRule="auto"/>
              <w:ind w:left="180" w:hanging="180"/>
              <w:rPr>
                <w:sz w:val="16"/>
                <w:szCs w:val="16"/>
              </w:rPr>
            </w:pPr>
            <w:r>
              <w:rPr>
                <w:rFonts w:ascii="Times New Roman" w:eastAsia="Times New Roman" w:hAnsi="Times New Roman" w:cs="Times New Roman"/>
                <w:color w:val="000000"/>
                <w:sz w:val="16"/>
                <w:szCs w:val="16"/>
              </w:rPr>
              <w:t>Es importar ingerirlo 1 h antes de ddI o 1 h después (a excepción de la presentación de liberación extendida) o antiácidos.</w:t>
            </w:r>
          </w:p>
          <w:p w14:paraId="54AF1631" w14:textId="77777777" w:rsidR="00924992" w:rsidRDefault="00924992">
            <w:pPr>
              <w:pStyle w:val="Other0"/>
              <w:framePr w:w="11424" w:h="4104" w:vSpace="874" w:wrap="none" w:hAnchor="page" w:x="635" w:y="356"/>
              <w:spacing w:line="283" w:lineRule="auto"/>
              <w:ind w:left="180" w:hanging="180"/>
              <w:rPr>
                <w:sz w:val="16"/>
                <w:szCs w:val="16"/>
              </w:rPr>
            </w:pPr>
            <w:r>
              <w:rPr>
                <w:rFonts w:ascii="Times New Roman" w:eastAsia="Times New Roman" w:hAnsi="Times New Roman" w:cs="Times New Roman"/>
                <w:color w:val="000000"/>
                <w:sz w:val="16"/>
                <w:szCs w:val="16"/>
              </w:rPr>
              <w:t>Las tabletas de 100 mg se disuelven en agua y habrá que ingerir en forma rápida la dispersión resultante.</w:t>
            </w:r>
          </w:p>
          <w:p w14:paraId="5BF330FD" w14:textId="77777777" w:rsidR="00924992" w:rsidRDefault="00924992">
            <w:pPr>
              <w:pStyle w:val="Other0"/>
              <w:framePr w:w="11424" w:h="4104" w:vSpace="874" w:wrap="none" w:hAnchor="page" w:x="635" w:y="356"/>
              <w:spacing w:line="283" w:lineRule="auto"/>
              <w:ind w:left="180" w:hanging="180"/>
              <w:rPr>
                <w:sz w:val="16"/>
                <w:szCs w:val="16"/>
              </w:rPr>
            </w:pPr>
            <w:r>
              <w:rPr>
                <w:rFonts w:ascii="Times New Roman" w:eastAsia="Times New Roman" w:hAnsi="Times New Roman" w:cs="Times New Roman"/>
                <w:color w:val="000000"/>
                <w:sz w:val="16"/>
                <w:szCs w:val="16"/>
              </w:rPr>
              <w:t>Con las tabletas de 200 mg no se puede preparar la dispersión mencionada.</w:t>
            </w:r>
          </w:p>
        </w:tc>
      </w:tr>
      <w:tr w:rsidR="00924992" w14:paraId="48A65850" w14:textId="77777777">
        <w:tblPrEx>
          <w:tblCellMar>
            <w:top w:w="0" w:type="dxa"/>
            <w:bottom w:w="0" w:type="dxa"/>
          </w:tblCellMar>
        </w:tblPrEx>
        <w:trPr>
          <w:trHeight w:hRule="exact" w:val="1757"/>
        </w:trPr>
        <w:tc>
          <w:tcPr>
            <w:tcW w:w="2866" w:type="dxa"/>
            <w:shd w:val="clear" w:color="auto" w:fill="FFFFFF"/>
          </w:tcPr>
          <w:p w14:paraId="12407AAD" w14:textId="77777777" w:rsidR="00924992" w:rsidRDefault="00924992">
            <w:pPr>
              <w:pStyle w:val="Other0"/>
              <w:framePr w:w="11424" w:h="4104" w:vSpace="874" w:wrap="none" w:hAnchor="page" w:x="635" w:y="356"/>
              <w:spacing w:line="240" w:lineRule="auto"/>
              <w:ind w:firstLine="0"/>
              <w:rPr>
                <w:sz w:val="16"/>
                <w:szCs w:val="16"/>
              </w:rPr>
            </w:pPr>
            <w:r>
              <w:rPr>
                <w:rFonts w:ascii="Times New Roman" w:eastAsia="Times New Roman" w:hAnsi="Times New Roman" w:cs="Times New Roman"/>
                <w:b/>
                <w:bCs/>
                <w:color w:val="000000"/>
                <w:sz w:val="16"/>
                <w:szCs w:val="16"/>
              </w:rPr>
              <w:t>Efavirenz (EFV)/Sustiva</w:t>
            </w:r>
          </w:p>
        </w:tc>
        <w:tc>
          <w:tcPr>
            <w:tcW w:w="4459" w:type="dxa"/>
            <w:shd w:val="clear" w:color="auto" w:fill="FFFFFF"/>
          </w:tcPr>
          <w:p w14:paraId="4EAEED74" w14:textId="77777777" w:rsidR="00924992" w:rsidRDefault="00924992">
            <w:pPr>
              <w:pStyle w:val="Other0"/>
              <w:framePr w:w="11424" w:h="4104" w:vSpace="874" w:wrap="none" w:hAnchor="page" w:x="635" w:y="356"/>
              <w:spacing w:line="283" w:lineRule="auto"/>
              <w:ind w:left="680" w:hanging="100"/>
              <w:rPr>
                <w:sz w:val="16"/>
                <w:szCs w:val="16"/>
              </w:rPr>
            </w:pPr>
            <w:r>
              <w:rPr>
                <w:rFonts w:ascii="Times New Roman" w:eastAsia="Times New Roman" w:hAnsi="Times New Roman" w:cs="Times New Roman"/>
                <w:i/>
                <w:iCs/>
                <w:color w:val="000000"/>
                <w:sz w:val="16"/>
                <w:szCs w:val="16"/>
              </w:rPr>
              <w:t>Niños (mayores de 3 años):</w:t>
            </w:r>
            <w:r>
              <w:rPr>
                <w:rFonts w:ascii="Times New Roman" w:eastAsia="Times New Roman" w:hAnsi="Times New Roman" w:cs="Times New Roman"/>
                <w:color w:val="000000"/>
                <w:sz w:val="16"/>
                <w:szCs w:val="16"/>
              </w:rPr>
              <w:t xml:space="preserve"> se administra una vez al día. Peso corporal de 10 a menos de 15 kg: 200 mg;</w:t>
            </w:r>
          </w:p>
          <w:p w14:paraId="27D8543B" w14:textId="77777777" w:rsidR="00924992" w:rsidRDefault="00924992">
            <w:pPr>
              <w:pStyle w:val="Other0"/>
              <w:framePr w:w="11424" w:h="4104" w:vSpace="874" w:wrap="none" w:hAnchor="page" w:x="635" w:y="356"/>
              <w:spacing w:line="283" w:lineRule="auto"/>
              <w:ind w:left="680" w:firstLine="0"/>
              <w:rPr>
                <w:sz w:val="16"/>
                <w:szCs w:val="16"/>
              </w:rPr>
            </w:pPr>
            <w:r>
              <w:rPr>
                <w:rFonts w:ascii="Times New Roman" w:eastAsia="Times New Roman" w:hAnsi="Times New Roman" w:cs="Times New Roman"/>
                <w:color w:val="000000"/>
                <w:sz w:val="16"/>
                <w:szCs w:val="16"/>
              </w:rPr>
              <w:t>15 a menos de 20 kg: 250 mg; 20 a menos de 25 kg: 300 mg; 25 a menos de 32.5 kg: 350 mg; 32.5 a menos de 40 kg: 400 mg; 40 kg y más: 600 mg. No hay datos de las dosis apropiadas para niños menores de 3 años.</w:t>
            </w:r>
          </w:p>
          <w:p w14:paraId="31243426" w14:textId="77777777" w:rsidR="00924992" w:rsidRDefault="00924992">
            <w:pPr>
              <w:pStyle w:val="Other0"/>
              <w:framePr w:w="11424" w:h="4104" w:vSpace="874" w:wrap="none" w:hAnchor="page" w:x="635" w:y="356"/>
              <w:spacing w:line="283" w:lineRule="auto"/>
              <w:ind w:firstLine="580"/>
              <w:rPr>
                <w:sz w:val="16"/>
                <w:szCs w:val="16"/>
              </w:rPr>
            </w:pPr>
            <w:r>
              <w:rPr>
                <w:rFonts w:ascii="Times New Roman" w:eastAsia="Times New Roman" w:hAnsi="Times New Roman" w:cs="Times New Roman"/>
                <w:i/>
                <w:iCs/>
                <w:color w:val="000000"/>
                <w:sz w:val="16"/>
                <w:szCs w:val="16"/>
              </w:rPr>
              <w:t>Adolescentes y adultos:</w:t>
            </w:r>
            <w:r>
              <w:rPr>
                <w:rFonts w:ascii="Times New Roman" w:eastAsia="Times New Roman" w:hAnsi="Times New Roman" w:cs="Times New Roman"/>
                <w:color w:val="000000"/>
                <w:sz w:val="16"/>
                <w:szCs w:val="16"/>
              </w:rPr>
              <w:t xml:space="preserve"> 600 mg, una vez al día</w:t>
            </w:r>
          </w:p>
        </w:tc>
        <w:tc>
          <w:tcPr>
            <w:tcW w:w="4099" w:type="dxa"/>
            <w:shd w:val="clear" w:color="auto" w:fill="FFFFFF"/>
          </w:tcPr>
          <w:p w14:paraId="54F1720A" w14:textId="77777777" w:rsidR="00924992" w:rsidRDefault="00924992">
            <w:pPr>
              <w:pStyle w:val="Other0"/>
              <w:framePr w:w="11424" w:h="4104" w:vSpace="874" w:wrap="none" w:hAnchor="page" w:x="635" w:y="356"/>
              <w:spacing w:line="283" w:lineRule="auto"/>
              <w:ind w:firstLine="0"/>
              <w:rPr>
                <w:sz w:val="16"/>
                <w:szCs w:val="16"/>
              </w:rPr>
            </w:pPr>
            <w:r>
              <w:rPr>
                <w:rFonts w:ascii="Times New Roman" w:eastAsia="Times New Roman" w:hAnsi="Times New Roman" w:cs="Times New Roman"/>
                <w:color w:val="000000"/>
                <w:sz w:val="16"/>
                <w:szCs w:val="16"/>
              </w:rPr>
              <w:t>El efavirenz debe ingerirse en ayunas.</w:t>
            </w:r>
          </w:p>
          <w:p w14:paraId="4DB0DA79" w14:textId="77777777" w:rsidR="00924992" w:rsidRDefault="00924992">
            <w:pPr>
              <w:pStyle w:val="Other0"/>
              <w:framePr w:w="11424" w:h="4104" w:vSpace="874" w:wrap="none" w:hAnchor="page" w:x="635" w:y="356"/>
              <w:spacing w:line="283" w:lineRule="auto"/>
              <w:ind w:left="180" w:hanging="180"/>
              <w:rPr>
                <w:sz w:val="16"/>
                <w:szCs w:val="16"/>
              </w:rPr>
            </w:pPr>
            <w:r>
              <w:rPr>
                <w:rFonts w:ascii="Times New Roman" w:eastAsia="Times New Roman" w:hAnsi="Times New Roman" w:cs="Times New Roman"/>
                <w:color w:val="000000"/>
                <w:sz w:val="16"/>
                <w:szCs w:val="16"/>
              </w:rPr>
              <w:t>Las cápsulas se pueden abrir y agregar a líquidos o alimentos, pero efavirenz tiene un sabor picante; para disimularlo puede utilizarse jalea de uva.</w:t>
            </w:r>
          </w:p>
          <w:p w14:paraId="14BA42EE" w14:textId="77777777" w:rsidR="00924992" w:rsidRDefault="00924992">
            <w:pPr>
              <w:pStyle w:val="Other0"/>
              <w:framePr w:w="11424" w:h="4104" w:vSpace="874" w:wrap="none" w:hAnchor="page" w:x="635" w:y="356"/>
              <w:spacing w:line="283" w:lineRule="auto"/>
              <w:ind w:left="180" w:hanging="180"/>
              <w:rPr>
                <w:sz w:val="16"/>
                <w:szCs w:val="16"/>
              </w:rPr>
            </w:pPr>
            <w:r>
              <w:rPr>
                <w:rFonts w:ascii="Times New Roman" w:eastAsia="Times New Roman" w:hAnsi="Times New Roman" w:cs="Times New Roman"/>
                <w:color w:val="000000"/>
                <w:sz w:val="16"/>
                <w:szCs w:val="16"/>
              </w:rPr>
              <w:t>Se recomienda administrar el fármaco a la hora de acostarse, particularmente en las primeras 2 a 4 semanas de tratamiento para mejorar la tolerancia del sistema nervioso central a los efectos adversos.</w:t>
            </w:r>
          </w:p>
        </w:tc>
      </w:tr>
    </w:tbl>
    <w:p w14:paraId="3096C337" w14:textId="77777777" w:rsidR="00924992" w:rsidRDefault="00924992">
      <w:pPr>
        <w:framePr w:w="11424" w:h="4104" w:vSpace="874" w:wrap="none" w:hAnchor="page" w:x="635" w:y="356"/>
        <w:spacing w:line="1" w:lineRule="exact"/>
      </w:pPr>
    </w:p>
    <w:p w14:paraId="22CBD9C4" w14:textId="77777777" w:rsidR="00924992" w:rsidRDefault="00924992">
      <w:pPr>
        <w:pStyle w:val="Tablecaption0"/>
        <w:framePr w:w="3667" w:h="893" w:wrap="none" w:hAnchor="page" w:x="8027" w:y="4441"/>
        <w:spacing w:line="283" w:lineRule="auto"/>
        <w:ind w:left="0"/>
        <w:rPr>
          <w:sz w:val="16"/>
          <w:szCs w:val="16"/>
        </w:rPr>
      </w:pPr>
      <w:r>
        <w:rPr>
          <w:color w:val="000000"/>
          <w:sz w:val="16"/>
          <w:szCs w:val="16"/>
        </w:rPr>
        <w:t>Es mejor no usar el fármaco en el embarazo, y las mujeres en edad de procreación deben someterse a pruebas para detectar gestación antes de iniciar la terapia.</w:t>
      </w:r>
    </w:p>
    <w:p w14:paraId="016E044E" w14:textId="77777777" w:rsidR="00924992" w:rsidRDefault="00924992">
      <w:pPr>
        <w:pStyle w:val="Bodytext80"/>
        <w:framePr w:w="192" w:h="4694" w:hRule="exact" w:wrap="none" w:hAnchor="page" w:x="12390" w:y="2223"/>
        <w:tabs>
          <w:tab w:val="left" w:pos="4378"/>
        </w:tabs>
        <w:textDirection w:val="tbRl"/>
        <w:rPr>
          <w:sz w:val="16"/>
          <w:szCs w:val="16"/>
        </w:rPr>
      </w:pPr>
      <w:r>
        <w:t>TERAPIA CON ANTIRRETROVÍRICOS</w:t>
      </w:r>
      <w:r>
        <w:tab/>
      </w:r>
      <w:r>
        <w:rPr>
          <w:sz w:val="16"/>
          <w:szCs w:val="16"/>
        </w:rPr>
        <w:t>773</w:t>
      </w:r>
    </w:p>
    <w:p w14:paraId="74A7DE7A" w14:textId="77777777" w:rsidR="00924992" w:rsidRDefault="00924992">
      <w:pPr>
        <w:spacing w:line="360" w:lineRule="exact"/>
      </w:pPr>
    </w:p>
    <w:p w14:paraId="670EECB9" w14:textId="77777777" w:rsidR="00924992" w:rsidRDefault="00924992">
      <w:pPr>
        <w:spacing w:line="360" w:lineRule="exact"/>
      </w:pPr>
    </w:p>
    <w:p w14:paraId="429C6B12" w14:textId="77777777" w:rsidR="00924992" w:rsidRDefault="00924992">
      <w:pPr>
        <w:spacing w:line="360" w:lineRule="exact"/>
      </w:pPr>
    </w:p>
    <w:p w14:paraId="05C460AB" w14:textId="77777777" w:rsidR="00924992" w:rsidRDefault="00924992">
      <w:pPr>
        <w:spacing w:line="360" w:lineRule="exact"/>
      </w:pPr>
    </w:p>
    <w:p w14:paraId="59BD2C67" w14:textId="77777777" w:rsidR="00924992" w:rsidRDefault="00924992">
      <w:pPr>
        <w:spacing w:line="360" w:lineRule="exact"/>
      </w:pPr>
    </w:p>
    <w:p w14:paraId="495D52AB" w14:textId="77777777" w:rsidR="00924992" w:rsidRDefault="00924992">
      <w:pPr>
        <w:spacing w:line="360" w:lineRule="exact"/>
      </w:pPr>
    </w:p>
    <w:p w14:paraId="1C394F80" w14:textId="77777777" w:rsidR="00924992" w:rsidRDefault="00924992">
      <w:pPr>
        <w:spacing w:line="360" w:lineRule="exact"/>
      </w:pPr>
    </w:p>
    <w:p w14:paraId="5DABB21F" w14:textId="77777777" w:rsidR="00924992" w:rsidRDefault="00924992">
      <w:pPr>
        <w:spacing w:line="360" w:lineRule="exact"/>
      </w:pPr>
    </w:p>
    <w:p w14:paraId="1EDD3A30" w14:textId="77777777" w:rsidR="00924992" w:rsidRDefault="00924992">
      <w:pPr>
        <w:spacing w:line="360" w:lineRule="exact"/>
      </w:pPr>
    </w:p>
    <w:p w14:paraId="280DFEA2" w14:textId="77777777" w:rsidR="00924992" w:rsidRDefault="00924992">
      <w:pPr>
        <w:spacing w:line="360" w:lineRule="exact"/>
      </w:pPr>
    </w:p>
    <w:p w14:paraId="3BEE535C" w14:textId="77777777" w:rsidR="00924992" w:rsidRDefault="00924992">
      <w:pPr>
        <w:spacing w:line="360" w:lineRule="exact"/>
      </w:pPr>
    </w:p>
    <w:p w14:paraId="4100C757" w14:textId="77777777" w:rsidR="00924992" w:rsidRDefault="00924992">
      <w:pPr>
        <w:spacing w:line="360" w:lineRule="exact"/>
      </w:pPr>
    </w:p>
    <w:p w14:paraId="55EC230E" w14:textId="77777777" w:rsidR="00924992" w:rsidRDefault="00924992">
      <w:pPr>
        <w:spacing w:line="360" w:lineRule="exact"/>
      </w:pPr>
    </w:p>
    <w:p w14:paraId="5F09B0BE" w14:textId="77777777" w:rsidR="00924992" w:rsidRDefault="00924992">
      <w:pPr>
        <w:spacing w:line="360" w:lineRule="exact"/>
      </w:pPr>
    </w:p>
    <w:p w14:paraId="11CE4F01" w14:textId="77777777" w:rsidR="00924992" w:rsidRDefault="00924992">
      <w:pPr>
        <w:spacing w:line="360" w:lineRule="exact"/>
      </w:pPr>
    </w:p>
    <w:p w14:paraId="32B99502" w14:textId="77777777" w:rsidR="00924992" w:rsidRDefault="00924992">
      <w:pPr>
        <w:spacing w:line="360" w:lineRule="exact"/>
      </w:pPr>
    </w:p>
    <w:p w14:paraId="149637AF" w14:textId="77777777" w:rsidR="00924992" w:rsidRDefault="00924992">
      <w:pPr>
        <w:spacing w:line="360" w:lineRule="exact"/>
      </w:pPr>
    </w:p>
    <w:p w14:paraId="61E2F2C3" w14:textId="77777777" w:rsidR="00924992" w:rsidRDefault="00924992">
      <w:pPr>
        <w:spacing w:line="360" w:lineRule="exact"/>
      </w:pPr>
    </w:p>
    <w:p w14:paraId="5A8819E6" w14:textId="77777777" w:rsidR="00924992" w:rsidRDefault="00924992">
      <w:pPr>
        <w:spacing w:after="436" w:line="1" w:lineRule="exact"/>
      </w:pPr>
    </w:p>
    <w:p w14:paraId="32567E72" w14:textId="77777777" w:rsidR="00924992" w:rsidRDefault="00924992">
      <w:pPr>
        <w:spacing w:line="1" w:lineRule="exact"/>
        <w:sectPr w:rsidR="00924992" w:rsidSect="00924992">
          <w:footnotePr>
            <w:numFmt w:val="upperRoman"/>
          </w:footnotePr>
          <w:pgSz w:w="13022" w:h="8501" w:orient="landscape"/>
          <w:pgMar w:top="1080" w:right="442" w:bottom="370" w:left="634" w:header="0" w:footer="3" w:gutter="0"/>
          <w:cols w:space="720"/>
          <w:noEndnote/>
          <w:docGrid w:linePitch="360"/>
          <w15:footnoteColumns w:val="1"/>
        </w:sectPr>
      </w:pPr>
    </w:p>
    <w:p w14:paraId="3B3DB8DA" w14:textId="77777777" w:rsidR="00924992" w:rsidRDefault="00924992">
      <w:pPr>
        <w:pStyle w:val="Heading31"/>
        <w:keepNext/>
        <w:keepLines/>
        <w:framePr w:w="10733" w:h="322" w:wrap="none" w:hAnchor="page" w:x="980" w:y="1"/>
        <w:rPr>
          <w:sz w:val="16"/>
          <w:szCs w:val="16"/>
        </w:rPr>
      </w:pPr>
      <w:bookmarkStart w:id="434" w:name="bookmark1880"/>
      <w:bookmarkStart w:id="435" w:name="bookmark1881"/>
      <w:bookmarkStart w:id="436" w:name="bookmark1882"/>
      <w:r>
        <w:rPr>
          <w:b w:val="0"/>
          <w:bCs w:val="0"/>
          <w:color w:val="000000"/>
        </w:rPr>
        <w:t xml:space="preserve">Cuadro 4-10. </w:t>
      </w:r>
      <w:r>
        <w:rPr>
          <w:color w:val="000000"/>
        </w:rPr>
        <w:t xml:space="preserve">Características de los antirretrovíricos: inhibidores no nucleósidos de la transcriptasa inversa </w:t>
      </w:r>
      <w:r>
        <w:rPr>
          <w:rFonts w:ascii="Times New Roman" w:eastAsia="Times New Roman" w:hAnsi="Times New Roman" w:cs="Times New Roman"/>
          <w:b w:val="0"/>
          <w:bCs w:val="0"/>
          <w:i/>
          <w:iCs/>
          <w:color w:val="000000"/>
          <w:w w:val="100"/>
          <w:sz w:val="16"/>
          <w:szCs w:val="16"/>
        </w:rPr>
        <w:t>continuación</w:t>
      </w:r>
      <w:bookmarkEnd w:id="434"/>
      <w:bookmarkEnd w:id="435"/>
      <w:bookmarkEnd w:id="436"/>
    </w:p>
    <w:p w14:paraId="49E94A14" w14:textId="77777777" w:rsidR="00924992" w:rsidRDefault="00924992">
      <w:pPr>
        <w:pStyle w:val="Heading41"/>
        <w:keepNext/>
        <w:keepLines/>
        <w:framePr w:w="11366" w:h="576" w:wrap="none" w:hAnchor="page" w:x="663" w:y="371"/>
        <w:pBdr>
          <w:top w:val="single" w:sz="0" w:space="0" w:color="000000"/>
          <w:left w:val="single" w:sz="0" w:space="0" w:color="000000"/>
          <w:bottom w:val="single" w:sz="0" w:space="4" w:color="000000"/>
          <w:right w:val="single" w:sz="0" w:space="0" w:color="000000"/>
        </w:pBdr>
        <w:shd w:val="clear" w:color="auto" w:fill="000000"/>
        <w:tabs>
          <w:tab w:val="left" w:pos="3394"/>
          <w:tab w:val="left" w:pos="7363"/>
        </w:tabs>
      </w:pPr>
      <w:bookmarkStart w:id="437" w:name="bookmark1885"/>
      <w:r>
        <w:rPr>
          <w:color w:val="FFFFFF"/>
        </w:rPr>
        <w:t>Fármaco (siglas)/</w:t>
      </w:r>
      <w:r>
        <w:rPr>
          <w:color w:val="FFFFFF"/>
        </w:rPr>
        <w:tab/>
        <w:t>Dosis</w:t>
      </w:r>
      <w:r>
        <w:rPr>
          <w:color w:val="FFFFFF"/>
        </w:rPr>
        <w:tab/>
        <w:t>Instrucciones especiales</w:t>
      </w:r>
      <w:bookmarkEnd w:id="437"/>
    </w:p>
    <w:p w14:paraId="15CBB4AA" w14:textId="77777777" w:rsidR="00924992" w:rsidRDefault="00924992">
      <w:pPr>
        <w:pStyle w:val="Heading41"/>
        <w:keepNext/>
        <w:keepLines/>
        <w:framePr w:w="11366" w:h="576" w:wrap="none" w:hAnchor="page" w:x="663" w:y="371"/>
        <w:pBdr>
          <w:top w:val="single" w:sz="0" w:space="0" w:color="000000"/>
          <w:left w:val="single" w:sz="0" w:space="0" w:color="000000"/>
          <w:bottom w:val="single" w:sz="0" w:space="4" w:color="000000"/>
          <w:right w:val="single" w:sz="0" w:space="0" w:color="000000"/>
        </w:pBdr>
        <w:shd w:val="clear" w:color="auto" w:fill="000000"/>
        <w:spacing w:line="209" w:lineRule="auto"/>
      </w:pPr>
      <w:bookmarkStart w:id="438" w:name="bookmark1883"/>
      <w:bookmarkStart w:id="439" w:name="bookmark1884"/>
      <w:bookmarkStart w:id="440" w:name="bookmark1886"/>
      <w:r>
        <w:rPr>
          <w:color w:val="FFFFFF"/>
        </w:rPr>
        <w:t>nombre comercial</w:t>
      </w:r>
      <w:bookmarkEnd w:id="438"/>
      <w:bookmarkEnd w:id="439"/>
      <w:bookmarkEnd w:id="440"/>
    </w:p>
    <w:tbl>
      <w:tblPr>
        <w:tblOverlap w:val="never"/>
        <w:tblW w:w="0" w:type="auto"/>
        <w:tblLayout w:type="fixed"/>
        <w:tblCellMar>
          <w:left w:w="10" w:type="dxa"/>
          <w:right w:w="10" w:type="dxa"/>
        </w:tblCellMar>
        <w:tblLook w:val="04A0" w:firstRow="1" w:lastRow="0" w:firstColumn="1" w:lastColumn="0" w:noHBand="0" w:noVBand="1"/>
      </w:tblPr>
      <w:tblGrid>
        <w:gridCol w:w="2347"/>
        <w:gridCol w:w="9072"/>
      </w:tblGrid>
      <w:tr w:rsidR="00924992" w14:paraId="2794EC3A" w14:textId="77777777">
        <w:tblPrEx>
          <w:tblCellMar>
            <w:top w:w="0" w:type="dxa"/>
            <w:bottom w:w="0" w:type="dxa"/>
          </w:tblCellMar>
        </w:tblPrEx>
        <w:trPr>
          <w:trHeight w:hRule="exact" w:val="3778"/>
        </w:trPr>
        <w:tc>
          <w:tcPr>
            <w:tcW w:w="2347" w:type="dxa"/>
            <w:tcBorders>
              <w:bottom w:val="single" w:sz="4" w:space="0" w:color="auto"/>
            </w:tcBorders>
            <w:shd w:val="clear" w:color="auto" w:fill="FFFFFF"/>
          </w:tcPr>
          <w:p w14:paraId="42DE979A" w14:textId="77777777" w:rsidR="00924992" w:rsidRDefault="00924992">
            <w:pPr>
              <w:pStyle w:val="Other0"/>
              <w:framePr w:w="11419" w:h="3778" w:vSpace="1752" w:wrap="none" w:hAnchor="page" w:x="615" w:y="951"/>
              <w:spacing w:line="240" w:lineRule="auto"/>
              <w:ind w:firstLine="0"/>
              <w:rPr>
                <w:sz w:val="16"/>
                <w:szCs w:val="16"/>
              </w:rPr>
            </w:pPr>
            <w:r>
              <w:rPr>
                <w:rFonts w:ascii="Times New Roman" w:eastAsia="Times New Roman" w:hAnsi="Times New Roman" w:cs="Times New Roman"/>
                <w:b/>
                <w:bCs/>
                <w:color w:val="000000"/>
                <w:sz w:val="16"/>
                <w:szCs w:val="16"/>
              </w:rPr>
              <w:t>Nevirapina (NVP)ZViramune</w:t>
            </w:r>
          </w:p>
        </w:tc>
        <w:tc>
          <w:tcPr>
            <w:tcW w:w="9072" w:type="dxa"/>
            <w:tcBorders>
              <w:bottom w:val="single" w:sz="4" w:space="0" w:color="auto"/>
            </w:tcBorders>
            <w:shd w:val="clear" w:color="auto" w:fill="FFFFFF"/>
          </w:tcPr>
          <w:p w14:paraId="706AD179" w14:textId="77777777" w:rsidR="00924992" w:rsidRDefault="00924992">
            <w:pPr>
              <w:pStyle w:val="Other0"/>
              <w:framePr w:w="11419" w:h="3778" w:vSpace="1752" w:wrap="none" w:hAnchor="page" w:x="615" w:y="951"/>
              <w:tabs>
                <w:tab w:val="left" w:pos="5034"/>
              </w:tabs>
              <w:spacing w:line="283" w:lineRule="auto"/>
              <w:ind w:left="1060" w:firstLine="0"/>
              <w:rPr>
                <w:sz w:val="16"/>
                <w:szCs w:val="16"/>
              </w:rPr>
            </w:pPr>
            <w:r>
              <w:rPr>
                <w:rFonts w:ascii="Times New Roman" w:eastAsia="Times New Roman" w:hAnsi="Times New Roman" w:cs="Times New Roman"/>
                <w:i/>
                <w:iCs/>
                <w:color w:val="000000"/>
                <w:sz w:val="16"/>
                <w:szCs w:val="16"/>
              </w:rPr>
              <w:t>Niños:</w:t>
            </w:r>
            <w:r>
              <w:rPr>
                <w:rFonts w:ascii="Times New Roman" w:eastAsia="Times New Roman" w:hAnsi="Times New Roman" w:cs="Times New Roman"/>
                <w:color w:val="000000"/>
                <w:sz w:val="16"/>
                <w:szCs w:val="16"/>
              </w:rPr>
              <w:tab/>
              <w:t>Se puede administrar con alimentos.</w:t>
            </w:r>
          </w:p>
          <w:p w14:paraId="4CF309B0" w14:textId="77777777" w:rsidR="00924992" w:rsidRDefault="00924992">
            <w:pPr>
              <w:pStyle w:val="Other0"/>
              <w:framePr w:w="11419" w:h="3778" w:vSpace="1752" w:wrap="none" w:hAnchor="page" w:x="615" w:y="951"/>
              <w:tabs>
                <w:tab w:val="left" w:pos="5030"/>
              </w:tabs>
              <w:spacing w:line="283" w:lineRule="auto"/>
              <w:ind w:left="1180" w:firstLine="0"/>
              <w:rPr>
                <w:sz w:val="16"/>
                <w:szCs w:val="16"/>
              </w:rPr>
            </w:pPr>
            <w:r>
              <w:rPr>
                <w:rFonts w:ascii="Times New Roman" w:eastAsia="Times New Roman" w:hAnsi="Times New Roman" w:cs="Times New Roman"/>
                <w:color w:val="000000"/>
                <w:sz w:val="16"/>
                <w:szCs w:val="16"/>
              </w:rPr>
              <w:t>120-200 mg/m</w:t>
            </w:r>
            <w:r>
              <w:rPr>
                <w:rFonts w:ascii="Times New Roman" w:eastAsia="Times New Roman" w:hAnsi="Times New Roman" w:cs="Times New Roman"/>
                <w:color w:val="000000"/>
                <w:sz w:val="16"/>
                <w:szCs w:val="16"/>
                <w:vertAlign w:val="superscript"/>
              </w:rPr>
              <w:t>2</w:t>
            </w:r>
            <w:r>
              <w:rPr>
                <w:rFonts w:ascii="Times New Roman" w:eastAsia="Times New Roman" w:hAnsi="Times New Roman" w:cs="Times New Roman"/>
                <w:color w:val="000000"/>
                <w:sz w:val="16"/>
                <w:szCs w:val="16"/>
              </w:rPr>
              <w:t>, cada 12 h. Nota: emprender la</w:t>
            </w:r>
            <w:r>
              <w:rPr>
                <w:rFonts w:ascii="Times New Roman" w:eastAsia="Times New Roman" w:hAnsi="Times New Roman" w:cs="Times New Roman"/>
                <w:color w:val="000000"/>
                <w:sz w:val="16"/>
                <w:szCs w:val="16"/>
              </w:rPr>
              <w:tab/>
              <w:t>Se puede administrar en forma simultánea con ddl.</w:t>
            </w:r>
          </w:p>
          <w:p w14:paraId="22C79329" w14:textId="77777777" w:rsidR="00924992" w:rsidRDefault="00924992">
            <w:pPr>
              <w:pStyle w:val="Other0"/>
              <w:framePr w:w="11419" w:h="3778" w:vSpace="1752" w:wrap="none" w:hAnchor="page" w:x="615" w:y="951"/>
              <w:tabs>
                <w:tab w:val="left" w:pos="5044"/>
              </w:tabs>
              <w:spacing w:line="283" w:lineRule="auto"/>
              <w:ind w:left="1180" w:firstLine="0"/>
              <w:rPr>
                <w:sz w:val="16"/>
                <w:szCs w:val="16"/>
              </w:rPr>
            </w:pPr>
            <w:r>
              <w:rPr>
                <w:rFonts w:ascii="Times New Roman" w:eastAsia="Times New Roman" w:hAnsi="Times New Roman" w:cs="Times New Roman"/>
                <w:color w:val="000000"/>
                <w:sz w:val="16"/>
                <w:szCs w:val="16"/>
              </w:rPr>
              <w:t>terapia con 120 mg/m2 una vez al día durante</w:t>
            </w:r>
            <w:r>
              <w:rPr>
                <w:rFonts w:ascii="Times New Roman" w:eastAsia="Times New Roman" w:hAnsi="Times New Roman" w:cs="Times New Roman"/>
                <w:color w:val="000000"/>
                <w:sz w:val="16"/>
                <w:szCs w:val="16"/>
              </w:rPr>
              <w:tab/>
              <w:t>La suspensión debe agitarse perfectamente, y se le</w:t>
            </w:r>
          </w:p>
          <w:p w14:paraId="5D6546C9" w14:textId="77777777" w:rsidR="00924992" w:rsidRDefault="00924992">
            <w:pPr>
              <w:pStyle w:val="Other0"/>
              <w:framePr w:w="11419" w:h="3778" w:vSpace="1752" w:wrap="none" w:hAnchor="page" w:x="615" w:y="951"/>
              <w:tabs>
                <w:tab w:val="left" w:pos="5159"/>
              </w:tabs>
              <w:spacing w:line="283" w:lineRule="auto"/>
              <w:ind w:left="1180" w:firstLine="0"/>
              <w:rPr>
                <w:sz w:val="16"/>
                <w:szCs w:val="16"/>
              </w:rPr>
            </w:pPr>
            <w:r>
              <w:rPr>
                <w:rFonts w:ascii="Times New Roman" w:eastAsia="Times New Roman" w:hAnsi="Times New Roman" w:cs="Times New Roman"/>
                <w:color w:val="000000"/>
                <w:sz w:val="16"/>
                <w:szCs w:val="16"/>
              </w:rPr>
              <w:t>14 días. Aumentar hasta llegar a la dosis completa</w:t>
            </w:r>
            <w:r>
              <w:rPr>
                <w:rFonts w:ascii="Times New Roman" w:eastAsia="Times New Roman" w:hAnsi="Times New Roman" w:cs="Times New Roman"/>
                <w:color w:val="000000"/>
                <w:sz w:val="16"/>
                <w:szCs w:val="16"/>
              </w:rPr>
              <w:tab/>
              <w:t>almacenará a temperatura ambiente.</w:t>
            </w:r>
          </w:p>
          <w:p w14:paraId="11598462" w14:textId="77777777" w:rsidR="00924992" w:rsidRDefault="00924992">
            <w:pPr>
              <w:pStyle w:val="Other0"/>
              <w:framePr w:w="11419" w:h="3778" w:vSpace="1752" w:wrap="none" w:hAnchor="page" w:x="615" w:y="951"/>
              <w:tabs>
                <w:tab w:val="left" w:pos="5178"/>
              </w:tabs>
              <w:spacing w:line="283" w:lineRule="auto"/>
              <w:ind w:left="1180" w:firstLine="0"/>
              <w:rPr>
                <w:sz w:val="16"/>
                <w:szCs w:val="16"/>
              </w:rPr>
            </w:pPr>
            <w:r>
              <w:rPr>
                <w:rFonts w:ascii="Times New Roman" w:eastAsia="Times New Roman" w:hAnsi="Times New Roman" w:cs="Times New Roman"/>
                <w:color w:val="000000"/>
                <w:sz w:val="16"/>
                <w:szCs w:val="16"/>
              </w:rPr>
              <w:t>que se administra cada 12 h si no surgen erupciones Aumenta la incidencia de efectos hepatotóxicos en u otros efectos adversos.</w:t>
            </w:r>
            <w:r>
              <w:rPr>
                <w:rFonts w:ascii="Times New Roman" w:eastAsia="Times New Roman" w:hAnsi="Times New Roman" w:cs="Times New Roman"/>
                <w:color w:val="000000"/>
                <w:sz w:val="16"/>
                <w:szCs w:val="16"/>
              </w:rPr>
              <w:tab/>
              <w:t>personas con mayores concentraciones de</w:t>
            </w:r>
          </w:p>
          <w:p w14:paraId="323864A4" w14:textId="77777777" w:rsidR="00924992" w:rsidRDefault="00924992">
            <w:pPr>
              <w:pStyle w:val="Other0"/>
              <w:framePr w:w="11419" w:h="3778" w:vSpace="1752" w:wrap="none" w:hAnchor="page" w:x="615" w:y="951"/>
              <w:tabs>
                <w:tab w:val="left" w:pos="5174"/>
              </w:tabs>
              <w:spacing w:line="283" w:lineRule="auto"/>
              <w:ind w:left="1180" w:firstLine="0"/>
              <w:rPr>
                <w:sz w:val="16"/>
                <w:szCs w:val="16"/>
              </w:rPr>
            </w:pPr>
            <w:r>
              <w:rPr>
                <w:rFonts w:ascii="Times New Roman" w:eastAsia="Times New Roman" w:hAnsi="Times New Roman" w:cs="Times New Roman"/>
                <w:color w:val="000000"/>
                <w:sz w:val="16"/>
                <w:szCs w:val="16"/>
              </w:rPr>
              <w:t>O</w:t>
            </w:r>
            <w:r>
              <w:rPr>
                <w:rFonts w:ascii="Times New Roman" w:eastAsia="Times New Roman" w:hAnsi="Times New Roman" w:cs="Times New Roman"/>
                <w:color w:val="000000"/>
                <w:sz w:val="16"/>
                <w:szCs w:val="16"/>
              </w:rPr>
              <w:tab/>
              <w:t>transaminasas de alanina o aspartato antes de</w:t>
            </w:r>
          </w:p>
          <w:p w14:paraId="3879B488" w14:textId="77777777" w:rsidR="00924992" w:rsidRDefault="00924992">
            <w:pPr>
              <w:pStyle w:val="Other0"/>
              <w:framePr w:w="11419" w:h="3778" w:vSpace="1752" w:wrap="none" w:hAnchor="page" w:x="615" w:y="951"/>
              <w:tabs>
                <w:tab w:val="left" w:pos="5145"/>
              </w:tabs>
              <w:spacing w:line="283" w:lineRule="auto"/>
              <w:ind w:left="1060" w:firstLine="0"/>
              <w:rPr>
                <w:sz w:val="16"/>
                <w:szCs w:val="16"/>
              </w:rPr>
            </w:pPr>
            <w:r>
              <w:rPr>
                <w:rFonts w:ascii="Times New Roman" w:eastAsia="Times New Roman" w:hAnsi="Times New Roman" w:cs="Times New Roman"/>
                <w:i/>
                <w:iCs/>
                <w:color w:val="000000"/>
                <w:sz w:val="16"/>
                <w:szCs w:val="16"/>
              </w:rPr>
              <w:t>2 meses a 8 años:</w:t>
            </w:r>
            <w:r>
              <w:rPr>
                <w:rFonts w:ascii="Times New Roman" w:eastAsia="Times New Roman" w:hAnsi="Times New Roman" w:cs="Times New Roman"/>
                <w:color w:val="000000"/>
                <w:sz w:val="16"/>
                <w:szCs w:val="16"/>
              </w:rPr>
              <w:t xml:space="preserve"> 4 mg/kg una vez al día durante</w:t>
            </w:r>
            <w:r>
              <w:rPr>
                <w:rFonts w:ascii="Times New Roman" w:eastAsia="Times New Roman" w:hAnsi="Times New Roman" w:cs="Times New Roman"/>
                <w:color w:val="000000"/>
                <w:sz w:val="16"/>
                <w:szCs w:val="16"/>
              </w:rPr>
              <w:tab/>
              <w:t>comenzar el tratamiento y en personas que también</w:t>
            </w:r>
          </w:p>
          <w:p w14:paraId="300F8DCA" w14:textId="77777777" w:rsidR="00924992" w:rsidRDefault="00924992">
            <w:pPr>
              <w:pStyle w:val="Other0"/>
              <w:framePr w:w="11419" w:h="3778" w:vSpace="1752" w:wrap="none" w:hAnchor="page" w:x="615" w:y="951"/>
              <w:tabs>
                <w:tab w:val="left" w:pos="5145"/>
              </w:tabs>
              <w:spacing w:line="283" w:lineRule="auto"/>
              <w:ind w:left="1180" w:firstLine="0"/>
              <w:rPr>
                <w:sz w:val="16"/>
                <w:szCs w:val="16"/>
              </w:rPr>
            </w:pPr>
            <w:r>
              <w:rPr>
                <w:rFonts w:ascii="Times New Roman" w:eastAsia="Times New Roman" w:hAnsi="Times New Roman" w:cs="Times New Roman"/>
                <w:color w:val="000000"/>
                <w:sz w:val="16"/>
                <w:szCs w:val="16"/>
              </w:rPr>
              <w:t>14 días para aumentar a 7 mg/kg dos veces al día.</w:t>
            </w:r>
            <w:r>
              <w:rPr>
                <w:rFonts w:ascii="Times New Roman" w:eastAsia="Times New Roman" w:hAnsi="Times New Roman" w:cs="Times New Roman"/>
                <w:color w:val="000000"/>
                <w:sz w:val="16"/>
                <w:szCs w:val="16"/>
              </w:rPr>
              <w:tab/>
              <w:t>están infectadas con virus de hepatitis B o C.</w:t>
            </w:r>
          </w:p>
          <w:p w14:paraId="5FBF43B1" w14:textId="77777777" w:rsidR="00924992" w:rsidRDefault="00924992">
            <w:pPr>
              <w:pStyle w:val="Other0"/>
              <w:framePr w:w="11419" w:h="3778" w:vSpace="1752" w:wrap="none" w:hAnchor="page" w:x="615" w:y="951"/>
              <w:spacing w:line="283" w:lineRule="auto"/>
              <w:ind w:left="1060" w:firstLine="0"/>
              <w:rPr>
                <w:sz w:val="16"/>
                <w:szCs w:val="16"/>
              </w:rPr>
            </w:pPr>
            <w:r>
              <w:rPr>
                <w:rFonts w:ascii="Times New Roman" w:eastAsia="Times New Roman" w:hAnsi="Times New Roman" w:cs="Times New Roman"/>
                <w:i/>
                <w:iCs/>
                <w:color w:val="000000"/>
                <w:sz w:val="16"/>
                <w:szCs w:val="16"/>
              </w:rPr>
              <w:t>Niños mayores de 8 años:</w:t>
            </w:r>
            <w:r>
              <w:rPr>
                <w:rFonts w:ascii="Times New Roman" w:eastAsia="Times New Roman" w:hAnsi="Times New Roman" w:cs="Times New Roman"/>
                <w:color w:val="000000"/>
                <w:sz w:val="16"/>
                <w:szCs w:val="16"/>
              </w:rPr>
              <w:t xml:space="preserve"> 4 mg/kg una vez al día</w:t>
            </w:r>
          </w:p>
          <w:p w14:paraId="4794B7D0" w14:textId="77777777" w:rsidR="00924992" w:rsidRDefault="00924992">
            <w:pPr>
              <w:pStyle w:val="Other0"/>
              <w:framePr w:w="11419" w:h="3778" w:vSpace="1752" w:wrap="none" w:hAnchor="page" w:x="615" w:y="951"/>
              <w:spacing w:line="283" w:lineRule="auto"/>
              <w:ind w:left="1180" w:firstLine="0"/>
              <w:rPr>
                <w:sz w:val="16"/>
                <w:szCs w:val="16"/>
              </w:rPr>
            </w:pPr>
            <w:r>
              <w:rPr>
                <w:rFonts w:ascii="Times New Roman" w:eastAsia="Times New Roman" w:hAnsi="Times New Roman" w:cs="Times New Roman"/>
                <w:color w:val="000000"/>
                <w:sz w:val="16"/>
                <w:szCs w:val="16"/>
              </w:rPr>
              <w:t>durante 14 días para seguir con 4 mg/kg dos veces</w:t>
            </w:r>
          </w:p>
          <w:p w14:paraId="2F5C9096" w14:textId="77777777" w:rsidR="00924992" w:rsidRDefault="00924992">
            <w:pPr>
              <w:pStyle w:val="Other0"/>
              <w:framePr w:w="11419" w:h="3778" w:vSpace="1752" w:wrap="none" w:hAnchor="page" w:x="615" w:y="951"/>
              <w:spacing w:line="283" w:lineRule="auto"/>
              <w:ind w:left="1180" w:firstLine="0"/>
              <w:rPr>
                <w:sz w:val="16"/>
                <w:szCs w:val="16"/>
              </w:rPr>
            </w:pPr>
            <w:r>
              <w:rPr>
                <w:rFonts w:ascii="Times New Roman" w:eastAsia="Times New Roman" w:hAnsi="Times New Roman" w:cs="Times New Roman"/>
                <w:color w:val="000000"/>
                <w:sz w:val="16"/>
                <w:szCs w:val="16"/>
              </w:rPr>
              <w:t>al día. Dosis máxima, 400 mg/día.</w:t>
            </w:r>
          </w:p>
          <w:p w14:paraId="0D23A529" w14:textId="77777777" w:rsidR="00924992" w:rsidRDefault="00924992">
            <w:pPr>
              <w:pStyle w:val="Other0"/>
              <w:framePr w:w="11419" w:h="3778" w:vSpace="1752" w:wrap="none" w:hAnchor="page" w:x="615" w:y="951"/>
              <w:spacing w:line="283" w:lineRule="auto"/>
              <w:ind w:left="1060" w:firstLine="0"/>
              <w:rPr>
                <w:sz w:val="16"/>
                <w:szCs w:val="16"/>
              </w:rPr>
            </w:pPr>
            <w:r>
              <w:rPr>
                <w:rFonts w:ascii="Times New Roman" w:eastAsia="Times New Roman" w:hAnsi="Times New Roman" w:cs="Times New Roman"/>
                <w:i/>
                <w:iCs/>
                <w:color w:val="000000"/>
                <w:sz w:val="16"/>
                <w:szCs w:val="16"/>
              </w:rPr>
              <w:t>Neonatos: se desconoce</w:t>
            </w:r>
          </w:p>
          <w:p w14:paraId="2B83C121" w14:textId="77777777" w:rsidR="00924992" w:rsidRDefault="00924992">
            <w:pPr>
              <w:pStyle w:val="Other0"/>
              <w:framePr w:w="11419" w:h="3778" w:vSpace="1752" w:wrap="none" w:hAnchor="page" w:x="615" w:y="951"/>
              <w:spacing w:line="283" w:lineRule="auto"/>
              <w:ind w:left="1060" w:firstLine="0"/>
              <w:rPr>
                <w:sz w:val="16"/>
                <w:szCs w:val="16"/>
              </w:rPr>
            </w:pPr>
            <w:r>
              <w:rPr>
                <w:rFonts w:ascii="Times New Roman" w:eastAsia="Times New Roman" w:hAnsi="Times New Roman" w:cs="Times New Roman"/>
                <w:i/>
                <w:iCs/>
                <w:color w:val="000000"/>
                <w:sz w:val="16"/>
                <w:szCs w:val="16"/>
              </w:rPr>
              <w:t>Adolescentes y adultos:</w:t>
            </w:r>
            <w:r>
              <w:rPr>
                <w:rFonts w:ascii="Times New Roman" w:eastAsia="Times New Roman" w:hAnsi="Times New Roman" w:cs="Times New Roman"/>
                <w:color w:val="000000"/>
                <w:sz w:val="16"/>
                <w:szCs w:val="16"/>
              </w:rPr>
              <w:t xml:space="preserve"> 200 mg cada 12 h. Nota: iniciar</w:t>
            </w:r>
          </w:p>
          <w:p w14:paraId="7894E168" w14:textId="77777777" w:rsidR="00924992" w:rsidRDefault="00924992">
            <w:pPr>
              <w:pStyle w:val="Other0"/>
              <w:framePr w:w="11419" w:h="3778" w:vSpace="1752" w:wrap="none" w:hAnchor="page" w:x="615" w:y="951"/>
              <w:spacing w:line="283" w:lineRule="auto"/>
              <w:ind w:left="1180" w:firstLine="0"/>
              <w:rPr>
                <w:sz w:val="16"/>
                <w:szCs w:val="16"/>
              </w:rPr>
            </w:pPr>
            <w:r>
              <w:rPr>
                <w:rFonts w:ascii="Times New Roman" w:eastAsia="Times New Roman" w:hAnsi="Times New Roman" w:cs="Times New Roman"/>
                <w:color w:val="000000"/>
                <w:sz w:val="16"/>
                <w:szCs w:val="16"/>
              </w:rPr>
              <w:t>la terapia con la mitad de la dosis en los primeros</w:t>
            </w:r>
          </w:p>
          <w:p w14:paraId="02984B7F" w14:textId="77777777" w:rsidR="00924992" w:rsidRDefault="00924992">
            <w:pPr>
              <w:pStyle w:val="Other0"/>
              <w:framePr w:w="11419" w:h="3778" w:vSpace="1752" w:wrap="none" w:hAnchor="page" w:x="615" w:y="951"/>
              <w:spacing w:line="283" w:lineRule="auto"/>
              <w:ind w:left="1180" w:firstLine="0"/>
              <w:rPr>
                <w:sz w:val="16"/>
                <w:szCs w:val="16"/>
              </w:rPr>
            </w:pPr>
            <w:r>
              <w:rPr>
                <w:rFonts w:ascii="Times New Roman" w:eastAsia="Times New Roman" w:hAnsi="Times New Roman" w:cs="Times New Roman"/>
                <w:color w:val="000000"/>
                <w:sz w:val="16"/>
                <w:szCs w:val="16"/>
              </w:rPr>
              <w:t>14 días; llegar a la dosis completa si no surgen erupciones u otras reacciones adversas.</w:t>
            </w:r>
          </w:p>
        </w:tc>
      </w:tr>
    </w:tbl>
    <w:p w14:paraId="1737438B" w14:textId="77777777" w:rsidR="00924992" w:rsidRDefault="00924992">
      <w:pPr>
        <w:framePr w:w="11419" w:h="3778" w:vSpace="1752" w:wrap="none" w:hAnchor="page" w:x="615" w:y="951"/>
        <w:spacing w:line="1" w:lineRule="exact"/>
      </w:pPr>
    </w:p>
    <w:p w14:paraId="3E26E724" w14:textId="77777777" w:rsidR="00924992" w:rsidRDefault="00924992">
      <w:pPr>
        <w:pStyle w:val="Tablecaption0"/>
        <w:framePr w:w="11338" w:h="1656" w:wrap="none" w:hAnchor="page" w:x="677" w:y="4825"/>
        <w:spacing w:line="240" w:lineRule="auto"/>
        <w:ind w:left="0" w:firstLine="180"/>
      </w:pPr>
      <w:r>
        <w:rPr>
          <w:color w:val="000000"/>
        </w:rPr>
        <w:t>ddl, didanosina.</w:t>
      </w:r>
    </w:p>
    <w:p w14:paraId="757E1A08" w14:textId="77777777" w:rsidR="00924992" w:rsidRDefault="00924992">
      <w:pPr>
        <w:pStyle w:val="Tablecaption0"/>
        <w:framePr w:w="11338" w:h="1656" w:wrap="none" w:hAnchor="page" w:x="677" w:y="4825"/>
        <w:spacing w:line="240" w:lineRule="auto"/>
        <w:ind w:left="180" w:hanging="180"/>
      </w:pPr>
      <w:r>
        <w:rPr>
          <w:color w:val="000000"/>
          <w:sz w:val="8"/>
          <w:szCs w:val="8"/>
          <w:vertAlign w:val="superscript"/>
        </w:rPr>
        <w:t>1</w:t>
      </w:r>
      <w:r>
        <w:rPr>
          <w:color w:val="000000"/>
          <w:sz w:val="8"/>
          <w:szCs w:val="8"/>
        </w:rPr>
        <w:t xml:space="preserve"> </w:t>
      </w:r>
      <w:r>
        <w:rPr>
          <w:color w:val="000000"/>
        </w:rPr>
        <w:t xml:space="preserve">Nota: los fármacos metabolizados por el sistema de citocromo P-450 3A (CYP 3A) del hígado tienen la capacidad de originar interacciones considerables con diversos medicamentos y algunas de ellas pueden ser letales. Las interacciones se señalan en detalle en Centers for Disease Control and Prevention. Guidelines for using antiretroviral agents among HIV-infected adults and adolescents. Recommendations of the Panel on Clinical Practice for Treatment of HIV. MMWR Recomm Rep. 2002;51(RR-7):1-56 y en </w:t>
      </w:r>
      <w:hyperlink r:id="rId315" w:history="1">
        <w:r>
          <w:rPr>
            <w:color w:val="000000"/>
          </w:rPr>
          <w:t>www.aidsinfo.nih.gov</w:t>
        </w:r>
      </w:hyperlink>
      <w:r>
        <w:rPr>
          <w:color w:val="000000"/>
        </w:rPr>
        <w:t xml:space="preserve"> y en las instrucciones de la compañía farmacéutica. Dichas interacciones no se repetirán en este documento, por lo que los profesionales asistenciales deben revisar tal información para conocer los detalles. Antes de emprender la administración de estos fármacos hay que revisar cuidadosamente el perfil de la farmacoterapia que recibe el enfermo en busca de posibles interacciones medicamentosas.</w:t>
      </w:r>
    </w:p>
    <w:p w14:paraId="01B98977" w14:textId="77777777" w:rsidR="00924992" w:rsidRDefault="00924992">
      <w:pPr>
        <w:pStyle w:val="Tablecaption0"/>
        <w:framePr w:w="11338" w:h="1656" w:wrap="none" w:hAnchor="page" w:x="677" w:y="4825"/>
        <w:spacing w:line="240" w:lineRule="auto"/>
        <w:ind w:left="0"/>
      </w:pPr>
      <w:r>
        <w:rPr>
          <w:color w:val="000000"/>
        </w:rPr>
        <w:t xml:space="preserve">Para mayor información sobre fármacos individuales consúltese Physician’s Desk Reference (Greenwood Village, CO: Thomson Micromedex) o </w:t>
      </w:r>
      <w:hyperlink r:id="rId316" w:history="1">
        <w:r>
          <w:rPr>
            <w:color w:val="000000"/>
          </w:rPr>
          <w:t>http://pdrel.thomsonhc.com/pdrel/librarian/action/command.Command</w:t>
        </w:r>
      </w:hyperlink>
      <w:r>
        <w:rPr>
          <w:color w:val="000000"/>
        </w:rPr>
        <w:t xml:space="preserve"> o </w:t>
      </w:r>
      <w:hyperlink r:id="rId317" w:history="1">
        <w:r>
          <w:rPr>
            <w:color w:val="000000"/>
          </w:rPr>
          <w:t>www.aidsinfo.nih.gov/</w:t>
        </w:r>
      </w:hyperlink>
      <w:r>
        <w:rPr>
          <w:color w:val="000000"/>
        </w:rPr>
        <w:t>.</w:t>
      </w:r>
    </w:p>
    <w:p w14:paraId="45DB44B7" w14:textId="77777777" w:rsidR="00924992" w:rsidRDefault="00924992">
      <w:pPr>
        <w:pStyle w:val="Bodytext80"/>
        <w:framePr w:w="192" w:h="4694" w:hRule="exact" w:wrap="none" w:hAnchor="page" w:x="12390" w:y="54"/>
        <w:tabs>
          <w:tab w:val="left" w:pos="2165"/>
        </w:tabs>
        <w:textDirection w:val="tbRl"/>
      </w:pPr>
      <w:r>
        <w:rPr>
          <w:sz w:val="16"/>
          <w:szCs w:val="16"/>
        </w:rPr>
        <w:t>774</w:t>
      </w:r>
      <w:r>
        <w:rPr>
          <w:sz w:val="16"/>
          <w:szCs w:val="16"/>
        </w:rPr>
        <w:tab/>
      </w:r>
      <w:r>
        <w:t>TERAPIA CON ANTIRRETROVÍRICOS</w:t>
      </w:r>
    </w:p>
    <w:p w14:paraId="07E7F9F3" w14:textId="77777777" w:rsidR="00924992" w:rsidRDefault="00924992">
      <w:pPr>
        <w:spacing w:line="360" w:lineRule="exact"/>
      </w:pPr>
    </w:p>
    <w:p w14:paraId="696CA51C" w14:textId="77777777" w:rsidR="00924992" w:rsidRDefault="00924992">
      <w:pPr>
        <w:spacing w:line="360" w:lineRule="exact"/>
      </w:pPr>
    </w:p>
    <w:p w14:paraId="0807081B" w14:textId="77777777" w:rsidR="00924992" w:rsidRDefault="00924992">
      <w:pPr>
        <w:spacing w:line="360" w:lineRule="exact"/>
      </w:pPr>
    </w:p>
    <w:p w14:paraId="10CE9AA0" w14:textId="77777777" w:rsidR="00924992" w:rsidRDefault="00924992">
      <w:pPr>
        <w:spacing w:line="360" w:lineRule="exact"/>
      </w:pPr>
    </w:p>
    <w:p w14:paraId="610EA30C" w14:textId="77777777" w:rsidR="00924992" w:rsidRDefault="00924992">
      <w:pPr>
        <w:spacing w:line="360" w:lineRule="exact"/>
      </w:pPr>
    </w:p>
    <w:p w14:paraId="0991E2AC" w14:textId="77777777" w:rsidR="00924992" w:rsidRDefault="00924992">
      <w:pPr>
        <w:spacing w:line="360" w:lineRule="exact"/>
      </w:pPr>
    </w:p>
    <w:p w14:paraId="3CB195C2" w14:textId="77777777" w:rsidR="00924992" w:rsidRDefault="00924992">
      <w:pPr>
        <w:spacing w:line="360" w:lineRule="exact"/>
      </w:pPr>
    </w:p>
    <w:p w14:paraId="03CB12F0" w14:textId="77777777" w:rsidR="00924992" w:rsidRDefault="00924992">
      <w:pPr>
        <w:spacing w:line="360" w:lineRule="exact"/>
      </w:pPr>
    </w:p>
    <w:p w14:paraId="20A24467" w14:textId="77777777" w:rsidR="00924992" w:rsidRDefault="00924992">
      <w:pPr>
        <w:spacing w:line="360" w:lineRule="exact"/>
      </w:pPr>
    </w:p>
    <w:p w14:paraId="0C26D446" w14:textId="77777777" w:rsidR="00924992" w:rsidRDefault="00924992">
      <w:pPr>
        <w:spacing w:line="360" w:lineRule="exact"/>
      </w:pPr>
    </w:p>
    <w:p w14:paraId="48AA4564" w14:textId="77777777" w:rsidR="00924992" w:rsidRDefault="00924992">
      <w:pPr>
        <w:spacing w:line="360" w:lineRule="exact"/>
      </w:pPr>
    </w:p>
    <w:p w14:paraId="4734DD80" w14:textId="77777777" w:rsidR="00924992" w:rsidRDefault="00924992">
      <w:pPr>
        <w:spacing w:line="360" w:lineRule="exact"/>
      </w:pPr>
    </w:p>
    <w:p w14:paraId="52225EFA" w14:textId="77777777" w:rsidR="00924992" w:rsidRDefault="00924992">
      <w:pPr>
        <w:spacing w:line="360" w:lineRule="exact"/>
      </w:pPr>
    </w:p>
    <w:p w14:paraId="0BA270BE" w14:textId="77777777" w:rsidR="00924992" w:rsidRDefault="00924992">
      <w:pPr>
        <w:spacing w:line="360" w:lineRule="exact"/>
      </w:pPr>
    </w:p>
    <w:p w14:paraId="71CBED48" w14:textId="77777777" w:rsidR="00924992" w:rsidRDefault="00924992">
      <w:pPr>
        <w:spacing w:line="360" w:lineRule="exact"/>
      </w:pPr>
    </w:p>
    <w:p w14:paraId="375ACF34" w14:textId="77777777" w:rsidR="00924992" w:rsidRDefault="00924992">
      <w:pPr>
        <w:spacing w:line="360" w:lineRule="exact"/>
      </w:pPr>
    </w:p>
    <w:p w14:paraId="31CBD509" w14:textId="77777777" w:rsidR="00924992" w:rsidRDefault="00924992">
      <w:pPr>
        <w:spacing w:line="360" w:lineRule="exact"/>
      </w:pPr>
    </w:p>
    <w:p w14:paraId="73B87742" w14:textId="77777777" w:rsidR="00924992" w:rsidRDefault="00924992">
      <w:pPr>
        <w:spacing w:after="359" w:line="1" w:lineRule="exact"/>
      </w:pPr>
    </w:p>
    <w:p w14:paraId="06C419A3" w14:textId="77777777" w:rsidR="00924992" w:rsidRDefault="00924992">
      <w:pPr>
        <w:spacing w:line="1" w:lineRule="exact"/>
        <w:sectPr w:rsidR="00924992" w:rsidSect="00924992">
          <w:footnotePr>
            <w:numFmt w:val="upperRoman"/>
          </w:footnotePr>
          <w:pgSz w:w="13022" w:h="8501" w:orient="landscape"/>
          <w:pgMar w:top="451" w:right="441" w:bottom="451" w:left="614" w:header="0" w:footer="3" w:gutter="0"/>
          <w:cols w:space="720"/>
          <w:noEndnote/>
          <w:docGrid w:linePitch="360"/>
          <w15:footnoteColumns w:val="1"/>
        </w:sectPr>
      </w:pPr>
    </w:p>
    <w:p w14:paraId="2C184308" w14:textId="77777777" w:rsidR="00924992" w:rsidRDefault="00924992">
      <w:pPr>
        <w:pStyle w:val="Heading31"/>
        <w:keepNext/>
        <w:keepLines/>
        <w:framePr w:w="6792" w:h="322" w:wrap="none" w:hAnchor="page" w:x="2958" w:y="1"/>
      </w:pPr>
      <w:bookmarkStart w:id="441" w:name="bookmark1887"/>
      <w:bookmarkStart w:id="442" w:name="bookmark1888"/>
      <w:bookmarkStart w:id="443" w:name="bookmark1889"/>
      <w:r>
        <w:rPr>
          <w:b w:val="0"/>
          <w:bCs w:val="0"/>
          <w:color w:val="000000"/>
        </w:rPr>
        <w:t xml:space="preserve">Cuadro 4-11. </w:t>
      </w:r>
      <w:r>
        <w:rPr>
          <w:color w:val="000000"/>
        </w:rPr>
        <w:t>Características de antirretrovíricos: inhibidores de proteasas</w:t>
      </w:r>
      <w:r>
        <w:rPr>
          <w:color w:val="000000"/>
          <w:vertAlign w:val="superscript"/>
        </w:rPr>
        <w:t>1</w:t>
      </w:r>
      <w:bookmarkEnd w:id="441"/>
      <w:bookmarkEnd w:id="442"/>
      <w:bookmarkEnd w:id="443"/>
    </w:p>
    <w:p w14:paraId="39D041F4" w14:textId="77777777" w:rsidR="00924992" w:rsidRDefault="00924992">
      <w:pPr>
        <w:pStyle w:val="Heading41"/>
        <w:keepNext/>
        <w:keepLines/>
        <w:framePr w:w="3883" w:h="298" w:wrap="none" w:hAnchor="page" w:x="683" w:y="342"/>
        <w:pBdr>
          <w:top w:val="single" w:sz="0" w:space="0" w:color="000000"/>
          <w:left w:val="single" w:sz="0" w:space="0" w:color="000000"/>
          <w:bottom w:val="single" w:sz="0" w:space="0" w:color="000000"/>
          <w:right w:val="single" w:sz="0" w:space="0" w:color="000000"/>
        </w:pBdr>
        <w:shd w:val="clear" w:color="auto" w:fill="000000"/>
        <w:tabs>
          <w:tab w:val="left" w:pos="3394"/>
        </w:tabs>
      </w:pPr>
      <w:bookmarkStart w:id="444" w:name="bookmark1890"/>
      <w:bookmarkStart w:id="445" w:name="bookmark1891"/>
      <w:bookmarkStart w:id="446" w:name="bookmark1892"/>
      <w:r>
        <w:rPr>
          <w:color w:val="FFFFFF"/>
        </w:rPr>
        <w:t>Fármaco (nombre comercial)</w:t>
      </w:r>
      <w:r>
        <w:rPr>
          <w:color w:val="FFFFFF"/>
        </w:rPr>
        <w:tab/>
        <w:t>Dosis</w:t>
      </w:r>
      <w:bookmarkEnd w:id="444"/>
      <w:bookmarkEnd w:id="445"/>
      <w:bookmarkEnd w:id="446"/>
    </w:p>
    <w:p w14:paraId="057F0263" w14:textId="77777777" w:rsidR="00924992" w:rsidRDefault="00924992">
      <w:pPr>
        <w:pStyle w:val="Heading41"/>
        <w:keepNext/>
        <w:keepLines/>
        <w:framePr w:w="2054" w:h="298" w:wrap="none" w:hAnchor="page" w:x="7758" w:y="342"/>
        <w:pBdr>
          <w:top w:val="single" w:sz="0" w:space="0" w:color="000000"/>
          <w:left w:val="single" w:sz="0" w:space="0" w:color="000000"/>
          <w:bottom w:val="single" w:sz="0" w:space="0" w:color="000000"/>
          <w:right w:val="single" w:sz="0" w:space="0" w:color="000000"/>
        </w:pBdr>
        <w:shd w:val="clear" w:color="auto" w:fill="000000"/>
      </w:pPr>
      <w:bookmarkStart w:id="447" w:name="bookmark1893"/>
      <w:bookmarkStart w:id="448" w:name="bookmark1894"/>
      <w:bookmarkStart w:id="449" w:name="bookmark1895"/>
      <w:r>
        <w:rPr>
          <w:color w:val="FFFFFF"/>
        </w:rPr>
        <w:t>Instrucciones especiales</w:t>
      </w:r>
      <w:bookmarkEnd w:id="447"/>
      <w:bookmarkEnd w:id="448"/>
      <w:bookmarkEnd w:id="449"/>
    </w:p>
    <w:p w14:paraId="748B5426" w14:textId="77777777" w:rsidR="00924992" w:rsidRDefault="00924992">
      <w:pPr>
        <w:pStyle w:val="Bodytext20"/>
        <w:framePr w:w="1838" w:h="230" w:wrap="none" w:hAnchor="page" w:x="668" w:y="711"/>
        <w:spacing w:line="240" w:lineRule="auto"/>
      </w:pPr>
      <w:r>
        <w:rPr>
          <w:b/>
          <w:bCs/>
          <w:color w:val="000000"/>
        </w:rPr>
        <w:t>Amprenavir (Agenerase)</w:t>
      </w:r>
    </w:p>
    <w:p w14:paraId="20281AE3" w14:textId="77777777" w:rsidR="00924992" w:rsidRDefault="00924992">
      <w:pPr>
        <w:pStyle w:val="Bodytext20"/>
        <w:framePr w:w="1546" w:h="226" w:wrap="none" w:hAnchor="page" w:x="678" w:y="3731"/>
        <w:spacing w:line="240" w:lineRule="auto"/>
      </w:pPr>
      <w:r>
        <w:rPr>
          <w:b/>
          <w:bCs/>
          <w:color w:val="000000"/>
        </w:rPr>
        <w:t>Indinavir (Crixivan)</w:t>
      </w:r>
    </w:p>
    <w:p w14:paraId="3D9C2B4A" w14:textId="77777777" w:rsidR="00924992" w:rsidRDefault="00924992">
      <w:pPr>
        <w:pStyle w:val="Bodytext20"/>
        <w:framePr w:w="3139" w:h="893" w:wrap="none" w:hAnchor="page" w:x="678" w:y="5891"/>
      </w:pPr>
      <w:r>
        <w:rPr>
          <w:b/>
          <w:bCs/>
          <w:color w:val="000000"/>
        </w:rPr>
        <w:t>Lopinavir + ritonavir (Kaletra)</w:t>
      </w:r>
    </w:p>
    <w:p w14:paraId="2B3591E5" w14:textId="77777777" w:rsidR="00924992" w:rsidRDefault="00924992">
      <w:pPr>
        <w:pStyle w:val="Bodytext20"/>
        <w:framePr w:w="3139" w:h="893" w:wrap="none" w:hAnchor="page" w:x="678" w:y="5891"/>
      </w:pPr>
      <w:r>
        <w:rPr>
          <w:color w:val="000000"/>
        </w:rPr>
        <w:t>(lopinavir + ritonavir es una combinación de dos inhibidores de proteasa individuales en una combinación fija)</w:t>
      </w:r>
    </w:p>
    <w:p w14:paraId="412ADA21" w14:textId="77777777" w:rsidR="00924992" w:rsidRDefault="00924992">
      <w:pPr>
        <w:pStyle w:val="Bodytext20"/>
        <w:framePr w:w="3624" w:h="6077" w:wrap="none" w:hAnchor="page" w:x="4067" w:y="707"/>
        <w:spacing w:after="420"/>
      </w:pPr>
      <w:r>
        <w:rPr>
          <w:color w:val="000000"/>
        </w:rPr>
        <w:t>Dosis para neonatos: no se recomienda para niños menores de 4 años.</w:t>
      </w:r>
    </w:p>
    <w:p w14:paraId="23FEF8F6" w14:textId="77777777" w:rsidR="00924992" w:rsidRDefault="00924992">
      <w:pPr>
        <w:pStyle w:val="Bodytext20"/>
        <w:framePr w:w="3624" w:h="6077" w:wrap="none" w:hAnchor="page" w:x="4067" w:y="707"/>
      </w:pPr>
      <w:r>
        <w:rPr>
          <w:color w:val="000000"/>
        </w:rPr>
        <w:t>Niños y adolescentes (menos de 50 kg de</w:t>
      </w:r>
    </w:p>
    <w:p w14:paraId="07A1A819" w14:textId="77777777" w:rsidR="00924992" w:rsidRDefault="00924992">
      <w:pPr>
        <w:pStyle w:val="Bodytext20"/>
        <w:framePr w:w="3624" w:h="6077" w:wrap="none" w:hAnchor="page" w:x="4067" w:y="707"/>
      </w:pPr>
      <w:r>
        <w:rPr>
          <w:color w:val="000000"/>
        </w:rPr>
        <w:t>peso corporal):</w:t>
      </w:r>
    </w:p>
    <w:p w14:paraId="5FBA796F" w14:textId="77777777" w:rsidR="00924992" w:rsidRDefault="00924992">
      <w:pPr>
        <w:pStyle w:val="Bodytext20"/>
        <w:framePr w:w="3624" w:h="6077" w:wrap="none" w:hAnchor="page" w:x="4067" w:y="707"/>
      </w:pPr>
      <w:r>
        <w:rPr>
          <w:color w:val="000000"/>
        </w:rPr>
        <w:t>4 a 16 años</w:t>
      </w:r>
    </w:p>
    <w:p w14:paraId="0FD17390" w14:textId="77777777" w:rsidR="00924992" w:rsidRDefault="00924992">
      <w:pPr>
        <w:pStyle w:val="Bodytext20"/>
        <w:framePr w:w="3624" w:h="6077" w:wrap="none" w:hAnchor="page" w:x="4067" w:y="707"/>
      </w:pPr>
      <w:r>
        <w:rPr>
          <w:color w:val="000000"/>
        </w:rPr>
        <w:t>Solución ingerible: 22.5 mg/kg dos veces al día o 17 mg/kg tres veces al día (dosis diaria máxima, 2 800 mg)</w:t>
      </w:r>
    </w:p>
    <w:p w14:paraId="714B25CA" w14:textId="77777777" w:rsidR="00924992" w:rsidRDefault="00924992">
      <w:pPr>
        <w:pStyle w:val="Bodytext20"/>
        <w:framePr w:w="3624" w:h="6077" w:wrap="none" w:hAnchor="page" w:x="4067" w:y="707"/>
      </w:pPr>
      <w:r>
        <w:rPr>
          <w:color w:val="000000"/>
        </w:rPr>
        <w:t>Cápsulas: 20 mg/kg dos veces al día o 15 mg/kg tres veces al día (dosis diaria máxima, 2 400 mg).</w:t>
      </w:r>
    </w:p>
    <w:p w14:paraId="6AF5A559" w14:textId="77777777" w:rsidR="00924992" w:rsidRDefault="00924992">
      <w:pPr>
        <w:pStyle w:val="Bodytext20"/>
        <w:framePr w:w="3624" w:h="6077" w:wrap="none" w:hAnchor="page" w:x="4067" w:y="707"/>
      </w:pPr>
      <w:r>
        <w:rPr>
          <w:color w:val="000000"/>
        </w:rPr>
        <w:t>Dosis para el adulto: 1 200 mg (8 cápsulas</w:t>
      </w:r>
    </w:p>
    <w:p w14:paraId="6CD547FB" w14:textId="77777777" w:rsidR="00924992" w:rsidRDefault="00924992">
      <w:pPr>
        <w:pStyle w:val="Bodytext20"/>
        <w:framePr w:w="3624" w:h="6077" w:wrap="none" w:hAnchor="page" w:x="4067" w:y="707"/>
      </w:pPr>
      <w:r>
        <w:rPr>
          <w:color w:val="000000"/>
        </w:rPr>
        <w:t>de 150 mg) dos veces al día</w:t>
      </w:r>
    </w:p>
    <w:p w14:paraId="4D3763BD" w14:textId="77777777" w:rsidR="00924992" w:rsidRDefault="00924992">
      <w:pPr>
        <w:pStyle w:val="Bodytext20"/>
        <w:framePr w:w="3624" w:h="6077" w:wrap="none" w:hAnchor="page" w:x="4067" w:y="707"/>
      </w:pPr>
      <w:r>
        <w:rPr>
          <w:i/>
          <w:iCs/>
          <w:color w:val="000000"/>
        </w:rPr>
        <w:t>Niños:</w:t>
      </w:r>
    </w:p>
    <w:p w14:paraId="60FA37BA" w14:textId="77777777" w:rsidR="00924992" w:rsidRDefault="00924992">
      <w:pPr>
        <w:pStyle w:val="Bodytext20"/>
        <w:framePr w:w="3624" w:h="6077" w:wrap="none" w:hAnchor="page" w:x="4067" w:y="707"/>
      </w:pPr>
      <w:r>
        <w:rPr>
          <w:color w:val="000000"/>
        </w:rPr>
        <w:t>Está en fase de estudio investigaciones en seres humanos: 350-500 mg/m2 de superficie corporal cada 6 a 8 h</w:t>
      </w:r>
    </w:p>
    <w:p w14:paraId="7A38D440" w14:textId="77777777" w:rsidR="00924992" w:rsidRDefault="00924992">
      <w:pPr>
        <w:pStyle w:val="Bodytext20"/>
        <w:framePr w:w="3624" w:h="6077" w:wrap="none" w:hAnchor="page" w:x="4067" w:y="707"/>
      </w:pPr>
      <w:r>
        <w:rPr>
          <w:i/>
          <w:iCs/>
          <w:color w:val="000000"/>
        </w:rPr>
        <w:t>Neonatos:</w:t>
      </w:r>
    </w:p>
    <w:p w14:paraId="71339ADA" w14:textId="77777777" w:rsidR="00924992" w:rsidRDefault="00924992">
      <w:pPr>
        <w:pStyle w:val="Bodytext20"/>
        <w:framePr w:w="3624" w:h="6077" w:wrap="none" w:hAnchor="page" w:x="4067" w:y="707"/>
      </w:pPr>
      <w:r>
        <w:rPr>
          <w:color w:val="000000"/>
        </w:rPr>
        <w:t>Se desconoce. No debe administrarse a neonatos por la aparición del efecto adverso de hiperbilirrubinemia.</w:t>
      </w:r>
    </w:p>
    <w:p w14:paraId="63C883EC" w14:textId="77777777" w:rsidR="00924992" w:rsidRDefault="00924992">
      <w:pPr>
        <w:pStyle w:val="Bodytext20"/>
        <w:framePr w:w="3624" w:h="6077" w:wrap="none" w:hAnchor="page" w:x="4067" w:y="707"/>
      </w:pPr>
      <w:r>
        <w:rPr>
          <w:i/>
          <w:iCs/>
          <w:color w:val="000000"/>
        </w:rPr>
        <w:t>Adolescentes y adultos:</w:t>
      </w:r>
    </w:p>
    <w:p w14:paraId="1E79CFC6" w14:textId="77777777" w:rsidR="00924992" w:rsidRDefault="00924992">
      <w:pPr>
        <w:pStyle w:val="Bodytext20"/>
        <w:framePr w:w="3624" w:h="6077" w:wrap="none" w:hAnchor="page" w:x="4067" w:y="707"/>
      </w:pPr>
      <w:r>
        <w:rPr>
          <w:color w:val="000000"/>
        </w:rPr>
        <w:t>800 mg, cada 8 h</w:t>
      </w:r>
    </w:p>
    <w:p w14:paraId="4224AD01" w14:textId="77777777" w:rsidR="00924992" w:rsidRDefault="00924992">
      <w:pPr>
        <w:pStyle w:val="Bodytext20"/>
        <w:framePr w:w="3624" w:h="6077" w:wrap="none" w:hAnchor="page" w:x="4067" w:y="707"/>
      </w:pPr>
      <w:r>
        <w:rPr>
          <w:i/>
          <w:iCs/>
          <w:color w:val="000000"/>
        </w:rPr>
        <w:t>Niños (mayores de 6 meses):</w:t>
      </w:r>
    </w:p>
    <w:p w14:paraId="140DE38C" w14:textId="77777777" w:rsidR="00924992" w:rsidRDefault="00924992">
      <w:pPr>
        <w:pStyle w:val="Bodytext20"/>
        <w:framePr w:w="3624" w:h="6077" w:wrap="none" w:hAnchor="page" w:x="4067" w:y="707"/>
      </w:pPr>
      <w:r>
        <w:rPr>
          <w:color w:val="000000"/>
        </w:rPr>
        <w:t>7-15 kg: 12 mg/kg dos veces al día</w:t>
      </w:r>
    </w:p>
    <w:p w14:paraId="73DF1FB6" w14:textId="77777777" w:rsidR="00924992" w:rsidRDefault="00924992">
      <w:pPr>
        <w:pStyle w:val="Bodytext20"/>
        <w:framePr w:w="3624" w:h="6077" w:wrap="none" w:hAnchor="page" w:x="4067" w:y="707"/>
      </w:pPr>
      <w:r>
        <w:rPr>
          <w:color w:val="000000"/>
        </w:rPr>
        <w:t>15-40 kg: 10 mg/kg dos veces al día</w:t>
      </w:r>
    </w:p>
    <w:p w14:paraId="51D08F9D" w14:textId="77777777" w:rsidR="00924992" w:rsidRDefault="00924992">
      <w:pPr>
        <w:pStyle w:val="Bodytext20"/>
        <w:framePr w:w="3624" w:h="6077" w:wrap="none" w:hAnchor="page" w:x="4067" w:y="707"/>
      </w:pPr>
      <w:r>
        <w:rPr>
          <w:color w:val="000000"/>
        </w:rPr>
        <w:t>más de 40 kg: 400 mg para seguir con 100 mg al día</w:t>
      </w:r>
    </w:p>
    <w:p w14:paraId="492255AC" w14:textId="77777777" w:rsidR="00924992" w:rsidRDefault="00924992">
      <w:pPr>
        <w:pStyle w:val="Bodytext20"/>
        <w:framePr w:w="4243" w:h="5179" w:wrap="none" w:hAnchor="page" w:x="7753" w:y="707"/>
      </w:pPr>
      <w:r>
        <w:rPr>
          <w:color w:val="000000"/>
        </w:rPr>
        <w:t>No debe usarse el amprenavir en niños menores de 4 años porque no se conocen con certeza los efectos de dosis muy altas de vitamina E y del contenido de propilenglicol de la solución ingerible.</w:t>
      </w:r>
    </w:p>
    <w:p w14:paraId="453D86F1" w14:textId="77777777" w:rsidR="00924992" w:rsidRDefault="00924992">
      <w:pPr>
        <w:pStyle w:val="Bodytext20"/>
        <w:framePr w:w="4243" w:h="5179" w:wrap="none" w:hAnchor="page" w:x="7753" w:y="707"/>
      </w:pPr>
      <w:r>
        <w:rPr>
          <w:color w:val="000000"/>
        </w:rPr>
        <w:t>No son bioequivalentes la solución ingerible y las cápsulas sobre bases equiponderales (mg/mg).</w:t>
      </w:r>
    </w:p>
    <w:p w14:paraId="646EB51F" w14:textId="77777777" w:rsidR="00924992" w:rsidRDefault="00924992">
      <w:pPr>
        <w:pStyle w:val="Bodytext20"/>
        <w:framePr w:w="4243" w:h="5179" w:wrap="none" w:hAnchor="page" w:x="7753" w:y="707"/>
      </w:pPr>
      <w:r>
        <w:rPr>
          <w:color w:val="000000"/>
        </w:rPr>
        <w:t>El amprenavir se puede ingerir con alimentos o sin ellos, pero no se le consumirá con alimentos muy grasos.</w:t>
      </w:r>
    </w:p>
    <w:p w14:paraId="062763D8" w14:textId="77777777" w:rsidR="00924992" w:rsidRDefault="00924992">
      <w:pPr>
        <w:pStyle w:val="Bodytext20"/>
        <w:framePr w:w="4243" w:h="5179" w:wrap="none" w:hAnchor="page" w:x="7753" w:y="707"/>
      </w:pPr>
      <w:r>
        <w:rPr>
          <w:color w:val="000000"/>
        </w:rPr>
        <w:t>Las personas que ingieren antiácidos (o las presentaciones neutralizadas de ddI) deben ingerir el amprenavir como mínimo 1 h antes de usar el antiácido o 1 h después de su consumo (o ddI neutralizado).</w:t>
      </w:r>
    </w:p>
    <w:p w14:paraId="302E196E" w14:textId="77777777" w:rsidR="00924992" w:rsidRDefault="00924992">
      <w:pPr>
        <w:pStyle w:val="Bodytext20"/>
        <w:framePr w:w="4243" w:h="5179" w:wrap="none" w:hAnchor="page" w:x="7753" w:y="707"/>
      </w:pPr>
      <w:r>
        <w:rPr>
          <w:color w:val="000000"/>
        </w:rPr>
        <w:t>Administrar en ayunas 1 h antes de consumir un alimento o 2 h después de ingerirlo (o ingerir el fármaco con una ración pequeña de alimento de fácil digestión)</w:t>
      </w:r>
    </w:p>
    <w:p w14:paraId="73926122" w14:textId="77777777" w:rsidR="00924992" w:rsidRDefault="00924992">
      <w:pPr>
        <w:pStyle w:val="Bodytext20"/>
        <w:framePr w:w="4243" w:h="5179" w:wrap="none" w:hAnchor="page" w:x="7753" w:y="707"/>
      </w:pPr>
      <w:r>
        <w:rPr>
          <w:color w:val="000000"/>
        </w:rPr>
        <w:t>Se necesita la hidratación intensiva para llevar al mínimo el peligro de nefrolitiasis.</w:t>
      </w:r>
    </w:p>
    <w:p w14:paraId="51A53CD4" w14:textId="77777777" w:rsidR="00924992" w:rsidRDefault="00924992">
      <w:pPr>
        <w:pStyle w:val="Bodytext20"/>
        <w:framePr w:w="4243" w:h="5179" w:wrap="none" w:hAnchor="page" w:x="7753" w:y="707"/>
      </w:pPr>
      <w:r>
        <w:rPr>
          <w:color w:val="000000"/>
        </w:rPr>
        <w:t>Si se le administra simultáneamente con ddI, dejar que transcurra 1 h como mínimo, con el paciente en ayunas.</w:t>
      </w:r>
    </w:p>
    <w:p w14:paraId="4B1B6503" w14:textId="77777777" w:rsidR="00924992" w:rsidRDefault="00924992">
      <w:pPr>
        <w:pStyle w:val="Bodytext20"/>
        <w:framePr w:w="4243" w:h="5179" w:wrap="none" w:hAnchor="page" w:x="7753" w:y="707"/>
      </w:pPr>
      <w:r>
        <w:rPr>
          <w:color w:val="000000"/>
        </w:rPr>
        <w:t>Disminuir la dosis en niños con disfunción o cirrosis hepática.</w:t>
      </w:r>
    </w:p>
    <w:p w14:paraId="74FEEF51" w14:textId="77777777" w:rsidR="00924992" w:rsidRDefault="00924992">
      <w:pPr>
        <w:pStyle w:val="Bodytext20"/>
        <w:framePr w:w="4243" w:h="5179" w:wrap="none" w:hAnchor="page" w:x="7753" w:y="707"/>
      </w:pPr>
      <w:r>
        <w:rPr>
          <w:color w:val="000000"/>
        </w:rPr>
        <w:t>Las cápsulas son sensibles a la humedad y deben ser almacenadas en el recipiente original con una sustancia secante.</w:t>
      </w:r>
    </w:p>
    <w:p w14:paraId="732FDE59" w14:textId="77777777" w:rsidR="00924992" w:rsidRDefault="00924992">
      <w:pPr>
        <w:pStyle w:val="Bodytext80"/>
        <w:framePr w:w="192" w:h="4694" w:hRule="exact" w:wrap="none" w:hAnchor="page" w:x="12390" w:y="2214"/>
        <w:tabs>
          <w:tab w:val="left" w:pos="4378"/>
        </w:tabs>
        <w:textDirection w:val="tbRl"/>
        <w:rPr>
          <w:sz w:val="16"/>
          <w:szCs w:val="16"/>
        </w:rPr>
      </w:pPr>
      <w:r>
        <w:t>TERAPIA CON ANTIRRETROVÍRICOS</w:t>
      </w:r>
      <w:r>
        <w:tab/>
      </w:r>
      <w:r>
        <w:rPr>
          <w:sz w:val="16"/>
          <w:szCs w:val="16"/>
        </w:rPr>
        <w:t>775</w:t>
      </w:r>
    </w:p>
    <w:p w14:paraId="0E71FA24" w14:textId="77777777" w:rsidR="00924992" w:rsidRDefault="00924992">
      <w:pPr>
        <w:spacing w:line="360" w:lineRule="exact"/>
      </w:pPr>
    </w:p>
    <w:p w14:paraId="4595E9A8" w14:textId="77777777" w:rsidR="00924992" w:rsidRDefault="00924992">
      <w:pPr>
        <w:spacing w:line="360" w:lineRule="exact"/>
      </w:pPr>
    </w:p>
    <w:p w14:paraId="23319CD0" w14:textId="77777777" w:rsidR="00924992" w:rsidRDefault="00924992">
      <w:pPr>
        <w:spacing w:line="360" w:lineRule="exact"/>
      </w:pPr>
    </w:p>
    <w:p w14:paraId="415995AE" w14:textId="77777777" w:rsidR="00924992" w:rsidRDefault="00924992">
      <w:pPr>
        <w:spacing w:line="360" w:lineRule="exact"/>
      </w:pPr>
    </w:p>
    <w:p w14:paraId="24CFFDF1" w14:textId="77777777" w:rsidR="00924992" w:rsidRDefault="00924992">
      <w:pPr>
        <w:spacing w:line="360" w:lineRule="exact"/>
      </w:pPr>
    </w:p>
    <w:p w14:paraId="5A4DD633" w14:textId="77777777" w:rsidR="00924992" w:rsidRDefault="00924992">
      <w:pPr>
        <w:spacing w:line="360" w:lineRule="exact"/>
      </w:pPr>
    </w:p>
    <w:p w14:paraId="771F3F96" w14:textId="77777777" w:rsidR="00924992" w:rsidRDefault="00924992">
      <w:pPr>
        <w:spacing w:line="360" w:lineRule="exact"/>
      </w:pPr>
    </w:p>
    <w:p w14:paraId="04D74E43" w14:textId="77777777" w:rsidR="00924992" w:rsidRDefault="00924992">
      <w:pPr>
        <w:spacing w:line="360" w:lineRule="exact"/>
      </w:pPr>
    </w:p>
    <w:p w14:paraId="52E2220D" w14:textId="77777777" w:rsidR="00924992" w:rsidRDefault="00924992">
      <w:pPr>
        <w:spacing w:line="360" w:lineRule="exact"/>
      </w:pPr>
    </w:p>
    <w:p w14:paraId="48413207" w14:textId="77777777" w:rsidR="00924992" w:rsidRDefault="00924992">
      <w:pPr>
        <w:spacing w:line="360" w:lineRule="exact"/>
      </w:pPr>
    </w:p>
    <w:p w14:paraId="08290034" w14:textId="77777777" w:rsidR="00924992" w:rsidRDefault="00924992">
      <w:pPr>
        <w:spacing w:line="360" w:lineRule="exact"/>
      </w:pPr>
    </w:p>
    <w:p w14:paraId="27F96D36" w14:textId="77777777" w:rsidR="00924992" w:rsidRDefault="00924992">
      <w:pPr>
        <w:spacing w:line="360" w:lineRule="exact"/>
      </w:pPr>
    </w:p>
    <w:p w14:paraId="26DF6B70" w14:textId="77777777" w:rsidR="00924992" w:rsidRDefault="00924992">
      <w:pPr>
        <w:spacing w:line="360" w:lineRule="exact"/>
      </w:pPr>
    </w:p>
    <w:p w14:paraId="642971B7" w14:textId="77777777" w:rsidR="00924992" w:rsidRDefault="00924992">
      <w:pPr>
        <w:spacing w:line="360" w:lineRule="exact"/>
      </w:pPr>
    </w:p>
    <w:p w14:paraId="24FC6501" w14:textId="77777777" w:rsidR="00924992" w:rsidRDefault="00924992">
      <w:pPr>
        <w:spacing w:line="360" w:lineRule="exact"/>
      </w:pPr>
    </w:p>
    <w:p w14:paraId="01BBA3F2" w14:textId="77777777" w:rsidR="00924992" w:rsidRDefault="00924992">
      <w:pPr>
        <w:spacing w:line="360" w:lineRule="exact"/>
      </w:pPr>
    </w:p>
    <w:p w14:paraId="168D2075" w14:textId="77777777" w:rsidR="00924992" w:rsidRDefault="00924992">
      <w:pPr>
        <w:spacing w:line="360" w:lineRule="exact"/>
      </w:pPr>
    </w:p>
    <w:p w14:paraId="3F22DC0F" w14:textId="77777777" w:rsidR="00924992" w:rsidRDefault="00924992">
      <w:pPr>
        <w:spacing w:line="360" w:lineRule="exact"/>
      </w:pPr>
    </w:p>
    <w:p w14:paraId="3760F4BB" w14:textId="77777777" w:rsidR="00924992" w:rsidRDefault="00924992">
      <w:pPr>
        <w:spacing w:after="426" w:line="1" w:lineRule="exact"/>
      </w:pPr>
    </w:p>
    <w:p w14:paraId="1D997623" w14:textId="77777777" w:rsidR="00924992" w:rsidRDefault="00924992">
      <w:pPr>
        <w:spacing w:line="1" w:lineRule="exact"/>
        <w:sectPr w:rsidR="00924992" w:rsidSect="00924992">
          <w:headerReference w:type="even" r:id="rId318"/>
          <w:headerReference w:type="default" r:id="rId319"/>
          <w:footerReference w:type="even" r:id="rId320"/>
          <w:footerReference w:type="default" r:id="rId321"/>
          <w:footnotePr>
            <w:numFmt w:val="upperRoman"/>
          </w:footnotePr>
          <w:pgSz w:w="13022" w:h="8501" w:orient="landscape"/>
          <w:pgMar w:top="1090" w:right="441" w:bottom="371" w:left="662" w:header="662" w:footer="3" w:gutter="0"/>
          <w:cols w:space="720"/>
          <w:noEndnote/>
          <w:docGrid w:linePitch="360"/>
          <w15:footnoteColumns w:val="1"/>
        </w:sectPr>
      </w:pPr>
    </w:p>
    <w:p w14:paraId="2355EC24" w14:textId="77777777" w:rsidR="00924992" w:rsidRDefault="00924992">
      <w:pPr>
        <w:pStyle w:val="Heading31"/>
        <w:keepNext/>
        <w:keepLines/>
        <w:framePr w:w="7786" w:h="322" w:wrap="none" w:hAnchor="page" w:x="2449" w:y="1"/>
        <w:rPr>
          <w:sz w:val="16"/>
          <w:szCs w:val="16"/>
        </w:rPr>
      </w:pPr>
      <w:bookmarkStart w:id="450" w:name="bookmark1896"/>
      <w:bookmarkStart w:id="451" w:name="bookmark1897"/>
      <w:bookmarkStart w:id="452" w:name="bookmark1898"/>
      <w:r>
        <w:rPr>
          <w:b w:val="0"/>
          <w:bCs w:val="0"/>
          <w:color w:val="000000"/>
        </w:rPr>
        <w:t xml:space="preserve">Cuadro 4-11. </w:t>
      </w:r>
      <w:r>
        <w:rPr>
          <w:color w:val="000000"/>
        </w:rPr>
        <w:t>Características de antirretrovíricos: inhibidores de proteasas</w:t>
      </w:r>
      <w:r>
        <w:rPr>
          <w:color w:val="000000"/>
          <w:vertAlign w:val="superscript"/>
        </w:rPr>
        <w:t>1</w:t>
      </w:r>
      <w:r>
        <w:rPr>
          <w:color w:val="000000"/>
        </w:rPr>
        <w:t xml:space="preserve"> </w:t>
      </w:r>
      <w:r>
        <w:rPr>
          <w:rFonts w:ascii="Times New Roman" w:eastAsia="Times New Roman" w:hAnsi="Times New Roman" w:cs="Times New Roman"/>
          <w:b w:val="0"/>
          <w:bCs w:val="0"/>
          <w:i/>
          <w:iCs/>
          <w:color w:val="000000"/>
          <w:w w:val="100"/>
          <w:sz w:val="16"/>
          <w:szCs w:val="16"/>
        </w:rPr>
        <w:t>continuación</w:t>
      </w:r>
      <w:bookmarkEnd w:id="450"/>
      <w:bookmarkEnd w:id="451"/>
      <w:bookmarkEnd w:id="452"/>
    </w:p>
    <w:p w14:paraId="3250E93C" w14:textId="77777777" w:rsidR="00924992" w:rsidRDefault="00924992">
      <w:pPr>
        <w:pStyle w:val="Heading41"/>
        <w:keepNext/>
        <w:keepLines/>
        <w:framePr w:w="2419" w:h="298" w:wrap="none" w:hAnchor="page" w:x="668" w:y="351"/>
        <w:pBdr>
          <w:top w:val="single" w:sz="0" w:space="0" w:color="000000"/>
          <w:left w:val="single" w:sz="0" w:space="0" w:color="000000"/>
          <w:bottom w:val="single" w:sz="0" w:space="0" w:color="000000"/>
          <w:right w:val="single" w:sz="0" w:space="0" w:color="000000"/>
        </w:pBdr>
        <w:shd w:val="clear" w:color="auto" w:fill="000000"/>
      </w:pPr>
      <w:bookmarkStart w:id="453" w:name="bookmark1899"/>
      <w:bookmarkStart w:id="454" w:name="bookmark1900"/>
      <w:bookmarkStart w:id="455" w:name="bookmark1901"/>
      <w:r>
        <w:rPr>
          <w:color w:val="FFFFFF"/>
        </w:rPr>
        <w:t>Fármaco (nombre comercial)</w:t>
      </w:r>
      <w:bookmarkEnd w:id="453"/>
      <w:bookmarkEnd w:id="454"/>
      <w:bookmarkEnd w:id="455"/>
    </w:p>
    <w:p w14:paraId="65107990" w14:textId="77777777" w:rsidR="00924992" w:rsidRDefault="00924992">
      <w:pPr>
        <w:pStyle w:val="Heading41"/>
        <w:keepNext/>
        <w:keepLines/>
        <w:framePr w:w="494" w:h="298" w:wrap="none" w:hAnchor="page" w:x="4067" w:y="351"/>
        <w:pBdr>
          <w:top w:val="single" w:sz="0" w:space="0" w:color="000000"/>
          <w:left w:val="single" w:sz="0" w:space="0" w:color="000000"/>
          <w:bottom w:val="single" w:sz="0" w:space="0" w:color="000000"/>
          <w:right w:val="single" w:sz="0" w:space="0" w:color="000000"/>
        </w:pBdr>
        <w:shd w:val="clear" w:color="auto" w:fill="000000"/>
      </w:pPr>
      <w:bookmarkStart w:id="456" w:name="bookmark1902"/>
      <w:bookmarkStart w:id="457" w:name="bookmark1903"/>
      <w:bookmarkStart w:id="458" w:name="bookmark1904"/>
      <w:r>
        <w:rPr>
          <w:color w:val="FFFFFF"/>
        </w:rPr>
        <w:t>Dosis</w:t>
      </w:r>
      <w:bookmarkEnd w:id="456"/>
      <w:bookmarkEnd w:id="457"/>
      <w:bookmarkEnd w:id="458"/>
    </w:p>
    <w:p w14:paraId="44147030" w14:textId="77777777" w:rsidR="00924992" w:rsidRDefault="00924992">
      <w:pPr>
        <w:pStyle w:val="Heading41"/>
        <w:keepNext/>
        <w:keepLines/>
        <w:framePr w:w="2059" w:h="298" w:wrap="none" w:hAnchor="page" w:x="7753" w:y="351"/>
        <w:pBdr>
          <w:top w:val="single" w:sz="0" w:space="0" w:color="000000"/>
          <w:left w:val="single" w:sz="0" w:space="0" w:color="000000"/>
          <w:bottom w:val="single" w:sz="0" w:space="0" w:color="000000"/>
          <w:right w:val="single" w:sz="0" w:space="0" w:color="000000"/>
        </w:pBdr>
        <w:shd w:val="clear" w:color="auto" w:fill="000000"/>
        <w:jc w:val="center"/>
      </w:pPr>
      <w:bookmarkStart w:id="459" w:name="bookmark1905"/>
      <w:bookmarkStart w:id="460" w:name="bookmark1906"/>
      <w:bookmarkStart w:id="461" w:name="bookmark1907"/>
      <w:r>
        <w:rPr>
          <w:color w:val="FFFFFF"/>
        </w:rPr>
        <w:t>Instrucciones especiales</w:t>
      </w:r>
      <w:bookmarkEnd w:id="459"/>
      <w:bookmarkEnd w:id="460"/>
      <w:bookmarkEnd w:id="461"/>
    </w:p>
    <w:p w14:paraId="5F20CA56" w14:textId="77777777" w:rsidR="00924992" w:rsidRDefault="00924992">
      <w:pPr>
        <w:pStyle w:val="Bodytext20"/>
        <w:framePr w:w="1589" w:h="235" w:wrap="none" w:hAnchor="page" w:x="668" w:y="1364"/>
        <w:spacing w:line="240" w:lineRule="auto"/>
      </w:pPr>
      <w:r>
        <w:rPr>
          <w:b/>
          <w:bCs/>
          <w:color w:val="000000"/>
        </w:rPr>
        <w:t>Nelfinavir (Viracept)</w:t>
      </w:r>
    </w:p>
    <w:p w14:paraId="07FF2A79" w14:textId="77777777" w:rsidR="00924992" w:rsidRDefault="00924992">
      <w:pPr>
        <w:pStyle w:val="Bodytext20"/>
        <w:framePr w:w="2832" w:h="1963" w:wrap="none" w:hAnchor="page" w:x="4062" w:y="716"/>
        <w:spacing w:line="240" w:lineRule="auto"/>
      </w:pPr>
      <w:r>
        <w:rPr>
          <w:i/>
          <w:iCs/>
          <w:color w:val="000000"/>
        </w:rPr>
        <w:t>Neonatos:</w:t>
      </w:r>
      <w:r>
        <w:rPr>
          <w:color w:val="000000"/>
        </w:rPr>
        <w:t xml:space="preserve"> se desconoce</w:t>
      </w:r>
    </w:p>
    <w:p w14:paraId="630D26A4" w14:textId="77777777" w:rsidR="00924992" w:rsidRDefault="00924992">
      <w:pPr>
        <w:pStyle w:val="Bodytext20"/>
        <w:framePr w:w="2832" w:h="1963" w:wrap="none" w:hAnchor="page" w:x="4062" w:y="716"/>
        <w:spacing w:line="240" w:lineRule="auto"/>
      </w:pPr>
      <w:r>
        <w:rPr>
          <w:i/>
          <w:iCs/>
          <w:color w:val="000000"/>
        </w:rPr>
        <w:t>Adolescentes y adultos:</w:t>
      </w:r>
    </w:p>
    <w:p w14:paraId="0A9054BF" w14:textId="77777777" w:rsidR="00924992" w:rsidRDefault="00924992">
      <w:pPr>
        <w:pStyle w:val="Bodytext20"/>
        <w:framePr w:w="2832" w:h="1963" w:wrap="none" w:hAnchor="page" w:x="4062" w:y="716"/>
        <w:spacing w:line="240" w:lineRule="auto"/>
      </w:pPr>
      <w:r>
        <w:rPr>
          <w:color w:val="000000"/>
        </w:rPr>
        <w:t>400 mg para seguir con 100 mg al día</w:t>
      </w:r>
    </w:p>
    <w:p w14:paraId="5E0FDDD4" w14:textId="77777777" w:rsidR="00924992" w:rsidRDefault="00924992">
      <w:pPr>
        <w:pStyle w:val="Bodytext20"/>
        <w:framePr w:w="2832" w:h="1963" w:wrap="none" w:hAnchor="page" w:x="4062" w:y="716"/>
        <w:spacing w:line="240" w:lineRule="auto"/>
      </w:pPr>
      <w:r>
        <w:rPr>
          <w:i/>
          <w:iCs/>
          <w:color w:val="000000"/>
        </w:rPr>
        <w:t>Niños:</w:t>
      </w:r>
    </w:p>
    <w:p w14:paraId="21BE01EF" w14:textId="77777777" w:rsidR="00924992" w:rsidRDefault="00924992">
      <w:pPr>
        <w:pStyle w:val="Bodytext20"/>
        <w:framePr w:w="2832" w:h="1963" w:wrap="none" w:hAnchor="page" w:x="4062" w:y="716"/>
        <w:spacing w:line="240" w:lineRule="auto"/>
      </w:pPr>
      <w:r>
        <w:rPr>
          <w:color w:val="000000"/>
        </w:rPr>
        <w:t>30 mg/kg tres veces al día</w:t>
      </w:r>
    </w:p>
    <w:p w14:paraId="115CE13A" w14:textId="77777777" w:rsidR="00924992" w:rsidRDefault="00924992">
      <w:pPr>
        <w:pStyle w:val="Bodytext20"/>
        <w:framePr w:w="2832" w:h="1963" w:wrap="none" w:hAnchor="page" w:x="4062" w:y="716"/>
        <w:spacing w:line="240" w:lineRule="auto"/>
      </w:pPr>
      <w:r>
        <w:rPr>
          <w:i/>
          <w:iCs/>
          <w:color w:val="000000"/>
        </w:rPr>
        <w:t>Neonatos:</w:t>
      </w:r>
      <w:r>
        <w:rPr>
          <w:color w:val="000000"/>
        </w:rPr>
        <w:t xml:space="preserve"> se desconoce</w:t>
      </w:r>
    </w:p>
    <w:p w14:paraId="333938C6" w14:textId="77777777" w:rsidR="00924992" w:rsidRDefault="00924992">
      <w:pPr>
        <w:pStyle w:val="Bodytext20"/>
        <w:framePr w:w="2832" w:h="1963" w:wrap="none" w:hAnchor="page" w:x="4062" w:y="716"/>
        <w:spacing w:line="240" w:lineRule="auto"/>
      </w:pPr>
      <w:r>
        <w:rPr>
          <w:i/>
          <w:iCs/>
          <w:color w:val="000000"/>
        </w:rPr>
        <w:t>Adolescentes y adultos:</w:t>
      </w:r>
    </w:p>
    <w:p w14:paraId="3543E171" w14:textId="77777777" w:rsidR="00924992" w:rsidRDefault="00924992">
      <w:pPr>
        <w:pStyle w:val="Bodytext20"/>
        <w:framePr w:w="2832" w:h="1963" w:wrap="none" w:hAnchor="page" w:x="4062" w:y="716"/>
        <w:spacing w:line="240" w:lineRule="auto"/>
      </w:pPr>
      <w:r>
        <w:rPr>
          <w:color w:val="000000"/>
        </w:rPr>
        <w:t>750 mg, tres veces al día O</w:t>
      </w:r>
    </w:p>
    <w:p w14:paraId="082C79E8" w14:textId="77777777" w:rsidR="00924992" w:rsidRDefault="00924992">
      <w:pPr>
        <w:pStyle w:val="Bodytext20"/>
        <w:framePr w:w="2832" w:h="1963" w:wrap="none" w:hAnchor="page" w:x="4062" w:y="716"/>
        <w:spacing w:line="240" w:lineRule="auto"/>
      </w:pPr>
      <w:r>
        <w:rPr>
          <w:color w:val="000000"/>
        </w:rPr>
        <w:t>1 250 mg dos veces al día</w:t>
      </w:r>
    </w:p>
    <w:p w14:paraId="2D4D6232" w14:textId="77777777" w:rsidR="00924992" w:rsidRDefault="00924992">
      <w:pPr>
        <w:pStyle w:val="Bodytext20"/>
        <w:framePr w:w="1416" w:h="221" w:wrap="none" w:hAnchor="page" w:x="673" w:y="3961"/>
        <w:spacing w:line="240" w:lineRule="auto"/>
      </w:pPr>
      <w:r>
        <w:rPr>
          <w:b/>
          <w:bCs/>
          <w:color w:val="000000"/>
        </w:rPr>
        <w:t>Ritonavir (Norvir)</w:t>
      </w:r>
    </w:p>
    <w:p w14:paraId="0CBCD263" w14:textId="77777777" w:rsidR="00924992" w:rsidRDefault="00924992">
      <w:pPr>
        <w:pStyle w:val="Bodytext20"/>
        <w:framePr w:w="3523" w:h="2424" w:wrap="none" w:hAnchor="page" w:x="4062" w:y="3961"/>
      </w:pPr>
      <w:r>
        <w:rPr>
          <w:i/>
          <w:iCs/>
          <w:color w:val="000000"/>
        </w:rPr>
        <w:t>Niños:</w:t>
      </w:r>
    </w:p>
    <w:p w14:paraId="42DFD89C" w14:textId="77777777" w:rsidR="00924992" w:rsidRDefault="00924992">
      <w:pPr>
        <w:pStyle w:val="Bodytext20"/>
        <w:framePr w:w="3523" w:h="2424" w:wrap="none" w:hAnchor="page" w:x="4062" w:y="3961"/>
      </w:pPr>
      <w:r>
        <w:rPr>
          <w:color w:val="000000"/>
        </w:rPr>
        <w:t>400 mg/m</w:t>
      </w:r>
      <w:r>
        <w:rPr>
          <w:color w:val="000000"/>
          <w:vertAlign w:val="superscript"/>
        </w:rPr>
        <w:t>2</w:t>
      </w:r>
      <w:r>
        <w:rPr>
          <w:color w:val="000000"/>
        </w:rPr>
        <w:t>, cada 12 h</w:t>
      </w:r>
    </w:p>
    <w:p w14:paraId="2085BECD" w14:textId="77777777" w:rsidR="00924992" w:rsidRDefault="00924992">
      <w:pPr>
        <w:pStyle w:val="Bodytext20"/>
        <w:framePr w:w="3523" w:h="2424" w:wrap="none" w:hAnchor="page" w:x="4062" w:y="3961"/>
      </w:pPr>
      <w:r>
        <w:rPr>
          <w:color w:val="000000"/>
        </w:rPr>
        <w:t>Para llevar al mínimo las náuseas y los vómitos, comenzar la terapia con 250 mg/m</w:t>
      </w:r>
      <w:r>
        <w:rPr>
          <w:color w:val="000000"/>
          <w:vertAlign w:val="superscript"/>
        </w:rPr>
        <w:t>2</w:t>
      </w:r>
      <w:r>
        <w:rPr>
          <w:color w:val="000000"/>
        </w:rPr>
        <w:t xml:space="preserve"> cada 12 h y aumentar poco a poco hasta llegar a la dosis completa en un lapso de 5 días, según sea tolerada.</w:t>
      </w:r>
    </w:p>
    <w:p w14:paraId="45F5880D" w14:textId="77777777" w:rsidR="00924992" w:rsidRDefault="00924992">
      <w:pPr>
        <w:pStyle w:val="Bodytext20"/>
        <w:framePr w:w="3523" w:h="2424" w:wrap="none" w:hAnchor="page" w:x="4062" w:y="3961"/>
        <w:jc w:val="both"/>
      </w:pPr>
      <w:r>
        <w:rPr>
          <w:i/>
          <w:iCs/>
          <w:color w:val="000000"/>
        </w:rPr>
        <w:t>Limites para niños:</w:t>
      </w:r>
    </w:p>
    <w:p w14:paraId="777142CC" w14:textId="77777777" w:rsidR="00924992" w:rsidRDefault="00924992">
      <w:pPr>
        <w:pStyle w:val="Bodytext20"/>
        <w:framePr w:w="3523" w:h="2424" w:wrap="none" w:hAnchor="page" w:x="4062" w:y="3961"/>
      </w:pPr>
      <w:r>
        <w:rPr>
          <w:color w:val="000000"/>
        </w:rPr>
        <w:t>350-400 mg/m</w:t>
      </w:r>
      <w:r>
        <w:rPr>
          <w:color w:val="000000"/>
          <w:vertAlign w:val="superscript"/>
        </w:rPr>
        <w:t>2</w:t>
      </w:r>
      <w:r>
        <w:rPr>
          <w:color w:val="000000"/>
        </w:rPr>
        <w:t>, cada 12 h</w:t>
      </w:r>
    </w:p>
    <w:p w14:paraId="4F1C7169" w14:textId="77777777" w:rsidR="00924992" w:rsidRDefault="00924992">
      <w:pPr>
        <w:pStyle w:val="Bodytext20"/>
        <w:framePr w:w="3523" w:h="2424" w:wrap="none" w:hAnchor="page" w:x="4062" w:y="3961"/>
        <w:jc w:val="both"/>
      </w:pPr>
      <w:r>
        <w:rPr>
          <w:i/>
          <w:iCs/>
          <w:color w:val="000000"/>
        </w:rPr>
        <w:t>Neonatos:</w:t>
      </w:r>
      <w:r>
        <w:rPr>
          <w:color w:val="000000"/>
        </w:rPr>
        <w:t xml:space="preserve"> se desconoce</w:t>
      </w:r>
    </w:p>
    <w:p w14:paraId="1137B92A" w14:textId="77777777" w:rsidR="00924992" w:rsidRDefault="00924992">
      <w:pPr>
        <w:pStyle w:val="Bodytext20"/>
        <w:framePr w:w="3523" w:h="2424" w:wrap="none" w:hAnchor="page" w:x="4062" w:y="3961"/>
        <w:jc w:val="both"/>
      </w:pPr>
      <w:r>
        <w:rPr>
          <w:i/>
          <w:iCs/>
          <w:color w:val="000000"/>
        </w:rPr>
        <w:t>Adolescentes y adultos:</w:t>
      </w:r>
    </w:p>
    <w:p w14:paraId="21C748F1" w14:textId="77777777" w:rsidR="00924992" w:rsidRDefault="00924992">
      <w:pPr>
        <w:pStyle w:val="Bodytext20"/>
        <w:framePr w:w="3523" w:h="2424" w:wrap="none" w:hAnchor="page" w:x="4062" w:y="3961"/>
        <w:jc w:val="both"/>
      </w:pPr>
      <w:r>
        <w:rPr>
          <w:color w:val="000000"/>
        </w:rPr>
        <w:t>600 mg cada 12 h</w:t>
      </w:r>
    </w:p>
    <w:p w14:paraId="7546005E" w14:textId="77777777" w:rsidR="00924992" w:rsidRDefault="00924992">
      <w:pPr>
        <w:pStyle w:val="Bodytext20"/>
        <w:framePr w:w="4253" w:h="5453" w:wrap="none" w:hAnchor="page" w:x="7753" w:y="1364"/>
      </w:pPr>
      <w:r>
        <w:rPr>
          <w:color w:val="000000"/>
        </w:rPr>
        <w:t>Administrar con la comida o un bocadillo de fácil digestión. El polvo se puede mezclar con agua, leche, budines, helados de crema o fórmula láctea (incluso 6 h).</w:t>
      </w:r>
    </w:p>
    <w:p w14:paraId="1989068B" w14:textId="77777777" w:rsidR="00924992" w:rsidRDefault="00924992">
      <w:pPr>
        <w:pStyle w:val="Bodytext20"/>
        <w:framePr w:w="4253" w:h="5453" w:wrap="none" w:hAnchor="page" w:x="7753" w:y="1364"/>
      </w:pPr>
      <w:r>
        <w:rPr>
          <w:color w:val="000000"/>
        </w:rPr>
        <w:t>No mezclar con alimentos o jugos ácidos porque adquiere mal sabor la mezcla.</w:t>
      </w:r>
    </w:p>
    <w:p w14:paraId="38CCC7A8" w14:textId="77777777" w:rsidR="00924992" w:rsidRDefault="00924992">
      <w:pPr>
        <w:pStyle w:val="Bodytext20"/>
        <w:framePr w:w="4253" w:h="5453" w:wrap="none" w:hAnchor="page" w:x="7753" w:y="1364"/>
      </w:pPr>
      <w:r>
        <w:rPr>
          <w:color w:val="000000"/>
        </w:rPr>
        <w:t>No agregar agua a la fórmula láctea con el polvo ingerible; el fabricante incluye una cucharilla especial con el polvo, como medidor.</w:t>
      </w:r>
    </w:p>
    <w:p w14:paraId="2314449C" w14:textId="77777777" w:rsidR="00924992" w:rsidRDefault="00924992">
      <w:pPr>
        <w:pStyle w:val="Bodytext20"/>
        <w:framePr w:w="4253" w:h="5453" w:wrap="none" w:hAnchor="page" w:x="7753" w:y="1364"/>
      </w:pPr>
      <w:r>
        <w:rPr>
          <w:color w:val="000000"/>
        </w:rPr>
        <w:t>Las tabletas se disuelven fácilmente en agua y producen una dispersión que se puede mezclar con leche o batido de chocolate y leche; las tabletas también pueden triturarse y administrarse con budines.</w:t>
      </w:r>
    </w:p>
    <w:p w14:paraId="5B98E093" w14:textId="77777777" w:rsidR="00924992" w:rsidRDefault="00924992">
      <w:pPr>
        <w:pStyle w:val="Bodytext20"/>
        <w:framePr w:w="4253" w:h="5453" w:wrap="none" w:hAnchor="page" w:x="7753" w:y="1364"/>
      </w:pPr>
      <w:r>
        <w:rPr>
          <w:color w:val="000000"/>
        </w:rPr>
        <w:t>La administración con los alimentos mejora la absorción. Si se consume junto ddI (diferente de ddI EC), deberá transcurrir como mínimo 2.5 h entre sí.</w:t>
      </w:r>
    </w:p>
    <w:p w14:paraId="12EC4152" w14:textId="77777777" w:rsidR="00924992" w:rsidRDefault="00924992">
      <w:pPr>
        <w:pStyle w:val="Bodytext20"/>
        <w:framePr w:w="4253" w:h="5453" w:wrap="none" w:hAnchor="page" w:x="7753" w:y="1364"/>
      </w:pPr>
      <w:r>
        <w:rPr>
          <w:color w:val="000000"/>
        </w:rPr>
        <w:t>Las cápsulas y la solución ingerible deben conservarse en refrigeración.</w:t>
      </w:r>
    </w:p>
    <w:p w14:paraId="0C929912" w14:textId="77777777" w:rsidR="00924992" w:rsidRDefault="00924992">
      <w:pPr>
        <w:pStyle w:val="Bodytext20"/>
        <w:framePr w:w="4253" w:h="5453" w:wrap="none" w:hAnchor="page" w:x="7753" w:y="1364"/>
      </w:pPr>
      <w:r>
        <w:rPr>
          <w:color w:val="000000"/>
        </w:rPr>
        <w:t>Los procedimientos para mejorar la tolerancia en los niños pueden incluir la administración previa de alimentos que “recubren” o enfrían la lengua, la mezcla con ingredientes de mejor sabor o el consumo de alimentos de sabor intenso después del medicamento.</w:t>
      </w:r>
    </w:p>
    <w:p w14:paraId="6F06F671" w14:textId="77777777" w:rsidR="00924992" w:rsidRDefault="00924992">
      <w:pPr>
        <w:pStyle w:val="Bodytext20"/>
        <w:framePr w:w="4253" w:h="5453" w:wrap="none" w:hAnchor="page" w:x="7753" w:y="1364"/>
      </w:pPr>
      <w:r>
        <w:rPr>
          <w:color w:val="000000"/>
        </w:rPr>
        <w:t>La solución ingerible de ritonavir incluye etanol al 43% (vol/vol). La ingestión accidental puede ocasionar efectos tóxicos del etanol.</w:t>
      </w:r>
    </w:p>
    <w:p w14:paraId="79294203" w14:textId="77777777" w:rsidR="00924992" w:rsidRDefault="00924992">
      <w:pPr>
        <w:pStyle w:val="Bodytext80"/>
        <w:framePr w:w="192" w:h="4694" w:hRule="exact" w:wrap="none" w:hAnchor="page" w:x="12390" w:y="35"/>
        <w:tabs>
          <w:tab w:val="left" w:pos="2165"/>
        </w:tabs>
        <w:textDirection w:val="tbRl"/>
      </w:pPr>
      <w:r>
        <w:rPr>
          <w:sz w:val="16"/>
          <w:szCs w:val="16"/>
        </w:rPr>
        <w:t>776</w:t>
      </w:r>
      <w:r>
        <w:rPr>
          <w:sz w:val="16"/>
          <w:szCs w:val="16"/>
        </w:rPr>
        <w:tab/>
      </w:r>
      <w:r>
        <w:t>TERAPIA CON ANTIRRETROVÍRICOS</w:t>
      </w:r>
    </w:p>
    <w:p w14:paraId="3ED65BC2" w14:textId="77777777" w:rsidR="00924992" w:rsidRDefault="00924992">
      <w:pPr>
        <w:spacing w:line="360" w:lineRule="exact"/>
      </w:pPr>
    </w:p>
    <w:p w14:paraId="408B0641" w14:textId="77777777" w:rsidR="00924992" w:rsidRDefault="00924992">
      <w:pPr>
        <w:spacing w:line="360" w:lineRule="exact"/>
      </w:pPr>
    </w:p>
    <w:p w14:paraId="307BD138" w14:textId="77777777" w:rsidR="00924992" w:rsidRDefault="00924992">
      <w:pPr>
        <w:spacing w:line="360" w:lineRule="exact"/>
      </w:pPr>
    </w:p>
    <w:p w14:paraId="19161083" w14:textId="77777777" w:rsidR="00924992" w:rsidRDefault="00924992">
      <w:pPr>
        <w:spacing w:line="360" w:lineRule="exact"/>
      </w:pPr>
    </w:p>
    <w:p w14:paraId="7E8429C8" w14:textId="77777777" w:rsidR="00924992" w:rsidRDefault="00924992">
      <w:pPr>
        <w:spacing w:line="360" w:lineRule="exact"/>
      </w:pPr>
    </w:p>
    <w:p w14:paraId="2F43E6B4" w14:textId="77777777" w:rsidR="00924992" w:rsidRDefault="00924992">
      <w:pPr>
        <w:spacing w:line="360" w:lineRule="exact"/>
      </w:pPr>
    </w:p>
    <w:p w14:paraId="5AF64368" w14:textId="77777777" w:rsidR="00924992" w:rsidRDefault="00924992">
      <w:pPr>
        <w:spacing w:line="360" w:lineRule="exact"/>
      </w:pPr>
    </w:p>
    <w:p w14:paraId="3484D994" w14:textId="77777777" w:rsidR="00924992" w:rsidRDefault="00924992">
      <w:pPr>
        <w:spacing w:line="360" w:lineRule="exact"/>
      </w:pPr>
    </w:p>
    <w:p w14:paraId="679BD2B6" w14:textId="77777777" w:rsidR="00924992" w:rsidRDefault="00924992">
      <w:pPr>
        <w:spacing w:line="360" w:lineRule="exact"/>
      </w:pPr>
    </w:p>
    <w:p w14:paraId="5FEF890D" w14:textId="77777777" w:rsidR="00924992" w:rsidRDefault="00924992">
      <w:pPr>
        <w:spacing w:line="360" w:lineRule="exact"/>
      </w:pPr>
    </w:p>
    <w:p w14:paraId="03699802" w14:textId="77777777" w:rsidR="00924992" w:rsidRDefault="00924992">
      <w:pPr>
        <w:spacing w:line="360" w:lineRule="exact"/>
      </w:pPr>
    </w:p>
    <w:p w14:paraId="04F947DE" w14:textId="77777777" w:rsidR="00924992" w:rsidRDefault="00924992">
      <w:pPr>
        <w:spacing w:line="360" w:lineRule="exact"/>
      </w:pPr>
    </w:p>
    <w:p w14:paraId="6A46B988" w14:textId="77777777" w:rsidR="00924992" w:rsidRDefault="00924992">
      <w:pPr>
        <w:spacing w:line="360" w:lineRule="exact"/>
      </w:pPr>
    </w:p>
    <w:p w14:paraId="364884DA" w14:textId="77777777" w:rsidR="00924992" w:rsidRDefault="00924992">
      <w:pPr>
        <w:spacing w:line="360" w:lineRule="exact"/>
      </w:pPr>
    </w:p>
    <w:p w14:paraId="171D6EFF" w14:textId="77777777" w:rsidR="00924992" w:rsidRDefault="00924992">
      <w:pPr>
        <w:spacing w:line="360" w:lineRule="exact"/>
      </w:pPr>
    </w:p>
    <w:p w14:paraId="5F37F145" w14:textId="77777777" w:rsidR="00924992" w:rsidRDefault="00924992">
      <w:pPr>
        <w:spacing w:line="360" w:lineRule="exact"/>
      </w:pPr>
    </w:p>
    <w:p w14:paraId="002FCC98" w14:textId="77777777" w:rsidR="00924992" w:rsidRDefault="00924992">
      <w:pPr>
        <w:spacing w:line="360" w:lineRule="exact"/>
      </w:pPr>
    </w:p>
    <w:p w14:paraId="44C8A59B" w14:textId="77777777" w:rsidR="00924992" w:rsidRDefault="00924992">
      <w:pPr>
        <w:spacing w:after="695" w:line="1" w:lineRule="exact"/>
      </w:pPr>
    </w:p>
    <w:p w14:paraId="6086029A" w14:textId="77777777" w:rsidR="00924992" w:rsidRDefault="00924992">
      <w:pPr>
        <w:spacing w:line="1" w:lineRule="exact"/>
        <w:sectPr w:rsidR="00924992" w:rsidSect="00924992">
          <w:footnotePr>
            <w:numFmt w:val="upperRoman"/>
          </w:footnotePr>
          <w:pgSz w:w="13022" w:h="8501" w:orient="landscape"/>
          <w:pgMar w:top="470" w:right="442" w:bottom="994" w:left="658" w:header="42" w:footer="3" w:gutter="0"/>
          <w:cols w:space="720"/>
          <w:noEndnote/>
          <w:docGrid w:linePitch="360"/>
          <w15:footnoteColumns w:val="1"/>
        </w:sectPr>
      </w:pPr>
    </w:p>
    <w:p w14:paraId="101EA743" w14:textId="77777777" w:rsidR="00924992" w:rsidRDefault="00924992">
      <w:pPr>
        <w:pStyle w:val="Heading31"/>
        <w:keepNext/>
        <w:keepLines/>
        <w:framePr w:w="7786" w:h="322" w:wrap="none" w:hAnchor="page" w:x="2454" w:y="1"/>
        <w:rPr>
          <w:sz w:val="16"/>
          <w:szCs w:val="16"/>
        </w:rPr>
      </w:pPr>
      <w:bookmarkStart w:id="462" w:name="bookmark1908"/>
      <w:bookmarkStart w:id="463" w:name="bookmark1909"/>
      <w:bookmarkStart w:id="464" w:name="bookmark1910"/>
      <w:r>
        <w:rPr>
          <w:b w:val="0"/>
          <w:bCs w:val="0"/>
          <w:color w:val="000000"/>
        </w:rPr>
        <w:t xml:space="preserve">Cuadro 4-11. </w:t>
      </w:r>
      <w:r>
        <w:rPr>
          <w:color w:val="000000"/>
        </w:rPr>
        <w:t>Características de antirretrovíricos: inhibidores de proteasas</w:t>
      </w:r>
      <w:r>
        <w:rPr>
          <w:color w:val="000000"/>
          <w:vertAlign w:val="superscript"/>
        </w:rPr>
        <w:t>1</w:t>
      </w:r>
      <w:r>
        <w:rPr>
          <w:color w:val="000000"/>
        </w:rPr>
        <w:t xml:space="preserve"> </w:t>
      </w:r>
      <w:r>
        <w:rPr>
          <w:rFonts w:ascii="Times New Roman" w:eastAsia="Times New Roman" w:hAnsi="Times New Roman" w:cs="Times New Roman"/>
          <w:b w:val="0"/>
          <w:bCs w:val="0"/>
          <w:i/>
          <w:iCs/>
          <w:color w:val="000000"/>
          <w:w w:val="100"/>
          <w:sz w:val="16"/>
          <w:szCs w:val="16"/>
        </w:rPr>
        <w:t>continuación</w:t>
      </w:r>
      <w:bookmarkEnd w:id="462"/>
      <w:bookmarkEnd w:id="463"/>
      <w:bookmarkEnd w:id="464"/>
    </w:p>
    <w:tbl>
      <w:tblPr>
        <w:tblOverlap w:val="never"/>
        <w:tblW w:w="0" w:type="auto"/>
        <w:tblLayout w:type="fixed"/>
        <w:tblCellMar>
          <w:left w:w="10" w:type="dxa"/>
          <w:right w:w="10" w:type="dxa"/>
        </w:tblCellMar>
        <w:tblLook w:val="04A0" w:firstRow="1" w:lastRow="0" w:firstColumn="1" w:lastColumn="0" w:noHBand="0" w:noVBand="1"/>
      </w:tblPr>
      <w:tblGrid>
        <w:gridCol w:w="2957"/>
        <w:gridCol w:w="4070"/>
        <w:gridCol w:w="4402"/>
      </w:tblGrid>
      <w:tr w:rsidR="00924992" w14:paraId="26175C38" w14:textId="77777777">
        <w:tblPrEx>
          <w:tblCellMar>
            <w:top w:w="0" w:type="dxa"/>
            <w:bottom w:w="0" w:type="dxa"/>
          </w:tblCellMar>
        </w:tblPrEx>
        <w:trPr>
          <w:trHeight w:hRule="exact" w:val="278"/>
        </w:trPr>
        <w:tc>
          <w:tcPr>
            <w:tcW w:w="2957" w:type="dxa"/>
            <w:shd w:val="clear" w:color="auto" w:fill="000000"/>
            <w:vAlign w:val="bottom"/>
          </w:tcPr>
          <w:p w14:paraId="03037C9A" w14:textId="77777777" w:rsidR="00924992" w:rsidRDefault="00924992">
            <w:pPr>
              <w:pStyle w:val="Other0"/>
              <w:framePr w:w="11429" w:h="4771" w:wrap="none" w:hAnchor="page" w:x="635" w:y="371"/>
              <w:pBdr>
                <w:top w:val="single" w:sz="0" w:space="0" w:color="000000"/>
                <w:left w:val="single" w:sz="0" w:space="0" w:color="000000"/>
                <w:bottom w:val="single" w:sz="0" w:space="0" w:color="000000"/>
                <w:right w:val="single" w:sz="0" w:space="0" w:color="000000"/>
              </w:pBdr>
              <w:shd w:val="clear" w:color="auto" w:fill="000000"/>
              <w:spacing w:line="240" w:lineRule="auto"/>
              <w:ind w:firstLine="0"/>
              <w:rPr>
                <w:sz w:val="24"/>
                <w:szCs w:val="24"/>
              </w:rPr>
            </w:pPr>
            <w:r>
              <w:rPr>
                <w:rFonts w:ascii="Arial" w:eastAsia="Arial" w:hAnsi="Arial" w:cs="Arial"/>
                <w:b/>
                <w:bCs/>
                <w:color w:val="FFFFFF"/>
                <w:w w:val="70"/>
                <w:sz w:val="24"/>
                <w:szCs w:val="24"/>
              </w:rPr>
              <w:t>Fármaco (nombre comercial)</w:t>
            </w:r>
          </w:p>
        </w:tc>
        <w:tc>
          <w:tcPr>
            <w:tcW w:w="4070" w:type="dxa"/>
            <w:shd w:val="clear" w:color="auto" w:fill="000000"/>
            <w:vAlign w:val="bottom"/>
          </w:tcPr>
          <w:p w14:paraId="37CFC975" w14:textId="77777777" w:rsidR="00924992" w:rsidRDefault="00924992">
            <w:pPr>
              <w:pStyle w:val="Other0"/>
              <w:framePr w:w="11429" w:h="4771" w:wrap="none" w:hAnchor="page" w:x="635" w:y="371"/>
              <w:pBdr>
                <w:top w:val="single" w:sz="0" w:space="0" w:color="000000"/>
                <w:left w:val="single" w:sz="0" w:space="0" w:color="000000"/>
                <w:bottom w:val="single" w:sz="0" w:space="0" w:color="000000"/>
                <w:right w:val="single" w:sz="0" w:space="0" w:color="000000"/>
              </w:pBdr>
              <w:shd w:val="clear" w:color="auto" w:fill="000000"/>
              <w:spacing w:line="240" w:lineRule="auto"/>
              <w:ind w:firstLine="480"/>
              <w:rPr>
                <w:sz w:val="24"/>
                <w:szCs w:val="24"/>
              </w:rPr>
            </w:pPr>
            <w:r>
              <w:rPr>
                <w:rFonts w:ascii="Arial" w:eastAsia="Arial" w:hAnsi="Arial" w:cs="Arial"/>
                <w:b/>
                <w:bCs/>
                <w:color w:val="FFFFFF"/>
                <w:w w:val="70"/>
                <w:sz w:val="24"/>
                <w:szCs w:val="24"/>
              </w:rPr>
              <w:t>Dosis</w:t>
            </w:r>
          </w:p>
        </w:tc>
        <w:tc>
          <w:tcPr>
            <w:tcW w:w="4402" w:type="dxa"/>
            <w:shd w:val="clear" w:color="auto" w:fill="000000"/>
            <w:vAlign w:val="bottom"/>
          </w:tcPr>
          <w:p w14:paraId="3970591C" w14:textId="77777777" w:rsidR="00924992" w:rsidRDefault="00924992">
            <w:pPr>
              <w:pStyle w:val="Other0"/>
              <w:framePr w:w="11429" w:h="4771" w:wrap="none" w:hAnchor="page" w:x="635" w:y="371"/>
              <w:pBdr>
                <w:top w:val="single" w:sz="0" w:space="0" w:color="000000"/>
                <w:left w:val="single" w:sz="0" w:space="0" w:color="000000"/>
                <w:bottom w:val="single" w:sz="0" w:space="0" w:color="000000"/>
                <w:right w:val="single" w:sz="0" w:space="0" w:color="000000"/>
              </w:pBdr>
              <w:shd w:val="clear" w:color="auto" w:fill="000000"/>
              <w:spacing w:line="240" w:lineRule="auto"/>
              <w:ind w:firstLine="0"/>
              <w:rPr>
                <w:sz w:val="24"/>
                <w:szCs w:val="24"/>
              </w:rPr>
            </w:pPr>
            <w:r>
              <w:rPr>
                <w:rFonts w:ascii="Arial" w:eastAsia="Arial" w:hAnsi="Arial" w:cs="Arial"/>
                <w:b/>
                <w:bCs/>
                <w:color w:val="FFFFFF"/>
                <w:w w:val="70"/>
                <w:sz w:val="24"/>
                <w:szCs w:val="24"/>
              </w:rPr>
              <w:t>Instrucciones especiales</w:t>
            </w:r>
          </w:p>
        </w:tc>
      </w:tr>
      <w:tr w:rsidR="00924992" w14:paraId="47B388AD" w14:textId="77777777">
        <w:tblPrEx>
          <w:tblCellMar>
            <w:top w:w="0" w:type="dxa"/>
            <w:bottom w:w="0" w:type="dxa"/>
          </w:tblCellMar>
        </w:tblPrEx>
        <w:trPr>
          <w:trHeight w:hRule="exact" w:val="4493"/>
        </w:trPr>
        <w:tc>
          <w:tcPr>
            <w:tcW w:w="2957" w:type="dxa"/>
            <w:tcBorders>
              <w:bottom w:val="single" w:sz="4" w:space="0" w:color="auto"/>
            </w:tcBorders>
            <w:shd w:val="clear" w:color="auto" w:fill="FFFFFF"/>
          </w:tcPr>
          <w:p w14:paraId="69398A09" w14:textId="77777777" w:rsidR="00924992" w:rsidRDefault="00924992">
            <w:pPr>
              <w:pStyle w:val="Other0"/>
              <w:framePr w:w="11429" w:h="4771" w:wrap="none" w:hAnchor="page" w:x="635" w:y="371"/>
              <w:spacing w:before="940" w:line="240" w:lineRule="auto"/>
              <w:ind w:firstLine="0"/>
              <w:rPr>
                <w:sz w:val="16"/>
                <w:szCs w:val="16"/>
              </w:rPr>
            </w:pPr>
            <w:r>
              <w:rPr>
                <w:rFonts w:ascii="Times New Roman" w:eastAsia="Times New Roman" w:hAnsi="Times New Roman" w:cs="Times New Roman"/>
                <w:b/>
                <w:bCs/>
                <w:color w:val="000000"/>
                <w:sz w:val="16"/>
                <w:szCs w:val="16"/>
              </w:rPr>
              <w:t>Saquinavir (Fortovase, Invirase)</w:t>
            </w:r>
            <w:r>
              <w:rPr>
                <w:rFonts w:ascii="Times New Roman" w:eastAsia="Times New Roman" w:hAnsi="Times New Roman" w:cs="Times New Roman"/>
                <w:b/>
                <w:bCs/>
                <w:color w:val="000000"/>
                <w:sz w:val="16"/>
                <w:szCs w:val="16"/>
                <w:vertAlign w:val="superscript"/>
              </w:rPr>
              <w:t>2</w:t>
            </w:r>
          </w:p>
        </w:tc>
        <w:tc>
          <w:tcPr>
            <w:tcW w:w="4070" w:type="dxa"/>
            <w:tcBorders>
              <w:bottom w:val="single" w:sz="4" w:space="0" w:color="auto"/>
            </w:tcBorders>
            <w:shd w:val="clear" w:color="auto" w:fill="FFFFFF"/>
            <w:vAlign w:val="bottom"/>
          </w:tcPr>
          <w:p w14:paraId="5F71763A" w14:textId="77777777" w:rsidR="00924992" w:rsidRDefault="00924992">
            <w:pPr>
              <w:pStyle w:val="Other0"/>
              <w:framePr w:w="11429" w:h="4771" w:wrap="none" w:hAnchor="page" w:x="635" w:y="371"/>
              <w:spacing w:line="283" w:lineRule="auto"/>
              <w:ind w:firstLine="480"/>
              <w:rPr>
                <w:sz w:val="16"/>
                <w:szCs w:val="16"/>
              </w:rPr>
            </w:pPr>
            <w:r>
              <w:rPr>
                <w:rFonts w:ascii="Times New Roman" w:eastAsia="Times New Roman" w:hAnsi="Times New Roman" w:cs="Times New Roman"/>
                <w:i/>
                <w:iCs/>
                <w:color w:val="000000"/>
                <w:sz w:val="16"/>
                <w:szCs w:val="16"/>
              </w:rPr>
              <w:t>Niños:</w:t>
            </w:r>
          </w:p>
          <w:p w14:paraId="1ED16BAF" w14:textId="77777777" w:rsidR="00924992" w:rsidRDefault="00924992">
            <w:pPr>
              <w:pStyle w:val="Other0"/>
              <w:framePr w:w="11429" w:h="4771" w:wrap="none" w:hAnchor="page" w:x="635" w:y="371"/>
              <w:spacing w:line="283" w:lineRule="auto"/>
              <w:ind w:left="600" w:firstLine="0"/>
              <w:rPr>
                <w:sz w:val="16"/>
                <w:szCs w:val="16"/>
              </w:rPr>
            </w:pPr>
            <w:r>
              <w:rPr>
                <w:rFonts w:ascii="Times New Roman" w:eastAsia="Times New Roman" w:hAnsi="Times New Roman" w:cs="Times New Roman"/>
                <w:color w:val="000000"/>
                <w:sz w:val="16"/>
                <w:szCs w:val="16"/>
              </w:rPr>
              <w:t>50 mg/kg tres veces al día, como protocolo en estudio</w:t>
            </w:r>
          </w:p>
          <w:p w14:paraId="631CDF88" w14:textId="77777777" w:rsidR="00924992" w:rsidRDefault="00924992">
            <w:pPr>
              <w:pStyle w:val="Other0"/>
              <w:framePr w:w="11429" w:h="4771" w:wrap="none" w:hAnchor="page" w:x="635" w:y="371"/>
              <w:spacing w:line="283" w:lineRule="auto"/>
              <w:ind w:firstLine="480"/>
              <w:rPr>
                <w:sz w:val="16"/>
                <w:szCs w:val="16"/>
              </w:rPr>
            </w:pPr>
            <w:r>
              <w:rPr>
                <w:rFonts w:ascii="Times New Roman" w:eastAsia="Times New Roman" w:hAnsi="Times New Roman" w:cs="Times New Roman"/>
                <w:i/>
                <w:iCs/>
                <w:color w:val="000000"/>
                <w:sz w:val="16"/>
                <w:szCs w:val="16"/>
              </w:rPr>
              <w:t>Neonatos:</w:t>
            </w:r>
            <w:r>
              <w:rPr>
                <w:rFonts w:ascii="Times New Roman" w:eastAsia="Times New Roman" w:hAnsi="Times New Roman" w:cs="Times New Roman"/>
                <w:color w:val="000000"/>
                <w:sz w:val="16"/>
                <w:szCs w:val="16"/>
              </w:rPr>
              <w:t xml:space="preserve"> se desconoce</w:t>
            </w:r>
          </w:p>
          <w:p w14:paraId="65B83EC5" w14:textId="77777777" w:rsidR="00924992" w:rsidRDefault="00924992">
            <w:pPr>
              <w:pStyle w:val="Other0"/>
              <w:framePr w:w="11429" w:h="4771" w:wrap="none" w:hAnchor="page" w:x="635" w:y="371"/>
              <w:spacing w:line="283" w:lineRule="auto"/>
              <w:ind w:firstLine="480"/>
              <w:rPr>
                <w:sz w:val="16"/>
                <w:szCs w:val="16"/>
              </w:rPr>
            </w:pPr>
            <w:r>
              <w:rPr>
                <w:rFonts w:ascii="Times New Roman" w:eastAsia="Times New Roman" w:hAnsi="Times New Roman" w:cs="Times New Roman"/>
                <w:i/>
                <w:iCs/>
                <w:color w:val="000000"/>
                <w:sz w:val="16"/>
                <w:szCs w:val="16"/>
              </w:rPr>
              <w:t>Adolescentes y adultos:</w:t>
            </w:r>
          </w:p>
          <w:p w14:paraId="684CE7A7" w14:textId="77777777" w:rsidR="00924992" w:rsidRDefault="00924992">
            <w:pPr>
              <w:pStyle w:val="Other0"/>
              <w:framePr w:w="11429" w:h="4771" w:wrap="none" w:hAnchor="page" w:x="635" w:y="371"/>
              <w:spacing w:line="283" w:lineRule="auto"/>
              <w:ind w:firstLine="600"/>
              <w:rPr>
                <w:sz w:val="16"/>
                <w:szCs w:val="16"/>
              </w:rPr>
            </w:pPr>
            <w:r>
              <w:rPr>
                <w:rFonts w:ascii="Times New Roman" w:eastAsia="Times New Roman" w:hAnsi="Times New Roman" w:cs="Times New Roman"/>
                <w:color w:val="000000"/>
                <w:sz w:val="16"/>
                <w:szCs w:val="16"/>
              </w:rPr>
              <w:t>Cápsulas de gelatina blanda (Fortovase):</w:t>
            </w:r>
          </w:p>
          <w:p w14:paraId="695FD492" w14:textId="77777777" w:rsidR="00924992" w:rsidRDefault="00924992">
            <w:pPr>
              <w:pStyle w:val="Other0"/>
              <w:framePr w:w="11429" w:h="4771" w:wrap="none" w:hAnchor="page" w:x="635" w:y="371"/>
              <w:spacing w:line="283" w:lineRule="auto"/>
              <w:ind w:firstLine="600"/>
              <w:rPr>
                <w:sz w:val="16"/>
                <w:szCs w:val="16"/>
              </w:rPr>
            </w:pPr>
            <w:r>
              <w:rPr>
                <w:rFonts w:ascii="Times New Roman" w:eastAsia="Times New Roman" w:hAnsi="Times New Roman" w:cs="Times New Roman"/>
                <w:color w:val="000000"/>
                <w:sz w:val="16"/>
                <w:szCs w:val="16"/>
              </w:rPr>
              <w:t>1 200 mg, tres veces al día</w:t>
            </w:r>
          </w:p>
          <w:p w14:paraId="1C6ADC41" w14:textId="77777777" w:rsidR="00924992" w:rsidRDefault="00924992">
            <w:pPr>
              <w:pStyle w:val="Other0"/>
              <w:framePr w:w="11429" w:h="4771" w:wrap="none" w:hAnchor="page" w:x="635" w:y="371"/>
              <w:spacing w:line="283" w:lineRule="auto"/>
              <w:ind w:firstLine="480"/>
              <w:rPr>
                <w:sz w:val="16"/>
                <w:szCs w:val="16"/>
              </w:rPr>
            </w:pPr>
            <w:r>
              <w:rPr>
                <w:rFonts w:ascii="Times New Roman" w:eastAsia="Times New Roman" w:hAnsi="Times New Roman" w:cs="Times New Roman"/>
                <w:color w:val="000000"/>
                <w:sz w:val="16"/>
                <w:szCs w:val="16"/>
              </w:rPr>
              <w:t>O</w:t>
            </w:r>
          </w:p>
          <w:p w14:paraId="4A905CB7" w14:textId="77777777" w:rsidR="00924992" w:rsidRDefault="00924992">
            <w:pPr>
              <w:pStyle w:val="Other0"/>
              <w:framePr w:w="11429" w:h="4771" w:wrap="none" w:hAnchor="page" w:x="635" w:y="371"/>
              <w:spacing w:line="283" w:lineRule="auto"/>
              <w:ind w:left="600" w:hanging="100"/>
              <w:rPr>
                <w:sz w:val="16"/>
                <w:szCs w:val="16"/>
              </w:rPr>
            </w:pPr>
            <w:r>
              <w:rPr>
                <w:rFonts w:ascii="Times New Roman" w:eastAsia="Times New Roman" w:hAnsi="Times New Roman" w:cs="Times New Roman"/>
                <w:color w:val="000000"/>
                <w:sz w:val="16"/>
                <w:szCs w:val="16"/>
              </w:rPr>
              <w:t>Cápsulas de gelatina blanda o dura, 400 mg en combinación con 400 mg de ritonavir</w:t>
            </w:r>
          </w:p>
          <w:p w14:paraId="1F41ADAD" w14:textId="77777777" w:rsidR="00924992" w:rsidRDefault="00924992">
            <w:pPr>
              <w:pStyle w:val="Other0"/>
              <w:framePr w:w="11429" w:h="4771" w:wrap="none" w:hAnchor="page" w:x="635" w:y="371"/>
              <w:spacing w:line="283" w:lineRule="auto"/>
              <w:ind w:left="600" w:hanging="100"/>
              <w:rPr>
                <w:sz w:val="16"/>
                <w:szCs w:val="16"/>
              </w:rPr>
            </w:pPr>
            <w:r>
              <w:rPr>
                <w:rFonts w:ascii="Times New Roman" w:eastAsia="Times New Roman" w:hAnsi="Times New Roman" w:cs="Times New Roman"/>
                <w:b/>
                <w:bCs/>
                <w:color w:val="000000"/>
                <w:sz w:val="16"/>
                <w:szCs w:val="16"/>
              </w:rPr>
              <w:t xml:space="preserve">Inverase </w:t>
            </w:r>
            <w:r>
              <w:rPr>
                <w:rFonts w:ascii="Times New Roman" w:eastAsia="Times New Roman" w:hAnsi="Times New Roman" w:cs="Times New Roman"/>
                <w:color w:val="000000"/>
                <w:sz w:val="16"/>
                <w:szCs w:val="16"/>
              </w:rPr>
              <w:t xml:space="preserve">y </w:t>
            </w:r>
            <w:r>
              <w:rPr>
                <w:rFonts w:ascii="Times New Roman" w:eastAsia="Times New Roman" w:hAnsi="Times New Roman" w:cs="Times New Roman"/>
                <w:b/>
                <w:bCs/>
                <w:color w:val="000000"/>
                <w:sz w:val="16"/>
                <w:szCs w:val="16"/>
              </w:rPr>
              <w:t xml:space="preserve">Fortovase </w:t>
            </w:r>
            <w:r>
              <w:rPr>
                <w:rFonts w:ascii="Times New Roman" w:eastAsia="Times New Roman" w:hAnsi="Times New Roman" w:cs="Times New Roman"/>
                <w:color w:val="000000"/>
                <w:sz w:val="16"/>
                <w:szCs w:val="16"/>
              </w:rPr>
              <w:t>no son bioequivalentes y no se pueden sustituir mutuamente</w:t>
            </w:r>
          </w:p>
          <w:p w14:paraId="35B08D7B" w14:textId="77777777" w:rsidR="00924992" w:rsidRDefault="00924992">
            <w:pPr>
              <w:pStyle w:val="Other0"/>
              <w:framePr w:w="11429" w:h="4771" w:wrap="none" w:hAnchor="page" w:x="635" w:y="371"/>
              <w:spacing w:line="283" w:lineRule="auto"/>
              <w:ind w:left="600" w:hanging="100"/>
              <w:rPr>
                <w:sz w:val="16"/>
                <w:szCs w:val="16"/>
              </w:rPr>
            </w:pPr>
            <w:r>
              <w:rPr>
                <w:rFonts w:ascii="Times New Roman" w:eastAsia="Times New Roman" w:hAnsi="Times New Roman" w:cs="Times New Roman"/>
                <w:b/>
                <w:bCs/>
                <w:color w:val="000000"/>
                <w:sz w:val="16"/>
                <w:szCs w:val="16"/>
              </w:rPr>
              <w:t xml:space="preserve">Invirase </w:t>
            </w:r>
            <w:r>
              <w:rPr>
                <w:rFonts w:ascii="Times New Roman" w:eastAsia="Times New Roman" w:hAnsi="Times New Roman" w:cs="Times New Roman"/>
                <w:color w:val="000000"/>
                <w:sz w:val="16"/>
                <w:szCs w:val="16"/>
              </w:rPr>
              <w:t>no debe administrarse como único inhibidor de proteasa en el régimen HAART, pero se le usará en combinación con el ritonavir como se señaló antes.</w:t>
            </w:r>
          </w:p>
        </w:tc>
        <w:tc>
          <w:tcPr>
            <w:tcW w:w="4402" w:type="dxa"/>
            <w:tcBorders>
              <w:bottom w:val="single" w:sz="4" w:space="0" w:color="auto"/>
            </w:tcBorders>
            <w:shd w:val="clear" w:color="auto" w:fill="FFFFFF"/>
          </w:tcPr>
          <w:p w14:paraId="51307409" w14:textId="77777777" w:rsidR="00924992" w:rsidRDefault="00924992">
            <w:pPr>
              <w:pStyle w:val="Other0"/>
              <w:framePr w:w="11429" w:h="4771" w:wrap="none" w:hAnchor="page" w:x="635" w:y="371"/>
              <w:spacing w:line="283" w:lineRule="auto"/>
              <w:ind w:left="220" w:hanging="220"/>
              <w:rPr>
                <w:sz w:val="16"/>
                <w:szCs w:val="16"/>
              </w:rPr>
            </w:pPr>
            <w:r>
              <w:rPr>
                <w:rFonts w:ascii="Times New Roman" w:eastAsia="Times New Roman" w:hAnsi="Times New Roman" w:cs="Times New Roman"/>
                <w:color w:val="000000"/>
                <w:sz w:val="16"/>
                <w:szCs w:val="16"/>
              </w:rPr>
              <w:t>Cuando se utiliza en dosis bajas como intensificador farmacológico, el ritonavir no posee actividad antivírica y no se le considera como un segundo inhibidor de proteasa terapéutico.</w:t>
            </w:r>
          </w:p>
          <w:p w14:paraId="4AE05AA1" w14:textId="77777777" w:rsidR="00924992" w:rsidRDefault="00924992">
            <w:pPr>
              <w:pStyle w:val="Other0"/>
              <w:framePr w:w="11429" w:h="4771" w:wrap="none" w:hAnchor="page" w:x="635" w:y="371"/>
              <w:spacing w:line="283" w:lineRule="auto"/>
              <w:ind w:left="220" w:hanging="220"/>
              <w:rPr>
                <w:sz w:val="16"/>
                <w:szCs w:val="16"/>
              </w:rPr>
            </w:pPr>
            <w:r>
              <w:rPr>
                <w:rFonts w:ascii="Times New Roman" w:eastAsia="Times New Roman" w:hAnsi="Times New Roman" w:cs="Times New Roman"/>
                <w:color w:val="000000"/>
                <w:sz w:val="16"/>
                <w:szCs w:val="16"/>
              </w:rPr>
              <w:t>Administrar en término de 2 h de haber consumido una comida completa para mejorar la absorción.</w:t>
            </w:r>
          </w:p>
          <w:p w14:paraId="1C01B8C5" w14:textId="77777777" w:rsidR="00924992" w:rsidRDefault="00924992">
            <w:pPr>
              <w:pStyle w:val="Other0"/>
              <w:framePr w:w="11429" w:h="4771" w:wrap="none" w:hAnchor="page" w:x="635" w:y="371"/>
              <w:spacing w:line="283" w:lineRule="auto"/>
              <w:ind w:left="220" w:hanging="220"/>
              <w:rPr>
                <w:sz w:val="16"/>
                <w:szCs w:val="16"/>
              </w:rPr>
            </w:pPr>
            <w:r>
              <w:rPr>
                <w:rFonts w:ascii="Times New Roman" w:eastAsia="Times New Roman" w:hAnsi="Times New Roman" w:cs="Times New Roman"/>
                <w:color w:val="000000"/>
                <w:sz w:val="16"/>
                <w:szCs w:val="16"/>
              </w:rPr>
              <w:t>La administración simultánea de jugo de toronja mejora la concentración de saquinavir.</w:t>
            </w:r>
          </w:p>
          <w:p w14:paraId="091A0EB9" w14:textId="77777777" w:rsidR="00924992" w:rsidRDefault="00924992">
            <w:pPr>
              <w:pStyle w:val="Other0"/>
              <w:framePr w:w="11429" w:h="4771" w:wrap="none" w:hAnchor="page" w:x="635" w:y="371"/>
              <w:spacing w:line="283" w:lineRule="auto"/>
              <w:ind w:left="220" w:hanging="220"/>
              <w:rPr>
                <w:sz w:val="16"/>
                <w:szCs w:val="16"/>
              </w:rPr>
            </w:pPr>
            <w:r>
              <w:rPr>
                <w:rFonts w:ascii="Times New Roman" w:eastAsia="Times New Roman" w:hAnsi="Times New Roman" w:cs="Times New Roman"/>
                <w:color w:val="000000"/>
                <w:sz w:val="16"/>
                <w:szCs w:val="16"/>
              </w:rPr>
              <w:t>La exposición al sol puede ocasionar reacciones de fotosensibilidad; se recomienda usar pantallas solares o ropas protectoras.</w:t>
            </w:r>
          </w:p>
        </w:tc>
      </w:tr>
    </w:tbl>
    <w:p w14:paraId="4D8F3AE6" w14:textId="77777777" w:rsidR="00924992" w:rsidRDefault="00924992">
      <w:pPr>
        <w:framePr w:w="11429" w:h="4771" w:wrap="none" w:hAnchor="page" w:x="635" w:y="371"/>
        <w:spacing w:line="1" w:lineRule="exact"/>
      </w:pPr>
    </w:p>
    <w:p w14:paraId="0AD37288" w14:textId="77777777" w:rsidR="00924992" w:rsidRDefault="00924992">
      <w:pPr>
        <w:pStyle w:val="Bodytext20"/>
        <w:framePr w:w="11333" w:h="1834" w:wrap="none" w:hAnchor="page" w:x="678" w:y="5166"/>
        <w:spacing w:line="240" w:lineRule="auto"/>
        <w:ind w:firstLine="180"/>
        <w:jc w:val="both"/>
        <w:rPr>
          <w:sz w:val="15"/>
          <w:szCs w:val="15"/>
        </w:rPr>
      </w:pPr>
      <w:r>
        <w:rPr>
          <w:color w:val="000000"/>
          <w:sz w:val="15"/>
          <w:szCs w:val="15"/>
        </w:rPr>
        <w:t xml:space="preserve">ddI, didanosina; HAART, terapia antirretrovírica altamente activa </w:t>
      </w:r>
      <w:r>
        <w:rPr>
          <w:i/>
          <w:iCs/>
          <w:color w:val="000000"/>
          <w:sz w:val="15"/>
          <w:szCs w:val="15"/>
        </w:rPr>
        <w:t>(highly active antiretroviral therapy).</w:t>
      </w:r>
    </w:p>
    <w:p w14:paraId="6CDD913D" w14:textId="77777777" w:rsidR="00924992" w:rsidRDefault="00924992">
      <w:pPr>
        <w:pStyle w:val="Bodytext20"/>
        <w:framePr w:w="11333" w:h="1834" w:wrap="none" w:hAnchor="page" w:x="678" w:y="5166"/>
        <w:numPr>
          <w:ilvl w:val="0"/>
          <w:numId w:val="131"/>
        </w:numPr>
        <w:tabs>
          <w:tab w:val="left" w:pos="163"/>
        </w:tabs>
        <w:spacing w:line="240" w:lineRule="auto"/>
        <w:rPr>
          <w:sz w:val="15"/>
          <w:szCs w:val="15"/>
        </w:rPr>
      </w:pPr>
      <w:bookmarkStart w:id="465" w:name="bookmark1911"/>
      <w:bookmarkEnd w:id="465"/>
      <w:r>
        <w:rPr>
          <w:color w:val="000000"/>
          <w:sz w:val="15"/>
          <w:szCs w:val="15"/>
        </w:rPr>
        <w:t>Los datos sobre niños son escasos y las dosis pueden cambiar conforme se acumule mayor información sobre los aspectos farmacocinéticos de estos fármacos en los menores.</w:t>
      </w:r>
    </w:p>
    <w:p w14:paraId="0B19B618" w14:textId="77777777" w:rsidR="00924992" w:rsidRDefault="00924992">
      <w:pPr>
        <w:pStyle w:val="Bodytext20"/>
        <w:framePr w:w="11333" w:h="1834" w:wrap="none" w:hAnchor="page" w:x="678" w:y="5166"/>
        <w:numPr>
          <w:ilvl w:val="0"/>
          <w:numId w:val="131"/>
        </w:numPr>
        <w:tabs>
          <w:tab w:val="left" w:pos="168"/>
        </w:tabs>
        <w:spacing w:line="240" w:lineRule="auto"/>
        <w:ind w:left="180" w:hanging="180"/>
        <w:rPr>
          <w:sz w:val="15"/>
          <w:szCs w:val="15"/>
        </w:rPr>
      </w:pPr>
      <w:bookmarkStart w:id="466" w:name="bookmark1912"/>
      <w:bookmarkEnd w:id="466"/>
      <w:r>
        <w:rPr>
          <w:color w:val="000000"/>
          <w:sz w:val="15"/>
          <w:szCs w:val="15"/>
        </w:rPr>
        <w:t xml:space="preserve">Nota: los medicamentos metabolizados en el citocromo P-450 3A del hígado (CYP 3A) tienen la capacidad de originar interacciones mutables con diversos medicamentos y algunas de ellas pueden ser letales. Las interacciones se señalan en detalle en Centers for Disease Control and Prevention. Report of the NIH Panel to Define Principles of Therapy of HIV. Infection and guidelines for use of antiretroviral agents in HIV-infected adults and adolescents. </w:t>
      </w:r>
      <w:r>
        <w:rPr>
          <w:i/>
          <w:iCs/>
          <w:color w:val="000000"/>
          <w:sz w:val="15"/>
          <w:szCs w:val="15"/>
        </w:rPr>
        <w:t>MMWR Morb Mortal Wkly Rep.</w:t>
      </w:r>
      <w:r>
        <w:rPr>
          <w:color w:val="000000"/>
          <w:sz w:val="15"/>
          <w:szCs w:val="15"/>
        </w:rPr>
        <w:t xml:space="preserve"> 1998;47(RR-5):1-82 y en </w:t>
      </w:r>
      <w:hyperlink r:id="rId322" w:history="1">
        <w:r>
          <w:rPr>
            <w:color w:val="000000"/>
            <w:sz w:val="15"/>
            <w:szCs w:val="15"/>
          </w:rPr>
          <w:t>www.aidsinfo.nih.gov</w:t>
        </w:r>
      </w:hyperlink>
      <w:r>
        <w:rPr>
          <w:color w:val="000000"/>
          <w:sz w:val="15"/>
          <w:szCs w:val="15"/>
        </w:rPr>
        <w:t xml:space="preserve"> y en las instrucciones de la compañía farmacéutica. Estas interacciones no se repetirán en este documento, por lo que los profesionales asistenciales deberán revisar dichos documentos para conocer los detallados. Antes de emprender la administración de los fármacos habrá que revisar cuidadosamente el perfil de la farmacoterapia en busca de posibles interacciones medicamentosas.</w:t>
      </w:r>
    </w:p>
    <w:p w14:paraId="746B5D9B" w14:textId="77777777" w:rsidR="00924992" w:rsidRDefault="00924992">
      <w:pPr>
        <w:pStyle w:val="Bodytext20"/>
        <w:framePr w:w="11333" w:h="1834" w:wrap="none" w:hAnchor="page" w:x="678" w:y="5166"/>
        <w:spacing w:line="240" w:lineRule="auto"/>
        <w:jc w:val="both"/>
        <w:rPr>
          <w:sz w:val="15"/>
          <w:szCs w:val="15"/>
        </w:rPr>
      </w:pPr>
      <w:r>
        <w:rPr>
          <w:color w:val="000000"/>
          <w:sz w:val="15"/>
          <w:szCs w:val="15"/>
        </w:rPr>
        <w:t xml:space="preserve">Para una mayor información sobre fármacos individuales consúltese </w:t>
      </w:r>
      <w:r>
        <w:rPr>
          <w:i/>
          <w:iCs/>
          <w:color w:val="000000"/>
          <w:sz w:val="15"/>
          <w:szCs w:val="15"/>
        </w:rPr>
        <w:t>Physicians Desk Reference</w:t>
      </w:r>
      <w:r>
        <w:rPr>
          <w:color w:val="000000"/>
          <w:sz w:val="15"/>
          <w:szCs w:val="15"/>
        </w:rPr>
        <w:t xml:space="preserve"> (Greenwood Village, CO: Thomson Micromedex) o </w:t>
      </w:r>
      <w:hyperlink r:id="rId323" w:history="1">
        <w:r>
          <w:rPr>
            <w:color w:val="000000"/>
            <w:sz w:val="15"/>
            <w:szCs w:val="15"/>
          </w:rPr>
          <w:t>http://pdrel.thomsonhc.com/pdrel/librarian/action/command.Command</w:t>
        </w:r>
      </w:hyperlink>
      <w:r>
        <w:rPr>
          <w:color w:val="000000"/>
          <w:sz w:val="15"/>
          <w:szCs w:val="15"/>
        </w:rPr>
        <w:t>.</w:t>
      </w:r>
    </w:p>
    <w:p w14:paraId="55F2E790" w14:textId="77777777" w:rsidR="00924992" w:rsidRDefault="00924992">
      <w:pPr>
        <w:pStyle w:val="Bodytext80"/>
        <w:framePr w:w="192" w:h="4694" w:hRule="exact" w:wrap="none" w:hAnchor="page" w:x="12390" w:y="2204"/>
        <w:tabs>
          <w:tab w:val="left" w:pos="4378"/>
        </w:tabs>
        <w:textDirection w:val="tbRl"/>
        <w:rPr>
          <w:sz w:val="16"/>
          <w:szCs w:val="16"/>
        </w:rPr>
      </w:pPr>
      <w:r>
        <w:t>TERAPIA CON ANTIRRETROVÍRICOS</w:t>
      </w:r>
      <w:r>
        <w:tab/>
      </w:r>
      <w:r>
        <w:rPr>
          <w:sz w:val="16"/>
          <w:szCs w:val="16"/>
        </w:rPr>
        <w:t>777</w:t>
      </w:r>
    </w:p>
    <w:p w14:paraId="62AA5AA6" w14:textId="77777777" w:rsidR="00924992" w:rsidRDefault="00924992">
      <w:pPr>
        <w:spacing w:line="360" w:lineRule="exact"/>
      </w:pPr>
    </w:p>
    <w:p w14:paraId="3C647C41" w14:textId="77777777" w:rsidR="00924992" w:rsidRDefault="00924992">
      <w:pPr>
        <w:spacing w:line="360" w:lineRule="exact"/>
      </w:pPr>
    </w:p>
    <w:p w14:paraId="75FF9D4E" w14:textId="77777777" w:rsidR="00924992" w:rsidRDefault="00924992">
      <w:pPr>
        <w:spacing w:line="360" w:lineRule="exact"/>
      </w:pPr>
    </w:p>
    <w:p w14:paraId="6A42B56A" w14:textId="77777777" w:rsidR="00924992" w:rsidRDefault="00924992">
      <w:pPr>
        <w:spacing w:line="360" w:lineRule="exact"/>
      </w:pPr>
    </w:p>
    <w:p w14:paraId="1C369BEC" w14:textId="77777777" w:rsidR="00924992" w:rsidRDefault="00924992">
      <w:pPr>
        <w:spacing w:line="360" w:lineRule="exact"/>
      </w:pPr>
    </w:p>
    <w:p w14:paraId="76085C3C" w14:textId="77777777" w:rsidR="00924992" w:rsidRDefault="00924992">
      <w:pPr>
        <w:spacing w:line="360" w:lineRule="exact"/>
      </w:pPr>
    </w:p>
    <w:p w14:paraId="39C77025" w14:textId="77777777" w:rsidR="00924992" w:rsidRDefault="00924992">
      <w:pPr>
        <w:spacing w:line="360" w:lineRule="exact"/>
      </w:pPr>
    </w:p>
    <w:p w14:paraId="33260925" w14:textId="77777777" w:rsidR="00924992" w:rsidRDefault="00924992">
      <w:pPr>
        <w:spacing w:line="360" w:lineRule="exact"/>
      </w:pPr>
    </w:p>
    <w:p w14:paraId="553991C7" w14:textId="77777777" w:rsidR="00924992" w:rsidRDefault="00924992">
      <w:pPr>
        <w:spacing w:line="360" w:lineRule="exact"/>
      </w:pPr>
    </w:p>
    <w:p w14:paraId="1C9A681F" w14:textId="77777777" w:rsidR="00924992" w:rsidRDefault="00924992">
      <w:pPr>
        <w:spacing w:line="360" w:lineRule="exact"/>
      </w:pPr>
    </w:p>
    <w:p w14:paraId="6A992528" w14:textId="77777777" w:rsidR="00924992" w:rsidRDefault="00924992">
      <w:pPr>
        <w:spacing w:line="360" w:lineRule="exact"/>
      </w:pPr>
    </w:p>
    <w:p w14:paraId="10335CB4" w14:textId="77777777" w:rsidR="00924992" w:rsidRDefault="00924992">
      <w:pPr>
        <w:spacing w:line="360" w:lineRule="exact"/>
      </w:pPr>
    </w:p>
    <w:p w14:paraId="1D7831D2" w14:textId="77777777" w:rsidR="00924992" w:rsidRDefault="00924992">
      <w:pPr>
        <w:spacing w:line="360" w:lineRule="exact"/>
      </w:pPr>
    </w:p>
    <w:p w14:paraId="271C0342" w14:textId="77777777" w:rsidR="00924992" w:rsidRDefault="00924992">
      <w:pPr>
        <w:spacing w:line="360" w:lineRule="exact"/>
      </w:pPr>
    </w:p>
    <w:p w14:paraId="78B5B6C4" w14:textId="77777777" w:rsidR="00924992" w:rsidRDefault="00924992">
      <w:pPr>
        <w:spacing w:line="360" w:lineRule="exact"/>
      </w:pPr>
    </w:p>
    <w:p w14:paraId="6E317B74" w14:textId="77777777" w:rsidR="00924992" w:rsidRDefault="00924992">
      <w:pPr>
        <w:spacing w:line="360" w:lineRule="exact"/>
      </w:pPr>
    </w:p>
    <w:p w14:paraId="7B5A13E3" w14:textId="77777777" w:rsidR="00924992" w:rsidRDefault="00924992">
      <w:pPr>
        <w:spacing w:line="360" w:lineRule="exact"/>
      </w:pPr>
    </w:p>
    <w:p w14:paraId="49B9EA51" w14:textId="77777777" w:rsidR="00924992" w:rsidRDefault="00924992">
      <w:pPr>
        <w:spacing w:line="360" w:lineRule="exact"/>
      </w:pPr>
    </w:p>
    <w:p w14:paraId="7C5F1331" w14:textId="77777777" w:rsidR="00924992" w:rsidRDefault="00924992">
      <w:pPr>
        <w:spacing w:after="517" w:line="1" w:lineRule="exact"/>
      </w:pPr>
    </w:p>
    <w:p w14:paraId="667042F9" w14:textId="77777777" w:rsidR="00924992" w:rsidRDefault="00924992">
      <w:pPr>
        <w:spacing w:line="1" w:lineRule="exact"/>
        <w:sectPr w:rsidR="00924992" w:rsidSect="00924992">
          <w:headerReference w:type="even" r:id="rId324"/>
          <w:headerReference w:type="default" r:id="rId325"/>
          <w:footerReference w:type="even" r:id="rId326"/>
          <w:footerReference w:type="default" r:id="rId327"/>
          <w:footnotePr>
            <w:numFmt w:val="upperRoman"/>
          </w:footnotePr>
          <w:pgSz w:w="13022" w:h="8501" w:orient="landscape"/>
          <w:pgMar w:top="1099" w:right="442" w:bottom="203" w:left="634" w:header="671" w:footer="3" w:gutter="0"/>
          <w:cols w:space="720"/>
          <w:noEndnote/>
          <w:docGrid w:linePitch="360"/>
          <w15:footnoteColumns w:val="1"/>
        </w:sectPr>
      </w:pPr>
    </w:p>
    <w:p w14:paraId="7BC6342D" w14:textId="77777777" w:rsidR="00924992" w:rsidRDefault="00924992">
      <w:pPr>
        <w:pStyle w:val="Heading31"/>
        <w:keepNext/>
        <w:keepLines/>
        <w:framePr w:w="7176" w:h="317" w:wrap="none" w:hAnchor="page" w:x="2756" w:y="1"/>
      </w:pPr>
      <w:bookmarkStart w:id="467" w:name="bookmark1913"/>
      <w:bookmarkStart w:id="468" w:name="bookmark1914"/>
      <w:bookmarkStart w:id="469" w:name="bookmark1915"/>
      <w:r>
        <w:rPr>
          <w:b w:val="0"/>
          <w:bCs w:val="0"/>
          <w:color w:val="000000"/>
        </w:rPr>
        <w:t xml:space="preserve">Cuadro 4-12. </w:t>
      </w:r>
      <w:r>
        <w:rPr>
          <w:color w:val="000000"/>
        </w:rPr>
        <w:t>Reacciones adversas frecuentes e interacciones medicamentosas</w:t>
      </w:r>
      <w:bookmarkEnd w:id="467"/>
      <w:bookmarkEnd w:id="468"/>
      <w:bookmarkEnd w:id="469"/>
    </w:p>
    <w:p w14:paraId="7DCCADDC" w14:textId="77777777" w:rsidR="00924992" w:rsidRDefault="00924992">
      <w:pPr>
        <w:pStyle w:val="Heading41"/>
        <w:keepNext/>
        <w:keepLines/>
        <w:framePr w:w="11146" w:h="298" w:wrap="none" w:hAnchor="page" w:x="659" w:y="342"/>
        <w:pBdr>
          <w:top w:val="single" w:sz="0" w:space="0" w:color="000000"/>
          <w:left w:val="single" w:sz="0" w:space="0" w:color="000000"/>
          <w:bottom w:val="single" w:sz="0" w:space="0" w:color="000000"/>
          <w:right w:val="single" w:sz="0" w:space="0" w:color="000000"/>
        </w:pBdr>
        <w:shd w:val="clear" w:color="auto" w:fill="000000"/>
      </w:pPr>
      <w:bookmarkStart w:id="470" w:name="bookmark1916"/>
      <w:bookmarkStart w:id="471" w:name="bookmark1917"/>
      <w:bookmarkStart w:id="472" w:name="bookmark1918"/>
      <w:r>
        <w:rPr>
          <w:color w:val="FFFFFF"/>
        </w:rPr>
        <w:t>Clase de fármacos Nombre del fármaco Reacciones adversas frecuentes Interacciones medicamentosas frecuentes</w:t>
      </w:r>
      <w:bookmarkEnd w:id="470"/>
      <w:bookmarkEnd w:id="471"/>
      <w:bookmarkEnd w:id="472"/>
    </w:p>
    <w:p w14:paraId="3036D984" w14:textId="77777777" w:rsidR="00924992" w:rsidRDefault="00924992">
      <w:pPr>
        <w:pStyle w:val="Bodytext20"/>
        <w:framePr w:w="4099" w:h="2621" w:wrap="none" w:hAnchor="page" w:x="673" w:y="707"/>
        <w:ind w:firstLine="1980"/>
      </w:pPr>
      <w:r>
        <w:rPr>
          <w:color w:val="000000"/>
        </w:rPr>
        <w:t>Abacavir</w:t>
      </w:r>
    </w:p>
    <w:p w14:paraId="43437BE3" w14:textId="77777777" w:rsidR="00924992" w:rsidRDefault="00924992">
      <w:pPr>
        <w:pStyle w:val="Bodytext20"/>
        <w:framePr w:w="4099" w:h="2621" w:wrap="none" w:hAnchor="page" w:x="673" w:y="707"/>
        <w:ind w:firstLine="1980"/>
      </w:pPr>
      <w:r>
        <w:rPr>
          <w:color w:val="000000"/>
        </w:rPr>
        <w:t>Didanosina (ddl)</w:t>
      </w:r>
    </w:p>
    <w:p w14:paraId="0EF492A1" w14:textId="77777777" w:rsidR="00924992" w:rsidRDefault="00924992">
      <w:pPr>
        <w:pStyle w:val="Bodytext20"/>
        <w:framePr w:w="4099" w:h="2621" w:wrap="none" w:hAnchor="page" w:x="673" w:y="707"/>
        <w:ind w:firstLine="1980"/>
      </w:pPr>
      <w:r>
        <w:rPr>
          <w:color w:val="000000"/>
        </w:rPr>
        <w:t>Estavudina (d4T)</w:t>
      </w:r>
    </w:p>
    <w:p w14:paraId="57A9D1D3" w14:textId="77777777" w:rsidR="00924992" w:rsidRDefault="00924992">
      <w:pPr>
        <w:pStyle w:val="Bodytext20"/>
        <w:framePr w:w="4099" w:h="2621" w:wrap="none" w:hAnchor="page" w:x="673" w:y="707"/>
        <w:ind w:left="1980"/>
      </w:pPr>
      <w:r>
        <w:rPr>
          <w:color w:val="000000"/>
        </w:rPr>
        <w:t>Lamivudina (3TC) Tenofovir</w:t>
      </w:r>
    </w:p>
    <w:p w14:paraId="28E3735B" w14:textId="77777777" w:rsidR="00924992" w:rsidRDefault="00924992">
      <w:pPr>
        <w:pStyle w:val="Bodytext20"/>
        <w:framePr w:w="4099" w:h="2621" w:wrap="none" w:hAnchor="page" w:x="673" w:y="707"/>
        <w:ind w:left="1980"/>
      </w:pPr>
      <w:r>
        <w:rPr>
          <w:color w:val="000000"/>
        </w:rPr>
        <w:t>Zalcitabina (ddc) Zidovudina (ZDV, AZT) ZDV y lamivudina</w:t>
      </w:r>
    </w:p>
    <w:p w14:paraId="38CD2C85" w14:textId="77777777" w:rsidR="00924992" w:rsidRDefault="00924992">
      <w:pPr>
        <w:pStyle w:val="Bodytext20"/>
        <w:framePr w:w="4099" w:h="2621" w:wrap="none" w:hAnchor="page" w:x="673" w:y="707"/>
        <w:tabs>
          <w:tab w:val="left" w:pos="1958"/>
        </w:tabs>
        <w:ind w:firstLine="1980"/>
      </w:pPr>
      <w:r>
        <w:rPr>
          <w:color w:val="000000"/>
        </w:rPr>
        <w:t>ZDV y lamivudina y abacavir Inhibidores no nucleósidos Delavirdina (DLV) de la transcriptasa inversa Efavirenz (EFV) (NNRTI)</w:t>
      </w:r>
      <w:r>
        <w:rPr>
          <w:color w:val="000000"/>
        </w:rPr>
        <w:tab/>
        <w:t>Nevirapina (NVP)</w:t>
      </w:r>
    </w:p>
    <w:p w14:paraId="3231C894" w14:textId="77777777" w:rsidR="00924992" w:rsidRDefault="00924992">
      <w:pPr>
        <w:pStyle w:val="Bodytext20"/>
        <w:framePr w:w="1752" w:h="888" w:wrap="none" w:hAnchor="page" w:x="673" w:y="711"/>
      </w:pPr>
      <w:r>
        <w:rPr>
          <w:color w:val="000000"/>
        </w:rPr>
        <w:t>Inhibidores nucleósidos/ nucleótidos de la transcriptasa inversa (NRTI)</w:t>
      </w:r>
    </w:p>
    <w:p w14:paraId="3AE89C93" w14:textId="77777777" w:rsidR="00924992" w:rsidRDefault="00924992">
      <w:pPr>
        <w:pStyle w:val="Bodytext20"/>
        <w:framePr w:w="2990" w:h="677" w:wrap="none" w:hAnchor="page" w:x="4897" w:y="707"/>
        <w:numPr>
          <w:ilvl w:val="0"/>
          <w:numId w:val="132"/>
        </w:numPr>
        <w:tabs>
          <w:tab w:val="left" w:pos="106"/>
        </w:tabs>
      </w:pPr>
      <w:bookmarkStart w:id="473" w:name="bookmark1919"/>
      <w:bookmarkEnd w:id="473"/>
      <w:r>
        <w:rPr>
          <w:color w:val="000000"/>
        </w:rPr>
        <w:t>Acidosis láctica</w:t>
      </w:r>
    </w:p>
    <w:p w14:paraId="08CB7FD5" w14:textId="77777777" w:rsidR="00924992" w:rsidRDefault="00924992">
      <w:pPr>
        <w:pStyle w:val="Bodytext20"/>
        <w:framePr w:w="2990" w:h="677" w:wrap="none" w:hAnchor="page" w:x="4897" w:y="707"/>
        <w:numPr>
          <w:ilvl w:val="0"/>
          <w:numId w:val="132"/>
        </w:numPr>
        <w:tabs>
          <w:tab w:val="left" w:pos="115"/>
        </w:tabs>
        <w:ind w:left="160" w:hanging="160"/>
      </w:pPr>
      <w:bookmarkStart w:id="474" w:name="bookmark1920"/>
      <w:bookmarkEnd w:id="474"/>
      <w:r>
        <w:rPr>
          <w:color w:val="000000"/>
        </w:rPr>
        <w:t>Mayores cifras en las pruebas de función hepática, hepatitis, esteatosis hepática</w:t>
      </w:r>
    </w:p>
    <w:p w14:paraId="01F3CC59" w14:textId="77777777" w:rsidR="00924992" w:rsidRDefault="00924992">
      <w:pPr>
        <w:pStyle w:val="Bodytext20"/>
        <w:framePr w:w="3192" w:h="677" w:wrap="none" w:hAnchor="page" w:x="4897" w:y="2651"/>
        <w:ind w:left="160" w:hanging="160"/>
        <w:jc w:val="both"/>
      </w:pPr>
      <w:r>
        <w:rPr>
          <w:color w:val="000000"/>
        </w:rPr>
        <w:t>• Erupción quizá grave que incluye síndrome de Stevens-Johnson y necrólisis epidérmica tóxica</w:t>
      </w:r>
    </w:p>
    <w:p w14:paraId="00F32E21" w14:textId="77777777" w:rsidR="00924992" w:rsidRDefault="00924992">
      <w:pPr>
        <w:pStyle w:val="Bodytext20"/>
        <w:framePr w:w="3374" w:h="677" w:wrap="none" w:hAnchor="page" w:x="8271" w:y="707"/>
      </w:pPr>
      <w:r>
        <w:rPr>
          <w:color w:val="000000"/>
        </w:rPr>
        <w:t xml:space="preserve">Consúltese la página </w:t>
      </w:r>
      <w:hyperlink r:id="rId328" w:history="1">
        <w:r>
          <w:rPr>
            <w:color w:val="000000"/>
          </w:rPr>
          <w:t>www.aidsinfo.nih.gov</w:t>
        </w:r>
      </w:hyperlink>
      <w:r>
        <w:rPr>
          <w:color w:val="000000"/>
        </w:rPr>
        <w:t xml:space="preserve"> para información sobre interacciones de fármacos individuales.</w:t>
      </w:r>
    </w:p>
    <w:p w14:paraId="0C3D5986" w14:textId="77777777" w:rsidR="00924992" w:rsidRDefault="00924992">
      <w:pPr>
        <w:pStyle w:val="Bodytext20"/>
        <w:framePr w:w="3701" w:h="3917" w:wrap="none" w:hAnchor="page" w:x="8257" w:y="2651"/>
      </w:pPr>
      <w:r>
        <w:rPr>
          <w:color w:val="000000"/>
        </w:rPr>
        <w:t>Inductores/inhibidores mixtos del citocromo P450; a veces es necesario ajustar las dosis de otros fármacos que son metabolizados por dicho citocromo cuando se usan concomitantemente.</w:t>
      </w:r>
    </w:p>
    <w:p w14:paraId="28A01043" w14:textId="77777777" w:rsidR="00924992" w:rsidRDefault="00924992">
      <w:pPr>
        <w:pStyle w:val="Bodytext20"/>
        <w:framePr w:w="3701" w:h="3917" w:wrap="none" w:hAnchor="page" w:x="8257" w:y="2651"/>
      </w:pPr>
      <w:r>
        <w:rPr>
          <w:color w:val="000000"/>
        </w:rPr>
        <w:t>Inhibidores de proteasa (PI): disminuyen las concentraciones de saquinavir e indinavir; pueden aumentar o disminuir las concentraciones de ritonavir.</w:t>
      </w:r>
    </w:p>
    <w:p w14:paraId="1F9CB5F6" w14:textId="77777777" w:rsidR="00924992" w:rsidRDefault="00924992">
      <w:pPr>
        <w:pStyle w:val="Bodytext20"/>
        <w:framePr w:w="3701" w:h="3917" w:wrap="none" w:hAnchor="page" w:x="8257" w:y="2651"/>
      </w:pPr>
      <w:r>
        <w:rPr>
          <w:color w:val="000000"/>
        </w:rPr>
        <w:t>Antimicóticos: disminuyen las concentraciones de ketoconazol.</w:t>
      </w:r>
    </w:p>
    <w:p w14:paraId="59FD5F54" w14:textId="77777777" w:rsidR="00924992" w:rsidRDefault="00924992">
      <w:pPr>
        <w:pStyle w:val="Bodytext20"/>
        <w:framePr w:w="3701" w:h="3917" w:wrap="none" w:hAnchor="page" w:x="8257" w:y="2651"/>
      </w:pPr>
      <w:r>
        <w:rPr>
          <w:color w:val="000000"/>
        </w:rPr>
        <w:t>Disminuyen significativamente las concentraciones de rifampicina y nevirapina.</w:t>
      </w:r>
    </w:p>
    <w:p w14:paraId="683F05DC" w14:textId="77777777" w:rsidR="00924992" w:rsidRDefault="00924992">
      <w:pPr>
        <w:pStyle w:val="Bodytext20"/>
        <w:framePr w:w="3701" w:h="3917" w:wrap="none" w:hAnchor="page" w:x="8257" w:y="2651"/>
      </w:pPr>
      <w:r>
        <w:rPr>
          <w:color w:val="000000"/>
        </w:rPr>
        <w:t>La rifabutina no tiene un efecto tan intenso en las concentraciones de nevirapina.</w:t>
      </w:r>
    </w:p>
    <w:p w14:paraId="54D0BBC9" w14:textId="77777777" w:rsidR="00924992" w:rsidRDefault="00924992">
      <w:pPr>
        <w:pStyle w:val="Bodytext20"/>
        <w:framePr w:w="3701" w:h="3917" w:wrap="none" w:hAnchor="page" w:x="8257" w:y="2651"/>
      </w:pPr>
      <w:r>
        <w:rPr>
          <w:color w:val="000000"/>
        </w:rPr>
        <w:t>Metadona: disminución de las concentraciones de metadona cuando se usa junto con efavirenz y nevirapina; hay que vigilar a los pacientes en busca de síntomas de abstinencia.</w:t>
      </w:r>
    </w:p>
    <w:p w14:paraId="66C0F951" w14:textId="77777777" w:rsidR="00924992" w:rsidRDefault="00924992">
      <w:pPr>
        <w:pStyle w:val="Bodytext80"/>
        <w:framePr w:w="192" w:h="4694" w:hRule="exact" w:wrap="none" w:hAnchor="page" w:x="12390" w:y="39"/>
        <w:tabs>
          <w:tab w:val="left" w:pos="2165"/>
        </w:tabs>
        <w:textDirection w:val="tbRl"/>
      </w:pPr>
      <w:r>
        <w:rPr>
          <w:sz w:val="16"/>
          <w:szCs w:val="16"/>
        </w:rPr>
        <w:t>778</w:t>
      </w:r>
      <w:r>
        <w:rPr>
          <w:sz w:val="16"/>
          <w:szCs w:val="16"/>
        </w:rPr>
        <w:tab/>
      </w:r>
      <w:r>
        <w:t>TERAPIA CON ANTIRRETROVÍRICOS</w:t>
      </w:r>
    </w:p>
    <w:p w14:paraId="14297677" w14:textId="77777777" w:rsidR="00924992" w:rsidRDefault="00924992">
      <w:pPr>
        <w:spacing w:line="360" w:lineRule="exact"/>
      </w:pPr>
    </w:p>
    <w:p w14:paraId="15B26523" w14:textId="77777777" w:rsidR="00924992" w:rsidRDefault="00924992">
      <w:pPr>
        <w:spacing w:line="360" w:lineRule="exact"/>
      </w:pPr>
    </w:p>
    <w:p w14:paraId="77DEA223" w14:textId="77777777" w:rsidR="00924992" w:rsidRDefault="00924992">
      <w:pPr>
        <w:spacing w:line="360" w:lineRule="exact"/>
      </w:pPr>
    </w:p>
    <w:p w14:paraId="32FF2249" w14:textId="77777777" w:rsidR="00924992" w:rsidRDefault="00924992">
      <w:pPr>
        <w:spacing w:line="360" w:lineRule="exact"/>
      </w:pPr>
    </w:p>
    <w:p w14:paraId="00D310E2" w14:textId="77777777" w:rsidR="00924992" w:rsidRDefault="00924992">
      <w:pPr>
        <w:spacing w:line="360" w:lineRule="exact"/>
      </w:pPr>
    </w:p>
    <w:p w14:paraId="3C3B50B8" w14:textId="77777777" w:rsidR="00924992" w:rsidRDefault="00924992">
      <w:pPr>
        <w:spacing w:line="360" w:lineRule="exact"/>
      </w:pPr>
    </w:p>
    <w:p w14:paraId="4A947989" w14:textId="77777777" w:rsidR="00924992" w:rsidRDefault="00924992">
      <w:pPr>
        <w:spacing w:line="360" w:lineRule="exact"/>
      </w:pPr>
    </w:p>
    <w:p w14:paraId="3D076824" w14:textId="77777777" w:rsidR="00924992" w:rsidRDefault="00924992">
      <w:pPr>
        <w:spacing w:line="360" w:lineRule="exact"/>
      </w:pPr>
    </w:p>
    <w:p w14:paraId="60331214" w14:textId="77777777" w:rsidR="00924992" w:rsidRDefault="00924992">
      <w:pPr>
        <w:spacing w:line="360" w:lineRule="exact"/>
      </w:pPr>
    </w:p>
    <w:p w14:paraId="224983C7" w14:textId="77777777" w:rsidR="00924992" w:rsidRDefault="00924992">
      <w:pPr>
        <w:spacing w:line="360" w:lineRule="exact"/>
      </w:pPr>
    </w:p>
    <w:p w14:paraId="79511C17" w14:textId="77777777" w:rsidR="00924992" w:rsidRDefault="00924992">
      <w:pPr>
        <w:spacing w:line="360" w:lineRule="exact"/>
      </w:pPr>
    </w:p>
    <w:p w14:paraId="37AFA467" w14:textId="77777777" w:rsidR="00924992" w:rsidRDefault="00924992">
      <w:pPr>
        <w:spacing w:line="360" w:lineRule="exact"/>
      </w:pPr>
    </w:p>
    <w:p w14:paraId="6842DB9B" w14:textId="77777777" w:rsidR="00924992" w:rsidRDefault="00924992">
      <w:pPr>
        <w:spacing w:line="360" w:lineRule="exact"/>
      </w:pPr>
    </w:p>
    <w:p w14:paraId="67EFC17E" w14:textId="77777777" w:rsidR="00924992" w:rsidRDefault="00924992">
      <w:pPr>
        <w:spacing w:line="360" w:lineRule="exact"/>
      </w:pPr>
    </w:p>
    <w:p w14:paraId="73DEE619" w14:textId="77777777" w:rsidR="00924992" w:rsidRDefault="00924992">
      <w:pPr>
        <w:spacing w:line="360" w:lineRule="exact"/>
      </w:pPr>
    </w:p>
    <w:p w14:paraId="492E396E" w14:textId="77777777" w:rsidR="00924992" w:rsidRDefault="00924992">
      <w:pPr>
        <w:spacing w:line="360" w:lineRule="exact"/>
      </w:pPr>
    </w:p>
    <w:p w14:paraId="0D5DFD9E" w14:textId="77777777" w:rsidR="00924992" w:rsidRDefault="00924992">
      <w:pPr>
        <w:spacing w:line="360" w:lineRule="exact"/>
      </w:pPr>
    </w:p>
    <w:p w14:paraId="69D742E7" w14:textId="77777777" w:rsidR="00924992" w:rsidRDefault="00924992">
      <w:pPr>
        <w:spacing w:after="445" w:line="1" w:lineRule="exact"/>
      </w:pPr>
    </w:p>
    <w:p w14:paraId="022E9414" w14:textId="77777777" w:rsidR="00924992" w:rsidRDefault="00924992">
      <w:pPr>
        <w:spacing w:line="1" w:lineRule="exact"/>
        <w:sectPr w:rsidR="00924992" w:rsidSect="00924992">
          <w:headerReference w:type="even" r:id="rId329"/>
          <w:headerReference w:type="default" r:id="rId330"/>
          <w:footerReference w:type="even" r:id="rId331"/>
          <w:footerReference w:type="default" r:id="rId332"/>
          <w:footnotePr>
            <w:numFmt w:val="upperRoman"/>
          </w:footnotePr>
          <w:pgSz w:w="13022" w:h="8501" w:orient="landscape"/>
          <w:pgMar w:top="466" w:right="442" w:bottom="1158" w:left="653" w:header="38" w:footer="3" w:gutter="0"/>
          <w:cols w:space="720"/>
          <w:noEndnote/>
          <w:docGrid w:linePitch="360"/>
          <w15:footnoteColumns w:val="1"/>
        </w:sectPr>
      </w:pPr>
    </w:p>
    <w:p w14:paraId="4FF375EB" w14:textId="77777777" w:rsidR="00924992" w:rsidRDefault="00924992">
      <w:pPr>
        <w:pStyle w:val="Heading31"/>
        <w:keepNext/>
        <w:keepLines/>
        <w:framePr w:w="8198" w:h="322" w:wrap="none" w:hAnchor="page" w:x="2247" w:y="1"/>
        <w:rPr>
          <w:sz w:val="16"/>
          <w:szCs w:val="16"/>
        </w:rPr>
      </w:pPr>
      <w:bookmarkStart w:id="475" w:name="bookmark1921"/>
      <w:bookmarkStart w:id="476" w:name="bookmark1922"/>
      <w:bookmarkStart w:id="477" w:name="bookmark1923"/>
      <w:r>
        <w:rPr>
          <w:b w:val="0"/>
          <w:bCs w:val="0"/>
          <w:color w:val="000000"/>
        </w:rPr>
        <w:t xml:space="preserve">Cuadro 4-12. </w:t>
      </w:r>
      <w:r>
        <w:rPr>
          <w:color w:val="000000"/>
        </w:rPr>
        <w:t xml:space="preserve">Reacciones adversas frecuentes e interacciones medicamentosas </w:t>
      </w:r>
      <w:r>
        <w:rPr>
          <w:rFonts w:ascii="Times New Roman" w:eastAsia="Times New Roman" w:hAnsi="Times New Roman" w:cs="Times New Roman"/>
          <w:b w:val="0"/>
          <w:bCs w:val="0"/>
          <w:i/>
          <w:iCs/>
          <w:color w:val="000000"/>
          <w:w w:val="100"/>
          <w:sz w:val="16"/>
          <w:szCs w:val="16"/>
        </w:rPr>
        <w:t>continuación</w:t>
      </w:r>
      <w:bookmarkEnd w:id="475"/>
      <w:bookmarkEnd w:id="476"/>
      <w:bookmarkEnd w:id="477"/>
    </w:p>
    <w:p w14:paraId="49FF8A1F" w14:textId="77777777" w:rsidR="00924992" w:rsidRDefault="00924992">
      <w:pPr>
        <w:pStyle w:val="Heading41"/>
        <w:keepNext/>
        <w:keepLines/>
        <w:framePr w:w="3701" w:h="298" w:wrap="none" w:hAnchor="page" w:x="668" w:y="356"/>
        <w:pBdr>
          <w:top w:val="single" w:sz="0" w:space="0" w:color="000000"/>
          <w:left w:val="single" w:sz="0" w:space="0" w:color="000000"/>
          <w:bottom w:val="single" w:sz="0" w:space="0" w:color="000000"/>
          <w:right w:val="single" w:sz="0" w:space="0" w:color="000000"/>
        </w:pBdr>
        <w:shd w:val="clear" w:color="auto" w:fill="000000"/>
      </w:pPr>
      <w:bookmarkStart w:id="478" w:name="bookmark1924"/>
      <w:bookmarkStart w:id="479" w:name="bookmark1925"/>
      <w:bookmarkStart w:id="480" w:name="bookmark1926"/>
      <w:r>
        <w:rPr>
          <w:color w:val="FFFFFF"/>
        </w:rPr>
        <w:t>Clase de fármacos Nombre del fármaco</w:t>
      </w:r>
      <w:bookmarkEnd w:id="478"/>
      <w:bookmarkEnd w:id="479"/>
      <w:bookmarkEnd w:id="480"/>
    </w:p>
    <w:p w14:paraId="6B629842" w14:textId="77777777" w:rsidR="00924992" w:rsidRDefault="00924992">
      <w:pPr>
        <w:pStyle w:val="Heading41"/>
        <w:keepNext/>
        <w:keepLines/>
        <w:framePr w:w="2678" w:h="298" w:wrap="none" w:hAnchor="page" w:x="4921" w:y="356"/>
        <w:pBdr>
          <w:top w:val="single" w:sz="0" w:space="0" w:color="000000"/>
          <w:left w:val="single" w:sz="0" w:space="0" w:color="000000"/>
          <w:bottom w:val="single" w:sz="0" w:space="0" w:color="000000"/>
          <w:right w:val="single" w:sz="0" w:space="0" w:color="000000"/>
        </w:pBdr>
        <w:shd w:val="clear" w:color="auto" w:fill="000000"/>
        <w:jc w:val="center"/>
      </w:pPr>
      <w:bookmarkStart w:id="481" w:name="bookmark1927"/>
      <w:bookmarkStart w:id="482" w:name="bookmark1928"/>
      <w:bookmarkStart w:id="483" w:name="bookmark1929"/>
      <w:r>
        <w:rPr>
          <w:color w:val="FFFFFF"/>
        </w:rPr>
        <w:t>Reacciones adversas frecuentes</w:t>
      </w:r>
      <w:bookmarkEnd w:id="481"/>
      <w:bookmarkEnd w:id="482"/>
      <w:bookmarkEnd w:id="483"/>
    </w:p>
    <w:p w14:paraId="40780361" w14:textId="77777777" w:rsidR="00924992" w:rsidRDefault="00924992">
      <w:pPr>
        <w:pStyle w:val="Heading41"/>
        <w:keepNext/>
        <w:keepLines/>
        <w:framePr w:w="3490" w:h="298" w:wrap="none" w:hAnchor="page" w:x="8324" w:y="356"/>
        <w:pBdr>
          <w:top w:val="single" w:sz="0" w:space="0" w:color="000000"/>
          <w:left w:val="single" w:sz="0" w:space="0" w:color="000000"/>
          <w:bottom w:val="single" w:sz="0" w:space="0" w:color="000000"/>
          <w:right w:val="single" w:sz="0" w:space="0" w:color="000000"/>
        </w:pBdr>
        <w:shd w:val="clear" w:color="auto" w:fill="000000"/>
      </w:pPr>
      <w:bookmarkStart w:id="484" w:name="bookmark1930"/>
      <w:bookmarkStart w:id="485" w:name="bookmark1931"/>
      <w:bookmarkStart w:id="486" w:name="bookmark1932"/>
      <w:r>
        <w:rPr>
          <w:color w:val="FFFFFF"/>
        </w:rPr>
        <w:t>Interacciones medicamentosas frecuentes</w:t>
      </w:r>
      <w:bookmarkEnd w:id="484"/>
      <w:bookmarkEnd w:id="485"/>
      <w:bookmarkEnd w:id="486"/>
    </w:p>
    <w:p w14:paraId="57266D30" w14:textId="77777777" w:rsidR="00924992" w:rsidRDefault="00924992">
      <w:pPr>
        <w:pStyle w:val="Bodytext20"/>
        <w:framePr w:w="3485" w:h="1325" w:wrap="none" w:hAnchor="page" w:x="683" w:y="3956"/>
      </w:pPr>
      <w:r>
        <w:rPr>
          <w:color w:val="000000"/>
        </w:rPr>
        <w:t>Inhibidores de proteasa (PI) Amprenavir</w:t>
      </w:r>
    </w:p>
    <w:p w14:paraId="7837B92E" w14:textId="77777777" w:rsidR="00924992" w:rsidRDefault="00924992">
      <w:pPr>
        <w:pStyle w:val="Bodytext20"/>
        <w:framePr w:w="3485" w:h="1325" w:wrap="none" w:hAnchor="page" w:x="683" w:y="3956"/>
        <w:ind w:left="1980"/>
      </w:pPr>
      <w:r>
        <w:rPr>
          <w:color w:val="000000"/>
        </w:rPr>
        <w:t>Indinavir</w:t>
      </w:r>
    </w:p>
    <w:p w14:paraId="0CC80563" w14:textId="77777777" w:rsidR="00924992" w:rsidRDefault="00924992">
      <w:pPr>
        <w:pStyle w:val="Bodytext20"/>
        <w:framePr w:w="3485" w:h="1325" w:wrap="none" w:hAnchor="page" w:x="683" w:y="3956"/>
        <w:tabs>
          <w:tab w:val="left" w:pos="1968"/>
        </w:tabs>
        <w:ind w:firstLine="1980"/>
      </w:pPr>
      <w:r>
        <w:rPr>
          <w:color w:val="000000"/>
        </w:rPr>
        <w:t>Nelfinavir medicamentosas.</w:t>
      </w:r>
      <w:r>
        <w:rPr>
          <w:color w:val="000000"/>
        </w:rPr>
        <w:tab/>
        <w:t>Ritonavir</w:t>
      </w:r>
    </w:p>
    <w:p w14:paraId="70835B30" w14:textId="77777777" w:rsidR="00924992" w:rsidRDefault="00924992">
      <w:pPr>
        <w:pStyle w:val="Bodytext20"/>
        <w:framePr w:w="3485" w:h="1325" w:wrap="none" w:hAnchor="page" w:x="683" w:y="3956"/>
        <w:ind w:left="1980"/>
      </w:pPr>
      <w:r>
        <w:rPr>
          <w:color w:val="000000"/>
        </w:rPr>
        <w:t>Saquinavir</w:t>
      </w:r>
    </w:p>
    <w:p w14:paraId="7A4E316D" w14:textId="77777777" w:rsidR="00924992" w:rsidRDefault="00924992">
      <w:pPr>
        <w:pStyle w:val="Bodytext20"/>
        <w:framePr w:w="3485" w:h="1325" w:wrap="none" w:hAnchor="page" w:x="683" w:y="3956"/>
        <w:ind w:left="1980"/>
      </w:pPr>
      <w:r>
        <w:rPr>
          <w:color w:val="000000"/>
        </w:rPr>
        <w:t>Lopinavir + ritonavir</w:t>
      </w:r>
    </w:p>
    <w:p w14:paraId="24CB1F81" w14:textId="77777777" w:rsidR="00924992" w:rsidRDefault="00924992">
      <w:pPr>
        <w:pStyle w:val="Bodytext20"/>
        <w:framePr w:w="3072" w:h="1541" w:wrap="none" w:hAnchor="page" w:x="4907" w:y="3956"/>
        <w:numPr>
          <w:ilvl w:val="0"/>
          <w:numId w:val="133"/>
        </w:numPr>
        <w:tabs>
          <w:tab w:val="left" w:pos="120"/>
        </w:tabs>
      </w:pPr>
      <w:bookmarkStart w:id="487" w:name="bookmark1933"/>
      <w:bookmarkEnd w:id="487"/>
      <w:r>
        <w:rPr>
          <w:color w:val="000000"/>
        </w:rPr>
        <w:t>Hiperglucemia/diabetes mellitus incluida la de comienzo reciente</w:t>
      </w:r>
    </w:p>
    <w:p w14:paraId="1F8469E9" w14:textId="77777777" w:rsidR="00924992" w:rsidRDefault="00924992">
      <w:pPr>
        <w:pStyle w:val="Bodytext20"/>
        <w:framePr w:w="3072" w:h="1541" w:wrap="none" w:hAnchor="page" w:x="4907" w:y="3956"/>
        <w:numPr>
          <w:ilvl w:val="0"/>
          <w:numId w:val="133"/>
        </w:numPr>
        <w:tabs>
          <w:tab w:val="left" w:pos="120"/>
        </w:tabs>
      </w:pPr>
      <w:bookmarkStart w:id="488" w:name="bookmark1934"/>
      <w:bookmarkEnd w:id="488"/>
      <w:r>
        <w:rPr>
          <w:color w:val="000000"/>
        </w:rPr>
        <w:t>Redistribución de la grasa corporal</w:t>
      </w:r>
    </w:p>
    <w:p w14:paraId="35DFE583" w14:textId="77777777" w:rsidR="00924992" w:rsidRDefault="00924992">
      <w:pPr>
        <w:pStyle w:val="Bodytext20"/>
        <w:framePr w:w="3072" w:h="1541" w:wrap="none" w:hAnchor="page" w:x="4907" w:y="3956"/>
        <w:numPr>
          <w:ilvl w:val="0"/>
          <w:numId w:val="133"/>
        </w:numPr>
        <w:tabs>
          <w:tab w:val="left" w:pos="120"/>
        </w:tabs>
      </w:pPr>
      <w:bookmarkStart w:id="489" w:name="bookmark1935"/>
      <w:bookmarkEnd w:id="489"/>
      <w:r>
        <w:rPr>
          <w:color w:val="000000"/>
        </w:rPr>
        <w:t>Hiperlipidemia/hipercolesterolemia</w:t>
      </w:r>
    </w:p>
    <w:p w14:paraId="6974B292" w14:textId="77777777" w:rsidR="00924992" w:rsidRDefault="00924992">
      <w:pPr>
        <w:pStyle w:val="Bodytext20"/>
        <w:framePr w:w="3072" w:h="1541" w:wrap="none" w:hAnchor="page" w:x="4907" w:y="3956"/>
        <w:numPr>
          <w:ilvl w:val="0"/>
          <w:numId w:val="133"/>
        </w:numPr>
        <w:tabs>
          <w:tab w:val="left" w:pos="110"/>
        </w:tabs>
      </w:pPr>
      <w:bookmarkStart w:id="490" w:name="bookmark1936"/>
      <w:bookmarkEnd w:id="490"/>
      <w:r>
        <w:rPr>
          <w:color w:val="000000"/>
        </w:rPr>
        <w:t>Náuseas, vómitos, diarrea</w:t>
      </w:r>
    </w:p>
    <w:p w14:paraId="3CF37F07" w14:textId="77777777" w:rsidR="00924992" w:rsidRDefault="00924992">
      <w:pPr>
        <w:pStyle w:val="Bodytext20"/>
        <w:framePr w:w="3072" w:h="1541" w:wrap="none" w:hAnchor="page" w:x="4907" w:y="3956"/>
        <w:numPr>
          <w:ilvl w:val="0"/>
          <w:numId w:val="133"/>
        </w:numPr>
        <w:tabs>
          <w:tab w:val="left" w:pos="106"/>
        </w:tabs>
      </w:pPr>
      <w:bookmarkStart w:id="491" w:name="bookmark1937"/>
      <w:bookmarkEnd w:id="491"/>
      <w:r>
        <w:rPr>
          <w:color w:val="000000"/>
        </w:rPr>
        <w:t>Aumento de los niveles de transaminasas del hígado</w:t>
      </w:r>
    </w:p>
    <w:p w14:paraId="645D1046" w14:textId="77777777" w:rsidR="00924992" w:rsidRDefault="00924992">
      <w:pPr>
        <w:pStyle w:val="Bodytext20"/>
        <w:framePr w:w="3754" w:h="6077" w:wrap="none" w:hAnchor="page" w:x="8267" w:y="716"/>
      </w:pPr>
      <w:r>
        <w:rPr>
          <w:color w:val="000000"/>
        </w:rPr>
        <w:t>Anticonvulsivos y psicotrópicos: son metabolizados por vías similares. Hay que medir en forma seriada las concentraciones séricas de los anticonvulsivos (fenobarbital, fenilhidantoína y carbamazepina).</w:t>
      </w:r>
    </w:p>
    <w:p w14:paraId="61463A60" w14:textId="77777777" w:rsidR="00924992" w:rsidRDefault="00924992">
      <w:pPr>
        <w:pStyle w:val="Bodytext20"/>
        <w:framePr w:w="3754" w:h="6077" w:wrap="none" w:hAnchor="page" w:x="8267" w:y="716"/>
      </w:pPr>
      <w:r>
        <w:rPr>
          <w:color w:val="000000"/>
        </w:rPr>
        <w:t>Agentes psicotrópicos: hay que vigilar cuidadosamente a los pacientes cuando se usan los medicamentos simultáneamente con inhibidores no nucleósidos de la transcriptasa inversa.</w:t>
      </w:r>
    </w:p>
    <w:p w14:paraId="5E3A52C2" w14:textId="77777777" w:rsidR="00924992" w:rsidRDefault="00924992">
      <w:pPr>
        <w:pStyle w:val="Bodytext20"/>
        <w:framePr w:w="3754" w:h="6077" w:wrap="none" w:hAnchor="page" w:x="8267" w:y="716"/>
      </w:pPr>
      <w:r>
        <w:rPr>
          <w:color w:val="000000"/>
        </w:rPr>
        <w:t>Anticonceptivos ingeribles: NNRTI puede disminuir las concentraciones plasmáticas de los anticonceptivos y otros anticonceptivos hormonales. Este tipo de productos ingeribles no deben constituir la única forma de control de la natalidad si lo usan las mujeres tratadas con inhibidores no nucleósidos de la transcriptasa inversa.</w:t>
      </w:r>
    </w:p>
    <w:p w14:paraId="7E85CD2A" w14:textId="77777777" w:rsidR="00924992" w:rsidRDefault="00924992">
      <w:pPr>
        <w:pStyle w:val="Bodytext20"/>
        <w:framePr w:w="3754" w:h="6077" w:wrap="none" w:hAnchor="page" w:x="8267" w:y="716"/>
      </w:pPr>
      <w:r>
        <w:rPr>
          <w:color w:val="000000"/>
        </w:rPr>
        <w:t>Fármacos metabolizados extensamente por el citocromo P450 3A (CYP 3A) del hígado. Posibilidad de múltiples interacciones Antes de administrarlos habrá que revisar con cuidado el perfil de la farmacoterapia del paciente e en busca de posibles interacciones medicamentosas.</w:t>
      </w:r>
    </w:p>
    <w:p w14:paraId="6E1CCBA7" w14:textId="77777777" w:rsidR="00924992" w:rsidRDefault="00924992">
      <w:pPr>
        <w:pStyle w:val="Bodytext20"/>
        <w:framePr w:w="3754" w:h="6077" w:wrap="none" w:hAnchor="page" w:x="8267" w:y="716"/>
      </w:pPr>
      <w:r>
        <w:rPr>
          <w:color w:val="000000"/>
        </w:rPr>
        <w:t>No se recomienda la administración de los inhibidores de proteasa simultáneamente con los fármacos siguientes: astemizol o terfenadina, antihistamínicos; cisaprida; derivados alcaloides del cornezuelo de centeno y algunos fármacos con acción en corazón (quinidina, amiodarona); agentes hipolipemiantes (simvastatina y</w:t>
      </w:r>
    </w:p>
    <w:p w14:paraId="61BDA832" w14:textId="77777777" w:rsidR="00924992" w:rsidRDefault="00924992">
      <w:pPr>
        <w:pStyle w:val="Bodytext80"/>
        <w:framePr w:w="192" w:h="4694" w:hRule="exact" w:wrap="none" w:hAnchor="page" w:x="12390" w:y="2209"/>
        <w:tabs>
          <w:tab w:val="left" w:pos="4378"/>
        </w:tabs>
        <w:textDirection w:val="tbRl"/>
        <w:rPr>
          <w:sz w:val="16"/>
          <w:szCs w:val="16"/>
        </w:rPr>
      </w:pPr>
      <w:r>
        <w:t>TERAPIA CON ANTIRRETROVÍRICOS</w:t>
      </w:r>
      <w:r>
        <w:tab/>
      </w:r>
      <w:r>
        <w:rPr>
          <w:sz w:val="16"/>
          <w:szCs w:val="16"/>
        </w:rPr>
        <w:t>779</w:t>
      </w:r>
    </w:p>
    <w:p w14:paraId="43EA80F9" w14:textId="77777777" w:rsidR="00924992" w:rsidRDefault="00924992">
      <w:pPr>
        <w:spacing w:line="360" w:lineRule="exact"/>
      </w:pPr>
    </w:p>
    <w:p w14:paraId="16629F22" w14:textId="77777777" w:rsidR="00924992" w:rsidRDefault="00924992">
      <w:pPr>
        <w:spacing w:line="360" w:lineRule="exact"/>
      </w:pPr>
    </w:p>
    <w:p w14:paraId="607FAA8D" w14:textId="77777777" w:rsidR="00924992" w:rsidRDefault="00924992">
      <w:pPr>
        <w:spacing w:line="360" w:lineRule="exact"/>
      </w:pPr>
    </w:p>
    <w:p w14:paraId="1CBEBCD7" w14:textId="77777777" w:rsidR="00924992" w:rsidRDefault="00924992">
      <w:pPr>
        <w:spacing w:line="360" w:lineRule="exact"/>
      </w:pPr>
    </w:p>
    <w:p w14:paraId="5C5F40DF" w14:textId="77777777" w:rsidR="00924992" w:rsidRDefault="00924992">
      <w:pPr>
        <w:spacing w:line="360" w:lineRule="exact"/>
      </w:pPr>
    </w:p>
    <w:p w14:paraId="4D4890C4" w14:textId="77777777" w:rsidR="00924992" w:rsidRDefault="00924992">
      <w:pPr>
        <w:spacing w:line="360" w:lineRule="exact"/>
      </w:pPr>
    </w:p>
    <w:p w14:paraId="73E67C4D" w14:textId="77777777" w:rsidR="00924992" w:rsidRDefault="00924992">
      <w:pPr>
        <w:spacing w:line="360" w:lineRule="exact"/>
      </w:pPr>
    </w:p>
    <w:p w14:paraId="6C3B92A7" w14:textId="77777777" w:rsidR="00924992" w:rsidRDefault="00924992">
      <w:pPr>
        <w:spacing w:line="360" w:lineRule="exact"/>
      </w:pPr>
    </w:p>
    <w:p w14:paraId="4475F419" w14:textId="77777777" w:rsidR="00924992" w:rsidRDefault="00924992">
      <w:pPr>
        <w:spacing w:line="360" w:lineRule="exact"/>
      </w:pPr>
    </w:p>
    <w:p w14:paraId="7C223E6B" w14:textId="77777777" w:rsidR="00924992" w:rsidRDefault="00924992">
      <w:pPr>
        <w:spacing w:line="360" w:lineRule="exact"/>
      </w:pPr>
    </w:p>
    <w:p w14:paraId="48C178D2" w14:textId="77777777" w:rsidR="00924992" w:rsidRDefault="00924992">
      <w:pPr>
        <w:spacing w:line="360" w:lineRule="exact"/>
      </w:pPr>
    </w:p>
    <w:p w14:paraId="4144E422" w14:textId="77777777" w:rsidR="00924992" w:rsidRDefault="00924992">
      <w:pPr>
        <w:spacing w:line="360" w:lineRule="exact"/>
      </w:pPr>
    </w:p>
    <w:p w14:paraId="0AF0D002" w14:textId="77777777" w:rsidR="00924992" w:rsidRDefault="00924992">
      <w:pPr>
        <w:spacing w:line="360" w:lineRule="exact"/>
      </w:pPr>
    </w:p>
    <w:p w14:paraId="5368A688" w14:textId="77777777" w:rsidR="00924992" w:rsidRDefault="00924992">
      <w:pPr>
        <w:spacing w:line="360" w:lineRule="exact"/>
      </w:pPr>
    </w:p>
    <w:p w14:paraId="70C98605" w14:textId="77777777" w:rsidR="00924992" w:rsidRDefault="00924992">
      <w:pPr>
        <w:spacing w:line="360" w:lineRule="exact"/>
      </w:pPr>
    </w:p>
    <w:p w14:paraId="7E276D1E" w14:textId="77777777" w:rsidR="00924992" w:rsidRDefault="00924992">
      <w:pPr>
        <w:spacing w:line="360" w:lineRule="exact"/>
      </w:pPr>
    </w:p>
    <w:p w14:paraId="4992091D" w14:textId="77777777" w:rsidR="00924992" w:rsidRDefault="00924992">
      <w:pPr>
        <w:spacing w:line="360" w:lineRule="exact"/>
      </w:pPr>
    </w:p>
    <w:p w14:paraId="02748910" w14:textId="77777777" w:rsidR="00924992" w:rsidRDefault="00924992">
      <w:pPr>
        <w:spacing w:line="360" w:lineRule="exact"/>
      </w:pPr>
    </w:p>
    <w:p w14:paraId="4BBAD107" w14:textId="77777777" w:rsidR="00924992" w:rsidRDefault="00924992">
      <w:pPr>
        <w:spacing w:after="421" w:line="1" w:lineRule="exact"/>
      </w:pPr>
    </w:p>
    <w:p w14:paraId="58F1C572" w14:textId="77777777" w:rsidR="00924992" w:rsidRDefault="00924992">
      <w:pPr>
        <w:spacing w:line="1" w:lineRule="exact"/>
        <w:sectPr w:rsidR="00924992" w:rsidSect="00924992">
          <w:headerReference w:type="even" r:id="rId333"/>
          <w:headerReference w:type="default" r:id="rId334"/>
          <w:footerReference w:type="even" r:id="rId335"/>
          <w:footerReference w:type="default" r:id="rId336"/>
          <w:footnotePr>
            <w:numFmt w:val="upperRoman"/>
          </w:footnotePr>
          <w:pgSz w:w="13022" w:h="8501" w:orient="landscape"/>
          <w:pgMar w:top="1094" w:right="441" w:bottom="370" w:left="662" w:header="666" w:footer="3" w:gutter="0"/>
          <w:cols w:space="720"/>
          <w:noEndnote/>
          <w:docGrid w:linePitch="360"/>
          <w15:footnoteColumns w:val="1"/>
        </w:sectPr>
      </w:pPr>
    </w:p>
    <w:p w14:paraId="4E309755" w14:textId="77777777" w:rsidR="00924992" w:rsidRDefault="00924992">
      <w:pPr>
        <w:pStyle w:val="Heading31"/>
        <w:keepNext/>
        <w:keepLines/>
        <w:framePr w:w="8194" w:h="322" w:wrap="none" w:hAnchor="page" w:x="2228" w:y="1"/>
        <w:rPr>
          <w:sz w:val="16"/>
          <w:szCs w:val="16"/>
        </w:rPr>
      </w:pPr>
      <w:bookmarkStart w:id="492" w:name="bookmark1938"/>
      <w:bookmarkStart w:id="493" w:name="bookmark1939"/>
      <w:bookmarkStart w:id="494" w:name="bookmark1940"/>
      <w:r>
        <w:rPr>
          <w:b w:val="0"/>
          <w:bCs w:val="0"/>
          <w:color w:val="000000"/>
        </w:rPr>
        <w:t xml:space="preserve">Cuadro 4-12. </w:t>
      </w:r>
      <w:r>
        <w:rPr>
          <w:color w:val="000000"/>
        </w:rPr>
        <w:t xml:space="preserve">Reacciones adversas frecuentes e interacciones medicamentosas </w:t>
      </w:r>
      <w:r>
        <w:rPr>
          <w:rFonts w:ascii="Times New Roman" w:eastAsia="Times New Roman" w:hAnsi="Times New Roman" w:cs="Times New Roman"/>
          <w:b w:val="0"/>
          <w:bCs w:val="0"/>
          <w:i/>
          <w:iCs/>
          <w:color w:val="000000"/>
          <w:w w:val="100"/>
          <w:sz w:val="16"/>
          <w:szCs w:val="16"/>
        </w:rPr>
        <w:t>continuación</w:t>
      </w:r>
      <w:bookmarkEnd w:id="492"/>
      <w:bookmarkEnd w:id="493"/>
      <w:bookmarkEnd w:id="494"/>
    </w:p>
    <w:p w14:paraId="392A6774" w14:textId="77777777" w:rsidR="00924992" w:rsidRDefault="00924992">
      <w:pPr>
        <w:pStyle w:val="Heading41"/>
        <w:keepNext/>
        <w:keepLines/>
        <w:framePr w:w="11150" w:h="298" w:wrap="none" w:hAnchor="page" w:x="644" w:y="351"/>
        <w:pBdr>
          <w:top w:val="single" w:sz="0" w:space="0" w:color="000000"/>
          <w:left w:val="single" w:sz="0" w:space="0" w:color="000000"/>
          <w:bottom w:val="single" w:sz="0" w:space="0" w:color="000000"/>
          <w:right w:val="single" w:sz="0" w:space="0" w:color="000000"/>
        </w:pBdr>
        <w:shd w:val="clear" w:color="auto" w:fill="000000"/>
      </w:pPr>
      <w:bookmarkStart w:id="495" w:name="bookmark1941"/>
      <w:bookmarkStart w:id="496" w:name="bookmark1942"/>
      <w:bookmarkStart w:id="497" w:name="bookmark1943"/>
      <w:r>
        <w:rPr>
          <w:color w:val="FFFFFF"/>
        </w:rPr>
        <w:t>Clase de fármacos Nombre del fármaco Reacciones adversas frecuentes Interacciones medicamentosas frecuentes</w:t>
      </w:r>
      <w:bookmarkEnd w:id="495"/>
      <w:bookmarkEnd w:id="496"/>
      <w:bookmarkEnd w:id="497"/>
    </w:p>
    <w:p w14:paraId="2ACFA33C" w14:textId="77777777" w:rsidR="00924992" w:rsidRDefault="00924992">
      <w:pPr>
        <w:pStyle w:val="Bodytext20"/>
        <w:framePr w:w="3744" w:h="6077" w:wrap="none" w:hAnchor="page" w:x="8257" w:y="716"/>
      </w:pPr>
      <w:r>
        <w:rPr>
          <w:color w:val="000000"/>
        </w:rPr>
        <w:t>lovastatina); yerba de San Juan, o sedantes- hipnóticos (midazolam y triazolam).</w:t>
      </w:r>
    </w:p>
    <w:p w14:paraId="7AB60352" w14:textId="77777777" w:rsidR="00924992" w:rsidRDefault="00924992">
      <w:pPr>
        <w:pStyle w:val="Bodytext20"/>
        <w:framePr w:w="3744" w:h="6077" w:wrap="none" w:hAnchor="page" w:x="8257" w:y="716"/>
      </w:pPr>
      <w:r>
        <w:rPr>
          <w:color w:val="000000"/>
        </w:rPr>
        <w:t>Las concentraciones de los inhibidores de proteasa disminuyen enormemente si se usan junto con la rifampicina, por lo que no se recomienda tal combinación simultánea.</w:t>
      </w:r>
    </w:p>
    <w:p w14:paraId="33AA486A" w14:textId="77777777" w:rsidR="00924992" w:rsidRDefault="00924992">
      <w:pPr>
        <w:pStyle w:val="Bodytext20"/>
        <w:framePr w:w="3744" w:h="6077" w:wrap="none" w:hAnchor="page" w:x="8257" w:y="716"/>
      </w:pPr>
      <w:r>
        <w:rPr>
          <w:color w:val="000000"/>
        </w:rPr>
        <w:t>La rifabutina origina una menor disminución de las concentraciones de los inhibidores de proteasa; si se administra simultáneamente con los inhibidores habrá que disminuir la rifabutina a la mitad de la dosis usual.</w:t>
      </w:r>
    </w:p>
    <w:p w14:paraId="26A8EC71" w14:textId="77777777" w:rsidR="00924992" w:rsidRDefault="00924992">
      <w:pPr>
        <w:pStyle w:val="Bodytext20"/>
        <w:framePr w:w="3744" w:h="6077" w:wrap="none" w:hAnchor="page" w:x="8257" w:y="716"/>
      </w:pPr>
      <w:r>
        <w:rPr>
          <w:color w:val="000000"/>
        </w:rPr>
        <w:t>El jugo de toronja puede incrementar o disminuir sustancialmente las concentraciones séricas de inhibidores de proteasas.</w:t>
      </w:r>
    </w:p>
    <w:p w14:paraId="39836E0A" w14:textId="77777777" w:rsidR="00924992" w:rsidRDefault="00924992">
      <w:pPr>
        <w:pStyle w:val="Bodytext20"/>
        <w:framePr w:w="3744" w:h="6077" w:wrap="none" w:hAnchor="page" w:x="8257" w:y="716"/>
      </w:pPr>
      <w:r>
        <w:rPr>
          <w:color w:val="000000"/>
        </w:rPr>
        <w:t>Las concentraciones de claritromicina pueden aumentar si se utiliza simultáneamente con los inhibidores de proteasa.</w:t>
      </w:r>
    </w:p>
    <w:p w14:paraId="022137F3" w14:textId="77777777" w:rsidR="00924992" w:rsidRDefault="00924992">
      <w:pPr>
        <w:pStyle w:val="Bodytext20"/>
        <w:framePr w:w="3744" w:h="6077" w:wrap="none" w:hAnchor="page" w:x="8257" w:y="716"/>
      </w:pPr>
      <w:r>
        <w:rPr>
          <w:color w:val="000000"/>
        </w:rPr>
        <w:t>Las concentraciones de sildenafil aumentan si se usa en niños que también reciben inhibidores de proteasa.</w:t>
      </w:r>
    </w:p>
    <w:p w14:paraId="4F6C0F3D" w14:textId="77777777" w:rsidR="00924992" w:rsidRDefault="00924992">
      <w:pPr>
        <w:pStyle w:val="Bodytext20"/>
        <w:framePr w:w="3744" w:h="6077" w:wrap="none" w:hAnchor="page" w:x="8257" w:y="716"/>
      </w:pPr>
      <w:r>
        <w:rPr>
          <w:color w:val="000000"/>
        </w:rPr>
        <w:t>La administración simultánea de ketoconazol e inhibidores de proteasa puede hacer que aumenten las concentraciones de estos últimos o las del ketoconazol.</w:t>
      </w:r>
    </w:p>
    <w:p w14:paraId="7F916635" w14:textId="77777777" w:rsidR="00924992" w:rsidRDefault="00924992">
      <w:pPr>
        <w:pStyle w:val="Bodytext20"/>
        <w:framePr w:w="3744" w:h="6077" w:wrap="none" w:hAnchor="page" w:x="8257" w:y="716"/>
      </w:pPr>
      <w:r>
        <w:rPr>
          <w:color w:val="000000"/>
        </w:rPr>
        <w:t>Los inhibidores de proteasas disminuyen las concentraciones de estradiol y hay que recurrir a otros métodos alternativos de control de la natalidad si se administran concomitantemente con productos hormonales con tal acción.</w:t>
      </w:r>
    </w:p>
    <w:p w14:paraId="080B084D" w14:textId="77777777" w:rsidR="00924992" w:rsidRDefault="00924992">
      <w:pPr>
        <w:pStyle w:val="Bodytext80"/>
        <w:framePr w:w="192" w:h="4694" w:hRule="exact" w:wrap="none" w:hAnchor="page" w:x="12390" w:y="39"/>
        <w:tabs>
          <w:tab w:val="left" w:pos="2165"/>
        </w:tabs>
        <w:textDirection w:val="tbRl"/>
      </w:pPr>
      <w:r>
        <w:rPr>
          <w:sz w:val="16"/>
          <w:szCs w:val="16"/>
        </w:rPr>
        <w:t>780</w:t>
      </w:r>
      <w:r>
        <w:rPr>
          <w:sz w:val="16"/>
          <w:szCs w:val="16"/>
        </w:rPr>
        <w:tab/>
      </w:r>
      <w:r>
        <w:t>TERAPIA CON ANTIRRETROVÍRICOS</w:t>
      </w:r>
    </w:p>
    <w:p w14:paraId="2A4A2DFE" w14:textId="77777777" w:rsidR="00924992" w:rsidRDefault="00924992">
      <w:pPr>
        <w:spacing w:line="360" w:lineRule="exact"/>
      </w:pPr>
    </w:p>
    <w:p w14:paraId="7AD32FB4" w14:textId="77777777" w:rsidR="00924992" w:rsidRDefault="00924992">
      <w:pPr>
        <w:spacing w:line="360" w:lineRule="exact"/>
      </w:pPr>
    </w:p>
    <w:p w14:paraId="12DA02B5" w14:textId="77777777" w:rsidR="00924992" w:rsidRDefault="00924992">
      <w:pPr>
        <w:spacing w:line="360" w:lineRule="exact"/>
      </w:pPr>
    </w:p>
    <w:p w14:paraId="50A68609" w14:textId="77777777" w:rsidR="00924992" w:rsidRDefault="00924992">
      <w:pPr>
        <w:spacing w:line="360" w:lineRule="exact"/>
      </w:pPr>
    </w:p>
    <w:p w14:paraId="1F70EE86" w14:textId="77777777" w:rsidR="00924992" w:rsidRDefault="00924992">
      <w:pPr>
        <w:spacing w:line="360" w:lineRule="exact"/>
      </w:pPr>
    </w:p>
    <w:p w14:paraId="4A7B49B2" w14:textId="77777777" w:rsidR="00924992" w:rsidRDefault="00924992">
      <w:pPr>
        <w:spacing w:line="360" w:lineRule="exact"/>
      </w:pPr>
    </w:p>
    <w:p w14:paraId="76C70249" w14:textId="77777777" w:rsidR="00924992" w:rsidRDefault="00924992">
      <w:pPr>
        <w:spacing w:line="360" w:lineRule="exact"/>
      </w:pPr>
    </w:p>
    <w:p w14:paraId="4BAF9571" w14:textId="77777777" w:rsidR="00924992" w:rsidRDefault="00924992">
      <w:pPr>
        <w:spacing w:line="360" w:lineRule="exact"/>
      </w:pPr>
    </w:p>
    <w:p w14:paraId="2A04F1AF" w14:textId="77777777" w:rsidR="00924992" w:rsidRDefault="00924992">
      <w:pPr>
        <w:spacing w:line="360" w:lineRule="exact"/>
      </w:pPr>
    </w:p>
    <w:p w14:paraId="1AB8940D" w14:textId="77777777" w:rsidR="00924992" w:rsidRDefault="00924992">
      <w:pPr>
        <w:spacing w:line="360" w:lineRule="exact"/>
      </w:pPr>
    </w:p>
    <w:p w14:paraId="36148985" w14:textId="77777777" w:rsidR="00924992" w:rsidRDefault="00924992">
      <w:pPr>
        <w:spacing w:line="360" w:lineRule="exact"/>
      </w:pPr>
    </w:p>
    <w:p w14:paraId="4CEC8224" w14:textId="77777777" w:rsidR="00924992" w:rsidRDefault="00924992">
      <w:pPr>
        <w:spacing w:line="360" w:lineRule="exact"/>
      </w:pPr>
    </w:p>
    <w:p w14:paraId="28497C37" w14:textId="77777777" w:rsidR="00924992" w:rsidRDefault="00924992">
      <w:pPr>
        <w:spacing w:line="360" w:lineRule="exact"/>
      </w:pPr>
    </w:p>
    <w:p w14:paraId="262F1B5B" w14:textId="77777777" w:rsidR="00924992" w:rsidRDefault="00924992">
      <w:pPr>
        <w:spacing w:line="360" w:lineRule="exact"/>
      </w:pPr>
    </w:p>
    <w:p w14:paraId="78392F92" w14:textId="77777777" w:rsidR="00924992" w:rsidRDefault="00924992">
      <w:pPr>
        <w:spacing w:line="360" w:lineRule="exact"/>
      </w:pPr>
    </w:p>
    <w:p w14:paraId="44E2F91D" w14:textId="77777777" w:rsidR="00924992" w:rsidRDefault="00924992">
      <w:pPr>
        <w:spacing w:line="360" w:lineRule="exact"/>
      </w:pPr>
    </w:p>
    <w:p w14:paraId="527B97CA" w14:textId="77777777" w:rsidR="00924992" w:rsidRDefault="00924992">
      <w:pPr>
        <w:spacing w:line="360" w:lineRule="exact"/>
      </w:pPr>
    </w:p>
    <w:p w14:paraId="6A7AFA72" w14:textId="77777777" w:rsidR="00924992" w:rsidRDefault="00924992">
      <w:pPr>
        <w:spacing w:after="671" w:line="1" w:lineRule="exact"/>
      </w:pPr>
    </w:p>
    <w:p w14:paraId="0AE6CDFF" w14:textId="77777777" w:rsidR="00924992" w:rsidRDefault="00924992">
      <w:pPr>
        <w:spacing w:line="1" w:lineRule="exact"/>
        <w:sectPr w:rsidR="00924992" w:rsidSect="00924992">
          <w:footnotePr>
            <w:numFmt w:val="upperRoman"/>
          </w:footnotePr>
          <w:pgSz w:w="13022" w:h="8501" w:orient="landscape"/>
          <w:pgMar w:top="466" w:right="441" w:bottom="995" w:left="643" w:header="38" w:footer="3" w:gutter="0"/>
          <w:cols w:space="720"/>
          <w:noEndnote/>
          <w:docGrid w:linePitch="360"/>
          <w15:footnoteColumns w:val="1"/>
        </w:sectPr>
      </w:pPr>
    </w:p>
    <w:p w14:paraId="5379564D" w14:textId="77777777" w:rsidR="00924992" w:rsidRDefault="00924992">
      <w:pPr>
        <w:spacing w:line="1" w:lineRule="exact"/>
      </w:pPr>
      <w:r>
        <w:rPr>
          <w:noProof/>
        </w:rPr>
        <mc:AlternateContent>
          <mc:Choice Requires="wps">
            <w:drawing>
              <wp:anchor distT="0" distB="0" distL="114300" distR="114300" simplePos="0" relativeHeight="251688960" behindDoc="0" locked="0" layoutInCell="1" allowOverlap="1" wp14:anchorId="4314AF44" wp14:editId="0B948964">
                <wp:simplePos x="0" y="0"/>
                <wp:positionH relativeFrom="page">
                  <wp:posOffset>7867015</wp:posOffset>
                </wp:positionH>
                <wp:positionV relativeFrom="paragraph">
                  <wp:posOffset>1410970</wp:posOffset>
                </wp:positionV>
                <wp:extent cx="121920" cy="2965450"/>
                <wp:effectExtent l="0" t="0" r="0" b="0"/>
                <wp:wrapSquare wrapText="bothSides"/>
                <wp:docPr id="2333" name="Shape 2333"/>
                <wp:cNvGraphicFramePr/>
                <a:graphic xmlns:a="http://schemas.openxmlformats.org/drawingml/2006/main">
                  <a:graphicData uri="http://schemas.microsoft.com/office/word/2010/wordprocessingShape">
                    <wps:wsp>
                      <wps:cNvSpPr txBox="1"/>
                      <wps:spPr>
                        <a:xfrm>
                          <a:off x="0" y="0"/>
                          <a:ext cx="121920" cy="2965450"/>
                        </a:xfrm>
                        <a:prstGeom prst="rect">
                          <a:avLst/>
                        </a:prstGeom>
                        <a:noFill/>
                      </wps:spPr>
                      <wps:txbx>
                        <w:txbxContent>
                          <w:p w14:paraId="7895E75C" w14:textId="77777777" w:rsidR="00924992" w:rsidRDefault="00924992">
                            <w:pPr>
                              <w:pStyle w:val="Bodytext80"/>
                              <w:tabs>
                                <w:tab w:val="left" w:pos="4378"/>
                              </w:tabs>
                              <w:rPr>
                                <w:sz w:val="16"/>
                                <w:szCs w:val="16"/>
                              </w:rPr>
                            </w:pPr>
                            <w:r>
                              <w:t>TERAPIA CON ANTIRRETROVÍRICOS</w:t>
                            </w:r>
                            <w:r>
                              <w:tab/>
                            </w:r>
                            <w:r>
                              <w:rPr>
                                <w:sz w:val="16"/>
                                <w:szCs w:val="16"/>
                              </w:rPr>
                              <w:t>781</w:t>
                            </w:r>
                          </w:p>
                        </w:txbxContent>
                      </wps:txbx>
                      <wps:bodyPr vert="vert" lIns="0" tIns="0" rIns="0" bIns="0" upright="1"/>
                    </wps:wsp>
                  </a:graphicData>
                </a:graphic>
              </wp:anchor>
            </w:drawing>
          </mc:Choice>
          <mc:Fallback>
            <w:pict>
              <v:shape w14:anchorId="4314AF44" id="Shape 2333" o:spid="_x0000_s1056" type="#_x0000_t202" style="position:absolute;margin-left:619.45pt;margin-top:111.1pt;width:9.6pt;height:233.5pt;z-index:251688960;visibility:visible;mso-wrap-style:square;mso-wrap-distance-left:9pt;mso-wrap-distance-top:0;mso-wrap-distance-right:9pt;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" filled="f" stroked="f">
                <v:textbox style="layout-flow:vertical" inset="0,0,0,0">
                  <w:txbxContent>
                    <w:p w14:paraId="7895E75C" w14:textId="77777777" w:rsidR="00924992" w:rsidRDefault="00924992">
                      <w:pPr>
                        <w:pStyle w:val="Bodytext80"/>
                        <w:tabs>
                          <w:tab w:val="left" w:pos="4378"/>
                        </w:tabs>
                        <w:rPr>
                          <w:sz w:val="16"/>
                          <w:szCs w:val="16"/>
                        </w:rPr>
                      </w:pPr>
                      <w:r>
                        <w:t>TERAPIA CON ANTIRRETROVÍRICOS</w:t>
                      </w:r>
                      <w:r>
                        <w:tab/>
                      </w:r>
                      <w:r>
                        <w:rPr>
                          <w:sz w:val="16"/>
                          <w:szCs w:val="16"/>
                        </w:rPr>
                        <w:t>781</w:t>
                      </w:r>
                    </w:p>
                  </w:txbxContent>
                </v:textbox>
                <w10:wrap type="square" anchorx="page"/>
              </v:shape>
            </w:pict>
          </mc:Fallback>
        </mc:AlternateContent>
      </w:r>
    </w:p>
    <w:p w14:paraId="70F09752" w14:textId="77777777" w:rsidR="00924992" w:rsidRDefault="00924992">
      <w:pPr>
        <w:pStyle w:val="Heading31"/>
        <w:keepNext/>
        <w:keepLines/>
        <w:spacing w:after="60"/>
        <w:jc w:val="center"/>
        <w:rPr>
          <w:sz w:val="16"/>
          <w:szCs w:val="16"/>
        </w:rPr>
      </w:pPr>
      <w:bookmarkStart w:id="498" w:name="bookmark1944"/>
      <w:bookmarkStart w:id="499" w:name="bookmark1945"/>
      <w:bookmarkStart w:id="500" w:name="bookmark1946"/>
      <w:r>
        <w:rPr>
          <w:b w:val="0"/>
          <w:bCs w:val="0"/>
          <w:color w:val="000000"/>
        </w:rPr>
        <w:t xml:space="preserve">Cuadro 4-12. </w:t>
      </w:r>
      <w:r>
        <w:rPr>
          <w:color w:val="000000"/>
        </w:rPr>
        <w:t xml:space="preserve">Reacciones adversas frecuentes e interacciones medicamentosas </w:t>
      </w:r>
      <w:r>
        <w:rPr>
          <w:rFonts w:ascii="Times New Roman" w:eastAsia="Times New Roman" w:hAnsi="Times New Roman" w:cs="Times New Roman"/>
          <w:b w:val="0"/>
          <w:bCs w:val="0"/>
          <w:i/>
          <w:iCs/>
          <w:color w:val="000000"/>
          <w:w w:val="100"/>
          <w:sz w:val="16"/>
          <w:szCs w:val="16"/>
        </w:rPr>
        <w:t>continuación</w:t>
      </w:r>
      <w:bookmarkEnd w:id="498"/>
      <w:bookmarkEnd w:id="499"/>
      <w:bookmarkEnd w:id="500"/>
    </w:p>
    <w:p w14:paraId="58EA0C57" w14:textId="77777777" w:rsidR="00924992" w:rsidRDefault="00924992">
      <w:pPr>
        <w:pStyle w:val="Heading41"/>
        <w:keepNext/>
        <w:keepLines/>
        <w:pBdr>
          <w:top w:val="single" w:sz="0" w:space="0" w:color="000000"/>
          <w:left w:val="single" w:sz="0" w:space="0" w:color="000000"/>
          <w:bottom w:val="single" w:sz="0" w:space="3" w:color="000000"/>
          <w:right w:val="single" w:sz="0" w:space="0" w:color="000000"/>
        </w:pBdr>
        <w:shd w:val="clear" w:color="auto" w:fill="000000"/>
        <w:jc w:val="both"/>
      </w:pPr>
      <w:bookmarkStart w:id="501" w:name="bookmark1947"/>
      <w:bookmarkStart w:id="502" w:name="bookmark1948"/>
      <w:bookmarkStart w:id="503" w:name="bookmark1949"/>
      <w:r>
        <w:rPr>
          <w:color w:val="FFFFFF"/>
        </w:rPr>
        <w:t>Clase de fármacos Nombre del fármaco Reacciones adversas frecuentes Interacciones medicamentosas frecuentes</w:t>
      </w:r>
      <w:bookmarkEnd w:id="501"/>
      <w:bookmarkEnd w:id="502"/>
      <w:bookmarkEnd w:id="503"/>
    </w:p>
    <w:p w14:paraId="25E840A5" w14:textId="77777777" w:rsidR="00924992" w:rsidRDefault="00924992">
      <w:pPr>
        <w:pStyle w:val="Bodytext20"/>
        <w:pBdr>
          <w:bottom w:val="single" w:sz="4" w:space="0" w:color="auto"/>
        </w:pBdr>
        <w:spacing w:after="180"/>
        <w:ind w:left="7720" w:hanging="100"/>
      </w:pPr>
      <w:r>
        <w:rPr>
          <w:color w:val="000000"/>
        </w:rPr>
        <w:t>La administración simultánea de efavirenz disminuye las concentraciones de saquinavir, amprenavir e indinavir y aumentan las de ritonavir y nelfinavir. La administración simultánea de nevirapina hace que disminuyan las concentraciones de los inhibidores de proteasa. También cuando se utilizan junto con los inhibidores pueden disminuir las concentraciones de NNRTI. La administración conjunta de delavirdina e inhibidores de proteasa hace que aumenten las concentraciones de estos últimos.</w:t>
      </w:r>
    </w:p>
    <w:p w14:paraId="5A04C804" w14:textId="77777777" w:rsidR="00924992" w:rsidRDefault="00924992">
      <w:pPr>
        <w:pStyle w:val="Bodytext20"/>
        <w:spacing w:after="120" w:line="240" w:lineRule="auto"/>
        <w:ind w:left="200"/>
        <w:jc w:val="both"/>
        <w:rPr>
          <w:sz w:val="15"/>
          <w:szCs w:val="15"/>
        </w:rPr>
        <w:sectPr w:rsidR="00924992" w:rsidSect="00924992">
          <w:headerReference w:type="even" r:id="rId337"/>
          <w:headerReference w:type="default" r:id="rId338"/>
          <w:footerReference w:type="even" r:id="rId339"/>
          <w:footerReference w:type="default" r:id="rId340"/>
          <w:footnotePr>
            <w:numFmt w:val="upperRoman"/>
          </w:footnotePr>
          <w:pgSz w:w="13022" w:h="8501" w:orient="landscape"/>
          <w:pgMar w:top="1080" w:right="998" w:bottom="328" w:left="667" w:header="0" w:footer="3" w:gutter="0"/>
          <w:cols w:space="720"/>
          <w:noEndnote/>
          <w:docGrid w:linePitch="360"/>
          <w15:footnoteColumns w:val="1"/>
        </w:sectPr>
      </w:pPr>
      <w:r>
        <w:rPr>
          <w:color w:val="000000"/>
          <w:sz w:val="15"/>
          <w:szCs w:val="15"/>
        </w:rPr>
        <w:t xml:space="preserve">NRTI, inhibidores nucleósidos/nucleótidos de la transcriptasa inversa </w:t>
      </w:r>
      <w:r>
        <w:rPr>
          <w:i/>
          <w:iCs/>
          <w:color w:val="000000"/>
          <w:sz w:val="15"/>
          <w:szCs w:val="15"/>
        </w:rPr>
        <w:t>(nucleoside/nucleotide reverse transcriptase inhibitors);</w:t>
      </w:r>
      <w:r>
        <w:rPr>
          <w:color w:val="000000"/>
          <w:sz w:val="15"/>
          <w:szCs w:val="15"/>
        </w:rPr>
        <w:t xml:space="preserve"> NNRTI, inhibidores no nucleósidos de la transcriptasa inversa </w:t>
      </w:r>
      <w:r>
        <w:rPr>
          <w:i/>
          <w:iCs/>
          <w:color w:val="000000"/>
          <w:sz w:val="15"/>
          <w:szCs w:val="15"/>
        </w:rPr>
        <w:t>(nonnucleoside reverse transcriptase inhibitors');</w:t>
      </w:r>
      <w:r>
        <w:rPr>
          <w:color w:val="000000"/>
          <w:sz w:val="15"/>
          <w:szCs w:val="15"/>
        </w:rPr>
        <w:t xml:space="preserve"> PI, inhibidores de proteasa </w:t>
      </w:r>
      <w:r>
        <w:rPr>
          <w:i/>
          <w:iCs/>
          <w:color w:val="000000"/>
          <w:sz w:val="15"/>
          <w:szCs w:val="15"/>
        </w:rPr>
        <w:t>(protease inhibitors).</w:t>
      </w:r>
    </w:p>
    <w:p w14:paraId="047A25A3" w14:textId="77777777" w:rsidR="00924992" w:rsidRDefault="00924992">
      <w:pPr>
        <w:pStyle w:val="Bodytext100"/>
      </w:pPr>
      <w:r>
        <w:rPr>
          <w:color w:val="000000"/>
        </w:rPr>
        <w:t>Fármacos antiparasitarios</w:t>
      </w:r>
    </w:p>
    <w:p w14:paraId="5D028C12" w14:textId="77777777" w:rsidR="00924992" w:rsidRDefault="00924992">
      <w:pPr>
        <w:pStyle w:val="BodyText"/>
        <w:ind w:firstLine="0"/>
      </w:pPr>
      <w:r>
        <w:rPr>
          <w:color w:val="000000"/>
        </w:rPr>
        <w:t xml:space="preserve">Los cuadros siguientes (4-13 y 4-14) han sido reproducidos de </w:t>
      </w:r>
      <w:r>
        <w:rPr>
          <w:rFonts w:ascii="Times New Roman" w:eastAsia="Times New Roman" w:hAnsi="Times New Roman" w:cs="Times New Roman"/>
          <w:i/>
          <w:iCs/>
          <w:color w:val="000000"/>
          <w:sz w:val="16"/>
          <w:szCs w:val="16"/>
        </w:rPr>
        <w:t xml:space="preserve">The Medical Letter. * </w:t>
      </w:r>
      <w:r>
        <w:rPr>
          <w:color w:val="000000"/>
        </w:rPr>
        <w:t xml:space="preserve">Incluyen recomendaciones que probablemente coincidan en muchos casos con las del Comité de Enfermedades Infecciosas, tal como se señala en los resúmenes dedicados a ellas en la sección 3. Sin embargo, las recomendaciones de dicha publicación han sido elaboradas independientemente y por ello a veces difieren de las del Comité mencionado. Por tal motivo, habría que consultar a ambas. El Comité agradece a </w:t>
      </w:r>
      <w:r>
        <w:rPr>
          <w:rFonts w:ascii="Times New Roman" w:eastAsia="Times New Roman" w:hAnsi="Times New Roman" w:cs="Times New Roman"/>
          <w:i/>
          <w:iCs/>
          <w:color w:val="000000"/>
          <w:sz w:val="16"/>
          <w:szCs w:val="16"/>
        </w:rPr>
        <w:t xml:space="preserve">The Medical Letter </w:t>
      </w:r>
      <w:r>
        <w:rPr>
          <w:color w:val="000000"/>
        </w:rPr>
        <w:t>su cortesía de permitir la reimpresión de los cuadros.</w:t>
      </w:r>
    </w:p>
    <w:p w14:paraId="45C46EAC" w14:textId="77777777" w:rsidR="00924992" w:rsidRDefault="00924992">
      <w:pPr>
        <w:pStyle w:val="BodyText"/>
        <w:ind w:firstLine="340"/>
      </w:pPr>
      <w:r>
        <w:rPr>
          <w:color w:val="000000"/>
        </w:rPr>
        <w:t>En el cuadro 4-13 se incluyen fármacos de primera línea y alternativos con las dosis recomendadas para adultos y niños contra casi todas las parasitosis. En cada caso, habrá que comparar la necesidad del tratamiento con los efectos tóxicos de los fármacos. En ocasiones tal vez lo más indicado sea no emprender el tratamiento, particularmente si los medicamentos pueden originar efectos adversos graves. Cuando inicialmente el fármaco de primera línea no surte efecto y es más peligroso recurrir a los alternativos, quizá sea prudente un nuevo ciclo terapéutico con el primer medicamento antes de recurrir a los otros.</w:t>
      </w:r>
    </w:p>
    <w:p w14:paraId="1BD6980D" w14:textId="77777777" w:rsidR="00924992" w:rsidRDefault="00924992">
      <w:pPr>
        <w:pStyle w:val="BodyText"/>
        <w:ind w:firstLine="340"/>
      </w:pPr>
      <w:r>
        <w:rPr>
          <w:color w:val="000000"/>
        </w:rPr>
        <w:t xml:space="preserve">Algunos fármacos que se recomiendan en el cuadro 4-13 no han sido aprobados por la </w:t>
      </w:r>
      <w:r>
        <w:rPr>
          <w:rFonts w:ascii="Times New Roman" w:eastAsia="Times New Roman" w:hAnsi="Times New Roman" w:cs="Times New Roman"/>
          <w:i/>
          <w:iCs/>
          <w:color w:val="000000"/>
          <w:sz w:val="16"/>
          <w:szCs w:val="16"/>
        </w:rPr>
        <w:t>Food and Drug Administration,</w:t>
      </w:r>
      <w:r>
        <w:rPr>
          <w:color w:val="000000"/>
        </w:rPr>
        <w:t xml:space="preserve"> por lo que están en fase de investigación (consultar los pies de cuadro). El médico, si receta o administra un fármaco no aprobado, debe informar al enfermo que se trata de un producto en investigación y también de sus efectos adversos.</w:t>
      </w:r>
    </w:p>
    <w:p w14:paraId="1293DCDA" w14:textId="77777777" w:rsidR="00924992" w:rsidRDefault="00924992">
      <w:pPr>
        <w:pStyle w:val="BodyText"/>
        <w:spacing w:after="4820"/>
        <w:ind w:firstLine="340"/>
      </w:pPr>
      <w:r>
        <w:rPr>
          <w:color w:val="000000"/>
        </w:rPr>
        <w:t xml:space="preserve">Estas recomendaciones son actualizadas periódicamente (en general cada segundo año) por </w:t>
      </w:r>
      <w:r>
        <w:rPr>
          <w:rFonts w:ascii="Times New Roman" w:eastAsia="Times New Roman" w:hAnsi="Times New Roman" w:cs="Times New Roman"/>
          <w:i/>
          <w:iCs/>
          <w:color w:val="000000"/>
          <w:sz w:val="16"/>
          <w:szCs w:val="16"/>
        </w:rPr>
        <w:t>The Medical Letter,</w:t>
      </w:r>
      <w:r>
        <w:rPr>
          <w:color w:val="000000"/>
        </w:rPr>
        <w:t xml:space="preserve"> por lo que es probable que algunas de las más recientes salgan a la luz pública antes de que se publique la siguiente edición del </w:t>
      </w:r>
      <w:r>
        <w:rPr>
          <w:rFonts w:ascii="Times New Roman" w:eastAsia="Times New Roman" w:hAnsi="Times New Roman" w:cs="Times New Roman"/>
          <w:i/>
          <w:iCs/>
          <w:color w:val="000000"/>
          <w:sz w:val="16"/>
          <w:szCs w:val="16"/>
        </w:rPr>
        <w:t xml:space="preserve">Red Book </w:t>
      </w:r>
      <w:r>
        <w:rPr>
          <w:color w:val="000000"/>
        </w:rPr>
        <w:t>(</w:t>
      </w:r>
      <w:hyperlink r:id="rId341" w:history="1">
        <w:r>
          <w:rPr>
            <w:color w:val="000000"/>
          </w:rPr>
          <w:t>www.medletter.com</w:t>
        </w:r>
      </w:hyperlink>
      <w:r>
        <w:rPr>
          <w:color w:val="000000"/>
        </w:rPr>
        <w:t>).</w:t>
      </w:r>
    </w:p>
    <w:p w14:paraId="4D8C5E87" w14:textId="77777777" w:rsidR="00924992" w:rsidRDefault="00924992">
      <w:pPr>
        <w:pStyle w:val="Bodytext20"/>
        <w:spacing w:line="240" w:lineRule="auto"/>
        <w:rPr>
          <w:sz w:val="15"/>
          <w:szCs w:val="15"/>
        </w:rPr>
        <w:sectPr w:rsidR="00924992" w:rsidSect="00924992">
          <w:footnotePr>
            <w:numFmt w:val="upperRoman"/>
          </w:footnotePr>
          <w:pgSz w:w="8501" w:h="13022"/>
          <w:pgMar w:top="1066" w:right="1123" w:bottom="552" w:left="509" w:header="0" w:footer="3" w:gutter="0"/>
          <w:cols w:space="720"/>
          <w:noEndnote/>
          <w:docGrid w:linePitch="360"/>
          <w15:footnoteColumns w:val="1"/>
        </w:sectPr>
      </w:pPr>
      <w:r>
        <w:rPr>
          <w:color w:val="000000"/>
          <w:sz w:val="15"/>
          <w:szCs w:val="15"/>
        </w:rPr>
        <w:t xml:space="preserve">Reimpreso con permiso de </w:t>
      </w:r>
      <w:r>
        <w:rPr>
          <w:i/>
          <w:iCs/>
          <w:color w:val="000000"/>
          <w:sz w:val="15"/>
          <w:szCs w:val="15"/>
        </w:rPr>
        <w:t>The Medical Letter.</w:t>
      </w:r>
    </w:p>
    <w:p w14:paraId="1D1337E3" w14:textId="77777777" w:rsidR="00924992" w:rsidRDefault="00924992">
      <w:pPr>
        <w:spacing w:line="1" w:lineRule="exact"/>
      </w:pPr>
      <w:r>
        <w:rPr>
          <w:noProof/>
        </w:rPr>
        <mc:AlternateContent>
          <mc:Choice Requires="wps">
            <w:drawing>
              <wp:anchor distT="0" distB="12700" distL="114300" distR="114300" simplePos="0" relativeHeight="251689984" behindDoc="0" locked="0" layoutInCell="1" allowOverlap="1" wp14:anchorId="5C6771F5" wp14:editId="078B996D">
                <wp:simplePos x="0" y="0"/>
                <wp:positionH relativeFrom="page">
                  <wp:posOffset>408305</wp:posOffset>
                </wp:positionH>
                <wp:positionV relativeFrom="paragraph">
                  <wp:posOffset>1454150</wp:posOffset>
                </wp:positionV>
                <wp:extent cx="7159625" cy="838200"/>
                <wp:effectExtent l="0" t="0" r="0" b="0"/>
                <wp:wrapTopAndBottom/>
                <wp:docPr id="2338" name="Shape 2338"/>
                <wp:cNvGraphicFramePr/>
                <a:graphic xmlns:a="http://schemas.openxmlformats.org/drawingml/2006/main">
                  <a:graphicData uri="http://schemas.microsoft.com/office/word/2010/wordprocessingShape">
                    <wps:wsp>
                      <wps:cNvSpPr txBox="1"/>
                      <wps:spPr>
                        <a:xfrm>
                          <a:off x="0" y="0"/>
                          <a:ext cx="7159625" cy="838200"/>
                        </a:xfrm>
                        <a:prstGeom prst="rect">
                          <a:avLst/>
                        </a:prstGeom>
                        <a:noFill/>
                      </wps:spPr>
                      <wps:txbx>
                        <w:txbxContent>
                          <w:tbl>
                            <w:tblPr>
                              <w:tblOverlap w:val="never"/>
                              <w:tblW w:w="0" w:type="auto"/>
                              <w:tblLayout w:type="fixed"/>
                              <w:tblCellMar>
                                <w:left w:w="10" w:type="dxa"/>
                                <w:right w:w="10" w:type="dxa"/>
                              </w:tblCellMar>
                              <w:tblLook w:val="04A0" w:firstRow="1" w:lastRow="0" w:firstColumn="1" w:lastColumn="0" w:noHBand="0" w:noVBand="1"/>
                            </w:tblPr>
                            <w:tblGrid>
                              <w:gridCol w:w="2251"/>
                              <w:gridCol w:w="9024"/>
                            </w:tblGrid>
                            <w:tr w:rsidR="00924992" w14:paraId="707C1F9B" w14:textId="77777777">
                              <w:tblPrEx>
                                <w:tblCellMar>
                                  <w:top w:w="0" w:type="dxa"/>
                                  <w:bottom w:w="0" w:type="dxa"/>
                                </w:tblCellMar>
                              </w:tblPrEx>
                              <w:trPr>
                                <w:trHeight w:hRule="exact" w:val="437"/>
                                <w:tblHeader/>
                              </w:trPr>
                              <w:tc>
                                <w:tcPr>
                                  <w:tcW w:w="2251" w:type="dxa"/>
                                  <w:shd w:val="clear" w:color="auto" w:fill="FFFFFF"/>
                                </w:tcPr>
                                <w:p w14:paraId="1E10459A" w14:textId="77777777" w:rsidR="00924992" w:rsidRDefault="00924992">
                                  <w:pPr>
                                    <w:pStyle w:val="Other0"/>
                                    <w:spacing w:line="240" w:lineRule="auto"/>
                                    <w:ind w:firstLine="0"/>
                                    <w:rPr>
                                      <w:sz w:val="17"/>
                                      <w:szCs w:val="17"/>
                                    </w:rPr>
                                  </w:pPr>
                                  <w:r>
                                    <w:rPr>
                                      <w:rFonts w:ascii="Times New Roman" w:eastAsia="Times New Roman" w:hAnsi="Times New Roman" w:cs="Times New Roman"/>
                                      <w:b/>
                                      <w:bCs/>
                                      <w:i/>
                                      <w:iCs/>
                                      <w:color w:val="000000"/>
                                      <w:sz w:val="17"/>
                                      <w:szCs w:val="17"/>
                                    </w:rPr>
                                    <w:t>Naegleria</w:t>
                                  </w:r>
                                </w:p>
                                <w:p w14:paraId="714AE0BC" w14:textId="77777777" w:rsidR="00924992" w:rsidRDefault="00924992">
                                  <w:pPr>
                                    <w:pStyle w:val="Other0"/>
                                    <w:spacing w:line="240" w:lineRule="auto"/>
                                    <w:ind w:firstLine="140"/>
                                    <w:rPr>
                                      <w:sz w:val="16"/>
                                      <w:szCs w:val="16"/>
                                    </w:rPr>
                                  </w:pPr>
                                  <w:r>
                                    <w:rPr>
                                      <w:rFonts w:ascii="Times New Roman" w:eastAsia="Times New Roman" w:hAnsi="Times New Roman" w:cs="Times New Roman"/>
                                      <w:color w:val="000000"/>
                                      <w:sz w:val="16"/>
                                      <w:szCs w:val="16"/>
                                    </w:rPr>
                                    <w:t>Fármaco más indicado:</w:t>
                                  </w:r>
                                </w:p>
                              </w:tc>
                              <w:tc>
                                <w:tcPr>
                                  <w:tcW w:w="9024" w:type="dxa"/>
                                  <w:shd w:val="clear" w:color="auto" w:fill="FFFFFF"/>
                                  <w:vAlign w:val="bottom"/>
                                </w:tcPr>
                                <w:p w14:paraId="609C8A8D" w14:textId="77777777" w:rsidR="00924992" w:rsidRDefault="00924992">
                                  <w:pPr>
                                    <w:pStyle w:val="Other0"/>
                                    <w:tabs>
                                      <w:tab w:val="left" w:pos="3380"/>
                                    </w:tabs>
                                    <w:spacing w:line="240" w:lineRule="auto"/>
                                    <w:ind w:firstLine="620"/>
                                    <w:rPr>
                                      <w:sz w:val="16"/>
                                      <w:szCs w:val="16"/>
                                    </w:rPr>
                                  </w:pPr>
                                  <w:r>
                                    <w:rPr>
                                      <w:rFonts w:ascii="Times New Roman" w:eastAsia="Times New Roman" w:hAnsi="Times New Roman" w:cs="Times New Roman"/>
                                      <w:color w:val="000000"/>
                                      <w:sz w:val="16"/>
                                      <w:szCs w:val="16"/>
                                    </w:rPr>
                                    <w:t>Anfotericina B</w:t>
                                  </w:r>
                                  <w:r>
                                    <w:rPr>
                                      <w:rFonts w:ascii="Times New Roman" w:eastAsia="Times New Roman" w:hAnsi="Times New Roman" w:cs="Times New Roman"/>
                                      <w:color w:val="000000"/>
                                      <w:sz w:val="16"/>
                                      <w:szCs w:val="16"/>
                                      <w:vertAlign w:val="superscript"/>
                                    </w:rPr>
                                    <w:t>2,3</w:t>
                                  </w:r>
                                  <w:r>
                                    <w:rPr>
                                      <w:rFonts w:ascii="Times New Roman" w:eastAsia="Times New Roman" w:hAnsi="Times New Roman" w:cs="Times New Roman"/>
                                      <w:color w:val="000000"/>
                                      <w:sz w:val="16"/>
                                      <w:szCs w:val="16"/>
                                    </w:rPr>
                                    <w:tab/>
                                    <w:t>1 mg/kg/día IV, duración no precisada 1 mg/kg/día IV, duración no precisada</w:t>
                                  </w:r>
                                </w:p>
                              </w:tc>
                            </w:tr>
                            <w:tr w:rsidR="00924992" w14:paraId="70B61374" w14:textId="77777777">
                              <w:tblPrEx>
                                <w:tblCellMar>
                                  <w:top w:w="0" w:type="dxa"/>
                                  <w:bottom w:w="0" w:type="dxa"/>
                                </w:tblCellMar>
                              </w:tblPrEx>
                              <w:trPr>
                                <w:trHeight w:hRule="exact" w:val="418"/>
                              </w:trPr>
                              <w:tc>
                                <w:tcPr>
                                  <w:tcW w:w="2251" w:type="dxa"/>
                                  <w:shd w:val="clear" w:color="auto" w:fill="FFFFFF"/>
                                  <w:vAlign w:val="bottom"/>
                                </w:tcPr>
                                <w:p w14:paraId="64D57C16" w14:textId="77777777" w:rsidR="00924992" w:rsidRDefault="00924992">
                                  <w:pPr>
                                    <w:pStyle w:val="Other0"/>
                                    <w:spacing w:line="240" w:lineRule="auto"/>
                                    <w:ind w:firstLine="0"/>
                                    <w:rPr>
                                      <w:sz w:val="17"/>
                                      <w:szCs w:val="17"/>
                                    </w:rPr>
                                  </w:pPr>
                                  <w:r>
                                    <w:rPr>
                                      <w:rFonts w:ascii="Times New Roman" w:eastAsia="Times New Roman" w:hAnsi="Times New Roman" w:cs="Times New Roman"/>
                                      <w:b/>
                                      <w:bCs/>
                                      <w:i/>
                                      <w:iCs/>
                                      <w:color w:val="000000"/>
                                      <w:sz w:val="17"/>
                                      <w:szCs w:val="17"/>
                                    </w:rPr>
                                    <w:t>Acanthamoeba</w:t>
                                  </w:r>
                                </w:p>
                                <w:p w14:paraId="6D063EB7" w14:textId="77777777" w:rsidR="00924992" w:rsidRDefault="00924992">
                                  <w:pPr>
                                    <w:pStyle w:val="Other0"/>
                                    <w:spacing w:line="240" w:lineRule="auto"/>
                                    <w:ind w:firstLine="140"/>
                                    <w:rPr>
                                      <w:sz w:val="16"/>
                                      <w:szCs w:val="16"/>
                                    </w:rPr>
                                  </w:pPr>
                                  <w:r>
                                    <w:rPr>
                                      <w:rFonts w:ascii="Times New Roman" w:eastAsia="Times New Roman" w:hAnsi="Times New Roman" w:cs="Times New Roman"/>
                                      <w:color w:val="000000"/>
                                      <w:sz w:val="16"/>
                                      <w:szCs w:val="16"/>
                                    </w:rPr>
                                    <w:t>Fármaco más indicado:</w:t>
                                  </w:r>
                                </w:p>
                              </w:tc>
                              <w:tc>
                                <w:tcPr>
                                  <w:tcW w:w="9024" w:type="dxa"/>
                                  <w:shd w:val="clear" w:color="auto" w:fill="FFFFFF"/>
                                  <w:vAlign w:val="bottom"/>
                                </w:tcPr>
                                <w:p w14:paraId="23A0F3CF" w14:textId="77777777" w:rsidR="00924992" w:rsidRDefault="00924992">
                                  <w:pPr>
                                    <w:pStyle w:val="Other0"/>
                                    <w:spacing w:line="240" w:lineRule="auto"/>
                                    <w:ind w:firstLine="620"/>
                                    <w:rPr>
                                      <w:sz w:val="16"/>
                                      <w:szCs w:val="16"/>
                                    </w:rPr>
                                  </w:pPr>
                                  <w:r>
                                    <w:rPr>
                                      <w:rFonts w:ascii="Times New Roman" w:eastAsia="Times New Roman" w:hAnsi="Times New Roman" w:cs="Times New Roman"/>
                                      <w:color w:val="000000"/>
                                      <w:sz w:val="16"/>
                                      <w:szCs w:val="16"/>
                                    </w:rPr>
                                    <w:t>Véase pie de cuadro 4</w:t>
                                  </w:r>
                                </w:p>
                              </w:tc>
                            </w:tr>
                            <w:tr w:rsidR="00924992" w14:paraId="15539323" w14:textId="77777777">
                              <w:tblPrEx>
                                <w:tblCellMar>
                                  <w:top w:w="0" w:type="dxa"/>
                                  <w:bottom w:w="0" w:type="dxa"/>
                                </w:tblCellMar>
                              </w:tblPrEx>
                              <w:trPr>
                                <w:trHeight w:hRule="exact" w:val="466"/>
                              </w:trPr>
                              <w:tc>
                                <w:tcPr>
                                  <w:tcW w:w="2251" w:type="dxa"/>
                                  <w:tcBorders>
                                    <w:bottom w:val="single" w:sz="4" w:space="0" w:color="auto"/>
                                  </w:tcBorders>
                                  <w:shd w:val="clear" w:color="auto" w:fill="FFFFFF"/>
                                </w:tcPr>
                                <w:p w14:paraId="14153F61" w14:textId="77777777" w:rsidR="00924992" w:rsidRDefault="00924992">
                                  <w:pPr>
                                    <w:pStyle w:val="Other0"/>
                                    <w:spacing w:line="240" w:lineRule="auto"/>
                                    <w:ind w:firstLine="0"/>
                                    <w:rPr>
                                      <w:sz w:val="17"/>
                                      <w:szCs w:val="17"/>
                                    </w:rPr>
                                  </w:pPr>
                                  <w:r>
                                    <w:rPr>
                                      <w:rFonts w:ascii="Times New Roman" w:eastAsia="Times New Roman" w:hAnsi="Times New Roman" w:cs="Times New Roman"/>
                                      <w:b/>
                                      <w:bCs/>
                                      <w:i/>
                                      <w:iCs/>
                                      <w:color w:val="000000"/>
                                      <w:sz w:val="17"/>
                                      <w:szCs w:val="17"/>
                                    </w:rPr>
                                    <w:t>Balamuthia mandrillaris</w:t>
                                  </w:r>
                                </w:p>
                                <w:p w14:paraId="0E2D37FF" w14:textId="77777777" w:rsidR="00924992" w:rsidRDefault="00924992">
                                  <w:pPr>
                                    <w:pStyle w:val="Other0"/>
                                    <w:spacing w:line="240" w:lineRule="auto"/>
                                    <w:ind w:firstLine="140"/>
                                    <w:rPr>
                                      <w:sz w:val="16"/>
                                      <w:szCs w:val="16"/>
                                    </w:rPr>
                                  </w:pPr>
                                  <w:r>
                                    <w:rPr>
                                      <w:rFonts w:ascii="Times New Roman" w:eastAsia="Times New Roman" w:hAnsi="Times New Roman" w:cs="Times New Roman"/>
                                      <w:color w:val="000000"/>
                                      <w:sz w:val="16"/>
                                      <w:szCs w:val="16"/>
                                    </w:rPr>
                                    <w:t>Fármaco más indicado:</w:t>
                                  </w:r>
                                </w:p>
                              </w:tc>
                              <w:tc>
                                <w:tcPr>
                                  <w:tcW w:w="9024" w:type="dxa"/>
                                  <w:tcBorders>
                                    <w:bottom w:val="single" w:sz="4" w:space="0" w:color="auto"/>
                                  </w:tcBorders>
                                  <w:shd w:val="clear" w:color="auto" w:fill="FFFFFF"/>
                                  <w:vAlign w:val="bottom"/>
                                </w:tcPr>
                                <w:p w14:paraId="77C9D73F" w14:textId="77777777" w:rsidR="00924992" w:rsidRDefault="00924992">
                                  <w:pPr>
                                    <w:pStyle w:val="Other0"/>
                                    <w:spacing w:line="240" w:lineRule="auto"/>
                                    <w:ind w:firstLine="620"/>
                                    <w:rPr>
                                      <w:sz w:val="16"/>
                                      <w:szCs w:val="16"/>
                                    </w:rPr>
                                  </w:pPr>
                                  <w:r>
                                    <w:rPr>
                                      <w:rFonts w:ascii="Times New Roman" w:eastAsia="Times New Roman" w:hAnsi="Times New Roman" w:cs="Times New Roman"/>
                                      <w:color w:val="000000"/>
                                      <w:sz w:val="16"/>
                                      <w:szCs w:val="16"/>
                                    </w:rPr>
                                    <w:t>Véase pie de cuadro 5</w:t>
                                  </w:r>
                                </w:p>
                              </w:tc>
                            </w:tr>
                          </w:tbl>
                          <w:p w14:paraId="424053F2" w14:textId="77777777" w:rsidR="00924992" w:rsidRDefault="00924992">
                            <w:pPr>
                              <w:spacing w:line="1" w:lineRule="exact"/>
                            </w:pPr>
                          </w:p>
                        </w:txbxContent>
                      </wps:txbx>
                      <wps:bodyPr lIns="0" tIns="0" rIns="0" bIns="0"/>
                    </wps:wsp>
                  </a:graphicData>
                </a:graphic>
              </wp:anchor>
            </w:drawing>
          </mc:Choice>
          <mc:Fallback>
            <w:pict>
              <v:shape w14:anchorId="5C6771F5" id="Shape 2338" o:spid="_x0000_s1057" type="#_x0000_t202" style="position:absolute;margin-left:32.15pt;margin-top:114.5pt;width:563.75pt;height:66pt;z-index:251689984;visibility:visible;mso-wrap-style:square;mso-wrap-distance-left:9pt;mso-wrap-distance-top:0;mso-wrap-distance-right:9pt;mso-wrap-distance-bottom:1pt;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" filled="f" stroked="f">
                <v:textbox inset="0,0,0,0">
                  <w:txbxContent>
                    <w:tbl>
                      <w:tblPr>
                        <w:tblOverlap w:val="never"/>
                        <w:tblW w:w="0" w:type="auto"/>
                        <w:tblLayout w:type="fixed"/>
                        <w:tblCellMar>
                          <w:left w:w="10" w:type="dxa"/>
                          <w:right w:w="10" w:type="dxa"/>
                        </w:tblCellMar>
                        <w:tblLook w:val="04A0" w:firstRow="1" w:lastRow="0" w:firstColumn="1" w:lastColumn="0" w:noHBand="0" w:noVBand="1"/>
                      </w:tblPr>
                      <w:tblGrid>
                        <w:gridCol w:w="2251"/>
                        <w:gridCol w:w="9024"/>
                      </w:tblGrid>
                      <w:tr w:rsidR="00924992" w14:paraId="707C1F9B" w14:textId="77777777">
                        <w:tblPrEx>
                          <w:tblCellMar>
                            <w:top w:w="0" w:type="dxa"/>
                            <w:bottom w:w="0" w:type="dxa"/>
                          </w:tblCellMar>
                        </w:tblPrEx>
                        <w:trPr>
                          <w:trHeight w:hRule="exact" w:val="437"/>
                          <w:tblHeader/>
                        </w:trPr>
                        <w:tc>
                          <w:tcPr>
                            <w:tcW w:w="2251" w:type="dxa"/>
                            <w:shd w:val="clear" w:color="auto" w:fill="FFFFFF"/>
                          </w:tcPr>
                          <w:p w14:paraId="1E10459A" w14:textId="77777777" w:rsidR="00924992" w:rsidRDefault="00924992">
                            <w:pPr>
                              <w:pStyle w:val="Other0"/>
                              <w:spacing w:line="240" w:lineRule="auto"/>
                              <w:ind w:firstLine="0"/>
                              <w:rPr>
                                <w:sz w:val="17"/>
                                <w:szCs w:val="17"/>
                              </w:rPr>
                            </w:pPr>
                            <w:r>
                              <w:rPr>
                                <w:rFonts w:ascii="Times New Roman" w:eastAsia="Times New Roman" w:hAnsi="Times New Roman" w:cs="Times New Roman"/>
                                <w:b/>
                                <w:bCs/>
                                <w:i/>
                                <w:iCs/>
                                <w:color w:val="000000"/>
                                <w:sz w:val="17"/>
                                <w:szCs w:val="17"/>
                              </w:rPr>
                              <w:t>Naegleria</w:t>
                            </w:r>
                          </w:p>
                          <w:p w14:paraId="714AE0BC" w14:textId="77777777" w:rsidR="00924992" w:rsidRDefault="00924992">
                            <w:pPr>
                              <w:pStyle w:val="Other0"/>
                              <w:spacing w:line="240" w:lineRule="auto"/>
                              <w:ind w:firstLine="140"/>
                              <w:rPr>
                                <w:sz w:val="16"/>
                                <w:szCs w:val="16"/>
                              </w:rPr>
                            </w:pPr>
                            <w:r>
                              <w:rPr>
                                <w:rFonts w:ascii="Times New Roman" w:eastAsia="Times New Roman" w:hAnsi="Times New Roman" w:cs="Times New Roman"/>
                                <w:color w:val="000000"/>
                                <w:sz w:val="16"/>
                                <w:szCs w:val="16"/>
                              </w:rPr>
                              <w:t>Fármaco más indicado:</w:t>
                            </w:r>
                          </w:p>
                        </w:tc>
                        <w:tc>
                          <w:tcPr>
                            <w:tcW w:w="9024" w:type="dxa"/>
                            <w:shd w:val="clear" w:color="auto" w:fill="FFFFFF"/>
                            <w:vAlign w:val="bottom"/>
                          </w:tcPr>
                          <w:p w14:paraId="609C8A8D" w14:textId="77777777" w:rsidR="00924992" w:rsidRDefault="00924992">
                            <w:pPr>
                              <w:pStyle w:val="Other0"/>
                              <w:tabs>
                                <w:tab w:val="left" w:pos="3380"/>
                              </w:tabs>
                              <w:spacing w:line="240" w:lineRule="auto"/>
                              <w:ind w:firstLine="620"/>
                              <w:rPr>
                                <w:sz w:val="16"/>
                                <w:szCs w:val="16"/>
                              </w:rPr>
                            </w:pPr>
                            <w:r>
                              <w:rPr>
                                <w:rFonts w:ascii="Times New Roman" w:eastAsia="Times New Roman" w:hAnsi="Times New Roman" w:cs="Times New Roman"/>
                                <w:color w:val="000000"/>
                                <w:sz w:val="16"/>
                                <w:szCs w:val="16"/>
                              </w:rPr>
                              <w:t>Anfotericina B</w:t>
                            </w:r>
                            <w:r>
                              <w:rPr>
                                <w:rFonts w:ascii="Times New Roman" w:eastAsia="Times New Roman" w:hAnsi="Times New Roman" w:cs="Times New Roman"/>
                                <w:color w:val="000000"/>
                                <w:sz w:val="16"/>
                                <w:szCs w:val="16"/>
                                <w:vertAlign w:val="superscript"/>
                              </w:rPr>
                              <w:t>2,3</w:t>
                            </w:r>
                            <w:r>
                              <w:rPr>
                                <w:rFonts w:ascii="Times New Roman" w:eastAsia="Times New Roman" w:hAnsi="Times New Roman" w:cs="Times New Roman"/>
                                <w:color w:val="000000"/>
                                <w:sz w:val="16"/>
                                <w:szCs w:val="16"/>
                              </w:rPr>
                              <w:tab/>
                              <w:t>1 mg/kg/día IV, duración no precisada 1 mg/kg/día IV, duración no precisada</w:t>
                            </w:r>
                          </w:p>
                        </w:tc>
                      </w:tr>
                      <w:tr w:rsidR="00924992" w14:paraId="70B61374" w14:textId="77777777">
                        <w:tblPrEx>
                          <w:tblCellMar>
                            <w:top w:w="0" w:type="dxa"/>
                            <w:bottom w:w="0" w:type="dxa"/>
                          </w:tblCellMar>
                        </w:tblPrEx>
                        <w:trPr>
                          <w:trHeight w:hRule="exact" w:val="418"/>
                        </w:trPr>
                        <w:tc>
                          <w:tcPr>
                            <w:tcW w:w="2251" w:type="dxa"/>
                            <w:shd w:val="clear" w:color="auto" w:fill="FFFFFF"/>
                            <w:vAlign w:val="bottom"/>
                          </w:tcPr>
                          <w:p w14:paraId="64D57C16" w14:textId="77777777" w:rsidR="00924992" w:rsidRDefault="00924992">
                            <w:pPr>
                              <w:pStyle w:val="Other0"/>
                              <w:spacing w:line="240" w:lineRule="auto"/>
                              <w:ind w:firstLine="0"/>
                              <w:rPr>
                                <w:sz w:val="17"/>
                                <w:szCs w:val="17"/>
                              </w:rPr>
                            </w:pPr>
                            <w:r>
                              <w:rPr>
                                <w:rFonts w:ascii="Times New Roman" w:eastAsia="Times New Roman" w:hAnsi="Times New Roman" w:cs="Times New Roman"/>
                                <w:b/>
                                <w:bCs/>
                                <w:i/>
                                <w:iCs/>
                                <w:color w:val="000000"/>
                                <w:sz w:val="17"/>
                                <w:szCs w:val="17"/>
                              </w:rPr>
                              <w:t>Acanthamoeba</w:t>
                            </w:r>
                          </w:p>
                          <w:p w14:paraId="6D063EB7" w14:textId="77777777" w:rsidR="00924992" w:rsidRDefault="00924992">
                            <w:pPr>
                              <w:pStyle w:val="Other0"/>
                              <w:spacing w:line="240" w:lineRule="auto"/>
                              <w:ind w:firstLine="140"/>
                              <w:rPr>
                                <w:sz w:val="16"/>
                                <w:szCs w:val="16"/>
                              </w:rPr>
                            </w:pPr>
                            <w:r>
                              <w:rPr>
                                <w:rFonts w:ascii="Times New Roman" w:eastAsia="Times New Roman" w:hAnsi="Times New Roman" w:cs="Times New Roman"/>
                                <w:color w:val="000000"/>
                                <w:sz w:val="16"/>
                                <w:szCs w:val="16"/>
                              </w:rPr>
                              <w:t>Fármaco más indicado:</w:t>
                            </w:r>
                          </w:p>
                        </w:tc>
                        <w:tc>
                          <w:tcPr>
                            <w:tcW w:w="9024" w:type="dxa"/>
                            <w:shd w:val="clear" w:color="auto" w:fill="FFFFFF"/>
                            <w:vAlign w:val="bottom"/>
                          </w:tcPr>
                          <w:p w14:paraId="23A0F3CF" w14:textId="77777777" w:rsidR="00924992" w:rsidRDefault="00924992">
                            <w:pPr>
                              <w:pStyle w:val="Other0"/>
                              <w:spacing w:line="240" w:lineRule="auto"/>
                              <w:ind w:firstLine="620"/>
                              <w:rPr>
                                <w:sz w:val="16"/>
                                <w:szCs w:val="16"/>
                              </w:rPr>
                            </w:pPr>
                            <w:r>
                              <w:rPr>
                                <w:rFonts w:ascii="Times New Roman" w:eastAsia="Times New Roman" w:hAnsi="Times New Roman" w:cs="Times New Roman"/>
                                <w:color w:val="000000"/>
                                <w:sz w:val="16"/>
                                <w:szCs w:val="16"/>
                              </w:rPr>
                              <w:t>Véase pie de cuadro 4</w:t>
                            </w:r>
                          </w:p>
                        </w:tc>
                      </w:tr>
                      <w:tr w:rsidR="00924992" w14:paraId="15539323" w14:textId="77777777">
                        <w:tblPrEx>
                          <w:tblCellMar>
                            <w:top w:w="0" w:type="dxa"/>
                            <w:bottom w:w="0" w:type="dxa"/>
                          </w:tblCellMar>
                        </w:tblPrEx>
                        <w:trPr>
                          <w:trHeight w:hRule="exact" w:val="466"/>
                        </w:trPr>
                        <w:tc>
                          <w:tcPr>
                            <w:tcW w:w="2251" w:type="dxa"/>
                            <w:tcBorders>
                              <w:bottom w:val="single" w:sz="4" w:space="0" w:color="auto"/>
                            </w:tcBorders>
                            <w:shd w:val="clear" w:color="auto" w:fill="FFFFFF"/>
                          </w:tcPr>
                          <w:p w14:paraId="14153F61" w14:textId="77777777" w:rsidR="00924992" w:rsidRDefault="00924992">
                            <w:pPr>
                              <w:pStyle w:val="Other0"/>
                              <w:spacing w:line="240" w:lineRule="auto"/>
                              <w:ind w:firstLine="0"/>
                              <w:rPr>
                                <w:sz w:val="17"/>
                                <w:szCs w:val="17"/>
                              </w:rPr>
                            </w:pPr>
                            <w:r>
                              <w:rPr>
                                <w:rFonts w:ascii="Times New Roman" w:eastAsia="Times New Roman" w:hAnsi="Times New Roman" w:cs="Times New Roman"/>
                                <w:b/>
                                <w:bCs/>
                                <w:i/>
                                <w:iCs/>
                                <w:color w:val="000000"/>
                                <w:sz w:val="17"/>
                                <w:szCs w:val="17"/>
                              </w:rPr>
                              <w:t>Balamuthia mandrillaris</w:t>
                            </w:r>
                          </w:p>
                          <w:p w14:paraId="0E2D37FF" w14:textId="77777777" w:rsidR="00924992" w:rsidRDefault="00924992">
                            <w:pPr>
                              <w:pStyle w:val="Other0"/>
                              <w:spacing w:line="240" w:lineRule="auto"/>
                              <w:ind w:firstLine="140"/>
                              <w:rPr>
                                <w:sz w:val="16"/>
                                <w:szCs w:val="16"/>
                              </w:rPr>
                            </w:pPr>
                            <w:r>
                              <w:rPr>
                                <w:rFonts w:ascii="Times New Roman" w:eastAsia="Times New Roman" w:hAnsi="Times New Roman" w:cs="Times New Roman"/>
                                <w:color w:val="000000"/>
                                <w:sz w:val="16"/>
                                <w:szCs w:val="16"/>
                              </w:rPr>
                              <w:t>Fármaco más indicado:</w:t>
                            </w:r>
                          </w:p>
                        </w:tc>
                        <w:tc>
                          <w:tcPr>
                            <w:tcW w:w="9024" w:type="dxa"/>
                            <w:tcBorders>
                              <w:bottom w:val="single" w:sz="4" w:space="0" w:color="auto"/>
                            </w:tcBorders>
                            <w:shd w:val="clear" w:color="auto" w:fill="FFFFFF"/>
                            <w:vAlign w:val="bottom"/>
                          </w:tcPr>
                          <w:p w14:paraId="77C9D73F" w14:textId="77777777" w:rsidR="00924992" w:rsidRDefault="00924992">
                            <w:pPr>
                              <w:pStyle w:val="Other0"/>
                              <w:spacing w:line="240" w:lineRule="auto"/>
                              <w:ind w:firstLine="620"/>
                              <w:rPr>
                                <w:sz w:val="16"/>
                                <w:szCs w:val="16"/>
                              </w:rPr>
                            </w:pPr>
                            <w:r>
                              <w:rPr>
                                <w:rFonts w:ascii="Times New Roman" w:eastAsia="Times New Roman" w:hAnsi="Times New Roman" w:cs="Times New Roman"/>
                                <w:color w:val="000000"/>
                                <w:sz w:val="16"/>
                                <w:szCs w:val="16"/>
                              </w:rPr>
                              <w:t>Véase pie de cuadro 5</w:t>
                            </w:r>
                          </w:p>
                        </w:tc>
                      </w:tr>
                    </w:tbl>
                    <w:p w14:paraId="424053F2" w14:textId="77777777" w:rsidR="00924992" w:rsidRDefault="00924992">
                      <w:pPr>
                        <w:spacing w:line="1" w:lineRule="exact"/>
                      </w:pPr>
                    </w:p>
                  </w:txbxContent>
                </v:textbox>
                <w10:wrap type="topAndBottom" anchorx="page"/>
              </v:shape>
            </w:pict>
          </mc:Fallback>
        </mc:AlternateContent>
      </w:r>
      <w:r>
        <w:rPr>
          <w:noProof/>
        </w:rPr>
        <mc:AlternateContent>
          <mc:Choice Requires="wps">
            <w:drawing>
              <wp:anchor distT="0" distB="0" distL="0" distR="0" simplePos="0" relativeHeight="251691008" behindDoc="0" locked="0" layoutInCell="1" allowOverlap="1" wp14:anchorId="1189A0C6" wp14:editId="67E98BEB">
                <wp:simplePos x="0" y="0"/>
                <wp:positionH relativeFrom="page">
                  <wp:posOffset>7867015</wp:posOffset>
                </wp:positionH>
                <wp:positionV relativeFrom="paragraph">
                  <wp:posOffset>1502410</wp:posOffset>
                </wp:positionV>
                <wp:extent cx="121920" cy="2874010"/>
                <wp:effectExtent l="0" t="0" r="0" b="0"/>
                <wp:wrapSquare wrapText="bothSides"/>
                <wp:docPr id="2340" name="Shape 2340"/>
                <wp:cNvGraphicFramePr/>
                <a:graphic xmlns:a="http://schemas.openxmlformats.org/drawingml/2006/main">
                  <a:graphicData uri="http://schemas.microsoft.com/office/word/2010/wordprocessingShape">
                    <wps:wsp>
                      <wps:cNvSpPr txBox="1"/>
                      <wps:spPr>
                        <a:xfrm>
                          <a:off x="0" y="0"/>
                          <a:ext cx="121920" cy="2874010"/>
                        </a:xfrm>
                        <a:prstGeom prst="rect">
                          <a:avLst/>
                        </a:prstGeom>
                        <a:noFill/>
                      </wps:spPr>
                      <wps:txbx>
                        <w:txbxContent>
                          <w:p w14:paraId="3581CD00" w14:textId="77777777" w:rsidR="00924992" w:rsidRDefault="00924992">
                            <w:pPr>
                              <w:pStyle w:val="Bodytext80"/>
                              <w:tabs>
                                <w:tab w:val="left" w:pos="4210"/>
                              </w:tabs>
                              <w:rPr>
                                <w:sz w:val="16"/>
                                <w:szCs w:val="16"/>
                              </w:rPr>
                            </w:pPr>
                            <w:r>
                              <w:t>FÁRMACOS ANTIPARASITARIOS</w:t>
                            </w:r>
                            <w:r>
                              <w:tab/>
                            </w:r>
                            <w:r>
                              <w:rPr>
                                <w:sz w:val="16"/>
                                <w:szCs w:val="16"/>
                              </w:rPr>
                              <w:t>783</w:t>
                            </w:r>
                          </w:p>
                        </w:txbxContent>
                      </wps:txbx>
                      <wps:bodyPr vert="vert" lIns="0" tIns="0" rIns="0" bIns="0" upright="1"/>
                    </wps:wsp>
                  </a:graphicData>
                </a:graphic>
              </wp:anchor>
            </w:drawing>
          </mc:Choice>
          <mc:Fallback>
            <w:pict>
              <v:shape w14:anchorId="1189A0C6" id="Shape 2340" o:spid="_x0000_s1058" type="#_x0000_t202" style="position:absolute;margin-left:619.45pt;margin-top:118.3pt;width:9.6pt;height:226.3pt;z-index:25169100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" filled="f" stroked="f">
                <v:textbox style="layout-flow:vertical" inset="0,0,0,0">
                  <w:txbxContent>
                    <w:p w14:paraId="3581CD00" w14:textId="77777777" w:rsidR="00924992" w:rsidRDefault="00924992">
                      <w:pPr>
                        <w:pStyle w:val="Bodytext80"/>
                        <w:tabs>
                          <w:tab w:val="left" w:pos="4210"/>
                        </w:tabs>
                        <w:rPr>
                          <w:sz w:val="16"/>
                          <w:szCs w:val="16"/>
                        </w:rPr>
                      </w:pPr>
                      <w:r>
                        <w:t>FÁRMACOS ANTIPARASITARIOS</w:t>
                      </w:r>
                      <w:r>
                        <w:tab/>
                      </w:r>
                      <w:r>
                        <w:rPr>
                          <w:sz w:val="16"/>
                          <w:szCs w:val="16"/>
                        </w:rPr>
                        <w:t>783</w:t>
                      </w:r>
                    </w:p>
                  </w:txbxContent>
                </v:textbox>
                <w10:wrap type="square" anchorx="page"/>
              </v:shape>
            </w:pict>
          </mc:Fallback>
        </mc:AlternateContent>
      </w:r>
    </w:p>
    <w:tbl>
      <w:tblPr>
        <w:tblOverlap w:val="never"/>
        <w:tblW w:w="0" w:type="auto"/>
        <w:jc w:val="center"/>
        <w:tblLayout w:type="fixed"/>
        <w:tblCellMar>
          <w:left w:w="10" w:type="dxa"/>
          <w:right w:w="10" w:type="dxa"/>
        </w:tblCellMar>
        <w:tblLook w:val="04A0" w:firstRow="1" w:lastRow="0" w:firstColumn="1" w:lastColumn="0" w:noHBand="0" w:noVBand="1"/>
      </w:tblPr>
      <w:tblGrid>
        <w:gridCol w:w="2251"/>
        <w:gridCol w:w="9480"/>
      </w:tblGrid>
      <w:tr w:rsidR="00924992" w14:paraId="09E769E8" w14:textId="77777777">
        <w:tblPrEx>
          <w:tblCellMar>
            <w:top w:w="0" w:type="dxa"/>
            <w:bottom w:w="0" w:type="dxa"/>
          </w:tblCellMar>
        </w:tblPrEx>
        <w:trPr>
          <w:trHeight w:hRule="exact" w:val="274"/>
          <w:jc w:val="center"/>
        </w:trPr>
        <w:tc>
          <w:tcPr>
            <w:tcW w:w="2251" w:type="dxa"/>
            <w:shd w:val="clear" w:color="auto" w:fill="FFFFFF"/>
          </w:tcPr>
          <w:p w14:paraId="0553C6F3" w14:textId="77777777" w:rsidR="00924992" w:rsidRDefault="00924992">
            <w:pPr>
              <w:rPr>
                <w:sz w:val="10"/>
                <w:szCs w:val="10"/>
              </w:rPr>
            </w:pPr>
          </w:p>
        </w:tc>
        <w:tc>
          <w:tcPr>
            <w:tcW w:w="9480" w:type="dxa"/>
            <w:tcBorders>
              <w:right w:val="single" w:sz="4" w:space="0" w:color="auto"/>
            </w:tcBorders>
            <w:shd w:val="clear" w:color="auto" w:fill="FFFFFF"/>
          </w:tcPr>
          <w:p w14:paraId="7A0416B0" w14:textId="77777777" w:rsidR="00924992" w:rsidRDefault="00924992">
            <w:pPr>
              <w:pStyle w:val="Other0"/>
              <w:spacing w:line="240" w:lineRule="auto"/>
              <w:ind w:left="1680" w:firstLine="0"/>
              <w:rPr>
                <w:sz w:val="26"/>
                <w:szCs w:val="26"/>
              </w:rPr>
            </w:pPr>
            <w:r>
              <w:rPr>
                <w:rFonts w:ascii="Arial" w:eastAsia="Arial" w:hAnsi="Arial" w:cs="Arial"/>
                <w:color w:val="000000"/>
                <w:w w:val="70"/>
                <w:sz w:val="26"/>
                <w:szCs w:val="26"/>
              </w:rPr>
              <w:t xml:space="preserve">Cuadro 4-13. </w:t>
            </w:r>
            <w:r>
              <w:rPr>
                <w:rFonts w:ascii="Arial" w:eastAsia="Arial" w:hAnsi="Arial" w:cs="Arial"/>
                <w:b/>
                <w:bCs/>
                <w:color w:val="000000"/>
                <w:w w:val="70"/>
                <w:sz w:val="26"/>
                <w:szCs w:val="26"/>
              </w:rPr>
              <w:t>Fármacos antiparasitarios</w:t>
            </w:r>
          </w:p>
        </w:tc>
      </w:tr>
    </w:tbl>
    <w:p w14:paraId="0DD6A873" w14:textId="77777777" w:rsidR="00924992" w:rsidRDefault="00924992">
      <w:pPr>
        <w:pStyle w:val="Tablecaption0"/>
        <w:spacing w:line="276" w:lineRule="auto"/>
        <w:ind w:left="0"/>
        <w:jc w:val="center"/>
      </w:pPr>
      <w:r>
        <w:rPr>
          <w:color w:val="000000"/>
        </w:rPr>
        <w:t>Las infecciones parasitarias, o parasitosis, surgen en todo el planeta. Al aumentar los viajes, la migración, el empleo de fármacos inmunosupresores y la propagación del SIDA, es probable que los médicos de cualquier país atiendan casos de infecciones que son causadas por parásitos que no eran conocidos. El cuadro incluye los fármacos de primera línea y otros alternativos contra casi todas las parasitosis. Los nombres de los fabricantes se incluyen en el cuadro 4-14.</w:t>
      </w:r>
    </w:p>
    <w:p w14:paraId="7F08FBF8" w14:textId="77777777" w:rsidR="00924992" w:rsidRDefault="00924992">
      <w:pPr>
        <w:pStyle w:val="Heading41"/>
        <w:keepNext/>
        <w:keepLines/>
        <w:pBdr>
          <w:top w:val="single" w:sz="0" w:space="0" w:color="000000"/>
          <w:left w:val="single" w:sz="0" w:space="0" w:color="000000"/>
          <w:bottom w:val="single" w:sz="0" w:space="3" w:color="000000"/>
          <w:right w:val="single" w:sz="0" w:space="0" w:color="000000"/>
        </w:pBdr>
        <w:shd w:val="clear" w:color="auto" w:fill="000000"/>
        <w:tabs>
          <w:tab w:val="left" w:pos="2827"/>
          <w:tab w:val="left" w:pos="5664"/>
          <w:tab w:val="left" w:pos="8496"/>
        </w:tabs>
        <w:spacing w:after="38"/>
      </w:pPr>
      <w:bookmarkStart w:id="504" w:name="bookmark1950"/>
      <w:bookmarkStart w:id="505" w:name="bookmark1951"/>
      <w:bookmarkStart w:id="506" w:name="bookmark1952"/>
      <w:r>
        <w:rPr>
          <w:color w:val="FFFFFF"/>
        </w:rPr>
        <w:t>Infección</w:t>
      </w:r>
      <w:r>
        <w:rPr>
          <w:color w:val="FFFFFF"/>
        </w:rPr>
        <w:tab/>
        <w:t>Fármaco</w:t>
      </w:r>
      <w:r>
        <w:rPr>
          <w:color w:val="FFFFFF"/>
        </w:rPr>
        <w:tab/>
        <w:t>Dosis para adultos</w:t>
      </w:r>
      <w:r>
        <w:rPr>
          <w:color w:val="FFFFFF"/>
        </w:rPr>
        <w:tab/>
        <w:t>Dosis para niños</w:t>
      </w:r>
      <w:bookmarkEnd w:id="504"/>
      <w:bookmarkEnd w:id="505"/>
      <w:bookmarkEnd w:id="506"/>
    </w:p>
    <w:tbl>
      <w:tblPr>
        <w:tblOverlap w:val="never"/>
        <w:tblW w:w="0" w:type="auto"/>
        <w:jc w:val="center"/>
        <w:tblLayout w:type="fixed"/>
        <w:tblCellMar>
          <w:left w:w="10" w:type="dxa"/>
          <w:right w:w="10" w:type="dxa"/>
        </w:tblCellMar>
        <w:tblLook w:val="04A0" w:firstRow="1" w:lastRow="0" w:firstColumn="1" w:lastColumn="0" w:noHBand="0" w:noVBand="1"/>
      </w:tblPr>
      <w:tblGrid>
        <w:gridCol w:w="2251"/>
        <w:gridCol w:w="9480"/>
      </w:tblGrid>
      <w:tr w:rsidR="00924992" w14:paraId="78E27483" w14:textId="77777777">
        <w:tblPrEx>
          <w:tblCellMar>
            <w:top w:w="0" w:type="dxa"/>
            <w:bottom w:w="0" w:type="dxa"/>
          </w:tblCellMar>
        </w:tblPrEx>
        <w:trPr>
          <w:trHeight w:hRule="exact" w:val="658"/>
          <w:jc w:val="center"/>
        </w:trPr>
        <w:tc>
          <w:tcPr>
            <w:tcW w:w="2251" w:type="dxa"/>
            <w:shd w:val="clear" w:color="auto" w:fill="FFFFFF"/>
          </w:tcPr>
          <w:p w14:paraId="16B76224" w14:textId="77777777" w:rsidR="00924992" w:rsidRDefault="00924992">
            <w:pPr>
              <w:pStyle w:val="Other0"/>
              <w:spacing w:line="276" w:lineRule="auto"/>
              <w:ind w:left="140" w:hanging="140"/>
              <w:rPr>
                <w:sz w:val="16"/>
                <w:szCs w:val="16"/>
              </w:rPr>
            </w:pPr>
            <w:r>
              <w:rPr>
                <w:rFonts w:ascii="Times New Roman" w:eastAsia="Times New Roman" w:hAnsi="Times New Roman" w:cs="Times New Roman"/>
                <w:b/>
                <w:bCs/>
                <w:i/>
                <w:iCs/>
                <w:color w:val="000000"/>
                <w:sz w:val="17"/>
                <w:szCs w:val="17"/>
              </w:rPr>
              <w:t>Acanthamoeba,</w:t>
            </w:r>
            <w:r>
              <w:rPr>
                <w:rFonts w:ascii="Times New Roman" w:eastAsia="Times New Roman" w:hAnsi="Times New Roman" w:cs="Times New Roman"/>
                <w:color w:val="000000"/>
                <w:sz w:val="16"/>
                <w:szCs w:val="16"/>
              </w:rPr>
              <w:t xml:space="preserve"> queratitis Fármaco de primera línea o más indicado:</w:t>
            </w:r>
          </w:p>
        </w:tc>
        <w:tc>
          <w:tcPr>
            <w:tcW w:w="9480" w:type="dxa"/>
            <w:tcBorders>
              <w:right w:val="single" w:sz="4" w:space="0" w:color="auto"/>
            </w:tcBorders>
            <w:shd w:val="clear" w:color="auto" w:fill="FFFFFF"/>
            <w:vAlign w:val="center"/>
          </w:tcPr>
          <w:p w14:paraId="143CBB19" w14:textId="77777777" w:rsidR="00924992" w:rsidRDefault="00924992">
            <w:pPr>
              <w:pStyle w:val="Other0"/>
              <w:spacing w:line="240" w:lineRule="auto"/>
              <w:ind w:firstLine="640"/>
              <w:rPr>
                <w:sz w:val="16"/>
                <w:szCs w:val="16"/>
              </w:rPr>
            </w:pPr>
            <w:r>
              <w:rPr>
                <w:rFonts w:ascii="Times New Roman" w:eastAsia="Times New Roman" w:hAnsi="Times New Roman" w:cs="Times New Roman"/>
                <w:color w:val="000000"/>
                <w:sz w:val="16"/>
                <w:szCs w:val="16"/>
              </w:rPr>
              <w:t>Véase pie de cuadro 1</w:t>
            </w:r>
          </w:p>
        </w:tc>
      </w:tr>
    </w:tbl>
    <w:p w14:paraId="229CBBE7" w14:textId="77777777" w:rsidR="00924992" w:rsidRDefault="00924992">
      <w:pPr>
        <w:pStyle w:val="Tablecaption0"/>
        <w:spacing w:line="240" w:lineRule="auto"/>
        <w:ind w:left="24"/>
        <w:rPr>
          <w:sz w:val="16"/>
          <w:szCs w:val="16"/>
        </w:rPr>
      </w:pPr>
      <w:r>
        <w:rPr>
          <w:b/>
          <w:bCs/>
          <w:color w:val="000000"/>
          <w:sz w:val="16"/>
          <w:szCs w:val="16"/>
        </w:rPr>
        <w:t xml:space="preserve">Ácaros, </w:t>
      </w:r>
      <w:r>
        <w:rPr>
          <w:color w:val="000000"/>
          <w:sz w:val="16"/>
          <w:szCs w:val="16"/>
        </w:rPr>
        <w:t>véase “ESCABIASIS”</w:t>
      </w:r>
    </w:p>
    <w:p w14:paraId="71E15F90" w14:textId="77777777" w:rsidR="00924992" w:rsidRDefault="00924992">
      <w:pPr>
        <w:pStyle w:val="Tablecaption0"/>
        <w:spacing w:line="240" w:lineRule="auto"/>
        <w:ind w:left="24"/>
        <w:rPr>
          <w:sz w:val="16"/>
          <w:szCs w:val="16"/>
        </w:rPr>
      </w:pPr>
      <w:r>
        <w:rPr>
          <w:b/>
          <w:bCs/>
          <w:color w:val="000000"/>
          <w:sz w:val="16"/>
          <w:szCs w:val="16"/>
        </w:rPr>
        <w:t>AMIBIANA PRIMARIA, MENINGOENCEFALITIS</w:t>
      </w:r>
    </w:p>
    <w:p w14:paraId="6E1BFE90" w14:textId="77777777" w:rsidR="00924992" w:rsidRDefault="00924992">
      <w:pPr>
        <w:pStyle w:val="Bodytext20"/>
        <w:spacing w:before="100" w:line="240" w:lineRule="auto"/>
        <w:ind w:left="220"/>
        <w:rPr>
          <w:sz w:val="15"/>
          <w:szCs w:val="15"/>
        </w:rPr>
      </w:pPr>
      <w:r>
        <w:rPr>
          <w:color w:val="000000"/>
          <w:sz w:val="15"/>
          <w:szCs w:val="15"/>
        </w:rPr>
        <w:t xml:space="preserve">bid, dos veces al día; IM, vía intramuscular; IV, vía intravenosa; p.c., después de los alimentos; PO, vía oral; qid, cuatro veces al día; Sb, estibogluconato </w:t>
      </w:r>
      <w:r>
        <w:rPr>
          <w:i/>
          <w:iCs/>
          <w:color w:val="000000"/>
          <w:sz w:val="15"/>
          <w:szCs w:val="15"/>
        </w:rPr>
        <w:t>(stibogluconate)';</w:t>
      </w:r>
      <w:r>
        <w:rPr>
          <w:color w:val="000000"/>
          <w:sz w:val="15"/>
          <w:szCs w:val="15"/>
        </w:rPr>
        <w:t xml:space="preserve"> SMX, sulfametoxazol; tid, tres veces al día; TMP, trimetoprim.</w:t>
      </w:r>
    </w:p>
    <w:p w14:paraId="4301BFD7" w14:textId="77777777" w:rsidR="00924992" w:rsidRDefault="00924992">
      <w:pPr>
        <w:pStyle w:val="Bodytext20"/>
        <w:spacing w:line="240" w:lineRule="auto"/>
        <w:rPr>
          <w:sz w:val="15"/>
          <w:szCs w:val="15"/>
        </w:rPr>
      </w:pPr>
      <w:r>
        <w:rPr>
          <w:color w:val="000000"/>
          <w:sz w:val="15"/>
          <w:szCs w:val="15"/>
        </w:rPr>
        <w:t>* Problemas de disponibilidad y distribución, véase cuadro 4-14.</w:t>
      </w:r>
    </w:p>
    <w:p w14:paraId="352979BE" w14:textId="77777777" w:rsidR="00924992" w:rsidRDefault="00924992">
      <w:pPr>
        <w:pStyle w:val="Bodytext20"/>
        <w:numPr>
          <w:ilvl w:val="0"/>
          <w:numId w:val="134"/>
        </w:numPr>
        <w:tabs>
          <w:tab w:val="left" w:pos="226"/>
        </w:tabs>
        <w:spacing w:line="240" w:lineRule="auto"/>
        <w:ind w:left="220" w:hanging="220"/>
        <w:rPr>
          <w:sz w:val="15"/>
          <w:szCs w:val="15"/>
        </w:rPr>
      </w:pPr>
      <w:bookmarkStart w:id="507" w:name="bookmark1953"/>
      <w:bookmarkEnd w:id="507"/>
      <w:r>
        <w:rPr>
          <w:color w:val="000000"/>
          <w:sz w:val="15"/>
          <w:szCs w:val="15"/>
        </w:rPr>
        <w:t xml:space="preserve">Para tratar la queratitis causada por </w:t>
      </w:r>
      <w:r>
        <w:rPr>
          <w:i/>
          <w:iCs/>
          <w:color w:val="000000"/>
          <w:sz w:val="15"/>
          <w:szCs w:val="15"/>
        </w:rPr>
        <w:t>Acanthamoeba,</w:t>
      </w:r>
      <w:r>
        <w:rPr>
          <w:color w:val="000000"/>
          <w:sz w:val="15"/>
          <w:szCs w:val="15"/>
        </w:rPr>
        <w:t xml:space="preserve"> se han obtenido buenos resultados con la aplicación concomitante de isetionato de propamidina al 0.1% </w:t>
      </w:r>
      <w:r>
        <w:rPr>
          <w:i/>
          <w:iCs/>
          <w:color w:val="000000"/>
          <w:sz w:val="15"/>
          <w:szCs w:val="15"/>
        </w:rPr>
        <w:t>(Brolene}</w:t>
      </w:r>
      <w:r>
        <w:rPr>
          <w:color w:val="000000"/>
          <w:sz w:val="15"/>
          <w:szCs w:val="15"/>
        </w:rPr>
        <w:t xml:space="preserve"> y además la solución oftálmica de neomicina-polimixina B-gramicidina (SL Hargrave et al, Ophthalmology 1999; 106:952). Además, también se han obtenido buenos resultados en un gran número de pacientes con la biguanida polihexametileno tópica </w:t>
      </w:r>
      <w:r>
        <w:rPr>
          <w:i/>
          <w:iCs/>
          <w:color w:val="000000"/>
          <w:sz w:val="15"/>
          <w:szCs w:val="15"/>
        </w:rPr>
        <w:t>(polyhexamethylene biguanide,</w:t>
      </w:r>
      <w:r>
        <w:rPr>
          <w:color w:val="000000"/>
          <w:sz w:val="15"/>
          <w:szCs w:val="15"/>
        </w:rPr>
        <w:t xml:space="preserve"> PHMB) al 0.02%, la clorhexidina o ambos productos (G Tabin et al, Cornea 2001; 20:757; YS Wysenbeek et al, Cornea 2000; 19:464). PHMB se obtiene de Leiters Park Avenue Pharmacy, San Jose, CA (800-292-6773).</w:t>
      </w:r>
    </w:p>
    <w:p w14:paraId="13303150" w14:textId="77777777" w:rsidR="00924992" w:rsidRDefault="00924992">
      <w:pPr>
        <w:pStyle w:val="Bodytext20"/>
        <w:numPr>
          <w:ilvl w:val="0"/>
          <w:numId w:val="134"/>
        </w:numPr>
        <w:tabs>
          <w:tab w:val="left" w:pos="241"/>
        </w:tabs>
        <w:spacing w:line="240" w:lineRule="auto"/>
        <w:ind w:left="220" w:hanging="220"/>
        <w:rPr>
          <w:sz w:val="15"/>
          <w:szCs w:val="15"/>
        </w:rPr>
      </w:pPr>
      <w:bookmarkStart w:id="508" w:name="bookmark1954"/>
      <w:bookmarkEnd w:id="508"/>
      <w:r>
        <w:rPr>
          <w:color w:val="000000"/>
          <w:sz w:val="15"/>
          <w:szCs w:val="15"/>
        </w:rPr>
        <w:t xml:space="preserve">Un caso de infección por </w:t>
      </w:r>
      <w:r>
        <w:rPr>
          <w:i/>
          <w:iCs/>
          <w:color w:val="000000"/>
          <w:sz w:val="15"/>
          <w:szCs w:val="15"/>
        </w:rPr>
        <w:t>Naegleria</w:t>
      </w:r>
      <w:r>
        <w:rPr>
          <w:color w:val="000000"/>
          <w:sz w:val="15"/>
          <w:szCs w:val="15"/>
        </w:rPr>
        <w:t xml:space="preserve"> fue tratado satisfactoriamente con el empleo intravenoso e intrarraquídeo de anfotericina B y miconazol, y además rifampicina (J Seidel et al, </w:t>
      </w:r>
      <w:r>
        <w:rPr>
          <w:i/>
          <w:iCs/>
          <w:color w:val="000000"/>
          <w:sz w:val="15"/>
          <w:szCs w:val="15"/>
        </w:rPr>
        <w:t>N Engl J Med</w:t>
      </w:r>
      <w:r>
        <w:rPr>
          <w:color w:val="000000"/>
          <w:sz w:val="15"/>
          <w:szCs w:val="15"/>
        </w:rPr>
        <w:t xml:space="preserve"> 1982;306:346). Son cuestionables otros informes de buenos resultados.</w:t>
      </w:r>
    </w:p>
    <w:p w14:paraId="3AE081E2" w14:textId="77777777" w:rsidR="00924992" w:rsidRDefault="00924992">
      <w:pPr>
        <w:pStyle w:val="Bodytext20"/>
        <w:numPr>
          <w:ilvl w:val="0"/>
          <w:numId w:val="134"/>
        </w:numPr>
        <w:tabs>
          <w:tab w:val="left" w:pos="246"/>
        </w:tabs>
        <w:spacing w:line="240" w:lineRule="auto"/>
        <w:jc w:val="both"/>
        <w:rPr>
          <w:sz w:val="15"/>
          <w:szCs w:val="15"/>
        </w:rPr>
      </w:pPr>
      <w:bookmarkStart w:id="509" w:name="bookmark1955"/>
      <w:bookmarkEnd w:id="509"/>
      <w:r>
        <w:rPr>
          <w:color w:val="000000"/>
          <w:sz w:val="15"/>
          <w:szCs w:val="15"/>
        </w:rPr>
        <w:t xml:space="preserve">Fármaco aprobado, pero la </w:t>
      </w:r>
      <w:r>
        <w:rPr>
          <w:i/>
          <w:iCs/>
          <w:color w:val="000000"/>
          <w:sz w:val="15"/>
          <w:szCs w:val="15"/>
        </w:rPr>
        <w:t>Food and Drug Administration</w:t>
      </w:r>
      <w:r>
        <w:rPr>
          <w:color w:val="000000"/>
          <w:sz w:val="15"/>
          <w:szCs w:val="15"/>
        </w:rPr>
        <w:t xml:space="preserve"> lo considera todavía como producto en investigación para tal indicación.</w:t>
      </w:r>
    </w:p>
    <w:p w14:paraId="51E3A14E" w14:textId="77777777" w:rsidR="00924992" w:rsidRDefault="00924992">
      <w:pPr>
        <w:pStyle w:val="Bodytext20"/>
        <w:numPr>
          <w:ilvl w:val="0"/>
          <w:numId w:val="134"/>
        </w:numPr>
        <w:tabs>
          <w:tab w:val="left" w:pos="246"/>
        </w:tabs>
        <w:spacing w:after="40" w:line="240" w:lineRule="auto"/>
        <w:ind w:left="220" w:hanging="220"/>
        <w:rPr>
          <w:sz w:val="15"/>
          <w:szCs w:val="15"/>
        </w:rPr>
        <w:sectPr w:rsidR="00924992" w:rsidSect="00924992">
          <w:footnotePr>
            <w:numFmt w:val="upperRoman"/>
          </w:footnotePr>
          <w:pgSz w:w="13022" w:h="8501" w:orient="landscape"/>
          <w:pgMar w:top="1104" w:right="648" w:bottom="304" w:left="643" w:header="0" w:footer="3" w:gutter="0"/>
          <w:cols w:space="720"/>
          <w:noEndnote/>
          <w:docGrid w:linePitch="360"/>
          <w15:footnoteColumns w:val="1"/>
        </w:sectPr>
      </w:pPr>
      <w:bookmarkStart w:id="510" w:name="bookmark1956"/>
      <w:bookmarkEnd w:id="510"/>
      <w:r>
        <w:rPr>
          <w:color w:val="000000"/>
          <w:sz w:val="15"/>
          <w:szCs w:val="15"/>
        </w:rPr>
        <w:t xml:space="preserve">Las cepas de </w:t>
      </w:r>
      <w:r>
        <w:rPr>
          <w:i/>
          <w:iCs/>
          <w:color w:val="000000"/>
          <w:sz w:val="15"/>
          <w:szCs w:val="15"/>
        </w:rPr>
        <w:t>Acanthamoeba</w:t>
      </w:r>
      <w:r>
        <w:rPr>
          <w:color w:val="000000"/>
          <w:sz w:val="15"/>
          <w:szCs w:val="15"/>
        </w:rPr>
        <w:t xml:space="preserve"> aisladas de encefalitis amibiana granulomatosa letal son por lo común susceptibles in vitro a pentamidina, ketoconazol </w:t>
      </w:r>
      <w:r>
        <w:rPr>
          <w:i/>
          <w:iCs/>
          <w:color w:val="000000"/>
          <w:sz w:val="15"/>
          <w:szCs w:val="15"/>
        </w:rPr>
        <w:t>(Nizoral),</w:t>
      </w:r>
      <w:r>
        <w:rPr>
          <w:color w:val="000000"/>
          <w:sz w:val="15"/>
          <w:szCs w:val="15"/>
        </w:rPr>
        <w:t xml:space="preserve"> flucitosina </w:t>
      </w:r>
      <w:r>
        <w:rPr>
          <w:i/>
          <w:iCs/>
          <w:color w:val="000000"/>
          <w:sz w:val="15"/>
          <w:szCs w:val="15"/>
        </w:rPr>
        <w:t>(Ancobon)</w:t>
      </w:r>
      <w:r>
        <w:rPr>
          <w:color w:val="000000"/>
          <w:sz w:val="15"/>
          <w:szCs w:val="15"/>
        </w:rPr>
        <w:t xml:space="preserve"> y (con menor frecuencia) a anfotericina B. La meningitis crónica por </w:t>
      </w:r>
      <w:r>
        <w:rPr>
          <w:i/>
          <w:iCs/>
          <w:color w:val="000000"/>
          <w:sz w:val="15"/>
          <w:szCs w:val="15"/>
        </w:rPr>
        <w:t>Acanthamoeba</w:t>
      </w:r>
      <w:r>
        <w:rPr>
          <w:color w:val="000000"/>
          <w:sz w:val="15"/>
          <w:szCs w:val="15"/>
        </w:rPr>
        <w:t xml:space="preserve"> ha sido tratada provechosamente en dos niños con una combinación de trimetoprim-sulfametoxazol ingerible, rifampicina y ketoconazol (T Singhal et al, </w:t>
      </w:r>
      <w:r>
        <w:rPr>
          <w:i/>
          <w:iCs/>
          <w:color w:val="000000"/>
          <w:sz w:val="15"/>
          <w:szCs w:val="15"/>
        </w:rPr>
        <w:t>Pediatr Infect Dis J</w:t>
      </w:r>
      <w:r>
        <w:rPr>
          <w:color w:val="000000"/>
          <w:sz w:val="15"/>
          <w:szCs w:val="15"/>
        </w:rPr>
        <w:t xml:space="preserve"> 2001;20:623), y en un paciente de SIDA con una combinación de fluconazol y sulfadiazina, y además extirpación quirúrgica de la lesión en el sistema nervioso central (SNC) (M Seijo Martinez et al, </w:t>
      </w:r>
      <w:r>
        <w:rPr>
          <w:i/>
          <w:iCs/>
          <w:color w:val="000000"/>
          <w:sz w:val="15"/>
          <w:szCs w:val="15"/>
        </w:rPr>
        <w:t>J Clin Microbiol</w:t>
      </w:r>
      <w:r>
        <w:rPr>
          <w:color w:val="000000"/>
          <w:sz w:val="15"/>
          <w:szCs w:val="15"/>
        </w:rPr>
        <w:t xml:space="preserve"> 2000;38:3892). La infección cutánea diseminada en un paciente inmunodeficiente fue tratada con buenos resultados con isetionato de pentamidina IV, clorhexidina tópica y crema de ketoconazol al 2%, seguido de itraconazol oral (</w:t>
      </w:r>
      <w:r>
        <w:rPr>
          <w:i/>
          <w:iCs/>
          <w:color w:val="000000"/>
          <w:sz w:val="15"/>
          <w:szCs w:val="15"/>
        </w:rPr>
        <w:t>Sporanox</w:t>
      </w:r>
      <w:r>
        <w:rPr>
          <w:color w:val="000000"/>
          <w:sz w:val="15"/>
          <w:szCs w:val="15"/>
        </w:rPr>
        <w:t xml:space="preserve">) (CA Slater et al, </w:t>
      </w:r>
      <w:r>
        <w:rPr>
          <w:i/>
          <w:iCs/>
          <w:color w:val="000000"/>
          <w:sz w:val="15"/>
          <w:szCs w:val="15"/>
        </w:rPr>
        <w:t>N Engl J Med</w:t>
      </w:r>
      <w:r>
        <w:rPr>
          <w:color w:val="000000"/>
          <w:sz w:val="15"/>
          <w:szCs w:val="15"/>
        </w:rPr>
        <w:t xml:space="preserve"> 1994; 331:85).</w:t>
      </w:r>
    </w:p>
    <w:p w14:paraId="24AFFDE3" w14:textId="77777777" w:rsidR="00924992" w:rsidRDefault="00924992">
      <w:pPr>
        <w:pStyle w:val="Heading31"/>
        <w:keepNext/>
        <w:keepLines/>
        <w:framePr w:w="4618" w:h="322" w:wrap="none" w:hAnchor="page" w:x="4038" w:y="1"/>
        <w:rPr>
          <w:sz w:val="16"/>
          <w:szCs w:val="16"/>
        </w:rPr>
      </w:pPr>
      <w:bookmarkStart w:id="511" w:name="bookmark1957"/>
      <w:bookmarkStart w:id="512" w:name="bookmark1958"/>
      <w:bookmarkStart w:id="513" w:name="bookmark1959"/>
      <w:r>
        <w:rPr>
          <w:b w:val="0"/>
          <w:bCs w:val="0"/>
          <w:color w:val="000000"/>
        </w:rPr>
        <w:t xml:space="preserve">Cuadro 4-13. </w:t>
      </w:r>
      <w:r>
        <w:rPr>
          <w:color w:val="000000"/>
        </w:rPr>
        <w:t xml:space="preserve">Fármacos antiparasitarios </w:t>
      </w:r>
      <w:r>
        <w:rPr>
          <w:rFonts w:ascii="Times New Roman" w:eastAsia="Times New Roman" w:hAnsi="Times New Roman" w:cs="Times New Roman"/>
          <w:b w:val="0"/>
          <w:bCs w:val="0"/>
          <w:i/>
          <w:iCs/>
          <w:color w:val="000000"/>
          <w:w w:val="100"/>
          <w:sz w:val="16"/>
          <w:szCs w:val="16"/>
        </w:rPr>
        <w:t>continuación</w:t>
      </w:r>
      <w:bookmarkEnd w:id="511"/>
      <w:bookmarkEnd w:id="512"/>
      <w:bookmarkEnd w:id="513"/>
    </w:p>
    <w:tbl>
      <w:tblPr>
        <w:tblOverlap w:val="never"/>
        <w:tblW w:w="0" w:type="auto"/>
        <w:tblLayout w:type="fixed"/>
        <w:tblCellMar>
          <w:left w:w="10" w:type="dxa"/>
          <w:right w:w="10" w:type="dxa"/>
        </w:tblCellMar>
        <w:tblLook w:val="04A0" w:firstRow="1" w:lastRow="0" w:firstColumn="1" w:lastColumn="0" w:noHBand="0" w:noVBand="1"/>
      </w:tblPr>
      <w:tblGrid>
        <w:gridCol w:w="2635"/>
        <w:gridCol w:w="2438"/>
        <w:gridCol w:w="3298"/>
        <w:gridCol w:w="3062"/>
      </w:tblGrid>
      <w:tr w:rsidR="00924992" w14:paraId="55A53D44" w14:textId="77777777">
        <w:tblPrEx>
          <w:tblCellMar>
            <w:top w:w="0" w:type="dxa"/>
            <w:bottom w:w="0" w:type="dxa"/>
          </w:tblCellMar>
        </w:tblPrEx>
        <w:trPr>
          <w:trHeight w:hRule="exact" w:val="278"/>
        </w:trPr>
        <w:tc>
          <w:tcPr>
            <w:tcW w:w="2635" w:type="dxa"/>
            <w:shd w:val="clear" w:color="auto" w:fill="000000"/>
          </w:tcPr>
          <w:p w14:paraId="0EABAB0F" w14:textId="77777777" w:rsidR="00924992" w:rsidRDefault="00924992">
            <w:pPr>
              <w:pStyle w:val="Other0"/>
              <w:framePr w:w="11434" w:h="3869" w:vSpace="197" w:wrap="none" w:hAnchor="page" w:x="635" w:y="371"/>
              <w:pBdr>
                <w:top w:val="single" w:sz="0" w:space="0" w:color="000000"/>
                <w:left w:val="single" w:sz="0" w:space="0" w:color="000000"/>
                <w:bottom w:val="single" w:sz="0" w:space="0" w:color="000000"/>
                <w:right w:val="single" w:sz="0" w:space="0" w:color="000000"/>
              </w:pBdr>
              <w:shd w:val="clear" w:color="auto" w:fill="000000"/>
              <w:spacing w:line="240" w:lineRule="auto"/>
              <w:ind w:firstLine="0"/>
              <w:rPr>
                <w:sz w:val="24"/>
                <w:szCs w:val="24"/>
              </w:rPr>
            </w:pPr>
            <w:r>
              <w:rPr>
                <w:rFonts w:ascii="Arial" w:eastAsia="Arial" w:hAnsi="Arial" w:cs="Arial"/>
                <w:b/>
                <w:bCs/>
                <w:color w:val="FFFFFF"/>
                <w:w w:val="70"/>
                <w:sz w:val="24"/>
                <w:szCs w:val="24"/>
              </w:rPr>
              <w:t>Infección</w:t>
            </w:r>
          </w:p>
        </w:tc>
        <w:tc>
          <w:tcPr>
            <w:tcW w:w="2438" w:type="dxa"/>
            <w:shd w:val="clear" w:color="auto" w:fill="000000"/>
          </w:tcPr>
          <w:p w14:paraId="6ACE1DC3" w14:textId="77777777" w:rsidR="00924992" w:rsidRDefault="00924992">
            <w:pPr>
              <w:pStyle w:val="Other0"/>
              <w:framePr w:w="11434" w:h="3869" w:vSpace="197" w:wrap="none" w:hAnchor="page" w:x="635" w:y="371"/>
              <w:pBdr>
                <w:top w:val="single" w:sz="0" w:space="0" w:color="000000"/>
                <w:left w:val="single" w:sz="0" w:space="0" w:color="000000"/>
                <w:bottom w:val="single" w:sz="0" w:space="0" w:color="000000"/>
                <w:right w:val="single" w:sz="0" w:space="0" w:color="000000"/>
              </w:pBdr>
              <w:shd w:val="clear" w:color="auto" w:fill="000000"/>
              <w:spacing w:line="240" w:lineRule="auto"/>
              <w:ind w:firstLine="240"/>
              <w:rPr>
                <w:sz w:val="24"/>
                <w:szCs w:val="24"/>
              </w:rPr>
            </w:pPr>
            <w:r>
              <w:rPr>
                <w:rFonts w:ascii="Arial" w:eastAsia="Arial" w:hAnsi="Arial" w:cs="Arial"/>
                <w:b/>
                <w:bCs/>
                <w:color w:val="FFFFFF"/>
                <w:w w:val="70"/>
                <w:sz w:val="24"/>
                <w:szCs w:val="24"/>
              </w:rPr>
              <w:t>Fármaco</w:t>
            </w:r>
          </w:p>
        </w:tc>
        <w:tc>
          <w:tcPr>
            <w:tcW w:w="3298" w:type="dxa"/>
            <w:shd w:val="clear" w:color="auto" w:fill="000000"/>
          </w:tcPr>
          <w:p w14:paraId="0058AE57" w14:textId="77777777" w:rsidR="00924992" w:rsidRDefault="00924992">
            <w:pPr>
              <w:pStyle w:val="Other0"/>
              <w:framePr w:w="11434" w:h="3869" w:vSpace="197" w:wrap="none" w:hAnchor="page" w:x="635" w:y="371"/>
              <w:pBdr>
                <w:top w:val="single" w:sz="0" w:space="0" w:color="000000"/>
                <w:left w:val="single" w:sz="0" w:space="0" w:color="000000"/>
                <w:bottom w:val="single" w:sz="0" w:space="0" w:color="000000"/>
                <w:right w:val="single" w:sz="0" w:space="0" w:color="000000"/>
              </w:pBdr>
              <w:shd w:val="clear" w:color="auto" w:fill="000000"/>
              <w:spacing w:line="240" w:lineRule="auto"/>
              <w:ind w:firstLine="600"/>
              <w:rPr>
                <w:sz w:val="24"/>
                <w:szCs w:val="24"/>
              </w:rPr>
            </w:pPr>
            <w:r>
              <w:rPr>
                <w:rFonts w:ascii="Arial" w:eastAsia="Arial" w:hAnsi="Arial" w:cs="Arial"/>
                <w:b/>
                <w:bCs/>
                <w:color w:val="FFFFFF"/>
                <w:w w:val="70"/>
                <w:sz w:val="24"/>
                <w:szCs w:val="24"/>
              </w:rPr>
              <w:t>Dosis para adultos</w:t>
            </w:r>
          </w:p>
        </w:tc>
        <w:tc>
          <w:tcPr>
            <w:tcW w:w="3062" w:type="dxa"/>
            <w:shd w:val="clear" w:color="auto" w:fill="000000"/>
          </w:tcPr>
          <w:p w14:paraId="6524F3AE" w14:textId="77777777" w:rsidR="00924992" w:rsidRDefault="00924992">
            <w:pPr>
              <w:pStyle w:val="Other0"/>
              <w:framePr w:w="11434" w:h="3869" w:vSpace="197" w:wrap="none" w:hAnchor="page" w:x="635" w:y="371"/>
              <w:pBdr>
                <w:top w:val="single" w:sz="0" w:space="0" w:color="000000"/>
                <w:left w:val="single" w:sz="0" w:space="0" w:color="000000"/>
                <w:bottom w:val="single" w:sz="0" w:space="0" w:color="000000"/>
                <w:right w:val="single" w:sz="0" w:space="0" w:color="000000"/>
              </w:pBdr>
              <w:shd w:val="clear" w:color="auto" w:fill="000000"/>
              <w:tabs>
                <w:tab w:val="left" w:pos="3007"/>
              </w:tabs>
              <w:spacing w:line="240" w:lineRule="auto"/>
              <w:ind w:firstLine="180"/>
              <w:rPr>
                <w:sz w:val="24"/>
                <w:szCs w:val="24"/>
              </w:rPr>
            </w:pPr>
            <w:r>
              <w:rPr>
                <w:rFonts w:ascii="Arial" w:eastAsia="Arial" w:hAnsi="Arial" w:cs="Arial"/>
                <w:b/>
                <w:bCs/>
                <w:color w:val="FFFFFF"/>
                <w:w w:val="70"/>
                <w:sz w:val="24"/>
                <w:szCs w:val="24"/>
              </w:rPr>
              <w:t>Dosis para niños</w:t>
            </w:r>
            <w:r>
              <w:rPr>
                <w:rFonts w:ascii="Arial" w:eastAsia="Arial" w:hAnsi="Arial" w:cs="Arial"/>
                <w:b/>
                <w:bCs/>
                <w:color w:val="FFFFFF"/>
                <w:w w:val="70"/>
                <w:sz w:val="24"/>
                <w:szCs w:val="24"/>
              </w:rPr>
              <w:tab/>
              <w:t>I</w:t>
            </w:r>
          </w:p>
        </w:tc>
      </w:tr>
      <w:tr w:rsidR="00924992" w14:paraId="69205D61" w14:textId="77777777">
        <w:tblPrEx>
          <w:tblCellMar>
            <w:top w:w="0" w:type="dxa"/>
            <w:bottom w:w="0" w:type="dxa"/>
          </w:tblCellMar>
        </w:tblPrEx>
        <w:trPr>
          <w:trHeight w:hRule="exact" w:val="293"/>
        </w:trPr>
        <w:tc>
          <w:tcPr>
            <w:tcW w:w="2635" w:type="dxa"/>
            <w:shd w:val="clear" w:color="auto" w:fill="FFFFFF"/>
            <w:vAlign w:val="bottom"/>
          </w:tcPr>
          <w:p w14:paraId="3F2C46E0" w14:textId="77777777" w:rsidR="00924992" w:rsidRDefault="00924992">
            <w:pPr>
              <w:pStyle w:val="Other0"/>
              <w:framePr w:w="11434" w:h="3869" w:vSpace="197" w:wrap="none" w:hAnchor="page" w:x="635" w:y="371"/>
              <w:spacing w:line="240" w:lineRule="auto"/>
              <w:ind w:firstLine="0"/>
              <w:rPr>
                <w:sz w:val="17"/>
                <w:szCs w:val="17"/>
              </w:rPr>
            </w:pPr>
            <w:r>
              <w:rPr>
                <w:rFonts w:ascii="Times New Roman" w:eastAsia="Times New Roman" w:hAnsi="Times New Roman" w:cs="Times New Roman"/>
                <w:b/>
                <w:bCs/>
                <w:i/>
                <w:iCs/>
                <w:color w:val="000000"/>
                <w:sz w:val="17"/>
                <w:szCs w:val="17"/>
              </w:rPr>
              <w:t>Sappinia diploidea</w:t>
            </w:r>
          </w:p>
        </w:tc>
        <w:tc>
          <w:tcPr>
            <w:tcW w:w="2438" w:type="dxa"/>
            <w:shd w:val="clear" w:color="auto" w:fill="FFFFFF"/>
          </w:tcPr>
          <w:p w14:paraId="20A7CBCE" w14:textId="77777777" w:rsidR="00924992" w:rsidRDefault="00924992">
            <w:pPr>
              <w:framePr w:w="11434" w:h="3869" w:vSpace="197" w:wrap="none" w:hAnchor="page" w:x="635" w:y="371"/>
              <w:rPr>
                <w:sz w:val="10"/>
                <w:szCs w:val="10"/>
              </w:rPr>
            </w:pPr>
          </w:p>
        </w:tc>
        <w:tc>
          <w:tcPr>
            <w:tcW w:w="3298" w:type="dxa"/>
            <w:shd w:val="clear" w:color="auto" w:fill="FFFFFF"/>
          </w:tcPr>
          <w:p w14:paraId="60425BCD" w14:textId="77777777" w:rsidR="00924992" w:rsidRDefault="00924992">
            <w:pPr>
              <w:framePr w:w="11434" w:h="3869" w:vSpace="197" w:wrap="none" w:hAnchor="page" w:x="635" w:y="371"/>
              <w:rPr>
                <w:sz w:val="10"/>
                <w:szCs w:val="10"/>
              </w:rPr>
            </w:pPr>
          </w:p>
        </w:tc>
        <w:tc>
          <w:tcPr>
            <w:tcW w:w="3062" w:type="dxa"/>
            <w:shd w:val="clear" w:color="auto" w:fill="FFFFFF"/>
          </w:tcPr>
          <w:p w14:paraId="6CC8A9A0" w14:textId="77777777" w:rsidR="00924992" w:rsidRDefault="00924992">
            <w:pPr>
              <w:framePr w:w="11434" w:h="3869" w:vSpace="197" w:wrap="none" w:hAnchor="page" w:x="635" w:y="371"/>
              <w:rPr>
                <w:sz w:val="10"/>
                <w:szCs w:val="10"/>
              </w:rPr>
            </w:pPr>
          </w:p>
        </w:tc>
      </w:tr>
      <w:tr w:rsidR="00924992" w14:paraId="41ABF192" w14:textId="77777777">
        <w:tblPrEx>
          <w:tblCellMar>
            <w:top w:w="0" w:type="dxa"/>
            <w:bottom w:w="0" w:type="dxa"/>
          </w:tblCellMar>
        </w:tblPrEx>
        <w:trPr>
          <w:trHeight w:hRule="exact" w:val="197"/>
        </w:trPr>
        <w:tc>
          <w:tcPr>
            <w:tcW w:w="2635" w:type="dxa"/>
            <w:shd w:val="clear" w:color="auto" w:fill="FFFFFF"/>
          </w:tcPr>
          <w:p w14:paraId="19AB2EA1" w14:textId="77777777" w:rsidR="00924992" w:rsidRDefault="00924992">
            <w:pPr>
              <w:pStyle w:val="Other0"/>
              <w:framePr w:w="11434" w:h="3869" w:vSpace="197" w:wrap="none" w:hAnchor="page" w:x="635" w:y="371"/>
              <w:spacing w:line="240" w:lineRule="auto"/>
              <w:ind w:firstLine="0"/>
              <w:rPr>
                <w:sz w:val="16"/>
                <w:szCs w:val="16"/>
              </w:rPr>
            </w:pPr>
            <w:r>
              <w:rPr>
                <w:rFonts w:ascii="Times New Roman" w:eastAsia="Times New Roman" w:hAnsi="Times New Roman" w:cs="Times New Roman"/>
                <w:color w:val="000000"/>
                <w:sz w:val="16"/>
                <w:szCs w:val="16"/>
              </w:rPr>
              <w:t>Fármaco más indicado:</w:t>
            </w:r>
          </w:p>
        </w:tc>
        <w:tc>
          <w:tcPr>
            <w:tcW w:w="2438" w:type="dxa"/>
            <w:shd w:val="clear" w:color="auto" w:fill="FFFFFF"/>
          </w:tcPr>
          <w:p w14:paraId="5728888A" w14:textId="77777777" w:rsidR="00924992" w:rsidRDefault="00924992">
            <w:pPr>
              <w:pStyle w:val="Other0"/>
              <w:framePr w:w="11434" w:h="3869" w:vSpace="197" w:wrap="none" w:hAnchor="page" w:x="635" w:y="371"/>
              <w:spacing w:line="240" w:lineRule="auto"/>
              <w:ind w:firstLine="240"/>
              <w:rPr>
                <w:sz w:val="16"/>
                <w:szCs w:val="16"/>
              </w:rPr>
            </w:pPr>
            <w:r>
              <w:rPr>
                <w:rFonts w:ascii="Times New Roman" w:eastAsia="Times New Roman" w:hAnsi="Times New Roman" w:cs="Times New Roman"/>
                <w:color w:val="000000"/>
                <w:sz w:val="16"/>
                <w:szCs w:val="16"/>
              </w:rPr>
              <w:t>Véase pie de cuadro 6</w:t>
            </w:r>
          </w:p>
        </w:tc>
        <w:tc>
          <w:tcPr>
            <w:tcW w:w="3298" w:type="dxa"/>
            <w:shd w:val="clear" w:color="auto" w:fill="FFFFFF"/>
          </w:tcPr>
          <w:p w14:paraId="490AFCDC" w14:textId="77777777" w:rsidR="00924992" w:rsidRDefault="00924992">
            <w:pPr>
              <w:framePr w:w="11434" w:h="3869" w:vSpace="197" w:wrap="none" w:hAnchor="page" w:x="635" w:y="371"/>
              <w:rPr>
                <w:sz w:val="10"/>
                <w:szCs w:val="10"/>
              </w:rPr>
            </w:pPr>
          </w:p>
        </w:tc>
        <w:tc>
          <w:tcPr>
            <w:tcW w:w="3062" w:type="dxa"/>
            <w:shd w:val="clear" w:color="auto" w:fill="FFFFFF"/>
          </w:tcPr>
          <w:p w14:paraId="45935EE3" w14:textId="77777777" w:rsidR="00924992" w:rsidRDefault="00924992">
            <w:pPr>
              <w:framePr w:w="11434" w:h="3869" w:vSpace="197" w:wrap="none" w:hAnchor="page" w:x="635" w:y="371"/>
              <w:rPr>
                <w:sz w:val="10"/>
                <w:szCs w:val="10"/>
              </w:rPr>
            </w:pPr>
          </w:p>
        </w:tc>
      </w:tr>
      <w:tr w:rsidR="00924992" w14:paraId="72352C70" w14:textId="77777777">
        <w:tblPrEx>
          <w:tblCellMar>
            <w:top w:w="0" w:type="dxa"/>
            <w:bottom w:w="0" w:type="dxa"/>
          </w:tblCellMar>
        </w:tblPrEx>
        <w:trPr>
          <w:trHeight w:hRule="exact" w:val="235"/>
        </w:trPr>
        <w:tc>
          <w:tcPr>
            <w:tcW w:w="2635" w:type="dxa"/>
            <w:shd w:val="clear" w:color="auto" w:fill="FFFFFF"/>
            <w:vAlign w:val="bottom"/>
          </w:tcPr>
          <w:p w14:paraId="7C5F5656" w14:textId="77777777" w:rsidR="00924992" w:rsidRDefault="00924992">
            <w:pPr>
              <w:pStyle w:val="Other0"/>
              <w:framePr w:w="11434" w:h="3869" w:vSpace="197" w:wrap="none" w:hAnchor="page" w:x="635" w:y="371"/>
              <w:spacing w:line="240" w:lineRule="auto"/>
              <w:ind w:firstLine="0"/>
              <w:rPr>
                <w:sz w:val="15"/>
                <w:szCs w:val="15"/>
              </w:rPr>
            </w:pPr>
            <w:r>
              <w:rPr>
                <w:rFonts w:ascii="Times New Roman" w:eastAsia="Times New Roman" w:hAnsi="Times New Roman" w:cs="Times New Roman"/>
                <w:b/>
                <w:bCs/>
                <w:color w:val="000000"/>
                <w:sz w:val="16"/>
                <w:szCs w:val="16"/>
              </w:rPr>
              <w:t xml:space="preserve">AMIBIASIS </w:t>
            </w:r>
            <w:r>
              <w:rPr>
                <w:rFonts w:ascii="Times New Roman" w:eastAsia="Times New Roman" w:hAnsi="Times New Roman" w:cs="Times New Roman"/>
                <w:i/>
                <w:iCs/>
                <w:color w:val="000000"/>
                <w:sz w:val="15"/>
                <w:szCs w:val="15"/>
              </w:rPr>
              <w:t>(</w:t>
            </w:r>
            <w:r>
              <w:rPr>
                <w:rFonts w:ascii="Times New Roman" w:eastAsia="Times New Roman" w:hAnsi="Times New Roman" w:cs="Times New Roman"/>
                <w:i/>
                <w:iCs/>
                <w:color w:val="000000"/>
                <w:sz w:val="16"/>
                <w:szCs w:val="16"/>
              </w:rPr>
              <w:t>Entamoeba histolytica'</w:t>
            </w:r>
            <w:r>
              <w:rPr>
                <w:rFonts w:ascii="Times New Roman" w:eastAsia="Times New Roman" w:hAnsi="Times New Roman" w:cs="Times New Roman"/>
                <w:i/>
                <w:iCs/>
                <w:color w:val="000000"/>
                <w:sz w:val="15"/>
                <w:szCs w:val="15"/>
              </w:rPr>
              <w:t>)</w:t>
            </w:r>
          </w:p>
        </w:tc>
        <w:tc>
          <w:tcPr>
            <w:tcW w:w="2438" w:type="dxa"/>
            <w:shd w:val="clear" w:color="auto" w:fill="FFFFFF"/>
          </w:tcPr>
          <w:p w14:paraId="70801B73" w14:textId="77777777" w:rsidR="00924992" w:rsidRDefault="00924992">
            <w:pPr>
              <w:framePr w:w="11434" w:h="3869" w:vSpace="197" w:wrap="none" w:hAnchor="page" w:x="635" w:y="371"/>
              <w:rPr>
                <w:sz w:val="10"/>
                <w:szCs w:val="10"/>
              </w:rPr>
            </w:pPr>
          </w:p>
        </w:tc>
        <w:tc>
          <w:tcPr>
            <w:tcW w:w="3298" w:type="dxa"/>
            <w:shd w:val="clear" w:color="auto" w:fill="FFFFFF"/>
          </w:tcPr>
          <w:p w14:paraId="7DA9EE81" w14:textId="77777777" w:rsidR="00924992" w:rsidRDefault="00924992">
            <w:pPr>
              <w:framePr w:w="11434" w:h="3869" w:vSpace="197" w:wrap="none" w:hAnchor="page" w:x="635" w:y="371"/>
              <w:rPr>
                <w:sz w:val="10"/>
                <w:szCs w:val="10"/>
              </w:rPr>
            </w:pPr>
          </w:p>
        </w:tc>
        <w:tc>
          <w:tcPr>
            <w:tcW w:w="3062" w:type="dxa"/>
            <w:shd w:val="clear" w:color="auto" w:fill="FFFFFF"/>
          </w:tcPr>
          <w:p w14:paraId="7B2FC212" w14:textId="77777777" w:rsidR="00924992" w:rsidRDefault="00924992">
            <w:pPr>
              <w:framePr w:w="11434" w:h="3869" w:vSpace="197" w:wrap="none" w:hAnchor="page" w:x="635" w:y="371"/>
              <w:rPr>
                <w:sz w:val="10"/>
                <w:szCs w:val="10"/>
              </w:rPr>
            </w:pPr>
          </w:p>
        </w:tc>
      </w:tr>
      <w:tr w:rsidR="00924992" w14:paraId="23306EBE" w14:textId="77777777">
        <w:tblPrEx>
          <w:tblCellMar>
            <w:top w:w="0" w:type="dxa"/>
            <w:bottom w:w="0" w:type="dxa"/>
          </w:tblCellMar>
        </w:tblPrEx>
        <w:trPr>
          <w:trHeight w:hRule="exact" w:val="192"/>
        </w:trPr>
        <w:tc>
          <w:tcPr>
            <w:tcW w:w="2635" w:type="dxa"/>
            <w:shd w:val="clear" w:color="auto" w:fill="FFFFFF"/>
          </w:tcPr>
          <w:p w14:paraId="7CF6C749" w14:textId="77777777" w:rsidR="00924992" w:rsidRDefault="00924992">
            <w:pPr>
              <w:pStyle w:val="Other0"/>
              <w:framePr w:w="11434" w:h="3869" w:vSpace="197" w:wrap="none" w:hAnchor="page" w:x="635" w:y="371"/>
              <w:spacing w:line="240" w:lineRule="auto"/>
              <w:ind w:firstLine="160"/>
              <w:rPr>
                <w:sz w:val="16"/>
                <w:szCs w:val="16"/>
              </w:rPr>
            </w:pPr>
            <w:r>
              <w:rPr>
                <w:rFonts w:ascii="Times New Roman" w:eastAsia="Times New Roman" w:hAnsi="Times New Roman" w:cs="Times New Roman"/>
                <w:b/>
                <w:bCs/>
                <w:color w:val="000000"/>
                <w:sz w:val="16"/>
                <w:szCs w:val="16"/>
              </w:rPr>
              <w:t>asintomática</w:t>
            </w:r>
          </w:p>
        </w:tc>
        <w:tc>
          <w:tcPr>
            <w:tcW w:w="2438" w:type="dxa"/>
            <w:shd w:val="clear" w:color="auto" w:fill="FFFFFF"/>
          </w:tcPr>
          <w:p w14:paraId="22482C70" w14:textId="77777777" w:rsidR="00924992" w:rsidRDefault="00924992">
            <w:pPr>
              <w:framePr w:w="11434" w:h="3869" w:vSpace="197" w:wrap="none" w:hAnchor="page" w:x="635" w:y="371"/>
              <w:rPr>
                <w:sz w:val="10"/>
                <w:szCs w:val="10"/>
              </w:rPr>
            </w:pPr>
          </w:p>
        </w:tc>
        <w:tc>
          <w:tcPr>
            <w:tcW w:w="3298" w:type="dxa"/>
            <w:shd w:val="clear" w:color="auto" w:fill="FFFFFF"/>
          </w:tcPr>
          <w:p w14:paraId="45DD9456" w14:textId="77777777" w:rsidR="00924992" w:rsidRDefault="00924992">
            <w:pPr>
              <w:framePr w:w="11434" w:h="3869" w:vSpace="197" w:wrap="none" w:hAnchor="page" w:x="635" w:y="371"/>
              <w:rPr>
                <w:sz w:val="10"/>
                <w:szCs w:val="10"/>
              </w:rPr>
            </w:pPr>
          </w:p>
        </w:tc>
        <w:tc>
          <w:tcPr>
            <w:tcW w:w="3062" w:type="dxa"/>
            <w:shd w:val="clear" w:color="auto" w:fill="FFFFFF"/>
          </w:tcPr>
          <w:p w14:paraId="6090844D" w14:textId="77777777" w:rsidR="00924992" w:rsidRDefault="00924992">
            <w:pPr>
              <w:framePr w:w="11434" w:h="3869" w:vSpace="197" w:wrap="none" w:hAnchor="page" w:x="635" w:y="371"/>
              <w:rPr>
                <w:sz w:val="10"/>
                <w:szCs w:val="10"/>
              </w:rPr>
            </w:pPr>
          </w:p>
        </w:tc>
      </w:tr>
      <w:tr w:rsidR="00924992" w14:paraId="7B35F9EF" w14:textId="77777777">
        <w:tblPrEx>
          <w:tblCellMar>
            <w:top w:w="0" w:type="dxa"/>
            <w:bottom w:w="0" w:type="dxa"/>
          </w:tblCellMar>
        </w:tblPrEx>
        <w:trPr>
          <w:trHeight w:hRule="exact" w:val="230"/>
        </w:trPr>
        <w:tc>
          <w:tcPr>
            <w:tcW w:w="2635" w:type="dxa"/>
            <w:shd w:val="clear" w:color="auto" w:fill="FFFFFF"/>
            <w:vAlign w:val="bottom"/>
          </w:tcPr>
          <w:p w14:paraId="141530AA" w14:textId="77777777" w:rsidR="00924992" w:rsidRDefault="00924992">
            <w:pPr>
              <w:pStyle w:val="Other0"/>
              <w:framePr w:w="11434" w:h="3869" w:vSpace="197" w:wrap="none" w:hAnchor="page" w:x="635" w:y="371"/>
              <w:spacing w:line="240" w:lineRule="auto"/>
              <w:ind w:firstLine="0"/>
              <w:rPr>
                <w:sz w:val="16"/>
                <w:szCs w:val="16"/>
              </w:rPr>
            </w:pPr>
            <w:r>
              <w:rPr>
                <w:rFonts w:ascii="Times New Roman" w:eastAsia="Times New Roman" w:hAnsi="Times New Roman" w:cs="Times New Roman"/>
                <w:color w:val="000000"/>
                <w:sz w:val="16"/>
                <w:szCs w:val="16"/>
              </w:rPr>
              <w:t>Fármaco más indicado:</w:t>
            </w:r>
          </w:p>
        </w:tc>
        <w:tc>
          <w:tcPr>
            <w:tcW w:w="2438" w:type="dxa"/>
            <w:shd w:val="clear" w:color="auto" w:fill="FFFFFF"/>
            <w:vAlign w:val="bottom"/>
          </w:tcPr>
          <w:p w14:paraId="0BF8A1BC" w14:textId="77777777" w:rsidR="00924992" w:rsidRDefault="00924992">
            <w:pPr>
              <w:pStyle w:val="Other0"/>
              <w:framePr w:w="11434" w:h="3869" w:vSpace="197" w:wrap="none" w:hAnchor="page" w:x="635" w:y="371"/>
              <w:spacing w:line="240" w:lineRule="auto"/>
              <w:ind w:firstLine="240"/>
              <w:rPr>
                <w:sz w:val="16"/>
                <w:szCs w:val="16"/>
              </w:rPr>
            </w:pPr>
            <w:r>
              <w:rPr>
                <w:rFonts w:ascii="Times New Roman" w:eastAsia="Times New Roman" w:hAnsi="Times New Roman" w:cs="Times New Roman"/>
                <w:color w:val="000000"/>
                <w:sz w:val="16"/>
                <w:szCs w:val="16"/>
              </w:rPr>
              <w:t>Yodoquinol</w:t>
            </w:r>
          </w:p>
        </w:tc>
        <w:tc>
          <w:tcPr>
            <w:tcW w:w="3298" w:type="dxa"/>
            <w:shd w:val="clear" w:color="auto" w:fill="FFFFFF"/>
            <w:vAlign w:val="bottom"/>
          </w:tcPr>
          <w:p w14:paraId="5C6150B5" w14:textId="77777777" w:rsidR="00924992" w:rsidRDefault="00924992">
            <w:pPr>
              <w:pStyle w:val="Other0"/>
              <w:framePr w:w="11434" w:h="3869" w:vSpace="197" w:wrap="none" w:hAnchor="page" w:x="635" w:y="371"/>
              <w:spacing w:line="240" w:lineRule="auto"/>
              <w:ind w:firstLine="600"/>
              <w:rPr>
                <w:sz w:val="16"/>
                <w:szCs w:val="16"/>
              </w:rPr>
            </w:pPr>
            <w:r>
              <w:rPr>
                <w:rFonts w:ascii="Times New Roman" w:eastAsia="Times New Roman" w:hAnsi="Times New Roman" w:cs="Times New Roman"/>
                <w:color w:val="000000"/>
                <w:sz w:val="16"/>
                <w:szCs w:val="16"/>
              </w:rPr>
              <w:t xml:space="preserve">650 mg tid </w:t>
            </w:r>
            <w:r>
              <w:rPr>
                <w:color w:val="000000"/>
              </w:rPr>
              <w:t xml:space="preserve">x </w:t>
            </w:r>
            <w:r>
              <w:rPr>
                <w:rFonts w:ascii="Times New Roman" w:eastAsia="Times New Roman" w:hAnsi="Times New Roman" w:cs="Times New Roman"/>
                <w:color w:val="000000"/>
                <w:sz w:val="16"/>
                <w:szCs w:val="16"/>
              </w:rPr>
              <w:t>20 días</w:t>
            </w:r>
          </w:p>
        </w:tc>
        <w:tc>
          <w:tcPr>
            <w:tcW w:w="3062" w:type="dxa"/>
            <w:shd w:val="clear" w:color="auto" w:fill="FFFFFF"/>
            <w:vAlign w:val="bottom"/>
          </w:tcPr>
          <w:p w14:paraId="1C621E6D" w14:textId="77777777" w:rsidR="00924992" w:rsidRDefault="00924992">
            <w:pPr>
              <w:pStyle w:val="Other0"/>
              <w:framePr w:w="11434" w:h="3869" w:vSpace="197" w:wrap="none" w:hAnchor="page" w:x="635" w:y="371"/>
              <w:spacing w:line="240" w:lineRule="auto"/>
              <w:ind w:firstLine="180"/>
              <w:rPr>
                <w:sz w:val="16"/>
                <w:szCs w:val="16"/>
              </w:rPr>
            </w:pPr>
            <w:r>
              <w:rPr>
                <w:rFonts w:ascii="Times New Roman" w:eastAsia="Times New Roman" w:hAnsi="Times New Roman" w:cs="Times New Roman"/>
                <w:color w:val="000000"/>
                <w:sz w:val="16"/>
                <w:szCs w:val="16"/>
              </w:rPr>
              <w:t>30-40 mg/kg/día (máx. 2 g) en 3 dosis</w:t>
            </w:r>
          </w:p>
        </w:tc>
      </w:tr>
      <w:tr w:rsidR="00924992" w14:paraId="60FE733B" w14:textId="77777777">
        <w:tblPrEx>
          <w:tblCellMar>
            <w:top w:w="0" w:type="dxa"/>
            <w:bottom w:w="0" w:type="dxa"/>
          </w:tblCellMar>
        </w:tblPrEx>
        <w:trPr>
          <w:trHeight w:hRule="exact" w:val="206"/>
        </w:trPr>
        <w:tc>
          <w:tcPr>
            <w:tcW w:w="2635" w:type="dxa"/>
            <w:shd w:val="clear" w:color="auto" w:fill="FFFFFF"/>
          </w:tcPr>
          <w:p w14:paraId="60C24AD2" w14:textId="77777777" w:rsidR="00924992" w:rsidRDefault="00924992">
            <w:pPr>
              <w:framePr w:w="11434" w:h="3869" w:vSpace="197" w:wrap="none" w:hAnchor="page" w:x="635" w:y="371"/>
              <w:rPr>
                <w:sz w:val="10"/>
                <w:szCs w:val="10"/>
              </w:rPr>
            </w:pPr>
          </w:p>
        </w:tc>
        <w:tc>
          <w:tcPr>
            <w:tcW w:w="2438" w:type="dxa"/>
            <w:shd w:val="clear" w:color="auto" w:fill="FFFFFF"/>
          </w:tcPr>
          <w:p w14:paraId="18BD4404" w14:textId="77777777" w:rsidR="00924992" w:rsidRDefault="00924992">
            <w:pPr>
              <w:framePr w:w="11434" w:h="3869" w:vSpace="197" w:wrap="none" w:hAnchor="page" w:x="635" w:y="371"/>
              <w:rPr>
                <w:sz w:val="10"/>
                <w:szCs w:val="10"/>
              </w:rPr>
            </w:pPr>
          </w:p>
        </w:tc>
        <w:tc>
          <w:tcPr>
            <w:tcW w:w="3298" w:type="dxa"/>
            <w:shd w:val="clear" w:color="auto" w:fill="FFFFFF"/>
          </w:tcPr>
          <w:p w14:paraId="2FE70C3F" w14:textId="77777777" w:rsidR="00924992" w:rsidRDefault="00924992">
            <w:pPr>
              <w:framePr w:w="11434" w:h="3869" w:vSpace="197" w:wrap="none" w:hAnchor="page" w:x="635" w:y="371"/>
              <w:rPr>
                <w:sz w:val="10"/>
                <w:szCs w:val="10"/>
              </w:rPr>
            </w:pPr>
          </w:p>
        </w:tc>
        <w:tc>
          <w:tcPr>
            <w:tcW w:w="3062" w:type="dxa"/>
            <w:shd w:val="clear" w:color="auto" w:fill="FFFFFF"/>
          </w:tcPr>
          <w:p w14:paraId="4DCD889B" w14:textId="77777777" w:rsidR="00924992" w:rsidRDefault="00924992">
            <w:pPr>
              <w:pStyle w:val="Other0"/>
              <w:framePr w:w="11434" w:h="3869" w:vSpace="197" w:wrap="none" w:hAnchor="page" w:x="635" w:y="371"/>
              <w:spacing w:line="240" w:lineRule="auto"/>
              <w:ind w:firstLine="280"/>
              <w:jc w:val="both"/>
              <w:rPr>
                <w:sz w:val="16"/>
                <w:szCs w:val="16"/>
              </w:rPr>
            </w:pPr>
            <w:r>
              <w:rPr>
                <w:color w:val="000000"/>
              </w:rPr>
              <w:t xml:space="preserve">x </w:t>
            </w:r>
            <w:r>
              <w:rPr>
                <w:rFonts w:ascii="Times New Roman" w:eastAsia="Times New Roman" w:hAnsi="Times New Roman" w:cs="Times New Roman"/>
                <w:color w:val="000000"/>
                <w:sz w:val="16"/>
                <w:szCs w:val="16"/>
              </w:rPr>
              <w:t>20 días</w:t>
            </w:r>
          </w:p>
        </w:tc>
      </w:tr>
      <w:tr w:rsidR="00924992" w14:paraId="6C6E9230" w14:textId="77777777">
        <w:tblPrEx>
          <w:tblCellMar>
            <w:top w:w="0" w:type="dxa"/>
            <w:bottom w:w="0" w:type="dxa"/>
          </w:tblCellMar>
        </w:tblPrEx>
        <w:trPr>
          <w:trHeight w:hRule="exact" w:val="226"/>
        </w:trPr>
        <w:tc>
          <w:tcPr>
            <w:tcW w:w="2635" w:type="dxa"/>
            <w:shd w:val="clear" w:color="auto" w:fill="FFFFFF"/>
            <w:vAlign w:val="bottom"/>
          </w:tcPr>
          <w:p w14:paraId="1C977EDE" w14:textId="77777777" w:rsidR="00924992" w:rsidRDefault="00924992">
            <w:pPr>
              <w:pStyle w:val="Other0"/>
              <w:framePr w:w="11434" w:h="3869" w:vSpace="197" w:wrap="none" w:hAnchor="page" w:x="635" w:y="371"/>
              <w:spacing w:line="240" w:lineRule="auto"/>
              <w:ind w:firstLine="160"/>
              <w:rPr>
                <w:sz w:val="16"/>
                <w:szCs w:val="16"/>
              </w:rPr>
            </w:pPr>
            <w:r>
              <w:rPr>
                <w:rFonts w:ascii="Times New Roman" w:eastAsia="Times New Roman" w:hAnsi="Times New Roman" w:cs="Times New Roman"/>
                <w:b/>
                <w:bCs/>
                <w:color w:val="000000"/>
                <w:sz w:val="16"/>
                <w:szCs w:val="16"/>
              </w:rPr>
              <w:t>O</w:t>
            </w:r>
          </w:p>
        </w:tc>
        <w:tc>
          <w:tcPr>
            <w:tcW w:w="2438" w:type="dxa"/>
            <w:shd w:val="clear" w:color="auto" w:fill="FFFFFF"/>
            <w:vAlign w:val="bottom"/>
          </w:tcPr>
          <w:p w14:paraId="7AEADBB8" w14:textId="77777777" w:rsidR="00924992" w:rsidRDefault="00924992">
            <w:pPr>
              <w:pStyle w:val="Other0"/>
              <w:framePr w:w="11434" w:h="3869" w:vSpace="197" w:wrap="none" w:hAnchor="page" w:x="635" w:y="371"/>
              <w:spacing w:line="240" w:lineRule="auto"/>
              <w:ind w:firstLine="240"/>
              <w:rPr>
                <w:sz w:val="16"/>
                <w:szCs w:val="16"/>
              </w:rPr>
            </w:pPr>
            <w:r>
              <w:rPr>
                <w:rFonts w:ascii="Times New Roman" w:eastAsia="Times New Roman" w:hAnsi="Times New Roman" w:cs="Times New Roman"/>
                <w:color w:val="000000"/>
                <w:sz w:val="16"/>
                <w:szCs w:val="16"/>
              </w:rPr>
              <w:t>Paromomicina</w:t>
            </w:r>
          </w:p>
        </w:tc>
        <w:tc>
          <w:tcPr>
            <w:tcW w:w="3298" w:type="dxa"/>
            <w:shd w:val="clear" w:color="auto" w:fill="FFFFFF"/>
            <w:vAlign w:val="bottom"/>
          </w:tcPr>
          <w:p w14:paraId="1EFC1037" w14:textId="77777777" w:rsidR="00924992" w:rsidRDefault="00924992">
            <w:pPr>
              <w:pStyle w:val="Other0"/>
              <w:framePr w:w="11434" w:h="3869" w:vSpace="197" w:wrap="none" w:hAnchor="page" w:x="635" w:y="371"/>
              <w:spacing w:line="240" w:lineRule="auto"/>
              <w:ind w:firstLine="600"/>
              <w:rPr>
                <w:sz w:val="16"/>
                <w:szCs w:val="16"/>
              </w:rPr>
            </w:pPr>
            <w:r>
              <w:rPr>
                <w:rFonts w:ascii="Times New Roman" w:eastAsia="Times New Roman" w:hAnsi="Times New Roman" w:cs="Times New Roman"/>
                <w:color w:val="000000"/>
                <w:sz w:val="16"/>
                <w:szCs w:val="16"/>
              </w:rPr>
              <w:t xml:space="preserve">25-35 mg/kg/día en 3 dosis </w:t>
            </w:r>
            <w:r>
              <w:rPr>
                <w:color w:val="000000"/>
              </w:rPr>
              <w:t xml:space="preserve">x </w:t>
            </w:r>
            <w:r>
              <w:rPr>
                <w:rFonts w:ascii="Times New Roman" w:eastAsia="Times New Roman" w:hAnsi="Times New Roman" w:cs="Times New Roman"/>
                <w:color w:val="000000"/>
                <w:sz w:val="16"/>
                <w:szCs w:val="16"/>
              </w:rPr>
              <w:t>7 días</w:t>
            </w:r>
          </w:p>
        </w:tc>
        <w:tc>
          <w:tcPr>
            <w:tcW w:w="3062" w:type="dxa"/>
            <w:shd w:val="clear" w:color="auto" w:fill="FFFFFF"/>
            <w:vAlign w:val="bottom"/>
          </w:tcPr>
          <w:p w14:paraId="4706D6E3" w14:textId="77777777" w:rsidR="00924992" w:rsidRDefault="00924992">
            <w:pPr>
              <w:pStyle w:val="Other0"/>
              <w:framePr w:w="11434" w:h="3869" w:vSpace="197" w:wrap="none" w:hAnchor="page" w:x="635" w:y="371"/>
              <w:spacing w:line="240" w:lineRule="auto"/>
              <w:ind w:firstLine="180"/>
              <w:rPr>
                <w:sz w:val="16"/>
                <w:szCs w:val="16"/>
              </w:rPr>
            </w:pPr>
            <w:r>
              <w:rPr>
                <w:rFonts w:ascii="Times New Roman" w:eastAsia="Times New Roman" w:hAnsi="Times New Roman" w:cs="Times New Roman"/>
                <w:color w:val="000000"/>
                <w:sz w:val="16"/>
                <w:szCs w:val="16"/>
              </w:rPr>
              <w:t xml:space="preserve">25-35 mg/kg/día en 3 dosis </w:t>
            </w:r>
            <w:r>
              <w:rPr>
                <w:color w:val="000000"/>
              </w:rPr>
              <w:t xml:space="preserve">x </w:t>
            </w:r>
            <w:r>
              <w:rPr>
                <w:rFonts w:ascii="Times New Roman" w:eastAsia="Times New Roman" w:hAnsi="Times New Roman" w:cs="Times New Roman"/>
                <w:color w:val="000000"/>
                <w:sz w:val="16"/>
                <w:szCs w:val="16"/>
              </w:rPr>
              <w:t>7 días</w:t>
            </w:r>
          </w:p>
        </w:tc>
      </w:tr>
      <w:tr w:rsidR="00924992" w14:paraId="5AEEF90C" w14:textId="77777777">
        <w:tblPrEx>
          <w:tblCellMar>
            <w:top w:w="0" w:type="dxa"/>
            <w:bottom w:w="0" w:type="dxa"/>
          </w:tblCellMar>
        </w:tblPrEx>
        <w:trPr>
          <w:trHeight w:hRule="exact" w:val="216"/>
        </w:trPr>
        <w:tc>
          <w:tcPr>
            <w:tcW w:w="2635" w:type="dxa"/>
            <w:shd w:val="clear" w:color="auto" w:fill="FFFFFF"/>
            <w:vAlign w:val="bottom"/>
          </w:tcPr>
          <w:p w14:paraId="68EB1F77" w14:textId="77777777" w:rsidR="00924992" w:rsidRDefault="00924992">
            <w:pPr>
              <w:pStyle w:val="Other0"/>
              <w:framePr w:w="11434" w:h="3869" w:vSpace="197" w:wrap="none" w:hAnchor="page" w:x="635" w:y="371"/>
              <w:spacing w:line="240" w:lineRule="auto"/>
              <w:ind w:firstLine="0"/>
              <w:rPr>
                <w:sz w:val="16"/>
                <w:szCs w:val="16"/>
              </w:rPr>
            </w:pPr>
            <w:r>
              <w:rPr>
                <w:rFonts w:ascii="Times New Roman" w:eastAsia="Times New Roman" w:hAnsi="Times New Roman" w:cs="Times New Roman"/>
                <w:color w:val="000000"/>
                <w:sz w:val="16"/>
                <w:szCs w:val="16"/>
              </w:rPr>
              <w:t>Fármaco alternativo:</w:t>
            </w:r>
          </w:p>
        </w:tc>
        <w:tc>
          <w:tcPr>
            <w:tcW w:w="2438" w:type="dxa"/>
            <w:shd w:val="clear" w:color="auto" w:fill="FFFFFF"/>
            <w:vAlign w:val="bottom"/>
          </w:tcPr>
          <w:p w14:paraId="1F2304F4" w14:textId="77777777" w:rsidR="00924992" w:rsidRDefault="00924992">
            <w:pPr>
              <w:pStyle w:val="Other0"/>
              <w:framePr w:w="11434" w:h="3869" w:vSpace="197" w:wrap="none" w:hAnchor="page" w:x="635" w:y="371"/>
              <w:spacing w:line="240" w:lineRule="auto"/>
              <w:ind w:firstLine="240"/>
              <w:rPr>
                <w:sz w:val="16"/>
                <w:szCs w:val="16"/>
              </w:rPr>
            </w:pPr>
            <w:r>
              <w:rPr>
                <w:rFonts w:ascii="Times New Roman" w:eastAsia="Times New Roman" w:hAnsi="Times New Roman" w:cs="Times New Roman"/>
                <w:color w:val="000000"/>
                <w:sz w:val="16"/>
                <w:szCs w:val="16"/>
              </w:rPr>
              <w:t>Furoato de diloxanida</w:t>
            </w:r>
            <w:r>
              <w:rPr>
                <w:rFonts w:ascii="Times New Roman" w:eastAsia="Times New Roman" w:hAnsi="Times New Roman" w:cs="Times New Roman"/>
                <w:color w:val="000000"/>
                <w:sz w:val="16"/>
                <w:szCs w:val="16"/>
                <w:vertAlign w:val="superscript"/>
              </w:rPr>
              <w:t>7</w:t>
            </w:r>
          </w:p>
        </w:tc>
        <w:tc>
          <w:tcPr>
            <w:tcW w:w="3298" w:type="dxa"/>
            <w:shd w:val="clear" w:color="auto" w:fill="FFFFFF"/>
            <w:vAlign w:val="bottom"/>
          </w:tcPr>
          <w:p w14:paraId="1D81CDA0" w14:textId="77777777" w:rsidR="00924992" w:rsidRDefault="00924992">
            <w:pPr>
              <w:pStyle w:val="Other0"/>
              <w:framePr w:w="11434" w:h="3869" w:vSpace="197" w:wrap="none" w:hAnchor="page" w:x="635" w:y="371"/>
              <w:spacing w:line="240" w:lineRule="auto"/>
              <w:ind w:firstLine="600"/>
              <w:rPr>
                <w:sz w:val="16"/>
                <w:szCs w:val="16"/>
              </w:rPr>
            </w:pPr>
            <w:r>
              <w:rPr>
                <w:rFonts w:ascii="Times New Roman" w:eastAsia="Times New Roman" w:hAnsi="Times New Roman" w:cs="Times New Roman"/>
                <w:color w:val="000000"/>
                <w:sz w:val="16"/>
                <w:szCs w:val="16"/>
              </w:rPr>
              <w:t xml:space="preserve">500 mg tid </w:t>
            </w:r>
            <w:r>
              <w:rPr>
                <w:color w:val="000000"/>
              </w:rPr>
              <w:t xml:space="preserve">x </w:t>
            </w:r>
            <w:r>
              <w:rPr>
                <w:rFonts w:ascii="Times New Roman" w:eastAsia="Times New Roman" w:hAnsi="Times New Roman" w:cs="Times New Roman"/>
                <w:color w:val="000000"/>
                <w:sz w:val="16"/>
                <w:szCs w:val="16"/>
              </w:rPr>
              <w:t>10 días</w:t>
            </w:r>
          </w:p>
        </w:tc>
        <w:tc>
          <w:tcPr>
            <w:tcW w:w="3062" w:type="dxa"/>
            <w:shd w:val="clear" w:color="auto" w:fill="FFFFFF"/>
            <w:vAlign w:val="bottom"/>
          </w:tcPr>
          <w:p w14:paraId="17BA2375" w14:textId="77777777" w:rsidR="00924992" w:rsidRDefault="00924992">
            <w:pPr>
              <w:pStyle w:val="Other0"/>
              <w:framePr w:w="11434" w:h="3869" w:vSpace="197" w:wrap="none" w:hAnchor="page" w:x="635" w:y="371"/>
              <w:spacing w:line="240" w:lineRule="auto"/>
              <w:ind w:firstLine="180"/>
              <w:rPr>
                <w:sz w:val="16"/>
                <w:szCs w:val="16"/>
              </w:rPr>
            </w:pPr>
            <w:r>
              <w:rPr>
                <w:rFonts w:ascii="Times New Roman" w:eastAsia="Times New Roman" w:hAnsi="Times New Roman" w:cs="Times New Roman"/>
                <w:color w:val="000000"/>
                <w:sz w:val="16"/>
                <w:szCs w:val="16"/>
              </w:rPr>
              <w:t xml:space="preserve">20 mg/kg/día en 3 dosis </w:t>
            </w:r>
            <w:r>
              <w:rPr>
                <w:color w:val="000000"/>
              </w:rPr>
              <w:t xml:space="preserve">x </w:t>
            </w:r>
            <w:r>
              <w:rPr>
                <w:rFonts w:ascii="Times New Roman" w:eastAsia="Times New Roman" w:hAnsi="Times New Roman" w:cs="Times New Roman"/>
                <w:color w:val="000000"/>
                <w:sz w:val="16"/>
                <w:szCs w:val="16"/>
              </w:rPr>
              <w:t>10 días</w:t>
            </w:r>
          </w:p>
        </w:tc>
      </w:tr>
      <w:tr w:rsidR="00924992" w14:paraId="50F866CC" w14:textId="77777777">
        <w:tblPrEx>
          <w:tblCellMar>
            <w:top w:w="0" w:type="dxa"/>
            <w:bottom w:w="0" w:type="dxa"/>
          </w:tblCellMar>
        </w:tblPrEx>
        <w:trPr>
          <w:trHeight w:hRule="exact" w:val="211"/>
        </w:trPr>
        <w:tc>
          <w:tcPr>
            <w:tcW w:w="2635" w:type="dxa"/>
            <w:shd w:val="clear" w:color="auto" w:fill="FFFFFF"/>
          </w:tcPr>
          <w:p w14:paraId="1CD52E62" w14:textId="77777777" w:rsidR="00924992" w:rsidRDefault="00924992">
            <w:pPr>
              <w:pStyle w:val="Other0"/>
              <w:framePr w:w="11434" w:h="3869" w:vSpace="197" w:wrap="none" w:hAnchor="page" w:x="635" w:y="371"/>
              <w:spacing w:line="240" w:lineRule="auto"/>
              <w:ind w:firstLine="160"/>
              <w:rPr>
                <w:sz w:val="16"/>
                <w:szCs w:val="16"/>
              </w:rPr>
            </w:pPr>
            <w:r>
              <w:rPr>
                <w:rFonts w:ascii="Times New Roman" w:eastAsia="Times New Roman" w:hAnsi="Times New Roman" w:cs="Times New Roman"/>
                <w:b/>
                <w:bCs/>
                <w:color w:val="000000"/>
                <w:sz w:val="16"/>
                <w:szCs w:val="16"/>
              </w:rPr>
              <w:t>enfermedad intestinal leve</w:t>
            </w:r>
          </w:p>
        </w:tc>
        <w:tc>
          <w:tcPr>
            <w:tcW w:w="2438" w:type="dxa"/>
            <w:shd w:val="clear" w:color="auto" w:fill="FFFFFF"/>
          </w:tcPr>
          <w:p w14:paraId="39612418" w14:textId="77777777" w:rsidR="00924992" w:rsidRDefault="00924992">
            <w:pPr>
              <w:framePr w:w="11434" w:h="3869" w:vSpace="197" w:wrap="none" w:hAnchor="page" w:x="635" w:y="371"/>
              <w:rPr>
                <w:sz w:val="10"/>
                <w:szCs w:val="10"/>
              </w:rPr>
            </w:pPr>
          </w:p>
        </w:tc>
        <w:tc>
          <w:tcPr>
            <w:tcW w:w="3298" w:type="dxa"/>
            <w:shd w:val="clear" w:color="auto" w:fill="FFFFFF"/>
          </w:tcPr>
          <w:p w14:paraId="5EB272ED" w14:textId="77777777" w:rsidR="00924992" w:rsidRDefault="00924992">
            <w:pPr>
              <w:framePr w:w="11434" w:h="3869" w:vSpace="197" w:wrap="none" w:hAnchor="page" w:x="635" w:y="371"/>
              <w:rPr>
                <w:sz w:val="10"/>
                <w:szCs w:val="10"/>
              </w:rPr>
            </w:pPr>
          </w:p>
        </w:tc>
        <w:tc>
          <w:tcPr>
            <w:tcW w:w="3062" w:type="dxa"/>
            <w:shd w:val="clear" w:color="auto" w:fill="FFFFFF"/>
          </w:tcPr>
          <w:p w14:paraId="7EEFCF80" w14:textId="77777777" w:rsidR="00924992" w:rsidRDefault="00924992">
            <w:pPr>
              <w:framePr w:w="11434" w:h="3869" w:vSpace="197" w:wrap="none" w:hAnchor="page" w:x="635" w:y="371"/>
              <w:rPr>
                <w:sz w:val="10"/>
                <w:szCs w:val="10"/>
              </w:rPr>
            </w:pPr>
          </w:p>
        </w:tc>
      </w:tr>
      <w:tr w:rsidR="00924992" w14:paraId="19341587" w14:textId="77777777">
        <w:tblPrEx>
          <w:tblCellMar>
            <w:top w:w="0" w:type="dxa"/>
            <w:bottom w:w="0" w:type="dxa"/>
          </w:tblCellMar>
        </w:tblPrEx>
        <w:trPr>
          <w:trHeight w:hRule="exact" w:val="226"/>
        </w:trPr>
        <w:tc>
          <w:tcPr>
            <w:tcW w:w="2635" w:type="dxa"/>
            <w:shd w:val="clear" w:color="auto" w:fill="FFFFFF"/>
          </w:tcPr>
          <w:p w14:paraId="648C7F57" w14:textId="77777777" w:rsidR="00924992" w:rsidRDefault="00924992">
            <w:pPr>
              <w:pStyle w:val="Other0"/>
              <w:framePr w:w="11434" w:h="3869" w:vSpace="197" w:wrap="none" w:hAnchor="page" w:x="635" w:y="371"/>
              <w:spacing w:line="240" w:lineRule="auto"/>
              <w:ind w:firstLine="160"/>
              <w:rPr>
                <w:sz w:val="16"/>
                <w:szCs w:val="16"/>
              </w:rPr>
            </w:pPr>
            <w:r>
              <w:rPr>
                <w:rFonts w:ascii="Times New Roman" w:eastAsia="Times New Roman" w:hAnsi="Times New Roman" w:cs="Times New Roman"/>
                <w:b/>
                <w:bCs/>
                <w:color w:val="000000"/>
                <w:sz w:val="16"/>
                <w:szCs w:val="16"/>
              </w:rPr>
              <w:t>o moderada</w:t>
            </w:r>
            <w:r>
              <w:rPr>
                <w:rFonts w:ascii="Times New Roman" w:eastAsia="Times New Roman" w:hAnsi="Times New Roman" w:cs="Times New Roman"/>
                <w:b/>
                <w:bCs/>
                <w:color w:val="000000"/>
                <w:sz w:val="16"/>
                <w:szCs w:val="16"/>
                <w:vertAlign w:val="superscript"/>
              </w:rPr>
              <w:t>8</w:t>
            </w:r>
          </w:p>
        </w:tc>
        <w:tc>
          <w:tcPr>
            <w:tcW w:w="2438" w:type="dxa"/>
            <w:shd w:val="clear" w:color="auto" w:fill="FFFFFF"/>
          </w:tcPr>
          <w:p w14:paraId="7CFE27A2" w14:textId="77777777" w:rsidR="00924992" w:rsidRDefault="00924992">
            <w:pPr>
              <w:framePr w:w="11434" w:h="3869" w:vSpace="197" w:wrap="none" w:hAnchor="page" w:x="635" w:y="371"/>
              <w:rPr>
                <w:sz w:val="10"/>
                <w:szCs w:val="10"/>
              </w:rPr>
            </w:pPr>
          </w:p>
        </w:tc>
        <w:tc>
          <w:tcPr>
            <w:tcW w:w="3298" w:type="dxa"/>
            <w:shd w:val="clear" w:color="auto" w:fill="FFFFFF"/>
          </w:tcPr>
          <w:p w14:paraId="3D437BCC" w14:textId="77777777" w:rsidR="00924992" w:rsidRDefault="00924992">
            <w:pPr>
              <w:framePr w:w="11434" w:h="3869" w:vSpace="197" w:wrap="none" w:hAnchor="page" w:x="635" w:y="371"/>
              <w:rPr>
                <w:sz w:val="10"/>
                <w:szCs w:val="10"/>
              </w:rPr>
            </w:pPr>
          </w:p>
        </w:tc>
        <w:tc>
          <w:tcPr>
            <w:tcW w:w="3062" w:type="dxa"/>
            <w:shd w:val="clear" w:color="auto" w:fill="FFFFFF"/>
          </w:tcPr>
          <w:p w14:paraId="60F10405" w14:textId="77777777" w:rsidR="00924992" w:rsidRDefault="00924992">
            <w:pPr>
              <w:framePr w:w="11434" w:h="3869" w:vSpace="197" w:wrap="none" w:hAnchor="page" w:x="635" w:y="371"/>
              <w:rPr>
                <w:sz w:val="10"/>
                <w:szCs w:val="10"/>
              </w:rPr>
            </w:pPr>
          </w:p>
        </w:tc>
      </w:tr>
      <w:tr w:rsidR="00924992" w14:paraId="6B423EA4" w14:textId="77777777">
        <w:tblPrEx>
          <w:tblCellMar>
            <w:top w:w="0" w:type="dxa"/>
            <w:bottom w:w="0" w:type="dxa"/>
          </w:tblCellMar>
        </w:tblPrEx>
        <w:trPr>
          <w:trHeight w:hRule="exact" w:val="230"/>
        </w:trPr>
        <w:tc>
          <w:tcPr>
            <w:tcW w:w="2635" w:type="dxa"/>
            <w:shd w:val="clear" w:color="auto" w:fill="FFFFFF"/>
            <w:vAlign w:val="bottom"/>
          </w:tcPr>
          <w:p w14:paraId="7E2A8A1F" w14:textId="77777777" w:rsidR="00924992" w:rsidRDefault="00924992">
            <w:pPr>
              <w:pStyle w:val="Other0"/>
              <w:framePr w:w="11434" w:h="3869" w:vSpace="197" w:wrap="none" w:hAnchor="page" w:x="635" w:y="371"/>
              <w:spacing w:line="240" w:lineRule="auto"/>
              <w:ind w:firstLine="0"/>
              <w:rPr>
                <w:sz w:val="16"/>
                <w:szCs w:val="16"/>
              </w:rPr>
            </w:pPr>
            <w:r>
              <w:rPr>
                <w:rFonts w:ascii="Times New Roman" w:eastAsia="Times New Roman" w:hAnsi="Times New Roman" w:cs="Times New Roman"/>
                <w:color w:val="000000"/>
                <w:sz w:val="16"/>
                <w:szCs w:val="16"/>
              </w:rPr>
              <w:t>Fármaco más indicado:</w:t>
            </w:r>
            <w:r>
              <w:rPr>
                <w:rFonts w:ascii="Times New Roman" w:eastAsia="Times New Roman" w:hAnsi="Times New Roman" w:cs="Times New Roman"/>
                <w:color w:val="000000"/>
                <w:sz w:val="16"/>
                <w:szCs w:val="16"/>
                <w:vertAlign w:val="superscript"/>
              </w:rPr>
              <w:t>9</w:t>
            </w:r>
          </w:p>
        </w:tc>
        <w:tc>
          <w:tcPr>
            <w:tcW w:w="2438" w:type="dxa"/>
            <w:shd w:val="clear" w:color="auto" w:fill="FFFFFF"/>
            <w:vAlign w:val="bottom"/>
          </w:tcPr>
          <w:p w14:paraId="4101BC4D" w14:textId="77777777" w:rsidR="00924992" w:rsidRDefault="00924992">
            <w:pPr>
              <w:pStyle w:val="Other0"/>
              <w:framePr w:w="11434" w:h="3869" w:vSpace="197" w:wrap="none" w:hAnchor="page" w:x="635" w:y="371"/>
              <w:spacing w:line="240" w:lineRule="auto"/>
              <w:ind w:firstLine="240"/>
              <w:rPr>
                <w:sz w:val="16"/>
                <w:szCs w:val="16"/>
              </w:rPr>
            </w:pPr>
            <w:r>
              <w:rPr>
                <w:rFonts w:ascii="Times New Roman" w:eastAsia="Times New Roman" w:hAnsi="Times New Roman" w:cs="Times New Roman"/>
                <w:color w:val="000000"/>
                <w:sz w:val="16"/>
                <w:szCs w:val="16"/>
              </w:rPr>
              <w:t>Metronidazol</w:t>
            </w:r>
          </w:p>
        </w:tc>
        <w:tc>
          <w:tcPr>
            <w:tcW w:w="3298" w:type="dxa"/>
            <w:shd w:val="clear" w:color="auto" w:fill="FFFFFF"/>
            <w:vAlign w:val="bottom"/>
          </w:tcPr>
          <w:p w14:paraId="7AA1A552" w14:textId="77777777" w:rsidR="00924992" w:rsidRDefault="00924992">
            <w:pPr>
              <w:pStyle w:val="Other0"/>
              <w:framePr w:w="11434" w:h="3869" w:vSpace="197" w:wrap="none" w:hAnchor="page" w:x="635" w:y="371"/>
              <w:spacing w:line="240" w:lineRule="auto"/>
              <w:ind w:firstLine="600"/>
              <w:rPr>
                <w:sz w:val="16"/>
                <w:szCs w:val="16"/>
              </w:rPr>
            </w:pPr>
            <w:r>
              <w:rPr>
                <w:rFonts w:ascii="Times New Roman" w:eastAsia="Times New Roman" w:hAnsi="Times New Roman" w:cs="Times New Roman"/>
                <w:color w:val="000000"/>
                <w:sz w:val="16"/>
                <w:szCs w:val="16"/>
              </w:rPr>
              <w:t xml:space="preserve">500-750 mg tid </w:t>
            </w:r>
            <w:r>
              <w:rPr>
                <w:color w:val="000000"/>
              </w:rPr>
              <w:t xml:space="preserve">x </w:t>
            </w:r>
            <w:r>
              <w:rPr>
                <w:rFonts w:ascii="Times New Roman" w:eastAsia="Times New Roman" w:hAnsi="Times New Roman" w:cs="Times New Roman"/>
                <w:color w:val="000000"/>
                <w:sz w:val="16"/>
                <w:szCs w:val="16"/>
              </w:rPr>
              <w:t>7-10 días</w:t>
            </w:r>
          </w:p>
        </w:tc>
        <w:tc>
          <w:tcPr>
            <w:tcW w:w="3062" w:type="dxa"/>
            <w:shd w:val="clear" w:color="auto" w:fill="FFFFFF"/>
            <w:vAlign w:val="bottom"/>
          </w:tcPr>
          <w:p w14:paraId="26502258" w14:textId="77777777" w:rsidR="00924992" w:rsidRDefault="00924992">
            <w:pPr>
              <w:pStyle w:val="Other0"/>
              <w:framePr w:w="11434" w:h="3869" w:vSpace="197" w:wrap="none" w:hAnchor="page" w:x="635" w:y="371"/>
              <w:spacing w:line="240" w:lineRule="auto"/>
              <w:ind w:firstLine="180"/>
              <w:rPr>
                <w:sz w:val="16"/>
                <w:szCs w:val="16"/>
              </w:rPr>
            </w:pPr>
            <w:r>
              <w:rPr>
                <w:rFonts w:ascii="Times New Roman" w:eastAsia="Times New Roman" w:hAnsi="Times New Roman" w:cs="Times New Roman"/>
                <w:color w:val="000000"/>
                <w:sz w:val="16"/>
                <w:szCs w:val="16"/>
              </w:rPr>
              <w:t xml:space="preserve">35-50 mg/kg/día en 3 dosis </w:t>
            </w:r>
            <w:r>
              <w:rPr>
                <w:color w:val="000000"/>
              </w:rPr>
              <w:t xml:space="preserve">x </w:t>
            </w:r>
            <w:r>
              <w:rPr>
                <w:rFonts w:ascii="Times New Roman" w:eastAsia="Times New Roman" w:hAnsi="Times New Roman" w:cs="Times New Roman"/>
                <w:color w:val="000000"/>
                <w:sz w:val="16"/>
                <w:szCs w:val="16"/>
              </w:rPr>
              <w:t>7-10 días</w:t>
            </w:r>
          </w:p>
        </w:tc>
      </w:tr>
      <w:tr w:rsidR="00924992" w14:paraId="11475E75" w14:textId="77777777">
        <w:tblPrEx>
          <w:tblCellMar>
            <w:top w:w="0" w:type="dxa"/>
            <w:bottom w:w="0" w:type="dxa"/>
          </w:tblCellMar>
        </w:tblPrEx>
        <w:trPr>
          <w:trHeight w:hRule="exact" w:val="221"/>
        </w:trPr>
        <w:tc>
          <w:tcPr>
            <w:tcW w:w="2635" w:type="dxa"/>
            <w:shd w:val="clear" w:color="auto" w:fill="FFFFFF"/>
            <w:vAlign w:val="bottom"/>
          </w:tcPr>
          <w:p w14:paraId="676A0E04" w14:textId="77777777" w:rsidR="00924992" w:rsidRDefault="00924992">
            <w:pPr>
              <w:pStyle w:val="Other0"/>
              <w:framePr w:w="11434" w:h="3869" w:vSpace="197" w:wrap="none" w:hAnchor="page" w:x="635" w:y="371"/>
              <w:spacing w:line="240" w:lineRule="auto"/>
              <w:ind w:firstLine="160"/>
              <w:rPr>
                <w:sz w:val="16"/>
                <w:szCs w:val="16"/>
              </w:rPr>
            </w:pPr>
            <w:r>
              <w:rPr>
                <w:rFonts w:ascii="Times New Roman" w:eastAsia="Times New Roman" w:hAnsi="Times New Roman" w:cs="Times New Roman"/>
                <w:b/>
                <w:bCs/>
                <w:color w:val="000000"/>
                <w:sz w:val="16"/>
                <w:szCs w:val="16"/>
              </w:rPr>
              <w:t>O</w:t>
            </w:r>
          </w:p>
        </w:tc>
        <w:tc>
          <w:tcPr>
            <w:tcW w:w="2438" w:type="dxa"/>
            <w:shd w:val="clear" w:color="auto" w:fill="FFFFFF"/>
            <w:vAlign w:val="bottom"/>
          </w:tcPr>
          <w:p w14:paraId="6AA893C8" w14:textId="77777777" w:rsidR="00924992" w:rsidRDefault="00924992">
            <w:pPr>
              <w:pStyle w:val="Other0"/>
              <w:framePr w:w="11434" w:h="3869" w:vSpace="197" w:wrap="none" w:hAnchor="page" w:x="635" w:y="371"/>
              <w:spacing w:line="240" w:lineRule="auto"/>
              <w:ind w:firstLine="240"/>
              <w:rPr>
                <w:sz w:val="16"/>
                <w:szCs w:val="16"/>
              </w:rPr>
            </w:pPr>
            <w:r>
              <w:rPr>
                <w:rFonts w:ascii="Times New Roman" w:eastAsia="Times New Roman" w:hAnsi="Times New Roman" w:cs="Times New Roman"/>
                <w:color w:val="000000"/>
                <w:sz w:val="16"/>
                <w:szCs w:val="16"/>
              </w:rPr>
              <w:t>Tinidazol</w:t>
            </w:r>
            <w:r>
              <w:rPr>
                <w:rFonts w:ascii="Times New Roman" w:eastAsia="Times New Roman" w:hAnsi="Times New Roman" w:cs="Times New Roman"/>
                <w:color w:val="000000"/>
                <w:sz w:val="16"/>
                <w:szCs w:val="16"/>
                <w:vertAlign w:val="superscript"/>
              </w:rPr>
              <w:t>10</w:t>
            </w:r>
          </w:p>
        </w:tc>
        <w:tc>
          <w:tcPr>
            <w:tcW w:w="3298" w:type="dxa"/>
            <w:shd w:val="clear" w:color="auto" w:fill="FFFFFF"/>
            <w:vAlign w:val="bottom"/>
          </w:tcPr>
          <w:p w14:paraId="603A41D0" w14:textId="77777777" w:rsidR="00924992" w:rsidRDefault="00924992">
            <w:pPr>
              <w:pStyle w:val="Other0"/>
              <w:framePr w:w="11434" w:h="3869" w:vSpace="197" w:wrap="none" w:hAnchor="page" w:x="635" w:y="371"/>
              <w:spacing w:line="240" w:lineRule="auto"/>
              <w:ind w:firstLine="600"/>
              <w:rPr>
                <w:sz w:val="16"/>
                <w:szCs w:val="16"/>
              </w:rPr>
            </w:pPr>
            <w:r>
              <w:rPr>
                <w:rFonts w:ascii="Times New Roman" w:eastAsia="Times New Roman" w:hAnsi="Times New Roman" w:cs="Times New Roman"/>
                <w:color w:val="000000"/>
                <w:sz w:val="16"/>
                <w:szCs w:val="16"/>
              </w:rPr>
              <w:t xml:space="preserve">2 g/día divididos tid </w:t>
            </w:r>
            <w:r>
              <w:rPr>
                <w:color w:val="000000"/>
              </w:rPr>
              <w:t xml:space="preserve">x </w:t>
            </w:r>
            <w:r>
              <w:rPr>
                <w:rFonts w:ascii="Times New Roman" w:eastAsia="Times New Roman" w:hAnsi="Times New Roman" w:cs="Times New Roman"/>
                <w:color w:val="000000"/>
                <w:sz w:val="16"/>
                <w:szCs w:val="16"/>
              </w:rPr>
              <w:t>3 días</w:t>
            </w:r>
          </w:p>
        </w:tc>
        <w:tc>
          <w:tcPr>
            <w:tcW w:w="3062" w:type="dxa"/>
            <w:shd w:val="clear" w:color="auto" w:fill="FFFFFF"/>
            <w:vAlign w:val="bottom"/>
          </w:tcPr>
          <w:p w14:paraId="35FBA074" w14:textId="77777777" w:rsidR="00924992" w:rsidRDefault="00924992">
            <w:pPr>
              <w:pStyle w:val="Other0"/>
              <w:framePr w:w="11434" w:h="3869" w:vSpace="197" w:wrap="none" w:hAnchor="page" w:x="635" w:y="371"/>
              <w:spacing w:line="240" w:lineRule="auto"/>
              <w:ind w:firstLine="180"/>
              <w:rPr>
                <w:sz w:val="16"/>
                <w:szCs w:val="16"/>
              </w:rPr>
            </w:pPr>
            <w:r>
              <w:rPr>
                <w:rFonts w:ascii="Times New Roman" w:eastAsia="Times New Roman" w:hAnsi="Times New Roman" w:cs="Times New Roman"/>
                <w:color w:val="000000"/>
                <w:sz w:val="16"/>
                <w:szCs w:val="16"/>
              </w:rPr>
              <w:t xml:space="preserve">50 mg/kg (máx. 2 g) qd </w:t>
            </w:r>
            <w:r>
              <w:rPr>
                <w:color w:val="000000"/>
              </w:rPr>
              <w:t xml:space="preserve">x </w:t>
            </w:r>
            <w:r>
              <w:rPr>
                <w:rFonts w:ascii="Times New Roman" w:eastAsia="Times New Roman" w:hAnsi="Times New Roman" w:cs="Times New Roman"/>
                <w:color w:val="000000"/>
                <w:sz w:val="16"/>
                <w:szCs w:val="16"/>
              </w:rPr>
              <w:t>3 días</w:t>
            </w:r>
          </w:p>
        </w:tc>
      </w:tr>
      <w:tr w:rsidR="00924992" w14:paraId="354DE438" w14:textId="77777777">
        <w:tblPrEx>
          <w:tblCellMar>
            <w:top w:w="0" w:type="dxa"/>
            <w:bottom w:w="0" w:type="dxa"/>
          </w:tblCellMar>
        </w:tblPrEx>
        <w:trPr>
          <w:trHeight w:hRule="exact" w:val="211"/>
        </w:trPr>
        <w:tc>
          <w:tcPr>
            <w:tcW w:w="2635" w:type="dxa"/>
            <w:shd w:val="clear" w:color="auto" w:fill="FFFFFF"/>
            <w:vAlign w:val="bottom"/>
          </w:tcPr>
          <w:p w14:paraId="79FF5996" w14:textId="77777777" w:rsidR="00924992" w:rsidRDefault="00924992">
            <w:pPr>
              <w:pStyle w:val="Other0"/>
              <w:framePr w:w="11434" w:h="3869" w:vSpace="197" w:wrap="none" w:hAnchor="page" w:x="635" w:y="371"/>
              <w:spacing w:line="240" w:lineRule="auto"/>
              <w:ind w:firstLine="160"/>
              <w:rPr>
                <w:sz w:val="16"/>
                <w:szCs w:val="16"/>
              </w:rPr>
            </w:pPr>
            <w:r>
              <w:rPr>
                <w:rFonts w:ascii="Times New Roman" w:eastAsia="Times New Roman" w:hAnsi="Times New Roman" w:cs="Times New Roman"/>
                <w:b/>
                <w:bCs/>
                <w:color w:val="000000"/>
                <w:sz w:val="16"/>
                <w:szCs w:val="16"/>
              </w:rPr>
              <w:t>enfermedad intestinal y</w:t>
            </w:r>
          </w:p>
        </w:tc>
        <w:tc>
          <w:tcPr>
            <w:tcW w:w="2438" w:type="dxa"/>
            <w:shd w:val="clear" w:color="auto" w:fill="FFFFFF"/>
          </w:tcPr>
          <w:p w14:paraId="541CBA57" w14:textId="77777777" w:rsidR="00924992" w:rsidRDefault="00924992">
            <w:pPr>
              <w:framePr w:w="11434" w:h="3869" w:vSpace="197" w:wrap="none" w:hAnchor="page" w:x="635" w:y="371"/>
              <w:rPr>
                <w:sz w:val="10"/>
                <w:szCs w:val="10"/>
              </w:rPr>
            </w:pPr>
          </w:p>
        </w:tc>
        <w:tc>
          <w:tcPr>
            <w:tcW w:w="3298" w:type="dxa"/>
            <w:shd w:val="clear" w:color="auto" w:fill="FFFFFF"/>
          </w:tcPr>
          <w:p w14:paraId="6D257657" w14:textId="77777777" w:rsidR="00924992" w:rsidRDefault="00924992">
            <w:pPr>
              <w:framePr w:w="11434" w:h="3869" w:vSpace="197" w:wrap="none" w:hAnchor="page" w:x="635" w:y="371"/>
              <w:rPr>
                <w:sz w:val="10"/>
                <w:szCs w:val="10"/>
              </w:rPr>
            </w:pPr>
          </w:p>
        </w:tc>
        <w:tc>
          <w:tcPr>
            <w:tcW w:w="3062" w:type="dxa"/>
            <w:shd w:val="clear" w:color="auto" w:fill="FFFFFF"/>
          </w:tcPr>
          <w:p w14:paraId="5139E689" w14:textId="77777777" w:rsidR="00924992" w:rsidRDefault="00924992">
            <w:pPr>
              <w:framePr w:w="11434" w:h="3869" w:vSpace="197" w:wrap="none" w:hAnchor="page" w:x="635" w:y="371"/>
              <w:rPr>
                <w:sz w:val="10"/>
                <w:szCs w:val="10"/>
              </w:rPr>
            </w:pPr>
          </w:p>
        </w:tc>
      </w:tr>
      <w:tr w:rsidR="00924992" w14:paraId="6DC99EA5" w14:textId="77777777">
        <w:tblPrEx>
          <w:tblCellMar>
            <w:top w:w="0" w:type="dxa"/>
            <w:bottom w:w="0" w:type="dxa"/>
          </w:tblCellMar>
        </w:tblPrEx>
        <w:trPr>
          <w:trHeight w:hRule="exact" w:val="235"/>
        </w:trPr>
        <w:tc>
          <w:tcPr>
            <w:tcW w:w="2635" w:type="dxa"/>
            <w:shd w:val="clear" w:color="auto" w:fill="FFFFFF"/>
            <w:vAlign w:val="bottom"/>
          </w:tcPr>
          <w:p w14:paraId="08391901" w14:textId="77777777" w:rsidR="00924992" w:rsidRDefault="00924992">
            <w:pPr>
              <w:pStyle w:val="Other0"/>
              <w:framePr w:w="11434" w:h="3869" w:vSpace="197" w:wrap="none" w:hAnchor="page" w:x="635" w:y="371"/>
              <w:spacing w:line="240" w:lineRule="auto"/>
              <w:ind w:firstLine="160"/>
              <w:rPr>
                <w:sz w:val="16"/>
                <w:szCs w:val="16"/>
              </w:rPr>
            </w:pPr>
            <w:r>
              <w:rPr>
                <w:rFonts w:ascii="Times New Roman" w:eastAsia="Times New Roman" w:hAnsi="Times New Roman" w:cs="Times New Roman"/>
                <w:b/>
                <w:bCs/>
                <w:color w:val="000000"/>
                <w:sz w:val="16"/>
                <w:szCs w:val="16"/>
              </w:rPr>
              <w:t>extraintestinal grave</w:t>
            </w:r>
            <w:r>
              <w:rPr>
                <w:rFonts w:ascii="Times New Roman" w:eastAsia="Times New Roman" w:hAnsi="Times New Roman" w:cs="Times New Roman"/>
                <w:b/>
                <w:bCs/>
                <w:color w:val="000000"/>
                <w:sz w:val="16"/>
                <w:szCs w:val="16"/>
                <w:vertAlign w:val="superscript"/>
              </w:rPr>
              <w:t>8</w:t>
            </w:r>
          </w:p>
        </w:tc>
        <w:tc>
          <w:tcPr>
            <w:tcW w:w="2438" w:type="dxa"/>
            <w:shd w:val="clear" w:color="auto" w:fill="FFFFFF"/>
          </w:tcPr>
          <w:p w14:paraId="1180FAFB" w14:textId="77777777" w:rsidR="00924992" w:rsidRDefault="00924992">
            <w:pPr>
              <w:framePr w:w="11434" w:h="3869" w:vSpace="197" w:wrap="none" w:hAnchor="page" w:x="635" w:y="371"/>
              <w:rPr>
                <w:sz w:val="10"/>
                <w:szCs w:val="10"/>
              </w:rPr>
            </w:pPr>
          </w:p>
        </w:tc>
        <w:tc>
          <w:tcPr>
            <w:tcW w:w="3298" w:type="dxa"/>
            <w:shd w:val="clear" w:color="auto" w:fill="FFFFFF"/>
          </w:tcPr>
          <w:p w14:paraId="1C292AD4" w14:textId="77777777" w:rsidR="00924992" w:rsidRDefault="00924992">
            <w:pPr>
              <w:framePr w:w="11434" w:h="3869" w:vSpace="197" w:wrap="none" w:hAnchor="page" w:x="635" w:y="371"/>
              <w:rPr>
                <w:sz w:val="10"/>
                <w:szCs w:val="10"/>
              </w:rPr>
            </w:pPr>
          </w:p>
        </w:tc>
        <w:tc>
          <w:tcPr>
            <w:tcW w:w="3062" w:type="dxa"/>
            <w:shd w:val="clear" w:color="auto" w:fill="FFFFFF"/>
          </w:tcPr>
          <w:p w14:paraId="725CD0F8" w14:textId="77777777" w:rsidR="00924992" w:rsidRDefault="00924992">
            <w:pPr>
              <w:framePr w:w="11434" w:h="3869" w:vSpace="197" w:wrap="none" w:hAnchor="page" w:x="635" w:y="371"/>
              <w:rPr>
                <w:sz w:val="10"/>
                <w:szCs w:val="10"/>
              </w:rPr>
            </w:pPr>
          </w:p>
        </w:tc>
      </w:tr>
      <w:tr w:rsidR="00924992" w14:paraId="35061597" w14:textId="77777777">
        <w:tblPrEx>
          <w:tblCellMar>
            <w:top w:w="0" w:type="dxa"/>
            <w:bottom w:w="0" w:type="dxa"/>
          </w:tblCellMar>
        </w:tblPrEx>
        <w:trPr>
          <w:trHeight w:hRule="exact" w:val="211"/>
        </w:trPr>
        <w:tc>
          <w:tcPr>
            <w:tcW w:w="2635" w:type="dxa"/>
            <w:shd w:val="clear" w:color="auto" w:fill="FFFFFF"/>
            <w:vAlign w:val="bottom"/>
          </w:tcPr>
          <w:p w14:paraId="6AD81726" w14:textId="77777777" w:rsidR="00924992" w:rsidRDefault="00924992">
            <w:pPr>
              <w:pStyle w:val="Other0"/>
              <w:framePr w:w="11434" w:h="3869" w:vSpace="197" w:wrap="none" w:hAnchor="page" w:x="635" w:y="371"/>
              <w:spacing w:line="240" w:lineRule="auto"/>
              <w:ind w:firstLine="0"/>
              <w:rPr>
                <w:sz w:val="16"/>
                <w:szCs w:val="16"/>
              </w:rPr>
            </w:pPr>
            <w:r>
              <w:rPr>
                <w:rFonts w:ascii="Times New Roman" w:eastAsia="Times New Roman" w:hAnsi="Times New Roman" w:cs="Times New Roman"/>
                <w:color w:val="000000"/>
                <w:sz w:val="16"/>
                <w:szCs w:val="16"/>
              </w:rPr>
              <w:t>Fármaco más indicado:</w:t>
            </w:r>
          </w:p>
        </w:tc>
        <w:tc>
          <w:tcPr>
            <w:tcW w:w="2438" w:type="dxa"/>
            <w:shd w:val="clear" w:color="auto" w:fill="FFFFFF"/>
            <w:vAlign w:val="bottom"/>
          </w:tcPr>
          <w:p w14:paraId="7EFD0CB4" w14:textId="77777777" w:rsidR="00924992" w:rsidRDefault="00924992">
            <w:pPr>
              <w:pStyle w:val="Other0"/>
              <w:framePr w:w="11434" w:h="3869" w:vSpace="197" w:wrap="none" w:hAnchor="page" w:x="635" w:y="371"/>
              <w:spacing w:line="240" w:lineRule="auto"/>
              <w:ind w:firstLine="240"/>
              <w:rPr>
                <w:sz w:val="16"/>
                <w:szCs w:val="16"/>
              </w:rPr>
            </w:pPr>
            <w:r>
              <w:rPr>
                <w:rFonts w:ascii="Times New Roman" w:eastAsia="Times New Roman" w:hAnsi="Times New Roman" w:cs="Times New Roman"/>
                <w:color w:val="000000"/>
                <w:sz w:val="16"/>
                <w:szCs w:val="16"/>
              </w:rPr>
              <w:t>Metronidazol</w:t>
            </w:r>
          </w:p>
        </w:tc>
        <w:tc>
          <w:tcPr>
            <w:tcW w:w="3298" w:type="dxa"/>
            <w:shd w:val="clear" w:color="auto" w:fill="FFFFFF"/>
            <w:vAlign w:val="bottom"/>
          </w:tcPr>
          <w:p w14:paraId="4CDD57FD" w14:textId="77777777" w:rsidR="00924992" w:rsidRDefault="00924992">
            <w:pPr>
              <w:pStyle w:val="Other0"/>
              <w:framePr w:w="11434" w:h="3869" w:vSpace="197" w:wrap="none" w:hAnchor="page" w:x="635" w:y="371"/>
              <w:spacing w:line="240" w:lineRule="auto"/>
              <w:ind w:firstLine="600"/>
              <w:rPr>
                <w:sz w:val="16"/>
                <w:szCs w:val="16"/>
              </w:rPr>
            </w:pPr>
            <w:r>
              <w:rPr>
                <w:rFonts w:ascii="Times New Roman" w:eastAsia="Times New Roman" w:hAnsi="Times New Roman" w:cs="Times New Roman"/>
                <w:color w:val="000000"/>
                <w:sz w:val="16"/>
                <w:szCs w:val="16"/>
              </w:rPr>
              <w:t xml:space="preserve">750 mg tid </w:t>
            </w:r>
            <w:r>
              <w:rPr>
                <w:color w:val="000000"/>
              </w:rPr>
              <w:t xml:space="preserve">x </w:t>
            </w:r>
            <w:r>
              <w:rPr>
                <w:rFonts w:ascii="Times New Roman" w:eastAsia="Times New Roman" w:hAnsi="Times New Roman" w:cs="Times New Roman"/>
                <w:color w:val="000000"/>
                <w:sz w:val="16"/>
                <w:szCs w:val="16"/>
              </w:rPr>
              <w:t>7-10 días</w:t>
            </w:r>
          </w:p>
        </w:tc>
        <w:tc>
          <w:tcPr>
            <w:tcW w:w="3062" w:type="dxa"/>
            <w:shd w:val="clear" w:color="auto" w:fill="FFFFFF"/>
            <w:vAlign w:val="bottom"/>
          </w:tcPr>
          <w:p w14:paraId="628575D3" w14:textId="77777777" w:rsidR="00924992" w:rsidRDefault="00924992">
            <w:pPr>
              <w:pStyle w:val="Other0"/>
              <w:framePr w:w="11434" w:h="3869" w:vSpace="197" w:wrap="none" w:hAnchor="page" w:x="635" w:y="371"/>
              <w:spacing w:line="240" w:lineRule="auto"/>
              <w:ind w:firstLine="180"/>
              <w:rPr>
                <w:sz w:val="16"/>
                <w:szCs w:val="16"/>
              </w:rPr>
            </w:pPr>
            <w:r>
              <w:rPr>
                <w:rFonts w:ascii="Times New Roman" w:eastAsia="Times New Roman" w:hAnsi="Times New Roman" w:cs="Times New Roman"/>
                <w:color w:val="000000"/>
                <w:sz w:val="16"/>
                <w:szCs w:val="16"/>
              </w:rPr>
              <w:t xml:space="preserve">35-50 mg/kg/día en 3 dosis </w:t>
            </w:r>
            <w:r>
              <w:rPr>
                <w:color w:val="000000"/>
              </w:rPr>
              <w:t xml:space="preserve">x </w:t>
            </w:r>
            <w:r>
              <w:rPr>
                <w:rFonts w:ascii="Times New Roman" w:eastAsia="Times New Roman" w:hAnsi="Times New Roman" w:cs="Times New Roman"/>
                <w:color w:val="000000"/>
                <w:sz w:val="16"/>
                <w:szCs w:val="16"/>
              </w:rPr>
              <w:t>7-10 días</w:t>
            </w:r>
          </w:p>
        </w:tc>
      </w:tr>
      <w:tr w:rsidR="00924992" w14:paraId="768C7891" w14:textId="77777777">
        <w:tblPrEx>
          <w:tblCellMar>
            <w:top w:w="0" w:type="dxa"/>
            <w:bottom w:w="0" w:type="dxa"/>
          </w:tblCellMar>
        </w:tblPrEx>
        <w:trPr>
          <w:trHeight w:hRule="exact" w:val="250"/>
        </w:trPr>
        <w:tc>
          <w:tcPr>
            <w:tcW w:w="2635" w:type="dxa"/>
            <w:shd w:val="clear" w:color="auto" w:fill="FFFFFF"/>
          </w:tcPr>
          <w:p w14:paraId="457717F3" w14:textId="77777777" w:rsidR="00924992" w:rsidRDefault="00924992">
            <w:pPr>
              <w:pStyle w:val="Other0"/>
              <w:framePr w:w="11434" w:h="3869" w:vSpace="197" w:wrap="none" w:hAnchor="page" w:x="635" w:y="371"/>
              <w:spacing w:line="240" w:lineRule="auto"/>
              <w:ind w:firstLine="160"/>
              <w:rPr>
                <w:sz w:val="16"/>
                <w:szCs w:val="16"/>
              </w:rPr>
            </w:pPr>
            <w:r>
              <w:rPr>
                <w:rFonts w:ascii="Times New Roman" w:eastAsia="Times New Roman" w:hAnsi="Times New Roman" w:cs="Times New Roman"/>
                <w:b/>
                <w:bCs/>
                <w:color w:val="000000"/>
                <w:sz w:val="16"/>
                <w:szCs w:val="16"/>
              </w:rPr>
              <w:t>O</w:t>
            </w:r>
          </w:p>
        </w:tc>
        <w:tc>
          <w:tcPr>
            <w:tcW w:w="2438" w:type="dxa"/>
            <w:shd w:val="clear" w:color="auto" w:fill="FFFFFF"/>
          </w:tcPr>
          <w:p w14:paraId="04DE93CE" w14:textId="77777777" w:rsidR="00924992" w:rsidRDefault="00924992">
            <w:pPr>
              <w:pStyle w:val="Other0"/>
              <w:framePr w:w="11434" w:h="3869" w:vSpace="197" w:wrap="none" w:hAnchor="page" w:x="635" w:y="371"/>
              <w:spacing w:line="240" w:lineRule="auto"/>
              <w:ind w:firstLine="240"/>
              <w:rPr>
                <w:sz w:val="16"/>
                <w:szCs w:val="16"/>
              </w:rPr>
            </w:pPr>
            <w:r>
              <w:rPr>
                <w:rFonts w:ascii="Times New Roman" w:eastAsia="Times New Roman" w:hAnsi="Times New Roman" w:cs="Times New Roman"/>
                <w:color w:val="000000"/>
                <w:sz w:val="16"/>
                <w:szCs w:val="16"/>
              </w:rPr>
              <w:t>Tinidazol</w:t>
            </w:r>
            <w:r>
              <w:rPr>
                <w:rFonts w:ascii="Times New Roman" w:eastAsia="Times New Roman" w:hAnsi="Times New Roman" w:cs="Times New Roman"/>
                <w:color w:val="000000"/>
                <w:sz w:val="16"/>
                <w:szCs w:val="16"/>
                <w:vertAlign w:val="superscript"/>
              </w:rPr>
              <w:t>10</w:t>
            </w:r>
          </w:p>
        </w:tc>
        <w:tc>
          <w:tcPr>
            <w:tcW w:w="3298" w:type="dxa"/>
            <w:shd w:val="clear" w:color="auto" w:fill="FFFFFF"/>
          </w:tcPr>
          <w:p w14:paraId="69D90719" w14:textId="77777777" w:rsidR="00924992" w:rsidRDefault="00924992">
            <w:pPr>
              <w:pStyle w:val="Other0"/>
              <w:framePr w:w="11434" w:h="3869" w:vSpace="197" w:wrap="none" w:hAnchor="page" w:x="635" w:y="371"/>
              <w:spacing w:line="240" w:lineRule="auto"/>
              <w:ind w:firstLine="600"/>
              <w:rPr>
                <w:sz w:val="16"/>
                <w:szCs w:val="16"/>
              </w:rPr>
            </w:pPr>
            <w:r>
              <w:rPr>
                <w:rFonts w:ascii="Times New Roman" w:eastAsia="Times New Roman" w:hAnsi="Times New Roman" w:cs="Times New Roman"/>
                <w:color w:val="000000"/>
                <w:sz w:val="16"/>
                <w:szCs w:val="16"/>
              </w:rPr>
              <w:t xml:space="preserve">800 mg tid </w:t>
            </w:r>
            <w:r>
              <w:rPr>
                <w:color w:val="000000"/>
              </w:rPr>
              <w:t xml:space="preserve">x </w:t>
            </w:r>
            <w:r>
              <w:rPr>
                <w:rFonts w:ascii="Times New Roman" w:eastAsia="Times New Roman" w:hAnsi="Times New Roman" w:cs="Times New Roman"/>
                <w:color w:val="000000"/>
                <w:sz w:val="16"/>
                <w:szCs w:val="16"/>
              </w:rPr>
              <w:t>5 días</w:t>
            </w:r>
          </w:p>
        </w:tc>
        <w:tc>
          <w:tcPr>
            <w:tcW w:w="3062" w:type="dxa"/>
            <w:shd w:val="clear" w:color="auto" w:fill="FFFFFF"/>
          </w:tcPr>
          <w:p w14:paraId="45F22BF0" w14:textId="77777777" w:rsidR="00924992" w:rsidRDefault="00924992">
            <w:pPr>
              <w:pStyle w:val="Other0"/>
              <w:framePr w:w="11434" w:h="3869" w:vSpace="197" w:wrap="none" w:hAnchor="page" w:x="635" w:y="371"/>
              <w:spacing w:line="240" w:lineRule="auto"/>
              <w:ind w:firstLine="180"/>
              <w:rPr>
                <w:sz w:val="16"/>
                <w:szCs w:val="16"/>
              </w:rPr>
            </w:pPr>
            <w:r>
              <w:rPr>
                <w:rFonts w:ascii="Times New Roman" w:eastAsia="Times New Roman" w:hAnsi="Times New Roman" w:cs="Times New Roman"/>
                <w:color w:val="000000"/>
                <w:sz w:val="16"/>
                <w:szCs w:val="16"/>
              </w:rPr>
              <w:t xml:space="preserve">60 mg/kg/día (máx. 2 g) </w:t>
            </w:r>
            <w:r>
              <w:rPr>
                <w:color w:val="000000"/>
              </w:rPr>
              <w:t xml:space="preserve">x </w:t>
            </w:r>
            <w:r>
              <w:rPr>
                <w:rFonts w:ascii="Times New Roman" w:eastAsia="Times New Roman" w:hAnsi="Times New Roman" w:cs="Times New Roman"/>
                <w:color w:val="000000"/>
                <w:sz w:val="16"/>
                <w:szCs w:val="16"/>
              </w:rPr>
              <w:t>5 días</w:t>
            </w:r>
          </w:p>
        </w:tc>
      </w:tr>
    </w:tbl>
    <w:p w14:paraId="05FA3F7A" w14:textId="77777777" w:rsidR="00924992" w:rsidRDefault="00924992">
      <w:pPr>
        <w:framePr w:w="11434" w:h="3869" w:vSpace="197" w:wrap="none" w:hAnchor="page" w:x="635" w:y="371"/>
        <w:spacing w:line="1" w:lineRule="exact"/>
      </w:pPr>
    </w:p>
    <w:p w14:paraId="6C61D4E7" w14:textId="77777777" w:rsidR="00924992" w:rsidRDefault="00924992">
      <w:pPr>
        <w:pStyle w:val="Tablecaption0"/>
        <w:framePr w:w="3907" w:h="216" w:wrap="none" w:hAnchor="page" w:x="659" w:y="4221"/>
        <w:spacing w:line="240" w:lineRule="auto"/>
        <w:ind w:left="0"/>
        <w:rPr>
          <w:sz w:val="16"/>
          <w:szCs w:val="16"/>
        </w:rPr>
      </w:pPr>
      <w:r>
        <w:rPr>
          <w:b/>
          <w:bCs/>
          <w:i/>
          <w:iCs/>
          <w:color w:val="000000"/>
          <w:sz w:val="17"/>
          <w:szCs w:val="17"/>
        </w:rPr>
        <w:t>ANCYLOSTOMA caninum</w:t>
      </w:r>
      <w:r>
        <w:rPr>
          <w:color w:val="000000"/>
          <w:sz w:val="16"/>
          <w:szCs w:val="16"/>
        </w:rPr>
        <w:t xml:space="preserve"> (enterocolitis eosinofílica)</w:t>
      </w:r>
    </w:p>
    <w:tbl>
      <w:tblPr>
        <w:tblOverlap w:val="never"/>
        <w:tblW w:w="0" w:type="auto"/>
        <w:tblLayout w:type="fixed"/>
        <w:tblCellMar>
          <w:left w:w="10" w:type="dxa"/>
          <w:right w:w="10" w:type="dxa"/>
        </w:tblCellMar>
        <w:tblLook w:val="04A0" w:firstRow="1" w:lastRow="0" w:firstColumn="1" w:lastColumn="0" w:noHBand="0" w:noVBand="1"/>
      </w:tblPr>
      <w:tblGrid>
        <w:gridCol w:w="2299"/>
        <w:gridCol w:w="2880"/>
        <w:gridCol w:w="2914"/>
        <w:gridCol w:w="2750"/>
      </w:tblGrid>
      <w:tr w:rsidR="00924992" w14:paraId="0242B3C8" w14:textId="77777777">
        <w:tblPrEx>
          <w:tblCellMar>
            <w:top w:w="0" w:type="dxa"/>
            <w:bottom w:w="0" w:type="dxa"/>
          </w:tblCellMar>
        </w:tblPrEx>
        <w:trPr>
          <w:trHeight w:hRule="exact" w:val="206"/>
        </w:trPr>
        <w:tc>
          <w:tcPr>
            <w:tcW w:w="2299" w:type="dxa"/>
            <w:shd w:val="clear" w:color="auto" w:fill="FFFFFF"/>
            <w:vAlign w:val="bottom"/>
          </w:tcPr>
          <w:p w14:paraId="00319ADB" w14:textId="77777777" w:rsidR="00924992" w:rsidRDefault="00924992">
            <w:pPr>
              <w:pStyle w:val="Other0"/>
              <w:framePr w:w="10843" w:h="970" w:hSpace="336" w:vSpace="1531" w:wrap="none" w:hAnchor="page" w:x="673" w:y="4441"/>
              <w:spacing w:line="240" w:lineRule="auto"/>
              <w:ind w:firstLine="0"/>
              <w:rPr>
                <w:sz w:val="16"/>
                <w:szCs w:val="16"/>
              </w:rPr>
            </w:pPr>
            <w:r>
              <w:rPr>
                <w:rFonts w:ascii="Times New Roman" w:eastAsia="Times New Roman" w:hAnsi="Times New Roman" w:cs="Times New Roman"/>
                <w:color w:val="000000"/>
                <w:sz w:val="16"/>
                <w:szCs w:val="16"/>
              </w:rPr>
              <w:t>Fármaco más indicado:</w:t>
            </w:r>
          </w:p>
        </w:tc>
        <w:tc>
          <w:tcPr>
            <w:tcW w:w="2880" w:type="dxa"/>
            <w:shd w:val="clear" w:color="auto" w:fill="FFFFFF"/>
            <w:vAlign w:val="bottom"/>
          </w:tcPr>
          <w:p w14:paraId="0A0E7DA2" w14:textId="77777777" w:rsidR="00924992" w:rsidRDefault="00924992">
            <w:pPr>
              <w:pStyle w:val="Other0"/>
              <w:framePr w:w="10843" w:h="970" w:hSpace="336" w:vSpace="1531" w:wrap="none" w:hAnchor="page" w:x="673" w:y="4441"/>
              <w:spacing w:line="240" w:lineRule="auto"/>
              <w:ind w:firstLine="560"/>
              <w:rPr>
                <w:sz w:val="16"/>
                <w:szCs w:val="16"/>
              </w:rPr>
            </w:pPr>
            <w:r>
              <w:rPr>
                <w:rFonts w:ascii="Times New Roman" w:eastAsia="Times New Roman" w:hAnsi="Times New Roman" w:cs="Times New Roman"/>
                <w:color w:val="000000"/>
                <w:sz w:val="16"/>
                <w:szCs w:val="16"/>
              </w:rPr>
              <w:t>Albendazol</w:t>
            </w:r>
            <w:r>
              <w:rPr>
                <w:rFonts w:ascii="Times New Roman" w:eastAsia="Times New Roman" w:hAnsi="Times New Roman" w:cs="Times New Roman"/>
                <w:color w:val="000000"/>
                <w:sz w:val="16"/>
                <w:szCs w:val="16"/>
                <w:vertAlign w:val="superscript"/>
              </w:rPr>
              <w:t>3</w:t>
            </w:r>
          </w:p>
        </w:tc>
        <w:tc>
          <w:tcPr>
            <w:tcW w:w="2914" w:type="dxa"/>
            <w:shd w:val="clear" w:color="auto" w:fill="FFFFFF"/>
            <w:vAlign w:val="bottom"/>
          </w:tcPr>
          <w:p w14:paraId="68F65A8F" w14:textId="77777777" w:rsidR="00924992" w:rsidRDefault="00924992">
            <w:pPr>
              <w:pStyle w:val="Other0"/>
              <w:framePr w:w="10843" w:h="970" w:hSpace="336" w:vSpace="1531" w:wrap="none" w:hAnchor="page" w:x="673" w:y="4441"/>
              <w:spacing w:line="240" w:lineRule="auto"/>
              <w:ind w:firstLine="460"/>
              <w:rPr>
                <w:sz w:val="16"/>
                <w:szCs w:val="16"/>
              </w:rPr>
            </w:pPr>
            <w:r>
              <w:rPr>
                <w:rFonts w:ascii="Times New Roman" w:eastAsia="Times New Roman" w:hAnsi="Times New Roman" w:cs="Times New Roman"/>
                <w:color w:val="000000"/>
                <w:sz w:val="16"/>
                <w:szCs w:val="16"/>
              </w:rPr>
              <w:t>400 mg una vez</w:t>
            </w:r>
          </w:p>
        </w:tc>
        <w:tc>
          <w:tcPr>
            <w:tcW w:w="2750" w:type="dxa"/>
            <w:shd w:val="clear" w:color="auto" w:fill="FFFFFF"/>
            <w:vAlign w:val="bottom"/>
          </w:tcPr>
          <w:p w14:paraId="4DFD1CB2" w14:textId="77777777" w:rsidR="00924992" w:rsidRDefault="00924992">
            <w:pPr>
              <w:pStyle w:val="Other0"/>
              <w:framePr w:w="10843" w:h="970" w:hSpace="336" w:vSpace="1531" w:wrap="none" w:hAnchor="page" w:x="673" w:y="4441"/>
              <w:spacing w:line="240" w:lineRule="auto"/>
              <w:ind w:firstLine="420"/>
              <w:rPr>
                <w:sz w:val="16"/>
                <w:szCs w:val="16"/>
              </w:rPr>
            </w:pPr>
            <w:r>
              <w:rPr>
                <w:rFonts w:ascii="Times New Roman" w:eastAsia="Times New Roman" w:hAnsi="Times New Roman" w:cs="Times New Roman"/>
                <w:color w:val="000000"/>
                <w:sz w:val="16"/>
                <w:szCs w:val="16"/>
              </w:rPr>
              <w:t>400 mg una vez</w:t>
            </w:r>
          </w:p>
        </w:tc>
      </w:tr>
      <w:tr w:rsidR="00924992" w14:paraId="121B6047" w14:textId="77777777">
        <w:tblPrEx>
          <w:tblCellMar>
            <w:top w:w="0" w:type="dxa"/>
            <w:bottom w:w="0" w:type="dxa"/>
          </w:tblCellMar>
        </w:tblPrEx>
        <w:trPr>
          <w:trHeight w:hRule="exact" w:val="221"/>
        </w:trPr>
        <w:tc>
          <w:tcPr>
            <w:tcW w:w="2299" w:type="dxa"/>
            <w:shd w:val="clear" w:color="auto" w:fill="FFFFFF"/>
            <w:vAlign w:val="bottom"/>
          </w:tcPr>
          <w:p w14:paraId="53F7AE56" w14:textId="77777777" w:rsidR="00924992" w:rsidRDefault="00924992">
            <w:pPr>
              <w:pStyle w:val="Other0"/>
              <w:framePr w:w="10843" w:h="970" w:hSpace="336" w:vSpace="1531" w:wrap="none" w:hAnchor="page" w:x="673" w:y="4441"/>
              <w:spacing w:line="240" w:lineRule="auto"/>
              <w:ind w:firstLine="0"/>
              <w:rPr>
                <w:sz w:val="16"/>
                <w:szCs w:val="16"/>
              </w:rPr>
            </w:pPr>
            <w:r>
              <w:rPr>
                <w:rFonts w:ascii="Times New Roman" w:eastAsia="Times New Roman" w:hAnsi="Times New Roman" w:cs="Times New Roman"/>
                <w:b/>
                <w:bCs/>
                <w:color w:val="000000"/>
                <w:sz w:val="16"/>
                <w:szCs w:val="16"/>
              </w:rPr>
              <w:t>O</w:t>
            </w:r>
          </w:p>
        </w:tc>
        <w:tc>
          <w:tcPr>
            <w:tcW w:w="2880" w:type="dxa"/>
            <w:shd w:val="clear" w:color="auto" w:fill="FFFFFF"/>
            <w:vAlign w:val="bottom"/>
          </w:tcPr>
          <w:p w14:paraId="5FE7F94D" w14:textId="77777777" w:rsidR="00924992" w:rsidRDefault="00924992">
            <w:pPr>
              <w:pStyle w:val="Other0"/>
              <w:framePr w:w="10843" w:h="970" w:hSpace="336" w:vSpace="1531" w:wrap="none" w:hAnchor="page" w:x="673" w:y="4441"/>
              <w:spacing w:line="240" w:lineRule="auto"/>
              <w:ind w:firstLine="560"/>
              <w:rPr>
                <w:sz w:val="16"/>
                <w:szCs w:val="16"/>
              </w:rPr>
            </w:pPr>
            <w:r>
              <w:rPr>
                <w:rFonts w:ascii="Times New Roman" w:eastAsia="Times New Roman" w:hAnsi="Times New Roman" w:cs="Times New Roman"/>
                <w:color w:val="000000"/>
                <w:sz w:val="16"/>
                <w:szCs w:val="16"/>
              </w:rPr>
              <w:t>Mebendazol</w:t>
            </w:r>
          </w:p>
        </w:tc>
        <w:tc>
          <w:tcPr>
            <w:tcW w:w="2914" w:type="dxa"/>
            <w:shd w:val="clear" w:color="auto" w:fill="FFFFFF"/>
            <w:vAlign w:val="bottom"/>
          </w:tcPr>
          <w:p w14:paraId="6153EA91" w14:textId="77777777" w:rsidR="00924992" w:rsidRDefault="00924992">
            <w:pPr>
              <w:pStyle w:val="Other0"/>
              <w:framePr w:w="10843" w:h="970" w:hSpace="336" w:vSpace="1531" w:wrap="none" w:hAnchor="page" w:x="673" w:y="4441"/>
              <w:spacing w:line="240" w:lineRule="auto"/>
              <w:ind w:firstLine="460"/>
              <w:rPr>
                <w:sz w:val="16"/>
                <w:szCs w:val="16"/>
              </w:rPr>
            </w:pPr>
            <w:r>
              <w:rPr>
                <w:rFonts w:ascii="Times New Roman" w:eastAsia="Times New Roman" w:hAnsi="Times New Roman" w:cs="Times New Roman"/>
                <w:color w:val="000000"/>
                <w:sz w:val="16"/>
                <w:szCs w:val="16"/>
              </w:rPr>
              <w:t xml:space="preserve">100 mg bid </w:t>
            </w:r>
            <w:r>
              <w:rPr>
                <w:color w:val="000000"/>
              </w:rPr>
              <w:t xml:space="preserve">x </w:t>
            </w:r>
            <w:r>
              <w:rPr>
                <w:rFonts w:ascii="Times New Roman" w:eastAsia="Times New Roman" w:hAnsi="Times New Roman" w:cs="Times New Roman"/>
                <w:color w:val="000000"/>
                <w:sz w:val="16"/>
                <w:szCs w:val="16"/>
              </w:rPr>
              <w:t>3 días</w:t>
            </w:r>
          </w:p>
        </w:tc>
        <w:tc>
          <w:tcPr>
            <w:tcW w:w="2750" w:type="dxa"/>
            <w:shd w:val="clear" w:color="auto" w:fill="FFFFFF"/>
            <w:vAlign w:val="bottom"/>
          </w:tcPr>
          <w:p w14:paraId="6B5AB695" w14:textId="77777777" w:rsidR="00924992" w:rsidRDefault="00924992">
            <w:pPr>
              <w:pStyle w:val="Other0"/>
              <w:framePr w:w="10843" w:h="970" w:hSpace="336" w:vSpace="1531" w:wrap="none" w:hAnchor="page" w:x="673" w:y="4441"/>
              <w:spacing w:line="240" w:lineRule="auto"/>
              <w:ind w:firstLine="420"/>
              <w:rPr>
                <w:sz w:val="16"/>
                <w:szCs w:val="16"/>
              </w:rPr>
            </w:pPr>
            <w:r>
              <w:rPr>
                <w:rFonts w:ascii="Times New Roman" w:eastAsia="Times New Roman" w:hAnsi="Times New Roman" w:cs="Times New Roman"/>
                <w:color w:val="000000"/>
                <w:sz w:val="16"/>
                <w:szCs w:val="16"/>
              </w:rPr>
              <w:t xml:space="preserve">100 mg bid </w:t>
            </w:r>
            <w:r>
              <w:rPr>
                <w:color w:val="000000"/>
              </w:rPr>
              <w:t xml:space="preserve">x </w:t>
            </w:r>
            <w:r>
              <w:rPr>
                <w:rFonts w:ascii="Times New Roman" w:eastAsia="Times New Roman" w:hAnsi="Times New Roman" w:cs="Times New Roman"/>
                <w:color w:val="000000"/>
                <w:sz w:val="16"/>
                <w:szCs w:val="16"/>
              </w:rPr>
              <w:t>3 días</w:t>
            </w:r>
          </w:p>
        </w:tc>
      </w:tr>
      <w:tr w:rsidR="00924992" w14:paraId="7880CBD9" w14:textId="77777777">
        <w:tblPrEx>
          <w:tblCellMar>
            <w:top w:w="0" w:type="dxa"/>
            <w:bottom w:w="0" w:type="dxa"/>
          </w:tblCellMar>
        </w:tblPrEx>
        <w:trPr>
          <w:trHeight w:hRule="exact" w:val="235"/>
        </w:trPr>
        <w:tc>
          <w:tcPr>
            <w:tcW w:w="2299" w:type="dxa"/>
            <w:shd w:val="clear" w:color="auto" w:fill="FFFFFF"/>
            <w:vAlign w:val="bottom"/>
          </w:tcPr>
          <w:p w14:paraId="3F4937DE" w14:textId="77777777" w:rsidR="00924992" w:rsidRDefault="00924992">
            <w:pPr>
              <w:pStyle w:val="Other0"/>
              <w:framePr w:w="10843" w:h="970" w:hSpace="336" w:vSpace="1531" w:wrap="none" w:hAnchor="page" w:x="673" w:y="4441"/>
              <w:spacing w:line="240" w:lineRule="auto"/>
              <w:ind w:firstLine="0"/>
              <w:rPr>
                <w:sz w:val="16"/>
                <w:szCs w:val="16"/>
              </w:rPr>
            </w:pPr>
            <w:r>
              <w:rPr>
                <w:rFonts w:ascii="Times New Roman" w:eastAsia="Times New Roman" w:hAnsi="Times New Roman" w:cs="Times New Roman"/>
                <w:b/>
                <w:bCs/>
                <w:color w:val="000000"/>
                <w:sz w:val="16"/>
                <w:szCs w:val="16"/>
              </w:rPr>
              <w:t>O</w:t>
            </w:r>
          </w:p>
        </w:tc>
        <w:tc>
          <w:tcPr>
            <w:tcW w:w="2880" w:type="dxa"/>
            <w:shd w:val="clear" w:color="auto" w:fill="FFFFFF"/>
            <w:vAlign w:val="bottom"/>
          </w:tcPr>
          <w:p w14:paraId="76F122B3" w14:textId="77777777" w:rsidR="00924992" w:rsidRDefault="00924992">
            <w:pPr>
              <w:pStyle w:val="Other0"/>
              <w:framePr w:w="10843" w:h="970" w:hSpace="336" w:vSpace="1531" w:wrap="none" w:hAnchor="page" w:x="673" w:y="4441"/>
              <w:spacing w:line="240" w:lineRule="auto"/>
              <w:ind w:firstLine="560"/>
              <w:rPr>
                <w:sz w:val="16"/>
                <w:szCs w:val="16"/>
              </w:rPr>
            </w:pPr>
            <w:r>
              <w:rPr>
                <w:rFonts w:ascii="Times New Roman" w:eastAsia="Times New Roman" w:hAnsi="Times New Roman" w:cs="Times New Roman"/>
                <w:color w:val="000000"/>
                <w:sz w:val="16"/>
                <w:szCs w:val="16"/>
              </w:rPr>
              <w:t>Pamoato de pirantel</w:t>
            </w:r>
            <w:r>
              <w:rPr>
                <w:rFonts w:ascii="Times New Roman" w:eastAsia="Times New Roman" w:hAnsi="Times New Roman" w:cs="Times New Roman"/>
                <w:color w:val="000000"/>
                <w:sz w:val="16"/>
                <w:szCs w:val="16"/>
                <w:vertAlign w:val="superscript"/>
              </w:rPr>
              <w:t>3</w:t>
            </w:r>
          </w:p>
        </w:tc>
        <w:tc>
          <w:tcPr>
            <w:tcW w:w="2914" w:type="dxa"/>
            <w:shd w:val="clear" w:color="auto" w:fill="FFFFFF"/>
            <w:vAlign w:val="bottom"/>
          </w:tcPr>
          <w:p w14:paraId="1BCD322D" w14:textId="77777777" w:rsidR="00924992" w:rsidRDefault="00924992">
            <w:pPr>
              <w:pStyle w:val="Other0"/>
              <w:framePr w:w="10843" w:h="970" w:hSpace="336" w:vSpace="1531" w:wrap="none" w:hAnchor="page" w:x="673" w:y="4441"/>
              <w:spacing w:line="240" w:lineRule="auto"/>
              <w:ind w:firstLine="460"/>
              <w:rPr>
                <w:sz w:val="16"/>
                <w:szCs w:val="16"/>
              </w:rPr>
            </w:pPr>
            <w:r>
              <w:rPr>
                <w:rFonts w:ascii="Times New Roman" w:eastAsia="Times New Roman" w:hAnsi="Times New Roman" w:cs="Times New Roman"/>
                <w:color w:val="000000"/>
                <w:sz w:val="16"/>
                <w:szCs w:val="16"/>
              </w:rPr>
              <w:t xml:space="preserve">11 mg/kg (máx. 1 g) </w:t>
            </w:r>
            <w:r>
              <w:rPr>
                <w:color w:val="000000"/>
              </w:rPr>
              <w:t xml:space="preserve">x </w:t>
            </w:r>
            <w:r>
              <w:rPr>
                <w:rFonts w:ascii="Times New Roman" w:eastAsia="Times New Roman" w:hAnsi="Times New Roman" w:cs="Times New Roman"/>
                <w:color w:val="000000"/>
                <w:sz w:val="16"/>
                <w:szCs w:val="16"/>
              </w:rPr>
              <w:t>3 días</w:t>
            </w:r>
          </w:p>
        </w:tc>
        <w:tc>
          <w:tcPr>
            <w:tcW w:w="2750" w:type="dxa"/>
            <w:shd w:val="clear" w:color="auto" w:fill="FFFFFF"/>
            <w:vAlign w:val="bottom"/>
          </w:tcPr>
          <w:p w14:paraId="2A0AB9A6" w14:textId="77777777" w:rsidR="00924992" w:rsidRDefault="00924992">
            <w:pPr>
              <w:pStyle w:val="Other0"/>
              <w:framePr w:w="10843" w:h="970" w:hSpace="336" w:vSpace="1531" w:wrap="none" w:hAnchor="page" w:x="673" w:y="4441"/>
              <w:spacing w:line="240" w:lineRule="auto"/>
              <w:ind w:firstLine="420"/>
              <w:rPr>
                <w:sz w:val="16"/>
                <w:szCs w:val="16"/>
              </w:rPr>
            </w:pPr>
            <w:r>
              <w:rPr>
                <w:rFonts w:ascii="Times New Roman" w:eastAsia="Times New Roman" w:hAnsi="Times New Roman" w:cs="Times New Roman"/>
                <w:color w:val="000000"/>
                <w:sz w:val="16"/>
                <w:szCs w:val="16"/>
              </w:rPr>
              <w:t xml:space="preserve">11 mg/kg (máx. 1 g) </w:t>
            </w:r>
            <w:r>
              <w:rPr>
                <w:color w:val="000000"/>
              </w:rPr>
              <w:t xml:space="preserve">x </w:t>
            </w:r>
            <w:r>
              <w:rPr>
                <w:rFonts w:ascii="Times New Roman" w:eastAsia="Times New Roman" w:hAnsi="Times New Roman" w:cs="Times New Roman"/>
                <w:color w:val="000000"/>
                <w:sz w:val="16"/>
                <w:szCs w:val="16"/>
              </w:rPr>
              <w:t>3 días</w:t>
            </w:r>
          </w:p>
        </w:tc>
      </w:tr>
      <w:tr w:rsidR="00924992" w14:paraId="5DB0E5FD" w14:textId="77777777">
        <w:tblPrEx>
          <w:tblCellMar>
            <w:top w:w="0" w:type="dxa"/>
            <w:bottom w:w="0" w:type="dxa"/>
          </w:tblCellMar>
        </w:tblPrEx>
        <w:trPr>
          <w:trHeight w:hRule="exact" w:val="307"/>
        </w:trPr>
        <w:tc>
          <w:tcPr>
            <w:tcW w:w="2299" w:type="dxa"/>
            <w:tcBorders>
              <w:bottom w:val="single" w:sz="4" w:space="0" w:color="auto"/>
            </w:tcBorders>
            <w:shd w:val="clear" w:color="auto" w:fill="FFFFFF"/>
          </w:tcPr>
          <w:p w14:paraId="00194D08" w14:textId="77777777" w:rsidR="00924992" w:rsidRDefault="00924992">
            <w:pPr>
              <w:pStyle w:val="Other0"/>
              <w:framePr w:w="10843" w:h="970" w:hSpace="336" w:vSpace="1531" w:wrap="none" w:hAnchor="page" w:x="673" w:y="4441"/>
              <w:spacing w:line="240" w:lineRule="auto"/>
              <w:ind w:firstLine="0"/>
              <w:rPr>
                <w:sz w:val="16"/>
                <w:szCs w:val="16"/>
              </w:rPr>
            </w:pPr>
            <w:r>
              <w:rPr>
                <w:rFonts w:ascii="Times New Roman" w:eastAsia="Times New Roman" w:hAnsi="Times New Roman" w:cs="Times New Roman"/>
                <w:b/>
                <w:bCs/>
                <w:color w:val="000000"/>
                <w:sz w:val="16"/>
                <w:szCs w:val="16"/>
              </w:rPr>
              <w:t>O</w:t>
            </w:r>
          </w:p>
        </w:tc>
        <w:tc>
          <w:tcPr>
            <w:tcW w:w="2880" w:type="dxa"/>
            <w:tcBorders>
              <w:bottom w:val="single" w:sz="4" w:space="0" w:color="auto"/>
            </w:tcBorders>
            <w:shd w:val="clear" w:color="auto" w:fill="FFFFFF"/>
          </w:tcPr>
          <w:p w14:paraId="65ACCF7F" w14:textId="77777777" w:rsidR="00924992" w:rsidRDefault="00924992">
            <w:pPr>
              <w:pStyle w:val="Other0"/>
              <w:framePr w:w="10843" w:h="970" w:hSpace="336" w:vSpace="1531" w:wrap="none" w:hAnchor="page" w:x="673" w:y="4441"/>
              <w:spacing w:line="240" w:lineRule="auto"/>
              <w:ind w:firstLine="560"/>
              <w:rPr>
                <w:sz w:val="16"/>
                <w:szCs w:val="16"/>
              </w:rPr>
            </w:pPr>
            <w:r>
              <w:rPr>
                <w:rFonts w:ascii="Times New Roman" w:eastAsia="Times New Roman" w:hAnsi="Times New Roman" w:cs="Times New Roman"/>
                <w:color w:val="000000"/>
                <w:sz w:val="16"/>
                <w:szCs w:val="16"/>
              </w:rPr>
              <w:t>Extracción por endoscopia</w:t>
            </w:r>
          </w:p>
        </w:tc>
        <w:tc>
          <w:tcPr>
            <w:tcW w:w="2914" w:type="dxa"/>
            <w:tcBorders>
              <w:bottom w:val="single" w:sz="4" w:space="0" w:color="auto"/>
            </w:tcBorders>
            <w:shd w:val="clear" w:color="auto" w:fill="FFFFFF"/>
          </w:tcPr>
          <w:p w14:paraId="31A11FB1" w14:textId="77777777" w:rsidR="00924992" w:rsidRDefault="00924992">
            <w:pPr>
              <w:framePr w:w="10843" w:h="970" w:hSpace="336" w:vSpace="1531" w:wrap="none" w:hAnchor="page" w:x="673" w:y="4441"/>
              <w:rPr>
                <w:sz w:val="10"/>
                <w:szCs w:val="10"/>
              </w:rPr>
            </w:pPr>
          </w:p>
        </w:tc>
        <w:tc>
          <w:tcPr>
            <w:tcW w:w="2750" w:type="dxa"/>
            <w:tcBorders>
              <w:bottom w:val="single" w:sz="4" w:space="0" w:color="auto"/>
            </w:tcBorders>
            <w:shd w:val="clear" w:color="auto" w:fill="FFFFFF"/>
          </w:tcPr>
          <w:p w14:paraId="0D49A7A4" w14:textId="77777777" w:rsidR="00924992" w:rsidRDefault="00924992">
            <w:pPr>
              <w:framePr w:w="10843" w:h="970" w:hSpace="336" w:vSpace="1531" w:wrap="none" w:hAnchor="page" w:x="673" w:y="4441"/>
              <w:rPr>
                <w:sz w:val="10"/>
                <w:szCs w:val="10"/>
              </w:rPr>
            </w:pPr>
          </w:p>
        </w:tc>
      </w:tr>
    </w:tbl>
    <w:p w14:paraId="66740994" w14:textId="77777777" w:rsidR="00924992" w:rsidRDefault="00924992">
      <w:pPr>
        <w:framePr w:w="10843" w:h="970" w:hSpace="336" w:vSpace="1531" w:wrap="none" w:hAnchor="page" w:x="673" w:y="4441"/>
        <w:spacing w:line="1" w:lineRule="exact"/>
      </w:pPr>
    </w:p>
    <w:p w14:paraId="0CA05779" w14:textId="77777777" w:rsidR="00924992" w:rsidRDefault="00924992">
      <w:pPr>
        <w:pStyle w:val="Tablecaption0"/>
        <w:framePr w:w="11174" w:h="1469" w:wrap="none" w:hAnchor="page" w:x="678" w:y="5473"/>
        <w:numPr>
          <w:ilvl w:val="0"/>
          <w:numId w:val="135"/>
        </w:numPr>
        <w:tabs>
          <w:tab w:val="left" w:pos="154"/>
        </w:tabs>
        <w:spacing w:line="254" w:lineRule="auto"/>
        <w:ind w:left="0"/>
      </w:pPr>
      <w:r>
        <w:rPr>
          <w:color w:val="000000"/>
        </w:rPr>
        <w:t xml:space="preserve">Amiba leptomixida de vida libre que origina enfermedad granulomatosa subaguda crónica en SNC. Isetionato de pentamidina </w:t>
      </w:r>
      <w:r>
        <w:rPr>
          <w:i/>
          <w:iCs/>
          <w:color w:val="000000"/>
        </w:rPr>
        <w:t>in vitro</w:t>
      </w:r>
      <w:r>
        <w:rPr>
          <w:color w:val="000000"/>
        </w:rPr>
        <w:t xml:space="preserve"> a razón de 10 pg/ml es amibastático</w:t>
      </w:r>
    </w:p>
    <w:p w14:paraId="7E48753A" w14:textId="77777777" w:rsidR="00924992" w:rsidRDefault="00924992">
      <w:pPr>
        <w:pStyle w:val="Tablecaption0"/>
        <w:framePr w:w="11174" w:h="1469" w:wrap="none" w:hAnchor="page" w:x="678" w:y="5473"/>
        <w:spacing w:line="254" w:lineRule="auto"/>
        <w:ind w:left="140" w:firstLine="40"/>
        <w:jc w:val="both"/>
      </w:pPr>
      <w:r>
        <w:rPr>
          <w:color w:val="000000"/>
        </w:rPr>
        <w:t xml:space="preserve">(CF Denney et al, </w:t>
      </w:r>
      <w:r>
        <w:rPr>
          <w:i/>
          <w:iCs/>
          <w:color w:val="000000"/>
        </w:rPr>
        <w:t>Clin Infect Dis</w:t>
      </w:r>
      <w:r>
        <w:rPr>
          <w:color w:val="000000"/>
        </w:rPr>
        <w:t xml:space="preserve"> 1997; 25:1354). Según los consultores de Medical Letter se obtuvieron buenos resultados en un paciente con claritromicina (Biaxin) a razón de 500 mg tid, fluconazol (Diflucan) 400 mg una vez al día, sulfadiazina, 1.5 g cada 6 h y flucitosina a razón de 1.5 g cada 6 h (Ancobon).</w:t>
      </w:r>
    </w:p>
    <w:p w14:paraId="3CC61BB8" w14:textId="77777777" w:rsidR="00924992" w:rsidRDefault="00924992">
      <w:pPr>
        <w:pStyle w:val="Tablecaption0"/>
        <w:framePr w:w="11174" w:h="1469" w:wrap="none" w:hAnchor="page" w:x="678" w:y="5473"/>
        <w:numPr>
          <w:ilvl w:val="0"/>
          <w:numId w:val="135"/>
        </w:numPr>
        <w:tabs>
          <w:tab w:val="left" w:pos="163"/>
        </w:tabs>
        <w:spacing w:line="254" w:lineRule="auto"/>
        <w:ind w:left="140" w:hanging="140"/>
      </w:pPr>
      <w:r>
        <w:rPr>
          <w:color w:val="000000"/>
        </w:rPr>
        <w:t xml:space="preserve">Una amiba de vida libre descrita recientemente de la cual no se sabía que era patógena para los seres humanos. El cuadro fue tratado satisfactoriamente con azitromicina, pentamidina IV, itraconazol y flucitosina (BB Gelman et al, </w:t>
      </w:r>
      <w:r>
        <w:rPr>
          <w:i/>
          <w:iCs/>
          <w:color w:val="000000"/>
        </w:rPr>
        <w:t>JAMA</w:t>
      </w:r>
      <w:r>
        <w:rPr>
          <w:color w:val="000000"/>
        </w:rPr>
        <w:t xml:space="preserve"> 2001; 285:2450).</w:t>
      </w:r>
    </w:p>
    <w:p w14:paraId="1722402E" w14:textId="77777777" w:rsidR="00924992" w:rsidRDefault="00924992">
      <w:pPr>
        <w:pStyle w:val="Tablecaption0"/>
        <w:framePr w:w="11174" w:h="1469" w:wrap="none" w:hAnchor="page" w:x="678" w:y="5473"/>
        <w:numPr>
          <w:ilvl w:val="0"/>
          <w:numId w:val="135"/>
        </w:numPr>
        <w:tabs>
          <w:tab w:val="left" w:pos="173"/>
        </w:tabs>
        <w:spacing w:line="254" w:lineRule="auto"/>
        <w:ind w:left="140" w:hanging="140"/>
      </w:pPr>
      <w:r>
        <w:rPr>
          <w:color w:val="000000"/>
        </w:rPr>
        <w:t xml:space="preserve">El fármaco no se expende en el comercio, pero se puede obtener del </w:t>
      </w:r>
      <w:r>
        <w:rPr>
          <w:i/>
          <w:iCs/>
          <w:color w:val="000000"/>
        </w:rPr>
        <w:t>Medical Center Pharmacy,</w:t>
      </w:r>
      <w:r>
        <w:rPr>
          <w:color w:val="000000"/>
        </w:rPr>
        <w:t xml:space="preserve"> New Haven, CT (203-688-6816) o Panorama Compounding Pharmacy 6744 Balboa Blvd, Van Nuys, CA 91406 (800-247-9767).</w:t>
      </w:r>
    </w:p>
    <w:p w14:paraId="1804F27D" w14:textId="77777777" w:rsidR="00924992" w:rsidRDefault="00924992">
      <w:pPr>
        <w:pStyle w:val="Tablecaption0"/>
        <w:framePr w:w="11174" w:h="1469" w:wrap="none" w:hAnchor="page" w:x="678" w:y="5473"/>
        <w:numPr>
          <w:ilvl w:val="0"/>
          <w:numId w:val="135"/>
        </w:numPr>
        <w:tabs>
          <w:tab w:val="left" w:pos="168"/>
        </w:tabs>
        <w:spacing w:line="254" w:lineRule="auto"/>
        <w:ind w:left="0"/>
        <w:jc w:val="both"/>
      </w:pPr>
      <w:r>
        <w:rPr>
          <w:color w:val="000000"/>
        </w:rPr>
        <w:t>Después del tratamiento se seguirá un ciclo a base de yodoquinol o paromomicina en las dosis usadas para combatir la amibiasis asintomática.</w:t>
      </w:r>
    </w:p>
    <w:p w14:paraId="10D76DB8" w14:textId="77777777" w:rsidR="00924992" w:rsidRDefault="00924992">
      <w:pPr>
        <w:pStyle w:val="Bodytext80"/>
        <w:framePr w:w="192" w:h="4536" w:hRule="exact" w:wrap="none" w:hAnchor="page" w:x="12390" w:y="39"/>
        <w:tabs>
          <w:tab w:val="left" w:pos="2338"/>
        </w:tabs>
        <w:textDirection w:val="tbRl"/>
      </w:pPr>
      <w:r>
        <w:rPr>
          <w:sz w:val="16"/>
          <w:szCs w:val="16"/>
        </w:rPr>
        <w:t>784</w:t>
      </w:r>
      <w:r>
        <w:rPr>
          <w:sz w:val="16"/>
          <w:szCs w:val="16"/>
        </w:rPr>
        <w:tab/>
      </w:r>
      <w:r>
        <w:t>FÁRMACOS ANTIPARASITARIOS</w:t>
      </w:r>
    </w:p>
    <w:p w14:paraId="3398EA2F" w14:textId="77777777" w:rsidR="00924992" w:rsidRDefault="00924992">
      <w:pPr>
        <w:spacing w:line="360" w:lineRule="exact"/>
      </w:pPr>
    </w:p>
    <w:p w14:paraId="0C5CEBB6" w14:textId="77777777" w:rsidR="00924992" w:rsidRDefault="00924992">
      <w:pPr>
        <w:spacing w:line="360" w:lineRule="exact"/>
      </w:pPr>
    </w:p>
    <w:p w14:paraId="63CB6867" w14:textId="77777777" w:rsidR="00924992" w:rsidRDefault="00924992">
      <w:pPr>
        <w:spacing w:line="360" w:lineRule="exact"/>
      </w:pPr>
    </w:p>
    <w:p w14:paraId="0D71159B" w14:textId="77777777" w:rsidR="00924992" w:rsidRDefault="00924992">
      <w:pPr>
        <w:spacing w:line="360" w:lineRule="exact"/>
      </w:pPr>
    </w:p>
    <w:p w14:paraId="46569B26" w14:textId="77777777" w:rsidR="00924992" w:rsidRDefault="00924992">
      <w:pPr>
        <w:spacing w:line="360" w:lineRule="exact"/>
      </w:pPr>
    </w:p>
    <w:p w14:paraId="038AD15B" w14:textId="77777777" w:rsidR="00924992" w:rsidRDefault="00924992">
      <w:pPr>
        <w:spacing w:line="360" w:lineRule="exact"/>
      </w:pPr>
    </w:p>
    <w:p w14:paraId="7F8E4DA5" w14:textId="77777777" w:rsidR="00924992" w:rsidRDefault="00924992">
      <w:pPr>
        <w:spacing w:line="360" w:lineRule="exact"/>
      </w:pPr>
    </w:p>
    <w:p w14:paraId="1145BEFC" w14:textId="77777777" w:rsidR="00924992" w:rsidRDefault="00924992">
      <w:pPr>
        <w:spacing w:line="360" w:lineRule="exact"/>
      </w:pPr>
    </w:p>
    <w:p w14:paraId="3BBC8FC1" w14:textId="77777777" w:rsidR="00924992" w:rsidRDefault="00924992">
      <w:pPr>
        <w:spacing w:line="360" w:lineRule="exact"/>
      </w:pPr>
    </w:p>
    <w:p w14:paraId="4BE3C085" w14:textId="77777777" w:rsidR="00924992" w:rsidRDefault="00924992">
      <w:pPr>
        <w:spacing w:line="360" w:lineRule="exact"/>
      </w:pPr>
    </w:p>
    <w:p w14:paraId="7B5D8D3F" w14:textId="77777777" w:rsidR="00924992" w:rsidRDefault="00924992">
      <w:pPr>
        <w:spacing w:line="360" w:lineRule="exact"/>
      </w:pPr>
    </w:p>
    <w:p w14:paraId="4F00AF69" w14:textId="77777777" w:rsidR="00924992" w:rsidRDefault="00924992">
      <w:pPr>
        <w:spacing w:line="360" w:lineRule="exact"/>
      </w:pPr>
    </w:p>
    <w:p w14:paraId="68561CFE" w14:textId="77777777" w:rsidR="00924992" w:rsidRDefault="00924992">
      <w:pPr>
        <w:spacing w:line="360" w:lineRule="exact"/>
      </w:pPr>
    </w:p>
    <w:p w14:paraId="4AA331E9" w14:textId="77777777" w:rsidR="00924992" w:rsidRDefault="00924992">
      <w:pPr>
        <w:spacing w:line="360" w:lineRule="exact"/>
      </w:pPr>
    </w:p>
    <w:p w14:paraId="71BE9839" w14:textId="77777777" w:rsidR="00924992" w:rsidRDefault="00924992">
      <w:pPr>
        <w:spacing w:line="360" w:lineRule="exact"/>
      </w:pPr>
    </w:p>
    <w:p w14:paraId="37E2C815" w14:textId="77777777" w:rsidR="00924992" w:rsidRDefault="00924992">
      <w:pPr>
        <w:spacing w:line="360" w:lineRule="exact"/>
      </w:pPr>
    </w:p>
    <w:p w14:paraId="12228D65" w14:textId="77777777" w:rsidR="00924992" w:rsidRDefault="00924992">
      <w:pPr>
        <w:spacing w:line="360" w:lineRule="exact"/>
      </w:pPr>
    </w:p>
    <w:p w14:paraId="52972545" w14:textId="77777777" w:rsidR="00924992" w:rsidRDefault="00924992">
      <w:pPr>
        <w:spacing w:line="360" w:lineRule="exact"/>
      </w:pPr>
    </w:p>
    <w:p w14:paraId="0B7DB025" w14:textId="77777777" w:rsidR="00924992" w:rsidRDefault="00924992">
      <w:pPr>
        <w:spacing w:after="460" w:line="1" w:lineRule="exact"/>
      </w:pPr>
    </w:p>
    <w:p w14:paraId="6FDB3A61" w14:textId="77777777" w:rsidR="00924992" w:rsidRDefault="00924992">
      <w:pPr>
        <w:spacing w:line="1" w:lineRule="exact"/>
        <w:sectPr w:rsidR="00924992" w:rsidSect="00924992">
          <w:headerReference w:type="even" r:id="rId342"/>
          <w:headerReference w:type="default" r:id="rId343"/>
          <w:footerReference w:type="even" r:id="rId344"/>
          <w:footerReference w:type="default" r:id="rId345"/>
          <w:footnotePr>
            <w:numFmt w:val="upperRoman"/>
          </w:footnotePr>
          <w:pgSz w:w="13022" w:h="8501" w:orient="landscape"/>
          <w:pgMar w:top="466" w:right="442" w:bottom="995" w:left="634" w:header="38" w:footer="3" w:gutter="0"/>
          <w:cols w:space="720"/>
          <w:noEndnote/>
          <w:docGrid w:linePitch="360"/>
          <w15:footnoteColumns w:val="1"/>
        </w:sectPr>
      </w:pPr>
    </w:p>
    <w:p w14:paraId="485B8B42" w14:textId="77777777" w:rsidR="00924992" w:rsidRDefault="00924992">
      <w:pPr>
        <w:pStyle w:val="Heading31"/>
        <w:keepNext/>
        <w:keepLines/>
        <w:framePr w:w="4618" w:h="317" w:wrap="none" w:hAnchor="page" w:x="4038" w:y="1"/>
        <w:rPr>
          <w:sz w:val="16"/>
          <w:szCs w:val="16"/>
        </w:rPr>
      </w:pPr>
      <w:bookmarkStart w:id="514" w:name="bookmark1960"/>
      <w:bookmarkStart w:id="515" w:name="bookmark1961"/>
      <w:bookmarkStart w:id="516" w:name="bookmark1962"/>
      <w:r>
        <w:rPr>
          <w:b w:val="0"/>
          <w:bCs w:val="0"/>
          <w:color w:val="000000"/>
        </w:rPr>
        <w:t xml:space="preserve">Cuadro 4-13. </w:t>
      </w:r>
      <w:r>
        <w:rPr>
          <w:color w:val="000000"/>
        </w:rPr>
        <w:t xml:space="preserve">Fármacos antiparasitarios </w:t>
      </w:r>
      <w:r>
        <w:rPr>
          <w:rFonts w:ascii="Times New Roman" w:eastAsia="Times New Roman" w:hAnsi="Times New Roman" w:cs="Times New Roman"/>
          <w:b w:val="0"/>
          <w:bCs w:val="0"/>
          <w:i/>
          <w:iCs/>
          <w:color w:val="000000"/>
          <w:w w:val="100"/>
          <w:sz w:val="16"/>
          <w:szCs w:val="16"/>
        </w:rPr>
        <w:t>continuación</w:t>
      </w:r>
      <w:bookmarkEnd w:id="514"/>
      <w:bookmarkEnd w:id="515"/>
      <w:bookmarkEnd w:id="516"/>
    </w:p>
    <w:tbl>
      <w:tblPr>
        <w:tblOverlap w:val="never"/>
        <w:tblW w:w="0" w:type="auto"/>
        <w:tblLayout w:type="fixed"/>
        <w:tblCellMar>
          <w:left w:w="10" w:type="dxa"/>
          <w:right w:w="10" w:type="dxa"/>
        </w:tblCellMar>
        <w:tblLook w:val="04A0" w:firstRow="1" w:lastRow="0" w:firstColumn="1" w:lastColumn="0" w:noHBand="0" w:noVBand="1"/>
      </w:tblPr>
      <w:tblGrid>
        <w:gridCol w:w="2568"/>
        <w:gridCol w:w="2986"/>
        <w:gridCol w:w="2909"/>
        <w:gridCol w:w="2971"/>
      </w:tblGrid>
      <w:tr w:rsidR="00924992" w14:paraId="45050FFA" w14:textId="77777777">
        <w:tblPrEx>
          <w:tblCellMar>
            <w:top w:w="0" w:type="dxa"/>
            <w:bottom w:w="0" w:type="dxa"/>
          </w:tblCellMar>
        </w:tblPrEx>
        <w:trPr>
          <w:trHeight w:hRule="exact" w:val="278"/>
        </w:trPr>
        <w:tc>
          <w:tcPr>
            <w:tcW w:w="2568" w:type="dxa"/>
            <w:shd w:val="clear" w:color="auto" w:fill="000000"/>
          </w:tcPr>
          <w:p w14:paraId="7AFA2BBB" w14:textId="77777777" w:rsidR="00924992" w:rsidRDefault="00924992">
            <w:pPr>
              <w:pStyle w:val="Other0"/>
              <w:framePr w:w="11434" w:h="4416" w:wrap="none" w:hAnchor="page" w:x="635" w:y="371"/>
              <w:pBdr>
                <w:top w:val="single" w:sz="0" w:space="0" w:color="000000"/>
                <w:left w:val="single" w:sz="0" w:space="0" w:color="000000"/>
                <w:bottom w:val="single" w:sz="0" w:space="0" w:color="000000"/>
                <w:right w:val="single" w:sz="0" w:space="0" w:color="000000"/>
              </w:pBdr>
              <w:shd w:val="clear" w:color="auto" w:fill="000000"/>
              <w:spacing w:line="240" w:lineRule="auto"/>
              <w:ind w:firstLine="0"/>
              <w:rPr>
                <w:sz w:val="24"/>
                <w:szCs w:val="24"/>
              </w:rPr>
            </w:pPr>
            <w:r>
              <w:rPr>
                <w:rFonts w:ascii="Arial" w:eastAsia="Arial" w:hAnsi="Arial" w:cs="Arial"/>
                <w:b/>
                <w:bCs/>
                <w:color w:val="FFFFFF"/>
                <w:w w:val="70"/>
                <w:sz w:val="24"/>
                <w:szCs w:val="24"/>
              </w:rPr>
              <w:t>Infección</w:t>
            </w:r>
          </w:p>
        </w:tc>
        <w:tc>
          <w:tcPr>
            <w:tcW w:w="2986" w:type="dxa"/>
            <w:shd w:val="clear" w:color="auto" w:fill="000000"/>
          </w:tcPr>
          <w:p w14:paraId="6A6C8D15" w14:textId="77777777" w:rsidR="00924992" w:rsidRDefault="00924992">
            <w:pPr>
              <w:pStyle w:val="Other0"/>
              <w:framePr w:w="11434" w:h="4416" w:wrap="none" w:hAnchor="page" w:x="635" w:y="371"/>
              <w:pBdr>
                <w:top w:val="single" w:sz="0" w:space="0" w:color="000000"/>
                <w:left w:val="single" w:sz="0" w:space="0" w:color="000000"/>
                <w:bottom w:val="single" w:sz="0" w:space="0" w:color="000000"/>
                <w:right w:val="single" w:sz="0" w:space="0" w:color="000000"/>
              </w:pBdr>
              <w:shd w:val="clear" w:color="auto" w:fill="000000"/>
              <w:spacing w:line="240" w:lineRule="auto"/>
              <w:ind w:firstLine="320"/>
              <w:rPr>
                <w:sz w:val="24"/>
                <w:szCs w:val="24"/>
              </w:rPr>
            </w:pPr>
            <w:r>
              <w:rPr>
                <w:rFonts w:ascii="Arial" w:eastAsia="Arial" w:hAnsi="Arial" w:cs="Arial"/>
                <w:b/>
                <w:bCs/>
                <w:color w:val="FFFFFF"/>
                <w:w w:val="70"/>
                <w:sz w:val="24"/>
                <w:szCs w:val="24"/>
              </w:rPr>
              <w:t>Fármaco</w:t>
            </w:r>
          </w:p>
        </w:tc>
        <w:tc>
          <w:tcPr>
            <w:tcW w:w="2909" w:type="dxa"/>
            <w:shd w:val="clear" w:color="auto" w:fill="000000"/>
          </w:tcPr>
          <w:p w14:paraId="616D4B0C" w14:textId="77777777" w:rsidR="00924992" w:rsidRDefault="00924992">
            <w:pPr>
              <w:pStyle w:val="Other0"/>
              <w:framePr w:w="11434" w:h="4416" w:wrap="none" w:hAnchor="page" w:x="635" w:y="371"/>
              <w:pBdr>
                <w:top w:val="single" w:sz="0" w:space="0" w:color="000000"/>
                <w:left w:val="single" w:sz="0" w:space="0" w:color="000000"/>
                <w:bottom w:val="single" w:sz="0" w:space="0" w:color="000000"/>
                <w:right w:val="single" w:sz="0" w:space="0" w:color="000000"/>
              </w:pBdr>
              <w:shd w:val="clear" w:color="auto" w:fill="000000"/>
              <w:spacing w:line="240" w:lineRule="auto"/>
              <w:ind w:firstLine="0"/>
              <w:rPr>
                <w:sz w:val="24"/>
                <w:szCs w:val="24"/>
              </w:rPr>
            </w:pPr>
            <w:r>
              <w:rPr>
                <w:rFonts w:ascii="Arial" w:eastAsia="Arial" w:hAnsi="Arial" w:cs="Arial"/>
                <w:b/>
                <w:bCs/>
                <w:color w:val="FFFFFF"/>
                <w:w w:val="70"/>
                <w:sz w:val="24"/>
                <w:szCs w:val="24"/>
              </w:rPr>
              <w:t>Dosis para adultos</w:t>
            </w:r>
          </w:p>
        </w:tc>
        <w:tc>
          <w:tcPr>
            <w:tcW w:w="2971" w:type="dxa"/>
            <w:shd w:val="clear" w:color="auto" w:fill="000000"/>
          </w:tcPr>
          <w:p w14:paraId="38E50532" w14:textId="77777777" w:rsidR="00924992" w:rsidRDefault="00924992">
            <w:pPr>
              <w:pStyle w:val="Other0"/>
              <w:framePr w:w="11434" w:h="4416" w:wrap="none" w:hAnchor="page" w:x="635" w:y="371"/>
              <w:pBdr>
                <w:top w:val="single" w:sz="0" w:space="0" w:color="000000"/>
                <w:left w:val="single" w:sz="0" w:space="0" w:color="000000"/>
                <w:bottom w:val="single" w:sz="0" w:space="0" w:color="000000"/>
                <w:right w:val="single" w:sz="0" w:space="0" w:color="000000"/>
              </w:pBdr>
              <w:shd w:val="clear" w:color="auto" w:fill="000000"/>
              <w:spacing w:line="240" w:lineRule="auto"/>
              <w:ind w:firstLine="0"/>
              <w:rPr>
                <w:sz w:val="24"/>
                <w:szCs w:val="24"/>
              </w:rPr>
            </w:pPr>
            <w:r>
              <w:rPr>
                <w:rFonts w:ascii="Arial" w:eastAsia="Arial" w:hAnsi="Arial" w:cs="Arial"/>
                <w:b/>
                <w:bCs/>
                <w:color w:val="FFFFFF"/>
                <w:w w:val="70"/>
                <w:sz w:val="24"/>
                <w:szCs w:val="24"/>
              </w:rPr>
              <w:t>Dosis para niños</w:t>
            </w:r>
          </w:p>
        </w:tc>
      </w:tr>
      <w:tr w:rsidR="00924992" w14:paraId="4BC04BE6" w14:textId="77777777">
        <w:tblPrEx>
          <w:tblCellMar>
            <w:top w:w="0" w:type="dxa"/>
            <w:bottom w:w="0" w:type="dxa"/>
          </w:tblCellMar>
        </w:tblPrEx>
        <w:trPr>
          <w:trHeight w:hRule="exact" w:val="2275"/>
        </w:trPr>
        <w:tc>
          <w:tcPr>
            <w:tcW w:w="5554" w:type="dxa"/>
            <w:gridSpan w:val="2"/>
            <w:shd w:val="clear" w:color="auto" w:fill="FFFFFF"/>
            <w:vAlign w:val="bottom"/>
          </w:tcPr>
          <w:p w14:paraId="6E42C83A" w14:textId="77777777" w:rsidR="00924992" w:rsidRDefault="00924992">
            <w:pPr>
              <w:pStyle w:val="Other0"/>
              <w:framePr w:w="11434" w:h="4416" w:wrap="none" w:hAnchor="page" w:x="635" w:y="371"/>
              <w:spacing w:line="240" w:lineRule="auto"/>
              <w:ind w:firstLine="0"/>
              <w:rPr>
                <w:sz w:val="16"/>
                <w:szCs w:val="16"/>
              </w:rPr>
            </w:pPr>
            <w:r>
              <w:rPr>
                <w:rFonts w:ascii="Times New Roman" w:eastAsia="Times New Roman" w:hAnsi="Times New Roman" w:cs="Times New Roman"/>
                <w:b/>
                <w:bCs/>
                <w:i/>
                <w:iCs/>
                <w:color w:val="000000"/>
                <w:sz w:val="17"/>
                <w:szCs w:val="17"/>
              </w:rPr>
              <w:t>Ancylostoma duodenale</w:t>
            </w:r>
            <w:r>
              <w:rPr>
                <w:rFonts w:ascii="Times New Roman" w:eastAsia="Times New Roman" w:hAnsi="Times New Roman" w:cs="Times New Roman"/>
                <w:i/>
                <w:iCs/>
                <w:color w:val="000000"/>
                <w:sz w:val="15"/>
                <w:szCs w:val="15"/>
              </w:rPr>
              <w:t>,</w:t>
            </w:r>
            <w:r>
              <w:rPr>
                <w:rFonts w:ascii="Times New Roman" w:eastAsia="Times New Roman" w:hAnsi="Times New Roman" w:cs="Times New Roman"/>
                <w:color w:val="000000"/>
                <w:sz w:val="16"/>
                <w:szCs w:val="16"/>
              </w:rPr>
              <w:t xml:space="preserve"> véase “UNCINARIASIS (anquilostomiasis)”</w:t>
            </w:r>
          </w:p>
          <w:p w14:paraId="1308542E" w14:textId="77777777" w:rsidR="00924992" w:rsidRDefault="00924992">
            <w:pPr>
              <w:pStyle w:val="Other0"/>
              <w:framePr w:w="11434" w:h="4416" w:wrap="none" w:hAnchor="page" w:x="635" w:y="371"/>
              <w:spacing w:line="240" w:lineRule="auto"/>
              <w:ind w:firstLine="0"/>
              <w:rPr>
                <w:sz w:val="16"/>
                <w:szCs w:val="16"/>
              </w:rPr>
            </w:pPr>
            <w:r>
              <w:rPr>
                <w:rFonts w:ascii="Times New Roman" w:eastAsia="Times New Roman" w:hAnsi="Times New Roman" w:cs="Times New Roman"/>
                <w:b/>
                <w:bCs/>
                <w:color w:val="000000"/>
                <w:sz w:val="16"/>
                <w:szCs w:val="16"/>
              </w:rPr>
              <w:t>ANGIOESTRONGILIASIS</w:t>
            </w:r>
          </w:p>
          <w:p w14:paraId="41922CF9" w14:textId="77777777" w:rsidR="00924992" w:rsidRDefault="00924992">
            <w:pPr>
              <w:pStyle w:val="Other0"/>
              <w:framePr w:w="11434" w:h="4416" w:wrap="none" w:hAnchor="page" w:x="635" w:y="371"/>
              <w:spacing w:line="240" w:lineRule="auto"/>
              <w:ind w:firstLine="140"/>
              <w:rPr>
                <w:sz w:val="17"/>
                <w:szCs w:val="17"/>
              </w:rPr>
            </w:pPr>
            <w:r>
              <w:rPr>
                <w:rFonts w:ascii="Times New Roman" w:eastAsia="Times New Roman" w:hAnsi="Times New Roman" w:cs="Times New Roman"/>
                <w:b/>
                <w:bCs/>
                <w:i/>
                <w:iCs/>
                <w:color w:val="000000"/>
                <w:sz w:val="17"/>
                <w:szCs w:val="17"/>
              </w:rPr>
              <w:t>Angiostrongylus cantonensis</w:t>
            </w:r>
          </w:p>
          <w:p w14:paraId="1FD41225" w14:textId="77777777" w:rsidR="00924992" w:rsidRDefault="00924992">
            <w:pPr>
              <w:pStyle w:val="Other0"/>
              <w:framePr w:w="11434" w:h="4416" w:wrap="none" w:hAnchor="page" w:x="635" w:y="371"/>
              <w:tabs>
                <w:tab w:val="left" w:pos="2862"/>
              </w:tabs>
              <w:spacing w:line="240" w:lineRule="auto"/>
              <w:ind w:firstLine="140"/>
              <w:rPr>
                <w:sz w:val="16"/>
                <w:szCs w:val="16"/>
              </w:rPr>
            </w:pPr>
            <w:r>
              <w:rPr>
                <w:rFonts w:ascii="Times New Roman" w:eastAsia="Times New Roman" w:hAnsi="Times New Roman" w:cs="Times New Roman"/>
                <w:color w:val="000000"/>
                <w:sz w:val="16"/>
                <w:szCs w:val="16"/>
              </w:rPr>
              <w:t>Fármaco más indicado:</w:t>
            </w:r>
            <w:r>
              <w:rPr>
                <w:rFonts w:ascii="Times New Roman" w:eastAsia="Times New Roman" w:hAnsi="Times New Roman" w:cs="Times New Roman"/>
                <w:color w:val="000000"/>
                <w:sz w:val="16"/>
                <w:szCs w:val="16"/>
              </w:rPr>
              <w:tab/>
              <w:t xml:space="preserve">Véase pie de cuadro </w:t>
            </w:r>
            <w:r>
              <w:rPr>
                <w:rFonts w:ascii="Times New Roman" w:eastAsia="Times New Roman" w:hAnsi="Times New Roman" w:cs="Times New Roman"/>
                <w:color w:val="000000"/>
                <w:sz w:val="16"/>
                <w:szCs w:val="16"/>
                <w:vertAlign w:val="subscript"/>
              </w:rPr>
              <w:t>11</w:t>
            </w:r>
          </w:p>
          <w:p w14:paraId="25C8C612" w14:textId="77777777" w:rsidR="00924992" w:rsidRDefault="00924992">
            <w:pPr>
              <w:pStyle w:val="Other0"/>
              <w:framePr w:w="11434" w:h="4416" w:wrap="none" w:hAnchor="page" w:x="635" w:y="371"/>
              <w:spacing w:line="240" w:lineRule="auto"/>
              <w:ind w:firstLine="140"/>
              <w:rPr>
                <w:sz w:val="17"/>
                <w:szCs w:val="17"/>
              </w:rPr>
            </w:pPr>
            <w:r>
              <w:rPr>
                <w:rFonts w:ascii="Times New Roman" w:eastAsia="Times New Roman" w:hAnsi="Times New Roman" w:cs="Times New Roman"/>
                <w:b/>
                <w:bCs/>
                <w:i/>
                <w:iCs/>
                <w:color w:val="000000"/>
                <w:sz w:val="17"/>
                <w:szCs w:val="17"/>
              </w:rPr>
              <w:t>Angiostrongylus costaricensis</w:t>
            </w:r>
          </w:p>
          <w:p w14:paraId="226375F6" w14:textId="77777777" w:rsidR="00924992" w:rsidRDefault="00924992">
            <w:pPr>
              <w:pStyle w:val="Other0"/>
              <w:framePr w:w="11434" w:h="4416" w:wrap="none" w:hAnchor="page" w:x="635" w:y="371"/>
              <w:tabs>
                <w:tab w:val="left" w:pos="2862"/>
              </w:tabs>
              <w:spacing w:line="240" w:lineRule="auto"/>
              <w:ind w:firstLine="140"/>
              <w:rPr>
                <w:sz w:val="16"/>
                <w:szCs w:val="16"/>
              </w:rPr>
            </w:pPr>
            <w:r>
              <w:rPr>
                <w:rFonts w:ascii="Times New Roman" w:eastAsia="Times New Roman" w:hAnsi="Times New Roman" w:cs="Times New Roman"/>
                <w:color w:val="000000"/>
                <w:sz w:val="16"/>
                <w:szCs w:val="16"/>
              </w:rPr>
              <w:t>Fármaco más indicado:</w:t>
            </w:r>
            <w:r>
              <w:rPr>
                <w:rFonts w:ascii="Times New Roman" w:eastAsia="Times New Roman" w:hAnsi="Times New Roman" w:cs="Times New Roman"/>
                <w:color w:val="000000"/>
                <w:sz w:val="16"/>
                <w:szCs w:val="16"/>
              </w:rPr>
              <w:tab/>
              <w:t xml:space="preserve">Véase pie de cuadro </w:t>
            </w:r>
            <w:r>
              <w:rPr>
                <w:rFonts w:ascii="Times New Roman" w:eastAsia="Times New Roman" w:hAnsi="Times New Roman" w:cs="Times New Roman"/>
                <w:color w:val="000000"/>
                <w:sz w:val="16"/>
                <w:szCs w:val="16"/>
                <w:vertAlign w:val="superscript"/>
              </w:rPr>
              <w:t>12</w:t>
            </w:r>
          </w:p>
          <w:p w14:paraId="5CB1148A" w14:textId="77777777" w:rsidR="00924992" w:rsidRDefault="00924992">
            <w:pPr>
              <w:pStyle w:val="Other0"/>
              <w:framePr w:w="11434" w:h="4416" w:wrap="none" w:hAnchor="page" w:x="635" w:y="371"/>
              <w:spacing w:line="240" w:lineRule="auto"/>
              <w:ind w:firstLine="0"/>
              <w:rPr>
                <w:sz w:val="16"/>
                <w:szCs w:val="16"/>
              </w:rPr>
            </w:pPr>
            <w:r>
              <w:rPr>
                <w:rFonts w:ascii="Times New Roman" w:eastAsia="Times New Roman" w:hAnsi="Times New Roman" w:cs="Times New Roman"/>
                <w:b/>
                <w:bCs/>
                <w:color w:val="000000"/>
                <w:sz w:val="16"/>
                <w:szCs w:val="16"/>
              </w:rPr>
              <w:t xml:space="preserve">ANISAKIASIS </w:t>
            </w:r>
            <w:r>
              <w:rPr>
                <w:rFonts w:ascii="Times New Roman" w:eastAsia="Times New Roman" w:hAnsi="Times New Roman" w:cs="Times New Roman"/>
                <w:i/>
                <w:iCs/>
                <w:color w:val="000000"/>
                <w:sz w:val="16"/>
                <w:szCs w:val="16"/>
              </w:rPr>
              <w:t>(Anisakis)</w:t>
            </w:r>
          </w:p>
          <w:p w14:paraId="106DD87D" w14:textId="77777777" w:rsidR="00924992" w:rsidRDefault="00924992">
            <w:pPr>
              <w:pStyle w:val="Other0"/>
              <w:framePr w:w="11434" w:h="4416" w:wrap="none" w:hAnchor="page" w:x="635" w:y="371"/>
              <w:tabs>
                <w:tab w:val="left" w:pos="2881"/>
              </w:tabs>
              <w:spacing w:line="240" w:lineRule="auto"/>
              <w:ind w:firstLine="140"/>
              <w:rPr>
                <w:sz w:val="16"/>
                <w:szCs w:val="16"/>
              </w:rPr>
            </w:pPr>
            <w:r>
              <w:rPr>
                <w:rFonts w:ascii="Times New Roman" w:eastAsia="Times New Roman" w:hAnsi="Times New Roman" w:cs="Times New Roman"/>
                <w:color w:val="000000"/>
                <w:sz w:val="16"/>
                <w:szCs w:val="16"/>
              </w:rPr>
              <w:t>Tratamiento más indicado:</w:t>
            </w:r>
            <w:r>
              <w:rPr>
                <w:rFonts w:ascii="Times New Roman" w:eastAsia="Times New Roman" w:hAnsi="Times New Roman" w:cs="Times New Roman"/>
                <w:color w:val="000000"/>
                <w:sz w:val="16"/>
                <w:szCs w:val="16"/>
              </w:rPr>
              <w:tab/>
              <w:t>Extracción quirúrgica o endoscópica</w:t>
            </w:r>
          </w:p>
          <w:p w14:paraId="6116EB88" w14:textId="77777777" w:rsidR="00924992" w:rsidRDefault="00924992">
            <w:pPr>
              <w:pStyle w:val="Other0"/>
              <w:framePr w:w="11434" w:h="4416" w:wrap="none" w:hAnchor="page" w:x="635" w:y="371"/>
              <w:spacing w:line="240" w:lineRule="auto"/>
              <w:ind w:firstLine="0"/>
              <w:rPr>
                <w:sz w:val="16"/>
                <w:szCs w:val="16"/>
              </w:rPr>
            </w:pPr>
            <w:r>
              <w:rPr>
                <w:rFonts w:ascii="Times New Roman" w:eastAsia="Times New Roman" w:hAnsi="Times New Roman" w:cs="Times New Roman"/>
                <w:b/>
                <w:bCs/>
                <w:color w:val="000000"/>
                <w:sz w:val="16"/>
                <w:szCs w:val="16"/>
              </w:rPr>
              <w:t xml:space="preserve">ASCARIASIS </w:t>
            </w:r>
            <w:r>
              <w:rPr>
                <w:rFonts w:ascii="Times New Roman" w:eastAsia="Times New Roman" w:hAnsi="Times New Roman" w:cs="Times New Roman"/>
                <w:i/>
                <w:iCs/>
                <w:color w:val="000000"/>
                <w:sz w:val="15"/>
                <w:szCs w:val="15"/>
              </w:rPr>
              <w:t>(</w:t>
            </w:r>
            <w:r>
              <w:rPr>
                <w:rFonts w:ascii="Times New Roman" w:eastAsia="Times New Roman" w:hAnsi="Times New Roman" w:cs="Times New Roman"/>
                <w:i/>
                <w:iCs/>
                <w:color w:val="000000"/>
                <w:sz w:val="16"/>
                <w:szCs w:val="16"/>
              </w:rPr>
              <w:t>Ascaris lumbricoides,</w:t>
            </w:r>
            <w:r>
              <w:rPr>
                <w:rFonts w:ascii="Times New Roman" w:eastAsia="Times New Roman" w:hAnsi="Times New Roman" w:cs="Times New Roman"/>
                <w:color w:val="000000"/>
                <w:sz w:val="16"/>
                <w:szCs w:val="16"/>
              </w:rPr>
              <w:t xml:space="preserve"> vermis redondo)</w:t>
            </w:r>
          </w:p>
          <w:p w14:paraId="47569C1E" w14:textId="77777777" w:rsidR="00924992" w:rsidRDefault="00924992">
            <w:pPr>
              <w:pStyle w:val="Other0"/>
              <w:framePr w:w="11434" w:h="4416" w:wrap="none" w:hAnchor="page" w:x="635" w:y="371"/>
              <w:tabs>
                <w:tab w:val="left" w:pos="2818"/>
              </w:tabs>
              <w:spacing w:line="240" w:lineRule="auto"/>
              <w:ind w:firstLine="140"/>
              <w:rPr>
                <w:sz w:val="16"/>
                <w:szCs w:val="16"/>
              </w:rPr>
            </w:pPr>
            <w:r>
              <w:rPr>
                <w:rFonts w:ascii="Times New Roman" w:eastAsia="Times New Roman" w:hAnsi="Times New Roman" w:cs="Times New Roman"/>
                <w:color w:val="000000"/>
                <w:sz w:val="16"/>
                <w:szCs w:val="16"/>
              </w:rPr>
              <w:t>Fármaco más indicado:</w:t>
            </w:r>
            <w:r>
              <w:rPr>
                <w:rFonts w:ascii="Times New Roman" w:eastAsia="Times New Roman" w:hAnsi="Times New Roman" w:cs="Times New Roman"/>
                <w:color w:val="000000"/>
                <w:sz w:val="16"/>
                <w:szCs w:val="16"/>
              </w:rPr>
              <w:tab/>
              <w:t>Albendazol</w:t>
            </w:r>
            <w:r>
              <w:rPr>
                <w:rFonts w:ascii="Times New Roman" w:eastAsia="Times New Roman" w:hAnsi="Times New Roman" w:cs="Times New Roman"/>
                <w:color w:val="000000"/>
                <w:sz w:val="16"/>
                <w:szCs w:val="16"/>
                <w:vertAlign w:val="superscript"/>
              </w:rPr>
              <w:t>3</w:t>
            </w:r>
          </w:p>
        </w:tc>
        <w:tc>
          <w:tcPr>
            <w:tcW w:w="2909" w:type="dxa"/>
            <w:shd w:val="clear" w:color="auto" w:fill="FFFFFF"/>
            <w:vAlign w:val="bottom"/>
          </w:tcPr>
          <w:p w14:paraId="60B01153" w14:textId="77777777" w:rsidR="00924992" w:rsidRDefault="00924992">
            <w:pPr>
              <w:pStyle w:val="Other0"/>
              <w:framePr w:w="11434" w:h="4416" w:wrap="none" w:hAnchor="page" w:x="635" w:y="371"/>
              <w:spacing w:line="240" w:lineRule="auto"/>
              <w:ind w:firstLine="0"/>
              <w:rPr>
                <w:sz w:val="16"/>
                <w:szCs w:val="16"/>
              </w:rPr>
            </w:pPr>
            <w:r>
              <w:rPr>
                <w:rFonts w:ascii="Times New Roman" w:eastAsia="Times New Roman" w:hAnsi="Times New Roman" w:cs="Times New Roman"/>
                <w:color w:val="000000"/>
                <w:sz w:val="16"/>
                <w:szCs w:val="16"/>
              </w:rPr>
              <w:t>400 mg una vez</w:t>
            </w:r>
          </w:p>
        </w:tc>
        <w:tc>
          <w:tcPr>
            <w:tcW w:w="2971" w:type="dxa"/>
            <w:shd w:val="clear" w:color="auto" w:fill="FFFFFF"/>
            <w:vAlign w:val="bottom"/>
          </w:tcPr>
          <w:p w14:paraId="5D95829B" w14:textId="77777777" w:rsidR="00924992" w:rsidRDefault="00924992">
            <w:pPr>
              <w:pStyle w:val="Other0"/>
              <w:framePr w:w="11434" w:h="4416" w:wrap="none" w:hAnchor="page" w:x="635" w:y="371"/>
              <w:spacing w:line="240" w:lineRule="auto"/>
              <w:ind w:firstLine="0"/>
              <w:rPr>
                <w:sz w:val="16"/>
                <w:szCs w:val="16"/>
              </w:rPr>
            </w:pPr>
            <w:r>
              <w:rPr>
                <w:rFonts w:ascii="Times New Roman" w:eastAsia="Times New Roman" w:hAnsi="Times New Roman" w:cs="Times New Roman"/>
                <w:color w:val="000000"/>
                <w:sz w:val="16"/>
                <w:szCs w:val="16"/>
              </w:rPr>
              <w:t>400 mg una vez</w:t>
            </w:r>
          </w:p>
        </w:tc>
      </w:tr>
      <w:tr w:rsidR="00924992" w14:paraId="7FA05EFD" w14:textId="77777777">
        <w:tblPrEx>
          <w:tblCellMar>
            <w:top w:w="0" w:type="dxa"/>
            <w:bottom w:w="0" w:type="dxa"/>
          </w:tblCellMar>
        </w:tblPrEx>
        <w:trPr>
          <w:trHeight w:hRule="exact" w:val="226"/>
        </w:trPr>
        <w:tc>
          <w:tcPr>
            <w:tcW w:w="2568" w:type="dxa"/>
            <w:shd w:val="clear" w:color="auto" w:fill="FFFFFF"/>
          </w:tcPr>
          <w:p w14:paraId="2B2C9D5C" w14:textId="77777777" w:rsidR="00924992" w:rsidRDefault="00924992">
            <w:pPr>
              <w:pStyle w:val="Other0"/>
              <w:framePr w:w="11434" w:h="4416" w:wrap="none" w:hAnchor="page" w:x="635" w:y="371"/>
              <w:spacing w:line="240" w:lineRule="auto"/>
              <w:ind w:firstLine="160"/>
              <w:rPr>
                <w:sz w:val="16"/>
                <w:szCs w:val="16"/>
              </w:rPr>
            </w:pPr>
            <w:r>
              <w:rPr>
                <w:rFonts w:ascii="Times New Roman" w:eastAsia="Times New Roman" w:hAnsi="Times New Roman" w:cs="Times New Roman"/>
                <w:b/>
                <w:bCs/>
                <w:color w:val="000000"/>
                <w:sz w:val="16"/>
                <w:szCs w:val="16"/>
              </w:rPr>
              <w:t>O</w:t>
            </w:r>
          </w:p>
        </w:tc>
        <w:tc>
          <w:tcPr>
            <w:tcW w:w="2986" w:type="dxa"/>
            <w:shd w:val="clear" w:color="auto" w:fill="FFFFFF"/>
          </w:tcPr>
          <w:p w14:paraId="699D8DFD" w14:textId="77777777" w:rsidR="00924992" w:rsidRDefault="00924992">
            <w:pPr>
              <w:pStyle w:val="Other0"/>
              <w:framePr w:w="11434" w:h="4416" w:wrap="none" w:hAnchor="page" w:x="635" w:y="371"/>
              <w:spacing w:line="240" w:lineRule="auto"/>
              <w:ind w:firstLine="320"/>
              <w:rPr>
                <w:sz w:val="16"/>
                <w:szCs w:val="16"/>
              </w:rPr>
            </w:pPr>
            <w:r>
              <w:rPr>
                <w:rFonts w:ascii="Times New Roman" w:eastAsia="Times New Roman" w:hAnsi="Times New Roman" w:cs="Times New Roman"/>
                <w:color w:val="000000"/>
                <w:sz w:val="16"/>
                <w:szCs w:val="16"/>
              </w:rPr>
              <w:t>Mebendazol</w:t>
            </w:r>
          </w:p>
        </w:tc>
        <w:tc>
          <w:tcPr>
            <w:tcW w:w="2909" w:type="dxa"/>
            <w:shd w:val="clear" w:color="auto" w:fill="FFFFFF"/>
          </w:tcPr>
          <w:p w14:paraId="5C5D0C42" w14:textId="77777777" w:rsidR="00924992" w:rsidRDefault="00924992">
            <w:pPr>
              <w:pStyle w:val="Other0"/>
              <w:framePr w:w="11434" w:h="4416" w:wrap="none" w:hAnchor="page" w:x="635" w:y="371"/>
              <w:spacing w:line="240" w:lineRule="auto"/>
              <w:ind w:firstLine="0"/>
              <w:rPr>
                <w:sz w:val="16"/>
                <w:szCs w:val="16"/>
              </w:rPr>
            </w:pPr>
            <w:r>
              <w:rPr>
                <w:rFonts w:ascii="Times New Roman" w:eastAsia="Times New Roman" w:hAnsi="Times New Roman" w:cs="Times New Roman"/>
                <w:color w:val="000000"/>
                <w:sz w:val="16"/>
                <w:szCs w:val="16"/>
              </w:rPr>
              <w:t xml:space="preserve">100 mg bid </w:t>
            </w:r>
            <w:r>
              <w:rPr>
                <w:color w:val="000000"/>
              </w:rPr>
              <w:t xml:space="preserve">x </w:t>
            </w:r>
            <w:r>
              <w:rPr>
                <w:rFonts w:ascii="Times New Roman" w:eastAsia="Times New Roman" w:hAnsi="Times New Roman" w:cs="Times New Roman"/>
                <w:color w:val="000000"/>
                <w:sz w:val="16"/>
                <w:szCs w:val="16"/>
              </w:rPr>
              <w:t>3 días o 500 mg una vez</w:t>
            </w:r>
          </w:p>
        </w:tc>
        <w:tc>
          <w:tcPr>
            <w:tcW w:w="2971" w:type="dxa"/>
            <w:shd w:val="clear" w:color="auto" w:fill="FFFFFF"/>
          </w:tcPr>
          <w:p w14:paraId="78AC28A6" w14:textId="77777777" w:rsidR="00924992" w:rsidRDefault="00924992">
            <w:pPr>
              <w:pStyle w:val="Other0"/>
              <w:framePr w:w="11434" w:h="4416" w:wrap="none" w:hAnchor="page" w:x="635" w:y="371"/>
              <w:spacing w:line="240" w:lineRule="auto"/>
              <w:ind w:firstLine="0"/>
              <w:rPr>
                <w:sz w:val="16"/>
                <w:szCs w:val="16"/>
              </w:rPr>
            </w:pPr>
            <w:r>
              <w:rPr>
                <w:rFonts w:ascii="Times New Roman" w:eastAsia="Times New Roman" w:hAnsi="Times New Roman" w:cs="Times New Roman"/>
                <w:color w:val="000000"/>
                <w:sz w:val="16"/>
                <w:szCs w:val="16"/>
              </w:rPr>
              <w:t xml:space="preserve">100 mg bid </w:t>
            </w:r>
            <w:r>
              <w:rPr>
                <w:color w:val="000000"/>
              </w:rPr>
              <w:t xml:space="preserve">x </w:t>
            </w:r>
            <w:r>
              <w:rPr>
                <w:rFonts w:ascii="Times New Roman" w:eastAsia="Times New Roman" w:hAnsi="Times New Roman" w:cs="Times New Roman"/>
                <w:color w:val="000000"/>
                <w:sz w:val="16"/>
                <w:szCs w:val="16"/>
              </w:rPr>
              <w:t>3 días o 500 mg una vez</w:t>
            </w:r>
          </w:p>
        </w:tc>
      </w:tr>
      <w:tr w:rsidR="00924992" w14:paraId="74894C70" w14:textId="77777777">
        <w:tblPrEx>
          <w:tblCellMar>
            <w:top w:w="0" w:type="dxa"/>
            <w:bottom w:w="0" w:type="dxa"/>
          </w:tblCellMar>
        </w:tblPrEx>
        <w:trPr>
          <w:trHeight w:hRule="exact" w:val="226"/>
        </w:trPr>
        <w:tc>
          <w:tcPr>
            <w:tcW w:w="2568" w:type="dxa"/>
            <w:shd w:val="clear" w:color="auto" w:fill="FFFFFF"/>
            <w:vAlign w:val="bottom"/>
          </w:tcPr>
          <w:p w14:paraId="46690553" w14:textId="77777777" w:rsidR="00924992" w:rsidRDefault="00924992">
            <w:pPr>
              <w:pStyle w:val="Other0"/>
              <w:framePr w:w="11434" w:h="4416" w:wrap="none" w:hAnchor="page" w:x="635" w:y="371"/>
              <w:spacing w:line="240" w:lineRule="auto"/>
              <w:ind w:firstLine="160"/>
              <w:rPr>
                <w:sz w:val="16"/>
                <w:szCs w:val="16"/>
              </w:rPr>
            </w:pPr>
            <w:r>
              <w:rPr>
                <w:rFonts w:ascii="Times New Roman" w:eastAsia="Times New Roman" w:hAnsi="Times New Roman" w:cs="Times New Roman"/>
                <w:b/>
                <w:bCs/>
                <w:color w:val="000000"/>
                <w:sz w:val="16"/>
                <w:szCs w:val="16"/>
              </w:rPr>
              <w:t>O</w:t>
            </w:r>
          </w:p>
        </w:tc>
        <w:tc>
          <w:tcPr>
            <w:tcW w:w="2986" w:type="dxa"/>
            <w:shd w:val="clear" w:color="auto" w:fill="FFFFFF"/>
            <w:vAlign w:val="bottom"/>
          </w:tcPr>
          <w:p w14:paraId="45FE0CE8" w14:textId="77777777" w:rsidR="00924992" w:rsidRDefault="00924992">
            <w:pPr>
              <w:pStyle w:val="Other0"/>
              <w:framePr w:w="11434" w:h="4416" w:wrap="none" w:hAnchor="page" w:x="635" w:y="371"/>
              <w:spacing w:line="240" w:lineRule="auto"/>
              <w:ind w:firstLine="320"/>
              <w:rPr>
                <w:sz w:val="16"/>
                <w:szCs w:val="16"/>
              </w:rPr>
            </w:pPr>
            <w:r>
              <w:rPr>
                <w:rFonts w:ascii="Times New Roman" w:eastAsia="Times New Roman" w:hAnsi="Times New Roman" w:cs="Times New Roman"/>
                <w:color w:val="000000"/>
                <w:sz w:val="16"/>
                <w:szCs w:val="16"/>
              </w:rPr>
              <w:t>Pamoato de pirantel</w:t>
            </w:r>
            <w:r>
              <w:rPr>
                <w:rFonts w:ascii="Times New Roman" w:eastAsia="Times New Roman" w:hAnsi="Times New Roman" w:cs="Times New Roman"/>
                <w:color w:val="000000"/>
                <w:sz w:val="16"/>
                <w:szCs w:val="16"/>
                <w:vertAlign w:val="superscript"/>
              </w:rPr>
              <w:t>3</w:t>
            </w:r>
          </w:p>
        </w:tc>
        <w:tc>
          <w:tcPr>
            <w:tcW w:w="2909" w:type="dxa"/>
            <w:shd w:val="clear" w:color="auto" w:fill="FFFFFF"/>
            <w:vAlign w:val="bottom"/>
          </w:tcPr>
          <w:p w14:paraId="3E41EC42" w14:textId="77777777" w:rsidR="00924992" w:rsidRDefault="00924992">
            <w:pPr>
              <w:pStyle w:val="Other0"/>
              <w:framePr w:w="11434" w:h="4416" w:wrap="none" w:hAnchor="page" w:x="635" w:y="371"/>
              <w:spacing w:line="240" w:lineRule="auto"/>
              <w:ind w:firstLine="0"/>
              <w:rPr>
                <w:sz w:val="16"/>
                <w:szCs w:val="16"/>
              </w:rPr>
            </w:pPr>
            <w:r>
              <w:rPr>
                <w:rFonts w:ascii="Times New Roman" w:eastAsia="Times New Roman" w:hAnsi="Times New Roman" w:cs="Times New Roman"/>
                <w:color w:val="000000"/>
                <w:sz w:val="16"/>
                <w:szCs w:val="16"/>
              </w:rPr>
              <w:t>11 mg/kg una vez (máx. 1 g)</w:t>
            </w:r>
          </w:p>
        </w:tc>
        <w:tc>
          <w:tcPr>
            <w:tcW w:w="2971" w:type="dxa"/>
            <w:shd w:val="clear" w:color="auto" w:fill="FFFFFF"/>
            <w:vAlign w:val="bottom"/>
          </w:tcPr>
          <w:p w14:paraId="021180DD" w14:textId="77777777" w:rsidR="00924992" w:rsidRDefault="00924992">
            <w:pPr>
              <w:pStyle w:val="Other0"/>
              <w:framePr w:w="11434" w:h="4416" w:wrap="none" w:hAnchor="page" w:x="635" w:y="371"/>
              <w:spacing w:line="240" w:lineRule="auto"/>
              <w:ind w:firstLine="0"/>
              <w:rPr>
                <w:sz w:val="16"/>
                <w:szCs w:val="16"/>
              </w:rPr>
            </w:pPr>
            <w:r>
              <w:rPr>
                <w:rFonts w:ascii="Times New Roman" w:eastAsia="Times New Roman" w:hAnsi="Times New Roman" w:cs="Times New Roman"/>
                <w:color w:val="000000"/>
                <w:sz w:val="16"/>
                <w:szCs w:val="16"/>
              </w:rPr>
              <w:t>11 mg/kg una vez (máx. 1 g)</w:t>
            </w:r>
          </w:p>
        </w:tc>
      </w:tr>
      <w:tr w:rsidR="00924992" w14:paraId="4E1A6F9A" w14:textId="77777777">
        <w:tblPrEx>
          <w:tblCellMar>
            <w:top w:w="0" w:type="dxa"/>
            <w:bottom w:w="0" w:type="dxa"/>
          </w:tblCellMar>
        </w:tblPrEx>
        <w:trPr>
          <w:trHeight w:hRule="exact" w:val="432"/>
        </w:trPr>
        <w:tc>
          <w:tcPr>
            <w:tcW w:w="2568" w:type="dxa"/>
            <w:shd w:val="clear" w:color="auto" w:fill="FFFFFF"/>
          </w:tcPr>
          <w:p w14:paraId="524660B2" w14:textId="77777777" w:rsidR="00924992" w:rsidRDefault="00924992">
            <w:pPr>
              <w:pStyle w:val="Other0"/>
              <w:framePr w:w="11434" w:h="4416" w:wrap="none" w:hAnchor="page" w:x="635" w:y="371"/>
              <w:spacing w:line="240" w:lineRule="auto"/>
              <w:ind w:firstLine="0"/>
              <w:rPr>
                <w:sz w:val="16"/>
                <w:szCs w:val="16"/>
              </w:rPr>
            </w:pPr>
            <w:r>
              <w:rPr>
                <w:rFonts w:ascii="Times New Roman" w:eastAsia="Times New Roman" w:hAnsi="Times New Roman" w:cs="Times New Roman"/>
                <w:b/>
                <w:bCs/>
                <w:color w:val="000000"/>
                <w:sz w:val="16"/>
                <w:szCs w:val="16"/>
              </w:rPr>
              <w:t xml:space="preserve">BABESIOSIS </w:t>
            </w:r>
            <w:r>
              <w:rPr>
                <w:rFonts w:ascii="Times New Roman" w:eastAsia="Times New Roman" w:hAnsi="Times New Roman" w:cs="Times New Roman"/>
                <w:i/>
                <w:iCs/>
                <w:color w:val="000000"/>
                <w:sz w:val="16"/>
                <w:szCs w:val="16"/>
              </w:rPr>
              <w:t>(Babesia microti)</w:t>
            </w:r>
          </w:p>
          <w:p w14:paraId="70F86EBE" w14:textId="77777777" w:rsidR="00924992" w:rsidRDefault="00924992">
            <w:pPr>
              <w:pStyle w:val="Other0"/>
              <w:framePr w:w="11434" w:h="4416" w:wrap="none" w:hAnchor="page" w:x="635" w:y="371"/>
              <w:spacing w:line="240" w:lineRule="auto"/>
              <w:ind w:firstLine="160"/>
              <w:rPr>
                <w:sz w:val="16"/>
                <w:szCs w:val="16"/>
              </w:rPr>
            </w:pPr>
            <w:r>
              <w:rPr>
                <w:rFonts w:ascii="Times New Roman" w:eastAsia="Times New Roman" w:hAnsi="Times New Roman" w:cs="Times New Roman"/>
                <w:color w:val="000000"/>
                <w:sz w:val="16"/>
                <w:szCs w:val="16"/>
              </w:rPr>
              <w:t>Fármacos más indicado:</w:t>
            </w:r>
            <w:r>
              <w:rPr>
                <w:rFonts w:ascii="Times New Roman" w:eastAsia="Times New Roman" w:hAnsi="Times New Roman" w:cs="Times New Roman"/>
                <w:color w:val="000000"/>
                <w:sz w:val="16"/>
                <w:szCs w:val="16"/>
                <w:vertAlign w:val="superscript"/>
              </w:rPr>
              <w:t>13</w:t>
            </w:r>
          </w:p>
        </w:tc>
        <w:tc>
          <w:tcPr>
            <w:tcW w:w="2986" w:type="dxa"/>
            <w:shd w:val="clear" w:color="auto" w:fill="FFFFFF"/>
            <w:vAlign w:val="bottom"/>
          </w:tcPr>
          <w:p w14:paraId="05BD6650" w14:textId="77777777" w:rsidR="00924992" w:rsidRDefault="00924992">
            <w:pPr>
              <w:pStyle w:val="Other0"/>
              <w:framePr w:w="11434" w:h="4416" w:wrap="none" w:hAnchor="page" w:x="635" w:y="371"/>
              <w:spacing w:line="240" w:lineRule="auto"/>
              <w:ind w:firstLine="320"/>
              <w:rPr>
                <w:sz w:val="16"/>
                <w:szCs w:val="16"/>
              </w:rPr>
            </w:pPr>
            <w:r>
              <w:rPr>
                <w:rFonts w:ascii="Times New Roman" w:eastAsia="Times New Roman" w:hAnsi="Times New Roman" w:cs="Times New Roman"/>
                <w:color w:val="000000"/>
                <w:sz w:val="16"/>
                <w:szCs w:val="16"/>
              </w:rPr>
              <w:t>Clindamicina</w:t>
            </w:r>
            <w:r>
              <w:rPr>
                <w:rFonts w:ascii="Times New Roman" w:eastAsia="Times New Roman" w:hAnsi="Times New Roman" w:cs="Times New Roman"/>
                <w:color w:val="000000"/>
                <w:sz w:val="16"/>
                <w:szCs w:val="16"/>
                <w:vertAlign w:val="superscript"/>
              </w:rPr>
              <w:t>3</w:t>
            </w:r>
          </w:p>
        </w:tc>
        <w:tc>
          <w:tcPr>
            <w:tcW w:w="2909" w:type="dxa"/>
            <w:shd w:val="clear" w:color="auto" w:fill="FFFFFF"/>
            <w:vAlign w:val="bottom"/>
          </w:tcPr>
          <w:p w14:paraId="4E0AC522" w14:textId="77777777" w:rsidR="00924992" w:rsidRDefault="00924992">
            <w:pPr>
              <w:pStyle w:val="Other0"/>
              <w:framePr w:w="11434" w:h="4416" w:wrap="none" w:hAnchor="page" w:x="635" w:y="371"/>
              <w:spacing w:line="240" w:lineRule="auto"/>
              <w:ind w:firstLine="0"/>
              <w:rPr>
                <w:sz w:val="16"/>
                <w:szCs w:val="16"/>
              </w:rPr>
            </w:pPr>
            <w:r>
              <w:rPr>
                <w:rFonts w:ascii="Times New Roman" w:eastAsia="Times New Roman" w:hAnsi="Times New Roman" w:cs="Times New Roman"/>
                <w:color w:val="000000"/>
                <w:sz w:val="16"/>
                <w:szCs w:val="16"/>
              </w:rPr>
              <w:t>1.2 g bid IV o 600 mg tid PO</w:t>
            </w:r>
          </w:p>
        </w:tc>
        <w:tc>
          <w:tcPr>
            <w:tcW w:w="2971" w:type="dxa"/>
            <w:shd w:val="clear" w:color="auto" w:fill="FFFFFF"/>
            <w:vAlign w:val="bottom"/>
          </w:tcPr>
          <w:p w14:paraId="0E397A6D" w14:textId="77777777" w:rsidR="00924992" w:rsidRDefault="00924992">
            <w:pPr>
              <w:pStyle w:val="Other0"/>
              <w:framePr w:w="11434" w:h="4416" w:wrap="none" w:hAnchor="page" w:x="635" w:y="371"/>
              <w:spacing w:line="240" w:lineRule="auto"/>
              <w:ind w:firstLine="0"/>
              <w:rPr>
                <w:sz w:val="16"/>
                <w:szCs w:val="16"/>
              </w:rPr>
            </w:pPr>
            <w:r>
              <w:rPr>
                <w:rFonts w:ascii="Times New Roman" w:eastAsia="Times New Roman" w:hAnsi="Times New Roman" w:cs="Times New Roman"/>
                <w:color w:val="000000"/>
                <w:sz w:val="16"/>
                <w:szCs w:val="16"/>
              </w:rPr>
              <w:t xml:space="preserve">20-40 mg/kg/día PO en 3 dosis </w:t>
            </w:r>
            <w:r>
              <w:rPr>
                <w:color w:val="000000"/>
              </w:rPr>
              <w:t xml:space="preserve">x </w:t>
            </w:r>
            <w:r>
              <w:rPr>
                <w:rFonts w:ascii="Times New Roman" w:eastAsia="Times New Roman" w:hAnsi="Times New Roman" w:cs="Times New Roman"/>
                <w:color w:val="000000"/>
                <w:sz w:val="16"/>
                <w:szCs w:val="16"/>
              </w:rPr>
              <w:t>7 días</w:t>
            </w:r>
          </w:p>
        </w:tc>
      </w:tr>
      <w:tr w:rsidR="00924992" w14:paraId="62CF4C65" w14:textId="77777777">
        <w:tblPrEx>
          <w:tblCellMar>
            <w:top w:w="0" w:type="dxa"/>
            <w:bottom w:w="0" w:type="dxa"/>
          </w:tblCellMar>
        </w:tblPrEx>
        <w:trPr>
          <w:trHeight w:hRule="exact" w:val="653"/>
        </w:trPr>
        <w:tc>
          <w:tcPr>
            <w:tcW w:w="2568" w:type="dxa"/>
            <w:shd w:val="clear" w:color="auto" w:fill="FFFFFF"/>
            <w:vAlign w:val="bottom"/>
          </w:tcPr>
          <w:p w14:paraId="67385623" w14:textId="77777777" w:rsidR="00924992" w:rsidRDefault="00924992">
            <w:pPr>
              <w:pStyle w:val="Other0"/>
              <w:framePr w:w="11434" w:h="4416" w:wrap="none" w:hAnchor="page" w:x="635" w:y="371"/>
              <w:spacing w:line="240" w:lineRule="auto"/>
              <w:ind w:firstLine="160"/>
              <w:rPr>
                <w:sz w:val="16"/>
                <w:szCs w:val="16"/>
              </w:rPr>
            </w:pPr>
            <w:r>
              <w:rPr>
                <w:rFonts w:ascii="Times New Roman" w:eastAsia="Times New Roman" w:hAnsi="Times New Roman" w:cs="Times New Roman"/>
                <w:b/>
                <w:bCs/>
                <w:color w:val="000000"/>
                <w:sz w:val="16"/>
                <w:szCs w:val="16"/>
              </w:rPr>
              <w:t>O</w:t>
            </w:r>
          </w:p>
        </w:tc>
        <w:tc>
          <w:tcPr>
            <w:tcW w:w="2986" w:type="dxa"/>
            <w:shd w:val="clear" w:color="auto" w:fill="FFFFFF"/>
            <w:vAlign w:val="bottom"/>
          </w:tcPr>
          <w:p w14:paraId="774D6BD5" w14:textId="77777777" w:rsidR="00924992" w:rsidRDefault="00924992">
            <w:pPr>
              <w:pStyle w:val="Other0"/>
              <w:framePr w:w="11434" w:h="4416" w:wrap="none" w:hAnchor="page" w:x="635" w:y="371"/>
              <w:spacing w:line="240" w:lineRule="auto"/>
              <w:ind w:firstLine="320"/>
              <w:rPr>
                <w:sz w:val="16"/>
                <w:szCs w:val="16"/>
              </w:rPr>
            </w:pPr>
            <w:r>
              <w:rPr>
                <w:rFonts w:ascii="Times New Roman" w:eastAsia="Times New Roman" w:hAnsi="Times New Roman" w:cs="Times New Roman"/>
                <w:b/>
                <w:bCs/>
                <w:color w:val="000000"/>
                <w:sz w:val="16"/>
                <w:szCs w:val="16"/>
              </w:rPr>
              <w:t xml:space="preserve">y además </w:t>
            </w:r>
            <w:r>
              <w:rPr>
                <w:rFonts w:ascii="Times New Roman" w:eastAsia="Times New Roman" w:hAnsi="Times New Roman" w:cs="Times New Roman"/>
                <w:color w:val="000000"/>
                <w:sz w:val="16"/>
                <w:szCs w:val="16"/>
              </w:rPr>
              <w:t>quinina</w:t>
            </w:r>
          </w:p>
          <w:p w14:paraId="702EB287" w14:textId="77777777" w:rsidR="00924992" w:rsidRDefault="00924992">
            <w:pPr>
              <w:pStyle w:val="Other0"/>
              <w:framePr w:w="11434" w:h="4416" w:wrap="none" w:hAnchor="page" w:x="635" w:y="371"/>
              <w:spacing w:line="240" w:lineRule="auto"/>
              <w:ind w:firstLine="320"/>
              <w:rPr>
                <w:sz w:val="16"/>
                <w:szCs w:val="16"/>
              </w:rPr>
            </w:pPr>
            <w:r>
              <w:rPr>
                <w:rFonts w:ascii="Times New Roman" w:eastAsia="Times New Roman" w:hAnsi="Times New Roman" w:cs="Times New Roman"/>
                <w:color w:val="000000"/>
                <w:sz w:val="16"/>
                <w:szCs w:val="16"/>
              </w:rPr>
              <w:t>Atovacuona</w:t>
            </w:r>
            <w:r>
              <w:rPr>
                <w:rFonts w:ascii="Times New Roman" w:eastAsia="Times New Roman" w:hAnsi="Times New Roman" w:cs="Times New Roman"/>
                <w:color w:val="000000"/>
                <w:sz w:val="16"/>
                <w:szCs w:val="16"/>
                <w:vertAlign w:val="superscript"/>
              </w:rPr>
              <w:t>3</w:t>
            </w:r>
          </w:p>
        </w:tc>
        <w:tc>
          <w:tcPr>
            <w:tcW w:w="2909" w:type="dxa"/>
            <w:shd w:val="clear" w:color="auto" w:fill="FFFFFF"/>
            <w:vAlign w:val="bottom"/>
          </w:tcPr>
          <w:p w14:paraId="4A83D177" w14:textId="77777777" w:rsidR="00924992" w:rsidRDefault="00924992">
            <w:pPr>
              <w:pStyle w:val="Other0"/>
              <w:framePr w:w="11434" w:h="4416" w:wrap="none" w:hAnchor="page" w:x="635" w:y="371"/>
              <w:spacing w:line="240" w:lineRule="auto"/>
              <w:ind w:firstLine="220"/>
              <w:rPr>
                <w:sz w:val="16"/>
                <w:szCs w:val="16"/>
              </w:rPr>
            </w:pPr>
            <w:r>
              <w:rPr>
                <w:color w:val="000000"/>
              </w:rPr>
              <w:t xml:space="preserve">x </w:t>
            </w:r>
            <w:r>
              <w:rPr>
                <w:rFonts w:ascii="Times New Roman" w:eastAsia="Times New Roman" w:hAnsi="Times New Roman" w:cs="Times New Roman"/>
                <w:color w:val="000000"/>
                <w:sz w:val="16"/>
                <w:szCs w:val="16"/>
              </w:rPr>
              <w:t>7-10 días</w:t>
            </w:r>
          </w:p>
          <w:p w14:paraId="3E0795C7" w14:textId="77777777" w:rsidR="00924992" w:rsidRDefault="00924992">
            <w:pPr>
              <w:pStyle w:val="Other0"/>
              <w:framePr w:w="11434" w:h="4416" w:wrap="none" w:hAnchor="page" w:x="635" w:y="371"/>
              <w:spacing w:line="240" w:lineRule="auto"/>
              <w:ind w:firstLine="0"/>
              <w:rPr>
                <w:sz w:val="16"/>
                <w:szCs w:val="16"/>
              </w:rPr>
            </w:pPr>
            <w:r>
              <w:rPr>
                <w:rFonts w:ascii="Times New Roman" w:eastAsia="Times New Roman" w:hAnsi="Times New Roman" w:cs="Times New Roman"/>
                <w:color w:val="000000"/>
                <w:sz w:val="16"/>
                <w:szCs w:val="16"/>
              </w:rPr>
              <w:t xml:space="preserve">650 mg tid PO </w:t>
            </w:r>
            <w:r>
              <w:rPr>
                <w:color w:val="000000"/>
              </w:rPr>
              <w:t xml:space="preserve">x </w:t>
            </w:r>
            <w:r>
              <w:rPr>
                <w:rFonts w:ascii="Times New Roman" w:eastAsia="Times New Roman" w:hAnsi="Times New Roman" w:cs="Times New Roman"/>
                <w:color w:val="000000"/>
                <w:sz w:val="16"/>
                <w:szCs w:val="16"/>
              </w:rPr>
              <w:t>7 días</w:t>
            </w:r>
          </w:p>
          <w:p w14:paraId="4409BB13" w14:textId="77777777" w:rsidR="00924992" w:rsidRDefault="00924992">
            <w:pPr>
              <w:pStyle w:val="Other0"/>
              <w:framePr w:w="11434" w:h="4416" w:wrap="none" w:hAnchor="page" w:x="635" w:y="371"/>
              <w:spacing w:line="240" w:lineRule="auto"/>
              <w:ind w:firstLine="0"/>
              <w:rPr>
                <w:sz w:val="16"/>
                <w:szCs w:val="16"/>
              </w:rPr>
            </w:pPr>
            <w:r>
              <w:rPr>
                <w:rFonts w:ascii="Times New Roman" w:eastAsia="Times New Roman" w:hAnsi="Times New Roman" w:cs="Times New Roman"/>
                <w:color w:val="000000"/>
                <w:sz w:val="16"/>
                <w:szCs w:val="16"/>
              </w:rPr>
              <w:t xml:space="preserve">750 mg bid </w:t>
            </w:r>
            <w:r>
              <w:rPr>
                <w:color w:val="000000"/>
              </w:rPr>
              <w:t xml:space="preserve">x </w:t>
            </w:r>
            <w:r>
              <w:rPr>
                <w:rFonts w:ascii="Times New Roman" w:eastAsia="Times New Roman" w:hAnsi="Times New Roman" w:cs="Times New Roman"/>
                <w:color w:val="000000"/>
                <w:sz w:val="16"/>
                <w:szCs w:val="16"/>
              </w:rPr>
              <w:t>7-10 días</w:t>
            </w:r>
          </w:p>
        </w:tc>
        <w:tc>
          <w:tcPr>
            <w:tcW w:w="2971" w:type="dxa"/>
            <w:shd w:val="clear" w:color="auto" w:fill="FFFFFF"/>
            <w:vAlign w:val="bottom"/>
          </w:tcPr>
          <w:p w14:paraId="445AA231" w14:textId="77777777" w:rsidR="00924992" w:rsidRDefault="00924992">
            <w:pPr>
              <w:pStyle w:val="Other0"/>
              <w:framePr w:w="11434" w:h="4416" w:wrap="none" w:hAnchor="page" w:x="635" w:y="371"/>
              <w:spacing w:line="240" w:lineRule="auto"/>
              <w:ind w:firstLine="0"/>
              <w:rPr>
                <w:sz w:val="16"/>
                <w:szCs w:val="16"/>
              </w:rPr>
            </w:pPr>
            <w:r>
              <w:rPr>
                <w:rFonts w:ascii="Times New Roman" w:eastAsia="Times New Roman" w:hAnsi="Times New Roman" w:cs="Times New Roman"/>
                <w:color w:val="000000"/>
                <w:sz w:val="16"/>
                <w:szCs w:val="16"/>
              </w:rPr>
              <w:t xml:space="preserve">25 mg/kg/día PO en 3 dosis </w:t>
            </w:r>
            <w:r>
              <w:rPr>
                <w:color w:val="000000"/>
              </w:rPr>
              <w:t xml:space="preserve">x </w:t>
            </w:r>
            <w:r>
              <w:rPr>
                <w:rFonts w:ascii="Times New Roman" w:eastAsia="Times New Roman" w:hAnsi="Times New Roman" w:cs="Times New Roman"/>
                <w:color w:val="000000"/>
                <w:sz w:val="16"/>
                <w:szCs w:val="16"/>
              </w:rPr>
              <w:t>7 días</w:t>
            </w:r>
          </w:p>
          <w:p w14:paraId="640D06EB" w14:textId="77777777" w:rsidR="00924992" w:rsidRDefault="00924992">
            <w:pPr>
              <w:pStyle w:val="Other0"/>
              <w:framePr w:w="11434" w:h="4416" w:wrap="none" w:hAnchor="page" w:x="635" w:y="371"/>
              <w:spacing w:line="240" w:lineRule="auto"/>
              <w:ind w:firstLine="0"/>
              <w:rPr>
                <w:sz w:val="16"/>
                <w:szCs w:val="16"/>
              </w:rPr>
            </w:pPr>
            <w:r>
              <w:rPr>
                <w:rFonts w:ascii="Times New Roman" w:eastAsia="Times New Roman" w:hAnsi="Times New Roman" w:cs="Times New Roman"/>
                <w:color w:val="000000"/>
                <w:sz w:val="16"/>
                <w:szCs w:val="16"/>
              </w:rPr>
              <w:t xml:space="preserve">20 mg/kg bid </w:t>
            </w:r>
            <w:r>
              <w:rPr>
                <w:color w:val="000000"/>
              </w:rPr>
              <w:t xml:space="preserve">x </w:t>
            </w:r>
            <w:r>
              <w:rPr>
                <w:rFonts w:ascii="Times New Roman" w:eastAsia="Times New Roman" w:hAnsi="Times New Roman" w:cs="Times New Roman"/>
                <w:color w:val="000000"/>
                <w:sz w:val="16"/>
                <w:szCs w:val="16"/>
              </w:rPr>
              <w:t>7-10 días</w:t>
            </w:r>
          </w:p>
        </w:tc>
      </w:tr>
      <w:tr w:rsidR="00924992" w14:paraId="7CA72187" w14:textId="77777777">
        <w:tblPrEx>
          <w:tblCellMar>
            <w:top w:w="0" w:type="dxa"/>
            <w:bottom w:w="0" w:type="dxa"/>
          </w:tblCellMar>
        </w:tblPrEx>
        <w:trPr>
          <w:trHeight w:hRule="exact" w:val="326"/>
        </w:trPr>
        <w:tc>
          <w:tcPr>
            <w:tcW w:w="2568" w:type="dxa"/>
            <w:tcBorders>
              <w:bottom w:val="single" w:sz="4" w:space="0" w:color="auto"/>
            </w:tcBorders>
            <w:shd w:val="clear" w:color="auto" w:fill="FFFFFF"/>
          </w:tcPr>
          <w:p w14:paraId="45B2B587" w14:textId="77777777" w:rsidR="00924992" w:rsidRDefault="00924992">
            <w:pPr>
              <w:framePr w:w="11434" w:h="4416" w:wrap="none" w:hAnchor="page" w:x="635" w:y="371"/>
              <w:rPr>
                <w:sz w:val="10"/>
                <w:szCs w:val="10"/>
              </w:rPr>
            </w:pPr>
          </w:p>
        </w:tc>
        <w:tc>
          <w:tcPr>
            <w:tcW w:w="2986" w:type="dxa"/>
            <w:tcBorders>
              <w:bottom w:val="single" w:sz="4" w:space="0" w:color="auto"/>
            </w:tcBorders>
            <w:shd w:val="clear" w:color="auto" w:fill="FFFFFF"/>
          </w:tcPr>
          <w:p w14:paraId="73EAD907" w14:textId="77777777" w:rsidR="00924992" w:rsidRDefault="00924992">
            <w:pPr>
              <w:pStyle w:val="Other0"/>
              <w:framePr w:w="11434" w:h="4416" w:wrap="none" w:hAnchor="page" w:x="635" w:y="371"/>
              <w:spacing w:line="240" w:lineRule="auto"/>
              <w:ind w:firstLine="320"/>
              <w:rPr>
                <w:sz w:val="16"/>
                <w:szCs w:val="16"/>
              </w:rPr>
            </w:pPr>
            <w:r>
              <w:rPr>
                <w:rFonts w:ascii="Times New Roman" w:eastAsia="Times New Roman" w:hAnsi="Times New Roman" w:cs="Times New Roman"/>
                <w:b/>
                <w:bCs/>
                <w:color w:val="000000"/>
                <w:sz w:val="16"/>
                <w:szCs w:val="16"/>
              </w:rPr>
              <w:t xml:space="preserve">y además </w:t>
            </w:r>
            <w:r>
              <w:rPr>
                <w:rFonts w:ascii="Times New Roman" w:eastAsia="Times New Roman" w:hAnsi="Times New Roman" w:cs="Times New Roman"/>
                <w:color w:val="000000"/>
                <w:sz w:val="16"/>
                <w:szCs w:val="16"/>
              </w:rPr>
              <w:t>azitromicina</w:t>
            </w:r>
            <w:r>
              <w:rPr>
                <w:rFonts w:ascii="Times New Roman" w:eastAsia="Times New Roman" w:hAnsi="Times New Roman" w:cs="Times New Roman"/>
                <w:color w:val="000000"/>
                <w:sz w:val="16"/>
                <w:szCs w:val="16"/>
                <w:vertAlign w:val="superscript"/>
              </w:rPr>
              <w:t>3</w:t>
            </w:r>
          </w:p>
        </w:tc>
        <w:tc>
          <w:tcPr>
            <w:tcW w:w="2909" w:type="dxa"/>
            <w:tcBorders>
              <w:bottom w:val="single" w:sz="4" w:space="0" w:color="auto"/>
            </w:tcBorders>
            <w:shd w:val="clear" w:color="auto" w:fill="FFFFFF"/>
          </w:tcPr>
          <w:p w14:paraId="1394CB58" w14:textId="77777777" w:rsidR="00924992" w:rsidRDefault="00924992">
            <w:pPr>
              <w:pStyle w:val="Other0"/>
              <w:framePr w:w="11434" w:h="4416" w:wrap="none" w:hAnchor="page" w:x="635" w:y="371"/>
              <w:spacing w:line="240" w:lineRule="auto"/>
              <w:ind w:firstLine="0"/>
              <w:rPr>
                <w:sz w:val="16"/>
                <w:szCs w:val="16"/>
              </w:rPr>
            </w:pPr>
            <w:r>
              <w:rPr>
                <w:rFonts w:ascii="Times New Roman" w:eastAsia="Times New Roman" w:hAnsi="Times New Roman" w:cs="Times New Roman"/>
                <w:color w:val="000000"/>
                <w:sz w:val="16"/>
                <w:szCs w:val="16"/>
              </w:rPr>
              <w:t xml:space="preserve">600 mg PO diarios </w:t>
            </w:r>
            <w:r>
              <w:rPr>
                <w:color w:val="000000"/>
              </w:rPr>
              <w:t xml:space="preserve">x </w:t>
            </w:r>
            <w:r>
              <w:rPr>
                <w:rFonts w:ascii="Times New Roman" w:eastAsia="Times New Roman" w:hAnsi="Times New Roman" w:cs="Times New Roman"/>
                <w:color w:val="000000"/>
                <w:sz w:val="16"/>
                <w:szCs w:val="16"/>
              </w:rPr>
              <w:t>7-10 días</w:t>
            </w:r>
          </w:p>
        </w:tc>
        <w:tc>
          <w:tcPr>
            <w:tcW w:w="2971" w:type="dxa"/>
            <w:tcBorders>
              <w:bottom w:val="single" w:sz="4" w:space="0" w:color="auto"/>
            </w:tcBorders>
            <w:shd w:val="clear" w:color="auto" w:fill="FFFFFF"/>
          </w:tcPr>
          <w:p w14:paraId="4E49B4BA" w14:textId="77777777" w:rsidR="00924992" w:rsidRDefault="00924992">
            <w:pPr>
              <w:pStyle w:val="Other0"/>
              <w:framePr w:w="11434" w:h="4416" w:wrap="none" w:hAnchor="page" w:x="635" w:y="371"/>
              <w:spacing w:line="240" w:lineRule="auto"/>
              <w:ind w:firstLine="0"/>
              <w:rPr>
                <w:sz w:val="16"/>
                <w:szCs w:val="16"/>
              </w:rPr>
            </w:pPr>
            <w:r>
              <w:rPr>
                <w:rFonts w:ascii="Times New Roman" w:eastAsia="Times New Roman" w:hAnsi="Times New Roman" w:cs="Times New Roman"/>
                <w:color w:val="000000"/>
                <w:sz w:val="16"/>
                <w:szCs w:val="16"/>
              </w:rPr>
              <w:t xml:space="preserve">12 mg/kg diarios </w:t>
            </w:r>
            <w:r>
              <w:rPr>
                <w:color w:val="000000"/>
              </w:rPr>
              <w:t xml:space="preserve">x </w:t>
            </w:r>
            <w:r>
              <w:rPr>
                <w:rFonts w:ascii="Times New Roman" w:eastAsia="Times New Roman" w:hAnsi="Times New Roman" w:cs="Times New Roman"/>
                <w:color w:val="000000"/>
                <w:sz w:val="16"/>
                <w:szCs w:val="16"/>
              </w:rPr>
              <w:t>7-10 días</w:t>
            </w:r>
          </w:p>
        </w:tc>
      </w:tr>
    </w:tbl>
    <w:p w14:paraId="32BE2FB4" w14:textId="77777777" w:rsidR="00924992" w:rsidRDefault="00924992">
      <w:pPr>
        <w:framePr w:w="11434" w:h="4416" w:wrap="none" w:hAnchor="page" w:x="635" w:y="371"/>
        <w:spacing w:line="1" w:lineRule="exact"/>
      </w:pPr>
    </w:p>
    <w:p w14:paraId="4538E960" w14:textId="77777777" w:rsidR="00924992" w:rsidRDefault="00924992">
      <w:pPr>
        <w:pStyle w:val="Bodytext20"/>
        <w:framePr w:w="11376" w:h="1656" w:wrap="none" w:hAnchor="page" w:x="625" w:y="4883"/>
        <w:numPr>
          <w:ilvl w:val="0"/>
          <w:numId w:val="136"/>
        </w:numPr>
        <w:tabs>
          <w:tab w:val="left" w:pos="278"/>
        </w:tabs>
        <w:spacing w:line="252" w:lineRule="auto"/>
        <w:ind w:left="300" w:hanging="300"/>
        <w:rPr>
          <w:sz w:val="15"/>
          <w:szCs w:val="15"/>
        </w:rPr>
      </w:pPr>
      <w:bookmarkStart w:id="517" w:name="bookmark1963"/>
      <w:bookmarkEnd w:id="517"/>
      <w:r>
        <w:rPr>
          <w:color w:val="000000"/>
          <w:sz w:val="15"/>
          <w:szCs w:val="15"/>
        </w:rPr>
        <w:t xml:space="preserve">También es eficaz para tratar la amibiasis la nitazoxanida (producto en investigación en Estados Unidos fabricado por Romark Laboratories, Tampa, Florida, 813-282-8544, </w:t>
      </w:r>
      <w:hyperlink r:id="rId346" w:history="1">
        <w:r>
          <w:rPr>
            <w:color w:val="000000"/>
            <w:sz w:val="15"/>
            <w:szCs w:val="15"/>
          </w:rPr>
          <w:t>www.romarklabs.com</w:t>
        </w:r>
      </w:hyperlink>
      <w:r>
        <w:rPr>
          <w:color w:val="000000"/>
          <w:sz w:val="15"/>
          <w:szCs w:val="15"/>
        </w:rPr>
        <w:t xml:space="preserve">) en dosis de 500 mg bid </w:t>
      </w:r>
      <w:r>
        <w:rPr>
          <w:rFonts w:ascii="Arial" w:eastAsia="Arial" w:hAnsi="Arial" w:cs="Arial"/>
          <w:color w:val="000000"/>
          <w:sz w:val="12"/>
          <w:szCs w:val="12"/>
        </w:rPr>
        <w:t xml:space="preserve">x </w:t>
      </w:r>
      <w:r>
        <w:rPr>
          <w:color w:val="000000"/>
          <w:sz w:val="15"/>
          <w:szCs w:val="15"/>
        </w:rPr>
        <w:t xml:space="preserve">3 días (JF Rossignol et al, </w:t>
      </w:r>
      <w:r>
        <w:rPr>
          <w:i/>
          <w:iCs/>
          <w:color w:val="000000"/>
          <w:sz w:val="15"/>
          <w:szCs w:val="15"/>
        </w:rPr>
        <w:t>J Infect Dis</w:t>
      </w:r>
      <w:r>
        <w:rPr>
          <w:color w:val="000000"/>
          <w:sz w:val="15"/>
          <w:szCs w:val="15"/>
        </w:rPr>
        <w:t xml:space="preserve"> 2001;184:381).</w:t>
      </w:r>
    </w:p>
    <w:p w14:paraId="335DF1AD" w14:textId="77777777" w:rsidR="00924992" w:rsidRDefault="00924992">
      <w:pPr>
        <w:pStyle w:val="Bodytext20"/>
        <w:framePr w:w="11376" w:h="1656" w:wrap="none" w:hAnchor="page" w:x="625" w:y="4883"/>
        <w:numPr>
          <w:ilvl w:val="0"/>
          <w:numId w:val="136"/>
        </w:numPr>
        <w:tabs>
          <w:tab w:val="left" w:pos="269"/>
        </w:tabs>
        <w:spacing w:line="252" w:lineRule="auto"/>
        <w:ind w:left="300" w:hanging="300"/>
        <w:rPr>
          <w:sz w:val="15"/>
          <w:szCs w:val="15"/>
        </w:rPr>
      </w:pPr>
      <w:bookmarkStart w:id="518" w:name="bookmark1964"/>
      <w:bookmarkEnd w:id="518"/>
      <w:r>
        <w:rPr>
          <w:color w:val="000000"/>
          <w:sz w:val="15"/>
          <w:szCs w:val="15"/>
        </w:rPr>
        <w:t>El imidazol, un nitroimidazol similar al metronidazol pero no disponible en Estados Unidos, al parecer tiene la misma eficacia que este último y se tolera mejor. También fuera de Estados Unidos se puede obtener ornidazol, que es un producto similar</w:t>
      </w:r>
    </w:p>
    <w:p w14:paraId="360D3F9B" w14:textId="77777777" w:rsidR="00924992" w:rsidRDefault="00924992">
      <w:pPr>
        <w:pStyle w:val="Bodytext20"/>
        <w:framePr w:w="11376" w:h="1656" w:wrap="none" w:hAnchor="page" w:x="625" w:y="4883"/>
        <w:numPr>
          <w:ilvl w:val="0"/>
          <w:numId w:val="136"/>
        </w:numPr>
        <w:tabs>
          <w:tab w:val="left" w:pos="269"/>
        </w:tabs>
        <w:spacing w:line="252" w:lineRule="auto"/>
        <w:ind w:left="300" w:hanging="300"/>
        <w:rPr>
          <w:sz w:val="15"/>
          <w:szCs w:val="15"/>
        </w:rPr>
      </w:pPr>
      <w:bookmarkStart w:id="519" w:name="bookmark1965"/>
      <w:bookmarkEnd w:id="519"/>
      <w:r>
        <w:rPr>
          <w:color w:val="000000"/>
          <w:sz w:val="15"/>
          <w:szCs w:val="15"/>
        </w:rPr>
        <w:t xml:space="preserve">Casi todos los pacientes siguen una evolución que cede por sí sola y se recuperan del todo. Por medio de analgésicos, corticosteroides y la extracción cuidadosa de LCR (líquido cefalorraquídeo) a intervalos frecuentes es posible aliviar los síntomas (FD Pien and BC Pien, </w:t>
      </w:r>
      <w:r>
        <w:rPr>
          <w:i/>
          <w:iCs/>
          <w:color w:val="000000"/>
          <w:sz w:val="15"/>
          <w:szCs w:val="15"/>
        </w:rPr>
        <w:t>Int J Infect Dis</w:t>
      </w:r>
      <w:r>
        <w:rPr>
          <w:color w:val="000000"/>
          <w:sz w:val="15"/>
          <w:szCs w:val="15"/>
        </w:rPr>
        <w:t xml:space="preserve"> 1999; 3:161; V Lo Re and SJ Glukman, Clin Infect Dis 2001; 33:e112). En un informe reciente, al parecer el uso de mebendazol y un glucocorticoide acortó la duración de la infección (H-C Tsai et al, </w:t>
      </w:r>
      <w:r>
        <w:rPr>
          <w:i/>
          <w:iCs/>
          <w:color w:val="000000"/>
          <w:sz w:val="15"/>
          <w:szCs w:val="15"/>
        </w:rPr>
        <w:t>Am J Med</w:t>
      </w:r>
      <w:r>
        <w:rPr>
          <w:color w:val="000000"/>
          <w:sz w:val="15"/>
          <w:szCs w:val="15"/>
        </w:rPr>
        <w:t xml:space="preserve"> 2001; 111:109). Ningún fármaco ha sido eficaz y algunos pacientes empeoraron su cuadro clínico cuando recibieron tiabendazol, albendazol, mebendazol o ivermectina.</w:t>
      </w:r>
    </w:p>
    <w:p w14:paraId="354DFB45" w14:textId="77777777" w:rsidR="00924992" w:rsidRDefault="00924992">
      <w:pPr>
        <w:pStyle w:val="Bodytext20"/>
        <w:framePr w:w="11376" w:h="1656" w:wrap="none" w:hAnchor="page" w:x="625" w:y="4883"/>
        <w:numPr>
          <w:ilvl w:val="0"/>
          <w:numId w:val="136"/>
        </w:numPr>
        <w:tabs>
          <w:tab w:val="left" w:pos="269"/>
        </w:tabs>
        <w:spacing w:line="252" w:lineRule="auto"/>
        <w:rPr>
          <w:sz w:val="15"/>
          <w:szCs w:val="15"/>
        </w:rPr>
      </w:pPr>
      <w:bookmarkStart w:id="520" w:name="bookmark1966"/>
      <w:bookmarkEnd w:id="520"/>
      <w:r>
        <w:rPr>
          <w:color w:val="000000"/>
          <w:sz w:val="15"/>
          <w:szCs w:val="15"/>
        </w:rPr>
        <w:t>El mebendazol ha sido utilizado en animales de experimentación.</w:t>
      </w:r>
    </w:p>
    <w:p w14:paraId="0BAD575E" w14:textId="77777777" w:rsidR="00924992" w:rsidRDefault="00924992">
      <w:pPr>
        <w:pStyle w:val="Bodytext80"/>
        <w:framePr w:w="192" w:h="4526" w:hRule="exact" w:wrap="none" w:hAnchor="page" w:x="12390" w:y="2391"/>
        <w:tabs>
          <w:tab w:val="left" w:pos="4210"/>
        </w:tabs>
        <w:textDirection w:val="tbRl"/>
        <w:rPr>
          <w:sz w:val="16"/>
          <w:szCs w:val="16"/>
        </w:rPr>
      </w:pPr>
      <w:r>
        <w:t>FÁRMACOS ANTIPARASITARIOS</w:t>
      </w:r>
      <w:r>
        <w:tab/>
      </w:r>
      <w:r>
        <w:rPr>
          <w:sz w:val="16"/>
          <w:szCs w:val="16"/>
        </w:rPr>
        <w:t>785</w:t>
      </w:r>
    </w:p>
    <w:p w14:paraId="13FD67B3" w14:textId="77777777" w:rsidR="00924992" w:rsidRDefault="00924992">
      <w:pPr>
        <w:spacing w:line="360" w:lineRule="exact"/>
      </w:pPr>
    </w:p>
    <w:p w14:paraId="7B7FFA7E" w14:textId="77777777" w:rsidR="00924992" w:rsidRDefault="00924992">
      <w:pPr>
        <w:spacing w:line="360" w:lineRule="exact"/>
      </w:pPr>
    </w:p>
    <w:p w14:paraId="77B9A403" w14:textId="77777777" w:rsidR="00924992" w:rsidRDefault="00924992">
      <w:pPr>
        <w:spacing w:line="360" w:lineRule="exact"/>
      </w:pPr>
    </w:p>
    <w:p w14:paraId="27D60B31" w14:textId="77777777" w:rsidR="00924992" w:rsidRDefault="00924992">
      <w:pPr>
        <w:spacing w:line="360" w:lineRule="exact"/>
      </w:pPr>
    </w:p>
    <w:p w14:paraId="59781344" w14:textId="77777777" w:rsidR="00924992" w:rsidRDefault="00924992">
      <w:pPr>
        <w:spacing w:line="360" w:lineRule="exact"/>
      </w:pPr>
    </w:p>
    <w:p w14:paraId="6E8807F1" w14:textId="77777777" w:rsidR="00924992" w:rsidRDefault="00924992">
      <w:pPr>
        <w:spacing w:line="360" w:lineRule="exact"/>
      </w:pPr>
    </w:p>
    <w:p w14:paraId="73A5AC7F" w14:textId="77777777" w:rsidR="00924992" w:rsidRDefault="00924992">
      <w:pPr>
        <w:spacing w:line="360" w:lineRule="exact"/>
      </w:pPr>
    </w:p>
    <w:p w14:paraId="35D77F65" w14:textId="77777777" w:rsidR="00924992" w:rsidRDefault="00924992">
      <w:pPr>
        <w:spacing w:line="360" w:lineRule="exact"/>
      </w:pPr>
    </w:p>
    <w:p w14:paraId="273F17E4" w14:textId="77777777" w:rsidR="00924992" w:rsidRDefault="00924992">
      <w:pPr>
        <w:spacing w:line="360" w:lineRule="exact"/>
      </w:pPr>
    </w:p>
    <w:p w14:paraId="3A844345" w14:textId="77777777" w:rsidR="00924992" w:rsidRDefault="00924992">
      <w:pPr>
        <w:spacing w:line="360" w:lineRule="exact"/>
      </w:pPr>
    </w:p>
    <w:p w14:paraId="7F1585CE" w14:textId="77777777" w:rsidR="00924992" w:rsidRDefault="00924992">
      <w:pPr>
        <w:spacing w:line="360" w:lineRule="exact"/>
      </w:pPr>
    </w:p>
    <w:p w14:paraId="77BB2492" w14:textId="77777777" w:rsidR="00924992" w:rsidRDefault="00924992">
      <w:pPr>
        <w:spacing w:line="360" w:lineRule="exact"/>
      </w:pPr>
    </w:p>
    <w:p w14:paraId="6176F53D" w14:textId="77777777" w:rsidR="00924992" w:rsidRDefault="00924992">
      <w:pPr>
        <w:spacing w:line="360" w:lineRule="exact"/>
      </w:pPr>
    </w:p>
    <w:p w14:paraId="2BAB1D46" w14:textId="77777777" w:rsidR="00924992" w:rsidRDefault="00924992">
      <w:pPr>
        <w:spacing w:line="360" w:lineRule="exact"/>
      </w:pPr>
    </w:p>
    <w:p w14:paraId="5E8EC06C" w14:textId="77777777" w:rsidR="00924992" w:rsidRDefault="00924992">
      <w:pPr>
        <w:spacing w:line="360" w:lineRule="exact"/>
      </w:pPr>
    </w:p>
    <w:p w14:paraId="2578DFB4" w14:textId="77777777" w:rsidR="00924992" w:rsidRDefault="00924992">
      <w:pPr>
        <w:spacing w:line="360" w:lineRule="exact"/>
      </w:pPr>
    </w:p>
    <w:p w14:paraId="292AC885" w14:textId="77777777" w:rsidR="00924992" w:rsidRDefault="00924992">
      <w:pPr>
        <w:spacing w:line="360" w:lineRule="exact"/>
      </w:pPr>
    </w:p>
    <w:p w14:paraId="695B5EC5" w14:textId="77777777" w:rsidR="00924992" w:rsidRDefault="00924992">
      <w:pPr>
        <w:spacing w:line="360" w:lineRule="exact"/>
      </w:pPr>
    </w:p>
    <w:p w14:paraId="714F9E34" w14:textId="77777777" w:rsidR="00924992" w:rsidRDefault="00924992">
      <w:pPr>
        <w:spacing w:after="436" w:line="1" w:lineRule="exact"/>
      </w:pPr>
    </w:p>
    <w:p w14:paraId="16752DA6" w14:textId="77777777" w:rsidR="00924992" w:rsidRDefault="00924992">
      <w:pPr>
        <w:spacing w:line="1" w:lineRule="exact"/>
        <w:sectPr w:rsidR="00924992" w:rsidSect="00924992">
          <w:footnotePr>
            <w:numFmt w:val="upperRoman"/>
          </w:footnotePr>
          <w:pgSz w:w="13022" w:h="8501" w:orient="landscape"/>
          <w:pgMar w:top="1080" w:right="442" w:bottom="370" w:left="624" w:header="652" w:footer="3" w:gutter="0"/>
          <w:cols w:space="720"/>
          <w:noEndnote/>
          <w:docGrid w:linePitch="360"/>
          <w15:footnoteColumns w:val="1"/>
        </w:sectPr>
      </w:pPr>
    </w:p>
    <w:p w14:paraId="2864FD6B" w14:textId="77777777" w:rsidR="00924992" w:rsidRDefault="00924992">
      <w:pPr>
        <w:spacing w:line="1" w:lineRule="exact"/>
      </w:pPr>
      <w:r>
        <w:rPr>
          <w:noProof/>
        </w:rPr>
        <mc:AlternateContent>
          <mc:Choice Requires="wps">
            <w:drawing>
              <wp:anchor distT="0" distB="0" distL="114300" distR="114300" simplePos="0" relativeHeight="251692032" behindDoc="0" locked="0" layoutInCell="1" allowOverlap="1" wp14:anchorId="05A994DC" wp14:editId="55C07145">
                <wp:simplePos x="0" y="0"/>
                <wp:positionH relativeFrom="page">
                  <wp:posOffset>426720</wp:posOffset>
                </wp:positionH>
                <wp:positionV relativeFrom="paragraph">
                  <wp:posOffset>12700</wp:posOffset>
                </wp:positionV>
                <wp:extent cx="7022465" cy="173990"/>
                <wp:effectExtent l="0" t="0" r="0" b="0"/>
                <wp:wrapTopAndBottom/>
                <wp:docPr id="2346" name="Shape 2346"/>
                <wp:cNvGraphicFramePr/>
                <a:graphic xmlns:a="http://schemas.openxmlformats.org/drawingml/2006/main">
                  <a:graphicData uri="http://schemas.microsoft.com/office/word/2010/wordprocessingShape">
                    <wps:wsp>
                      <wps:cNvSpPr txBox="1"/>
                      <wps:spPr>
                        <a:xfrm>
                          <a:off x="0" y="0"/>
                          <a:ext cx="7022465" cy="173990"/>
                        </a:xfrm>
                        <a:prstGeom prst="rect">
                          <a:avLst/>
                        </a:prstGeom>
                        <a:noFill/>
                      </wps:spPr>
                      <wps:txbx>
                        <w:txbxContent>
                          <w:tbl>
                            <w:tblPr>
                              <w:tblOverlap w:val="never"/>
                              <w:tblW w:w="0" w:type="auto"/>
                              <w:tblLayout w:type="fixed"/>
                              <w:tblCellMar>
                                <w:left w:w="10" w:type="dxa"/>
                                <w:right w:w="10" w:type="dxa"/>
                              </w:tblCellMar>
                              <w:tblLook w:val="04A0" w:firstRow="1" w:lastRow="0" w:firstColumn="1" w:lastColumn="0" w:noHBand="0" w:noVBand="1"/>
                            </w:tblPr>
                            <w:tblGrid>
                              <w:gridCol w:w="2280"/>
                              <w:gridCol w:w="8779"/>
                            </w:tblGrid>
                            <w:tr w:rsidR="00924992" w14:paraId="275C0338" w14:textId="77777777">
                              <w:tblPrEx>
                                <w:tblCellMar>
                                  <w:top w:w="0" w:type="dxa"/>
                                  <w:bottom w:w="0" w:type="dxa"/>
                                </w:tblCellMar>
                              </w:tblPrEx>
                              <w:trPr>
                                <w:trHeight w:hRule="exact" w:val="274"/>
                                <w:tblHeader/>
                              </w:trPr>
                              <w:tc>
                                <w:tcPr>
                                  <w:tcW w:w="2280" w:type="dxa"/>
                                  <w:shd w:val="clear" w:color="auto" w:fill="FFFFFF"/>
                                </w:tcPr>
                                <w:p w14:paraId="2164F2E0" w14:textId="77777777" w:rsidR="00924992" w:rsidRDefault="00924992">
                                  <w:pPr>
                                    <w:rPr>
                                      <w:sz w:val="10"/>
                                      <w:szCs w:val="10"/>
                                    </w:rPr>
                                  </w:pPr>
                                </w:p>
                              </w:tc>
                              <w:tc>
                                <w:tcPr>
                                  <w:tcW w:w="8779" w:type="dxa"/>
                                  <w:shd w:val="clear" w:color="auto" w:fill="FFFFFF"/>
                                </w:tcPr>
                                <w:p w14:paraId="38C637EB" w14:textId="77777777" w:rsidR="00924992" w:rsidRDefault="00924992">
                                  <w:pPr>
                                    <w:pStyle w:val="Other0"/>
                                    <w:spacing w:line="240" w:lineRule="auto"/>
                                    <w:ind w:left="1100" w:firstLine="0"/>
                                    <w:rPr>
                                      <w:sz w:val="16"/>
                                      <w:szCs w:val="16"/>
                                    </w:rPr>
                                  </w:pPr>
                                  <w:r>
                                    <w:rPr>
                                      <w:rFonts w:ascii="Arial" w:eastAsia="Arial" w:hAnsi="Arial" w:cs="Arial"/>
                                      <w:color w:val="000000"/>
                                      <w:w w:val="70"/>
                                      <w:sz w:val="26"/>
                                      <w:szCs w:val="26"/>
                                    </w:rPr>
                                    <w:t xml:space="preserve">Cuadro 4-13. </w:t>
                                  </w:r>
                                  <w:r>
                                    <w:rPr>
                                      <w:rFonts w:ascii="Arial" w:eastAsia="Arial" w:hAnsi="Arial" w:cs="Arial"/>
                                      <w:b/>
                                      <w:bCs/>
                                      <w:color w:val="000000"/>
                                      <w:w w:val="70"/>
                                      <w:sz w:val="26"/>
                                      <w:szCs w:val="26"/>
                                    </w:rPr>
                                    <w:t xml:space="preserve">Fármacos antiparasitarios </w:t>
                                  </w:r>
                                  <w:r>
                                    <w:rPr>
                                      <w:rFonts w:ascii="Times New Roman" w:eastAsia="Times New Roman" w:hAnsi="Times New Roman" w:cs="Times New Roman"/>
                                      <w:i/>
                                      <w:iCs/>
                                      <w:color w:val="000000"/>
                                      <w:sz w:val="16"/>
                                      <w:szCs w:val="16"/>
                                    </w:rPr>
                                    <w:t>continuación</w:t>
                                  </w:r>
                                </w:p>
                              </w:tc>
                            </w:tr>
                          </w:tbl>
                          <w:p w14:paraId="0FF454D0" w14:textId="77777777" w:rsidR="00924992" w:rsidRDefault="00924992">
                            <w:pPr>
                              <w:spacing w:line="1" w:lineRule="exact"/>
                            </w:pPr>
                          </w:p>
                        </w:txbxContent>
                      </wps:txbx>
                      <wps:bodyPr lIns="0" tIns="0" rIns="0" bIns="0"/>
                    </wps:wsp>
                  </a:graphicData>
                </a:graphic>
              </wp:anchor>
            </w:drawing>
          </mc:Choice>
          <mc:Fallback>
            <w:pict>
              <v:shape w14:anchorId="05A994DC" id="Shape 2346" o:spid="_x0000_s1059" type="#_x0000_t202" style="position:absolute;margin-left:33.6pt;margin-top:1pt;width:552.95pt;height:13.7pt;z-index:251692032;visibility:visible;mso-wrap-style:square;mso-wrap-distance-left:9pt;mso-wrap-distance-top:0;mso-wrap-distance-right:9pt;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" filled="f" stroked="f">
                <v:textbox inset="0,0,0,0">
                  <w:txbxContent>
                    <w:tbl>
                      <w:tblPr>
                        <w:tblOverlap w:val="never"/>
                        <w:tblW w:w="0" w:type="auto"/>
                        <w:tblLayout w:type="fixed"/>
                        <w:tblCellMar>
                          <w:left w:w="10" w:type="dxa"/>
                          <w:right w:w="10" w:type="dxa"/>
                        </w:tblCellMar>
                        <w:tblLook w:val="04A0" w:firstRow="1" w:lastRow="0" w:firstColumn="1" w:lastColumn="0" w:noHBand="0" w:noVBand="1"/>
                      </w:tblPr>
                      <w:tblGrid>
                        <w:gridCol w:w="2280"/>
                        <w:gridCol w:w="8779"/>
                      </w:tblGrid>
                      <w:tr w:rsidR="00924992" w14:paraId="275C0338" w14:textId="77777777">
                        <w:tblPrEx>
                          <w:tblCellMar>
                            <w:top w:w="0" w:type="dxa"/>
                            <w:bottom w:w="0" w:type="dxa"/>
                          </w:tblCellMar>
                        </w:tblPrEx>
                        <w:trPr>
                          <w:trHeight w:hRule="exact" w:val="274"/>
                          <w:tblHeader/>
                        </w:trPr>
                        <w:tc>
                          <w:tcPr>
                            <w:tcW w:w="2280" w:type="dxa"/>
                            <w:shd w:val="clear" w:color="auto" w:fill="FFFFFF"/>
                          </w:tcPr>
                          <w:p w14:paraId="2164F2E0" w14:textId="77777777" w:rsidR="00924992" w:rsidRDefault="00924992">
                            <w:pPr>
                              <w:rPr>
                                <w:sz w:val="10"/>
                                <w:szCs w:val="10"/>
                              </w:rPr>
                            </w:pPr>
                          </w:p>
                        </w:tc>
                        <w:tc>
                          <w:tcPr>
                            <w:tcW w:w="8779" w:type="dxa"/>
                            <w:shd w:val="clear" w:color="auto" w:fill="FFFFFF"/>
                          </w:tcPr>
                          <w:p w14:paraId="38C637EB" w14:textId="77777777" w:rsidR="00924992" w:rsidRDefault="00924992">
                            <w:pPr>
                              <w:pStyle w:val="Other0"/>
                              <w:spacing w:line="240" w:lineRule="auto"/>
                              <w:ind w:left="1100" w:firstLine="0"/>
                              <w:rPr>
                                <w:sz w:val="16"/>
                                <w:szCs w:val="16"/>
                              </w:rPr>
                            </w:pPr>
                            <w:r>
                              <w:rPr>
                                <w:rFonts w:ascii="Arial" w:eastAsia="Arial" w:hAnsi="Arial" w:cs="Arial"/>
                                <w:color w:val="000000"/>
                                <w:w w:val="70"/>
                                <w:sz w:val="26"/>
                                <w:szCs w:val="26"/>
                              </w:rPr>
                              <w:t xml:space="preserve">Cuadro 4-13. </w:t>
                            </w:r>
                            <w:r>
                              <w:rPr>
                                <w:rFonts w:ascii="Arial" w:eastAsia="Arial" w:hAnsi="Arial" w:cs="Arial"/>
                                <w:b/>
                                <w:bCs/>
                                <w:color w:val="000000"/>
                                <w:w w:val="70"/>
                                <w:sz w:val="26"/>
                                <w:szCs w:val="26"/>
                              </w:rPr>
                              <w:t xml:space="preserve">Fármacos antiparasitarios </w:t>
                            </w:r>
                            <w:r>
                              <w:rPr>
                                <w:rFonts w:ascii="Times New Roman" w:eastAsia="Times New Roman" w:hAnsi="Times New Roman" w:cs="Times New Roman"/>
                                <w:i/>
                                <w:iCs/>
                                <w:color w:val="000000"/>
                                <w:sz w:val="16"/>
                                <w:szCs w:val="16"/>
                              </w:rPr>
                              <w:t>continuación</w:t>
                            </w:r>
                          </w:p>
                        </w:tc>
                      </w:tr>
                    </w:tbl>
                    <w:p w14:paraId="0FF454D0" w14:textId="77777777" w:rsidR="00924992" w:rsidRDefault="00924992">
                      <w:pPr>
                        <w:spacing w:line="1" w:lineRule="exact"/>
                      </w:pPr>
                    </w:p>
                  </w:txbxContent>
                </v:textbox>
                <w10:wrap type="topAndBottom" anchorx="page"/>
              </v:shape>
            </w:pict>
          </mc:Fallback>
        </mc:AlternateContent>
      </w:r>
      <w:r>
        <w:rPr>
          <w:noProof/>
        </w:rPr>
        <mc:AlternateContent>
          <mc:Choice Requires="wps">
            <w:drawing>
              <wp:anchor distT="0" distB="411480" distL="114300" distR="114300" simplePos="0" relativeHeight="251693056" behindDoc="0" locked="0" layoutInCell="1" allowOverlap="1" wp14:anchorId="52C64A7E" wp14:editId="1C24A93B">
                <wp:simplePos x="0" y="0"/>
                <wp:positionH relativeFrom="page">
                  <wp:posOffset>426720</wp:posOffset>
                </wp:positionH>
                <wp:positionV relativeFrom="paragraph">
                  <wp:posOffset>932815</wp:posOffset>
                </wp:positionV>
                <wp:extent cx="7022465" cy="572770"/>
                <wp:effectExtent l="0" t="0" r="0" b="0"/>
                <wp:wrapTopAndBottom/>
                <wp:docPr id="2348" name="Shape 2348"/>
                <wp:cNvGraphicFramePr/>
                <a:graphic xmlns:a="http://schemas.openxmlformats.org/drawingml/2006/main">
                  <a:graphicData uri="http://schemas.microsoft.com/office/word/2010/wordprocessingShape">
                    <wps:wsp>
                      <wps:cNvSpPr txBox="1"/>
                      <wps:spPr>
                        <a:xfrm>
                          <a:off x="0" y="0"/>
                          <a:ext cx="7022465" cy="572770"/>
                        </a:xfrm>
                        <a:prstGeom prst="rect">
                          <a:avLst/>
                        </a:prstGeom>
                        <a:noFill/>
                      </wps:spPr>
                      <wps:txbx>
                        <w:txbxContent>
                          <w:tbl>
                            <w:tblPr>
                              <w:tblOverlap w:val="never"/>
                              <w:tblW w:w="0" w:type="auto"/>
                              <w:tblLayout w:type="fixed"/>
                              <w:tblCellMar>
                                <w:left w:w="10" w:type="dxa"/>
                                <w:right w:w="10" w:type="dxa"/>
                              </w:tblCellMar>
                              <w:tblLook w:val="04A0" w:firstRow="1" w:lastRow="0" w:firstColumn="1" w:lastColumn="0" w:noHBand="0" w:noVBand="1"/>
                            </w:tblPr>
                            <w:tblGrid>
                              <w:gridCol w:w="2280"/>
                              <w:gridCol w:w="8779"/>
                            </w:tblGrid>
                            <w:tr w:rsidR="00924992" w14:paraId="7C1006FB" w14:textId="77777777">
                              <w:tblPrEx>
                                <w:tblCellMar>
                                  <w:top w:w="0" w:type="dxa"/>
                                  <w:bottom w:w="0" w:type="dxa"/>
                                </w:tblCellMar>
                              </w:tblPrEx>
                              <w:trPr>
                                <w:trHeight w:hRule="exact" w:val="427"/>
                                <w:tblHeader/>
                              </w:trPr>
                              <w:tc>
                                <w:tcPr>
                                  <w:tcW w:w="2280" w:type="dxa"/>
                                  <w:shd w:val="clear" w:color="auto" w:fill="FFFFFF"/>
                                </w:tcPr>
                                <w:p w14:paraId="11401053" w14:textId="77777777" w:rsidR="00924992" w:rsidRDefault="00924992">
                                  <w:pPr>
                                    <w:pStyle w:val="Other0"/>
                                    <w:spacing w:line="240" w:lineRule="auto"/>
                                    <w:ind w:firstLine="0"/>
                                    <w:rPr>
                                      <w:sz w:val="16"/>
                                      <w:szCs w:val="16"/>
                                    </w:rPr>
                                  </w:pPr>
                                  <w:r>
                                    <w:rPr>
                                      <w:rFonts w:ascii="Times New Roman" w:eastAsia="Times New Roman" w:hAnsi="Times New Roman" w:cs="Times New Roman"/>
                                      <w:color w:val="000000"/>
                                      <w:sz w:val="16"/>
                                      <w:szCs w:val="16"/>
                                    </w:rPr>
                                    <w:t>Fármaco más indicado:</w:t>
                                  </w:r>
                                </w:p>
                              </w:tc>
                              <w:tc>
                                <w:tcPr>
                                  <w:tcW w:w="8779" w:type="dxa"/>
                                  <w:shd w:val="clear" w:color="auto" w:fill="FFFFFF"/>
                                </w:tcPr>
                                <w:p w14:paraId="61BF0C81" w14:textId="77777777" w:rsidR="00924992" w:rsidRDefault="00924992">
                                  <w:pPr>
                                    <w:pStyle w:val="Other0"/>
                                    <w:tabs>
                                      <w:tab w:val="left" w:pos="3311"/>
                                      <w:tab w:val="left" w:pos="6225"/>
                                    </w:tabs>
                                    <w:spacing w:line="240" w:lineRule="auto"/>
                                    <w:ind w:firstLine="580"/>
                                    <w:rPr>
                                      <w:sz w:val="16"/>
                                      <w:szCs w:val="16"/>
                                    </w:rPr>
                                  </w:pPr>
                                  <w:r>
                                    <w:rPr>
                                      <w:rFonts w:ascii="Times New Roman" w:eastAsia="Times New Roman" w:hAnsi="Times New Roman" w:cs="Times New Roman"/>
                                      <w:color w:val="000000"/>
                                      <w:sz w:val="16"/>
                                      <w:szCs w:val="16"/>
                                    </w:rPr>
                                    <w:t>Tetraciclina</w:t>
                                  </w:r>
                                  <w:r>
                                    <w:rPr>
                                      <w:rFonts w:ascii="Times New Roman" w:eastAsia="Times New Roman" w:hAnsi="Times New Roman" w:cs="Times New Roman"/>
                                      <w:color w:val="000000"/>
                                      <w:sz w:val="16"/>
                                      <w:szCs w:val="16"/>
                                      <w:vertAlign w:val="superscript"/>
                                    </w:rPr>
                                    <w:t>3,15</w:t>
                                  </w:r>
                                  <w:r>
                                    <w:rPr>
                                      <w:rFonts w:ascii="Times New Roman" w:eastAsia="Times New Roman" w:hAnsi="Times New Roman" w:cs="Times New Roman"/>
                                      <w:color w:val="000000"/>
                                      <w:sz w:val="16"/>
                                      <w:szCs w:val="16"/>
                                    </w:rPr>
                                    <w:tab/>
                                    <w:t xml:space="preserve">500 mg qid </w:t>
                                  </w:r>
                                  <w:r>
                                    <w:rPr>
                                      <w:color w:val="000000"/>
                                    </w:rPr>
                                    <w:t xml:space="preserve">x </w:t>
                                  </w:r>
                                  <w:r>
                                    <w:rPr>
                                      <w:rFonts w:ascii="Times New Roman" w:eastAsia="Times New Roman" w:hAnsi="Times New Roman" w:cs="Times New Roman"/>
                                      <w:color w:val="000000"/>
                                      <w:sz w:val="16"/>
                                      <w:szCs w:val="16"/>
                                    </w:rPr>
                                    <w:t>10 días</w:t>
                                  </w:r>
                                  <w:r>
                                    <w:rPr>
                                      <w:rFonts w:ascii="Times New Roman" w:eastAsia="Times New Roman" w:hAnsi="Times New Roman" w:cs="Times New Roman"/>
                                      <w:color w:val="000000"/>
                                      <w:sz w:val="16"/>
                                      <w:szCs w:val="16"/>
                                    </w:rPr>
                                    <w:tab/>
                                    <w:t>40 mg/kg/día (máx. 2 g) en 4 dosis</w:t>
                                  </w:r>
                                </w:p>
                                <w:p w14:paraId="794F8E39" w14:textId="77777777" w:rsidR="00924992" w:rsidRDefault="00924992">
                                  <w:pPr>
                                    <w:pStyle w:val="Other0"/>
                                    <w:spacing w:line="240" w:lineRule="auto"/>
                                    <w:ind w:left="6320" w:firstLine="0"/>
                                    <w:rPr>
                                      <w:sz w:val="16"/>
                                      <w:szCs w:val="16"/>
                                    </w:rPr>
                                  </w:pPr>
                                  <w:r>
                                    <w:rPr>
                                      <w:color w:val="000000"/>
                                    </w:rPr>
                                    <w:t xml:space="preserve">x </w:t>
                                  </w:r>
                                  <w:r>
                                    <w:rPr>
                                      <w:rFonts w:ascii="Times New Roman" w:eastAsia="Times New Roman" w:hAnsi="Times New Roman" w:cs="Times New Roman"/>
                                      <w:color w:val="000000"/>
                                      <w:sz w:val="16"/>
                                      <w:szCs w:val="16"/>
                                    </w:rPr>
                                    <w:t>10 días</w:t>
                                  </w:r>
                                </w:p>
                              </w:tc>
                            </w:tr>
                            <w:tr w:rsidR="00924992" w14:paraId="4C8C9057" w14:textId="77777777">
                              <w:tblPrEx>
                                <w:tblCellMar>
                                  <w:top w:w="0" w:type="dxa"/>
                                  <w:bottom w:w="0" w:type="dxa"/>
                                </w:tblCellMar>
                              </w:tblPrEx>
                              <w:trPr>
                                <w:trHeight w:hRule="exact" w:val="475"/>
                              </w:trPr>
                              <w:tc>
                                <w:tcPr>
                                  <w:tcW w:w="2280" w:type="dxa"/>
                                  <w:shd w:val="clear" w:color="auto" w:fill="FFFFFF"/>
                                </w:tcPr>
                                <w:p w14:paraId="0DE8C924" w14:textId="77777777" w:rsidR="00924992" w:rsidRDefault="00924992">
                                  <w:pPr>
                                    <w:pStyle w:val="Other0"/>
                                    <w:spacing w:line="240" w:lineRule="auto"/>
                                    <w:ind w:firstLine="0"/>
                                    <w:rPr>
                                      <w:sz w:val="16"/>
                                      <w:szCs w:val="16"/>
                                    </w:rPr>
                                  </w:pPr>
                                  <w:r>
                                    <w:rPr>
                                      <w:rFonts w:ascii="Times New Roman" w:eastAsia="Times New Roman" w:hAnsi="Times New Roman" w:cs="Times New Roman"/>
                                      <w:color w:val="000000"/>
                                      <w:sz w:val="16"/>
                                      <w:szCs w:val="16"/>
                                    </w:rPr>
                                    <w:t>Fármacos alternativos:</w:t>
                                  </w:r>
                                </w:p>
                              </w:tc>
                              <w:tc>
                                <w:tcPr>
                                  <w:tcW w:w="8779" w:type="dxa"/>
                                  <w:shd w:val="clear" w:color="auto" w:fill="FFFFFF"/>
                                  <w:vAlign w:val="bottom"/>
                                </w:tcPr>
                                <w:p w14:paraId="36792A98" w14:textId="77777777" w:rsidR="00924992" w:rsidRDefault="00924992">
                                  <w:pPr>
                                    <w:pStyle w:val="Other0"/>
                                    <w:tabs>
                                      <w:tab w:val="left" w:pos="3316"/>
                                      <w:tab w:val="left" w:pos="6206"/>
                                    </w:tabs>
                                    <w:spacing w:line="240" w:lineRule="auto"/>
                                    <w:ind w:firstLine="580"/>
                                    <w:rPr>
                                      <w:sz w:val="16"/>
                                      <w:szCs w:val="16"/>
                                    </w:rPr>
                                  </w:pPr>
                                  <w:r>
                                    <w:rPr>
                                      <w:rFonts w:ascii="Times New Roman" w:eastAsia="Times New Roman" w:hAnsi="Times New Roman" w:cs="Times New Roman"/>
                                      <w:color w:val="000000"/>
                                      <w:sz w:val="16"/>
                                      <w:szCs w:val="16"/>
                                    </w:rPr>
                                    <w:t>Metronidazol</w:t>
                                  </w:r>
                                  <w:r>
                                    <w:rPr>
                                      <w:rFonts w:ascii="Times New Roman" w:eastAsia="Times New Roman" w:hAnsi="Times New Roman" w:cs="Times New Roman"/>
                                      <w:color w:val="000000"/>
                                      <w:sz w:val="16"/>
                                      <w:szCs w:val="16"/>
                                      <w:vertAlign w:val="superscript"/>
                                    </w:rPr>
                                    <w:t>3</w:t>
                                  </w:r>
                                  <w:r>
                                    <w:rPr>
                                      <w:rFonts w:ascii="Times New Roman" w:eastAsia="Times New Roman" w:hAnsi="Times New Roman" w:cs="Times New Roman"/>
                                      <w:color w:val="000000"/>
                                      <w:sz w:val="16"/>
                                      <w:szCs w:val="16"/>
                                    </w:rPr>
                                    <w:tab/>
                                    <w:t xml:space="preserve">750 mg tid </w:t>
                                  </w:r>
                                  <w:r>
                                    <w:rPr>
                                      <w:color w:val="000000"/>
                                    </w:rPr>
                                    <w:t xml:space="preserve">x </w:t>
                                  </w:r>
                                  <w:r>
                                    <w:rPr>
                                      <w:rFonts w:ascii="Times New Roman" w:eastAsia="Times New Roman" w:hAnsi="Times New Roman" w:cs="Times New Roman"/>
                                      <w:color w:val="000000"/>
                                      <w:sz w:val="16"/>
                                      <w:szCs w:val="16"/>
                                    </w:rPr>
                                    <w:t>5 días</w:t>
                                  </w:r>
                                  <w:r>
                                    <w:rPr>
                                      <w:rFonts w:ascii="Times New Roman" w:eastAsia="Times New Roman" w:hAnsi="Times New Roman" w:cs="Times New Roman"/>
                                      <w:color w:val="000000"/>
                                      <w:sz w:val="16"/>
                                      <w:szCs w:val="16"/>
                                    </w:rPr>
                                    <w:tab/>
                                    <w:t xml:space="preserve">35-50 mg/kg/día en 3 dosis </w:t>
                                  </w:r>
                                  <w:r>
                                    <w:rPr>
                                      <w:color w:val="000000"/>
                                    </w:rPr>
                                    <w:t xml:space="preserve">x </w:t>
                                  </w:r>
                                  <w:r>
                                    <w:rPr>
                                      <w:rFonts w:ascii="Times New Roman" w:eastAsia="Times New Roman" w:hAnsi="Times New Roman" w:cs="Times New Roman"/>
                                      <w:color w:val="000000"/>
                                      <w:sz w:val="16"/>
                                      <w:szCs w:val="16"/>
                                    </w:rPr>
                                    <w:t>5 días</w:t>
                                  </w:r>
                                </w:p>
                                <w:p w14:paraId="6163CBC1" w14:textId="77777777" w:rsidR="00924992" w:rsidRDefault="00924992">
                                  <w:pPr>
                                    <w:pStyle w:val="Other0"/>
                                    <w:tabs>
                                      <w:tab w:val="left" w:pos="3321"/>
                                      <w:tab w:val="left" w:pos="6210"/>
                                    </w:tabs>
                                    <w:spacing w:line="240" w:lineRule="auto"/>
                                    <w:ind w:firstLine="580"/>
                                    <w:rPr>
                                      <w:sz w:val="16"/>
                                      <w:szCs w:val="16"/>
                                    </w:rPr>
                                  </w:pPr>
                                  <w:r>
                                    <w:rPr>
                                      <w:rFonts w:ascii="Times New Roman" w:eastAsia="Times New Roman" w:hAnsi="Times New Roman" w:cs="Times New Roman"/>
                                      <w:color w:val="000000"/>
                                      <w:sz w:val="16"/>
                                      <w:szCs w:val="16"/>
                                    </w:rPr>
                                    <w:t>Yodoquinol</w:t>
                                  </w:r>
                                  <w:r>
                                    <w:rPr>
                                      <w:rFonts w:ascii="Times New Roman" w:eastAsia="Times New Roman" w:hAnsi="Times New Roman" w:cs="Times New Roman"/>
                                      <w:color w:val="000000"/>
                                      <w:sz w:val="16"/>
                                      <w:szCs w:val="16"/>
                                      <w:vertAlign w:val="superscript"/>
                                    </w:rPr>
                                    <w:t>3</w:t>
                                  </w:r>
                                  <w:r>
                                    <w:rPr>
                                      <w:rFonts w:ascii="Times New Roman" w:eastAsia="Times New Roman" w:hAnsi="Times New Roman" w:cs="Times New Roman"/>
                                      <w:color w:val="000000"/>
                                      <w:sz w:val="16"/>
                                      <w:szCs w:val="16"/>
                                    </w:rPr>
                                    <w:tab/>
                                    <w:t xml:space="preserve">650 mg tid </w:t>
                                  </w:r>
                                  <w:r>
                                    <w:rPr>
                                      <w:color w:val="000000"/>
                                    </w:rPr>
                                    <w:t xml:space="preserve">x </w:t>
                                  </w:r>
                                  <w:r>
                                    <w:rPr>
                                      <w:rFonts w:ascii="Times New Roman" w:eastAsia="Times New Roman" w:hAnsi="Times New Roman" w:cs="Times New Roman"/>
                                      <w:color w:val="000000"/>
                                      <w:sz w:val="16"/>
                                      <w:szCs w:val="16"/>
                                    </w:rPr>
                                    <w:t>20 días</w:t>
                                  </w:r>
                                  <w:r>
                                    <w:rPr>
                                      <w:rFonts w:ascii="Times New Roman" w:eastAsia="Times New Roman" w:hAnsi="Times New Roman" w:cs="Times New Roman"/>
                                      <w:color w:val="000000"/>
                                      <w:sz w:val="16"/>
                                      <w:szCs w:val="16"/>
                                    </w:rPr>
                                    <w:tab/>
                                    <w:t xml:space="preserve">40 mg/kg/día en 3 dosis </w:t>
                                  </w:r>
                                  <w:r>
                                    <w:rPr>
                                      <w:color w:val="000000"/>
                                    </w:rPr>
                                    <w:t xml:space="preserve">x </w:t>
                                  </w:r>
                                  <w:r>
                                    <w:rPr>
                                      <w:rFonts w:ascii="Times New Roman" w:eastAsia="Times New Roman" w:hAnsi="Times New Roman" w:cs="Times New Roman"/>
                                      <w:color w:val="000000"/>
                                      <w:sz w:val="16"/>
                                      <w:szCs w:val="16"/>
                                    </w:rPr>
                                    <w:t>20 días</w:t>
                                  </w:r>
                                </w:p>
                              </w:tc>
                            </w:tr>
                          </w:tbl>
                          <w:p w14:paraId="478A42A8" w14:textId="77777777" w:rsidR="00924992" w:rsidRDefault="00924992">
                            <w:pPr>
                              <w:spacing w:line="1" w:lineRule="exact"/>
                            </w:pPr>
                          </w:p>
                        </w:txbxContent>
                      </wps:txbx>
                      <wps:bodyPr lIns="0" tIns="0" rIns="0" bIns="0"/>
                    </wps:wsp>
                  </a:graphicData>
                </a:graphic>
              </wp:anchor>
            </w:drawing>
          </mc:Choice>
          <mc:Fallback>
            <w:pict>
              <v:shape w14:anchorId="52C64A7E" id="Shape 2348" o:spid="_x0000_s1060" type="#_x0000_t202" style="position:absolute;margin-left:33.6pt;margin-top:73.45pt;width:552.95pt;height:45.1pt;z-index:251693056;visibility:visible;mso-wrap-style:square;mso-wrap-distance-left:9pt;mso-wrap-distance-top:0;mso-wrap-distance-right:9pt;mso-wrap-distance-bottom:32.4pt;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" filled="f" stroked="f">
                <v:textbox inset="0,0,0,0">
                  <w:txbxContent>
                    <w:tbl>
                      <w:tblPr>
                        <w:tblOverlap w:val="never"/>
                        <w:tblW w:w="0" w:type="auto"/>
                        <w:tblLayout w:type="fixed"/>
                        <w:tblCellMar>
                          <w:left w:w="10" w:type="dxa"/>
                          <w:right w:w="10" w:type="dxa"/>
                        </w:tblCellMar>
                        <w:tblLook w:val="04A0" w:firstRow="1" w:lastRow="0" w:firstColumn="1" w:lastColumn="0" w:noHBand="0" w:noVBand="1"/>
                      </w:tblPr>
                      <w:tblGrid>
                        <w:gridCol w:w="2280"/>
                        <w:gridCol w:w="8779"/>
                      </w:tblGrid>
                      <w:tr w:rsidR="00924992" w14:paraId="7C1006FB" w14:textId="77777777">
                        <w:tblPrEx>
                          <w:tblCellMar>
                            <w:top w:w="0" w:type="dxa"/>
                            <w:bottom w:w="0" w:type="dxa"/>
                          </w:tblCellMar>
                        </w:tblPrEx>
                        <w:trPr>
                          <w:trHeight w:hRule="exact" w:val="427"/>
                          <w:tblHeader/>
                        </w:trPr>
                        <w:tc>
                          <w:tcPr>
                            <w:tcW w:w="2280" w:type="dxa"/>
                            <w:shd w:val="clear" w:color="auto" w:fill="FFFFFF"/>
                          </w:tcPr>
                          <w:p w14:paraId="11401053" w14:textId="77777777" w:rsidR="00924992" w:rsidRDefault="00924992">
                            <w:pPr>
                              <w:pStyle w:val="Other0"/>
                              <w:spacing w:line="240" w:lineRule="auto"/>
                              <w:ind w:firstLine="0"/>
                              <w:rPr>
                                <w:sz w:val="16"/>
                                <w:szCs w:val="16"/>
                              </w:rPr>
                            </w:pPr>
                            <w:r>
                              <w:rPr>
                                <w:rFonts w:ascii="Times New Roman" w:eastAsia="Times New Roman" w:hAnsi="Times New Roman" w:cs="Times New Roman"/>
                                <w:color w:val="000000"/>
                                <w:sz w:val="16"/>
                                <w:szCs w:val="16"/>
                              </w:rPr>
                              <w:t>Fármaco más indicado:</w:t>
                            </w:r>
                          </w:p>
                        </w:tc>
                        <w:tc>
                          <w:tcPr>
                            <w:tcW w:w="8779" w:type="dxa"/>
                            <w:shd w:val="clear" w:color="auto" w:fill="FFFFFF"/>
                          </w:tcPr>
                          <w:p w14:paraId="61BF0C81" w14:textId="77777777" w:rsidR="00924992" w:rsidRDefault="00924992">
                            <w:pPr>
                              <w:pStyle w:val="Other0"/>
                              <w:tabs>
                                <w:tab w:val="left" w:pos="3311"/>
                                <w:tab w:val="left" w:pos="6225"/>
                              </w:tabs>
                              <w:spacing w:line="240" w:lineRule="auto"/>
                              <w:ind w:firstLine="580"/>
                              <w:rPr>
                                <w:sz w:val="16"/>
                                <w:szCs w:val="16"/>
                              </w:rPr>
                            </w:pPr>
                            <w:r>
                              <w:rPr>
                                <w:rFonts w:ascii="Times New Roman" w:eastAsia="Times New Roman" w:hAnsi="Times New Roman" w:cs="Times New Roman"/>
                                <w:color w:val="000000"/>
                                <w:sz w:val="16"/>
                                <w:szCs w:val="16"/>
                              </w:rPr>
                              <w:t>Tetraciclina</w:t>
                            </w:r>
                            <w:r>
                              <w:rPr>
                                <w:rFonts w:ascii="Times New Roman" w:eastAsia="Times New Roman" w:hAnsi="Times New Roman" w:cs="Times New Roman"/>
                                <w:color w:val="000000"/>
                                <w:sz w:val="16"/>
                                <w:szCs w:val="16"/>
                                <w:vertAlign w:val="superscript"/>
                              </w:rPr>
                              <w:t>3,15</w:t>
                            </w:r>
                            <w:r>
                              <w:rPr>
                                <w:rFonts w:ascii="Times New Roman" w:eastAsia="Times New Roman" w:hAnsi="Times New Roman" w:cs="Times New Roman"/>
                                <w:color w:val="000000"/>
                                <w:sz w:val="16"/>
                                <w:szCs w:val="16"/>
                              </w:rPr>
                              <w:tab/>
                              <w:t xml:space="preserve">500 mg qid </w:t>
                            </w:r>
                            <w:r>
                              <w:rPr>
                                <w:color w:val="000000"/>
                              </w:rPr>
                              <w:t xml:space="preserve">x </w:t>
                            </w:r>
                            <w:r>
                              <w:rPr>
                                <w:rFonts w:ascii="Times New Roman" w:eastAsia="Times New Roman" w:hAnsi="Times New Roman" w:cs="Times New Roman"/>
                                <w:color w:val="000000"/>
                                <w:sz w:val="16"/>
                                <w:szCs w:val="16"/>
                              </w:rPr>
                              <w:t>10 días</w:t>
                            </w:r>
                            <w:r>
                              <w:rPr>
                                <w:rFonts w:ascii="Times New Roman" w:eastAsia="Times New Roman" w:hAnsi="Times New Roman" w:cs="Times New Roman"/>
                                <w:color w:val="000000"/>
                                <w:sz w:val="16"/>
                                <w:szCs w:val="16"/>
                              </w:rPr>
                              <w:tab/>
                              <w:t>40 mg/kg/día (máx. 2 g) en 4 dosis</w:t>
                            </w:r>
                          </w:p>
                          <w:p w14:paraId="794F8E39" w14:textId="77777777" w:rsidR="00924992" w:rsidRDefault="00924992">
                            <w:pPr>
                              <w:pStyle w:val="Other0"/>
                              <w:spacing w:line="240" w:lineRule="auto"/>
                              <w:ind w:left="6320" w:firstLine="0"/>
                              <w:rPr>
                                <w:sz w:val="16"/>
                                <w:szCs w:val="16"/>
                              </w:rPr>
                            </w:pPr>
                            <w:r>
                              <w:rPr>
                                <w:color w:val="000000"/>
                              </w:rPr>
                              <w:t xml:space="preserve">x </w:t>
                            </w:r>
                            <w:r>
                              <w:rPr>
                                <w:rFonts w:ascii="Times New Roman" w:eastAsia="Times New Roman" w:hAnsi="Times New Roman" w:cs="Times New Roman"/>
                                <w:color w:val="000000"/>
                                <w:sz w:val="16"/>
                                <w:szCs w:val="16"/>
                              </w:rPr>
                              <w:t>10 días</w:t>
                            </w:r>
                          </w:p>
                        </w:tc>
                      </w:tr>
                      <w:tr w:rsidR="00924992" w14:paraId="4C8C9057" w14:textId="77777777">
                        <w:tblPrEx>
                          <w:tblCellMar>
                            <w:top w:w="0" w:type="dxa"/>
                            <w:bottom w:w="0" w:type="dxa"/>
                          </w:tblCellMar>
                        </w:tblPrEx>
                        <w:trPr>
                          <w:trHeight w:hRule="exact" w:val="475"/>
                        </w:trPr>
                        <w:tc>
                          <w:tcPr>
                            <w:tcW w:w="2280" w:type="dxa"/>
                            <w:shd w:val="clear" w:color="auto" w:fill="FFFFFF"/>
                          </w:tcPr>
                          <w:p w14:paraId="0DE8C924" w14:textId="77777777" w:rsidR="00924992" w:rsidRDefault="00924992">
                            <w:pPr>
                              <w:pStyle w:val="Other0"/>
                              <w:spacing w:line="240" w:lineRule="auto"/>
                              <w:ind w:firstLine="0"/>
                              <w:rPr>
                                <w:sz w:val="16"/>
                                <w:szCs w:val="16"/>
                              </w:rPr>
                            </w:pPr>
                            <w:r>
                              <w:rPr>
                                <w:rFonts w:ascii="Times New Roman" w:eastAsia="Times New Roman" w:hAnsi="Times New Roman" w:cs="Times New Roman"/>
                                <w:color w:val="000000"/>
                                <w:sz w:val="16"/>
                                <w:szCs w:val="16"/>
                              </w:rPr>
                              <w:t>Fármacos alternativos:</w:t>
                            </w:r>
                          </w:p>
                        </w:tc>
                        <w:tc>
                          <w:tcPr>
                            <w:tcW w:w="8779" w:type="dxa"/>
                            <w:shd w:val="clear" w:color="auto" w:fill="FFFFFF"/>
                            <w:vAlign w:val="bottom"/>
                          </w:tcPr>
                          <w:p w14:paraId="36792A98" w14:textId="77777777" w:rsidR="00924992" w:rsidRDefault="00924992">
                            <w:pPr>
                              <w:pStyle w:val="Other0"/>
                              <w:tabs>
                                <w:tab w:val="left" w:pos="3316"/>
                                <w:tab w:val="left" w:pos="6206"/>
                              </w:tabs>
                              <w:spacing w:line="240" w:lineRule="auto"/>
                              <w:ind w:firstLine="580"/>
                              <w:rPr>
                                <w:sz w:val="16"/>
                                <w:szCs w:val="16"/>
                              </w:rPr>
                            </w:pPr>
                            <w:r>
                              <w:rPr>
                                <w:rFonts w:ascii="Times New Roman" w:eastAsia="Times New Roman" w:hAnsi="Times New Roman" w:cs="Times New Roman"/>
                                <w:color w:val="000000"/>
                                <w:sz w:val="16"/>
                                <w:szCs w:val="16"/>
                              </w:rPr>
                              <w:t>Metronidazol</w:t>
                            </w:r>
                            <w:r>
                              <w:rPr>
                                <w:rFonts w:ascii="Times New Roman" w:eastAsia="Times New Roman" w:hAnsi="Times New Roman" w:cs="Times New Roman"/>
                                <w:color w:val="000000"/>
                                <w:sz w:val="16"/>
                                <w:szCs w:val="16"/>
                                <w:vertAlign w:val="superscript"/>
                              </w:rPr>
                              <w:t>3</w:t>
                            </w:r>
                            <w:r>
                              <w:rPr>
                                <w:rFonts w:ascii="Times New Roman" w:eastAsia="Times New Roman" w:hAnsi="Times New Roman" w:cs="Times New Roman"/>
                                <w:color w:val="000000"/>
                                <w:sz w:val="16"/>
                                <w:szCs w:val="16"/>
                              </w:rPr>
                              <w:tab/>
                              <w:t xml:space="preserve">750 mg tid </w:t>
                            </w:r>
                            <w:r>
                              <w:rPr>
                                <w:color w:val="000000"/>
                              </w:rPr>
                              <w:t xml:space="preserve">x </w:t>
                            </w:r>
                            <w:r>
                              <w:rPr>
                                <w:rFonts w:ascii="Times New Roman" w:eastAsia="Times New Roman" w:hAnsi="Times New Roman" w:cs="Times New Roman"/>
                                <w:color w:val="000000"/>
                                <w:sz w:val="16"/>
                                <w:szCs w:val="16"/>
                              </w:rPr>
                              <w:t>5 días</w:t>
                            </w:r>
                            <w:r>
                              <w:rPr>
                                <w:rFonts w:ascii="Times New Roman" w:eastAsia="Times New Roman" w:hAnsi="Times New Roman" w:cs="Times New Roman"/>
                                <w:color w:val="000000"/>
                                <w:sz w:val="16"/>
                                <w:szCs w:val="16"/>
                              </w:rPr>
                              <w:tab/>
                              <w:t xml:space="preserve">35-50 mg/kg/día en 3 dosis </w:t>
                            </w:r>
                            <w:r>
                              <w:rPr>
                                <w:color w:val="000000"/>
                              </w:rPr>
                              <w:t xml:space="preserve">x </w:t>
                            </w:r>
                            <w:r>
                              <w:rPr>
                                <w:rFonts w:ascii="Times New Roman" w:eastAsia="Times New Roman" w:hAnsi="Times New Roman" w:cs="Times New Roman"/>
                                <w:color w:val="000000"/>
                                <w:sz w:val="16"/>
                                <w:szCs w:val="16"/>
                              </w:rPr>
                              <w:t>5 días</w:t>
                            </w:r>
                          </w:p>
                          <w:p w14:paraId="6163CBC1" w14:textId="77777777" w:rsidR="00924992" w:rsidRDefault="00924992">
                            <w:pPr>
                              <w:pStyle w:val="Other0"/>
                              <w:tabs>
                                <w:tab w:val="left" w:pos="3321"/>
                                <w:tab w:val="left" w:pos="6210"/>
                              </w:tabs>
                              <w:spacing w:line="240" w:lineRule="auto"/>
                              <w:ind w:firstLine="580"/>
                              <w:rPr>
                                <w:sz w:val="16"/>
                                <w:szCs w:val="16"/>
                              </w:rPr>
                            </w:pPr>
                            <w:r>
                              <w:rPr>
                                <w:rFonts w:ascii="Times New Roman" w:eastAsia="Times New Roman" w:hAnsi="Times New Roman" w:cs="Times New Roman"/>
                                <w:color w:val="000000"/>
                                <w:sz w:val="16"/>
                                <w:szCs w:val="16"/>
                              </w:rPr>
                              <w:t>Yodoquinol</w:t>
                            </w:r>
                            <w:r>
                              <w:rPr>
                                <w:rFonts w:ascii="Times New Roman" w:eastAsia="Times New Roman" w:hAnsi="Times New Roman" w:cs="Times New Roman"/>
                                <w:color w:val="000000"/>
                                <w:sz w:val="16"/>
                                <w:szCs w:val="16"/>
                                <w:vertAlign w:val="superscript"/>
                              </w:rPr>
                              <w:t>3</w:t>
                            </w:r>
                            <w:r>
                              <w:rPr>
                                <w:rFonts w:ascii="Times New Roman" w:eastAsia="Times New Roman" w:hAnsi="Times New Roman" w:cs="Times New Roman"/>
                                <w:color w:val="000000"/>
                                <w:sz w:val="16"/>
                                <w:szCs w:val="16"/>
                              </w:rPr>
                              <w:tab/>
                              <w:t xml:space="preserve">650 mg tid </w:t>
                            </w:r>
                            <w:r>
                              <w:rPr>
                                <w:color w:val="000000"/>
                              </w:rPr>
                              <w:t xml:space="preserve">x </w:t>
                            </w:r>
                            <w:r>
                              <w:rPr>
                                <w:rFonts w:ascii="Times New Roman" w:eastAsia="Times New Roman" w:hAnsi="Times New Roman" w:cs="Times New Roman"/>
                                <w:color w:val="000000"/>
                                <w:sz w:val="16"/>
                                <w:szCs w:val="16"/>
                              </w:rPr>
                              <w:t>20 días</w:t>
                            </w:r>
                            <w:r>
                              <w:rPr>
                                <w:rFonts w:ascii="Times New Roman" w:eastAsia="Times New Roman" w:hAnsi="Times New Roman" w:cs="Times New Roman"/>
                                <w:color w:val="000000"/>
                                <w:sz w:val="16"/>
                                <w:szCs w:val="16"/>
                              </w:rPr>
                              <w:tab/>
                              <w:t xml:space="preserve">40 mg/kg/día en 3 dosis </w:t>
                            </w:r>
                            <w:r>
                              <w:rPr>
                                <w:color w:val="000000"/>
                              </w:rPr>
                              <w:t xml:space="preserve">x </w:t>
                            </w:r>
                            <w:r>
                              <w:rPr>
                                <w:rFonts w:ascii="Times New Roman" w:eastAsia="Times New Roman" w:hAnsi="Times New Roman" w:cs="Times New Roman"/>
                                <w:color w:val="000000"/>
                                <w:sz w:val="16"/>
                                <w:szCs w:val="16"/>
                              </w:rPr>
                              <w:t>20 días</w:t>
                            </w:r>
                          </w:p>
                        </w:tc>
                      </w:tr>
                    </w:tbl>
                    <w:p w14:paraId="478A42A8" w14:textId="77777777" w:rsidR="00924992" w:rsidRDefault="00924992">
                      <w:pPr>
                        <w:spacing w:line="1" w:lineRule="exact"/>
                      </w:pPr>
                    </w:p>
                  </w:txbxContent>
                </v:textbox>
                <w10:wrap type="topAndBottom" anchorx="page"/>
              </v:shape>
            </w:pict>
          </mc:Fallback>
        </mc:AlternateContent>
      </w:r>
      <w:r>
        <w:rPr>
          <w:noProof/>
        </w:rPr>
        <mc:AlternateContent>
          <mc:Choice Requires="wps">
            <w:drawing>
              <wp:anchor distT="0" distB="0" distL="0" distR="0" simplePos="0" relativeHeight="251787264" behindDoc="0" locked="0" layoutInCell="1" allowOverlap="1" wp14:anchorId="457CEDA9" wp14:editId="64B65332">
                <wp:simplePos x="0" y="0"/>
                <wp:positionH relativeFrom="page">
                  <wp:posOffset>429895</wp:posOffset>
                </wp:positionH>
                <wp:positionV relativeFrom="paragraph">
                  <wp:posOffset>1493520</wp:posOffset>
                </wp:positionV>
                <wp:extent cx="2856230" cy="423545"/>
                <wp:effectExtent l="0" t="0" r="0" b="0"/>
                <wp:wrapNone/>
                <wp:docPr id="2350" name="Shape 2350"/>
                <wp:cNvGraphicFramePr/>
                <a:graphic xmlns:a="http://schemas.openxmlformats.org/drawingml/2006/main">
                  <a:graphicData uri="http://schemas.microsoft.com/office/word/2010/wordprocessingShape">
                    <wps:wsp>
                      <wps:cNvSpPr txBox="1"/>
                      <wps:spPr>
                        <a:xfrm>
                          <a:off x="0" y="0"/>
                          <a:ext cx="2856230" cy="423545"/>
                        </a:xfrm>
                        <a:prstGeom prst="rect">
                          <a:avLst/>
                        </a:prstGeom>
                        <a:noFill/>
                      </wps:spPr>
                      <wps:txbx>
                        <w:txbxContent>
                          <w:p w14:paraId="17361330" w14:textId="77777777" w:rsidR="00924992" w:rsidRDefault="00924992">
                            <w:pPr>
                              <w:pStyle w:val="Tablecaption0"/>
                              <w:spacing w:line="240" w:lineRule="auto"/>
                              <w:ind w:left="0"/>
                              <w:rPr>
                                <w:sz w:val="16"/>
                                <w:szCs w:val="16"/>
                              </w:rPr>
                            </w:pPr>
                            <w:r>
                              <w:rPr>
                                <w:b/>
                                <w:bCs/>
                                <w:color w:val="000000"/>
                                <w:sz w:val="16"/>
                                <w:szCs w:val="16"/>
                              </w:rPr>
                              <w:t xml:space="preserve">BLASTOCYSTIS </w:t>
                            </w:r>
                            <w:r>
                              <w:rPr>
                                <w:i/>
                                <w:iCs/>
                                <w:color w:val="000000"/>
                                <w:sz w:val="16"/>
                                <w:szCs w:val="16"/>
                              </w:rPr>
                              <w:t>hominis,</w:t>
                            </w:r>
                            <w:r>
                              <w:rPr>
                                <w:color w:val="000000"/>
                                <w:sz w:val="16"/>
                                <w:szCs w:val="16"/>
                              </w:rPr>
                              <w:t xml:space="preserve"> infección</w:t>
                            </w:r>
                          </w:p>
                          <w:p w14:paraId="108AE5FE" w14:textId="77777777" w:rsidR="00924992" w:rsidRDefault="00924992">
                            <w:pPr>
                              <w:pStyle w:val="Tablecaption0"/>
                              <w:tabs>
                                <w:tab w:val="left" w:pos="2818"/>
                              </w:tabs>
                              <w:spacing w:line="240" w:lineRule="auto"/>
                              <w:ind w:left="0"/>
                              <w:rPr>
                                <w:sz w:val="16"/>
                                <w:szCs w:val="16"/>
                              </w:rPr>
                            </w:pPr>
                            <w:r>
                              <w:rPr>
                                <w:color w:val="000000"/>
                                <w:sz w:val="16"/>
                                <w:szCs w:val="16"/>
                              </w:rPr>
                              <w:t>Fármaco más indicado:</w:t>
                            </w:r>
                            <w:r>
                              <w:rPr>
                                <w:color w:val="000000"/>
                                <w:sz w:val="16"/>
                                <w:szCs w:val="16"/>
                              </w:rPr>
                              <w:tab/>
                              <w:t>Véase pie de cuadro 16</w:t>
                            </w:r>
                          </w:p>
                          <w:p w14:paraId="3BA5F4AD" w14:textId="77777777" w:rsidR="00924992" w:rsidRDefault="00924992">
                            <w:pPr>
                              <w:pStyle w:val="Tablecaption0"/>
                              <w:spacing w:line="240" w:lineRule="auto"/>
                              <w:ind w:left="0"/>
                              <w:rPr>
                                <w:sz w:val="16"/>
                                <w:szCs w:val="16"/>
                              </w:rPr>
                            </w:pPr>
                            <w:r>
                              <w:rPr>
                                <w:b/>
                                <w:bCs/>
                                <w:color w:val="000000"/>
                                <w:sz w:val="16"/>
                                <w:szCs w:val="16"/>
                              </w:rPr>
                              <w:t xml:space="preserve">CAPILARIASIS </w:t>
                            </w:r>
                            <w:r>
                              <w:rPr>
                                <w:i/>
                                <w:iCs/>
                                <w:color w:val="000000"/>
                                <w:sz w:val="16"/>
                                <w:szCs w:val="16"/>
                              </w:rPr>
                              <w:t>(Capillaria philippinensis)</w:t>
                            </w:r>
                          </w:p>
                        </w:txbxContent>
                      </wps:txbx>
                      <wps:bodyPr lIns="0" tIns="0" rIns="0" bIns="0"/>
                    </wps:wsp>
                  </a:graphicData>
                </a:graphic>
              </wp:anchor>
            </w:drawing>
          </mc:Choice>
          <mc:Fallback>
            <w:pict>
              <v:shape w14:anchorId="457CEDA9" id="Shape 2350" o:spid="_x0000_s1061" type="#_x0000_t202" style="position:absolute;margin-left:33.85pt;margin-top:117.6pt;width:224.9pt;height:33.35pt;z-index:25178726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" filled="f" stroked="f">
                <v:textbox inset="0,0,0,0">
                  <w:txbxContent>
                    <w:p w14:paraId="17361330" w14:textId="77777777" w:rsidR="00924992" w:rsidRDefault="00924992">
                      <w:pPr>
                        <w:pStyle w:val="Tablecaption0"/>
                        <w:spacing w:line="240" w:lineRule="auto"/>
                        <w:ind w:left="0"/>
                        <w:rPr>
                          <w:sz w:val="16"/>
                          <w:szCs w:val="16"/>
                        </w:rPr>
                      </w:pPr>
                      <w:r>
                        <w:rPr>
                          <w:b/>
                          <w:bCs/>
                          <w:color w:val="000000"/>
                          <w:sz w:val="16"/>
                          <w:szCs w:val="16"/>
                        </w:rPr>
                        <w:t xml:space="preserve">BLASTOCYSTIS </w:t>
                      </w:r>
                      <w:r>
                        <w:rPr>
                          <w:i/>
                          <w:iCs/>
                          <w:color w:val="000000"/>
                          <w:sz w:val="16"/>
                          <w:szCs w:val="16"/>
                        </w:rPr>
                        <w:t>hominis,</w:t>
                      </w:r>
                      <w:r>
                        <w:rPr>
                          <w:color w:val="000000"/>
                          <w:sz w:val="16"/>
                          <w:szCs w:val="16"/>
                        </w:rPr>
                        <w:t xml:space="preserve"> infección</w:t>
                      </w:r>
                    </w:p>
                    <w:p w14:paraId="108AE5FE" w14:textId="77777777" w:rsidR="00924992" w:rsidRDefault="00924992">
                      <w:pPr>
                        <w:pStyle w:val="Tablecaption0"/>
                        <w:tabs>
                          <w:tab w:val="left" w:pos="2818"/>
                        </w:tabs>
                        <w:spacing w:line="240" w:lineRule="auto"/>
                        <w:ind w:left="0"/>
                        <w:rPr>
                          <w:sz w:val="16"/>
                          <w:szCs w:val="16"/>
                        </w:rPr>
                      </w:pPr>
                      <w:r>
                        <w:rPr>
                          <w:color w:val="000000"/>
                          <w:sz w:val="16"/>
                          <w:szCs w:val="16"/>
                        </w:rPr>
                        <w:t>Fármaco más indicado:</w:t>
                      </w:r>
                      <w:r>
                        <w:rPr>
                          <w:color w:val="000000"/>
                          <w:sz w:val="16"/>
                          <w:szCs w:val="16"/>
                        </w:rPr>
                        <w:tab/>
                        <w:t>Véase pie de cuadro 16</w:t>
                      </w:r>
                    </w:p>
                    <w:p w14:paraId="3BA5F4AD" w14:textId="77777777" w:rsidR="00924992" w:rsidRDefault="00924992">
                      <w:pPr>
                        <w:pStyle w:val="Tablecaption0"/>
                        <w:spacing w:line="240" w:lineRule="auto"/>
                        <w:ind w:left="0"/>
                        <w:rPr>
                          <w:sz w:val="16"/>
                          <w:szCs w:val="16"/>
                        </w:rPr>
                      </w:pPr>
                      <w:r>
                        <w:rPr>
                          <w:b/>
                          <w:bCs/>
                          <w:color w:val="000000"/>
                          <w:sz w:val="16"/>
                          <w:szCs w:val="16"/>
                        </w:rPr>
                        <w:t xml:space="preserve">CAPILARIASIS </w:t>
                      </w:r>
                      <w:r>
                        <w:rPr>
                          <w:i/>
                          <w:iCs/>
                          <w:color w:val="000000"/>
                          <w:sz w:val="16"/>
                          <w:szCs w:val="16"/>
                        </w:rPr>
                        <w:t>(Capillaria philippinensis)</w:t>
                      </w:r>
                    </w:p>
                  </w:txbxContent>
                </v:textbox>
                <w10:wrap anchorx="page"/>
              </v:shape>
            </w:pict>
          </mc:Fallback>
        </mc:AlternateContent>
      </w:r>
      <w:r>
        <w:rPr>
          <w:noProof/>
        </w:rPr>
        <mc:AlternateContent>
          <mc:Choice Requires="wps">
            <w:drawing>
              <wp:anchor distT="50800" distB="548640" distL="0" distR="0" simplePos="0" relativeHeight="251694080" behindDoc="0" locked="0" layoutInCell="1" allowOverlap="1" wp14:anchorId="41A28718" wp14:editId="13258D12">
                <wp:simplePos x="0" y="0"/>
                <wp:positionH relativeFrom="page">
                  <wp:posOffset>426720</wp:posOffset>
                </wp:positionH>
                <wp:positionV relativeFrom="paragraph">
                  <wp:posOffset>1908175</wp:posOffset>
                </wp:positionV>
                <wp:extent cx="6525895" cy="292735"/>
                <wp:effectExtent l="0" t="0" r="0" b="0"/>
                <wp:wrapTopAndBottom/>
                <wp:docPr id="2352" name="Shape 2352"/>
                <wp:cNvGraphicFramePr/>
                <a:graphic xmlns:a="http://schemas.openxmlformats.org/drawingml/2006/main">
                  <a:graphicData uri="http://schemas.microsoft.com/office/word/2010/wordprocessingShape">
                    <wps:wsp>
                      <wps:cNvSpPr txBox="1"/>
                      <wps:spPr>
                        <a:xfrm>
                          <a:off x="0" y="0"/>
                          <a:ext cx="6525895" cy="292735"/>
                        </a:xfrm>
                        <a:prstGeom prst="rect">
                          <a:avLst/>
                        </a:prstGeom>
                        <a:noFill/>
                      </wps:spPr>
                      <wps:txbx>
                        <w:txbxContent>
                          <w:tbl>
                            <w:tblPr>
                              <w:tblOverlap w:val="never"/>
                              <w:tblW w:w="0" w:type="auto"/>
                              <w:tblLayout w:type="fixed"/>
                              <w:tblCellMar>
                                <w:left w:w="10" w:type="dxa"/>
                                <w:right w:w="10" w:type="dxa"/>
                              </w:tblCellMar>
                              <w:tblLook w:val="04A0" w:firstRow="1" w:lastRow="0" w:firstColumn="1" w:lastColumn="0" w:noHBand="0" w:noVBand="1"/>
                            </w:tblPr>
                            <w:tblGrid>
                              <w:gridCol w:w="2280"/>
                              <w:gridCol w:w="7997"/>
                            </w:tblGrid>
                            <w:tr w:rsidR="00924992" w14:paraId="09A98815" w14:textId="77777777">
                              <w:tblPrEx>
                                <w:tblCellMar>
                                  <w:top w:w="0" w:type="dxa"/>
                                  <w:bottom w:w="0" w:type="dxa"/>
                                </w:tblCellMar>
                              </w:tblPrEx>
                              <w:trPr>
                                <w:trHeight w:hRule="exact" w:val="206"/>
                                <w:tblHeader/>
                              </w:trPr>
                              <w:tc>
                                <w:tcPr>
                                  <w:tcW w:w="2280" w:type="dxa"/>
                                  <w:shd w:val="clear" w:color="auto" w:fill="FFFFFF"/>
                                  <w:vAlign w:val="bottom"/>
                                </w:tcPr>
                                <w:p w14:paraId="1DCD0DBC" w14:textId="77777777" w:rsidR="00924992" w:rsidRDefault="00924992">
                                  <w:pPr>
                                    <w:pStyle w:val="Other0"/>
                                    <w:spacing w:line="240" w:lineRule="auto"/>
                                    <w:ind w:firstLine="0"/>
                                    <w:rPr>
                                      <w:sz w:val="16"/>
                                      <w:szCs w:val="16"/>
                                    </w:rPr>
                                  </w:pPr>
                                  <w:r>
                                    <w:rPr>
                                      <w:rFonts w:ascii="Times New Roman" w:eastAsia="Times New Roman" w:hAnsi="Times New Roman" w:cs="Times New Roman"/>
                                      <w:color w:val="000000"/>
                                      <w:sz w:val="16"/>
                                      <w:szCs w:val="16"/>
                                    </w:rPr>
                                    <w:t>Fármaco más indicado:</w:t>
                                  </w:r>
                                </w:p>
                              </w:tc>
                              <w:tc>
                                <w:tcPr>
                                  <w:tcW w:w="7997" w:type="dxa"/>
                                  <w:shd w:val="clear" w:color="auto" w:fill="FFFFFF"/>
                                  <w:vAlign w:val="bottom"/>
                                </w:tcPr>
                                <w:p w14:paraId="5E94B325" w14:textId="77777777" w:rsidR="00924992" w:rsidRDefault="00924992">
                                  <w:pPr>
                                    <w:pStyle w:val="Other0"/>
                                    <w:tabs>
                                      <w:tab w:val="left" w:pos="3354"/>
                                      <w:tab w:val="left" w:pos="6230"/>
                                    </w:tabs>
                                    <w:spacing w:line="240" w:lineRule="auto"/>
                                    <w:ind w:firstLine="580"/>
                                    <w:jc w:val="both"/>
                                    <w:rPr>
                                      <w:sz w:val="16"/>
                                      <w:szCs w:val="16"/>
                                    </w:rPr>
                                  </w:pPr>
                                  <w:r>
                                    <w:rPr>
                                      <w:rFonts w:ascii="Times New Roman" w:eastAsia="Times New Roman" w:hAnsi="Times New Roman" w:cs="Times New Roman"/>
                                      <w:color w:val="000000"/>
                                      <w:sz w:val="16"/>
                                      <w:szCs w:val="16"/>
                                    </w:rPr>
                                    <w:t>Mebendazol</w:t>
                                  </w:r>
                                  <w:r>
                                    <w:rPr>
                                      <w:rFonts w:ascii="Times New Roman" w:eastAsia="Times New Roman" w:hAnsi="Times New Roman" w:cs="Times New Roman"/>
                                      <w:color w:val="000000"/>
                                      <w:sz w:val="16"/>
                                      <w:szCs w:val="16"/>
                                      <w:vertAlign w:val="superscript"/>
                                    </w:rPr>
                                    <w:t>3</w:t>
                                  </w:r>
                                  <w:r>
                                    <w:rPr>
                                      <w:rFonts w:ascii="Times New Roman" w:eastAsia="Times New Roman" w:hAnsi="Times New Roman" w:cs="Times New Roman"/>
                                      <w:color w:val="000000"/>
                                      <w:sz w:val="16"/>
                                      <w:szCs w:val="16"/>
                                    </w:rPr>
                                    <w:tab/>
                                    <w:t xml:space="preserve">200 mg bid </w:t>
                                  </w:r>
                                  <w:r>
                                    <w:rPr>
                                      <w:color w:val="000000"/>
                                    </w:rPr>
                                    <w:t xml:space="preserve">x </w:t>
                                  </w:r>
                                  <w:r>
                                    <w:rPr>
                                      <w:rFonts w:ascii="Times New Roman" w:eastAsia="Times New Roman" w:hAnsi="Times New Roman" w:cs="Times New Roman"/>
                                      <w:color w:val="000000"/>
                                      <w:sz w:val="16"/>
                                      <w:szCs w:val="16"/>
                                    </w:rPr>
                                    <w:t>20 días</w:t>
                                  </w:r>
                                  <w:r>
                                    <w:rPr>
                                      <w:rFonts w:ascii="Times New Roman" w:eastAsia="Times New Roman" w:hAnsi="Times New Roman" w:cs="Times New Roman"/>
                                      <w:color w:val="000000"/>
                                      <w:sz w:val="16"/>
                                      <w:szCs w:val="16"/>
                                    </w:rPr>
                                    <w:tab/>
                                    <w:t xml:space="preserve">200 mg bid </w:t>
                                  </w:r>
                                  <w:r>
                                    <w:rPr>
                                      <w:color w:val="000000"/>
                                    </w:rPr>
                                    <w:t xml:space="preserve">x </w:t>
                                  </w:r>
                                  <w:r>
                                    <w:rPr>
                                      <w:rFonts w:ascii="Times New Roman" w:eastAsia="Times New Roman" w:hAnsi="Times New Roman" w:cs="Times New Roman"/>
                                      <w:color w:val="000000"/>
                                      <w:sz w:val="16"/>
                                      <w:szCs w:val="16"/>
                                    </w:rPr>
                                    <w:t>20 días</w:t>
                                  </w:r>
                                </w:p>
                              </w:tc>
                            </w:tr>
                            <w:tr w:rsidR="00924992" w14:paraId="4A04D43C" w14:textId="77777777">
                              <w:tblPrEx>
                                <w:tblCellMar>
                                  <w:top w:w="0" w:type="dxa"/>
                                  <w:bottom w:w="0" w:type="dxa"/>
                                </w:tblCellMar>
                              </w:tblPrEx>
                              <w:trPr>
                                <w:trHeight w:hRule="exact" w:val="254"/>
                              </w:trPr>
                              <w:tc>
                                <w:tcPr>
                                  <w:tcW w:w="2280" w:type="dxa"/>
                                  <w:shd w:val="clear" w:color="auto" w:fill="FFFFFF"/>
                                </w:tcPr>
                                <w:p w14:paraId="47D647D9" w14:textId="77777777" w:rsidR="00924992" w:rsidRDefault="00924992">
                                  <w:pPr>
                                    <w:pStyle w:val="Other0"/>
                                    <w:spacing w:line="240" w:lineRule="auto"/>
                                    <w:ind w:firstLine="0"/>
                                    <w:rPr>
                                      <w:sz w:val="16"/>
                                      <w:szCs w:val="16"/>
                                    </w:rPr>
                                  </w:pPr>
                                  <w:r>
                                    <w:rPr>
                                      <w:rFonts w:ascii="Times New Roman" w:eastAsia="Times New Roman" w:hAnsi="Times New Roman" w:cs="Times New Roman"/>
                                      <w:color w:val="000000"/>
                                      <w:sz w:val="16"/>
                                      <w:szCs w:val="16"/>
                                    </w:rPr>
                                    <w:t>Fármaco alternativo:</w:t>
                                  </w:r>
                                </w:p>
                              </w:tc>
                              <w:tc>
                                <w:tcPr>
                                  <w:tcW w:w="7997" w:type="dxa"/>
                                  <w:shd w:val="clear" w:color="auto" w:fill="FFFFFF"/>
                                </w:tcPr>
                                <w:p w14:paraId="028F2ED8" w14:textId="77777777" w:rsidR="00924992" w:rsidRDefault="00924992">
                                  <w:pPr>
                                    <w:pStyle w:val="Other0"/>
                                    <w:tabs>
                                      <w:tab w:val="left" w:pos="3354"/>
                                      <w:tab w:val="left" w:pos="6230"/>
                                    </w:tabs>
                                    <w:spacing w:line="240" w:lineRule="auto"/>
                                    <w:ind w:firstLine="580"/>
                                    <w:jc w:val="both"/>
                                    <w:rPr>
                                      <w:sz w:val="16"/>
                                      <w:szCs w:val="16"/>
                                    </w:rPr>
                                  </w:pPr>
                                  <w:r>
                                    <w:rPr>
                                      <w:rFonts w:ascii="Times New Roman" w:eastAsia="Times New Roman" w:hAnsi="Times New Roman" w:cs="Times New Roman"/>
                                      <w:color w:val="000000"/>
                                      <w:sz w:val="16"/>
                                      <w:szCs w:val="16"/>
                                    </w:rPr>
                                    <w:t>Albendazol</w:t>
                                  </w:r>
                                  <w:r>
                                    <w:rPr>
                                      <w:rFonts w:ascii="Times New Roman" w:eastAsia="Times New Roman" w:hAnsi="Times New Roman" w:cs="Times New Roman"/>
                                      <w:color w:val="000000"/>
                                      <w:sz w:val="16"/>
                                      <w:szCs w:val="16"/>
                                      <w:vertAlign w:val="superscript"/>
                                    </w:rPr>
                                    <w:t>3</w:t>
                                  </w:r>
                                  <w:r>
                                    <w:rPr>
                                      <w:rFonts w:ascii="Times New Roman" w:eastAsia="Times New Roman" w:hAnsi="Times New Roman" w:cs="Times New Roman"/>
                                      <w:color w:val="000000"/>
                                      <w:sz w:val="16"/>
                                      <w:szCs w:val="16"/>
                                    </w:rPr>
                                    <w:tab/>
                                    <w:t xml:space="preserve">400 mg diarios </w:t>
                                  </w:r>
                                  <w:r>
                                    <w:rPr>
                                      <w:color w:val="000000"/>
                                    </w:rPr>
                                    <w:t xml:space="preserve">x </w:t>
                                  </w:r>
                                  <w:r>
                                    <w:rPr>
                                      <w:rFonts w:ascii="Times New Roman" w:eastAsia="Times New Roman" w:hAnsi="Times New Roman" w:cs="Times New Roman"/>
                                      <w:color w:val="000000"/>
                                      <w:sz w:val="16"/>
                                      <w:szCs w:val="16"/>
                                    </w:rPr>
                                    <w:t>10 días</w:t>
                                  </w:r>
                                  <w:r>
                                    <w:rPr>
                                      <w:rFonts w:ascii="Times New Roman" w:eastAsia="Times New Roman" w:hAnsi="Times New Roman" w:cs="Times New Roman"/>
                                      <w:color w:val="000000"/>
                                      <w:sz w:val="16"/>
                                      <w:szCs w:val="16"/>
                                    </w:rPr>
                                    <w:tab/>
                                    <w:t xml:space="preserve">400 mg diarios </w:t>
                                  </w:r>
                                  <w:r>
                                    <w:rPr>
                                      <w:color w:val="000000"/>
                                    </w:rPr>
                                    <w:t xml:space="preserve">x </w:t>
                                  </w:r>
                                  <w:r>
                                    <w:rPr>
                                      <w:rFonts w:ascii="Times New Roman" w:eastAsia="Times New Roman" w:hAnsi="Times New Roman" w:cs="Times New Roman"/>
                                      <w:color w:val="000000"/>
                                      <w:sz w:val="16"/>
                                      <w:szCs w:val="16"/>
                                    </w:rPr>
                                    <w:t>10 días</w:t>
                                  </w:r>
                                </w:p>
                              </w:tc>
                            </w:tr>
                          </w:tbl>
                          <w:p w14:paraId="364ECB61" w14:textId="77777777" w:rsidR="00924992" w:rsidRDefault="00924992">
                            <w:pPr>
                              <w:spacing w:line="1" w:lineRule="exact"/>
                            </w:pPr>
                          </w:p>
                        </w:txbxContent>
                      </wps:txbx>
                      <wps:bodyPr lIns="0" tIns="0" rIns="0" bIns="0"/>
                    </wps:wsp>
                  </a:graphicData>
                </a:graphic>
              </wp:anchor>
            </w:drawing>
          </mc:Choice>
          <mc:Fallback>
            <w:pict>
              <v:shape w14:anchorId="41A28718" id="Shape 2352" o:spid="_x0000_s1062" type="#_x0000_t202" style="position:absolute;margin-left:33.6pt;margin-top:150.25pt;width:513.85pt;height:23.05pt;z-index:251694080;visibility:visible;mso-wrap-style:square;mso-wrap-distance-left:0;mso-wrap-distance-top:4pt;mso-wrap-distance-right:0;mso-wrap-distance-bottom:43.2pt;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" filled="f" stroked="f">
                <v:textbox inset="0,0,0,0">
                  <w:txbxContent>
                    <w:tbl>
                      <w:tblPr>
                        <w:tblOverlap w:val="never"/>
                        <w:tblW w:w="0" w:type="auto"/>
                        <w:tblLayout w:type="fixed"/>
                        <w:tblCellMar>
                          <w:left w:w="10" w:type="dxa"/>
                          <w:right w:w="10" w:type="dxa"/>
                        </w:tblCellMar>
                        <w:tblLook w:val="04A0" w:firstRow="1" w:lastRow="0" w:firstColumn="1" w:lastColumn="0" w:noHBand="0" w:noVBand="1"/>
                      </w:tblPr>
                      <w:tblGrid>
                        <w:gridCol w:w="2280"/>
                        <w:gridCol w:w="7997"/>
                      </w:tblGrid>
                      <w:tr w:rsidR="00924992" w14:paraId="09A98815" w14:textId="77777777">
                        <w:tblPrEx>
                          <w:tblCellMar>
                            <w:top w:w="0" w:type="dxa"/>
                            <w:bottom w:w="0" w:type="dxa"/>
                          </w:tblCellMar>
                        </w:tblPrEx>
                        <w:trPr>
                          <w:trHeight w:hRule="exact" w:val="206"/>
                          <w:tblHeader/>
                        </w:trPr>
                        <w:tc>
                          <w:tcPr>
                            <w:tcW w:w="2280" w:type="dxa"/>
                            <w:shd w:val="clear" w:color="auto" w:fill="FFFFFF"/>
                            <w:vAlign w:val="bottom"/>
                          </w:tcPr>
                          <w:p w14:paraId="1DCD0DBC" w14:textId="77777777" w:rsidR="00924992" w:rsidRDefault="00924992">
                            <w:pPr>
                              <w:pStyle w:val="Other0"/>
                              <w:spacing w:line="240" w:lineRule="auto"/>
                              <w:ind w:firstLine="0"/>
                              <w:rPr>
                                <w:sz w:val="16"/>
                                <w:szCs w:val="16"/>
                              </w:rPr>
                            </w:pPr>
                            <w:r>
                              <w:rPr>
                                <w:rFonts w:ascii="Times New Roman" w:eastAsia="Times New Roman" w:hAnsi="Times New Roman" w:cs="Times New Roman"/>
                                <w:color w:val="000000"/>
                                <w:sz w:val="16"/>
                                <w:szCs w:val="16"/>
                              </w:rPr>
                              <w:t>Fármaco más indicado:</w:t>
                            </w:r>
                          </w:p>
                        </w:tc>
                        <w:tc>
                          <w:tcPr>
                            <w:tcW w:w="7997" w:type="dxa"/>
                            <w:shd w:val="clear" w:color="auto" w:fill="FFFFFF"/>
                            <w:vAlign w:val="bottom"/>
                          </w:tcPr>
                          <w:p w14:paraId="5E94B325" w14:textId="77777777" w:rsidR="00924992" w:rsidRDefault="00924992">
                            <w:pPr>
                              <w:pStyle w:val="Other0"/>
                              <w:tabs>
                                <w:tab w:val="left" w:pos="3354"/>
                                <w:tab w:val="left" w:pos="6230"/>
                              </w:tabs>
                              <w:spacing w:line="240" w:lineRule="auto"/>
                              <w:ind w:firstLine="580"/>
                              <w:jc w:val="both"/>
                              <w:rPr>
                                <w:sz w:val="16"/>
                                <w:szCs w:val="16"/>
                              </w:rPr>
                            </w:pPr>
                            <w:r>
                              <w:rPr>
                                <w:rFonts w:ascii="Times New Roman" w:eastAsia="Times New Roman" w:hAnsi="Times New Roman" w:cs="Times New Roman"/>
                                <w:color w:val="000000"/>
                                <w:sz w:val="16"/>
                                <w:szCs w:val="16"/>
                              </w:rPr>
                              <w:t>Mebendazol</w:t>
                            </w:r>
                            <w:r>
                              <w:rPr>
                                <w:rFonts w:ascii="Times New Roman" w:eastAsia="Times New Roman" w:hAnsi="Times New Roman" w:cs="Times New Roman"/>
                                <w:color w:val="000000"/>
                                <w:sz w:val="16"/>
                                <w:szCs w:val="16"/>
                                <w:vertAlign w:val="superscript"/>
                              </w:rPr>
                              <w:t>3</w:t>
                            </w:r>
                            <w:r>
                              <w:rPr>
                                <w:rFonts w:ascii="Times New Roman" w:eastAsia="Times New Roman" w:hAnsi="Times New Roman" w:cs="Times New Roman"/>
                                <w:color w:val="000000"/>
                                <w:sz w:val="16"/>
                                <w:szCs w:val="16"/>
                              </w:rPr>
                              <w:tab/>
                              <w:t xml:space="preserve">200 mg bid </w:t>
                            </w:r>
                            <w:r>
                              <w:rPr>
                                <w:color w:val="000000"/>
                              </w:rPr>
                              <w:t xml:space="preserve">x </w:t>
                            </w:r>
                            <w:r>
                              <w:rPr>
                                <w:rFonts w:ascii="Times New Roman" w:eastAsia="Times New Roman" w:hAnsi="Times New Roman" w:cs="Times New Roman"/>
                                <w:color w:val="000000"/>
                                <w:sz w:val="16"/>
                                <w:szCs w:val="16"/>
                              </w:rPr>
                              <w:t>20 días</w:t>
                            </w:r>
                            <w:r>
                              <w:rPr>
                                <w:rFonts w:ascii="Times New Roman" w:eastAsia="Times New Roman" w:hAnsi="Times New Roman" w:cs="Times New Roman"/>
                                <w:color w:val="000000"/>
                                <w:sz w:val="16"/>
                                <w:szCs w:val="16"/>
                              </w:rPr>
                              <w:tab/>
                              <w:t xml:space="preserve">200 mg bid </w:t>
                            </w:r>
                            <w:r>
                              <w:rPr>
                                <w:color w:val="000000"/>
                              </w:rPr>
                              <w:t xml:space="preserve">x </w:t>
                            </w:r>
                            <w:r>
                              <w:rPr>
                                <w:rFonts w:ascii="Times New Roman" w:eastAsia="Times New Roman" w:hAnsi="Times New Roman" w:cs="Times New Roman"/>
                                <w:color w:val="000000"/>
                                <w:sz w:val="16"/>
                                <w:szCs w:val="16"/>
                              </w:rPr>
                              <w:t>20 días</w:t>
                            </w:r>
                          </w:p>
                        </w:tc>
                      </w:tr>
                      <w:tr w:rsidR="00924992" w14:paraId="4A04D43C" w14:textId="77777777">
                        <w:tblPrEx>
                          <w:tblCellMar>
                            <w:top w:w="0" w:type="dxa"/>
                            <w:bottom w:w="0" w:type="dxa"/>
                          </w:tblCellMar>
                        </w:tblPrEx>
                        <w:trPr>
                          <w:trHeight w:hRule="exact" w:val="254"/>
                        </w:trPr>
                        <w:tc>
                          <w:tcPr>
                            <w:tcW w:w="2280" w:type="dxa"/>
                            <w:shd w:val="clear" w:color="auto" w:fill="FFFFFF"/>
                          </w:tcPr>
                          <w:p w14:paraId="47D647D9" w14:textId="77777777" w:rsidR="00924992" w:rsidRDefault="00924992">
                            <w:pPr>
                              <w:pStyle w:val="Other0"/>
                              <w:spacing w:line="240" w:lineRule="auto"/>
                              <w:ind w:firstLine="0"/>
                              <w:rPr>
                                <w:sz w:val="16"/>
                                <w:szCs w:val="16"/>
                              </w:rPr>
                            </w:pPr>
                            <w:r>
                              <w:rPr>
                                <w:rFonts w:ascii="Times New Roman" w:eastAsia="Times New Roman" w:hAnsi="Times New Roman" w:cs="Times New Roman"/>
                                <w:color w:val="000000"/>
                                <w:sz w:val="16"/>
                                <w:szCs w:val="16"/>
                              </w:rPr>
                              <w:t>Fármaco alternativo:</w:t>
                            </w:r>
                          </w:p>
                        </w:tc>
                        <w:tc>
                          <w:tcPr>
                            <w:tcW w:w="7997" w:type="dxa"/>
                            <w:shd w:val="clear" w:color="auto" w:fill="FFFFFF"/>
                          </w:tcPr>
                          <w:p w14:paraId="028F2ED8" w14:textId="77777777" w:rsidR="00924992" w:rsidRDefault="00924992">
                            <w:pPr>
                              <w:pStyle w:val="Other0"/>
                              <w:tabs>
                                <w:tab w:val="left" w:pos="3354"/>
                                <w:tab w:val="left" w:pos="6230"/>
                              </w:tabs>
                              <w:spacing w:line="240" w:lineRule="auto"/>
                              <w:ind w:firstLine="580"/>
                              <w:jc w:val="both"/>
                              <w:rPr>
                                <w:sz w:val="16"/>
                                <w:szCs w:val="16"/>
                              </w:rPr>
                            </w:pPr>
                            <w:r>
                              <w:rPr>
                                <w:rFonts w:ascii="Times New Roman" w:eastAsia="Times New Roman" w:hAnsi="Times New Roman" w:cs="Times New Roman"/>
                                <w:color w:val="000000"/>
                                <w:sz w:val="16"/>
                                <w:szCs w:val="16"/>
                              </w:rPr>
                              <w:t>Albendazol</w:t>
                            </w:r>
                            <w:r>
                              <w:rPr>
                                <w:rFonts w:ascii="Times New Roman" w:eastAsia="Times New Roman" w:hAnsi="Times New Roman" w:cs="Times New Roman"/>
                                <w:color w:val="000000"/>
                                <w:sz w:val="16"/>
                                <w:szCs w:val="16"/>
                                <w:vertAlign w:val="superscript"/>
                              </w:rPr>
                              <w:t>3</w:t>
                            </w:r>
                            <w:r>
                              <w:rPr>
                                <w:rFonts w:ascii="Times New Roman" w:eastAsia="Times New Roman" w:hAnsi="Times New Roman" w:cs="Times New Roman"/>
                                <w:color w:val="000000"/>
                                <w:sz w:val="16"/>
                                <w:szCs w:val="16"/>
                              </w:rPr>
                              <w:tab/>
                              <w:t xml:space="preserve">400 mg diarios </w:t>
                            </w:r>
                            <w:r>
                              <w:rPr>
                                <w:color w:val="000000"/>
                              </w:rPr>
                              <w:t xml:space="preserve">x </w:t>
                            </w:r>
                            <w:r>
                              <w:rPr>
                                <w:rFonts w:ascii="Times New Roman" w:eastAsia="Times New Roman" w:hAnsi="Times New Roman" w:cs="Times New Roman"/>
                                <w:color w:val="000000"/>
                                <w:sz w:val="16"/>
                                <w:szCs w:val="16"/>
                              </w:rPr>
                              <w:t>10 días</w:t>
                            </w:r>
                            <w:r>
                              <w:rPr>
                                <w:rFonts w:ascii="Times New Roman" w:eastAsia="Times New Roman" w:hAnsi="Times New Roman" w:cs="Times New Roman"/>
                                <w:color w:val="000000"/>
                                <w:sz w:val="16"/>
                                <w:szCs w:val="16"/>
                              </w:rPr>
                              <w:tab/>
                              <w:t xml:space="preserve">400 mg diarios </w:t>
                            </w:r>
                            <w:r>
                              <w:rPr>
                                <w:color w:val="000000"/>
                              </w:rPr>
                              <w:t xml:space="preserve">x </w:t>
                            </w:r>
                            <w:r>
                              <w:rPr>
                                <w:rFonts w:ascii="Times New Roman" w:eastAsia="Times New Roman" w:hAnsi="Times New Roman" w:cs="Times New Roman"/>
                                <w:color w:val="000000"/>
                                <w:sz w:val="16"/>
                                <w:szCs w:val="16"/>
                              </w:rPr>
                              <w:t>10 días</w:t>
                            </w:r>
                          </w:p>
                        </w:tc>
                      </w:tr>
                    </w:tbl>
                    <w:p w14:paraId="364ECB61" w14:textId="77777777" w:rsidR="00924992" w:rsidRDefault="00924992">
                      <w:pPr>
                        <w:spacing w:line="1" w:lineRule="exact"/>
                      </w:pPr>
                    </w:p>
                  </w:txbxContent>
                </v:textbox>
                <w10:wrap type="topAndBottom" anchorx="page"/>
              </v:shape>
            </w:pict>
          </mc:Fallback>
        </mc:AlternateContent>
      </w:r>
      <w:r>
        <w:rPr>
          <w:noProof/>
        </w:rPr>
        <mc:AlternateContent>
          <mc:Choice Requires="wps">
            <w:drawing>
              <wp:anchor distT="0" distB="0" distL="0" distR="0" simplePos="0" relativeHeight="251788288" behindDoc="0" locked="0" layoutInCell="1" allowOverlap="1" wp14:anchorId="22A1ADDA" wp14:editId="2F975485">
                <wp:simplePos x="0" y="0"/>
                <wp:positionH relativeFrom="page">
                  <wp:posOffset>433070</wp:posOffset>
                </wp:positionH>
                <wp:positionV relativeFrom="paragraph">
                  <wp:posOffset>2188845</wp:posOffset>
                </wp:positionV>
                <wp:extent cx="3374390" cy="560705"/>
                <wp:effectExtent l="0" t="0" r="0" b="0"/>
                <wp:wrapNone/>
                <wp:docPr id="2354" name="Shape 2354"/>
                <wp:cNvGraphicFramePr/>
                <a:graphic xmlns:a="http://schemas.openxmlformats.org/drawingml/2006/main">
                  <a:graphicData uri="http://schemas.microsoft.com/office/word/2010/wordprocessingShape">
                    <wps:wsp>
                      <wps:cNvSpPr txBox="1"/>
                      <wps:spPr>
                        <a:xfrm>
                          <a:off x="0" y="0"/>
                          <a:ext cx="3374390" cy="560705"/>
                        </a:xfrm>
                        <a:prstGeom prst="rect">
                          <a:avLst/>
                        </a:prstGeom>
                        <a:noFill/>
                      </wps:spPr>
                      <wps:txbx>
                        <w:txbxContent>
                          <w:p w14:paraId="49460CE1" w14:textId="77777777" w:rsidR="00924992" w:rsidRDefault="00924992">
                            <w:pPr>
                              <w:pStyle w:val="Tablecaption0"/>
                              <w:spacing w:line="240" w:lineRule="auto"/>
                              <w:ind w:left="0"/>
                              <w:rPr>
                                <w:sz w:val="16"/>
                                <w:szCs w:val="16"/>
                              </w:rPr>
                            </w:pPr>
                            <w:r>
                              <w:rPr>
                                <w:b/>
                                <w:bCs/>
                                <w:color w:val="000000"/>
                                <w:sz w:val="16"/>
                                <w:szCs w:val="16"/>
                              </w:rPr>
                              <w:t>Chagas, enfermedad</w:t>
                            </w:r>
                            <w:r>
                              <w:rPr>
                                <w:color w:val="000000"/>
                                <w:sz w:val="16"/>
                                <w:szCs w:val="16"/>
                              </w:rPr>
                              <w:t>&lt;15&gt;, véase “TRIPANOSOMIASIS”</w:t>
                            </w:r>
                          </w:p>
                          <w:p w14:paraId="1F68DE38" w14:textId="77777777" w:rsidR="00924992" w:rsidRDefault="00924992">
                            <w:pPr>
                              <w:pStyle w:val="Tablecaption0"/>
                              <w:spacing w:line="240" w:lineRule="auto"/>
                              <w:ind w:left="0"/>
                              <w:rPr>
                                <w:sz w:val="16"/>
                                <w:szCs w:val="16"/>
                              </w:rPr>
                            </w:pPr>
                            <w:r>
                              <w:rPr>
                                <w:b/>
                                <w:bCs/>
                                <w:color w:val="000000"/>
                                <w:sz w:val="16"/>
                                <w:szCs w:val="16"/>
                              </w:rPr>
                              <w:t>CISTICERCOSIS</w:t>
                            </w:r>
                            <w:r>
                              <w:rPr>
                                <w:color w:val="000000"/>
                                <w:sz w:val="16"/>
                                <w:szCs w:val="16"/>
                              </w:rPr>
                              <w:t>&lt;20&gt;, véase “VERMES PLANOS (TENIAS), infección”</w:t>
                            </w:r>
                          </w:p>
                          <w:p w14:paraId="1521D2F4" w14:textId="77777777" w:rsidR="00924992" w:rsidRDefault="00924992">
                            <w:pPr>
                              <w:pStyle w:val="Tablecaption0"/>
                              <w:spacing w:line="240" w:lineRule="auto"/>
                              <w:ind w:left="0"/>
                              <w:rPr>
                                <w:sz w:val="16"/>
                                <w:szCs w:val="16"/>
                              </w:rPr>
                            </w:pPr>
                            <w:r>
                              <w:rPr>
                                <w:b/>
                                <w:bCs/>
                                <w:i/>
                                <w:iCs/>
                                <w:color w:val="000000"/>
                                <w:sz w:val="17"/>
                                <w:szCs w:val="17"/>
                              </w:rPr>
                              <w:t>Clonorchis sinensis</w:t>
                            </w:r>
                            <w:r>
                              <w:rPr>
                                <w:i/>
                                <w:iCs/>
                                <w:color w:val="000000"/>
                              </w:rPr>
                              <w:t>&lt;16&gt;,</w:t>
                            </w:r>
                            <w:r>
                              <w:rPr>
                                <w:color w:val="000000"/>
                                <w:sz w:val="16"/>
                                <w:szCs w:val="16"/>
                              </w:rPr>
                              <w:t xml:space="preserve"> véase “DUELAS hermafroditas, infección”</w:t>
                            </w:r>
                          </w:p>
                          <w:p w14:paraId="4DA68E7E" w14:textId="77777777" w:rsidR="00924992" w:rsidRDefault="00924992">
                            <w:pPr>
                              <w:pStyle w:val="Tablecaption0"/>
                              <w:spacing w:line="240" w:lineRule="auto"/>
                              <w:ind w:left="0"/>
                              <w:rPr>
                                <w:sz w:val="16"/>
                                <w:szCs w:val="16"/>
                              </w:rPr>
                            </w:pPr>
                            <w:r>
                              <w:rPr>
                                <w:b/>
                                <w:bCs/>
                                <w:color w:val="000000"/>
                                <w:sz w:val="16"/>
                                <w:szCs w:val="16"/>
                              </w:rPr>
                              <w:t xml:space="preserve">CRIPTOSPORIDIOSIS </w:t>
                            </w:r>
                            <w:r>
                              <w:rPr>
                                <w:i/>
                                <w:iCs/>
                                <w:color w:val="000000"/>
                                <w:sz w:val="16"/>
                                <w:szCs w:val="16"/>
                              </w:rPr>
                              <w:t>(Cryptosporidium)</w:t>
                            </w:r>
                          </w:p>
                        </w:txbxContent>
                      </wps:txbx>
                      <wps:bodyPr lIns="0" tIns="0" rIns="0" bIns="0"/>
                    </wps:wsp>
                  </a:graphicData>
                </a:graphic>
              </wp:anchor>
            </w:drawing>
          </mc:Choice>
          <mc:Fallback>
            <w:pict>
              <v:shape w14:anchorId="22A1ADDA" id="Shape 2354" o:spid="_x0000_s1063" type="#_x0000_t202" style="position:absolute;margin-left:34.1pt;margin-top:172.35pt;width:265.7pt;height:44.15pt;z-index:25178828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" filled="f" stroked="f">
                <v:textbox inset="0,0,0,0">
                  <w:txbxContent>
                    <w:p w14:paraId="49460CE1" w14:textId="77777777" w:rsidR="00924992" w:rsidRDefault="00924992">
                      <w:pPr>
                        <w:pStyle w:val="Tablecaption0"/>
                        <w:spacing w:line="240" w:lineRule="auto"/>
                        <w:ind w:left="0"/>
                        <w:rPr>
                          <w:sz w:val="16"/>
                          <w:szCs w:val="16"/>
                        </w:rPr>
                      </w:pPr>
                      <w:r>
                        <w:rPr>
                          <w:b/>
                          <w:bCs/>
                          <w:color w:val="000000"/>
                          <w:sz w:val="16"/>
                          <w:szCs w:val="16"/>
                        </w:rPr>
                        <w:t>Chagas, enfermedad</w:t>
                      </w:r>
                      <w:r>
                        <w:rPr>
                          <w:color w:val="000000"/>
                          <w:sz w:val="16"/>
                          <w:szCs w:val="16"/>
                        </w:rPr>
                        <w:t>&lt;15&gt;, véase “TRIPANOSOMIASIS”</w:t>
                      </w:r>
                    </w:p>
                    <w:p w14:paraId="1F68DE38" w14:textId="77777777" w:rsidR="00924992" w:rsidRDefault="00924992">
                      <w:pPr>
                        <w:pStyle w:val="Tablecaption0"/>
                        <w:spacing w:line="240" w:lineRule="auto"/>
                        <w:ind w:left="0"/>
                        <w:rPr>
                          <w:sz w:val="16"/>
                          <w:szCs w:val="16"/>
                        </w:rPr>
                      </w:pPr>
                      <w:r>
                        <w:rPr>
                          <w:b/>
                          <w:bCs/>
                          <w:color w:val="000000"/>
                          <w:sz w:val="16"/>
                          <w:szCs w:val="16"/>
                        </w:rPr>
                        <w:t>CISTICERCOSIS</w:t>
                      </w:r>
                      <w:r>
                        <w:rPr>
                          <w:color w:val="000000"/>
                          <w:sz w:val="16"/>
                          <w:szCs w:val="16"/>
                        </w:rPr>
                        <w:t>&lt;20&gt;, véase “VERMES PLANOS (TENIAS), infección”</w:t>
                      </w:r>
                    </w:p>
                    <w:p w14:paraId="1521D2F4" w14:textId="77777777" w:rsidR="00924992" w:rsidRDefault="00924992">
                      <w:pPr>
                        <w:pStyle w:val="Tablecaption0"/>
                        <w:spacing w:line="240" w:lineRule="auto"/>
                        <w:ind w:left="0"/>
                        <w:rPr>
                          <w:sz w:val="16"/>
                          <w:szCs w:val="16"/>
                        </w:rPr>
                      </w:pPr>
                      <w:r>
                        <w:rPr>
                          <w:b/>
                          <w:bCs/>
                          <w:i/>
                          <w:iCs/>
                          <w:color w:val="000000"/>
                          <w:sz w:val="17"/>
                          <w:szCs w:val="17"/>
                        </w:rPr>
                        <w:t>Clonorchis sinensis</w:t>
                      </w:r>
                      <w:r>
                        <w:rPr>
                          <w:i/>
                          <w:iCs/>
                          <w:color w:val="000000"/>
                        </w:rPr>
                        <w:t>&lt;16&gt;,</w:t>
                      </w:r>
                      <w:r>
                        <w:rPr>
                          <w:color w:val="000000"/>
                          <w:sz w:val="16"/>
                          <w:szCs w:val="16"/>
                        </w:rPr>
                        <w:t xml:space="preserve"> véase “DUELAS hermafroditas, infección”</w:t>
                      </w:r>
                    </w:p>
                    <w:p w14:paraId="4DA68E7E" w14:textId="77777777" w:rsidR="00924992" w:rsidRDefault="00924992">
                      <w:pPr>
                        <w:pStyle w:val="Tablecaption0"/>
                        <w:spacing w:line="240" w:lineRule="auto"/>
                        <w:ind w:left="0"/>
                        <w:rPr>
                          <w:sz w:val="16"/>
                          <w:szCs w:val="16"/>
                        </w:rPr>
                      </w:pPr>
                      <w:r>
                        <w:rPr>
                          <w:b/>
                          <w:bCs/>
                          <w:color w:val="000000"/>
                          <w:sz w:val="16"/>
                          <w:szCs w:val="16"/>
                        </w:rPr>
                        <w:t xml:space="preserve">CRIPTOSPORIDIOSIS </w:t>
                      </w:r>
                      <w:r>
                        <w:rPr>
                          <w:i/>
                          <w:iCs/>
                          <w:color w:val="000000"/>
                          <w:sz w:val="16"/>
                          <w:szCs w:val="16"/>
                        </w:rPr>
                        <w:t>(Cryptosporidium)</w:t>
                      </w:r>
                    </w:p>
                  </w:txbxContent>
                </v:textbox>
                <w10:wrap anchorx="page"/>
              </v:shape>
            </w:pict>
          </mc:Fallback>
        </mc:AlternateContent>
      </w:r>
      <w:r>
        <w:rPr>
          <w:noProof/>
        </w:rPr>
        <mc:AlternateContent>
          <mc:Choice Requires="wps">
            <w:drawing>
              <wp:anchor distT="0" distB="0" distL="0" distR="0" simplePos="0" relativeHeight="251695104" behindDoc="0" locked="0" layoutInCell="1" allowOverlap="1" wp14:anchorId="5B92415D" wp14:editId="14E27ED4">
                <wp:simplePos x="0" y="0"/>
                <wp:positionH relativeFrom="page">
                  <wp:posOffset>7867015</wp:posOffset>
                </wp:positionH>
                <wp:positionV relativeFrom="paragraph">
                  <wp:posOffset>12700</wp:posOffset>
                </wp:positionV>
                <wp:extent cx="121920" cy="2880360"/>
                <wp:effectExtent l="0" t="0" r="0" b="0"/>
                <wp:wrapSquare wrapText="bothSides"/>
                <wp:docPr id="2356" name="Shape 2356"/>
                <wp:cNvGraphicFramePr/>
                <a:graphic xmlns:a="http://schemas.openxmlformats.org/drawingml/2006/main">
                  <a:graphicData uri="http://schemas.microsoft.com/office/word/2010/wordprocessingShape">
                    <wps:wsp>
                      <wps:cNvSpPr txBox="1"/>
                      <wps:spPr>
                        <a:xfrm>
                          <a:off x="0" y="0"/>
                          <a:ext cx="121920" cy="2880360"/>
                        </a:xfrm>
                        <a:prstGeom prst="rect">
                          <a:avLst/>
                        </a:prstGeom>
                        <a:noFill/>
                      </wps:spPr>
                      <wps:txbx>
                        <w:txbxContent>
                          <w:p w14:paraId="0A4859E3" w14:textId="77777777" w:rsidR="00924992" w:rsidRDefault="00924992">
                            <w:pPr>
                              <w:pStyle w:val="Bodytext80"/>
                              <w:tabs>
                                <w:tab w:val="left" w:pos="2338"/>
                              </w:tabs>
                            </w:pPr>
                            <w:r>
                              <w:rPr>
                                <w:sz w:val="16"/>
                                <w:szCs w:val="16"/>
                              </w:rPr>
                              <w:t>786</w:t>
                            </w:r>
                            <w:r>
                              <w:rPr>
                                <w:sz w:val="16"/>
                                <w:szCs w:val="16"/>
                              </w:rPr>
                              <w:tab/>
                            </w:r>
                            <w:r>
                              <w:t>FÁRMACOS ANTIPARASITARIOS</w:t>
                            </w:r>
                          </w:p>
                        </w:txbxContent>
                      </wps:txbx>
                      <wps:bodyPr vert="vert" lIns="0" tIns="0" rIns="0" bIns="0" upright="1"/>
                    </wps:wsp>
                  </a:graphicData>
                </a:graphic>
              </wp:anchor>
            </w:drawing>
          </mc:Choice>
          <mc:Fallback>
            <w:pict>
              <v:shape w14:anchorId="5B92415D" id="Shape 2356" o:spid="_x0000_s1064" type="#_x0000_t202" style="position:absolute;margin-left:619.45pt;margin-top:1pt;width:9.6pt;height:226.8pt;z-index:25169510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" filled="f" stroked="f">
                <v:textbox style="layout-flow:vertical" inset="0,0,0,0">
                  <w:txbxContent>
                    <w:p w14:paraId="0A4859E3" w14:textId="77777777" w:rsidR="00924992" w:rsidRDefault="00924992">
                      <w:pPr>
                        <w:pStyle w:val="Bodytext80"/>
                        <w:tabs>
                          <w:tab w:val="left" w:pos="2338"/>
                        </w:tabs>
                      </w:pPr>
                      <w:r>
                        <w:rPr>
                          <w:sz w:val="16"/>
                          <w:szCs w:val="16"/>
                        </w:rPr>
                        <w:t>786</w:t>
                      </w:r>
                      <w:r>
                        <w:rPr>
                          <w:sz w:val="16"/>
                          <w:szCs w:val="16"/>
                        </w:rPr>
                        <w:tab/>
                      </w:r>
                      <w:r>
                        <w:t>FÁRMACOS ANTIPARASITARIOS</w:t>
                      </w:r>
                    </w:p>
                  </w:txbxContent>
                </v:textbox>
                <w10:wrap type="square" anchorx="page"/>
              </v:shape>
            </w:pict>
          </mc:Fallback>
        </mc:AlternateContent>
      </w:r>
    </w:p>
    <w:p w14:paraId="455AA99E" w14:textId="77777777" w:rsidR="00924992" w:rsidRDefault="00924992">
      <w:pPr>
        <w:pStyle w:val="Heading41"/>
        <w:keepNext/>
        <w:keepLines/>
        <w:pBdr>
          <w:top w:val="single" w:sz="0" w:space="0" w:color="000000"/>
          <w:left w:val="single" w:sz="0" w:space="0" w:color="000000"/>
          <w:bottom w:val="single" w:sz="0" w:space="3" w:color="000000"/>
          <w:right w:val="single" w:sz="0" w:space="0" w:color="000000"/>
        </w:pBdr>
        <w:shd w:val="clear" w:color="auto" w:fill="000000"/>
        <w:tabs>
          <w:tab w:val="left" w:pos="2827"/>
          <w:tab w:val="left" w:pos="5664"/>
          <w:tab w:val="left" w:pos="8496"/>
        </w:tabs>
      </w:pPr>
      <w:bookmarkStart w:id="521" w:name="bookmark1967"/>
      <w:bookmarkStart w:id="522" w:name="bookmark1968"/>
      <w:bookmarkStart w:id="523" w:name="bookmark1969"/>
      <w:r>
        <w:rPr>
          <w:color w:val="FFFFFF"/>
        </w:rPr>
        <w:t>Infección</w:t>
      </w:r>
      <w:r>
        <w:rPr>
          <w:color w:val="FFFFFF"/>
        </w:rPr>
        <w:tab/>
        <w:t>Fármaco</w:t>
      </w:r>
      <w:r>
        <w:rPr>
          <w:color w:val="FFFFFF"/>
        </w:rPr>
        <w:tab/>
        <w:t>Dosis para adultos</w:t>
      </w:r>
      <w:r>
        <w:rPr>
          <w:color w:val="FFFFFF"/>
        </w:rPr>
        <w:tab/>
        <w:t>Dosis para niños</w:t>
      </w:r>
      <w:bookmarkEnd w:id="521"/>
      <w:bookmarkEnd w:id="522"/>
      <w:bookmarkEnd w:id="523"/>
      <w:r>
        <w:rPr>
          <w:color w:val="FFFFFF"/>
        </w:rPr>
        <w:t xml:space="preserve"> </w:t>
      </w:r>
      <w:r>
        <w:rPr>
          <w:color w:val="FFFFFF"/>
          <w:vertAlign w:val="superscript"/>
        </w:rPr>
        <w:footnoteReference w:id="41"/>
      </w:r>
      <w:r>
        <w:rPr>
          <w:color w:val="FFFFFF"/>
          <w:vertAlign w:val="superscript"/>
        </w:rPr>
        <w:t xml:space="preserve"> </w:t>
      </w:r>
      <w:r>
        <w:rPr>
          <w:color w:val="FFFFFF"/>
          <w:vertAlign w:val="superscript"/>
        </w:rPr>
        <w:footnoteReference w:id="42"/>
      </w:r>
      <w:r>
        <w:rPr>
          <w:color w:val="FFFFFF"/>
          <w:vertAlign w:val="superscript"/>
        </w:rPr>
        <w:t xml:space="preserve"> </w:t>
      </w:r>
      <w:r>
        <w:rPr>
          <w:color w:val="FFFFFF"/>
          <w:vertAlign w:val="superscript"/>
        </w:rPr>
        <w:footnoteReference w:id="43"/>
      </w:r>
      <w:r>
        <w:rPr>
          <w:color w:val="FFFFFF"/>
          <w:vertAlign w:val="superscript"/>
        </w:rPr>
        <w:t xml:space="preserve"> </w:t>
      </w:r>
      <w:r>
        <w:rPr>
          <w:color w:val="FFFFFF"/>
          <w:vertAlign w:val="superscript"/>
        </w:rPr>
        <w:footnoteReference w:id="44"/>
      </w:r>
    </w:p>
    <w:p w14:paraId="4229F1A2" w14:textId="77777777" w:rsidR="00924992" w:rsidRDefault="00924992">
      <w:pPr>
        <w:pStyle w:val="Tablecaption0"/>
        <w:spacing w:line="240" w:lineRule="auto"/>
        <w:ind w:left="0"/>
        <w:rPr>
          <w:sz w:val="16"/>
          <w:szCs w:val="16"/>
        </w:rPr>
      </w:pPr>
      <w:r>
        <w:rPr>
          <w:b/>
          <w:bCs/>
          <w:color w:val="000000"/>
          <w:sz w:val="16"/>
          <w:szCs w:val="16"/>
        </w:rPr>
        <w:t xml:space="preserve">BAILISASCARIASIS </w:t>
      </w:r>
      <w:r>
        <w:rPr>
          <w:i/>
          <w:iCs/>
          <w:color w:val="000000"/>
          <w:sz w:val="16"/>
          <w:szCs w:val="16"/>
        </w:rPr>
        <w:t>(Baylisascaris procyonis)</w:t>
      </w:r>
    </w:p>
    <w:tbl>
      <w:tblPr>
        <w:tblOverlap w:val="never"/>
        <w:tblW w:w="0" w:type="auto"/>
        <w:tblLayout w:type="fixed"/>
        <w:tblCellMar>
          <w:left w:w="10" w:type="dxa"/>
          <w:right w:w="10" w:type="dxa"/>
        </w:tblCellMar>
        <w:tblLook w:val="04A0" w:firstRow="1" w:lastRow="0" w:firstColumn="1" w:lastColumn="0" w:noHBand="0" w:noVBand="1"/>
      </w:tblPr>
      <w:tblGrid>
        <w:gridCol w:w="2280"/>
        <w:gridCol w:w="2232"/>
      </w:tblGrid>
      <w:tr w:rsidR="00924992" w14:paraId="614C0F64" w14:textId="77777777">
        <w:tblPrEx>
          <w:tblCellMar>
            <w:top w:w="0" w:type="dxa"/>
            <w:bottom w:w="0" w:type="dxa"/>
          </w:tblCellMar>
        </w:tblPrEx>
        <w:trPr>
          <w:trHeight w:hRule="exact" w:val="235"/>
        </w:trPr>
        <w:tc>
          <w:tcPr>
            <w:tcW w:w="2280" w:type="dxa"/>
            <w:shd w:val="clear" w:color="auto" w:fill="FFFFFF"/>
          </w:tcPr>
          <w:p w14:paraId="5E27A885" w14:textId="77777777" w:rsidR="00924992" w:rsidRDefault="00924992">
            <w:pPr>
              <w:pStyle w:val="Other0"/>
              <w:spacing w:line="240" w:lineRule="auto"/>
              <w:ind w:firstLine="0"/>
              <w:rPr>
                <w:sz w:val="16"/>
                <w:szCs w:val="16"/>
              </w:rPr>
            </w:pPr>
            <w:r>
              <w:rPr>
                <w:rFonts w:ascii="Times New Roman" w:eastAsia="Times New Roman" w:hAnsi="Times New Roman" w:cs="Times New Roman"/>
                <w:color w:val="000000"/>
                <w:sz w:val="16"/>
                <w:szCs w:val="16"/>
              </w:rPr>
              <w:t>Fármaco de elección</w:t>
            </w:r>
          </w:p>
        </w:tc>
        <w:tc>
          <w:tcPr>
            <w:tcW w:w="2232" w:type="dxa"/>
            <w:shd w:val="clear" w:color="auto" w:fill="FFFFFF"/>
          </w:tcPr>
          <w:p w14:paraId="3278D9E6" w14:textId="77777777" w:rsidR="00924992" w:rsidRDefault="00924992">
            <w:pPr>
              <w:pStyle w:val="Other0"/>
              <w:spacing w:line="240" w:lineRule="auto"/>
              <w:ind w:firstLine="0"/>
              <w:jc w:val="right"/>
              <w:rPr>
                <w:sz w:val="16"/>
                <w:szCs w:val="16"/>
              </w:rPr>
            </w:pPr>
            <w:r>
              <w:rPr>
                <w:rFonts w:ascii="Times New Roman" w:eastAsia="Times New Roman" w:hAnsi="Times New Roman" w:cs="Times New Roman"/>
                <w:color w:val="000000"/>
                <w:sz w:val="16"/>
                <w:szCs w:val="16"/>
              </w:rPr>
              <w:t>Véase pie de cuadro 14</w:t>
            </w:r>
          </w:p>
        </w:tc>
      </w:tr>
    </w:tbl>
    <w:p w14:paraId="3DF74A11" w14:textId="77777777" w:rsidR="00924992" w:rsidRDefault="00924992">
      <w:pPr>
        <w:pStyle w:val="Tablecaption0"/>
        <w:spacing w:line="276" w:lineRule="auto"/>
        <w:ind w:left="0"/>
        <w:rPr>
          <w:sz w:val="16"/>
          <w:szCs w:val="16"/>
        </w:rPr>
      </w:pPr>
      <w:r>
        <w:rPr>
          <w:b/>
          <w:bCs/>
          <w:i/>
          <w:iCs/>
          <w:color w:val="000000"/>
          <w:sz w:val="17"/>
          <w:szCs w:val="17"/>
        </w:rPr>
        <w:t>Balamuthia mandrillaris</w:t>
      </w:r>
      <w:r>
        <w:rPr>
          <w:i/>
          <w:iCs/>
          <w:color w:val="000000"/>
        </w:rPr>
        <w:t>,</w:t>
      </w:r>
      <w:r>
        <w:rPr>
          <w:color w:val="000000"/>
          <w:sz w:val="16"/>
          <w:szCs w:val="16"/>
        </w:rPr>
        <w:t xml:space="preserve"> véase “AMIBIANA PRIMARIA, MENINGOENCEFALITIS” </w:t>
      </w:r>
      <w:r>
        <w:rPr>
          <w:b/>
          <w:bCs/>
          <w:color w:val="000000"/>
          <w:sz w:val="16"/>
          <w:szCs w:val="16"/>
        </w:rPr>
        <w:t xml:space="preserve">BALANTIDIASIS </w:t>
      </w:r>
      <w:r>
        <w:rPr>
          <w:i/>
          <w:iCs/>
          <w:color w:val="000000"/>
          <w:sz w:val="16"/>
          <w:szCs w:val="16"/>
        </w:rPr>
        <w:t>(Balantidium coli)</w:t>
      </w:r>
    </w:p>
    <w:p w14:paraId="52E146BD" w14:textId="77777777" w:rsidR="00924992" w:rsidRDefault="00924992">
      <w:pPr>
        <w:spacing w:line="1" w:lineRule="exact"/>
      </w:pPr>
    </w:p>
    <w:tbl>
      <w:tblPr>
        <w:tblOverlap w:val="never"/>
        <w:tblW w:w="0" w:type="auto"/>
        <w:tblLayout w:type="fixed"/>
        <w:tblCellMar>
          <w:left w:w="10" w:type="dxa"/>
          <w:right w:w="10" w:type="dxa"/>
        </w:tblCellMar>
        <w:tblLook w:val="04A0" w:firstRow="1" w:lastRow="0" w:firstColumn="1" w:lastColumn="0" w:noHBand="0" w:noVBand="1"/>
      </w:tblPr>
      <w:tblGrid>
        <w:gridCol w:w="2280"/>
        <w:gridCol w:w="2237"/>
      </w:tblGrid>
      <w:tr w:rsidR="00924992" w14:paraId="4811703B" w14:textId="77777777">
        <w:tblPrEx>
          <w:tblCellMar>
            <w:top w:w="0" w:type="dxa"/>
            <w:bottom w:w="0" w:type="dxa"/>
          </w:tblCellMar>
        </w:tblPrEx>
        <w:trPr>
          <w:trHeight w:hRule="exact" w:val="235"/>
        </w:trPr>
        <w:tc>
          <w:tcPr>
            <w:tcW w:w="2280" w:type="dxa"/>
            <w:tcBorders>
              <w:bottom w:val="single" w:sz="4" w:space="0" w:color="auto"/>
            </w:tcBorders>
            <w:shd w:val="clear" w:color="auto" w:fill="FFFFFF"/>
          </w:tcPr>
          <w:p w14:paraId="2763B553" w14:textId="77777777" w:rsidR="00924992" w:rsidRDefault="00924992">
            <w:pPr>
              <w:pStyle w:val="Other0"/>
              <w:spacing w:line="240" w:lineRule="auto"/>
              <w:ind w:firstLine="0"/>
              <w:rPr>
                <w:sz w:val="16"/>
                <w:szCs w:val="16"/>
              </w:rPr>
            </w:pPr>
            <w:r>
              <w:rPr>
                <w:rFonts w:ascii="Times New Roman" w:eastAsia="Times New Roman" w:hAnsi="Times New Roman" w:cs="Times New Roman"/>
                <w:color w:val="000000"/>
                <w:sz w:val="16"/>
                <w:szCs w:val="16"/>
              </w:rPr>
              <w:t>Fármaco más indicado:</w:t>
            </w:r>
          </w:p>
        </w:tc>
        <w:tc>
          <w:tcPr>
            <w:tcW w:w="2237" w:type="dxa"/>
            <w:tcBorders>
              <w:bottom w:val="single" w:sz="4" w:space="0" w:color="auto"/>
            </w:tcBorders>
            <w:shd w:val="clear" w:color="auto" w:fill="FFFFFF"/>
          </w:tcPr>
          <w:p w14:paraId="373003E0" w14:textId="77777777" w:rsidR="00924992" w:rsidRDefault="00924992">
            <w:pPr>
              <w:pStyle w:val="Other0"/>
              <w:spacing w:line="240" w:lineRule="auto"/>
              <w:ind w:firstLine="0"/>
              <w:jc w:val="right"/>
              <w:rPr>
                <w:sz w:val="16"/>
                <w:szCs w:val="16"/>
              </w:rPr>
            </w:pPr>
            <w:r>
              <w:rPr>
                <w:rFonts w:ascii="Times New Roman" w:eastAsia="Times New Roman" w:hAnsi="Times New Roman" w:cs="Times New Roman"/>
                <w:color w:val="000000"/>
                <w:sz w:val="16"/>
                <w:szCs w:val="16"/>
              </w:rPr>
              <w:t>Véase pie de cuadro 17</w:t>
            </w:r>
          </w:p>
        </w:tc>
      </w:tr>
    </w:tbl>
    <w:p w14:paraId="600B68B0" w14:textId="77777777" w:rsidR="00924992" w:rsidRDefault="00924992">
      <w:pPr>
        <w:sectPr w:rsidR="00924992" w:rsidSect="00924992">
          <w:pgSz w:w="13022" w:h="8501" w:orient="landscape"/>
          <w:pgMar w:top="494" w:right="676" w:bottom="894" w:left="614" w:header="66" w:footer="3" w:gutter="0"/>
          <w:cols w:space="720"/>
          <w:noEndnote/>
          <w:docGrid w:linePitch="360"/>
          <w15:footnoteColumns w:val="1"/>
        </w:sectPr>
      </w:pPr>
    </w:p>
    <w:p w14:paraId="30BC1F4D" w14:textId="77777777" w:rsidR="00924992" w:rsidRDefault="00924992">
      <w:pPr>
        <w:spacing w:line="1" w:lineRule="exact"/>
      </w:pPr>
      <w:r>
        <w:rPr>
          <w:noProof/>
        </w:rPr>
        <mc:AlternateContent>
          <mc:Choice Requires="wps">
            <w:drawing>
              <wp:anchor distT="0" distB="274320" distL="114300" distR="114300" simplePos="0" relativeHeight="251696128" behindDoc="0" locked="0" layoutInCell="1" allowOverlap="1" wp14:anchorId="50285006" wp14:editId="3592DB2F">
                <wp:simplePos x="0" y="0"/>
                <wp:positionH relativeFrom="page">
                  <wp:posOffset>363220</wp:posOffset>
                </wp:positionH>
                <wp:positionV relativeFrom="paragraph">
                  <wp:posOffset>234950</wp:posOffset>
                </wp:positionV>
                <wp:extent cx="7260590" cy="2176145"/>
                <wp:effectExtent l="0" t="0" r="0" b="0"/>
                <wp:wrapTopAndBottom/>
                <wp:docPr id="2358" name="Shape 2358"/>
                <wp:cNvGraphicFramePr/>
                <a:graphic xmlns:a="http://schemas.openxmlformats.org/drawingml/2006/main">
                  <a:graphicData uri="http://schemas.microsoft.com/office/word/2010/wordprocessingShape">
                    <wps:wsp>
                      <wps:cNvSpPr txBox="1"/>
                      <wps:spPr>
                        <a:xfrm>
                          <a:off x="0" y="0"/>
                          <a:ext cx="7260590" cy="2176145"/>
                        </a:xfrm>
                        <a:prstGeom prst="rect">
                          <a:avLst/>
                        </a:prstGeom>
                        <a:noFill/>
                      </wps:spPr>
                      <wps:txbx>
                        <w:txbxContent>
                          <w:tbl>
                            <w:tblPr>
                              <w:tblOverlap w:val="never"/>
                              <w:tblW w:w="0" w:type="auto"/>
                              <w:tblLayout w:type="fixed"/>
                              <w:tblCellMar>
                                <w:left w:w="10" w:type="dxa"/>
                                <w:right w:w="10" w:type="dxa"/>
                              </w:tblCellMar>
                              <w:tblLook w:val="04A0" w:firstRow="1" w:lastRow="0" w:firstColumn="1" w:lastColumn="0" w:noHBand="0" w:noVBand="1"/>
                            </w:tblPr>
                            <w:tblGrid>
                              <w:gridCol w:w="2726"/>
                              <w:gridCol w:w="2390"/>
                              <w:gridCol w:w="3245"/>
                              <w:gridCol w:w="3072"/>
                            </w:tblGrid>
                            <w:tr w:rsidR="00924992" w14:paraId="4FF1F248" w14:textId="77777777">
                              <w:tblPrEx>
                                <w:tblCellMar>
                                  <w:top w:w="0" w:type="dxa"/>
                                  <w:bottom w:w="0" w:type="dxa"/>
                                </w:tblCellMar>
                              </w:tblPrEx>
                              <w:trPr>
                                <w:trHeight w:hRule="exact" w:val="278"/>
                                <w:tblHeader/>
                              </w:trPr>
                              <w:tc>
                                <w:tcPr>
                                  <w:tcW w:w="2726" w:type="dxa"/>
                                  <w:shd w:val="clear" w:color="auto" w:fill="000000"/>
                                </w:tcPr>
                                <w:p w14:paraId="4C609C09" w14:textId="77777777" w:rsidR="00924992" w:rsidRDefault="00924992">
                                  <w:pPr>
                                    <w:pStyle w:val="Other0"/>
                                    <w:pBdr>
                                      <w:top w:val="single" w:sz="0" w:space="0" w:color="000000"/>
                                      <w:left w:val="single" w:sz="0" w:space="0" w:color="000000"/>
                                      <w:bottom w:val="single" w:sz="0" w:space="0" w:color="000000"/>
                                      <w:right w:val="single" w:sz="0" w:space="0" w:color="000000"/>
                                    </w:pBdr>
                                    <w:shd w:val="clear" w:color="auto" w:fill="000000"/>
                                    <w:spacing w:line="240" w:lineRule="auto"/>
                                    <w:ind w:firstLine="0"/>
                                    <w:rPr>
                                      <w:sz w:val="24"/>
                                      <w:szCs w:val="24"/>
                                    </w:rPr>
                                  </w:pPr>
                                  <w:r>
                                    <w:rPr>
                                      <w:rFonts w:ascii="Arial" w:eastAsia="Arial" w:hAnsi="Arial" w:cs="Arial"/>
                                      <w:b/>
                                      <w:bCs/>
                                      <w:color w:val="FFFFFF"/>
                                      <w:w w:val="70"/>
                                      <w:sz w:val="24"/>
                                      <w:szCs w:val="24"/>
                                    </w:rPr>
                                    <w:t>Infección</w:t>
                                  </w:r>
                                </w:p>
                              </w:tc>
                              <w:tc>
                                <w:tcPr>
                                  <w:tcW w:w="2390" w:type="dxa"/>
                                  <w:shd w:val="clear" w:color="auto" w:fill="000000"/>
                                </w:tcPr>
                                <w:p w14:paraId="314EDD50" w14:textId="77777777" w:rsidR="00924992" w:rsidRDefault="00924992">
                                  <w:pPr>
                                    <w:pStyle w:val="Other0"/>
                                    <w:pBdr>
                                      <w:top w:val="single" w:sz="0" w:space="0" w:color="000000"/>
                                      <w:left w:val="single" w:sz="0" w:space="0" w:color="000000"/>
                                      <w:bottom w:val="single" w:sz="0" w:space="0" w:color="000000"/>
                                      <w:right w:val="single" w:sz="0" w:space="0" w:color="000000"/>
                                    </w:pBdr>
                                    <w:shd w:val="clear" w:color="auto" w:fill="000000"/>
                                    <w:spacing w:line="240" w:lineRule="auto"/>
                                    <w:ind w:firstLine="160"/>
                                    <w:rPr>
                                      <w:sz w:val="24"/>
                                      <w:szCs w:val="24"/>
                                    </w:rPr>
                                  </w:pPr>
                                  <w:r>
                                    <w:rPr>
                                      <w:rFonts w:ascii="Arial" w:eastAsia="Arial" w:hAnsi="Arial" w:cs="Arial"/>
                                      <w:b/>
                                      <w:bCs/>
                                      <w:color w:val="FFFFFF"/>
                                      <w:w w:val="70"/>
                                      <w:sz w:val="24"/>
                                      <w:szCs w:val="24"/>
                                    </w:rPr>
                                    <w:t>Fármaco</w:t>
                                  </w:r>
                                </w:p>
                              </w:tc>
                              <w:tc>
                                <w:tcPr>
                                  <w:tcW w:w="3245" w:type="dxa"/>
                                  <w:shd w:val="clear" w:color="auto" w:fill="000000"/>
                                </w:tcPr>
                                <w:p w14:paraId="398D09F3" w14:textId="77777777" w:rsidR="00924992" w:rsidRDefault="00924992">
                                  <w:pPr>
                                    <w:pStyle w:val="Other0"/>
                                    <w:pBdr>
                                      <w:top w:val="single" w:sz="0" w:space="0" w:color="000000"/>
                                      <w:left w:val="single" w:sz="0" w:space="0" w:color="000000"/>
                                      <w:bottom w:val="single" w:sz="0" w:space="0" w:color="000000"/>
                                      <w:right w:val="single" w:sz="0" w:space="0" w:color="000000"/>
                                    </w:pBdr>
                                    <w:shd w:val="clear" w:color="auto" w:fill="000000"/>
                                    <w:spacing w:line="240" w:lineRule="auto"/>
                                    <w:ind w:firstLine="560"/>
                                    <w:rPr>
                                      <w:sz w:val="24"/>
                                      <w:szCs w:val="24"/>
                                    </w:rPr>
                                  </w:pPr>
                                  <w:r>
                                    <w:rPr>
                                      <w:rFonts w:ascii="Arial" w:eastAsia="Arial" w:hAnsi="Arial" w:cs="Arial"/>
                                      <w:b/>
                                      <w:bCs/>
                                      <w:color w:val="FFFFFF"/>
                                      <w:w w:val="70"/>
                                      <w:sz w:val="24"/>
                                      <w:szCs w:val="24"/>
                                    </w:rPr>
                                    <w:t>Dosis para adultos</w:t>
                                  </w:r>
                                </w:p>
                              </w:tc>
                              <w:tc>
                                <w:tcPr>
                                  <w:tcW w:w="3072" w:type="dxa"/>
                                  <w:shd w:val="clear" w:color="auto" w:fill="000000"/>
                                </w:tcPr>
                                <w:p w14:paraId="72C3787B" w14:textId="77777777" w:rsidR="00924992" w:rsidRDefault="00924992">
                                  <w:pPr>
                                    <w:pStyle w:val="Other0"/>
                                    <w:pBdr>
                                      <w:top w:val="single" w:sz="0" w:space="0" w:color="000000"/>
                                      <w:left w:val="single" w:sz="0" w:space="0" w:color="000000"/>
                                      <w:bottom w:val="single" w:sz="0" w:space="0" w:color="000000"/>
                                      <w:right w:val="single" w:sz="0" w:space="0" w:color="000000"/>
                                    </w:pBdr>
                                    <w:shd w:val="clear" w:color="auto" w:fill="000000"/>
                                    <w:tabs>
                                      <w:tab w:val="left" w:pos="3007"/>
                                    </w:tabs>
                                    <w:spacing w:line="240" w:lineRule="auto"/>
                                    <w:ind w:left="180" w:firstLine="0"/>
                                    <w:rPr>
                                      <w:sz w:val="24"/>
                                      <w:szCs w:val="24"/>
                                    </w:rPr>
                                  </w:pPr>
                                  <w:r>
                                    <w:rPr>
                                      <w:rFonts w:ascii="Arial" w:eastAsia="Arial" w:hAnsi="Arial" w:cs="Arial"/>
                                      <w:b/>
                                      <w:bCs/>
                                      <w:color w:val="FFFFFF"/>
                                      <w:w w:val="70"/>
                                      <w:sz w:val="24"/>
                                      <w:szCs w:val="24"/>
                                    </w:rPr>
                                    <w:t>Dosis para niños</w:t>
                                  </w:r>
                                  <w:r>
                                    <w:rPr>
                                      <w:rFonts w:ascii="Arial" w:eastAsia="Arial" w:hAnsi="Arial" w:cs="Arial"/>
                                      <w:b/>
                                      <w:bCs/>
                                      <w:color w:val="FFFFFF"/>
                                      <w:w w:val="70"/>
                                      <w:sz w:val="24"/>
                                      <w:szCs w:val="24"/>
                                    </w:rPr>
                                    <w:tab/>
                                    <w:t>I</w:t>
                                  </w:r>
                                </w:p>
                              </w:tc>
                            </w:tr>
                            <w:tr w:rsidR="00924992" w14:paraId="060333C1" w14:textId="77777777">
                              <w:tblPrEx>
                                <w:tblCellMar>
                                  <w:top w:w="0" w:type="dxa"/>
                                  <w:bottom w:w="0" w:type="dxa"/>
                                </w:tblCellMar>
                              </w:tblPrEx>
                              <w:trPr>
                                <w:trHeight w:hRule="exact" w:val="950"/>
                              </w:trPr>
                              <w:tc>
                                <w:tcPr>
                                  <w:tcW w:w="2726" w:type="dxa"/>
                                  <w:shd w:val="clear" w:color="auto" w:fill="FFFFFF"/>
                                  <w:vAlign w:val="bottom"/>
                                </w:tcPr>
                                <w:p w14:paraId="0FE887B4" w14:textId="77777777" w:rsidR="00924992" w:rsidRDefault="00924992">
                                  <w:pPr>
                                    <w:pStyle w:val="Other0"/>
                                    <w:spacing w:line="240" w:lineRule="auto"/>
                                    <w:ind w:firstLine="0"/>
                                    <w:rPr>
                                      <w:sz w:val="16"/>
                                      <w:szCs w:val="16"/>
                                    </w:rPr>
                                  </w:pPr>
                                  <w:r>
                                    <w:rPr>
                                      <w:rFonts w:ascii="Times New Roman" w:eastAsia="Times New Roman" w:hAnsi="Times New Roman" w:cs="Times New Roman"/>
                                      <w:b/>
                                      <w:bCs/>
                                      <w:color w:val="000000"/>
                                      <w:sz w:val="16"/>
                                      <w:szCs w:val="16"/>
                                    </w:rPr>
                                    <w:t>CUTÁNEA, LARVA MIGRANS</w:t>
                                  </w:r>
                                </w:p>
                                <w:p w14:paraId="66AACC2B" w14:textId="77777777" w:rsidR="00924992" w:rsidRDefault="00924992">
                                  <w:pPr>
                                    <w:pStyle w:val="Other0"/>
                                    <w:spacing w:line="240" w:lineRule="auto"/>
                                    <w:ind w:firstLine="160"/>
                                    <w:rPr>
                                      <w:sz w:val="16"/>
                                      <w:szCs w:val="16"/>
                                    </w:rPr>
                                  </w:pPr>
                                  <w:r>
                                    <w:rPr>
                                      <w:rFonts w:ascii="Times New Roman" w:eastAsia="Times New Roman" w:hAnsi="Times New Roman" w:cs="Times New Roman"/>
                                      <w:color w:val="000000"/>
                                      <w:sz w:val="16"/>
                                      <w:szCs w:val="16"/>
                                    </w:rPr>
                                    <w:t>Fármaco más indicado:</w:t>
                                  </w:r>
                                  <w:r>
                                    <w:rPr>
                                      <w:rFonts w:ascii="Times New Roman" w:eastAsia="Times New Roman" w:hAnsi="Times New Roman" w:cs="Times New Roman"/>
                                      <w:color w:val="000000"/>
                                      <w:sz w:val="16"/>
                                      <w:szCs w:val="16"/>
                                      <w:vertAlign w:val="superscript"/>
                                    </w:rPr>
                                    <w:t xml:space="preserve">    </w:t>
                                  </w:r>
                                </w:p>
                                <w:p w14:paraId="41678E46" w14:textId="77777777" w:rsidR="00924992" w:rsidRDefault="00924992">
                                  <w:pPr>
                                    <w:pStyle w:val="Other0"/>
                                    <w:spacing w:line="240" w:lineRule="auto"/>
                                    <w:ind w:firstLine="160"/>
                                    <w:rPr>
                                      <w:sz w:val="16"/>
                                      <w:szCs w:val="16"/>
                                    </w:rPr>
                                  </w:pPr>
                                  <w:r>
                                    <w:rPr>
                                      <w:rFonts w:ascii="Times New Roman" w:eastAsia="Times New Roman" w:hAnsi="Times New Roman" w:cs="Times New Roman"/>
                                      <w:b/>
                                      <w:bCs/>
                                      <w:color w:val="000000"/>
                                      <w:sz w:val="16"/>
                                      <w:szCs w:val="16"/>
                                    </w:rPr>
                                    <w:t>O</w:t>
                                  </w:r>
                                </w:p>
                                <w:p w14:paraId="3CC9E88C" w14:textId="77777777" w:rsidR="00924992" w:rsidRDefault="00924992">
                                  <w:pPr>
                                    <w:pStyle w:val="Other0"/>
                                    <w:spacing w:line="240" w:lineRule="auto"/>
                                    <w:ind w:firstLine="160"/>
                                    <w:rPr>
                                      <w:sz w:val="16"/>
                                      <w:szCs w:val="16"/>
                                    </w:rPr>
                                  </w:pPr>
                                  <w:r>
                                    <w:rPr>
                                      <w:rFonts w:ascii="Times New Roman" w:eastAsia="Times New Roman" w:hAnsi="Times New Roman" w:cs="Times New Roman"/>
                                      <w:b/>
                                      <w:bCs/>
                                      <w:color w:val="000000"/>
                                      <w:sz w:val="16"/>
                                      <w:szCs w:val="16"/>
                                    </w:rPr>
                                    <w:t>O</w:t>
                                  </w:r>
                                </w:p>
                              </w:tc>
                              <w:tc>
                                <w:tcPr>
                                  <w:tcW w:w="2390" w:type="dxa"/>
                                  <w:shd w:val="clear" w:color="auto" w:fill="FFFFFF"/>
                                  <w:vAlign w:val="bottom"/>
                                </w:tcPr>
                                <w:p w14:paraId="28EB29E3" w14:textId="77777777" w:rsidR="00924992" w:rsidRDefault="00924992">
                                  <w:pPr>
                                    <w:pStyle w:val="Other0"/>
                                    <w:spacing w:line="240" w:lineRule="auto"/>
                                    <w:ind w:firstLine="160"/>
                                    <w:rPr>
                                      <w:sz w:val="16"/>
                                      <w:szCs w:val="16"/>
                                    </w:rPr>
                                  </w:pPr>
                                  <w:r>
                                    <w:rPr>
                                      <w:rFonts w:ascii="Times New Roman" w:eastAsia="Times New Roman" w:hAnsi="Times New Roman" w:cs="Times New Roman"/>
                                      <w:color w:val="000000"/>
                                      <w:sz w:val="16"/>
                                      <w:szCs w:val="16"/>
                                    </w:rPr>
                                    <w:t>(erupción reptante, uncinariasis</w:t>
                                  </w:r>
                                </w:p>
                                <w:p w14:paraId="60B2B9F0" w14:textId="77777777" w:rsidR="00924992" w:rsidRDefault="00924992">
                                  <w:pPr>
                                    <w:pStyle w:val="Other0"/>
                                    <w:spacing w:line="240" w:lineRule="auto"/>
                                    <w:ind w:firstLine="160"/>
                                    <w:rPr>
                                      <w:sz w:val="16"/>
                                      <w:szCs w:val="16"/>
                                    </w:rPr>
                                  </w:pPr>
                                  <w:r>
                                    <w:rPr>
                                      <w:rFonts w:ascii="Times New Roman" w:eastAsia="Times New Roman" w:hAnsi="Times New Roman" w:cs="Times New Roman"/>
                                      <w:color w:val="000000"/>
                                      <w:sz w:val="16"/>
                                      <w:szCs w:val="16"/>
                                    </w:rPr>
                                    <w:t>Albendazol</w:t>
                                  </w:r>
                                  <w:r>
                                    <w:rPr>
                                      <w:rFonts w:ascii="Times New Roman" w:eastAsia="Times New Roman" w:hAnsi="Times New Roman" w:cs="Times New Roman"/>
                                      <w:color w:val="000000"/>
                                      <w:sz w:val="16"/>
                                      <w:szCs w:val="16"/>
                                      <w:vertAlign w:val="superscript"/>
                                    </w:rPr>
                                    <w:t>3</w:t>
                                  </w:r>
                                </w:p>
                                <w:p w14:paraId="4394092C" w14:textId="77777777" w:rsidR="00924992" w:rsidRDefault="00924992">
                                  <w:pPr>
                                    <w:pStyle w:val="Other0"/>
                                    <w:spacing w:line="240" w:lineRule="auto"/>
                                    <w:ind w:firstLine="160"/>
                                    <w:rPr>
                                      <w:sz w:val="16"/>
                                      <w:szCs w:val="16"/>
                                    </w:rPr>
                                  </w:pPr>
                                  <w:r>
                                    <w:rPr>
                                      <w:rFonts w:ascii="Times New Roman" w:eastAsia="Times New Roman" w:hAnsi="Times New Roman" w:cs="Times New Roman"/>
                                      <w:color w:val="000000"/>
                                      <w:sz w:val="16"/>
                                      <w:szCs w:val="16"/>
                                    </w:rPr>
                                    <w:t>Ivermectina</w:t>
                                  </w:r>
                                  <w:r>
                                    <w:rPr>
                                      <w:rFonts w:ascii="Times New Roman" w:eastAsia="Times New Roman" w:hAnsi="Times New Roman" w:cs="Times New Roman"/>
                                      <w:color w:val="000000"/>
                                      <w:sz w:val="16"/>
                                      <w:szCs w:val="16"/>
                                      <w:vertAlign w:val="superscript"/>
                                    </w:rPr>
                                    <w:t>3</w:t>
                                  </w:r>
                                </w:p>
                                <w:p w14:paraId="2130C6C9" w14:textId="77777777" w:rsidR="00924992" w:rsidRDefault="00924992">
                                  <w:pPr>
                                    <w:pStyle w:val="Other0"/>
                                    <w:spacing w:line="240" w:lineRule="auto"/>
                                    <w:ind w:firstLine="160"/>
                                    <w:rPr>
                                      <w:sz w:val="16"/>
                                      <w:szCs w:val="16"/>
                                    </w:rPr>
                                  </w:pPr>
                                  <w:r>
                                    <w:rPr>
                                      <w:rFonts w:ascii="Times New Roman" w:eastAsia="Times New Roman" w:hAnsi="Times New Roman" w:cs="Times New Roman"/>
                                      <w:color w:val="000000"/>
                                      <w:sz w:val="16"/>
                                      <w:szCs w:val="16"/>
                                    </w:rPr>
                                    <w:t>Tiabendazol</w:t>
                                  </w:r>
                                </w:p>
                              </w:tc>
                              <w:tc>
                                <w:tcPr>
                                  <w:tcW w:w="3245" w:type="dxa"/>
                                  <w:shd w:val="clear" w:color="auto" w:fill="FFFFFF"/>
                                  <w:vAlign w:val="bottom"/>
                                </w:tcPr>
                                <w:p w14:paraId="6746D2C7" w14:textId="77777777" w:rsidR="00924992" w:rsidRDefault="00924992">
                                  <w:pPr>
                                    <w:pStyle w:val="Other0"/>
                                    <w:spacing w:line="283" w:lineRule="auto"/>
                                    <w:ind w:firstLine="0"/>
                                    <w:rPr>
                                      <w:sz w:val="16"/>
                                      <w:szCs w:val="16"/>
                                    </w:rPr>
                                  </w:pPr>
                                  <w:r>
                                    <w:rPr>
                                      <w:rFonts w:ascii="Times New Roman" w:eastAsia="Times New Roman" w:hAnsi="Times New Roman" w:cs="Times New Roman"/>
                                      <w:color w:val="000000"/>
                                      <w:sz w:val="16"/>
                                      <w:szCs w:val="16"/>
                                    </w:rPr>
                                    <w:t>de gatos y perros)</w:t>
                                  </w:r>
                                </w:p>
                                <w:p w14:paraId="2310FA41" w14:textId="77777777" w:rsidR="00924992" w:rsidRDefault="00924992">
                                  <w:pPr>
                                    <w:pStyle w:val="Other0"/>
                                    <w:spacing w:line="283" w:lineRule="auto"/>
                                    <w:ind w:firstLine="560"/>
                                    <w:rPr>
                                      <w:sz w:val="16"/>
                                      <w:szCs w:val="16"/>
                                    </w:rPr>
                                  </w:pPr>
                                  <w:r>
                                    <w:rPr>
                                      <w:rFonts w:ascii="Times New Roman" w:eastAsia="Times New Roman" w:hAnsi="Times New Roman" w:cs="Times New Roman"/>
                                      <w:color w:val="000000"/>
                                      <w:sz w:val="16"/>
                                      <w:szCs w:val="16"/>
                                    </w:rPr>
                                    <w:t xml:space="preserve">400 mg diarios </w:t>
                                  </w:r>
                                  <w:r>
                                    <w:rPr>
                                      <w:rFonts w:ascii="Arial" w:eastAsia="Arial" w:hAnsi="Arial" w:cs="Arial"/>
                                      <w:color w:val="000000"/>
                                      <w:sz w:val="14"/>
                                      <w:szCs w:val="14"/>
                                    </w:rPr>
                                    <w:t xml:space="preserve">x </w:t>
                                  </w:r>
                                  <w:r>
                                    <w:rPr>
                                      <w:rFonts w:ascii="Times New Roman" w:eastAsia="Times New Roman" w:hAnsi="Times New Roman" w:cs="Times New Roman"/>
                                      <w:color w:val="000000"/>
                                      <w:sz w:val="16"/>
                                      <w:szCs w:val="16"/>
                                    </w:rPr>
                                    <w:t>3 días</w:t>
                                  </w:r>
                                </w:p>
                                <w:p w14:paraId="5D5D60E9" w14:textId="77777777" w:rsidR="00924992" w:rsidRDefault="00924992">
                                  <w:pPr>
                                    <w:pStyle w:val="Other0"/>
                                    <w:spacing w:line="283" w:lineRule="auto"/>
                                    <w:ind w:left="560" w:firstLine="0"/>
                                    <w:rPr>
                                      <w:sz w:val="16"/>
                                      <w:szCs w:val="16"/>
                                    </w:rPr>
                                  </w:pPr>
                                  <w:r>
                                    <w:rPr>
                                      <w:rFonts w:ascii="Times New Roman" w:eastAsia="Times New Roman" w:hAnsi="Times New Roman" w:cs="Times New Roman"/>
                                      <w:color w:val="000000"/>
                                      <w:sz w:val="16"/>
                                      <w:szCs w:val="16"/>
                                    </w:rPr>
                                    <w:t xml:space="preserve">200 pg/kg diarios </w:t>
                                  </w:r>
                                  <w:r>
                                    <w:rPr>
                                      <w:rFonts w:ascii="Arial" w:eastAsia="Arial" w:hAnsi="Arial" w:cs="Arial"/>
                                      <w:color w:val="000000"/>
                                      <w:sz w:val="14"/>
                                      <w:szCs w:val="14"/>
                                    </w:rPr>
                                    <w:t xml:space="preserve">x </w:t>
                                  </w:r>
                                  <w:r>
                                    <w:rPr>
                                      <w:rFonts w:ascii="Times New Roman" w:eastAsia="Times New Roman" w:hAnsi="Times New Roman" w:cs="Times New Roman"/>
                                      <w:color w:val="000000"/>
                                      <w:sz w:val="16"/>
                                      <w:szCs w:val="16"/>
                                    </w:rPr>
                                    <w:t>1-2 días Aplicación tópica</w:t>
                                  </w:r>
                                </w:p>
                              </w:tc>
                              <w:tc>
                                <w:tcPr>
                                  <w:tcW w:w="3072" w:type="dxa"/>
                                  <w:shd w:val="clear" w:color="auto" w:fill="FFFFFF"/>
                                  <w:vAlign w:val="bottom"/>
                                </w:tcPr>
                                <w:p w14:paraId="625BA78E" w14:textId="77777777" w:rsidR="00924992" w:rsidRDefault="00924992">
                                  <w:pPr>
                                    <w:pStyle w:val="Other0"/>
                                    <w:spacing w:line="283" w:lineRule="auto"/>
                                    <w:ind w:left="180" w:firstLine="0"/>
                                    <w:rPr>
                                      <w:sz w:val="16"/>
                                      <w:szCs w:val="16"/>
                                    </w:rPr>
                                  </w:pPr>
                                  <w:r>
                                    <w:rPr>
                                      <w:rFonts w:ascii="Times New Roman" w:eastAsia="Times New Roman" w:hAnsi="Times New Roman" w:cs="Times New Roman"/>
                                      <w:color w:val="000000"/>
                                      <w:sz w:val="16"/>
                                      <w:szCs w:val="16"/>
                                    </w:rPr>
                                    <w:t xml:space="preserve">400 mg diarios </w:t>
                                  </w:r>
                                  <w:r>
                                    <w:rPr>
                                      <w:rFonts w:ascii="Arial" w:eastAsia="Arial" w:hAnsi="Arial" w:cs="Arial"/>
                                      <w:color w:val="000000"/>
                                      <w:sz w:val="14"/>
                                      <w:szCs w:val="14"/>
                                    </w:rPr>
                                    <w:t xml:space="preserve">x </w:t>
                                  </w:r>
                                  <w:r>
                                    <w:rPr>
                                      <w:rFonts w:ascii="Times New Roman" w:eastAsia="Times New Roman" w:hAnsi="Times New Roman" w:cs="Times New Roman"/>
                                      <w:color w:val="000000"/>
                                      <w:sz w:val="16"/>
                                      <w:szCs w:val="16"/>
                                    </w:rPr>
                                    <w:t>3 días</w:t>
                                  </w:r>
                                </w:p>
                                <w:p w14:paraId="7137D56A" w14:textId="77777777" w:rsidR="00924992" w:rsidRDefault="00924992">
                                  <w:pPr>
                                    <w:pStyle w:val="Other0"/>
                                    <w:spacing w:line="283" w:lineRule="auto"/>
                                    <w:ind w:left="180" w:firstLine="0"/>
                                    <w:rPr>
                                      <w:sz w:val="16"/>
                                      <w:szCs w:val="16"/>
                                    </w:rPr>
                                  </w:pPr>
                                  <w:r>
                                    <w:rPr>
                                      <w:rFonts w:ascii="Times New Roman" w:eastAsia="Times New Roman" w:hAnsi="Times New Roman" w:cs="Times New Roman"/>
                                      <w:color w:val="000000"/>
                                      <w:sz w:val="16"/>
                                      <w:szCs w:val="16"/>
                                    </w:rPr>
                                    <w:t xml:space="preserve">200 </w:t>
                                  </w:r>
                                  <w:r>
                                    <w:rPr>
                                      <w:rFonts w:ascii="Times New Roman" w:eastAsia="Times New Roman" w:hAnsi="Times New Roman" w:cs="Times New Roman"/>
                                      <w:color w:val="000000"/>
                                      <w:sz w:val="20"/>
                                      <w:szCs w:val="20"/>
                                    </w:rPr>
                                    <w:t>p</w:t>
                                  </w:r>
                                  <w:r>
                                    <w:rPr>
                                      <w:rFonts w:ascii="Times New Roman" w:eastAsia="Times New Roman" w:hAnsi="Times New Roman" w:cs="Times New Roman"/>
                                      <w:color w:val="000000"/>
                                      <w:sz w:val="16"/>
                                      <w:szCs w:val="16"/>
                                    </w:rPr>
                                    <w:t xml:space="preserve">g/kg diarios </w:t>
                                  </w:r>
                                  <w:r>
                                    <w:rPr>
                                      <w:rFonts w:ascii="Arial" w:eastAsia="Arial" w:hAnsi="Arial" w:cs="Arial"/>
                                      <w:color w:val="000000"/>
                                      <w:sz w:val="14"/>
                                      <w:szCs w:val="14"/>
                                    </w:rPr>
                                    <w:t xml:space="preserve">x </w:t>
                                  </w:r>
                                  <w:r>
                                    <w:rPr>
                                      <w:rFonts w:ascii="Times New Roman" w:eastAsia="Times New Roman" w:hAnsi="Times New Roman" w:cs="Times New Roman"/>
                                      <w:color w:val="000000"/>
                                      <w:sz w:val="16"/>
                                      <w:szCs w:val="16"/>
                                    </w:rPr>
                                    <w:t>1-2 días Aplicación tópica</w:t>
                                  </w:r>
                                </w:p>
                              </w:tc>
                            </w:tr>
                            <w:tr w:rsidR="00924992" w14:paraId="7633D6BE" w14:textId="77777777">
                              <w:tblPrEx>
                                <w:tblCellMar>
                                  <w:top w:w="0" w:type="dxa"/>
                                  <w:bottom w:w="0" w:type="dxa"/>
                                </w:tblCellMar>
                              </w:tblPrEx>
                              <w:trPr>
                                <w:trHeight w:hRule="exact" w:val="206"/>
                              </w:trPr>
                              <w:tc>
                                <w:tcPr>
                                  <w:tcW w:w="2726" w:type="dxa"/>
                                  <w:shd w:val="clear" w:color="auto" w:fill="FFFFFF"/>
                                  <w:vAlign w:val="bottom"/>
                                </w:tcPr>
                                <w:p w14:paraId="43E52A7C" w14:textId="77777777" w:rsidR="00924992" w:rsidRDefault="00924992">
                                  <w:pPr>
                                    <w:pStyle w:val="Other0"/>
                                    <w:spacing w:line="240" w:lineRule="auto"/>
                                    <w:ind w:firstLine="0"/>
                                    <w:rPr>
                                      <w:sz w:val="16"/>
                                      <w:szCs w:val="16"/>
                                    </w:rPr>
                                  </w:pPr>
                                  <w:r>
                                    <w:rPr>
                                      <w:rFonts w:ascii="Times New Roman" w:eastAsia="Times New Roman" w:hAnsi="Times New Roman" w:cs="Times New Roman"/>
                                      <w:b/>
                                      <w:bCs/>
                                      <w:i/>
                                      <w:iCs/>
                                      <w:color w:val="000000"/>
                                      <w:sz w:val="17"/>
                                      <w:szCs w:val="17"/>
                                    </w:rPr>
                                    <w:t>CYCLOSPORA</w:t>
                                  </w:r>
                                  <w:r>
                                    <w:rPr>
                                      <w:rFonts w:ascii="Times New Roman" w:eastAsia="Times New Roman" w:hAnsi="Times New Roman" w:cs="Times New Roman"/>
                                      <w:i/>
                                      <w:iCs/>
                                      <w:color w:val="000000"/>
                                      <w:sz w:val="15"/>
                                      <w:szCs w:val="15"/>
                                    </w:rPr>
                                    <w:t>,</w:t>
                                  </w:r>
                                  <w:r>
                                    <w:rPr>
                                      <w:rFonts w:ascii="Times New Roman" w:eastAsia="Times New Roman" w:hAnsi="Times New Roman" w:cs="Times New Roman"/>
                                      <w:color w:val="000000"/>
                                      <w:sz w:val="16"/>
                                      <w:szCs w:val="16"/>
                                    </w:rPr>
                                    <w:t xml:space="preserve"> infección por</w:t>
                                  </w:r>
                                </w:p>
                              </w:tc>
                              <w:tc>
                                <w:tcPr>
                                  <w:tcW w:w="8707" w:type="dxa"/>
                                  <w:gridSpan w:val="3"/>
                                  <w:shd w:val="clear" w:color="auto" w:fill="FFFFFF"/>
                                </w:tcPr>
                                <w:p w14:paraId="499BB9CD" w14:textId="77777777" w:rsidR="00924992" w:rsidRDefault="00924992">
                                  <w:pPr>
                                    <w:rPr>
                                      <w:sz w:val="10"/>
                                      <w:szCs w:val="10"/>
                                    </w:rPr>
                                  </w:pPr>
                                </w:p>
                              </w:tc>
                            </w:tr>
                            <w:tr w:rsidR="00924992" w14:paraId="5C5410CB" w14:textId="77777777">
                              <w:tblPrEx>
                                <w:tblCellMar>
                                  <w:top w:w="0" w:type="dxa"/>
                                  <w:bottom w:w="0" w:type="dxa"/>
                                </w:tblCellMar>
                              </w:tblPrEx>
                              <w:trPr>
                                <w:trHeight w:hRule="exact" w:val="437"/>
                              </w:trPr>
                              <w:tc>
                                <w:tcPr>
                                  <w:tcW w:w="2726" w:type="dxa"/>
                                  <w:shd w:val="clear" w:color="auto" w:fill="FFFFFF"/>
                                </w:tcPr>
                                <w:p w14:paraId="3DC23F18" w14:textId="77777777" w:rsidR="00924992" w:rsidRDefault="00924992">
                                  <w:pPr>
                                    <w:pStyle w:val="Other0"/>
                                    <w:spacing w:line="240" w:lineRule="auto"/>
                                    <w:ind w:firstLine="160"/>
                                    <w:rPr>
                                      <w:sz w:val="16"/>
                                      <w:szCs w:val="16"/>
                                    </w:rPr>
                                  </w:pPr>
                                  <w:r>
                                    <w:rPr>
                                      <w:rFonts w:ascii="Times New Roman" w:eastAsia="Times New Roman" w:hAnsi="Times New Roman" w:cs="Times New Roman"/>
                                      <w:color w:val="000000"/>
                                      <w:sz w:val="16"/>
                                      <w:szCs w:val="16"/>
                                    </w:rPr>
                                    <w:t>Fármaco más indicado</w:t>
                                  </w:r>
                                  <w:r>
                                    <w:rPr>
                                      <w:rFonts w:ascii="Times New Roman" w:eastAsia="Times New Roman" w:hAnsi="Times New Roman" w:cs="Times New Roman"/>
                                      <w:color w:val="000000"/>
                                      <w:sz w:val="16"/>
                                      <w:szCs w:val="16"/>
                                      <w:vertAlign w:val="superscript"/>
                                    </w:rPr>
                                    <w:t>:19</w:t>
                                  </w:r>
                                </w:p>
                              </w:tc>
                              <w:tc>
                                <w:tcPr>
                                  <w:tcW w:w="2390" w:type="dxa"/>
                                  <w:shd w:val="clear" w:color="auto" w:fill="FFFFFF"/>
                                </w:tcPr>
                                <w:p w14:paraId="5FFB5029" w14:textId="77777777" w:rsidR="00924992" w:rsidRDefault="00924992">
                                  <w:pPr>
                                    <w:pStyle w:val="Other0"/>
                                    <w:spacing w:line="240" w:lineRule="auto"/>
                                    <w:ind w:firstLine="160"/>
                                    <w:rPr>
                                      <w:sz w:val="16"/>
                                      <w:szCs w:val="16"/>
                                    </w:rPr>
                                  </w:pPr>
                                  <w:r>
                                    <w:rPr>
                                      <w:rFonts w:ascii="Times New Roman" w:eastAsia="Times New Roman" w:hAnsi="Times New Roman" w:cs="Times New Roman"/>
                                      <w:color w:val="000000"/>
                                      <w:sz w:val="16"/>
                                      <w:szCs w:val="16"/>
                                    </w:rPr>
                                    <w:t>Trimetoprim-sulfametoxazol</w:t>
                                  </w:r>
                                  <w:r>
                                    <w:rPr>
                                      <w:rFonts w:ascii="Times New Roman" w:eastAsia="Times New Roman" w:hAnsi="Times New Roman" w:cs="Times New Roman"/>
                                      <w:color w:val="000000"/>
                                      <w:sz w:val="16"/>
                                      <w:szCs w:val="16"/>
                                      <w:vertAlign w:val="superscript"/>
                                    </w:rPr>
                                    <w:t>3</w:t>
                                  </w:r>
                                </w:p>
                              </w:tc>
                              <w:tc>
                                <w:tcPr>
                                  <w:tcW w:w="3245" w:type="dxa"/>
                                  <w:shd w:val="clear" w:color="auto" w:fill="FFFFFF"/>
                                  <w:vAlign w:val="bottom"/>
                                </w:tcPr>
                                <w:p w14:paraId="473F29EF" w14:textId="77777777" w:rsidR="00924992" w:rsidRDefault="00924992">
                                  <w:pPr>
                                    <w:pStyle w:val="Other0"/>
                                    <w:spacing w:line="300" w:lineRule="auto"/>
                                    <w:ind w:left="660" w:hanging="100"/>
                                    <w:rPr>
                                      <w:sz w:val="16"/>
                                      <w:szCs w:val="16"/>
                                    </w:rPr>
                                  </w:pPr>
                                  <w:r>
                                    <w:rPr>
                                      <w:rFonts w:ascii="Times New Roman" w:eastAsia="Times New Roman" w:hAnsi="Times New Roman" w:cs="Times New Roman"/>
                                      <w:color w:val="000000"/>
                                      <w:sz w:val="16"/>
                                      <w:szCs w:val="16"/>
                                    </w:rPr>
                                    <w:t xml:space="preserve">TMP 160 mg SMX 800 mg bid </w:t>
                                  </w:r>
                                  <w:r>
                                    <w:rPr>
                                      <w:rFonts w:ascii="Arial" w:eastAsia="Arial" w:hAnsi="Arial" w:cs="Arial"/>
                                      <w:color w:val="000000"/>
                                      <w:sz w:val="14"/>
                                      <w:szCs w:val="14"/>
                                    </w:rPr>
                                    <w:t xml:space="preserve">x </w:t>
                                  </w:r>
                                  <w:r>
                                    <w:rPr>
                                      <w:rFonts w:ascii="Times New Roman" w:eastAsia="Times New Roman" w:hAnsi="Times New Roman" w:cs="Times New Roman"/>
                                      <w:color w:val="000000"/>
                                      <w:sz w:val="16"/>
                                      <w:szCs w:val="16"/>
                                    </w:rPr>
                                    <w:t>7-10 días</w:t>
                                  </w:r>
                                </w:p>
                              </w:tc>
                              <w:tc>
                                <w:tcPr>
                                  <w:tcW w:w="3072" w:type="dxa"/>
                                  <w:shd w:val="clear" w:color="auto" w:fill="FFFFFF"/>
                                  <w:vAlign w:val="bottom"/>
                                </w:tcPr>
                                <w:p w14:paraId="5D388506" w14:textId="77777777" w:rsidR="00924992" w:rsidRDefault="00924992">
                                  <w:pPr>
                                    <w:pStyle w:val="Other0"/>
                                    <w:spacing w:line="300" w:lineRule="auto"/>
                                    <w:ind w:left="280" w:hanging="100"/>
                                    <w:rPr>
                                      <w:sz w:val="16"/>
                                      <w:szCs w:val="16"/>
                                    </w:rPr>
                                  </w:pPr>
                                  <w:r>
                                    <w:rPr>
                                      <w:rFonts w:ascii="Times New Roman" w:eastAsia="Times New Roman" w:hAnsi="Times New Roman" w:cs="Times New Roman"/>
                                      <w:color w:val="000000"/>
                                      <w:sz w:val="16"/>
                                      <w:szCs w:val="16"/>
                                    </w:rPr>
                                    <w:t xml:space="preserve">TMP 5 mg/kg, SMX 25 mg/kg bid </w:t>
                                  </w:r>
                                  <w:r>
                                    <w:rPr>
                                      <w:rFonts w:ascii="Arial" w:eastAsia="Arial" w:hAnsi="Arial" w:cs="Arial"/>
                                      <w:color w:val="000000"/>
                                      <w:sz w:val="14"/>
                                      <w:szCs w:val="14"/>
                                    </w:rPr>
                                    <w:t xml:space="preserve">x </w:t>
                                  </w:r>
                                  <w:r>
                                    <w:rPr>
                                      <w:rFonts w:ascii="Times New Roman" w:eastAsia="Times New Roman" w:hAnsi="Times New Roman" w:cs="Times New Roman"/>
                                      <w:color w:val="000000"/>
                                      <w:sz w:val="16"/>
                                      <w:szCs w:val="16"/>
                                    </w:rPr>
                                    <w:t>7-10 días</w:t>
                                  </w:r>
                                </w:p>
                              </w:tc>
                            </w:tr>
                            <w:tr w:rsidR="00924992" w14:paraId="0A578818" w14:textId="77777777">
                              <w:tblPrEx>
                                <w:tblCellMar>
                                  <w:top w:w="0" w:type="dxa"/>
                                  <w:bottom w:w="0" w:type="dxa"/>
                                </w:tblCellMar>
                              </w:tblPrEx>
                              <w:trPr>
                                <w:trHeight w:hRule="exact" w:val="235"/>
                              </w:trPr>
                              <w:tc>
                                <w:tcPr>
                                  <w:tcW w:w="2726" w:type="dxa"/>
                                  <w:shd w:val="clear" w:color="auto" w:fill="FFFFFF"/>
                                  <w:vAlign w:val="bottom"/>
                                </w:tcPr>
                                <w:p w14:paraId="20151EE1" w14:textId="77777777" w:rsidR="00924992" w:rsidRDefault="00924992">
                                  <w:pPr>
                                    <w:pStyle w:val="Other0"/>
                                    <w:spacing w:line="240" w:lineRule="auto"/>
                                    <w:ind w:firstLine="0"/>
                                    <w:rPr>
                                      <w:sz w:val="16"/>
                                      <w:szCs w:val="16"/>
                                    </w:rPr>
                                  </w:pPr>
                                  <w:r>
                                    <w:rPr>
                                      <w:rFonts w:ascii="Times New Roman" w:eastAsia="Times New Roman" w:hAnsi="Times New Roman" w:cs="Times New Roman"/>
                                      <w:b/>
                                      <w:bCs/>
                                      <w:i/>
                                      <w:iCs/>
                                      <w:color w:val="000000"/>
                                      <w:sz w:val="17"/>
                                      <w:szCs w:val="17"/>
                                    </w:rPr>
                                    <w:t xml:space="preserve">DIENTAMOEBA </w:t>
                                  </w:r>
                                  <w:r>
                                    <w:rPr>
                                      <w:rFonts w:ascii="Times New Roman" w:eastAsia="Times New Roman" w:hAnsi="Times New Roman" w:cs="Times New Roman"/>
                                      <w:i/>
                                      <w:iCs/>
                                      <w:color w:val="000000"/>
                                      <w:sz w:val="16"/>
                                      <w:szCs w:val="16"/>
                                    </w:rPr>
                                    <w:t>fragilis</w:t>
                                  </w:r>
                                  <w:r>
                                    <w:rPr>
                                      <w:rFonts w:ascii="Times New Roman" w:eastAsia="Times New Roman" w:hAnsi="Times New Roman" w:cs="Times New Roman"/>
                                      <w:i/>
                                      <w:iCs/>
                                      <w:color w:val="000000"/>
                                      <w:sz w:val="15"/>
                                      <w:szCs w:val="15"/>
                                    </w:rPr>
                                    <w:t>,</w:t>
                                  </w:r>
                                  <w:r>
                                    <w:rPr>
                                      <w:rFonts w:ascii="Times New Roman" w:eastAsia="Times New Roman" w:hAnsi="Times New Roman" w:cs="Times New Roman"/>
                                      <w:color w:val="000000"/>
                                      <w:sz w:val="16"/>
                                      <w:szCs w:val="16"/>
                                    </w:rPr>
                                    <w:t xml:space="preserve"> infección</w:t>
                                  </w:r>
                                </w:p>
                              </w:tc>
                              <w:tc>
                                <w:tcPr>
                                  <w:tcW w:w="8707" w:type="dxa"/>
                                  <w:gridSpan w:val="3"/>
                                  <w:shd w:val="clear" w:color="auto" w:fill="FFFFFF"/>
                                </w:tcPr>
                                <w:p w14:paraId="654E5D20" w14:textId="77777777" w:rsidR="00924992" w:rsidRDefault="00924992">
                                  <w:pPr>
                                    <w:rPr>
                                      <w:sz w:val="10"/>
                                      <w:szCs w:val="10"/>
                                    </w:rPr>
                                  </w:pPr>
                                </w:p>
                              </w:tc>
                            </w:tr>
                            <w:tr w:rsidR="00924992" w14:paraId="29EBFF2D" w14:textId="77777777">
                              <w:tblPrEx>
                                <w:tblCellMar>
                                  <w:top w:w="0" w:type="dxa"/>
                                  <w:bottom w:w="0" w:type="dxa"/>
                                </w:tblCellMar>
                              </w:tblPrEx>
                              <w:trPr>
                                <w:trHeight w:hRule="exact" w:val="413"/>
                              </w:trPr>
                              <w:tc>
                                <w:tcPr>
                                  <w:tcW w:w="2726" w:type="dxa"/>
                                  <w:shd w:val="clear" w:color="auto" w:fill="FFFFFF"/>
                                </w:tcPr>
                                <w:p w14:paraId="5B0CB0AC" w14:textId="77777777" w:rsidR="00924992" w:rsidRDefault="00924992">
                                  <w:pPr>
                                    <w:pStyle w:val="Other0"/>
                                    <w:spacing w:line="240" w:lineRule="auto"/>
                                    <w:ind w:firstLine="160"/>
                                    <w:rPr>
                                      <w:sz w:val="16"/>
                                      <w:szCs w:val="16"/>
                                    </w:rPr>
                                  </w:pPr>
                                  <w:r>
                                    <w:rPr>
                                      <w:rFonts w:ascii="Times New Roman" w:eastAsia="Times New Roman" w:hAnsi="Times New Roman" w:cs="Times New Roman"/>
                                      <w:color w:val="000000"/>
                                      <w:sz w:val="16"/>
                                      <w:szCs w:val="16"/>
                                    </w:rPr>
                                    <w:t>Fármaco más indicado:</w:t>
                                  </w:r>
                                </w:p>
                              </w:tc>
                              <w:tc>
                                <w:tcPr>
                                  <w:tcW w:w="2390" w:type="dxa"/>
                                  <w:shd w:val="clear" w:color="auto" w:fill="FFFFFF"/>
                                </w:tcPr>
                                <w:p w14:paraId="10E299EB" w14:textId="77777777" w:rsidR="00924992" w:rsidRDefault="00924992">
                                  <w:pPr>
                                    <w:pStyle w:val="Other0"/>
                                    <w:spacing w:line="240" w:lineRule="auto"/>
                                    <w:ind w:firstLine="160"/>
                                    <w:rPr>
                                      <w:sz w:val="16"/>
                                      <w:szCs w:val="16"/>
                                    </w:rPr>
                                  </w:pPr>
                                  <w:r>
                                    <w:rPr>
                                      <w:rFonts w:ascii="Times New Roman" w:eastAsia="Times New Roman" w:hAnsi="Times New Roman" w:cs="Times New Roman"/>
                                      <w:color w:val="000000"/>
                                      <w:sz w:val="16"/>
                                      <w:szCs w:val="16"/>
                                    </w:rPr>
                                    <w:t>Yodoquinol</w:t>
                                  </w:r>
                                </w:p>
                              </w:tc>
                              <w:tc>
                                <w:tcPr>
                                  <w:tcW w:w="3245" w:type="dxa"/>
                                  <w:shd w:val="clear" w:color="auto" w:fill="FFFFFF"/>
                                </w:tcPr>
                                <w:p w14:paraId="60378145" w14:textId="77777777" w:rsidR="00924992" w:rsidRDefault="00924992">
                                  <w:pPr>
                                    <w:pStyle w:val="Other0"/>
                                    <w:spacing w:line="240" w:lineRule="auto"/>
                                    <w:ind w:firstLine="560"/>
                                    <w:rPr>
                                      <w:sz w:val="16"/>
                                      <w:szCs w:val="16"/>
                                    </w:rPr>
                                  </w:pPr>
                                  <w:r>
                                    <w:rPr>
                                      <w:rFonts w:ascii="Times New Roman" w:eastAsia="Times New Roman" w:hAnsi="Times New Roman" w:cs="Times New Roman"/>
                                      <w:color w:val="000000"/>
                                      <w:sz w:val="16"/>
                                      <w:szCs w:val="16"/>
                                    </w:rPr>
                                    <w:t xml:space="preserve">650 mg tid </w:t>
                                  </w:r>
                                  <w:r>
                                    <w:rPr>
                                      <w:rFonts w:ascii="Arial" w:eastAsia="Arial" w:hAnsi="Arial" w:cs="Arial"/>
                                      <w:color w:val="000000"/>
                                      <w:sz w:val="14"/>
                                      <w:szCs w:val="14"/>
                                    </w:rPr>
                                    <w:t xml:space="preserve">x </w:t>
                                  </w:r>
                                  <w:r>
                                    <w:rPr>
                                      <w:rFonts w:ascii="Times New Roman" w:eastAsia="Times New Roman" w:hAnsi="Times New Roman" w:cs="Times New Roman"/>
                                      <w:color w:val="000000"/>
                                      <w:sz w:val="16"/>
                                      <w:szCs w:val="16"/>
                                    </w:rPr>
                                    <w:t>20 días</w:t>
                                  </w:r>
                                </w:p>
                              </w:tc>
                              <w:tc>
                                <w:tcPr>
                                  <w:tcW w:w="3072" w:type="dxa"/>
                                  <w:shd w:val="clear" w:color="auto" w:fill="FFFFFF"/>
                                </w:tcPr>
                                <w:p w14:paraId="4C67170C" w14:textId="77777777" w:rsidR="00924992" w:rsidRDefault="00924992">
                                  <w:pPr>
                                    <w:pStyle w:val="Other0"/>
                                    <w:spacing w:line="300" w:lineRule="auto"/>
                                    <w:ind w:left="280" w:hanging="100"/>
                                    <w:rPr>
                                      <w:sz w:val="16"/>
                                      <w:szCs w:val="16"/>
                                    </w:rPr>
                                  </w:pPr>
                                  <w:r>
                                    <w:rPr>
                                      <w:rFonts w:ascii="Times New Roman" w:eastAsia="Times New Roman" w:hAnsi="Times New Roman" w:cs="Times New Roman"/>
                                      <w:color w:val="000000"/>
                                      <w:sz w:val="16"/>
                                      <w:szCs w:val="16"/>
                                    </w:rPr>
                                    <w:t xml:space="preserve">30-40 mg/kg/día (máx. 2 g) en 3 dosis </w:t>
                                  </w:r>
                                  <w:r>
                                    <w:rPr>
                                      <w:rFonts w:ascii="Arial" w:eastAsia="Arial" w:hAnsi="Arial" w:cs="Arial"/>
                                      <w:color w:val="000000"/>
                                      <w:sz w:val="14"/>
                                      <w:szCs w:val="14"/>
                                    </w:rPr>
                                    <w:t xml:space="preserve">x </w:t>
                                  </w:r>
                                  <w:r>
                                    <w:rPr>
                                      <w:rFonts w:ascii="Times New Roman" w:eastAsia="Times New Roman" w:hAnsi="Times New Roman" w:cs="Times New Roman"/>
                                      <w:color w:val="000000"/>
                                      <w:sz w:val="16"/>
                                      <w:szCs w:val="16"/>
                                    </w:rPr>
                                    <w:t>20 días</w:t>
                                  </w:r>
                                </w:p>
                              </w:tc>
                            </w:tr>
                            <w:tr w:rsidR="00924992" w14:paraId="1E9B76BF" w14:textId="77777777">
                              <w:tblPrEx>
                                <w:tblCellMar>
                                  <w:top w:w="0" w:type="dxa"/>
                                  <w:bottom w:w="0" w:type="dxa"/>
                                </w:tblCellMar>
                              </w:tblPrEx>
                              <w:trPr>
                                <w:trHeight w:hRule="exact" w:val="230"/>
                              </w:trPr>
                              <w:tc>
                                <w:tcPr>
                                  <w:tcW w:w="2726" w:type="dxa"/>
                                  <w:shd w:val="clear" w:color="auto" w:fill="FFFFFF"/>
                                  <w:vAlign w:val="bottom"/>
                                </w:tcPr>
                                <w:p w14:paraId="5DA936B1" w14:textId="77777777" w:rsidR="00924992" w:rsidRDefault="00924992">
                                  <w:pPr>
                                    <w:pStyle w:val="Other0"/>
                                    <w:spacing w:line="240" w:lineRule="auto"/>
                                    <w:ind w:firstLine="160"/>
                                    <w:rPr>
                                      <w:sz w:val="16"/>
                                      <w:szCs w:val="16"/>
                                    </w:rPr>
                                  </w:pPr>
                                  <w:r>
                                    <w:rPr>
                                      <w:rFonts w:ascii="Times New Roman" w:eastAsia="Times New Roman" w:hAnsi="Times New Roman" w:cs="Times New Roman"/>
                                      <w:b/>
                                      <w:bCs/>
                                      <w:color w:val="000000"/>
                                      <w:sz w:val="16"/>
                                      <w:szCs w:val="16"/>
                                    </w:rPr>
                                    <w:t>O</w:t>
                                  </w:r>
                                </w:p>
                              </w:tc>
                              <w:tc>
                                <w:tcPr>
                                  <w:tcW w:w="2390" w:type="dxa"/>
                                  <w:shd w:val="clear" w:color="auto" w:fill="FFFFFF"/>
                                  <w:vAlign w:val="bottom"/>
                                </w:tcPr>
                                <w:p w14:paraId="3FA3F9DF" w14:textId="77777777" w:rsidR="00924992" w:rsidRDefault="00924992">
                                  <w:pPr>
                                    <w:pStyle w:val="Other0"/>
                                    <w:spacing w:line="240" w:lineRule="auto"/>
                                    <w:ind w:firstLine="160"/>
                                    <w:rPr>
                                      <w:sz w:val="16"/>
                                      <w:szCs w:val="16"/>
                                    </w:rPr>
                                  </w:pPr>
                                  <w:r>
                                    <w:rPr>
                                      <w:rFonts w:ascii="Times New Roman" w:eastAsia="Times New Roman" w:hAnsi="Times New Roman" w:cs="Times New Roman"/>
                                      <w:color w:val="000000"/>
                                      <w:sz w:val="16"/>
                                      <w:szCs w:val="16"/>
                                    </w:rPr>
                                    <w:t>Paromomicina</w:t>
                                  </w:r>
                                  <w:r>
                                    <w:rPr>
                                      <w:rFonts w:ascii="Times New Roman" w:eastAsia="Times New Roman" w:hAnsi="Times New Roman" w:cs="Times New Roman"/>
                                      <w:color w:val="000000"/>
                                      <w:sz w:val="16"/>
                                      <w:szCs w:val="16"/>
                                      <w:vertAlign w:val="superscript"/>
                                    </w:rPr>
                                    <w:t>3</w:t>
                                  </w:r>
                                </w:p>
                              </w:tc>
                              <w:tc>
                                <w:tcPr>
                                  <w:tcW w:w="3245" w:type="dxa"/>
                                  <w:shd w:val="clear" w:color="auto" w:fill="FFFFFF"/>
                                  <w:vAlign w:val="bottom"/>
                                </w:tcPr>
                                <w:p w14:paraId="10B5A420" w14:textId="77777777" w:rsidR="00924992" w:rsidRDefault="00924992">
                                  <w:pPr>
                                    <w:pStyle w:val="Other0"/>
                                    <w:spacing w:line="240" w:lineRule="auto"/>
                                    <w:ind w:firstLine="560"/>
                                    <w:rPr>
                                      <w:sz w:val="16"/>
                                      <w:szCs w:val="16"/>
                                    </w:rPr>
                                  </w:pPr>
                                  <w:r>
                                    <w:rPr>
                                      <w:rFonts w:ascii="Times New Roman" w:eastAsia="Times New Roman" w:hAnsi="Times New Roman" w:cs="Times New Roman"/>
                                      <w:color w:val="000000"/>
                                      <w:sz w:val="16"/>
                                      <w:szCs w:val="16"/>
                                    </w:rPr>
                                    <w:t xml:space="preserve">25-35 mg/kg/día en 3 dosis </w:t>
                                  </w:r>
                                  <w:r>
                                    <w:rPr>
                                      <w:rFonts w:ascii="Arial" w:eastAsia="Arial" w:hAnsi="Arial" w:cs="Arial"/>
                                      <w:color w:val="000000"/>
                                      <w:sz w:val="14"/>
                                      <w:szCs w:val="14"/>
                                    </w:rPr>
                                    <w:t xml:space="preserve">x </w:t>
                                  </w:r>
                                  <w:r>
                                    <w:rPr>
                                      <w:rFonts w:ascii="Times New Roman" w:eastAsia="Times New Roman" w:hAnsi="Times New Roman" w:cs="Times New Roman"/>
                                      <w:color w:val="000000"/>
                                      <w:sz w:val="16"/>
                                      <w:szCs w:val="16"/>
                                    </w:rPr>
                                    <w:t>7 días</w:t>
                                  </w:r>
                                </w:p>
                              </w:tc>
                              <w:tc>
                                <w:tcPr>
                                  <w:tcW w:w="3072" w:type="dxa"/>
                                  <w:shd w:val="clear" w:color="auto" w:fill="FFFFFF"/>
                                  <w:vAlign w:val="bottom"/>
                                </w:tcPr>
                                <w:p w14:paraId="23661760" w14:textId="77777777" w:rsidR="00924992" w:rsidRDefault="00924992">
                                  <w:pPr>
                                    <w:pStyle w:val="Other0"/>
                                    <w:spacing w:line="240" w:lineRule="auto"/>
                                    <w:ind w:firstLine="180"/>
                                    <w:rPr>
                                      <w:sz w:val="16"/>
                                      <w:szCs w:val="16"/>
                                    </w:rPr>
                                  </w:pPr>
                                  <w:r>
                                    <w:rPr>
                                      <w:rFonts w:ascii="Times New Roman" w:eastAsia="Times New Roman" w:hAnsi="Times New Roman" w:cs="Times New Roman"/>
                                      <w:color w:val="000000"/>
                                      <w:sz w:val="16"/>
                                      <w:szCs w:val="16"/>
                                    </w:rPr>
                                    <w:t xml:space="preserve">25-35 mg/kg/día en 3 dosis </w:t>
                                  </w:r>
                                  <w:r>
                                    <w:rPr>
                                      <w:rFonts w:ascii="Arial" w:eastAsia="Arial" w:hAnsi="Arial" w:cs="Arial"/>
                                      <w:color w:val="000000"/>
                                      <w:sz w:val="14"/>
                                      <w:szCs w:val="14"/>
                                    </w:rPr>
                                    <w:t xml:space="preserve">x </w:t>
                                  </w:r>
                                  <w:r>
                                    <w:rPr>
                                      <w:rFonts w:ascii="Times New Roman" w:eastAsia="Times New Roman" w:hAnsi="Times New Roman" w:cs="Times New Roman"/>
                                      <w:color w:val="000000"/>
                                      <w:sz w:val="16"/>
                                      <w:szCs w:val="16"/>
                                    </w:rPr>
                                    <w:t>7 días</w:t>
                                  </w:r>
                                </w:p>
                              </w:tc>
                            </w:tr>
                            <w:tr w:rsidR="00924992" w14:paraId="1C70CEAB" w14:textId="77777777">
                              <w:tblPrEx>
                                <w:tblCellMar>
                                  <w:top w:w="0" w:type="dxa"/>
                                  <w:bottom w:w="0" w:type="dxa"/>
                                </w:tblCellMar>
                              </w:tblPrEx>
                              <w:trPr>
                                <w:trHeight w:hRule="exact" w:val="432"/>
                              </w:trPr>
                              <w:tc>
                                <w:tcPr>
                                  <w:tcW w:w="2726" w:type="dxa"/>
                                  <w:shd w:val="clear" w:color="auto" w:fill="FFFFFF"/>
                                </w:tcPr>
                                <w:p w14:paraId="4D27520E" w14:textId="77777777" w:rsidR="00924992" w:rsidRDefault="00924992">
                                  <w:pPr>
                                    <w:pStyle w:val="Other0"/>
                                    <w:spacing w:line="240" w:lineRule="auto"/>
                                    <w:ind w:firstLine="160"/>
                                    <w:rPr>
                                      <w:sz w:val="16"/>
                                      <w:szCs w:val="16"/>
                                    </w:rPr>
                                  </w:pPr>
                                  <w:r>
                                    <w:rPr>
                                      <w:rFonts w:ascii="Times New Roman" w:eastAsia="Times New Roman" w:hAnsi="Times New Roman" w:cs="Times New Roman"/>
                                      <w:b/>
                                      <w:bCs/>
                                      <w:color w:val="000000"/>
                                      <w:sz w:val="16"/>
                                      <w:szCs w:val="16"/>
                                    </w:rPr>
                                    <w:t>O</w:t>
                                  </w:r>
                                </w:p>
                              </w:tc>
                              <w:tc>
                                <w:tcPr>
                                  <w:tcW w:w="2390" w:type="dxa"/>
                                  <w:shd w:val="clear" w:color="auto" w:fill="FFFFFF"/>
                                </w:tcPr>
                                <w:p w14:paraId="7883C6AA" w14:textId="77777777" w:rsidR="00924992" w:rsidRDefault="00924992">
                                  <w:pPr>
                                    <w:pStyle w:val="Other0"/>
                                    <w:spacing w:line="240" w:lineRule="auto"/>
                                    <w:ind w:firstLine="160"/>
                                    <w:rPr>
                                      <w:sz w:val="16"/>
                                      <w:szCs w:val="16"/>
                                    </w:rPr>
                                  </w:pPr>
                                  <w:r>
                                    <w:rPr>
                                      <w:rFonts w:ascii="Times New Roman" w:eastAsia="Times New Roman" w:hAnsi="Times New Roman" w:cs="Times New Roman"/>
                                      <w:color w:val="000000"/>
                                      <w:sz w:val="16"/>
                                      <w:szCs w:val="16"/>
                                    </w:rPr>
                                    <w:t>Tetraciclina</w:t>
                                  </w:r>
                                  <w:r>
                                    <w:rPr>
                                      <w:rFonts w:ascii="Times New Roman" w:eastAsia="Times New Roman" w:hAnsi="Times New Roman" w:cs="Times New Roman"/>
                                      <w:color w:val="000000"/>
                                      <w:sz w:val="16"/>
                                      <w:szCs w:val="16"/>
                                      <w:vertAlign w:val="superscript"/>
                                    </w:rPr>
                                    <w:t>3,15</w:t>
                                  </w:r>
                                </w:p>
                              </w:tc>
                              <w:tc>
                                <w:tcPr>
                                  <w:tcW w:w="3245" w:type="dxa"/>
                                  <w:shd w:val="clear" w:color="auto" w:fill="FFFFFF"/>
                                </w:tcPr>
                                <w:p w14:paraId="726950F4" w14:textId="77777777" w:rsidR="00924992" w:rsidRDefault="00924992">
                                  <w:pPr>
                                    <w:pStyle w:val="Other0"/>
                                    <w:spacing w:line="240" w:lineRule="auto"/>
                                    <w:ind w:firstLine="560"/>
                                    <w:rPr>
                                      <w:sz w:val="16"/>
                                      <w:szCs w:val="16"/>
                                    </w:rPr>
                                  </w:pPr>
                                  <w:r>
                                    <w:rPr>
                                      <w:rFonts w:ascii="Times New Roman" w:eastAsia="Times New Roman" w:hAnsi="Times New Roman" w:cs="Times New Roman"/>
                                      <w:color w:val="000000"/>
                                      <w:sz w:val="16"/>
                                      <w:szCs w:val="16"/>
                                    </w:rPr>
                                    <w:t xml:space="preserve">500 mg qid </w:t>
                                  </w:r>
                                  <w:r>
                                    <w:rPr>
                                      <w:rFonts w:ascii="Arial" w:eastAsia="Arial" w:hAnsi="Arial" w:cs="Arial"/>
                                      <w:color w:val="000000"/>
                                      <w:sz w:val="14"/>
                                      <w:szCs w:val="14"/>
                                    </w:rPr>
                                    <w:t xml:space="preserve">x </w:t>
                                  </w:r>
                                  <w:r>
                                    <w:rPr>
                                      <w:rFonts w:ascii="Times New Roman" w:eastAsia="Times New Roman" w:hAnsi="Times New Roman" w:cs="Times New Roman"/>
                                      <w:color w:val="000000"/>
                                      <w:sz w:val="16"/>
                                      <w:szCs w:val="16"/>
                                    </w:rPr>
                                    <w:t>10 días</w:t>
                                  </w:r>
                                </w:p>
                              </w:tc>
                              <w:tc>
                                <w:tcPr>
                                  <w:tcW w:w="3072" w:type="dxa"/>
                                  <w:shd w:val="clear" w:color="auto" w:fill="FFFFFF"/>
                                </w:tcPr>
                                <w:p w14:paraId="4D53A1BE" w14:textId="77777777" w:rsidR="00924992" w:rsidRDefault="00924992">
                                  <w:pPr>
                                    <w:pStyle w:val="Other0"/>
                                    <w:spacing w:line="300" w:lineRule="auto"/>
                                    <w:ind w:left="280" w:hanging="100"/>
                                    <w:rPr>
                                      <w:sz w:val="16"/>
                                      <w:szCs w:val="16"/>
                                    </w:rPr>
                                  </w:pPr>
                                  <w:r>
                                    <w:rPr>
                                      <w:rFonts w:ascii="Times New Roman" w:eastAsia="Times New Roman" w:hAnsi="Times New Roman" w:cs="Times New Roman"/>
                                      <w:color w:val="000000"/>
                                      <w:sz w:val="16"/>
                                      <w:szCs w:val="16"/>
                                    </w:rPr>
                                    <w:t xml:space="preserve">40 mg/kg/día (máx. 2 g) en 4 dosis </w:t>
                                  </w:r>
                                  <w:r>
                                    <w:rPr>
                                      <w:rFonts w:ascii="Arial" w:eastAsia="Arial" w:hAnsi="Arial" w:cs="Arial"/>
                                      <w:color w:val="000000"/>
                                      <w:sz w:val="14"/>
                                      <w:szCs w:val="14"/>
                                    </w:rPr>
                                    <w:t xml:space="preserve">x </w:t>
                                  </w:r>
                                  <w:r>
                                    <w:rPr>
                                      <w:rFonts w:ascii="Times New Roman" w:eastAsia="Times New Roman" w:hAnsi="Times New Roman" w:cs="Times New Roman"/>
                                      <w:color w:val="000000"/>
                                      <w:sz w:val="16"/>
                                      <w:szCs w:val="16"/>
                                    </w:rPr>
                                    <w:t>10 días</w:t>
                                  </w:r>
                                </w:p>
                              </w:tc>
                            </w:tr>
                            <w:tr w:rsidR="00924992" w14:paraId="69448219" w14:textId="77777777">
                              <w:tblPrEx>
                                <w:tblCellMar>
                                  <w:top w:w="0" w:type="dxa"/>
                                  <w:bottom w:w="0" w:type="dxa"/>
                                </w:tblCellMar>
                              </w:tblPrEx>
                              <w:trPr>
                                <w:trHeight w:hRule="exact" w:val="245"/>
                              </w:trPr>
                              <w:tc>
                                <w:tcPr>
                                  <w:tcW w:w="2726" w:type="dxa"/>
                                  <w:shd w:val="clear" w:color="auto" w:fill="FFFFFF"/>
                                </w:tcPr>
                                <w:p w14:paraId="2EB52507" w14:textId="77777777" w:rsidR="00924992" w:rsidRDefault="00924992">
                                  <w:pPr>
                                    <w:pStyle w:val="Other0"/>
                                    <w:spacing w:line="240" w:lineRule="auto"/>
                                    <w:ind w:firstLine="160"/>
                                    <w:rPr>
                                      <w:sz w:val="16"/>
                                      <w:szCs w:val="16"/>
                                    </w:rPr>
                                  </w:pPr>
                                  <w:r>
                                    <w:rPr>
                                      <w:rFonts w:ascii="Times New Roman" w:eastAsia="Times New Roman" w:hAnsi="Times New Roman" w:cs="Times New Roman"/>
                                      <w:b/>
                                      <w:bCs/>
                                      <w:color w:val="000000"/>
                                      <w:sz w:val="16"/>
                                      <w:szCs w:val="16"/>
                                    </w:rPr>
                                    <w:t>O</w:t>
                                  </w:r>
                                </w:p>
                              </w:tc>
                              <w:tc>
                                <w:tcPr>
                                  <w:tcW w:w="2390" w:type="dxa"/>
                                  <w:shd w:val="clear" w:color="auto" w:fill="FFFFFF"/>
                                </w:tcPr>
                                <w:p w14:paraId="765A4C24" w14:textId="77777777" w:rsidR="00924992" w:rsidRDefault="00924992">
                                  <w:pPr>
                                    <w:pStyle w:val="Other0"/>
                                    <w:spacing w:line="240" w:lineRule="auto"/>
                                    <w:ind w:firstLine="160"/>
                                    <w:rPr>
                                      <w:sz w:val="16"/>
                                      <w:szCs w:val="16"/>
                                    </w:rPr>
                                  </w:pPr>
                                  <w:r>
                                    <w:rPr>
                                      <w:rFonts w:ascii="Times New Roman" w:eastAsia="Times New Roman" w:hAnsi="Times New Roman" w:cs="Times New Roman"/>
                                      <w:color w:val="000000"/>
                                      <w:sz w:val="16"/>
                                      <w:szCs w:val="16"/>
                                    </w:rPr>
                                    <w:t>Metronidazol</w:t>
                                  </w:r>
                                </w:p>
                              </w:tc>
                              <w:tc>
                                <w:tcPr>
                                  <w:tcW w:w="3245" w:type="dxa"/>
                                  <w:shd w:val="clear" w:color="auto" w:fill="FFFFFF"/>
                                </w:tcPr>
                                <w:p w14:paraId="0127EFAD" w14:textId="77777777" w:rsidR="00924992" w:rsidRDefault="00924992">
                                  <w:pPr>
                                    <w:pStyle w:val="Other0"/>
                                    <w:spacing w:line="240" w:lineRule="auto"/>
                                    <w:ind w:firstLine="560"/>
                                    <w:rPr>
                                      <w:sz w:val="16"/>
                                      <w:szCs w:val="16"/>
                                    </w:rPr>
                                  </w:pPr>
                                  <w:r>
                                    <w:rPr>
                                      <w:rFonts w:ascii="Times New Roman" w:eastAsia="Times New Roman" w:hAnsi="Times New Roman" w:cs="Times New Roman"/>
                                      <w:color w:val="000000"/>
                                      <w:sz w:val="16"/>
                                      <w:szCs w:val="16"/>
                                    </w:rPr>
                                    <w:t xml:space="preserve">500-750 mg tid </w:t>
                                  </w:r>
                                  <w:r>
                                    <w:rPr>
                                      <w:rFonts w:ascii="Arial" w:eastAsia="Arial" w:hAnsi="Arial" w:cs="Arial"/>
                                      <w:color w:val="000000"/>
                                      <w:sz w:val="14"/>
                                      <w:szCs w:val="14"/>
                                    </w:rPr>
                                    <w:t xml:space="preserve">x </w:t>
                                  </w:r>
                                  <w:r>
                                    <w:rPr>
                                      <w:rFonts w:ascii="Times New Roman" w:eastAsia="Times New Roman" w:hAnsi="Times New Roman" w:cs="Times New Roman"/>
                                      <w:color w:val="000000"/>
                                      <w:sz w:val="16"/>
                                      <w:szCs w:val="16"/>
                                    </w:rPr>
                                    <w:t>10 días</w:t>
                                  </w:r>
                                </w:p>
                              </w:tc>
                              <w:tc>
                                <w:tcPr>
                                  <w:tcW w:w="3072" w:type="dxa"/>
                                  <w:shd w:val="clear" w:color="auto" w:fill="FFFFFF"/>
                                </w:tcPr>
                                <w:p w14:paraId="74227738" w14:textId="77777777" w:rsidR="00924992" w:rsidRDefault="00924992">
                                  <w:pPr>
                                    <w:pStyle w:val="Other0"/>
                                    <w:spacing w:line="240" w:lineRule="auto"/>
                                    <w:ind w:firstLine="180"/>
                                    <w:rPr>
                                      <w:sz w:val="16"/>
                                      <w:szCs w:val="16"/>
                                    </w:rPr>
                                  </w:pPr>
                                  <w:r>
                                    <w:rPr>
                                      <w:rFonts w:ascii="Times New Roman" w:eastAsia="Times New Roman" w:hAnsi="Times New Roman" w:cs="Times New Roman"/>
                                      <w:color w:val="000000"/>
                                      <w:sz w:val="16"/>
                                      <w:szCs w:val="16"/>
                                    </w:rPr>
                                    <w:t xml:space="preserve">20-40 mg/kg/día en 3 dosis </w:t>
                                  </w:r>
                                  <w:r>
                                    <w:rPr>
                                      <w:rFonts w:ascii="Arial" w:eastAsia="Arial" w:hAnsi="Arial" w:cs="Arial"/>
                                      <w:color w:val="000000"/>
                                      <w:sz w:val="14"/>
                                      <w:szCs w:val="14"/>
                                    </w:rPr>
                                    <w:t xml:space="preserve">x </w:t>
                                  </w:r>
                                  <w:r>
                                    <w:rPr>
                                      <w:rFonts w:ascii="Times New Roman" w:eastAsia="Times New Roman" w:hAnsi="Times New Roman" w:cs="Times New Roman"/>
                                      <w:color w:val="000000"/>
                                      <w:sz w:val="16"/>
                                      <w:szCs w:val="16"/>
                                    </w:rPr>
                                    <w:t>10 días</w:t>
                                  </w:r>
                                </w:p>
                              </w:tc>
                            </w:tr>
                          </w:tbl>
                          <w:p w14:paraId="043FEDE6" w14:textId="77777777" w:rsidR="00924992" w:rsidRDefault="00924992">
                            <w:pPr>
                              <w:spacing w:line="1" w:lineRule="exact"/>
                            </w:pPr>
                          </w:p>
                        </w:txbxContent>
                      </wps:txbx>
                      <wps:bodyPr lIns="0" tIns="0" rIns="0" bIns="0"/>
                    </wps:wsp>
                  </a:graphicData>
                </a:graphic>
              </wp:anchor>
            </w:drawing>
          </mc:Choice>
          <mc:Fallback>
            <w:pict>
              <v:shape w14:anchorId="50285006" id="Shape 2358" o:spid="_x0000_s1065" type="#_x0000_t202" style="position:absolute;margin-left:28.6pt;margin-top:18.5pt;width:571.7pt;height:171.35pt;z-index:251696128;visibility:visible;mso-wrap-style:square;mso-wrap-distance-left:9pt;mso-wrap-distance-top:0;mso-wrap-distance-right:9pt;mso-wrap-distance-bottom:21.6pt;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" filled="f" stroked="f">
                <v:textbox inset="0,0,0,0">
                  <w:txbxContent>
                    <w:tbl>
                      <w:tblPr>
                        <w:tblOverlap w:val="never"/>
                        <w:tblW w:w="0" w:type="auto"/>
                        <w:tblLayout w:type="fixed"/>
                        <w:tblCellMar>
                          <w:left w:w="10" w:type="dxa"/>
                          <w:right w:w="10" w:type="dxa"/>
                        </w:tblCellMar>
                        <w:tblLook w:val="04A0" w:firstRow="1" w:lastRow="0" w:firstColumn="1" w:lastColumn="0" w:noHBand="0" w:noVBand="1"/>
                      </w:tblPr>
                      <w:tblGrid>
                        <w:gridCol w:w="2726"/>
                        <w:gridCol w:w="2390"/>
                        <w:gridCol w:w="3245"/>
                        <w:gridCol w:w="3072"/>
                      </w:tblGrid>
                      <w:tr w:rsidR="00924992" w14:paraId="4FF1F248" w14:textId="77777777">
                        <w:tblPrEx>
                          <w:tblCellMar>
                            <w:top w:w="0" w:type="dxa"/>
                            <w:bottom w:w="0" w:type="dxa"/>
                          </w:tblCellMar>
                        </w:tblPrEx>
                        <w:trPr>
                          <w:trHeight w:hRule="exact" w:val="278"/>
                          <w:tblHeader/>
                        </w:trPr>
                        <w:tc>
                          <w:tcPr>
                            <w:tcW w:w="2726" w:type="dxa"/>
                            <w:shd w:val="clear" w:color="auto" w:fill="000000"/>
                          </w:tcPr>
                          <w:p w14:paraId="4C609C09" w14:textId="77777777" w:rsidR="00924992" w:rsidRDefault="00924992">
                            <w:pPr>
                              <w:pStyle w:val="Other0"/>
                              <w:pBdr>
                                <w:top w:val="single" w:sz="0" w:space="0" w:color="000000"/>
                                <w:left w:val="single" w:sz="0" w:space="0" w:color="000000"/>
                                <w:bottom w:val="single" w:sz="0" w:space="0" w:color="000000"/>
                                <w:right w:val="single" w:sz="0" w:space="0" w:color="000000"/>
                              </w:pBdr>
                              <w:shd w:val="clear" w:color="auto" w:fill="000000"/>
                              <w:spacing w:line="240" w:lineRule="auto"/>
                              <w:ind w:firstLine="0"/>
                              <w:rPr>
                                <w:sz w:val="24"/>
                                <w:szCs w:val="24"/>
                              </w:rPr>
                            </w:pPr>
                            <w:r>
                              <w:rPr>
                                <w:rFonts w:ascii="Arial" w:eastAsia="Arial" w:hAnsi="Arial" w:cs="Arial"/>
                                <w:b/>
                                <w:bCs/>
                                <w:color w:val="FFFFFF"/>
                                <w:w w:val="70"/>
                                <w:sz w:val="24"/>
                                <w:szCs w:val="24"/>
                              </w:rPr>
                              <w:t>Infección</w:t>
                            </w:r>
                          </w:p>
                        </w:tc>
                        <w:tc>
                          <w:tcPr>
                            <w:tcW w:w="2390" w:type="dxa"/>
                            <w:shd w:val="clear" w:color="auto" w:fill="000000"/>
                          </w:tcPr>
                          <w:p w14:paraId="314EDD50" w14:textId="77777777" w:rsidR="00924992" w:rsidRDefault="00924992">
                            <w:pPr>
                              <w:pStyle w:val="Other0"/>
                              <w:pBdr>
                                <w:top w:val="single" w:sz="0" w:space="0" w:color="000000"/>
                                <w:left w:val="single" w:sz="0" w:space="0" w:color="000000"/>
                                <w:bottom w:val="single" w:sz="0" w:space="0" w:color="000000"/>
                                <w:right w:val="single" w:sz="0" w:space="0" w:color="000000"/>
                              </w:pBdr>
                              <w:shd w:val="clear" w:color="auto" w:fill="000000"/>
                              <w:spacing w:line="240" w:lineRule="auto"/>
                              <w:ind w:firstLine="160"/>
                              <w:rPr>
                                <w:sz w:val="24"/>
                                <w:szCs w:val="24"/>
                              </w:rPr>
                            </w:pPr>
                            <w:r>
                              <w:rPr>
                                <w:rFonts w:ascii="Arial" w:eastAsia="Arial" w:hAnsi="Arial" w:cs="Arial"/>
                                <w:b/>
                                <w:bCs/>
                                <w:color w:val="FFFFFF"/>
                                <w:w w:val="70"/>
                                <w:sz w:val="24"/>
                                <w:szCs w:val="24"/>
                              </w:rPr>
                              <w:t>Fármaco</w:t>
                            </w:r>
                          </w:p>
                        </w:tc>
                        <w:tc>
                          <w:tcPr>
                            <w:tcW w:w="3245" w:type="dxa"/>
                            <w:shd w:val="clear" w:color="auto" w:fill="000000"/>
                          </w:tcPr>
                          <w:p w14:paraId="398D09F3" w14:textId="77777777" w:rsidR="00924992" w:rsidRDefault="00924992">
                            <w:pPr>
                              <w:pStyle w:val="Other0"/>
                              <w:pBdr>
                                <w:top w:val="single" w:sz="0" w:space="0" w:color="000000"/>
                                <w:left w:val="single" w:sz="0" w:space="0" w:color="000000"/>
                                <w:bottom w:val="single" w:sz="0" w:space="0" w:color="000000"/>
                                <w:right w:val="single" w:sz="0" w:space="0" w:color="000000"/>
                              </w:pBdr>
                              <w:shd w:val="clear" w:color="auto" w:fill="000000"/>
                              <w:spacing w:line="240" w:lineRule="auto"/>
                              <w:ind w:firstLine="560"/>
                              <w:rPr>
                                <w:sz w:val="24"/>
                                <w:szCs w:val="24"/>
                              </w:rPr>
                            </w:pPr>
                            <w:r>
                              <w:rPr>
                                <w:rFonts w:ascii="Arial" w:eastAsia="Arial" w:hAnsi="Arial" w:cs="Arial"/>
                                <w:b/>
                                <w:bCs/>
                                <w:color w:val="FFFFFF"/>
                                <w:w w:val="70"/>
                                <w:sz w:val="24"/>
                                <w:szCs w:val="24"/>
                              </w:rPr>
                              <w:t>Dosis para adultos</w:t>
                            </w:r>
                          </w:p>
                        </w:tc>
                        <w:tc>
                          <w:tcPr>
                            <w:tcW w:w="3072" w:type="dxa"/>
                            <w:shd w:val="clear" w:color="auto" w:fill="000000"/>
                          </w:tcPr>
                          <w:p w14:paraId="72C3787B" w14:textId="77777777" w:rsidR="00924992" w:rsidRDefault="00924992">
                            <w:pPr>
                              <w:pStyle w:val="Other0"/>
                              <w:pBdr>
                                <w:top w:val="single" w:sz="0" w:space="0" w:color="000000"/>
                                <w:left w:val="single" w:sz="0" w:space="0" w:color="000000"/>
                                <w:bottom w:val="single" w:sz="0" w:space="0" w:color="000000"/>
                                <w:right w:val="single" w:sz="0" w:space="0" w:color="000000"/>
                              </w:pBdr>
                              <w:shd w:val="clear" w:color="auto" w:fill="000000"/>
                              <w:tabs>
                                <w:tab w:val="left" w:pos="3007"/>
                              </w:tabs>
                              <w:spacing w:line="240" w:lineRule="auto"/>
                              <w:ind w:left="180" w:firstLine="0"/>
                              <w:rPr>
                                <w:sz w:val="24"/>
                                <w:szCs w:val="24"/>
                              </w:rPr>
                            </w:pPr>
                            <w:r>
                              <w:rPr>
                                <w:rFonts w:ascii="Arial" w:eastAsia="Arial" w:hAnsi="Arial" w:cs="Arial"/>
                                <w:b/>
                                <w:bCs/>
                                <w:color w:val="FFFFFF"/>
                                <w:w w:val="70"/>
                                <w:sz w:val="24"/>
                                <w:szCs w:val="24"/>
                              </w:rPr>
                              <w:t>Dosis para niños</w:t>
                            </w:r>
                            <w:r>
                              <w:rPr>
                                <w:rFonts w:ascii="Arial" w:eastAsia="Arial" w:hAnsi="Arial" w:cs="Arial"/>
                                <w:b/>
                                <w:bCs/>
                                <w:color w:val="FFFFFF"/>
                                <w:w w:val="70"/>
                                <w:sz w:val="24"/>
                                <w:szCs w:val="24"/>
                              </w:rPr>
                              <w:tab/>
                              <w:t>I</w:t>
                            </w:r>
                          </w:p>
                        </w:tc>
                      </w:tr>
                      <w:tr w:rsidR="00924992" w14:paraId="060333C1" w14:textId="77777777">
                        <w:tblPrEx>
                          <w:tblCellMar>
                            <w:top w:w="0" w:type="dxa"/>
                            <w:bottom w:w="0" w:type="dxa"/>
                          </w:tblCellMar>
                        </w:tblPrEx>
                        <w:trPr>
                          <w:trHeight w:hRule="exact" w:val="950"/>
                        </w:trPr>
                        <w:tc>
                          <w:tcPr>
                            <w:tcW w:w="2726" w:type="dxa"/>
                            <w:shd w:val="clear" w:color="auto" w:fill="FFFFFF"/>
                            <w:vAlign w:val="bottom"/>
                          </w:tcPr>
                          <w:p w14:paraId="0FE887B4" w14:textId="77777777" w:rsidR="00924992" w:rsidRDefault="00924992">
                            <w:pPr>
                              <w:pStyle w:val="Other0"/>
                              <w:spacing w:line="240" w:lineRule="auto"/>
                              <w:ind w:firstLine="0"/>
                              <w:rPr>
                                <w:sz w:val="16"/>
                                <w:szCs w:val="16"/>
                              </w:rPr>
                            </w:pPr>
                            <w:r>
                              <w:rPr>
                                <w:rFonts w:ascii="Times New Roman" w:eastAsia="Times New Roman" w:hAnsi="Times New Roman" w:cs="Times New Roman"/>
                                <w:b/>
                                <w:bCs/>
                                <w:color w:val="000000"/>
                                <w:sz w:val="16"/>
                                <w:szCs w:val="16"/>
                              </w:rPr>
                              <w:t>CUTÁNEA, LARVA MIGRANS</w:t>
                            </w:r>
                          </w:p>
                          <w:p w14:paraId="66AACC2B" w14:textId="77777777" w:rsidR="00924992" w:rsidRDefault="00924992">
                            <w:pPr>
                              <w:pStyle w:val="Other0"/>
                              <w:spacing w:line="240" w:lineRule="auto"/>
                              <w:ind w:firstLine="160"/>
                              <w:rPr>
                                <w:sz w:val="16"/>
                                <w:szCs w:val="16"/>
                              </w:rPr>
                            </w:pPr>
                            <w:r>
                              <w:rPr>
                                <w:rFonts w:ascii="Times New Roman" w:eastAsia="Times New Roman" w:hAnsi="Times New Roman" w:cs="Times New Roman"/>
                                <w:color w:val="000000"/>
                                <w:sz w:val="16"/>
                                <w:szCs w:val="16"/>
                              </w:rPr>
                              <w:t>Fármaco más indicado:</w:t>
                            </w:r>
                            <w:r>
                              <w:rPr>
                                <w:rFonts w:ascii="Times New Roman" w:eastAsia="Times New Roman" w:hAnsi="Times New Roman" w:cs="Times New Roman"/>
                                <w:color w:val="000000"/>
                                <w:sz w:val="16"/>
                                <w:szCs w:val="16"/>
                                <w:vertAlign w:val="superscript"/>
                              </w:rPr>
                              <w:t xml:space="preserve">    </w:t>
                            </w:r>
                          </w:p>
                          <w:p w14:paraId="41678E46" w14:textId="77777777" w:rsidR="00924992" w:rsidRDefault="00924992">
                            <w:pPr>
                              <w:pStyle w:val="Other0"/>
                              <w:spacing w:line="240" w:lineRule="auto"/>
                              <w:ind w:firstLine="160"/>
                              <w:rPr>
                                <w:sz w:val="16"/>
                                <w:szCs w:val="16"/>
                              </w:rPr>
                            </w:pPr>
                            <w:r>
                              <w:rPr>
                                <w:rFonts w:ascii="Times New Roman" w:eastAsia="Times New Roman" w:hAnsi="Times New Roman" w:cs="Times New Roman"/>
                                <w:b/>
                                <w:bCs/>
                                <w:color w:val="000000"/>
                                <w:sz w:val="16"/>
                                <w:szCs w:val="16"/>
                              </w:rPr>
                              <w:t>O</w:t>
                            </w:r>
                          </w:p>
                          <w:p w14:paraId="3CC9E88C" w14:textId="77777777" w:rsidR="00924992" w:rsidRDefault="00924992">
                            <w:pPr>
                              <w:pStyle w:val="Other0"/>
                              <w:spacing w:line="240" w:lineRule="auto"/>
                              <w:ind w:firstLine="160"/>
                              <w:rPr>
                                <w:sz w:val="16"/>
                                <w:szCs w:val="16"/>
                              </w:rPr>
                            </w:pPr>
                            <w:r>
                              <w:rPr>
                                <w:rFonts w:ascii="Times New Roman" w:eastAsia="Times New Roman" w:hAnsi="Times New Roman" w:cs="Times New Roman"/>
                                <w:b/>
                                <w:bCs/>
                                <w:color w:val="000000"/>
                                <w:sz w:val="16"/>
                                <w:szCs w:val="16"/>
                              </w:rPr>
                              <w:t>O</w:t>
                            </w:r>
                          </w:p>
                        </w:tc>
                        <w:tc>
                          <w:tcPr>
                            <w:tcW w:w="2390" w:type="dxa"/>
                            <w:shd w:val="clear" w:color="auto" w:fill="FFFFFF"/>
                            <w:vAlign w:val="bottom"/>
                          </w:tcPr>
                          <w:p w14:paraId="28EB29E3" w14:textId="77777777" w:rsidR="00924992" w:rsidRDefault="00924992">
                            <w:pPr>
                              <w:pStyle w:val="Other0"/>
                              <w:spacing w:line="240" w:lineRule="auto"/>
                              <w:ind w:firstLine="160"/>
                              <w:rPr>
                                <w:sz w:val="16"/>
                                <w:szCs w:val="16"/>
                              </w:rPr>
                            </w:pPr>
                            <w:r>
                              <w:rPr>
                                <w:rFonts w:ascii="Times New Roman" w:eastAsia="Times New Roman" w:hAnsi="Times New Roman" w:cs="Times New Roman"/>
                                <w:color w:val="000000"/>
                                <w:sz w:val="16"/>
                                <w:szCs w:val="16"/>
                              </w:rPr>
                              <w:t>(erupción reptante, uncinariasis</w:t>
                            </w:r>
                          </w:p>
                          <w:p w14:paraId="60B2B9F0" w14:textId="77777777" w:rsidR="00924992" w:rsidRDefault="00924992">
                            <w:pPr>
                              <w:pStyle w:val="Other0"/>
                              <w:spacing w:line="240" w:lineRule="auto"/>
                              <w:ind w:firstLine="160"/>
                              <w:rPr>
                                <w:sz w:val="16"/>
                                <w:szCs w:val="16"/>
                              </w:rPr>
                            </w:pPr>
                            <w:r>
                              <w:rPr>
                                <w:rFonts w:ascii="Times New Roman" w:eastAsia="Times New Roman" w:hAnsi="Times New Roman" w:cs="Times New Roman"/>
                                <w:color w:val="000000"/>
                                <w:sz w:val="16"/>
                                <w:szCs w:val="16"/>
                              </w:rPr>
                              <w:t>Albendazol</w:t>
                            </w:r>
                            <w:r>
                              <w:rPr>
                                <w:rFonts w:ascii="Times New Roman" w:eastAsia="Times New Roman" w:hAnsi="Times New Roman" w:cs="Times New Roman"/>
                                <w:color w:val="000000"/>
                                <w:sz w:val="16"/>
                                <w:szCs w:val="16"/>
                                <w:vertAlign w:val="superscript"/>
                              </w:rPr>
                              <w:t>3</w:t>
                            </w:r>
                          </w:p>
                          <w:p w14:paraId="4394092C" w14:textId="77777777" w:rsidR="00924992" w:rsidRDefault="00924992">
                            <w:pPr>
                              <w:pStyle w:val="Other0"/>
                              <w:spacing w:line="240" w:lineRule="auto"/>
                              <w:ind w:firstLine="160"/>
                              <w:rPr>
                                <w:sz w:val="16"/>
                                <w:szCs w:val="16"/>
                              </w:rPr>
                            </w:pPr>
                            <w:r>
                              <w:rPr>
                                <w:rFonts w:ascii="Times New Roman" w:eastAsia="Times New Roman" w:hAnsi="Times New Roman" w:cs="Times New Roman"/>
                                <w:color w:val="000000"/>
                                <w:sz w:val="16"/>
                                <w:szCs w:val="16"/>
                              </w:rPr>
                              <w:t>Ivermectina</w:t>
                            </w:r>
                            <w:r>
                              <w:rPr>
                                <w:rFonts w:ascii="Times New Roman" w:eastAsia="Times New Roman" w:hAnsi="Times New Roman" w:cs="Times New Roman"/>
                                <w:color w:val="000000"/>
                                <w:sz w:val="16"/>
                                <w:szCs w:val="16"/>
                                <w:vertAlign w:val="superscript"/>
                              </w:rPr>
                              <w:t>3</w:t>
                            </w:r>
                          </w:p>
                          <w:p w14:paraId="2130C6C9" w14:textId="77777777" w:rsidR="00924992" w:rsidRDefault="00924992">
                            <w:pPr>
                              <w:pStyle w:val="Other0"/>
                              <w:spacing w:line="240" w:lineRule="auto"/>
                              <w:ind w:firstLine="160"/>
                              <w:rPr>
                                <w:sz w:val="16"/>
                                <w:szCs w:val="16"/>
                              </w:rPr>
                            </w:pPr>
                            <w:r>
                              <w:rPr>
                                <w:rFonts w:ascii="Times New Roman" w:eastAsia="Times New Roman" w:hAnsi="Times New Roman" w:cs="Times New Roman"/>
                                <w:color w:val="000000"/>
                                <w:sz w:val="16"/>
                                <w:szCs w:val="16"/>
                              </w:rPr>
                              <w:t>Tiabendazol</w:t>
                            </w:r>
                          </w:p>
                        </w:tc>
                        <w:tc>
                          <w:tcPr>
                            <w:tcW w:w="3245" w:type="dxa"/>
                            <w:shd w:val="clear" w:color="auto" w:fill="FFFFFF"/>
                            <w:vAlign w:val="bottom"/>
                          </w:tcPr>
                          <w:p w14:paraId="6746D2C7" w14:textId="77777777" w:rsidR="00924992" w:rsidRDefault="00924992">
                            <w:pPr>
                              <w:pStyle w:val="Other0"/>
                              <w:spacing w:line="283" w:lineRule="auto"/>
                              <w:ind w:firstLine="0"/>
                              <w:rPr>
                                <w:sz w:val="16"/>
                                <w:szCs w:val="16"/>
                              </w:rPr>
                            </w:pPr>
                            <w:r>
                              <w:rPr>
                                <w:rFonts w:ascii="Times New Roman" w:eastAsia="Times New Roman" w:hAnsi="Times New Roman" w:cs="Times New Roman"/>
                                <w:color w:val="000000"/>
                                <w:sz w:val="16"/>
                                <w:szCs w:val="16"/>
                              </w:rPr>
                              <w:t>de gatos y perros)</w:t>
                            </w:r>
                          </w:p>
                          <w:p w14:paraId="2310FA41" w14:textId="77777777" w:rsidR="00924992" w:rsidRDefault="00924992">
                            <w:pPr>
                              <w:pStyle w:val="Other0"/>
                              <w:spacing w:line="283" w:lineRule="auto"/>
                              <w:ind w:firstLine="560"/>
                              <w:rPr>
                                <w:sz w:val="16"/>
                                <w:szCs w:val="16"/>
                              </w:rPr>
                            </w:pPr>
                            <w:r>
                              <w:rPr>
                                <w:rFonts w:ascii="Times New Roman" w:eastAsia="Times New Roman" w:hAnsi="Times New Roman" w:cs="Times New Roman"/>
                                <w:color w:val="000000"/>
                                <w:sz w:val="16"/>
                                <w:szCs w:val="16"/>
                              </w:rPr>
                              <w:t xml:space="preserve">400 mg diarios </w:t>
                            </w:r>
                            <w:r>
                              <w:rPr>
                                <w:rFonts w:ascii="Arial" w:eastAsia="Arial" w:hAnsi="Arial" w:cs="Arial"/>
                                <w:color w:val="000000"/>
                                <w:sz w:val="14"/>
                                <w:szCs w:val="14"/>
                              </w:rPr>
                              <w:t xml:space="preserve">x </w:t>
                            </w:r>
                            <w:r>
                              <w:rPr>
                                <w:rFonts w:ascii="Times New Roman" w:eastAsia="Times New Roman" w:hAnsi="Times New Roman" w:cs="Times New Roman"/>
                                <w:color w:val="000000"/>
                                <w:sz w:val="16"/>
                                <w:szCs w:val="16"/>
                              </w:rPr>
                              <w:t>3 días</w:t>
                            </w:r>
                          </w:p>
                          <w:p w14:paraId="5D5D60E9" w14:textId="77777777" w:rsidR="00924992" w:rsidRDefault="00924992">
                            <w:pPr>
                              <w:pStyle w:val="Other0"/>
                              <w:spacing w:line="283" w:lineRule="auto"/>
                              <w:ind w:left="560" w:firstLine="0"/>
                              <w:rPr>
                                <w:sz w:val="16"/>
                                <w:szCs w:val="16"/>
                              </w:rPr>
                            </w:pPr>
                            <w:r>
                              <w:rPr>
                                <w:rFonts w:ascii="Times New Roman" w:eastAsia="Times New Roman" w:hAnsi="Times New Roman" w:cs="Times New Roman"/>
                                <w:color w:val="000000"/>
                                <w:sz w:val="16"/>
                                <w:szCs w:val="16"/>
                              </w:rPr>
                              <w:t xml:space="preserve">200 pg/kg diarios </w:t>
                            </w:r>
                            <w:r>
                              <w:rPr>
                                <w:rFonts w:ascii="Arial" w:eastAsia="Arial" w:hAnsi="Arial" w:cs="Arial"/>
                                <w:color w:val="000000"/>
                                <w:sz w:val="14"/>
                                <w:szCs w:val="14"/>
                              </w:rPr>
                              <w:t xml:space="preserve">x </w:t>
                            </w:r>
                            <w:r>
                              <w:rPr>
                                <w:rFonts w:ascii="Times New Roman" w:eastAsia="Times New Roman" w:hAnsi="Times New Roman" w:cs="Times New Roman"/>
                                <w:color w:val="000000"/>
                                <w:sz w:val="16"/>
                                <w:szCs w:val="16"/>
                              </w:rPr>
                              <w:t>1-2 días Aplicación tópica</w:t>
                            </w:r>
                          </w:p>
                        </w:tc>
                        <w:tc>
                          <w:tcPr>
                            <w:tcW w:w="3072" w:type="dxa"/>
                            <w:shd w:val="clear" w:color="auto" w:fill="FFFFFF"/>
                            <w:vAlign w:val="bottom"/>
                          </w:tcPr>
                          <w:p w14:paraId="625BA78E" w14:textId="77777777" w:rsidR="00924992" w:rsidRDefault="00924992">
                            <w:pPr>
                              <w:pStyle w:val="Other0"/>
                              <w:spacing w:line="283" w:lineRule="auto"/>
                              <w:ind w:left="180" w:firstLine="0"/>
                              <w:rPr>
                                <w:sz w:val="16"/>
                                <w:szCs w:val="16"/>
                              </w:rPr>
                            </w:pPr>
                            <w:r>
                              <w:rPr>
                                <w:rFonts w:ascii="Times New Roman" w:eastAsia="Times New Roman" w:hAnsi="Times New Roman" w:cs="Times New Roman"/>
                                <w:color w:val="000000"/>
                                <w:sz w:val="16"/>
                                <w:szCs w:val="16"/>
                              </w:rPr>
                              <w:t xml:space="preserve">400 mg diarios </w:t>
                            </w:r>
                            <w:r>
                              <w:rPr>
                                <w:rFonts w:ascii="Arial" w:eastAsia="Arial" w:hAnsi="Arial" w:cs="Arial"/>
                                <w:color w:val="000000"/>
                                <w:sz w:val="14"/>
                                <w:szCs w:val="14"/>
                              </w:rPr>
                              <w:t xml:space="preserve">x </w:t>
                            </w:r>
                            <w:r>
                              <w:rPr>
                                <w:rFonts w:ascii="Times New Roman" w:eastAsia="Times New Roman" w:hAnsi="Times New Roman" w:cs="Times New Roman"/>
                                <w:color w:val="000000"/>
                                <w:sz w:val="16"/>
                                <w:szCs w:val="16"/>
                              </w:rPr>
                              <w:t>3 días</w:t>
                            </w:r>
                          </w:p>
                          <w:p w14:paraId="7137D56A" w14:textId="77777777" w:rsidR="00924992" w:rsidRDefault="00924992">
                            <w:pPr>
                              <w:pStyle w:val="Other0"/>
                              <w:spacing w:line="283" w:lineRule="auto"/>
                              <w:ind w:left="180" w:firstLine="0"/>
                              <w:rPr>
                                <w:sz w:val="16"/>
                                <w:szCs w:val="16"/>
                              </w:rPr>
                            </w:pPr>
                            <w:r>
                              <w:rPr>
                                <w:rFonts w:ascii="Times New Roman" w:eastAsia="Times New Roman" w:hAnsi="Times New Roman" w:cs="Times New Roman"/>
                                <w:color w:val="000000"/>
                                <w:sz w:val="16"/>
                                <w:szCs w:val="16"/>
                              </w:rPr>
                              <w:t xml:space="preserve">200 </w:t>
                            </w:r>
                            <w:r>
                              <w:rPr>
                                <w:rFonts w:ascii="Times New Roman" w:eastAsia="Times New Roman" w:hAnsi="Times New Roman" w:cs="Times New Roman"/>
                                <w:color w:val="000000"/>
                                <w:sz w:val="20"/>
                                <w:szCs w:val="20"/>
                              </w:rPr>
                              <w:t>p</w:t>
                            </w:r>
                            <w:r>
                              <w:rPr>
                                <w:rFonts w:ascii="Times New Roman" w:eastAsia="Times New Roman" w:hAnsi="Times New Roman" w:cs="Times New Roman"/>
                                <w:color w:val="000000"/>
                                <w:sz w:val="16"/>
                                <w:szCs w:val="16"/>
                              </w:rPr>
                              <w:t xml:space="preserve">g/kg diarios </w:t>
                            </w:r>
                            <w:r>
                              <w:rPr>
                                <w:rFonts w:ascii="Arial" w:eastAsia="Arial" w:hAnsi="Arial" w:cs="Arial"/>
                                <w:color w:val="000000"/>
                                <w:sz w:val="14"/>
                                <w:szCs w:val="14"/>
                              </w:rPr>
                              <w:t xml:space="preserve">x </w:t>
                            </w:r>
                            <w:r>
                              <w:rPr>
                                <w:rFonts w:ascii="Times New Roman" w:eastAsia="Times New Roman" w:hAnsi="Times New Roman" w:cs="Times New Roman"/>
                                <w:color w:val="000000"/>
                                <w:sz w:val="16"/>
                                <w:szCs w:val="16"/>
                              </w:rPr>
                              <w:t>1-2 días Aplicación tópica</w:t>
                            </w:r>
                          </w:p>
                        </w:tc>
                      </w:tr>
                      <w:tr w:rsidR="00924992" w14:paraId="7633D6BE" w14:textId="77777777">
                        <w:tblPrEx>
                          <w:tblCellMar>
                            <w:top w:w="0" w:type="dxa"/>
                            <w:bottom w:w="0" w:type="dxa"/>
                          </w:tblCellMar>
                        </w:tblPrEx>
                        <w:trPr>
                          <w:trHeight w:hRule="exact" w:val="206"/>
                        </w:trPr>
                        <w:tc>
                          <w:tcPr>
                            <w:tcW w:w="2726" w:type="dxa"/>
                            <w:shd w:val="clear" w:color="auto" w:fill="FFFFFF"/>
                            <w:vAlign w:val="bottom"/>
                          </w:tcPr>
                          <w:p w14:paraId="43E52A7C" w14:textId="77777777" w:rsidR="00924992" w:rsidRDefault="00924992">
                            <w:pPr>
                              <w:pStyle w:val="Other0"/>
                              <w:spacing w:line="240" w:lineRule="auto"/>
                              <w:ind w:firstLine="0"/>
                              <w:rPr>
                                <w:sz w:val="16"/>
                                <w:szCs w:val="16"/>
                              </w:rPr>
                            </w:pPr>
                            <w:r>
                              <w:rPr>
                                <w:rFonts w:ascii="Times New Roman" w:eastAsia="Times New Roman" w:hAnsi="Times New Roman" w:cs="Times New Roman"/>
                                <w:b/>
                                <w:bCs/>
                                <w:i/>
                                <w:iCs/>
                                <w:color w:val="000000"/>
                                <w:sz w:val="17"/>
                                <w:szCs w:val="17"/>
                              </w:rPr>
                              <w:t>CYCLOSPORA</w:t>
                            </w:r>
                            <w:r>
                              <w:rPr>
                                <w:rFonts w:ascii="Times New Roman" w:eastAsia="Times New Roman" w:hAnsi="Times New Roman" w:cs="Times New Roman"/>
                                <w:i/>
                                <w:iCs/>
                                <w:color w:val="000000"/>
                                <w:sz w:val="15"/>
                                <w:szCs w:val="15"/>
                              </w:rPr>
                              <w:t>,</w:t>
                            </w:r>
                            <w:r>
                              <w:rPr>
                                <w:rFonts w:ascii="Times New Roman" w:eastAsia="Times New Roman" w:hAnsi="Times New Roman" w:cs="Times New Roman"/>
                                <w:color w:val="000000"/>
                                <w:sz w:val="16"/>
                                <w:szCs w:val="16"/>
                              </w:rPr>
                              <w:t xml:space="preserve"> infección por</w:t>
                            </w:r>
                          </w:p>
                        </w:tc>
                        <w:tc>
                          <w:tcPr>
                            <w:tcW w:w="8707" w:type="dxa"/>
                            <w:gridSpan w:val="3"/>
                            <w:shd w:val="clear" w:color="auto" w:fill="FFFFFF"/>
                          </w:tcPr>
                          <w:p w14:paraId="499BB9CD" w14:textId="77777777" w:rsidR="00924992" w:rsidRDefault="00924992">
                            <w:pPr>
                              <w:rPr>
                                <w:sz w:val="10"/>
                                <w:szCs w:val="10"/>
                              </w:rPr>
                            </w:pPr>
                          </w:p>
                        </w:tc>
                      </w:tr>
                      <w:tr w:rsidR="00924992" w14:paraId="5C5410CB" w14:textId="77777777">
                        <w:tblPrEx>
                          <w:tblCellMar>
                            <w:top w:w="0" w:type="dxa"/>
                            <w:bottom w:w="0" w:type="dxa"/>
                          </w:tblCellMar>
                        </w:tblPrEx>
                        <w:trPr>
                          <w:trHeight w:hRule="exact" w:val="437"/>
                        </w:trPr>
                        <w:tc>
                          <w:tcPr>
                            <w:tcW w:w="2726" w:type="dxa"/>
                            <w:shd w:val="clear" w:color="auto" w:fill="FFFFFF"/>
                          </w:tcPr>
                          <w:p w14:paraId="3DC23F18" w14:textId="77777777" w:rsidR="00924992" w:rsidRDefault="00924992">
                            <w:pPr>
                              <w:pStyle w:val="Other0"/>
                              <w:spacing w:line="240" w:lineRule="auto"/>
                              <w:ind w:firstLine="160"/>
                              <w:rPr>
                                <w:sz w:val="16"/>
                                <w:szCs w:val="16"/>
                              </w:rPr>
                            </w:pPr>
                            <w:r>
                              <w:rPr>
                                <w:rFonts w:ascii="Times New Roman" w:eastAsia="Times New Roman" w:hAnsi="Times New Roman" w:cs="Times New Roman"/>
                                <w:color w:val="000000"/>
                                <w:sz w:val="16"/>
                                <w:szCs w:val="16"/>
                              </w:rPr>
                              <w:t>Fármaco más indicado</w:t>
                            </w:r>
                            <w:r>
                              <w:rPr>
                                <w:rFonts w:ascii="Times New Roman" w:eastAsia="Times New Roman" w:hAnsi="Times New Roman" w:cs="Times New Roman"/>
                                <w:color w:val="000000"/>
                                <w:sz w:val="16"/>
                                <w:szCs w:val="16"/>
                                <w:vertAlign w:val="superscript"/>
                              </w:rPr>
                              <w:t>:19</w:t>
                            </w:r>
                          </w:p>
                        </w:tc>
                        <w:tc>
                          <w:tcPr>
                            <w:tcW w:w="2390" w:type="dxa"/>
                            <w:shd w:val="clear" w:color="auto" w:fill="FFFFFF"/>
                          </w:tcPr>
                          <w:p w14:paraId="5FFB5029" w14:textId="77777777" w:rsidR="00924992" w:rsidRDefault="00924992">
                            <w:pPr>
                              <w:pStyle w:val="Other0"/>
                              <w:spacing w:line="240" w:lineRule="auto"/>
                              <w:ind w:firstLine="160"/>
                              <w:rPr>
                                <w:sz w:val="16"/>
                                <w:szCs w:val="16"/>
                              </w:rPr>
                            </w:pPr>
                            <w:r>
                              <w:rPr>
                                <w:rFonts w:ascii="Times New Roman" w:eastAsia="Times New Roman" w:hAnsi="Times New Roman" w:cs="Times New Roman"/>
                                <w:color w:val="000000"/>
                                <w:sz w:val="16"/>
                                <w:szCs w:val="16"/>
                              </w:rPr>
                              <w:t>Trimetoprim-sulfametoxazol</w:t>
                            </w:r>
                            <w:r>
                              <w:rPr>
                                <w:rFonts w:ascii="Times New Roman" w:eastAsia="Times New Roman" w:hAnsi="Times New Roman" w:cs="Times New Roman"/>
                                <w:color w:val="000000"/>
                                <w:sz w:val="16"/>
                                <w:szCs w:val="16"/>
                                <w:vertAlign w:val="superscript"/>
                              </w:rPr>
                              <w:t>3</w:t>
                            </w:r>
                          </w:p>
                        </w:tc>
                        <w:tc>
                          <w:tcPr>
                            <w:tcW w:w="3245" w:type="dxa"/>
                            <w:shd w:val="clear" w:color="auto" w:fill="FFFFFF"/>
                            <w:vAlign w:val="bottom"/>
                          </w:tcPr>
                          <w:p w14:paraId="473F29EF" w14:textId="77777777" w:rsidR="00924992" w:rsidRDefault="00924992">
                            <w:pPr>
                              <w:pStyle w:val="Other0"/>
                              <w:spacing w:line="300" w:lineRule="auto"/>
                              <w:ind w:left="660" w:hanging="100"/>
                              <w:rPr>
                                <w:sz w:val="16"/>
                                <w:szCs w:val="16"/>
                              </w:rPr>
                            </w:pPr>
                            <w:r>
                              <w:rPr>
                                <w:rFonts w:ascii="Times New Roman" w:eastAsia="Times New Roman" w:hAnsi="Times New Roman" w:cs="Times New Roman"/>
                                <w:color w:val="000000"/>
                                <w:sz w:val="16"/>
                                <w:szCs w:val="16"/>
                              </w:rPr>
                              <w:t xml:space="preserve">TMP 160 mg SMX 800 mg bid </w:t>
                            </w:r>
                            <w:r>
                              <w:rPr>
                                <w:rFonts w:ascii="Arial" w:eastAsia="Arial" w:hAnsi="Arial" w:cs="Arial"/>
                                <w:color w:val="000000"/>
                                <w:sz w:val="14"/>
                                <w:szCs w:val="14"/>
                              </w:rPr>
                              <w:t xml:space="preserve">x </w:t>
                            </w:r>
                            <w:r>
                              <w:rPr>
                                <w:rFonts w:ascii="Times New Roman" w:eastAsia="Times New Roman" w:hAnsi="Times New Roman" w:cs="Times New Roman"/>
                                <w:color w:val="000000"/>
                                <w:sz w:val="16"/>
                                <w:szCs w:val="16"/>
                              </w:rPr>
                              <w:t>7-10 días</w:t>
                            </w:r>
                          </w:p>
                        </w:tc>
                        <w:tc>
                          <w:tcPr>
                            <w:tcW w:w="3072" w:type="dxa"/>
                            <w:shd w:val="clear" w:color="auto" w:fill="FFFFFF"/>
                            <w:vAlign w:val="bottom"/>
                          </w:tcPr>
                          <w:p w14:paraId="5D388506" w14:textId="77777777" w:rsidR="00924992" w:rsidRDefault="00924992">
                            <w:pPr>
                              <w:pStyle w:val="Other0"/>
                              <w:spacing w:line="300" w:lineRule="auto"/>
                              <w:ind w:left="280" w:hanging="100"/>
                              <w:rPr>
                                <w:sz w:val="16"/>
                                <w:szCs w:val="16"/>
                              </w:rPr>
                            </w:pPr>
                            <w:r>
                              <w:rPr>
                                <w:rFonts w:ascii="Times New Roman" w:eastAsia="Times New Roman" w:hAnsi="Times New Roman" w:cs="Times New Roman"/>
                                <w:color w:val="000000"/>
                                <w:sz w:val="16"/>
                                <w:szCs w:val="16"/>
                              </w:rPr>
                              <w:t xml:space="preserve">TMP 5 mg/kg, SMX 25 mg/kg bid </w:t>
                            </w:r>
                            <w:r>
                              <w:rPr>
                                <w:rFonts w:ascii="Arial" w:eastAsia="Arial" w:hAnsi="Arial" w:cs="Arial"/>
                                <w:color w:val="000000"/>
                                <w:sz w:val="14"/>
                                <w:szCs w:val="14"/>
                              </w:rPr>
                              <w:t xml:space="preserve">x </w:t>
                            </w:r>
                            <w:r>
                              <w:rPr>
                                <w:rFonts w:ascii="Times New Roman" w:eastAsia="Times New Roman" w:hAnsi="Times New Roman" w:cs="Times New Roman"/>
                                <w:color w:val="000000"/>
                                <w:sz w:val="16"/>
                                <w:szCs w:val="16"/>
                              </w:rPr>
                              <w:t>7-10 días</w:t>
                            </w:r>
                          </w:p>
                        </w:tc>
                      </w:tr>
                      <w:tr w:rsidR="00924992" w14:paraId="0A578818" w14:textId="77777777">
                        <w:tblPrEx>
                          <w:tblCellMar>
                            <w:top w:w="0" w:type="dxa"/>
                            <w:bottom w:w="0" w:type="dxa"/>
                          </w:tblCellMar>
                        </w:tblPrEx>
                        <w:trPr>
                          <w:trHeight w:hRule="exact" w:val="235"/>
                        </w:trPr>
                        <w:tc>
                          <w:tcPr>
                            <w:tcW w:w="2726" w:type="dxa"/>
                            <w:shd w:val="clear" w:color="auto" w:fill="FFFFFF"/>
                            <w:vAlign w:val="bottom"/>
                          </w:tcPr>
                          <w:p w14:paraId="20151EE1" w14:textId="77777777" w:rsidR="00924992" w:rsidRDefault="00924992">
                            <w:pPr>
                              <w:pStyle w:val="Other0"/>
                              <w:spacing w:line="240" w:lineRule="auto"/>
                              <w:ind w:firstLine="0"/>
                              <w:rPr>
                                <w:sz w:val="16"/>
                                <w:szCs w:val="16"/>
                              </w:rPr>
                            </w:pPr>
                            <w:r>
                              <w:rPr>
                                <w:rFonts w:ascii="Times New Roman" w:eastAsia="Times New Roman" w:hAnsi="Times New Roman" w:cs="Times New Roman"/>
                                <w:b/>
                                <w:bCs/>
                                <w:i/>
                                <w:iCs/>
                                <w:color w:val="000000"/>
                                <w:sz w:val="17"/>
                                <w:szCs w:val="17"/>
                              </w:rPr>
                              <w:t xml:space="preserve">DIENTAMOEBA </w:t>
                            </w:r>
                            <w:r>
                              <w:rPr>
                                <w:rFonts w:ascii="Times New Roman" w:eastAsia="Times New Roman" w:hAnsi="Times New Roman" w:cs="Times New Roman"/>
                                <w:i/>
                                <w:iCs/>
                                <w:color w:val="000000"/>
                                <w:sz w:val="16"/>
                                <w:szCs w:val="16"/>
                              </w:rPr>
                              <w:t>fragilis</w:t>
                            </w:r>
                            <w:r>
                              <w:rPr>
                                <w:rFonts w:ascii="Times New Roman" w:eastAsia="Times New Roman" w:hAnsi="Times New Roman" w:cs="Times New Roman"/>
                                <w:i/>
                                <w:iCs/>
                                <w:color w:val="000000"/>
                                <w:sz w:val="15"/>
                                <w:szCs w:val="15"/>
                              </w:rPr>
                              <w:t>,</w:t>
                            </w:r>
                            <w:r>
                              <w:rPr>
                                <w:rFonts w:ascii="Times New Roman" w:eastAsia="Times New Roman" w:hAnsi="Times New Roman" w:cs="Times New Roman"/>
                                <w:color w:val="000000"/>
                                <w:sz w:val="16"/>
                                <w:szCs w:val="16"/>
                              </w:rPr>
                              <w:t xml:space="preserve"> infección</w:t>
                            </w:r>
                          </w:p>
                        </w:tc>
                        <w:tc>
                          <w:tcPr>
                            <w:tcW w:w="8707" w:type="dxa"/>
                            <w:gridSpan w:val="3"/>
                            <w:shd w:val="clear" w:color="auto" w:fill="FFFFFF"/>
                          </w:tcPr>
                          <w:p w14:paraId="654E5D20" w14:textId="77777777" w:rsidR="00924992" w:rsidRDefault="00924992">
                            <w:pPr>
                              <w:rPr>
                                <w:sz w:val="10"/>
                                <w:szCs w:val="10"/>
                              </w:rPr>
                            </w:pPr>
                          </w:p>
                        </w:tc>
                      </w:tr>
                      <w:tr w:rsidR="00924992" w14:paraId="29EBFF2D" w14:textId="77777777">
                        <w:tblPrEx>
                          <w:tblCellMar>
                            <w:top w:w="0" w:type="dxa"/>
                            <w:bottom w:w="0" w:type="dxa"/>
                          </w:tblCellMar>
                        </w:tblPrEx>
                        <w:trPr>
                          <w:trHeight w:hRule="exact" w:val="413"/>
                        </w:trPr>
                        <w:tc>
                          <w:tcPr>
                            <w:tcW w:w="2726" w:type="dxa"/>
                            <w:shd w:val="clear" w:color="auto" w:fill="FFFFFF"/>
                          </w:tcPr>
                          <w:p w14:paraId="5B0CB0AC" w14:textId="77777777" w:rsidR="00924992" w:rsidRDefault="00924992">
                            <w:pPr>
                              <w:pStyle w:val="Other0"/>
                              <w:spacing w:line="240" w:lineRule="auto"/>
                              <w:ind w:firstLine="160"/>
                              <w:rPr>
                                <w:sz w:val="16"/>
                                <w:szCs w:val="16"/>
                              </w:rPr>
                            </w:pPr>
                            <w:r>
                              <w:rPr>
                                <w:rFonts w:ascii="Times New Roman" w:eastAsia="Times New Roman" w:hAnsi="Times New Roman" w:cs="Times New Roman"/>
                                <w:color w:val="000000"/>
                                <w:sz w:val="16"/>
                                <w:szCs w:val="16"/>
                              </w:rPr>
                              <w:t>Fármaco más indicado:</w:t>
                            </w:r>
                          </w:p>
                        </w:tc>
                        <w:tc>
                          <w:tcPr>
                            <w:tcW w:w="2390" w:type="dxa"/>
                            <w:shd w:val="clear" w:color="auto" w:fill="FFFFFF"/>
                          </w:tcPr>
                          <w:p w14:paraId="10E299EB" w14:textId="77777777" w:rsidR="00924992" w:rsidRDefault="00924992">
                            <w:pPr>
                              <w:pStyle w:val="Other0"/>
                              <w:spacing w:line="240" w:lineRule="auto"/>
                              <w:ind w:firstLine="160"/>
                              <w:rPr>
                                <w:sz w:val="16"/>
                                <w:szCs w:val="16"/>
                              </w:rPr>
                            </w:pPr>
                            <w:r>
                              <w:rPr>
                                <w:rFonts w:ascii="Times New Roman" w:eastAsia="Times New Roman" w:hAnsi="Times New Roman" w:cs="Times New Roman"/>
                                <w:color w:val="000000"/>
                                <w:sz w:val="16"/>
                                <w:szCs w:val="16"/>
                              </w:rPr>
                              <w:t>Yodoquinol</w:t>
                            </w:r>
                          </w:p>
                        </w:tc>
                        <w:tc>
                          <w:tcPr>
                            <w:tcW w:w="3245" w:type="dxa"/>
                            <w:shd w:val="clear" w:color="auto" w:fill="FFFFFF"/>
                          </w:tcPr>
                          <w:p w14:paraId="60378145" w14:textId="77777777" w:rsidR="00924992" w:rsidRDefault="00924992">
                            <w:pPr>
                              <w:pStyle w:val="Other0"/>
                              <w:spacing w:line="240" w:lineRule="auto"/>
                              <w:ind w:firstLine="560"/>
                              <w:rPr>
                                <w:sz w:val="16"/>
                                <w:szCs w:val="16"/>
                              </w:rPr>
                            </w:pPr>
                            <w:r>
                              <w:rPr>
                                <w:rFonts w:ascii="Times New Roman" w:eastAsia="Times New Roman" w:hAnsi="Times New Roman" w:cs="Times New Roman"/>
                                <w:color w:val="000000"/>
                                <w:sz w:val="16"/>
                                <w:szCs w:val="16"/>
                              </w:rPr>
                              <w:t xml:space="preserve">650 mg tid </w:t>
                            </w:r>
                            <w:r>
                              <w:rPr>
                                <w:rFonts w:ascii="Arial" w:eastAsia="Arial" w:hAnsi="Arial" w:cs="Arial"/>
                                <w:color w:val="000000"/>
                                <w:sz w:val="14"/>
                                <w:szCs w:val="14"/>
                              </w:rPr>
                              <w:t xml:space="preserve">x </w:t>
                            </w:r>
                            <w:r>
                              <w:rPr>
                                <w:rFonts w:ascii="Times New Roman" w:eastAsia="Times New Roman" w:hAnsi="Times New Roman" w:cs="Times New Roman"/>
                                <w:color w:val="000000"/>
                                <w:sz w:val="16"/>
                                <w:szCs w:val="16"/>
                              </w:rPr>
                              <w:t>20 días</w:t>
                            </w:r>
                          </w:p>
                        </w:tc>
                        <w:tc>
                          <w:tcPr>
                            <w:tcW w:w="3072" w:type="dxa"/>
                            <w:shd w:val="clear" w:color="auto" w:fill="FFFFFF"/>
                          </w:tcPr>
                          <w:p w14:paraId="4C67170C" w14:textId="77777777" w:rsidR="00924992" w:rsidRDefault="00924992">
                            <w:pPr>
                              <w:pStyle w:val="Other0"/>
                              <w:spacing w:line="300" w:lineRule="auto"/>
                              <w:ind w:left="280" w:hanging="100"/>
                              <w:rPr>
                                <w:sz w:val="16"/>
                                <w:szCs w:val="16"/>
                              </w:rPr>
                            </w:pPr>
                            <w:r>
                              <w:rPr>
                                <w:rFonts w:ascii="Times New Roman" w:eastAsia="Times New Roman" w:hAnsi="Times New Roman" w:cs="Times New Roman"/>
                                <w:color w:val="000000"/>
                                <w:sz w:val="16"/>
                                <w:szCs w:val="16"/>
                              </w:rPr>
                              <w:t xml:space="preserve">30-40 mg/kg/día (máx. 2 g) en 3 dosis </w:t>
                            </w:r>
                            <w:r>
                              <w:rPr>
                                <w:rFonts w:ascii="Arial" w:eastAsia="Arial" w:hAnsi="Arial" w:cs="Arial"/>
                                <w:color w:val="000000"/>
                                <w:sz w:val="14"/>
                                <w:szCs w:val="14"/>
                              </w:rPr>
                              <w:t xml:space="preserve">x </w:t>
                            </w:r>
                            <w:r>
                              <w:rPr>
                                <w:rFonts w:ascii="Times New Roman" w:eastAsia="Times New Roman" w:hAnsi="Times New Roman" w:cs="Times New Roman"/>
                                <w:color w:val="000000"/>
                                <w:sz w:val="16"/>
                                <w:szCs w:val="16"/>
                              </w:rPr>
                              <w:t>20 días</w:t>
                            </w:r>
                          </w:p>
                        </w:tc>
                      </w:tr>
                      <w:tr w:rsidR="00924992" w14:paraId="1E9B76BF" w14:textId="77777777">
                        <w:tblPrEx>
                          <w:tblCellMar>
                            <w:top w:w="0" w:type="dxa"/>
                            <w:bottom w:w="0" w:type="dxa"/>
                          </w:tblCellMar>
                        </w:tblPrEx>
                        <w:trPr>
                          <w:trHeight w:hRule="exact" w:val="230"/>
                        </w:trPr>
                        <w:tc>
                          <w:tcPr>
                            <w:tcW w:w="2726" w:type="dxa"/>
                            <w:shd w:val="clear" w:color="auto" w:fill="FFFFFF"/>
                            <w:vAlign w:val="bottom"/>
                          </w:tcPr>
                          <w:p w14:paraId="5DA936B1" w14:textId="77777777" w:rsidR="00924992" w:rsidRDefault="00924992">
                            <w:pPr>
                              <w:pStyle w:val="Other0"/>
                              <w:spacing w:line="240" w:lineRule="auto"/>
                              <w:ind w:firstLine="160"/>
                              <w:rPr>
                                <w:sz w:val="16"/>
                                <w:szCs w:val="16"/>
                              </w:rPr>
                            </w:pPr>
                            <w:r>
                              <w:rPr>
                                <w:rFonts w:ascii="Times New Roman" w:eastAsia="Times New Roman" w:hAnsi="Times New Roman" w:cs="Times New Roman"/>
                                <w:b/>
                                <w:bCs/>
                                <w:color w:val="000000"/>
                                <w:sz w:val="16"/>
                                <w:szCs w:val="16"/>
                              </w:rPr>
                              <w:t>O</w:t>
                            </w:r>
                          </w:p>
                        </w:tc>
                        <w:tc>
                          <w:tcPr>
                            <w:tcW w:w="2390" w:type="dxa"/>
                            <w:shd w:val="clear" w:color="auto" w:fill="FFFFFF"/>
                            <w:vAlign w:val="bottom"/>
                          </w:tcPr>
                          <w:p w14:paraId="3FA3F9DF" w14:textId="77777777" w:rsidR="00924992" w:rsidRDefault="00924992">
                            <w:pPr>
                              <w:pStyle w:val="Other0"/>
                              <w:spacing w:line="240" w:lineRule="auto"/>
                              <w:ind w:firstLine="160"/>
                              <w:rPr>
                                <w:sz w:val="16"/>
                                <w:szCs w:val="16"/>
                              </w:rPr>
                            </w:pPr>
                            <w:r>
                              <w:rPr>
                                <w:rFonts w:ascii="Times New Roman" w:eastAsia="Times New Roman" w:hAnsi="Times New Roman" w:cs="Times New Roman"/>
                                <w:color w:val="000000"/>
                                <w:sz w:val="16"/>
                                <w:szCs w:val="16"/>
                              </w:rPr>
                              <w:t>Paromomicina</w:t>
                            </w:r>
                            <w:r>
                              <w:rPr>
                                <w:rFonts w:ascii="Times New Roman" w:eastAsia="Times New Roman" w:hAnsi="Times New Roman" w:cs="Times New Roman"/>
                                <w:color w:val="000000"/>
                                <w:sz w:val="16"/>
                                <w:szCs w:val="16"/>
                                <w:vertAlign w:val="superscript"/>
                              </w:rPr>
                              <w:t>3</w:t>
                            </w:r>
                          </w:p>
                        </w:tc>
                        <w:tc>
                          <w:tcPr>
                            <w:tcW w:w="3245" w:type="dxa"/>
                            <w:shd w:val="clear" w:color="auto" w:fill="FFFFFF"/>
                            <w:vAlign w:val="bottom"/>
                          </w:tcPr>
                          <w:p w14:paraId="10B5A420" w14:textId="77777777" w:rsidR="00924992" w:rsidRDefault="00924992">
                            <w:pPr>
                              <w:pStyle w:val="Other0"/>
                              <w:spacing w:line="240" w:lineRule="auto"/>
                              <w:ind w:firstLine="560"/>
                              <w:rPr>
                                <w:sz w:val="16"/>
                                <w:szCs w:val="16"/>
                              </w:rPr>
                            </w:pPr>
                            <w:r>
                              <w:rPr>
                                <w:rFonts w:ascii="Times New Roman" w:eastAsia="Times New Roman" w:hAnsi="Times New Roman" w:cs="Times New Roman"/>
                                <w:color w:val="000000"/>
                                <w:sz w:val="16"/>
                                <w:szCs w:val="16"/>
                              </w:rPr>
                              <w:t xml:space="preserve">25-35 mg/kg/día en 3 dosis </w:t>
                            </w:r>
                            <w:r>
                              <w:rPr>
                                <w:rFonts w:ascii="Arial" w:eastAsia="Arial" w:hAnsi="Arial" w:cs="Arial"/>
                                <w:color w:val="000000"/>
                                <w:sz w:val="14"/>
                                <w:szCs w:val="14"/>
                              </w:rPr>
                              <w:t xml:space="preserve">x </w:t>
                            </w:r>
                            <w:r>
                              <w:rPr>
                                <w:rFonts w:ascii="Times New Roman" w:eastAsia="Times New Roman" w:hAnsi="Times New Roman" w:cs="Times New Roman"/>
                                <w:color w:val="000000"/>
                                <w:sz w:val="16"/>
                                <w:szCs w:val="16"/>
                              </w:rPr>
                              <w:t>7 días</w:t>
                            </w:r>
                          </w:p>
                        </w:tc>
                        <w:tc>
                          <w:tcPr>
                            <w:tcW w:w="3072" w:type="dxa"/>
                            <w:shd w:val="clear" w:color="auto" w:fill="FFFFFF"/>
                            <w:vAlign w:val="bottom"/>
                          </w:tcPr>
                          <w:p w14:paraId="23661760" w14:textId="77777777" w:rsidR="00924992" w:rsidRDefault="00924992">
                            <w:pPr>
                              <w:pStyle w:val="Other0"/>
                              <w:spacing w:line="240" w:lineRule="auto"/>
                              <w:ind w:firstLine="180"/>
                              <w:rPr>
                                <w:sz w:val="16"/>
                                <w:szCs w:val="16"/>
                              </w:rPr>
                            </w:pPr>
                            <w:r>
                              <w:rPr>
                                <w:rFonts w:ascii="Times New Roman" w:eastAsia="Times New Roman" w:hAnsi="Times New Roman" w:cs="Times New Roman"/>
                                <w:color w:val="000000"/>
                                <w:sz w:val="16"/>
                                <w:szCs w:val="16"/>
                              </w:rPr>
                              <w:t xml:space="preserve">25-35 mg/kg/día en 3 dosis </w:t>
                            </w:r>
                            <w:r>
                              <w:rPr>
                                <w:rFonts w:ascii="Arial" w:eastAsia="Arial" w:hAnsi="Arial" w:cs="Arial"/>
                                <w:color w:val="000000"/>
                                <w:sz w:val="14"/>
                                <w:szCs w:val="14"/>
                              </w:rPr>
                              <w:t xml:space="preserve">x </w:t>
                            </w:r>
                            <w:r>
                              <w:rPr>
                                <w:rFonts w:ascii="Times New Roman" w:eastAsia="Times New Roman" w:hAnsi="Times New Roman" w:cs="Times New Roman"/>
                                <w:color w:val="000000"/>
                                <w:sz w:val="16"/>
                                <w:szCs w:val="16"/>
                              </w:rPr>
                              <w:t>7 días</w:t>
                            </w:r>
                          </w:p>
                        </w:tc>
                      </w:tr>
                      <w:tr w:rsidR="00924992" w14:paraId="1C70CEAB" w14:textId="77777777">
                        <w:tblPrEx>
                          <w:tblCellMar>
                            <w:top w:w="0" w:type="dxa"/>
                            <w:bottom w:w="0" w:type="dxa"/>
                          </w:tblCellMar>
                        </w:tblPrEx>
                        <w:trPr>
                          <w:trHeight w:hRule="exact" w:val="432"/>
                        </w:trPr>
                        <w:tc>
                          <w:tcPr>
                            <w:tcW w:w="2726" w:type="dxa"/>
                            <w:shd w:val="clear" w:color="auto" w:fill="FFFFFF"/>
                          </w:tcPr>
                          <w:p w14:paraId="4D27520E" w14:textId="77777777" w:rsidR="00924992" w:rsidRDefault="00924992">
                            <w:pPr>
                              <w:pStyle w:val="Other0"/>
                              <w:spacing w:line="240" w:lineRule="auto"/>
                              <w:ind w:firstLine="160"/>
                              <w:rPr>
                                <w:sz w:val="16"/>
                                <w:szCs w:val="16"/>
                              </w:rPr>
                            </w:pPr>
                            <w:r>
                              <w:rPr>
                                <w:rFonts w:ascii="Times New Roman" w:eastAsia="Times New Roman" w:hAnsi="Times New Roman" w:cs="Times New Roman"/>
                                <w:b/>
                                <w:bCs/>
                                <w:color w:val="000000"/>
                                <w:sz w:val="16"/>
                                <w:szCs w:val="16"/>
                              </w:rPr>
                              <w:t>O</w:t>
                            </w:r>
                          </w:p>
                        </w:tc>
                        <w:tc>
                          <w:tcPr>
                            <w:tcW w:w="2390" w:type="dxa"/>
                            <w:shd w:val="clear" w:color="auto" w:fill="FFFFFF"/>
                          </w:tcPr>
                          <w:p w14:paraId="7883C6AA" w14:textId="77777777" w:rsidR="00924992" w:rsidRDefault="00924992">
                            <w:pPr>
                              <w:pStyle w:val="Other0"/>
                              <w:spacing w:line="240" w:lineRule="auto"/>
                              <w:ind w:firstLine="160"/>
                              <w:rPr>
                                <w:sz w:val="16"/>
                                <w:szCs w:val="16"/>
                              </w:rPr>
                            </w:pPr>
                            <w:r>
                              <w:rPr>
                                <w:rFonts w:ascii="Times New Roman" w:eastAsia="Times New Roman" w:hAnsi="Times New Roman" w:cs="Times New Roman"/>
                                <w:color w:val="000000"/>
                                <w:sz w:val="16"/>
                                <w:szCs w:val="16"/>
                              </w:rPr>
                              <w:t>Tetraciclina</w:t>
                            </w:r>
                            <w:r>
                              <w:rPr>
                                <w:rFonts w:ascii="Times New Roman" w:eastAsia="Times New Roman" w:hAnsi="Times New Roman" w:cs="Times New Roman"/>
                                <w:color w:val="000000"/>
                                <w:sz w:val="16"/>
                                <w:szCs w:val="16"/>
                                <w:vertAlign w:val="superscript"/>
                              </w:rPr>
                              <w:t>3,15</w:t>
                            </w:r>
                          </w:p>
                        </w:tc>
                        <w:tc>
                          <w:tcPr>
                            <w:tcW w:w="3245" w:type="dxa"/>
                            <w:shd w:val="clear" w:color="auto" w:fill="FFFFFF"/>
                          </w:tcPr>
                          <w:p w14:paraId="726950F4" w14:textId="77777777" w:rsidR="00924992" w:rsidRDefault="00924992">
                            <w:pPr>
                              <w:pStyle w:val="Other0"/>
                              <w:spacing w:line="240" w:lineRule="auto"/>
                              <w:ind w:firstLine="560"/>
                              <w:rPr>
                                <w:sz w:val="16"/>
                                <w:szCs w:val="16"/>
                              </w:rPr>
                            </w:pPr>
                            <w:r>
                              <w:rPr>
                                <w:rFonts w:ascii="Times New Roman" w:eastAsia="Times New Roman" w:hAnsi="Times New Roman" w:cs="Times New Roman"/>
                                <w:color w:val="000000"/>
                                <w:sz w:val="16"/>
                                <w:szCs w:val="16"/>
                              </w:rPr>
                              <w:t xml:space="preserve">500 mg qid </w:t>
                            </w:r>
                            <w:r>
                              <w:rPr>
                                <w:rFonts w:ascii="Arial" w:eastAsia="Arial" w:hAnsi="Arial" w:cs="Arial"/>
                                <w:color w:val="000000"/>
                                <w:sz w:val="14"/>
                                <w:szCs w:val="14"/>
                              </w:rPr>
                              <w:t xml:space="preserve">x </w:t>
                            </w:r>
                            <w:r>
                              <w:rPr>
                                <w:rFonts w:ascii="Times New Roman" w:eastAsia="Times New Roman" w:hAnsi="Times New Roman" w:cs="Times New Roman"/>
                                <w:color w:val="000000"/>
                                <w:sz w:val="16"/>
                                <w:szCs w:val="16"/>
                              </w:rPr>
                              <w:t>10 días</w:t>
                            </w:r>
                          </w:p>
                        </w:tc>
                        <w:tc>
                          <w:tcPr>
                            <w:tcW w:w="3072" w:type="dxa"/>
                            <w:shd w:val="clear" w:color="auto" w:fill="FFFFFF"/>
                          </w:tcPr>
                          <w:p w14:paraId="4D53A1BE" w14:textId="77777777" w:rsidR="00924992" w:rsidRDefault="00924992">
                            <w:pPr>
                              <w:pStyle w:val="Other0"/>
                              <w:spacing w:line="300" w:lineRule="auto"/>
                              <w:ind w:left="280" w:hanging="100"/>
                              <w:rPr>
                                <w:sz w:val="16"/>
                                <w:szCs w:val="16"/>
                              </w:rPr>
                            </w:pPr>
                            <w:r>
                              <w:rPr>
                                <w:rFonts w:ascii="Times New Roman" w:eastAsia="Times New Roman" w:hAnsi="Times New Roman" w:cs="Times New Roman"/>
                                <w:color w:val="000000"/>
                                <w:sz w:val="16"/>
                                <w:szCs w:val="16"/>
                              </w:rPr>
                              <w:t xml:space="preserve">40 mg/kg/día (máx. 2 g) en 4 dosis </w:t>
                            </w:r>
                            <w:r>
                              <w:rPr>
                                <w:rFonts w:ascii="Arial" w:eastAsia="Arial" w:hAnsi="Arial" w:cs="Arial"/>
                                <w:color w:val="000000"/>
                                <w:sz w:val="14"/>
                                <w:szCs w:val="14"/>
                              </w:rPr>
                              <w:t xml:space="preserve">x </w:t>
                            </w:r>
                            <w:r>
                              <w:rPr>
                                <w:rFonts w:ascii="Times New Roman" w:eastAsia="Times New Roman" w:hAnsi="Times New Roman" w:cs="Times New Roman"/>
                                <w:color w:val="000000"/>
                                <w:sz w:val="16"/>
                                <w:szCs w:val="16"/>
                              </w:rPr>
                              <w:t>10 días</w:t>
                            </w:r>
                          </w:p>
                        </w:tc>
                      </w:tr>
                      <w:tr w:rsidR="00924992" w14:paraId="69448219" w14:textId="77777777">
                        <w:tblPrEx>
                          <w:tblCellMar>
                            <w:top w:w="0" w:type="dxa"/>
                            <w:bottom w:w="0" w:type="dxa"/>
                          </w:tblCellMar>
                        </w:tblPrEx>
                        <w:trPr>
                          <w:trHeight w:hRule="exact" w:val="245"/>
                        </w:trPr>
                        <w:tc>
                          <w:tcPr>
                            <w:tcW w:w="2726" w:type="dxa"/>
                            <w:shd w:val="clear" w:color="auto" w:fill="FFFFFF"/>
                          </w:tcPr>
                          <w:p w14:paraId="2EB52507" w14:textId="77777777" w:rsidR="00924992" w:rsidRDefault="00924992">
                            <w:pPr>
                              <w:pStyle w:val="Other0"/>
                              <w:spacing w:line="240" w:lineRule="auto"/>
                              <w:ind w:firstLine="160"/>
                              <w:rPr>
                                <w:sz w:val="16"/>
                                <w:szCs w:val="16"/>
                              </w:rPr>
                            </w:pPr>
                            <w:r>
                              <w:rPr>
                                <w:rFonts w:ascii="Times New Roman" w:eastAsia="Times New Roman" w:hAnsi="Times New Roman" w:cs="Times New Roman"/>
                                <w:b/>
                                <w:bCs/>
                                <w:color w:val="000000"/>
                                <w:sz w:val="16"/>
                                <w:szCs w:val="16"/>
                              </w:rPr>
                              <w:t>O</w:t>
                            </w:r>
                          </w:p>
                        </w:tc>
                        <w:tc>
                          <w:tcPr>
                            <w:tcW w:w="2390" w:type="dxa"/>
                            <w:shd w:val="clear" w:color="auto" w:fill="FFFFFF"/>
                          </w:tcPr>
                          <w:p w14:paraId="765A4C24" w14:textId="77777777" w:rsidR="00924992" w:rsidRDefault="00924992">
                            <w:pPr>
                              <w:pStyle w:val="Other0"/>
                              <w:spacing w:line="240" w:lineRule="auto"/>
                              <w:ind w:firstLine="160"/>
                              <w:rPr>
                                <w:sz w:val="16"/>
                                <w:szCs w:val="16"/>
                              </w:rPr>
                            </w:pPr>
                            <w:r>
                              <w:rPr>
                                <w:rFonts w:ascii="Times New Roman" w:eastAsia="Times New Roman" w:hAnsi="Times New Roman" w:cs="Times New Roman"/>
                                <w:color w:val="000000"/>
                                <w:sz w:val="16"/>
                                <w:szCs w:val="16"/>
                              </w:rPr>
                              <w:t>Metronidazol</w:t>
                            </w:r>
                          </w:p>
                        </w:tc>
                        <w:tc>
                          <w:tcPr>
                            <w:tcW w:w="3245" w:type="dxa"/>
                            <w:shd w:val="clear" w:color="auto" w:fill="FFFFFF"/>
                          </w:tcPr>
                          <w:p w14:paraId="0127EFAD" w14:textId="77777777" w:rsidR="00924992" w:rsidRDefault="00924992">
                            <w:pPr>
                              <w:pStyle w:val="Other0"/>
                              <w:spacing w:line="240" w:lineRule="auto"/>
                              <w:ind w:firstLine="560"/>
                              <w:rPr>
                                <w:sz w:val="16"/>
                                <w:szCs w:val="16"/>
                              </w:rPr>
                            </w:pPr>
                            <w:r>
                              <w:rPr>
                                <w:rFonts w:ascii="Times New Roman" w:eastAsia="Times New Roman" w:hAnsi="Times New Roman" w:cs="Times New Roman"/>
                                <w:color w:val="000000"/>
                                <w:sz w:val="16"/>
                                <w:szCs w:val="16"/>
                              </w:rPr>
                              <w:t xml:space="preserve">500-750 mg tid </w:t>
                            </w:r>
                            <w:r>
                              <w:rPr>
                                <w:rFonts w:ascii="Arial" w:eastAsia="Arial" w:hAnsi="Arial" w:cs="Arial"/>
                                <w:color w:val="000000"/>
                                <w:sz w:val="14"/>
                                <w:szCs w:val="14"/>
                              </w:rPr>
                              <w:t xml:space="preserve">x </w:t>
                            </w:r>
                            <w:r>
                              <w:rPr>
                                <w:rFonts w:ascii="Times New Roman" w:eastAsia="Times New Roman" w:hAnsi="Times New Roman" w:cs="Times New Roman"/>
                                <w:color w:val="000000"/>
                                <w:sz w:val="16"/>
                                <w:szCs w:val="16"/>
                              </w:rPr>
                              <w:t>10 días</w:t>
                            </w:r>
                          </w:p>
                        </w:tc>
                        <w:tc>
                          <w:tcPr>
                            <w:tcW w:w="3072" w:type="dxa"/>
                            <w:shd w:val="clear" w:color="auto" w:fill="FFFFFF"/>
                          </w:tcPr>
                          <w:p w14:paraId="74227738" w14:textId="77777777" w:rsidR="00924992" w:rsidRDefault="00924992">
                            <w:pPr>
                              <w:pStyle w:val="Other0"/>
                              <w:spacing w:line="240" w:lineRule="auto"/>
                              <w:ind w:firstLine="180"/>
                              <w:rPr>
                                <w:sz w:val="16"/>
                                <w:szCs w:val="16"/>
                              </w:rPr>
                            </w:pPr>
                            <w:r>
                              <w:rPr>
                                <w:rFonts w:ascii="Times New Roman" w:eastAsia="Times New Roman" w:hAnsi="Times New Roman" w:cs="Times New Roman"/>
                                <w:color w:val="000000"/>
                                <w:sz w:val="16"/>
                                <w:szCs w:val="16"/>
                              </w:rPr>
                              <w:t xml:space="preserve">20-40 mg/kg/día en 3 dosis </w:t>
                            </w:r>
                            <w:r>
                              <w:rPr>
                                <w:rFonts w:ascii="Arial" w:eastAsia="Arial" w:hAnsi="Arial" w:cs="Arial"/>
                                <w:color w:val="000000"/>
                                <w:sz w:val="14"/>
                                <w:szCs w:val="14"/>
                              </w:rPr>
                              <w:t xml:space="preserve">x </w:t>
                            </w:r>
                            <w:r>
                              <w:rPr>
                                <w:rFonts w:ascii="Times New Roman" w:eastAsia="Times New Roman" w:hAnsi="Times New Roman" w:cs="Times New Roman"/>
                                <w:color w:val="000000"/>
                                <w:sz w:val="16"/>
                                <w:szCs w:val="16"/>
                              </w:rPr>
                              <w:t>10 días</w:t>
                            </w:r>
                          </w:p>
                        </w:tc>
                      </w:tr>
                    </w:tbl>
                    <w:p w14:paraId="043FEDE6" w14:textId="77777777" w:rsidR="00924992" w:rsidRDefault="00924992">
                      <w:pPr>
                        <w:spacing w:line="1" w:lineRule="exact"/>
                      </w:pPr>
                    </w:p>
                  </w:txbxContent>
                </v:textbox>
                <w10:wrap type="topAndBottom" anchorx="page"/>
              </v:shape>
            </w:pict>
          </mc:Fallback>
        </mc:AlternateContent>
      </w:r>
      <w:r>
        <w:rPr>
          <w:noProof/>
        </w:rPr>
        <mc:AlternateContent>
          <mc:Choice Requires="wps">
            <w:drawing>
              <wp:anchor distT="0" distB="0" distL="0" distR="0" simplePos="0" relativeHeight="251789312" behindDoc="0" locked="0" layoutInCell="1" allowOverlap="1" wp14:anchorId="5DEF6E38" wp14:editId="45643382">
                <wp:simplePos x="0" y="0"/>
                <wp:positionH relativeFrom="page">
                  <wp:posOffset>387350</wp:posOffset>
                </wp:positionH>
                <wp:positionV relativeFrom="paragraph">
                  <wp:posOffset>2399030</wp:posOffset>
                </wp:positionV>
                <wp:extent cx="3462655" cy="286385"/>
                <wp:effectExtent l="0" t="0" r="0" b="0"/>
                <wp:wrapNone/>
                <wp:docPr id="2360" name="Shape 2360"/>
                <wp:cNvGraphicFramePr/>
                <a:graphic xmlns:a="http://schemas.openxmlformats.org/drawingml/2006/main">
                  <a:graphicData uri="http://schemas.microsoft.com/office/word/2010/wordprocessingShape">
                    <wps:wsp>
                      <wps:cNvSpPr txBox="1"/>
                      <wps:spPr>
                        <a:xfrm>
                          <a:off x="0" y="0"/>
                          <a:ext cx="3462655" cy="286385"/>
                        </a:xfrm>
                        <a:prstGeom prst="rect">
                          <a:avLst/>
                        </a:prstGeom>
                        <a:noFill/>
                      </wps:spPr>
                      <wps:txbx>
                        <w:txbxContent>
                          <w:p w14:paraId="57C24CCF" w14:textId="77777777" w:rsidR="00924992" w:rsidRDefault="00924992">
                            <w:pPr>
                              <w:pStyle w:val="Tablecaption0"/>
                              <w:spacing w:line="266" w:lineRule="auto"/>
                              <w:ind w:left="0"/>
                              <w:rPr>
                                <w:sz w:val="16"/>
                                <w:szCs w:val="16"/>
                              </w:rPr>
                            </w:pPr>
                            <w:r>
                              <w:rPr>
                                <w:b/>
                                <w:bCs/>
                                <w:i/>
                                <w:iCs/>
                                <w:color w:val="000000"/>
                                <w:sz w:val="17"/>
                                <w:szCs w:val="17"/>
                              </w:rPr>
                              <w:t>Diphyllobothrium latum</w:t>
                            </w:r>
                            <w:r>
                              <w:rPr>
                                <w:i/>
                                <w:iCs/>
                                <w:color w:val="000000"/>
                              </w:rPr>
                              <w:t>,</w:t>
                            </w:r>
                            <w:r>
                              <w:rPr>
                                <w:color w:val="000000"/>
                                <w:sz w:val="16"/>
                                <w:szCs w:val="16"/>
                              </w:rPr>
                              <w:t xml:space="preserve"> véase “VERMES PLANOS (TENIAS), infección” </w:t>
                            </w:r>
                            <w:r>
                              <w:rPr>
                                <w:b/>
                                <w:bCs/>
                                <w:i/>
                                <w:iCs/>
                                <w:color w:val="000000"/>
                                <w:sz w:val="17"/>
                                <w:szCs w:val="17"/>
                              </w:rPr>
                              <w:t xml:space="preserve">DRACUNCULUS </w:t>
                            </w:r>
                            <w:r>
                              <w:rPr>
                                <w:i/>
                                <w:iCs/>
                                <w:color w:val="000000"/>
                                <w:sz w:val="16"/>
                                <w:szCs w:val="16"/>
                              </w:rPr>
                              <w:t>medinensis</w:t>
                            </w:r>
                            <w:r>
                              <w:rPr>
                                <w:color w:val="000000"/>
                                <w:sz w:val="16"/>
                                <w:szCs w:val="16"/>
                              </w:rPr>
                              <w:t xml:space="preserve"> (gusano de guinea), infección</w:t>
                            </w:r>
                          </w:p>
                        </w:txbxContent>
                      </wps:txbx>
                      <wps:bodyPr lIns="0" tIns="0" rIns="0" bIns="0"/>
                    </wps:wsp>
                  </a:graphicData>
                </a:graphic>
              </wp:anchor>
            </w:drawing>
          </mc:Choice>
          <mc:Fallback>
            <w:pict>
              <v:shape w14:anchorId="5DEF6E38" id="Shape 2360" o:spid="_x0000_s1066" type="#_x0000_t202" style="position:absolute;margin-left:30.5pt;margin-top:188.9pt;width:272.65pt;height:22.55pt;z-index:25178931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" filled="f" stroked="f">
                <v:textbox inset="0,0,0,0">
                  <w:txbxContent>
                    <w:p w14:paraId="57C24CCF" w14:textId="77777777" w:rsidR="00924992" w:rsidRDefault="00924992">
                      <w:pPr>
                        <w:pStyle w:val="Tablecaption0"/>
                        <w:spacing w:line="266" w:lineRule="auto"/>
                        <w:ind w:left="0"/>
                        <w:rPr>
                          <w:sz w:val="16"/>
                          <w:szCs w:val="16"/>
                        </w:rPr>
                      </w:pPr>
                      <w:r>
                        <w:rPr>
                          <w:b/>
                          <w:bCs/>
                          <w:i/>
                          <w:iCs/>
                          <w:color w:val="000000"/>
                          <w:sz w:val="17"/>
                          <w:szCs w:val="17"/>
                        </w:rPr>
                        <w:t>Diphyllobothrium latum</w:t>
                      </w:r>
                      <w:r>
                        <w:rPr>
                          <w:i/>
                          <w:iCs/>
                          <w:color w:val="000000"/>
                        </w:rPr>
                        <w:t>,</w:t>
                      </w:r>
                      <w:r>
                        <w:rPr>
                          <w:color w:val="000000"/>
                          <w:sz w:val="16"/>
                          <w:szCs w:val="16"/>
                        </w:rPr>
                        <w:t xml:space="preserve"> véase “VERMES PLANOS (TENIAS), infección” </w:t>
                      </w:r>
                      <w:r>
                        <w:rPr>
                          <w:b/>
                          <w:bCs/>
                          <w:i/>
                          <w:iCs/>
                          <w:color w:val="000000"/>
                          <w:sz w:val="17"/>
                          <w:szCs w:val="17"/>
                        </w:rPr>
                        <w:t xml:space="preserve">DRACUNCULUS </w:t>
                      </w:r>
                      <w:r>
                        <w:rPr>
                          <w:i/>
                          <w:iCs/>
                          <w:color w:val="000000"/>
                          <w:sz w:val="16"/>
                          <w:szCs w:val="16"/>
                        </w:rPr>
                        <w:t>medinensis</w:t>
                      </w:r>
                      <w:r>
                        <w:rPr>
                          <w:color w:val="000000"/>
                          <w:sz w:val="16"/>
                          <w:szCs w:val="16"/>
                        </w:rPr>
                        <w:t xml:space="preserve"> (gusano de guinea), infección</w:t>
                      </w:r>
                    </w:p>
                  </w:txbxContent>
                </v:textbox>
                <w10:wrap anchorx="page"/>
              </v:shape>
            </w:pict>
          </mc:Fallback>
        </mc:AlternateContent>
      </w:r>
      <w:r>
        <w:rPr>
          <w:noProof/>
        </w:rPr>
        <mc:AlternateContent>
          <mc:Choice Requires="wps">
            <w:drawing>
              <wp:anchor distT="50800" distB="0" distL="114300" distR="114300" simplePos="0" relativeHeight="251697152" behindDoc="0" locked="0" layoutInCell="1" allowOverlap="1" wp14:anchorId="3018E1E9" wp14:editId="459F7FC3">
                <wp:simplePos x="0" y="0"/>
                <wp:positionH relativeFrom="page">
                  <wp:posOffset>387985</wp:posOffset>
                </wp:positionH>
                <wp:positionV relativeFrom="paragraph">
                  <wp:posOffset>2675890</wp:posOffset>
                </wp:positionV>
                <wp:extent cx="7211695" cy="338455"/>
                <wp:effectExtent l="0" t="0" r="0" b="0"/>
                <wp:wrapTopAndBottom/>
                <wp:docPr id="2362" name="Shape 2362"/>
                <wp:cNvGraphicFramePr/>
                <a:graphic xmlns:a="http://schemas.openxmlformats.org/drawingml/2006/main">
                  <a:graphicData uri="http://schemas.microsoft.com/office/word/2010/wordprocessingShape">
                    <wps:wsp>
                      <wps:cNvSpPr txBox="1"/>
                      <wps:spPr>
                        <a:xfrm>
                          <a:off x="0" y="0"/>
                          <a:ext cx="7211695" cy="338455"/>
                        </a:xfrm>
                        <a:prstGeom prst="rect">
                          <a:avLst/>
                        </a:prstGeom>
                        <a:noFill/>
                      </wps:spPr>
                      <wps:txbx>
                        <w:txbxContent>
                          <w:tbl>
                            <w:tblPr>
                              <w:tblOverlap w:val="never"/>
                              <w:tblW w:w="0" w:type="auto"/>
                              <w:tblLayout w:type="fixed"/>
                              <w:tblCellMar>
                                <w:left w:w="10" w:type="dxa"/>
                                <w:right w:w="10" w:type="dxa"/>
                              </w:tblCellMar>
                              <w:tblLook w:val="04A0" w:firstRow="1" w:lastRow="0" w:firstColumn="1" w:lastColumn="0" w:noHBand="0" w:noVBand="1"/>
                            </w:tblPr>
                            <w:tblGrid>
                              <w:gridCol w:w="2304"/>
                              <w:gridCol w:w="2506"/>
                              <w:gridCol w:w="2995"/>
                              <w:gridCol w:w="3552"/>
                            </w:tblGrid>
                            <w:tr w:rsidR="00924992" w14:paraId="1ED4B211" w14:textId="77777777">
                              <w:tblPrEx>
                                <w:tblCellMar>
                                  <w:top w:w="0" w:type="dxa"/>
                                  <w:bottom w:w="0" w:type="dxa"/>
                                </w:tblCellMar>
                              </w:tblPrEx>
                              <w:trPr>
                                <w:trHeight w:hRule="exact" w:val="216"/>
                                <w:tblHeader/>
                              </w:trPr>
                              <w:tc>
                                <w:tcPr>
                                  <w:tcW w:w="2304" w:type="dxa"/>
                                  <w:shd w:val="clear" w:color="auto" w:fill="FFFFFF"/>
                                  <w:vAlign w:val="bottom"/>
                                </w:tcPr>
                                <w:p w14:paraId="0BFB5236" w14:textId="77777777" w:rsidR="00924992" w:rsidRDefault="00924992">
                                  <w:pPr>
                                    <w:pStyle w:val="Other0"/>
                                    <w:spacing w:line="240" w:lineRule="auto"/>
                                    <w:ind w:firstLine="0"/>
                                    <w:rPr>
                                      <w:sz w:val="16"/>
                                      <w:szCs w:val="16"/>
                                    </w:rPr>
                                  </w:pPr>
                                  <w:r>
                                    <w:rPr>
                                      <w:rFonts w:ascii="Times New Roman" w:eastAsia="Times New Roman" w:hAnsi="Times New Roman" w:cs="Times New Roman"/>
                                      <w:color w:val="000000"/>
                                      <w:sz w:val="16"/>
                                      <w:szCs w:val="16"/>
                                    </w:rPr>
                                    <w:t>Fármaco más indicado:</w:t>
                                  </w:r>
                                </w:p>
                              </w:tc>
                              <w:tc>
                                <w:tcPr>
                                  <w:tcW w:w="2506" w:type="dxa"/>
                                  <w:shd w:val="clear" w:color="auto" w:fill="FFFFFF"/>
                                  <w:vAlign w:val="bottom"/>
                                </w:tcPr>
                                <w:p w14:paraId="438D9FCF" w14:textId="77777777" w:rsidR="00924992" w:rsidRDefault="00924992">
                                  <w:pPr>
                                    <w:pStyle w:val="Other0"/>
                                    <w:spacing w:line="240" w:lineRule="auto"/>
                                    <w:ind w:firstLine="560"/>
                                    <w:rPr>
                                      <w:sz w:val="16"/>
                                      <w:szCs w:val="16"/>
                                    </w:rPr>
                                  </w:pPr>
                                  <w:r>
                                    <w:rPr>
                                      <w:rFonts w:ascii="Times New Roman" w:eastAsia="Times New Roman" w:hAnsi="Times New Roman" w:cs="Times New Roman"/>
                                      <w:color w:val="000000"/>
                                      <w:sz w:val="16"/>
                                      <w:szCs w:val="16"/>
                                    </w:rPr>
                                    <w:t>Metronidazol</w:t>
                                  </w:r>
                                  <w:r>
                                    <w:rPr>
                                      <w:rFonts w:ascii="Times New Roman" w:eastAsia="Times New Roman" w:hAnsi="Times New Roman" w:cs="Times New Roman"/>
                                      <w:color w:val="000000"/>
                                      <w:sz w:val="16"/>
                                      <w:szCs w:val="16"/>
                                      <w:vertAlign w:val="superscript"/>
                                    </w:rPr>
                                    <w:t>3,20</w:t>
                                  </w:r>
                                </w:p>
                              </w:tc>
                              <w:tc>
                                <w:tcPr>
                                  <w:tcW w:w="2995" w:type="dxa"/>
                                  <w:shd w:val="clear" w:color="auto" w:fill="FFFFFF"/>
                                  <w:vAlign w:val="bottom"/>
                                </w:tcPr>
                                <w:p w14:paraId="2B3898E6" w14:textId="77777777" w:rsidR="00924992" w:rsidRDefault="00924992">
                                  <w:pPr>
                                    <w:pStyle w:val="Other0"/>
                                    <w:spacing w:line="240" w:lineRule="auto"/>
                                    <w:ind w:firstLine="820"/>
                                    <w:rPr>
                                      <w:sz w:val="16"/>
                                      <w:szCs w:val="16"/>
                                    </w:rPr>
                                  </w:pPr>
                                  <w:r>
                                    <w:rPr>
                                      <w:rFonts w:ascii="Times New Roman" w:eastAsia="Times New Roman" w:hAnsi="Times New Roman" w:cs="Times New Roman"/>
                                      <w:color w:val="000000"/>
                                      <w:sz w:val="16"/>
                                      <w:szCs w:val="16"/>
                                    </w:rPr>
                                    <w:t xml:space="preserve">250 mg tid </w:t>
                                  </w:r>
                                  <w:r>
                                    <w:rPr>
                                      <w:rFonts w:ascii="Arial" w:eastAsia="Arial" w:hAnsi="Arial" w:cs="Arial"/>
                                      <w:color w:val="000000"/>
                                      <w:sz w:val="14"/>
                                      <w:szCs w:val="14"/>
                                    </w:rPr>
                                    <w:t xml:space="preserve">x </w:t>
                                  </w:r>
                                  <w:r>
                                    <w:rPr>
                                      <w:rFonts w:ascii="Times New Roman" w:eastAsia="Times New Roman" w:hAnsi="Times New Roman" w:cs="Times New Roman"/>
                                      <w:color w:val="000000"/>
                                      <w:sz w:val="16"/>
                                      <w:szCs w:val="16"/>
                                    </w:rPr>
                                    <w:t>10 días</w:t>
                                  </w:r>
                                </w:p>
                              </w:tc>
                              <w:tc>
                                <w:tcPr>
                                  <w:tcW w:w="3552" w:type="dxa"/>
                                  <w:shd w:val="clear" w:color="auto" w:fill="FFFFFF"/>
                                  <w:vAlign w:val="bottom"/>
                                </w:tcPr>
                                <w:p w14:paraId="354E7B15" w14:textId="77777777" w:rsidR="00924992" w:rsidRDefault="00924992">
                                  <w:pPr>
                                    <w:pStyle w:val="Other0"/>
                                    <w:spacing w:line="240" w:lineRule="auto"/>
                                    <w:ind w:firstLine="700"/>
                                    <w:jc w:val="both"/>
                                    <w:rPr>
                                      <w:sz w:val="16"/>
                                      <w:szCs w:val="16"/>
                                    </w:rPr>
                                  </w:pPr>
                                  <w:r>
                                    <w:rPr>
                                      <w:rFonts w:ascii="Times New Roman" w:eastAsia="Times New Roman" w:hAnsi="Times New Roman" w:cs="Times New Roman"/>
                                      <w:color w:val="000000"/>
                                      <w:sz w:val="16"/>
                                      <w:szCs w:val="16"/>
                                    </w:rPr>
                                    <w:t>25 mg/kg/día (máx. 750 mg) en 3 dosis</w:t>
                                  </w:r>
                                </w:p>
                              </w:tc>
                            </w:tr>
                            <w:tr w:rsidR="00924992" w14:paraId="391E259C" w14:textId="77777777">
                              <w:tblPrEx>
                                <w:tblCellMar>
                                  <w:top w:w="0" w:type="dxa"/>
                                  <w:bottom w:w="0" w:type="dxa"/>
                                </w:tblCellMar>
                              </w:tblPrEx>
                              <w:trPr>
                                <w:trHeight w:hRule="exact" w:val="317"/>
                              </w:trPr>
                              <w:tc>
                                <w:tcPr>
                                  <w:tcW w:w="2304" w:type="dxa"/>
                                  <w:tcBorders>
                                    <w:bottom w:val="single" w:sz="4" w:space="0" w:color="auto"/>
                                  </w:tcBorders>
                                  <w:shd w:val="clear" w:color="auto" w:fill="FFFFFF"/>
                                </w:tcPr>
                                <w:p w14:paraId="60BFFD0E" w14:textId="77777777" w:rsidR="00924992" w:rsidRDefault="00924992">
                                  <w:pPr>
                                    <w:rPr>
                                      <w:sz w:val="10"/>
                                      <w:szCs w:val="10"/>
                                    </w:rPr>
                                  </w:pPr>
                                </w:p>
                              </w:tc>
                              <w:tc>
                                <w:tcPr>
                                  <w:tcW w:w="2506" w:type="dxa"/>
                                  <w:tcBorders>
                                    <w:bottom w:val="single" w:sz="4" w:space="0" w:color="auto"/>
                                  </w:tcBorders>
                                  <w:shd w:val="clear" w:color="auto" w:fill="FFFFFF"/>
                                </w:tcPr>
                                <w:p w14:paraId="405BFBD8" w14:textId="77777777" w:rsidR="00924992" w:rsidRDefault="00924992">
                                  <w:pPr>
                                    <w:rPr>
                                      <w:sz w:val="10"/>
                                      <w:szCs w:val="10"/>
                                    </w:rPr>
                                  </w:pPr>
                                </w:p>
                              </w:tc>
                              <w:tc>
                                <w:tcPr>
                                  <w:tcW w:w="2995" w:type="dxa"/>
                                  <w:tcBorders>
                                    <w:bottom w:val="single" w:sz="4" w:space="0" w:color="auto"/>
                                  </w:tcBorders>
                                  <w:shd w:val="clear" w:color="auto" w:fill="FFFFFF"/>
                                </w:tcPr>
                                <w:p w14:paraId="23D96DAE" w14:textId="77777777" w:rsidR="00924992" w:rsidRDefault="00924992">
                                  <w:pPr>
                                    <w:rPr>
                                      <w:sz w:val="10"/>
                                      <w:szCs w:val="10"/>
                                    </w:rPr>
                                  </w:pPr>
                                </w:p>
                              </w:tc>
                              <w:tc>
                                <w:tcPr>
                                  <w:tcW w:w="3552" w:type="dxa"/>
                                  <w:tcBorders>
                                    <w:bottom w:val="single" w:sz="4" w:space="0" w:color="auto"/>
                                  </w:tcBorders>
                                  <w:shd w:val="clear" w:color="auto" w:fill="FFFFFF"/>
                                </w:tcPr>
                                <w:p w14:paraId="67516860" w14:textId="77777777" w:rsidR="00924992" w:rsidRDefault="00924992">
                                  <w:pPr>
                                    <w:pStyle w:val="Other0"/>
                                    <w:spacing w:line="240" w:lineRule="auto"/>
                                    <w:ind w:firstLine="800"/>
                                    <w:rPr>
                                      <w:sz w:val="16"/>
                                      <w:szCs w:val="16"/>
                                    </w:rPr>
                                  </w:pPr>
                                  <w:r>
                                    <w:rPr>
                                      <w:rFonts w:ascii="Arial" w:eastAsia="Arial" w:hAnsi="Arial" w:cs="Arial"/>
                                      <w:color w:val="000000"/>
                                      <w:sz w:val="14"/>
                                      <w:szCs w:val="14"/>
                                    </w:rPr>
                                    <w:t xml:space="preserve">x </w:t>
                                  </w:r>
                                  <w:r>
                                    <w:rPr>
                                      <w:rFonts w:ascii="Times New Roman" w:eastAsia="Times New Roman" w:hAnsi="Times New Roman" w:cs="Times New Roman"/>
                                      <w:color w:val="000000"/>
                                      <w:sz w:val="16"/>
                                      <w:szCs w:val="16"/>
                                    </w:rPr>
                                    <w:t>10 días</w:t>
                                  </w:r>
                                </w:p>
                              </w:tc>
                            </w:tr>
                          </w:tbl>
                          <w:p w14:paraId="54959961" w14:textId="77777777" w:rsidR="00924992" w:rsidRDefault="00924992">
                            <w:pPr>
                              <w:spacing w:line="1" w:lineRule="exact"/>
                            </w:pPr>
                          </w:p>
                        </w:txbxContent>
                      </wps:txbx>
                      <wps:bodyPr lIns="0" tIns="0" rIns="0" bIns="0"/>
                    </wps:wsp>
                  </a:graphicData>
                </a:graphic>
              </wp:anchor>
            </w:drawing>
          </mc:Choice>
          <mc:Fallback>
            <w:pict>
              <v:shape w14:anchorId="3018E1E9" id="Shape 2362" o:spid="_x0000_s1067" type="#_x0000_t202" style="position:absolute;margin-left:30.55pt;margin-top:210.7pt;width:567.85pt;height:26.65pt;z-index:251697152;visibility:visible;mso-wrap-style:square;mso-wrap-distance-left:9pt;mso-wrap-distance-top:4pt;mso-wrap-distance-right:9pt;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" filled="f" stroked="f">
                <v:textbox inset="0,0,0,0">
                  <w:txbxContent>
                    <w:tbl>
                      <w:tblPr>
                        <w:tblOverlap w:val="never"/>
                        <w:tblW w:w="0" w:type="auto"/>
                        <w:tblLayout w:type="fixed"/>
                        <w:tblCellMar>
                          <w:left w:w="10" w:type="dxa"/>
                          <w:right w:w="10" w:type="dxa"/>
                        </w:tblCellMar>
                        <w:tblLook w:val="04A0" w:firstRow="1" w:lastRow="0" w:firstColumn="1" w:lastColumn="0" w:noHBand="0" w:noVBand="1"/>
                      </w:tblPr>
                      <w:tblGrid>
                        <w:gridCol w:w="2304"/>
                        <w:gridCol w:w="2506"/>
                        <w:gridCol w:w="2995"/>
                        <w:gridCol w:w="3552"/>
                      </w:tblGrid>
                      <w:tr w:rsidR="00924992" w14:paraId="1ED4B211" w14:textId="77777777">
                        <w:tblPrEx>
                          <w:tblCellMar>
                            <w:top w:w="0" w:type="dxa"/>
                            <w:bottom w:w="0" w:type="dxa"/>
                          </w:tblCellMar>
                        </w:tblPrEx>
                        <w:trPr>
                          <w:trHeight w:hRule="exact" w:val="216"/>
                          <w:tblHeader/>
                        </w:trPr>
                        <w:tc>
                          <w:tcPr>
                            <w:tcW w:w="2304" w:type="dxa"/>
                            <w:shd w:val="clear" w:color="auto" w:fill="FFFFFF"/>
                            <w:vAlign w:val="bottom"/>
                          </w:tcPr>
                          <w:p w14:paraId="0BFB5236" w14:textId="77777777" w:rsidR="00924992" w:rsidRDefault="00924992">
                            <w:pPr>
                              <w:pStyle w:val="Other0"/>
                              <w:spacing w:line="240" w:lineRule="auto"/>
                              <w:ind w:firstLine="0"/>
                              <w:rPr>
                                <w:sz w:val="16"/>
                                <w:szCs w:val="16"/>
                              </w:rPr>
                            </w:pPr>
                            <w:r>
                              <w:rPr>
                                <w:rFonts w:ascii="Times New Roman" w:eastAsia="Times New Roman" w:hAnsi="Times New Roman" w:cs="Times New Roman"/>
                                <w:color w:val="000000"/>
                                <w:sz w:val="16"/>
                                <w:szCs w:val="16"/>
                              </w:rPr>
                              <w:t>Fármaco más indicado:</w:t>
                            </w:r>
                          </w:p>
                        </w:tc>
                        <w:tc>
                          <w:tcPr>
                            <w:tcW w:w="2506" w:type="dxa"/>
                            <w:shd w:val="clear" w:color="auto" w:fill="FFFFFF"/>
                            <w:vAlign w:val="bottom"/>
                          </w:tcPr>
                          <w:p w14:paraId="438D9FCF" w14:textId="77777777" w:rsidR="00924992" w:rsidRDefault="00924992">
                            <w:pPr>
                              <w:pStyle w:val="Other0"/>
                              <w:spacing w:line="240" w:lineRule="auto"/>
                              <w:ind w:firstLine="560"/>
                              <w:rPr>
                                <w:sz w:val="16"/>
                                <w:szCs w:val="16"/>
                              </w:rPr>
                            </w:pPr>
                            <w:r>
                              <w:rPr>
                                <w:rFonts w:ascii="Times New Roman" w:eastAsia="Times New Roman" w:hAnsi="Times New Roman" w:cs="Times New Roman"/>
                                <w:color w:val="000000"/>
                                <w:sz w:val="16"/>
                                <w:szCs w:val="16"/>
                              </w:rPr>
                              <w:t>Metronidazol</w:t>
                            </w:r>
                            <w:r>
                              <w:rPr>
                                <w:rFonts w:ascii="Times New Roman" w:eastAsia="Times New Roman" w:hAnsi="Times New Roman" w:cs="Times New Roman"/>
                                <w:color w:val="000000"/>
                                <w:sz w:val="16"/>
                                <w:szCs w:val="16"/>
                                <w:vertAlign w:val="superscript"/>
                              </w:rPr>
                              <w:t>3,20</w:t>
                            </w:r>
                          </w:p>
                        </w:tc>
                        <w:tc>
                          <w:tcPr>
                            <w:tcW w:w="2995" w:type="dxa"/>
                            <w:shd w:val="clear" w:color="auto" w:fill="FFFFFF"/>
                            <w:vAlign w:val="bottom"/>
                          </w:tcPr>
                          <w:p w14:paraId="2B3898E6" w14:textId="77777777" w:rsidR="00924992" w:rsidRDefault="00924992">
                            <w:pPr>
                              <w:pStyle w:val="Other0"/>
                              <w:spacing w:line="240" w:lineRule="auto"/>
                              <w:ind w:firstLine="820"/>
                              <w:rPr>
                                <w:sz w:val="16"/>
                                <w:szCs w:val="16"/>
                              </w:rPr>
                            </w:pPr>
                            <w:r>
                              <w:rPr>
                                <w:rFonts w:ascii="Times New Roman" w:eastAsia="Times New Roman" w:hAnsi="Times New Roman" w:cs="Times New Roman"/>
                                <w:color w:val="000000"/>
                                <w:sz w:val="16"/>
                                <w:szCs w:val="16"/>
                              </w:rPr>
                              <w:t xml:space="preserve">250 mg tid </w:t>
                            </w:r>
                            <w:r>
                              <w:rPr>
                                <w:rFonts w:ascii="Arial" w:eastAsia="Arial" w:hAnsi="Arial" w:cs="Arial"/>
                                <w:color w:val="000000"/>
                                <w:sz w:val="14"/>
                                <w:szCs w:val="14"/>
                              </w:rPr>
                              <w:t xml:space="preserve">x </w:t>
                            </w:r>
                            <w:r>
                              <w:rPr>
                                <w:rFonts w:ascii="Times New Roman" w:eastAsia="Times New Roman" w:hAnsi="Times New Roman" w:cs="Times New Roman"/>
                                <w:color w:val="000000"/>
                                <w:sz w:val="16"/>
                                <w:szCs w:val="16"/>
                              </w:rPr>
                              <w:t>10 días</w:t>
                            </w:r>
                          </w:p>
                        </w:tc>
                        <w:tc>
                          <w:tcPr>
                            <w:tcW w:w="3552" w:type="dxa"/>
                            <w:shd w:val="clear" w:color="auto" w:fill="FFFFFF"/>
                            <w:vAlign w:val="bottom"/>
                          </w:tcPr>
                          <w:p w14:paraId="354E7B15" w14:textId="77777777" w:rsidR="00924992" w:rsidRDefault="00924992">
                            <w:pPr>
                              <w:pStyle w:val="Other0"/>
                              <w:spacing w:line="240" w:lineRule="auto"/>
                              <w:ind w:firstLine="700"/>
                              <w:jc w:val="both"/>
                              <w:rPr>
                                <w:sz w:val="16"/>
                                <w:szCs w:val="16"/>
                              </w:rPr>
                            </w:pPr>
                            <w:r>
                              <w:rPr>
                                <w:rFonts w:ascii="Times New Roman" w:eastAsia="Times New Roman" w:hAnsi="Times New Roman" w:cs="Times New Roman"/>
                                <w:color w:val="000000"/>
                                <w:sz w:val="16"/>
                                <w:szCs w:val="16"/>
                              </w:rPr>
                              <w:t>25 mg/kg/día (máx. 750 mg) en 3 dosis</w:t>
                            </w:r>
                          </w:p>
                        </w:tc>
                      </w:tr>
                      <w:tr w:rsidR="00924992" w14:paraId="391E259C" w14:textId="77777777">
                        <w:tblPrEx>
                          <w:tblCellMar>
                            <w:top w:w="0" w:type="dxa"/>
                            <w:bottom w:w="0" w:type="dxa"/>
                          </w:tblCellMar>
                        </w:tblPrEx>
                        <w:trPr>
                          <w:trHeight w:hRule="exact" w:val="317"/>
                        </w:trPr>
                        <w:tc>
                          <w:tcPr>
                            <w:tcW w:w="2304" w:type="dxa"/>
                            <w:tcBorders>
                              <w:bottom w:val="single" w:sz="4" w:space="0" w:color="auto"/>
                            </w:tcBorders>
                            <w:shd w:val="clear" w:color="auto" w:fill="FFFFFF"/>
                          </w:tcPr>
                          <w:p w14:paraId="60BFFD0E" w14:textId="77777777" w:rsidR="00924992" w:rsidRDefault="00924992">
                            <w:pPr>
                              <w:rPr>
                                <w:sz w:val="10"/>
                                <w:szCs w:val="10"/>
                              </w:rPr>
                            </w:pPr>
                          </w:p>
                        </w:tc>
                        <w:tc>
                          <w:tcPr>
                            <w:tcW w:w="2506" w:type="dxa"/>
                            <w:tcBorders>
                              <w:bottom w:val="single" w:sz="4" w:space="0" w:color="auto"/>
                            </w:tcBorders>
                            <w:shd w:val="clear" w:color="auto" w:fill="FFFFFF"/>
                          </w:tcPr>
                          <w:p w14:paraId="405BFBD8" w14:textId="77777777" w:rsidR="00924992" w:rsidRDefault="00924992">
                            <w:pPr>
                              <w:rPr>
                                <w:sz w:val="10"/>
                                <w:szCs w:val="10"/>
                              </w:rPr>
                            </w:pPr>
                          </w:p>
                        </w:tc>
                        <w:tc>
                          <w:tcPr>
                            <w:tcW w:w="2995" w:type="dxa"/>
                            <w:tcBorders>
                              <w:bottom w:val="single" w:sz="4" w:space="0" w:color="auto"/>
                            </w:tcBorders>
                            <w:shd w:val="clear" w:color="auto" w:fill="FFFFFF"/>
                          </w:tcPr>
                          <w:p w14:paraId="23D96DAE" w14:textId="77777777" w:rsidR="00924992" w:rsidRDefault="00924992">
                            <w:pPr>
                              <w:rPr>
                                <w:sz w:val="10"/>
                                <w:szCs w:val="10"/>
                              </w:rPr>
                            </w:pPr>
                          </w:p>
                        </w:tc>
                        <w:tc>
                          <w:tcPr>
                            <w:tcW w:w="3552" w:type="dxa"/>
                            <w:tcBorders>
                              <w:bottom w:val="single" w:sz="4" w:space="0" w:color="auto"/>
                            </w:tcBorders>
                            <w:shd w:val="clear" w:color="auto" w:fill="FFFFFF"/>
                          </w:tcPr>
                          <w:p w14:paraId="67516860" w14:textId="77777777" w:rsidR="00924992" w:rsidRDefault="00924992">
                            <w:pPr>
                              <w:pStyle w:val="Other0"/>
                              <w:spacing w:line="240" w:lineRule="auto"/>
                              <w:ind w:firstLine="800"/>
                              <w:rPr>
                                <w:sz w:val="16"/>
                                <w:szCs w:val="16"/>
                              </w:rPr>
                            </w:pPr>
                            <w:r>
                              <w:rPr>
                                <w:rFonts w:ascii="Arial" w:eastAsia="Arial" w:hAnsi="Arial" w:cs="Arial"/>
                                <w:color w:val="000000"/>
                                <w:sz w:val="14"/>
                                <w:szCs w:val="14"/>
                              </w:rPr>
                              <w:t xml:space="preserve">x </w:t>
                            </w:r>
                            <w:r>
                              <w:rPr>
                                <w:rFonts w:ascii="Times New Roman" w:eastAsia="Times New Roman" w:hAnsi="Times New Roman" w:cs="Times New Roman"/>
                                <w:color w:val="000000"/>
                                <w:sz w:val="16"/>
                                <w:szCs w:val="16"/>
                              </w:rPr>
                              <w:t>10 días</w:t>
                            </w:r>
                          </w:p>
                        </w:tc>
                      </w:tr>
                    </w:tbl>
                    <w:p w14:paraId="54959961" w14:textId="77777777" w:rsidR="00924992" w:rsidRDefault="00924992">
                      <w:pPr>
                        <w:spacing w:line="1" w:lineRule="exact"/>
                      </w:pPr>
                    </w:p>
                  </w:txbxContent>
                </v:textbox>
                <w10:wrap type="topAndBottom" anchorx="page"/>
              </v:shape>
            </w:pict>
          </mc:Fallback>
        </mc:AlternateContent>
      </w:r>
      <w:r>
        <w:rPr>
          <w:noProof/>
        </w:rPr>
        <mc:AlternateContent>
          <mc:Choice Requires="wps">
            <w:drawing>
              <wp:anchor distT="0" distB="0" distL="0" distR="0" simplePos="0" relativeHeight="251698176" behindDoc="0" locked="0" layoutInCell="1" allowOverlap="1" wp14:anchorId="12F526B2" wp14:editId="61DA3FBF">
                <wp:simplePos x="0" y="0"/>
                <wp:positionH relativeFrom="page">
                  <wp:posOffset>7828280</wp:posOffset>
                </wp:positionH>
                <wp:positionV relativeFrom="paragraph">
                  <wp:posOffset>1511935</wp:posOffset>
                </wp:positionV>
                <wp:extent cx="121920" cy="2874010"/>
                <wp:effectExtent l="0" t="0" r="0" b="0"/>
                <wp:wrapSquare wrapText="bothSides"/>
                <wp:docPr id="2364" name="Shape 2364"/>
                <wp:cNvGraphicFramePr/>
                <a:graphic xmlns:a="http://schemas.openxmlformats.org/drawingml/2006/main">
                  <a:graphicData uri="http://schemas.microsoft.com/office/word/2010/wordprocessingShape">
                    <wps:wsp>
                      <wps:cNvSpPr txBox="1"/>
                      <wps:spPr>
                        <a:xfrm>
                          <a:off x="0" y="0"/>
                          <a:ext cx="121920" cy="2874010"/>
                        </a:xfrm>
                        <a:prstGeom prst="rect">
                          <a:avLst/>
                        </a:prstGeom>
                        <a:noFill/>
                      </wps:spPr>
                      <wps:txbx>
                        <w:txbxContent>
                          <w:p w14:paraId="0624D431" w14:textId="77777777" w:rsidR="00924992" w:rsidRDefault="00924992">
                            <w:pPr>
                              <w:pStyle w:val="Bodytext80"/>
                              <w:tabs>
                                <w:tab w:val="left" w:pos="4210"/>
                              </w:tabs>
                              <w:rPr>
                                <w:sz w:val="16"/>
                                <w:szCs w:val="16"/>
                              </w:rPr>
                            </w:pPr>
                            <w:r>
                              <w:t>FÁRMACOS ANTIPARASITARIOS</w:t>
                            </w:r>
                            <w:r>
                              <w:tab/>
                            </w:r>
                            <w:r>
                              <w:rPr>
                                <w:sz w:val="16"/>
                                <w:szCs w:val="16"/>
                              </w:rPr>
                              <w:t>787</w:t>
                            </w:r>
                          </w:p>
                        </w:txbxContent>
                      </wps:txbx>
                      <wps:bodyPr vert="vert" lIns="0" tIns="0" rIns="0" bIns="0" upright="1"/>
                    </wps:wsp>
                  </a:graphicData>
                </a:graphic>
              </wp:anchor>
            </w:drawing>
          </mc:Choice>
          <mc:Fallback>
            <w:pict>
              <v:shape w14:anchorId="12F526B2" id="Shape 2364" o:spid="_x0000_s1068" type="#_x0000_t202" style="position:absolute;margin-left:616.4pt;margin-top:119.05pt;width:9.6pt;height:226.3pt;z-index:25169817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" filled="f" stroked="f">
                <v:textbox style="layout-flow:vertical" inset="0,0,0,0">
                  <w:txbxContent>
                    <w:p w14:paraId="0624D431" w14:textId="77777777" w:rsidR="00924992" w:rsidRDefault="00924992">
                      <w:pPr>
                        <w:pStyle w:val="Bodytext80"/>
                        <w:tabs>
                          <w:tab w:val="left" w:pos="4210"/>
                        </w:tabs>
                        <w:rPr>
                          <w:sz w:val="16"/>
                          <w:szCs w:val="16"/>
                        </w:rPr>
                      </w:pPr>
                      <w:r>
                        <w:t>FÁRMACOS ANTIPARASITARIOS</w:t>
                      </w:r>
                      <w:r>
                        <w:tab/>
                      </w:r>
                      <w:r>
                        <w:rPr>
                          <w:sz w:val="16"/>
                          <w:szCs w:val="16"/>
                        </w:rPr>
                        <w:t>787</w:t>
                      </w:r>
                    </w:p>
                  </w:txbxContent>
                </v:textbox>
                <w10:wrap type="square" anchorx="page"/>
              </v:shape>
            </w:pict>
          </mc:Fallback>
        </mc:AlternateContent>
      </w:r>
    </w:p>
    <w:p w14:paraId="3C098E03" w14:textId="77777777" w:rsidR="00924992" w:rsidRDefault="00924992">
      <w:pPr>
        <w:pStyle w:val="Heading31"/>
        <w:keepNext/>
        <w:keepLines/>
        <w:jc w:val="center"/>
        <w:rPr>
          <w:sz w:val="16"/>
          <w:szCs w:val="16"/>
        </w:rPr>
      </w:pPr>
      <w:bookmarkStart w:id="524" w:name="bookmark1985"/>
      <w:bookmarkStart w:id="525" w:name="bookmark1986"/>
      <w:bookmarkStart w:id="526" w:name="bookmark1987"/>
      <w:r>
        <w:rPr>
          <w:b w:val="0"/>
          <w:bCs w:val="0"/>
          <w:color w:val="000000"/>
        </w:rPr>
        <w:t xml:space="preserve">Cuadro 4-13. </w:t>
      </w:r>
      <w:r>
        <w:rPr>
          <w:color w:val="000000"/>
        </w:rPr>
        <w:t xml:space="preserve">Fármacos antiparasitarios </w:t>
      </w:r>
      <w:r>
        <w:rPr>
          <w:rFonts w:ascii="Times New Roman" w:eastAsia="Times New Roman" w:hAnsi="Times New Roman" w:cs="Times New Roman"/>
          <w:b w:val="0"/>
          <w:bCs w:val="0"/>
          <w:i/>
          <w:iCs/>
          <w:color w:val="000000"/>
          <w:w w:val="100"/>
          <w:sz w:val="16"/>
          <w:szCs w:val="16"/>
        </w:rPr>
        <w:t>cwitinuación</w:t>
      </w:r>
      <w:bookmarkEnd w:id="524"/>
      <w:bookmarkEnd w:id="525"/>
      <w:bookmarkEnd w:id="526"/>
      <w:r>
        <w:br w:type="page"/>
      </w:r>
    </w:p>
    <w:p w14:paraId="5599D60A" w14:textId="77777777" w:rsidR="00924992" w:rsidRDefault="00924992">
      <w:pPr>
        <w:spacing w:line="1" w:lineRule="exact"/>
        <w:sectPr w:rsidR="00924992" w:rsidSect="00924992">
          <w:headerReference w:type="even" r:id="rId347"/>
          <w:headerReference w:type="default" r:id="rId348"/>
          <w:footerReference w:type="even" r:id="rId349"/>
          <w:footerReference w:type="default" r:id="rId350"/>
          <w:pgSz w:w="13022" w:h="8501" w:orient="landscape"/>
          <w:pgMar w:top="1090" w:right="738" w:bottom="352" w:left="553" w:header="0" w:footer="3" w:gutter="0"/>
          <w:cols w:space="720"/>
          <w:noEndnote/>
          <w:docGrid w:linePitch="360"/>
          <w15:footnoteColumns w:val="1"/>
        </w:sectPr>
      </w:pPr>
      <w:r>
        <w:rPr>
          <w:noProof/>
        </w:rPr>
        <mc:AlternateContent>
          <mc:Choice Requires="wps">
            <w:drawing>
              <wp:anchor distT="219710" distB="2884170" distL="114300" distR="7182485" simplePos="0" relativeHeight="251699200" behindDoc="0" locked="0" layoutInCell="1" allowOverlap="1" wp14:anchorId="0CCC6E5D" wp14:editId="19B28F73">
                <wp:simplePos x="0" y="0"/>
                <wp:positionH relativeFrom="page">
                  <wp:posOffset>471805</wp:posOffset>
                </wp:positionH>
                <wp:positionV relativeFrom="margin">
                  <wp:posOffset>-185420</wp:posOffset>
                </wp:positionV>
                <wp:extent cx="487680" cy="189230"/>
                <wp:effectExtent l="0" t="0" r="0" b="0"/>
                <wp:wrapTopAndBottom/>
                <wp:docPr id="2368" name="Shape 2368"/>
                <wp:cNvGraphicFramePr/>
                <a:graphic xmlns:a="http://schemas.openxmlformats.org/drawingml/2006/main">
                  <a:graphicData uri="http://schemas.microsoft.com/office/word/2010/wordprocessingShape">
                    <wps:wsp>
                      <wps:cNvSpPr txBox="1"/>
                      <wps:spPr>
                        <a:xfrm>
                          <a:off x="0" y="0"/>
                          <a:ext cx="487680" cy="189230"/>
                        </a:xfrm>
                        <a:prstGeom prst="rect">
                          <a:avLst/>
                        </a:prstGeom>
                        <a:noFill/>
                      </wps:spPr>
                      <wps:txbx>
                        <w:txbxContent>
                          <w:p w14:paraId="1C5B725A" w14:textId="77777777" w:rsidR="00924992" w:rsidRDefault="00924992">
                            <w:pPr>
                              <w:pStyle w:val="Heading41"/>
                              <w:keepNext/>
                              <w:keepLines/>
                              <w:pBdr>
                                <w:top w:val="single" w:sz="0" w:space="0" w:color="000000"/>
                                <w:left w:val="single" w:sz="0" w:space="0" w:color="000000"/>
                                <w:bottom w:val="single" w:sz="0" w:space="0" w:color="000000"/>
                                <w:right w:val="single" w:sz="0" w:space="0" w:color="000000"/>
                              </w:pBdr>
                              <w:shd w:val="clear" w:color="auto" w:fill="000000"/>
                            </w:pPr>
                            <w:bookmarkStart w:id="527" w:name="bookmark1970"/>
                            <w:bookmarkStart w:id="528" w:name="bookmark1971"/>
                            <w:bookmarkStart w:id="529" w:name="bookmark1972"/>
                            <w:r>
                              <w:rPr>
                                <w:color w:val="FFFFFF"/>
                              </w:rPr>
                              <w:t>Infección</w:t>
                            </w:r>
                            <w:bookmarkEnd w:id="527"/>
                            <w:bookmarkEnd w:id="528"/>
                            <w:bookmarkEnd w:id="529"/>
                          </w:p>
                        </w:txbxContent>
                      </wps:txbx>
                      <wps:bodyPr wrap="none" lIns="0" tIns="0" rIns="0" bIns="0"/>
                    </wps:wsp>
                  </a:graphicData>
                </a:graphic>
              </wp:anchor>
            </w:drawing>
          </mc:Choice>
          <mc:Fallback>
            <w:pict>
              <v:shape w14:anchorId="0CCC6E5D" id="Shape 2368" o:spid="_x0000_s1069" type="#_x0000_t202" style="position:absolute;margin-left:37.15pt;margin-top:-14.6pt;width:38.4pt;height:14.9pt;z-index:251699200;visibility:visible;mso-wrap-style:none;mso-wrap-distance-left:9pt;mso-wrap-distance-top:17.3pt;mso-wrap-distance-right:565.55pt;mso-wrap-distance-bottom:227.1pt;mso-position-horizontal:absolute;mso-position-horizontal-relative:page;mso-position-vertical:absolute;mso-position-vertical-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" filled="f" stroked="f">
                <v:textbox inset="0,0,0,0">
                  <w:txbxContent>
                    <w:p w14:paraId="1C5B725A" w14:textId="77777777" w:rsidR="00924992" w:rsidRDefault="00924992">
                      <w:pPr>
                        <w:pStyle w:val="Heading41"/>
                        <w:keepNext/>
                        <w:keepLines/>
                        <w:pBdr>
                          <w:top w:val="single" w:sz="0" w:space="0" w:color="000000"/>
                          <w:left w:val="single" w:sz="0" w:space="0" w:color="000000"/>
                          <w:bottom w:val="single" w:sz="0" w:space="0" w:color="000000"/>
                          <w:right w:val="single" w:sz="0" w:space="0" w:color="000000"/>
                        </w:pBdr>
                        <w:shd w:val="clear" w:color="auto" w:fill="000000"/>
                      </w:pPr>
                      <w:bookmarkStart w:id="530" w:name="bookmark1970"/>
                      <w:bookmarkStart w:id="531" w:name="bookmark1971"/>
                      <w:bookmarkStart w:id="532" w:name="bookmark1972"/>
                      <w:r>
                        <w:rPr>
                          <w:color w:val="FFFFFF"/>
                        </w:rPr>
                        <w:t>Infección</w:t>
                      </w:r>
                      <w:bookmarkEnd w:id="530"/>
                      <w:bookmarkEnd w:id="531"/>
                      <w:bookmarkEnd w:id="532"/>
                    </w:p>
                  </w:txbxContent>
                </v:textbox>
                <w10:wrap type="topAndBottom" anchorx="page" anchory="margin"/>
              </v:shape>
            </w:pict>
          </mc:Fallback>
        </mc:AlternateContent>
      </w:r>
      <w:r>
        <w:rPr>
          <w:noProof/>
        </w:rPr>
        <mc:AlternateContent>
          <mc:Choice Requires="wps">
            <w:drawing>
              <wp:anchor distT="0" distB="3088640" distL="2244725" distR="2607310" simplePos="0" relativeHeight="251700224" behindDoc="0" locked="0" layoutInCell="1" allowOverlap="1" wp14:anchorId="7235E1F3" wp14:editId="182A29CE">
                <wp:simplePos x="0" y="0"/>
                <wp:positionH relativeFrom="page">
                  <wp:posOffset>2602230</wp:posOffset>
                </wp:positionH>
                <wp:positionV relativeFrom="margin">
                  <wp:posOffset>-405130</wp:posOffset>
                </wp:positionV>
                <wp:extent cx="2932430" cy="204470"/>
                <wp:effectExtent l="0" t="0" r="0" b="0"/>
                <wp:wrapTopAndBottom/>
                <wp:docPr id="2370" name="Shape 2370"/>
                <wp:cNvGraphicFramePr/>
                <a:graphic xmlns:a="http://schemas.openxmlformats.org/drawingml/2006/main">
                  <a:graphicData uri="http://schemas.microsoft.com/office/word/2010/wordprocessingShape">
                    <wps:wsp>
                      <wps:cNvSpPr txBox="1"/>
                      <wps:spPr>
                        <a:xfrm>
                          <a:off x="0" y="0"/>
                          <a:ext cx="2932430" cy="204470"/>
                        </a:xfrm>
                        <a:prstGeom prst="rect">
                          <a:avLst/>
                        </a:prstGeom>
                        <a:noFill/>
                      </wps:spPr>
                      <wps:txbx>
                        <w:txbxContent>
                          <w:p w14:paraId="2F3C92A9" w14:textId="77777777" w:rsidR="00924992" w:rsidRDefault="00924992">
                            <w:pPr>
                              <w:pStyle w:val="Heading31"/>
                              <w:keepNext/>
                              <w:keepLines/>
                              <w:rPr>
                                <w:sz w:val="16"/>
                                <w:szCs w:val="16"/>
                              </w:rPr>
                            </w:pPr>
                            <w:bookmarkStart w:id="533" w:name="bookmark1973"/>
                            <w:bookmarkStart w:id="534" w:name="bookmark1974"/>
                            <w:bookmarkStart w:id="535" w:name="bookmark1975"/>
                            <w:r>
                              <w:rPr>
                                <w:b w:val="0"/>
                                <w:bCs w:val="0"/>
                                <w:color w:val="000000"/>
                              </w:rPr>
                              <w:t xml:space="preserve">Cuadro 4-13. </w:t>
                            </w:r>
                            <w:r>
                              <w:rPr>
                                <w:color w:val="000000"/>
                              </w:rPr>
                              <w:t xml:space="preserve">Fármacos antiparasitarios </w:t>
                            </w:r>
                            <w:r>
                              <w:rPr>
                                <w:rFonts w:ascii="Times New Roman" w:eastAsia="Times New Roman" w:hAnsi="Times New Roman" w:cs="Times New Roman"/>
                                <w:b w:val="0"/>
                                <w:bCs w:val="0"/>
                                <w:i/>
                                <w:iCs/>
                                <w:color w:val="000000"/>
                                <w:w w:val="100"/>
                                <w:sz w:val="16"/>
                                <w:szCs w:val="16"/>
                              </w:rPr>
                              <w:t>continuación</w:t>
                            </w:r>
                            <w:bookmarkEnd w:id="533"/>
                            <w:bookmarkEnd w:id="534"/>
                            <w:bookmarkEnd w:id="535"/>
                          </w:p>
                        </w:txbxContent>
                      </wps:txbx>
                      <wps:bodyPr wrap="none" lIns="0" tIns="0" rIns="0" bIns="0"/>
                    </wps:wsp>
                  </a:graphicData>
                </a:graphic>
              </wp:anchor>
            </w:drawing>
          </mc:Choice>
          <mc:Fallback>
            <w:pict>
              <v:shape w14:anchorId="7235E1F3" id="Shape 2370" o:spid="_x0000_s1070" type="#_x0000_t202" style="position:absolute;margin-left:204.9pt;margin-top:-31.9pt;width:230.9pt;height:16.1pt;z-index:251700224;visibility:visible;mso-wrap-style:none;mso-wrap-distance-left:176.75pt;mso-wrap-distance-top:0;mso-wrap-distance-right:205.3pt;mso-wrap-distance-bottom:243.2pt;mso-position-horizontal:absolute;mso-position-horizontal-relative:page;mso-position-vertical:absolute;mso-position-vertical-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" filled="f" stroked="f">
                <v:textbox inset="0,0,0,0">
                  <w:txbxContent>
                    <w:p w14:paraId="2F3C92A9" w14:textId="77777777" w:rsidR="00924992" w:rsidRDefault="00924992">
                      <w:pPr>
                        <w:pStyle w:val="Heading31"/>
                        <w:keepNext/>
                        <w:keepLines/>
                        <w:rPr>
                          <w:sz w:val="16"/>
                          <w:szCs w:val="16"/>
                        </w:rPr>
                      </w:pPr>
                      <w:bookmarkStart w:id="536" w:name="bookmark1973"/>
                      <w:bookmarkStart w:id="537" w:name="bookmark1974"/>
                      <w:bookmarkStart w:id="538" w:name="bookmark1975"/>
                      <w:r>
                        <w:rPr>
                          <w:b w:val="0"/>
                          <w:bCs w:val="0"/>
                          <w:color w:val="000000"/>
                        </w:rPr>
                        <w:t xml:space="preserve">Cuadro 4-13. </w:t>
                      </w:r>
                      <w:r>
                        <w:rPr>
                          <w:color w:val="000000"/>
                        </w:rPr>
                        <w:t xml:space="preserve">Fármacos antiparasitarios </w:t>
                      </w:r>
                      <w:r>
                        <w:rPr>
                          <w:rFonts w:ascii="Times New Roman" w:eastAsia="Times New Roman" w:hAnsi="Times New Roman" w:cs="Times New Roman"/>
                          <w:b w:val="0"/>
                          <w:bCs w:val="0"/>
                          <w:i/>
                          <w:iCs/>
                          <w:color w:val="000000"/>
                          <w:w w:val="100"/>
                          <w:sz w:val="16"/>
                          <w:szCs w:val="16"/>
                        </w:rPr>
                        <w:t>continuación</w:t>
                      </w:r>
                      <w:bookmarkEnd w:id="536"/>
                      <w:bookmarkEnd w:id="537"/>
                      <w:bookmarkEnd w:id="538"/>
                    </w:p>
                  </w:txbxContent>
                </v:textbox>
                <w10:wrap type="topAndBottom" anchorx="page" anchory="margin"/>
              </v:shape>
            </w:pict>
          </mc:Fallback>
        </mc:AlternateContent>
      </w:r>
      <w:r>
        <w:rPr>
          <w:noProof/>
        </w:rPr>
        <mc:AlternateContent>
          <mc:Choice Requires="wps">
            <w:drawing>
              <wp:anchor distT="222250" distB="2881630" distL="1906270" distR="5402580" simplePos="0" relativeHeight="251701248" behindDoc="0" locked="0" layoutInCell="1" allowOverlap="1" wp14:anchorId="24928780" wp14:editId="2464EDCD">
                <wp:simplePos x="0" y="0"/>
                <wp:positionH relativeFrom="page">
                  <wp:posOffset>2263775</wp:posOffset>
                </wp:positionH>
                <wp:positionV relativeFrom="margin">
                  <wp:posOffset>-182880</wp:posOffset>
                </wp:positionV>
                <wp:extent cx="475615" cy="189230"/>
                <wp:effectExtent l="0" t="0" r="0" b="0"/>
                <wp:wrapTopAndBottom/>
                <wp:docPr id="2372" name="Shape 2372"/>
                <wp:cNvGraphicFramePr/>
                <a:graphic xmlns:a="http://schemas.openxmlformats.org/drawingml/2006/main">
                  <a:graphicData uri="http://schemas.microsoft.com/office/word/2010/wordprocessingShape">
                    <wps:wsp>
                      <wps:cNvSpPr txBox="1"/>
                      <wps:spPr>
                        <a:xfrm>
                          <a:off x="0" y="0"/>
                          <a:ext cx="475615" cy="189230"/>
                        </a:xfrm>
                        <a:prstGeom prst="rect">
                          <a:avLst/>
                        </a:prstGeom>
                        <a:noFill/>
                      </wps:spPr>
                      <wps:txbx>
                        <w:txbxContent>
                          <w:p w14:paraId="5E9ECE9B" w14:textId="77777777" w:rsidR="00924992" w:rsidRDefault="00924992">
                            <w:pPr>
                              <w:pStyle w:val="Heading41"/>
                              <w:keepNext/>
                              <w:keepLines/>
                              <w:pBdr>
                                <w:top w:val="single" w:sz="0" w:space="0" w:color="000000"/>
                                <w:left w:val="single" w:sz="0" w:space="0" w:color="000000"/>
                                <w:bottom w:val="single" w:sz="0" w:space="0" w:color="000000"/>
                                <w:right w:val="single" w:sz="0" w:space="0" w:color="000000"/>
                              </w:pBdr>
                              <w:shd w:val="clear" w:color="auto" w:fill="000000"/>
                            </w:pPr>
                            <w:bookmarkStart w:id="539" w:name="bookmark1976"/>
                            <w:bookmarkStart w:id="540" w:name="bookmark1977"/>
                            <w:bookmarkStart w:id="541" w:name="bookmark1978"/>
                            <w:r>
                              <w:rPr>
                                <w:color w:val="FFFFFF"/>
                              </w:rPr>
                              <w:t>Fármaco</w:t>
                            </w:r>
                            <w:bookmarkEnd w:id="539"/>
                            <w:bookmarkEnd w:id="540"/>
                            <w:bookmarkEnd w:id="541"/>
                          </w:p>
                        </w:txbxContent>
                      </wps:txbx>
                      <wps:bodyPr wrap="none" lIns="0" tIns="0" rIns="0" bIns="0"/>
                    </wps:wsp>
                  </a:graphicData>
                </a:graphic>
              </wp:anchor>
            </w:drawing>
          </mc:Choice>
          <mc:Fallback>
            <w:pict>
              <v:shape w14:anchorId="24928780" id="Shape 2372" o:spid="_x0000_s1071" type="#_x0000_t202" style="position:absolute;margin-left:178.25pt;margin-top:-14.4pt;width:37.45pt;height:14.9pt;z-index:251701248;visibility:visible;mso-wrap-style:none;mso-wrap-distance-left:150.1pt;mso-wrap-distance-top:17.5pt;mso-wrap-distance-right:425.4pt;mso-wrap-distance-bottom:226.9pt;mso-position-horizontal:absolute;mso-position-horizontal-relative:page;mso-position-vertical:absolute;mso-position-vertical-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" filled="f" stroked="f">
                <v:textbox inset="0,0,0,0">
                  <w:txbxContent>
                    <w:p w14:paraId="5E9ECE9B" w14:textId="77777777" w:rsidR="00924992" w:rsidRDefault="00924992">
                      <w:pPr>
                        <w:pStyle w:val="Heading41"/>
                        <w:keepNext/>
                        <w:keepLines/>
                        <w:pBdr>
                          <w:top w:val="single" w:sz="0" w:space="0" w:color="000000"/>
                          <w:left w:val="single" w:sz="0" w:space="0" w:color="000000"/>
                          <w:bottom w:val="single" w:sz="0" w:space="0" w:color="000000"/>
                          <w:right w:val="single" w:sz="0" w:space="0" w:color="000000"/>
                        </w:pBdr>
                        <w:shd w:val="clear" w:color="auto" w:fill="000000"/>
                      </w:pPr>
                      <w:bookmarkStart w:id="542" w:name="bookmark1976"/>
                      <w:bookmarkStart w:id="543" w:name="bookmark1977"/>
                      <w:bookmarkStart w:id="544" w:name="bookmark1978"/>
                      <w:r>
                        <w:rPr>
                          <w:color w:val="FFFFFF"/>
                        </w:rPr>
                        <w:t>Fármaco</w:t>
                      </w:r>
                      <w:bookmarkEnd w:id="542"/>
                      <w:bookmarkEnd w:id="543"/>
                      <w:bookmarkEnd w:id="544"/>
                    </w:p>
                  </w:txbxContent>
                </v:textbox>
                <w10:wrap type="topAndBottom" anchorx="page" anchory="margin"/>
              </v:shape>
            </w:pict>
          </mc:Fallback>
        </mc:AlternateContent>
      </w:r>
      <w:r>
        <w:rPr>
          <w:noProof/>
        </w:rPr>
        <mc:AlternateContent>
          <mc:Choice Requires="wps">
            <w:drawing>
              <wp:anchor distT="222250" distB="2881630" distL="3707765" distR="3082925" simplePos="0" relativeHeight="251702272" behindDoc="0" locked="0" layoutInCell="1" allowOverlap="1" wp14:anchorId="4F03A312" wp14:editId="5993BBF5">
                <wp:simplePos x="0" y="0"/>
                <wp:positionH relativeFrom="page">
                  <wp:posOffset>4065270</wp:posOffset>
                </wp:positionH>
                <wp:positionV relativeFrom="margin">
                  <wp:posOffset>-182880</wp:posOffset>
                </wp:positionV>
                <wp:extent cx="993775" cy="189230"/>
                <wp:effectExtent l="0" t="0" r="0" b="0"/>
                <wp:wrapTopAndBottom/>
                <wp:docPr id="2374" name="Shape 2374"/>
                <wp:cNvGraphicFramePr/>
                <a:graphic xmlns:a="http://schemas.openxmlformats.org/drawingml/2006/main">
                  <a:graphicData uri="http://schemas.microsoft.com/office/word/2010/wordprocessingShape">
                    <wps:wsp>
                      <wps:cNvSpPr txBox="1"/>
                      <wps:spPr>
                        <a:xfrm>
                          <a:off x="0" y="0"/>
                          <a:ext cx="993775" cy="189230"/>
                        </a:xfrm>
                        <a:prstGeom prst="rect">
                          <a:avLst/>
                        </a:prstGeom>
                        <a:noFill/>
                      </wps:spPr>
                      <wps:txbx>
                        <w:txbxContent>
                          <w:p w14:paraId="0F5E2949" w14:textId="77777777" w:rsidR="00924992" w:rsidRDefault="00924992">
                            <w:pPr>
                              <w:pStyle w:val="Heading41"/>
                              <w:keepNext/>
                              <w:keepLines/>
                              <w:pBdr>
                                <w:top w:val="single" w:sz="0" w:space="0" w:color="000000"/>
                                <w:left w:val="single" w:sz="0" w:space="0" w:color="000000"/>
                                <w:bottom w:val="single" w:sz="0" w:space="0" w:color="000000"/>
                                <w:right w:val="single" w:sz="0" w:space="0" w:color="000000"/>
                              </w:pBdr>
                              <w:shd w:val="clear" w:color="auto" w:fill="000000"/>
                              <w:jc w:val="center"/>
                            </w:pPr>
                            <w:bookmarkStart w:id="545" w:name="bookmark1979"/>
                            <w:bookmarkStart w:id="546" w:name="bookmark1980"/>
                            <w:bookmarkStart w:id="547" w:name="bookmark1981"/>
                            <w:r>
                              <w:rPr>
                                <w:color w:val="FFFFFF"/>
                              </w:rPr>
                              <w:t>Dosis para adultos</w:t>
                            </w:r>
                            <w:bookmarkEnd w:id="545"/>
                            <w:bookmarkEnd w:id="546"/>
                            <w:bookmarkEnd w:id="547"/>
                          </w:p>
                        </w:txbxContent>
                      </wps:txbx>
                      <wps:bodyPr wrap="none" lIns="0" tIns="0" rIns="0" bIns="0"/>
                    </wps:wsp>
                  </a:graphicData>
                </a:graphic>
              </wp:anchor>
            </w:drawing>
          </mc:Choice>
          <mc:Fallback>
            <w:pict>
              <v:shape w14:anchorId="4F03A312" id="Shape 2374" o:spid="_x0000_s1072" type="#_x0000_t202" style="position:absolute;margin-left:320.1pt;margin-top:-14.4pt;width:78.25pt;height:14.9pt;z-index:251702272;visibility:visible;mso-wrap-style:none;mso-wrap-distance-left:291.95pt;mso-wrap-distance-top:17.5pt;mso-wrap-distance-right:242.75pt;mso-wrap-distance-bottom:226.9pt;mso-position-horizontal:absolute;mso-position-horizontal-relative:page;mso-position-vertical:absolute;mso-position-vertical-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" filled="f" stroked="f">
                <v:textbox inset="0,0,0,0">
                  <w:txbxContent>
                    <w:p w14:paraId="0F5E2949" w14:textId="77777777" w:rsidR="00924992" w:rsidRDefault="00924992">
                      <w:pPr>
                        <w:pStyle w:val="Heading41"/>
                        <w:keepNext/>
                        <w:keepLines/>
                        <w:pBdr>
                          <w:top w:val="single" w:sz="0" w:space="0" w:color="000000"/>
                          <w:left w:val="single" w:sz="0" w:space="0" w:color="000000"/>
                          <w:bottom w:val="single" w:sz="0" w:space="0" w:color="000000"/>
                          <w:right w:val="single" w:sz="0" w:space="0" w:color="000000"/>
                        </w:pBdr>
                        <w:shd w:val="clear" w:color="auto" w:fill="000000"/>
                        <w:jc w:val="center"/>
                      </w:pPr>
                      <w:bookmarkStart w:id="548" w:name="bookmark1979"/>
                      <w:bookmarkStart w:id="549" w:name="bookmark1980"/>
                      <w:bookmarkStart w:id="550" w:name="bookmark1981"/>
                      <w:r>
                        <w:rPr>
                          <w:color w:val="FFFFFF"/>
                        </w:rPr>
                        <w:t>Dosis para adultos</w:t>
                      </w:r>
                      <w:bookmarkEnd w:id="548"/>
                      <w:bookmarkEnd w:id="549"/>
                      <w:bookmarkEnd w:id="550"/>
                    </w:p>
                  </w:txbxContent>
                </v:textbox>
                <w10:wrap type="topAndBottom" anchorx="page" anchory="margin"/>
              </v:shape>
            </w:pict>
          </mc:Fallback>
        </mc:AlternateContent>
      </w:r>
      <w:r>
        <w:rPr>
          <w:noProof/>
        </w:rPr>
        <mc:AlternateContent>
          <mc:Choice Requires="wps">
            <w:drawing>
              <wp:anchor distT="222250" distB="2881630" distL="5506085" distR="1382395" simplePos="0" relativeHeight="251703296" behindDoc="0" locked="0" layoutInCell="1" allowOverlap="1" wp14:anchorId="139E9EB7" wp14:editId="473B9DDC">
                <wp:simplePos x="0" y="0"/>
                <wp:positionH relativeFrom="page">
                  <wp:posOffset>5863590</wp:posOffset>
                </wp:positionH>
                <wp:positionV relativeFrom="margin">
                  <wp:posOffset>-182880</wp:posOffset>
                </wp:positionV>
                <wp:extent cx="895985" cy="189230"/>
                <wp:effectExtent l="0" t="0" r="0" b="0"/>
                <wp:wrapTopAndBottom/>
                <wp:docPr id="2376" name="Shape 2376"/>
                <wp:cNvGraphicFramePr/>
                <a:graphic xmlns:a="http://schemas.openxmlformats.org/drawingml/2006/main">
                  <a:graphicData uri="http://schemas.microsoft.com/office/word/2010/wordprocessingShape">
                    <wps:wsp>
                      <wps:cNvSpPr txBox="1"/>
                      <wps:spPr>
                        <a:xfrm>
                          <a:off x="0" y="0"/>
                          <a:ext cx="895985" cy="189230"/>
                        </a:xfrm>
                        <a:prstGeom prst="rect">
                          <a:avLst/>
                        </a:prstGeom>
                        <a:noFill/>
                      </wps:spPr>
                      <wps:txbx>
                        <w:txbxContent>
                          <w:p w14:paraId="2475CA8C" w14:textId="77777777" w:rsidR="00924992" w:rsidRDefault="00924992">
                            <w:pPr>
                              <w:pStyle w:val="Heading41"/>
                              <w:keepNext/>
                              <w:keepLines/>
                              <w:pBdr>
                                <w:top w:val="single" w:sz="0" w:space="0" w:color="000000"/>
                                <w:left w:val="single" w:sz="0" w:space="0" w:color="000000"/>
                                <w:bottom w:val="single" w:sz="0" w:space="0" w:color="000000"/>
                                <w:right w:val="single" w:sz="0" w:space="0" w:color="000000"/>
                              </w:pBdr>
                              <w:shd w:val="clear" w:color="auto" w:fill="000000"/>
                            </w:pPr>
                            <w:bookmarkStart w:id="551" w:name="bookmark1982"/>
                            <w:bookmarkStart w:id="552" w:name="bookmark1983"/>
                            <w:bookmarkStart w:id="553" w:name="bookmark1984"/>
                            <w:r>
                              <w:rPr>
                                <w:color w:val="FFFFFF"/>
                              </w:rPr>
                              <w:t>Dosis para niños</w:t>
                            </w:r>
                            <w:bookmarkEnd w:id="551"/>
                            <w:bookmarkEnd w:id="552"/>
                            <w:bookmarkEnd w:id="553"/>
                          </w:p>
                        </w:txbxContent>
                      </wps:txbx>
                      <wps:bodyPr wrap="none" lIns="0" tIns="0" rIns="0" bIns="0"/>
                    </wps:wsp>
                  </a:graphicData>
                </a:graphic>
              </wp:anchor>
            </w:drawing>
          </mc:Choice>
          <mc:Fallback>
            <w:pict>
              <v:shape w14:anchorId="139E9EB7" id="Shape 2376" o:spid="_x0000_s1073" type="#_x0000_t202" style="position:absolute;margin-left:461.7pt;margin-top:-14.4pt;width:70.55pt;height:14.9pt;z-index:251703296;visibility:visible;mso-wrap-style:none;mso-wrap-distance-left:433.55pt;mso-wrap-distance-top:17.5pt;mso-wrap-distance-right:108.85pt;mso-wrap-distance-bottom:226.9pt;mso-position-horizontal:absolute;mso-position-horizontal-relative:page;mso-position-vertical:absolute;mso-position-vertical-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" filled="f" stroked="f">
                <v:textbox inset="0,0,0,0">
                  <w:txbxContent>
                    <w:p w14:paraId="2475CA8C" w14:textId="77777777" w:rsidR="00924992" w:rsidRDefault="00924992">
                      <w:pPr>
                        <w:pStyle w:val="Heading41"/>
                        <w:keepNext/>
                        <w:keepLines/>
                        <w:pBdr>
                          <w:top w:val="single" w:sz="0" w:space="0" w:color="000000"/>
                          <w:left w:val="single" w:sz="0" w:space="0" w:color="000000"/>
                          <w:bottom w:val="single" w:sz="0" w:space="0" w:color="000000"/>
                          <w:right w:val="single" w:sz="0" w:space="0" w:color="000000"/>
                        </w:pBdr>
                        <w:shd w:val="clear" w:color="auto" w:fill="000000"/>
                      </w:pPr>
                      <w:bookmarkStart w:id="554" w:name="bookmark1982"/>
                      <w:bookmarkStart w:id="555" w:name="bookmark1983"/>
                      <w:bookmarkStart w:id="556" w:name="bookmark1984"/>
                      <w:r>
                        <w:rPr>
                          <w:color w:val="FFFFFF"/>
                        </w:rPr>
                        <w:t>Dosis para niños</w:t>
                      </w:r>
                      <w:bookmarkEnd w:id="554"/>
                      <w:bookmarkEnd w:id="555"/>
                      <w:bookmarkEnd w:id="556"/>
                    </w:p>
                  </w:txbxContent>
                </v:textbox>
                <w10:wrap type="topAndBottom" anchorx="page" anchory="margin"/>
              </v:shape>
            </w:pict>
          </mc:Fallback>
        </mc:AlternateContent>
      </w:r>
      <w:r>
        <w:rPr>
          <w:noProof/>
        </w:rPr>
        <mc:AlternateContent>
          <mc:Choice Requires="wps">
            <w:drawing>
              <wp:anchor distT="454025" distB="1860550" distL="141605" distR="4847590" simplePos="0" relativeHeight="251704320" behindDoc="0" locked="0" layoutInCell="1" allowOverlap="1" wp14:anchorId="5523D06B" wp14:editId="59FF8E5B">
                <wp:simplePos x="0" y="0"/>
                <wp:positionH relativeFrom="page">
                  <wp:posOffset>499110</wp:posOffset>
                </wp:positionH>
                <wp:positionV relativeFrom="margin">
                  <wp:posOffset>48895</wp:posOffset>
                </wp:positionV>
                <wp:extent cx="2795270" cy="978535"/>
                <wp:effectExtent l="0" t="0" r="0" b="0"/>
                <wp:wrapTopAndBottom/>
                <wp:docPr id="2378" name="Shape 2378"/>
                <wp:cNvGraphicFramePr/>
                <a:graphic xmlns:a="http://schemas.openxmlformats.org/drawingml/2006/main">
                  <a:graphicData uri="http://schemas.microsoft.com/office/word/2010/wordprocessingShape">
                    <wps:wsp>
                      <wps:cNvSpPr txBox="1"/>
                      <wps:spPr>
                        <a:xfrm>
                          <a:off x="0" y="0"/>
                          <a:ext cx="2795270" cy="978535"/>
                        </a:xfrm>
                        <a:prstGeom prst="rect">
                          <a:avLst/>
                        </a:prstGeom>
                        <a:noFill/>
                      </wps:spPr>
                      <wps:txbx>
                        <w:txbxContent>
                          <w:p w14:paraId="46599BCA" w14:textId="77777777" w:rsidR="00924992" w:rsidRDefault="00924992">
                            <w:pPr>
                              <w:pStyle w:val="Bodytext20"/>
                              <w:spacing w:line="240" w:lineRule="auto"/>
                            </w:pPr>
                            <w:r>
                              <w:rPr>
                                <w:b/>
                                <w:bCs/>
                                <w:i/>
                                <w:iCs/>
                                <w:color w:val="000000"/>
                                <w:sz w:val="17"/>
                                <w:szCs w:val="17"/>
                              </w:rPr>
                              <w:t>DUELAS</w:t>
                            </w:r>
                            <w:r>
                              <w:rPr>
                                <w:color w:val="000000"/>
                              </w:rPr>
                              <w:t xml:space="preserve"> hermafroditas, infección,(clonorquiasis o fasciolasis)</w:t>
                            </w:r>
                          </w:p>
                          <w:p w14:paraId="76BA67A0" w14:textId="77777777" w:rsidR="00924992" w:rsidRDefault="00924992">
                            <w:pPr>
                              <w:pStyle w:val="Bodytext20"/>
                              <w:spacing w:line="240" w:lineRule="auto"/>
                            </w:pPr>
                            <w:r>
                              <w:rPr>
                                <w:b/>
                                <w:bCs/>
                                <w:i/>
                                <w:iCs/>
                                <w:color w:val="000000"/>
                                <w:sz w:val="17"/>
                                <w:szCs w:val="17"/>
                              </w:rPr>
                              <w:t>Clonorchis sinensis</w:t>
                            </w:r>
                            <w:r>
                              <w:rPr>
                                <w:b/>
                                <w:bCs/>
                                <w:color w:val="000000"/>
                              </w:rPr>
                              <w:t xml:space="preserve"> (duela china del hígado)</w:t>
                            </w:r>
                          </w:p>
                          <w:p w14:paraId="68265DC2" w14:textId="77777777" w:rsidR="00924992" w:rsidRDefault="00924992">
                            <w:pPr>
                              <w:pStyle w:val="Bodytext20"/>
                              <w:tabs>
                                <w:tab w:val="left" w:pos="2702"/>
                              </w:tabs>
                              <w:spacing w:line="240" w:lineRule="auto"/>
                            </w:pPr>
                            <w:r>
                              <w:rPr>
                                <w:color w:val="000000"/>
                              </w:rPr>
                              <w:t>Fármaco más indicado:</w:t>
                            </w:r>
                            <w:r>
                              <w:rPr>
                                <w:color w:val="000000"/>
                              </w:rPr>
                              <w:tab/>
                              <w:t>Praziquantel</w:t>
                            </w:r>
                          </w:p>
                          <w:p w14:paraId="22E7C667" w14:textId="77777777" w:rsidR="00924992" w:rsidRDefault="00924992">
                            <w:pPr>
                              <w:pStyle w:val="Bodytext20"/>
                              <w:tabs>
                                <w:tab w:val="left" w:pos="2702"/>
                              </w:tabs>
                              <w:spacing w:line="240" w:lineRule="auto"/>
                            </w:pPr>
                            <w:r>
                              <w:rPr>
                                <w:b/>
                                <w:bCs/>
                                <w:color w:val="000000"/>
                              </w:rPr>
                              <w:t>O</w:t>
                            </w:r>
                            <w:r>
                              <w:rPr>
                                <w:b/>
                                <w:bCs/>
                                <w:color w:val="000000"/>
                              </w:rPr>
                              <w:tab/>
                            </w:r>
                            <w:r>
                              <w:rPr>
                                <w:color w:val="000000"/>
                              </w:rPr>
                              <w:t>Albendazol</w:t>
                            </w:r>
                            <w:r>
                              <w:rPr>
                                <w:color w:val="000000"/>
                                <w:vertAlign w:val="superscript"/>
                              </w:rPr>
                              <w:t>3</w:t>
                            </w:r>
                          </w:p>
                          <w:p w14:paraId="30B3189D" w14:textId="77777777" w:rsidR="00924992" w:rsidRDefault="00924992">
                            <w:pPr>
                              <w:pStyle w:val="Bodytext20"/>
                              <w:spacing w:line="240" w:lineRule="auto"/>
                            </w:pPr>
                            <w:r>
                              <w:rPr>
                                <w:b/>
                                <w:bCs/>
                                <w:i/>
                                <w:iCs/>
                                <w:color w:val="000000"/>
                                <w:sz w:val="17"/>
                                <w:szCs w:val="17"/>
                              </w:rPr>
                              <w:t>Fasciola hepatica</w:t>
                            </w:r>
                            <w:r>
                              <w:rPr>
                                <w:b/>
                                <w:bCs/>
                                <w:color w:val="000000"/>
                              </w:rPr>
                              <w:t xml:space="preserve"> (duela del hígado de ovejas)</w:t>
                            </w:r>
                          </w:p>
                          <w:p w14:paraId="61C4058A" w14:textId="77777777" w:rsidR="00924992" w:rsidRDefault="00924992">
                            <w:pPr>
                              <w:pStyle w:val="Bodytext20"/>
                              <w:tabs>
                                <w:tab w:val="left" w:pos="2702"/>
                              </w:tabs>
                              <w:spacing w:line="240" w:lineRule="auto"/>
                            </w:pPr>
                            <w:r>
                              <w:rPr>
                                <w:color w:val="000000"/>
                              </w:rPr>
                              <w:t>Fármaco más indicado:</w:t>
                            </w:r>
                            <w:r>
                              <w:rPr>
                                <w:color w:val="000000"/>
                                <w:vertAlign w:val="superscript"/>
                              </w:rPr>
                              <w:t>21</w:t>
                            </w:r>
                            <w:r>
                              <w:rPr>
                                <w:color w:val="000000"/>
                              </w:rPr>
                              <w:tab/>
                              <w:t>Triclabendazol*</w:t>
                            </w:r>
                          </w:p>
                          <w:p w14:paraId="38157C6A" w14:textId="77777777" w:rsidR="00924992" w:rsidRDefault="00924992">
                            <w:pPr>
                              <w:pStyle w:val="Bodytext20"/>
                              <w:tabs>
                                <w:tab w:val="left" w:pos="2702"/>
                              </w:tabs>
                              <w:spacing w:line="240" w:lineRule="auto"/>
                            </w:pPr>
                            <w:r>
                              <w:rPr>
                                <w:color w:val="000000"/>
                              </w:rPr>
                              <w:t>Fármaco alternativo:</w:t>
                            </w:r>
                            <w:r>
                              <w:rPr>
                                <w:color w:val="000000"/>
                              </w:rPr>
                              <w:tab/>
                              <w:t>Bitionol*</w:t>
                            </w:r>
                          </w:p>
                        </w:txbxContent>
                      </wps:txbx>
                      <wps:bodyPr lIns="0" tIns="0" rIns="0" bIns="0"/>
                    </wps:wsp>
                  </a:graphicData>
                </a:graphic>
              </wp:anchor>
            </w:drawing>
          </mc:Choice>
          <mc:Fallback>
            <w:pict>
              <v:shape w14:anchorId="5523D06B" id="Shape 2378" o:spid="_x0000_s1074" type="#_x0000_t202" style="position:absolute;margin-left:39.3pt;margin-top:3.85pt;width:220.1pt;height:77.05pt;z-index:251704320;visibility:visible;mso-wrap-style:square;mso-wrap-distance-left:11.15pt;mso-wrap-distance-top:35.75pt;mso-wrap-distance-right:381.7pt;mso-wrap-distance-bottom:146.5pt;mso-position-horizontal:absolute;mso-position-horizontal-relative:page;mso-position-vertical:absolute;mso-position-vertical-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" filled="f" stroked="f">
                <v:textbox inset="0,0,0,0">
                  <w:txbxContent>
                    <w:p w14:paraId="46599BCA" w14:textId="77777777" w:rsidR="00924992" w:rsidRDefault="00924992">
                      <w:pPr>
                        <w:pStyle w:val="Bodytext20"/>
                        <w:spacing w:line="240" w:lineRule="auto"/>
                      </w:pPr>
                      <w:r>
                        <w:rPr>
                          <w:b/>
                          <w:bCs/>
                          <w:i/>
                          <w:iCs/>
                          <w:color w:val="000000"/>
                          <w:sz w:val="17"/>
                          <w:szCs w:val="17"/>
                        </w:rPr>
                        <w:t>DUELAS</w:t>
                      </w:r>
                      <w:r>
                        <w:rPr>
                          <w:color w:val="000000"/>
                        </w:rPr>
                        <w:t xml:space="preserve"> hermafroditas, infección,(clonorquiasis o fasciolasis)</w:t>
                      </w:r>
                    </w:p>
                    <w:p w14:paraId="76BA67A0" w14:textId="77777777" w:rsidR="00924992" w:rsidRDefault="00924992">
                      <w:pPr>
                        <w:pStyle w:val="Bodytext20"/>
                        <w:spacing w:line="240" w:lineRule="auto"/>
                      </w:pPr>
                      <w:r>
                        <w:rPr>
                          <w:b/>
                          <w:bCs/>
                          <w:i/>
                          <w:iCs/>
                          <w:color w:val="000000"/>
                          <w:sz w:val="17"/>
                          <w:szCs w:val="17"/>
                        </w:rPr>
                        <w:t>Clonorchis sinensis</w:t>
                      </w:r>
                      <w:r>
                        <w:rPr>
                          <w:b/>
                          <w:bCs/>
                          <w:color w:val="000000"/>
                        </w:rPr>
                        <w:t xml:space="preserve"> (duela china del hígado)</w:t>
                      </w:r>
                    </w:p>
                    <w:p w14:paraId="68265DC2" w14:textId="77777777" w:rsidR="00924992" w:rsidRDefault="00924992">
                      <w:pPr>
                        <w:pStyle w:val="Bodytext20"/>
                        <w:tabs>
                          <w:tab w:val="left" w:pos="2702"/>
                        </w:tabs>
                        <w:spacing w:line="240" w:lineRule="auto"/>
                      </w:pPr>
                      <w:r>
                        <w:rPr>
                          <w:color w:val="000000"/>
                        </w:rPr>
                        <w:t>Fármaco más indicado:</w:t>
                      </w:r>
                      <w:r>
                        <w:rPr>
                          <w:color w:val="000000"/>
                        </w:rPr>
                        <w:tab/>
                        <w:t>Praziquantel</w:t>
                      </w:r>
                    </w:p>
                    <w:p w14:paraId="22E7C667" w14:textId="77777777" w:rsidR="00924992" w:rsidRDefault="00924992">
                      <w:pPr>
                        <w:pStyle w:val="Bodytext20"/>
                        <w:tabs>
                          <w:tab w:val="left" w:pos="2702"/>
                        </w:tabs>
                        <w:spacing w:line="240" w:lineRule="auto"/>
                      </w:pPr>
                      <w:r>
                        <w:rPr>
                          <w:b/>
                          <w:bCs/>
                          <w:color w:val="000000"/>
                        </w:rPr>
                        <w:t>O</w:t>
                      </w:r>
                      <w:r>
                        <w:rPr>
                          <w:b/>
                          <w:bCs/>
                          <w:color w:val="000000"/>
                        </w:rPr>
                        <w:tab/>
                      </w:r>
                      <w:r>
                        <w:rPr>
                          <w:color w:val="000000"/>
                        </w:rPr>
                        <w:t>Albendazol</w:t>
                      </w:r>
                      <w:r>
                        <w:rPr>
                          <w:color w:val="000000"/>
                          <w:vertAlign w:val="superscript"/>
                        </w:rPr>
                        <w:t>3</w:t>
                      </w:r>
                    </w:p>
                    <w:p w14:paraId="30B3189D" w14:textId="77777777" w:rsidR="00924992" w:rsidRDefault="00924992">
                      <w:pPr>
                        <w:pStyle w:val="Bodytext20"/>
                        <w:spacing w:line="240" w:lineRule="auto"/>
                      </w:pPr>
                      <w:r>
                        <w:rPr>
                          <w:b/>
                          <w:bCs/>
                          <w:i/>
                          <w:iCs/>
                          <w:color w:val="000000"/>
                          <w:sz w:val="17"/>
                          <w:szCs w:val="17"/>
                        </w:rPr>
                        <w:t>Fasciola hepatica</w:t>
                      </w:r>
                      <w:r>
                        <w:rPr>
                          <w:b/>
                          <w:bCs/>
                          <w:color w:val="000000"/>
                        </w:rPr>
                        <w:t xml:space="preserve"> (duela del hígado de ovejas)</w:t>
                      </w:r>
                    </w:p>
                    <w:p w14:paraId="61C4058A" w14:textId="77777777" w:rsidR="00924992" w:rsidRDefault="00924992">
                      <w:pPr>
                        <w:pStyle w:val="Bodytext20"/>
                        <w:tabs>
                          <w:tab w:val="left" w:pos="2702"/>
                        </w:tabs>
                        <w:spacing w:line="240" w:lineRule="auto"/>
                      </w:pPr>
                      <w:r>
                        <w:rPr>
                          <w:color w:val="000000"/>
                        </w:rPr>
                        <w:t>Fármaco más indicado:</w:t>
                      </w:r>
                      <w:r>
                        <w:rPr>
                          <w:color w:val="000000"/>
                          <w:vertAlign w:val="superscript"/>
                        </w:rPr>
                        <w:t>21</w:t>
                      </w:r>
                      <w:r>
                        <w:rPr>
                          <w:color w:val="000000"/>
                        </w:rPr>
                        <w:tab/>
                        <w:t>Triclabendazol*</w:t>
                      </w:r>
                    </w:p>
                    <w:p w14:paraId="38157C6A" w14:textId="77777777" w:rsidR="00924992" w:rsidRDefault="00924992">
                      <w:pPr>
                        <w:pStyle w:val="Bodytext20"/>
                        <w:tabs>
                          <w:tab w:val="left" w:pos="2702"/>
                        </w:tabs>
                        <w:spacing w:line="240" w:lineRule="auto"/>
                      </w:pPr>
                      <w:r>
                        <w:rPr>
                          <w:color w:val="000000"/>
                        </w:rPr>
                        <w:t>Fármaco alternativo:</w:t>
                      </w:r>
                      <w:r>
                        <w:rPr>
                          <w:color w:val="000000"/>
                        </w:rPr>
                        <w:tab/>
                        <w:t>Bitionol*</w:t>
                      </w:r>
                    </w:p>
                  </w:txbxContent>
                </v:textbox>
                <w10:wrap type="topAndBottom" anchorx="page" anchory="margin"/>
              </v:shape>
            </w:pict>
          </mc:Fallback>
        </mc:AlternateContent>
      </w:r>
      <w:r>
        <w:rPr>
          <w:noProof/>
        </w:rPr>
        <mc:AlternateContent>
          <mc:Choice Requires="wps">
            <w:drawing>
              <wp:anchor distT="725170" distB="1858010" distL="3674110" distR="2665730" simplePos="0" relativeHeight="251705344" behindDoc="0" locked="0" layoutInCell="1" allowOverlap="1" wp14:anchorId="3C053211" wp14:editId="2E5E9D6E">
                <wp:simplePos x="0" y="0"/>
                <wp:positionH relativeFrom="page">
                  <wp:posOffset>4031615</wp:posOffset>
                </wp:positionH>
                <wp:positionV relativeFrom="margin">
                  <wp:posOffset>320040</wp:posOffset>
                </wp:positionV>
                <wp:extent cx="1444625" cy="709930"/>
                <wp:effectExtent l="0" t="0" r="0" b="0"/>
                <wp:wrapTopAndBottom/>
                <wp:docPr id="2380" name="Shape 2380"/>
                <wp:cNvGraphicFramePr/>
                <a:graphic xmlns:a="http://schemas.openxmlformats.org/drawingml/2006/main">
                  <a:graphicData uri="http://schemas.microsoft.com/office/word/2010/wordprocessingShape">
                    <wps:wsp>
                      <wps:cNvSpPr txBox="1"/>
                      <wps:spPr>
                        <a:xfrm>
                          <a:off x="0" y="0"/>
                          <a:ext cx="1444625" cy="709930"/>
                        </a:xfrm>
                        <a:prstGeom prst="rect">
                          <a:avLst/>
                        </a:prstGeom>
                        <a:noFill/>
                      </wps:spPr>
                      <wps:txbx>
                        <w:txbxContent>
                          <w:p w14:paraId="2027E3AA" w14:textId="77777777" w:rsidR="00924992" w:rsidRDefault="00924992">
                            <w:pPr>
                              <w:pStyle w:val="Bodytext20"/>
                              <w:spacing w:line="240" w:lineRule="auto"/>
                            </w:pPr>
                            <w:r>
                              <w:rPr>
                                <w:color w:val="000000"/>
                              </w:rPr>
                              <w:t xml:space="preserve">75 mg/kg/día en 3 dosis </w:t>
                            </w:r>
                            <w:r>
                              <w:rPr>
                                <w:rFonts w:ascii="Garamond" w:eastAsia="Garamond" w:hAnsi="Garamond" w:cs="Garamond"/>
                                <w:color w:val="000000"/>
                                <w:sz w:val="19"/>
                                <w:szCs w:val="19"/>
                              </w:rPr>
                              <w:t xml:space="preserve">x </w:t>
                            </w:r>
                            <w:r>
                              <w:rPr>
                                <w:color w:val="000000"/>
                              </w:rPr>
                              <w:t>1 día</w:t>
                            </w:r>
                          </w:p>
                          <w:p w14:paraId="3555B05F" w14:textId="77777777" w:rsidR="00924992" w:rsidRDefault="00924992">
                            <w:pPr>
                              <w:pStyle w:val="Bodytext20"/>
                              <w:spacing w:after="240" w:line="240" w:lineRule="auto"/>
                            </w:pPr>
                            <w:r>
                              <w:rPr>
                                <w:color w:val="000000"/>
                              </w:rPr>
                              <w:t xml:space="preserve">10 mg/kg </w:t>
                            </w:r>
                            <w:r>
                              <w:rPr>
                                <w:rFonts w:ascii="Garamond" w:eastAsia="Garamond" w:hAnsi="Garamond" w:cs="Garamond"/>
                                <w:color w:val="000000"/>
                                <w:sz w:val="19"/>
                                <w:szCs w:val="19"/>
                              </w:rPr>
                              <w:t xml:space="preserve">x </w:t>
                            </w:r>
                            <w:r>
                              <w:rPr>
                                <w:color w:val="000000"/>
                              </w:rPr>
                              <w:t>7 días</w:t>
                            </w:r>
                          </w:p>
                          <w:p w14:paraId="335C0E85" w14:textId="77777777" w:rsidR="00924992" w:rsidRDefault="00924992">
                            <w:pPr>
                              <w:pStyle w:val="Bodytext20"/>
                              <w:spacing w:line="240" w:lineRule="auto"/>
                            </w:pPr>
                            <w:r>
                              <w:rPr>
                                <w:color w:val="000000"/>
                              </w:rPr>
                              <w:t>10 mg/kg una vez</w:t>
                            </w:r>
                          </w:p>
                          <w:p w14:paraId="6DA5CE45" w14:textId="77777777" w:rsidR="00924992" w:rsidRDefault="00924992">
                            <w:pPr>
                              <w:pStyle w:val="Bodytext20"/>
                              <w:spacing w:after="120" w:line="240" w:lineRule="auto"/>
                            </w:pPr>
                            <w:r>
                              <w:rPr>
                                <w:color w:val="000000"/>
                              </w:rPr>
                              <w:t xml:space="preserve">30-50 mg/kg </w:t>
                            </w:r>
                            <w:r>
                              <w:rPr>
                                <w:rFonts w:ascii="Garamond" w:eastAsia="Garamond" w:hAnsi="Garamond" w:cs="Garamond"/>
                                <w:color w:val="000000"/>
                                <w:sz w:val="19"/>
                                <w:szCs w:val="19"/>
                              </w:rPr>
                              <w:t xml:space="preserve">x </w:t>
                            </w:r>
                            <w:r>
                              <w:rPr>
                                <w:color w:val="000000"/>
                              </w:rPr>
                              <w:t>10-15 dosis</w:t>
                            </w:r>
                          </w:p>
                        </w:txbxContent>
                      </wps:txbx>
                      <wps:bodyPr lIns="0" tIns="0" rIns="0" bIns="0"/>
                    </wps:wsp>
                  </a:graphicData>
                </a:graphic>
              </wp:anchor>
            </w:drawing>
          </mc:Choice>
          <mc:Fallback>
            <w:pict>
              <v:shape w14:anchorId="3C053211" id="Shape 2380" o:spid="_x0000_s1075" type="#_x0000_t202" style="position:absolute;margin-left:317.45pt;margin-top:25.2pt;width:113.75pt;height:55.9pt;z-index:251705344;visibility:visible;mso-wrap-style:square;mso-wrap-distance-left:289.3pt;mso-wrap-distance-top:57.1pt;mso-wrap-distance-right:209.9pt;mso-wrap-distance-bottom:146.3pt;mso-position-horizontal:absolute;mso-position-horizontal-relative:page;mso-position-vertical:absolute;mso-position-vertical-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" filled="f" stroked="f">
                <v:textbox inset="0,0,0,0">
                  <w:txbxContent>
                    <w:p w14:paraId="2027E3AA" w14:textId="77777777" w:rsidR="00924992" w:rsidRDefault="00924992">
                      <w:pPr>
                        <w:pStyle w:val="Bodytext20"/>
                        <w:spacing w:line="240" w:lineRule="auto"/>
                      </w:pPr>
                      <w:r>
                        <w:rPr>
                          <w:color w:val="000000"/>
                        </w:rPr>
                        <w:t xml:space="preserve">75 mg/kg/día en 3 dosis </w:t>
                      </w:r>
                      <w:r>
                        <w:rPr>
                          <w:rFonts w:ascii="Garamond" w:eastAsia="Garamond" w:hAnsi="Garamond" w:cs="Garamond"/>
                          <w:color w:val="000000"/>
                          <w:sz w:val="19"/>
                          <w:szCs w:val="19"/>
                        </w:rPr>
                        <w:t xml:space="preserve">x </w:t>
                      </w:r>
                      <w:r>
                        <w:rPr>
                          <w:color w:val="000000"/>
                        </w:rPr>
                        <w:t>1 día</w:t>
                      </w:r>
                    </w:p>
                    <w:p w14:paraId="3555B05F" w14:textId="77777777" w:rsidR="00924992" w:rsidRDefault="00924992">
                      <w:pPr>
                        <w:pStyle w:val="Bodytext20"/>
                        <w:spacing w:after="240" w:line="240" w:lineRule="auto"/>
                      </w:pPr>
                      <w:r>
                        <w:rPr>
                          <w:color w:val="000000"/>
                        </w:rPr>
                        <w:t xml:space="preserve">10 mg/kg </w:t>
                      </w:r>
                      <w:r>
                        <w:rPr>
                          <w:rFonts w:ascii="Garamond" w:eastAsia="Garamond" w:hAnsi="Garamond" w:cs="Garamond"/>
                          <w:color w:val="000000"/>
                          <w:sz w:val="19"/>
                          <w:szCs w:val="19"/>
                        </w:rPr>
                        <w:t xml:space="preserve">x </w:t>
                      </w:r>
                      <w:r>
                        <w:rPr>
                          <w:color w:val="000000"/>
                        </w:rPr>
                        <w:t>7 días</w:t>
                      </w:r>
                    </w:p>
                    <w:p w14:paraId="335C0E85" w14:textId="77777777" w:rsidR="00924992" w:rsidRDefault="00924992">
                      <w:pPr>
                        <w:pStyle w:val="Bodytext20"/>
                        <w:spacing w:line="240" w:lineRule="auto"/>
                      </w:pPr>
                      <w:r>
                        <w:rPr>
                          <w:color w:val="000000"/>
                        </w:rPr>
                        <w:t>10 mg/kg una vez</w:t>
                      </w:r>
                    </w:p>
                    <w:p w14:paraId="6DA5CE45" w14:textId="77777777" w:rsidR="00924992" w:rsidRDefault="00924992">
                      <w:pPr>
                        <w:pStyle w:val="Bodytext20"/>
                        <w:spacing w:after="120" w:line="240" w:lineRule="auto"/>
                      </w:pPr>
                      <w:r>
                        <w:rPr>
                          <w:color w:val="000000"/>
                        </w:rPr>
                        <w:t xml:space="preserve">30-50 mg/kg </w:t>
                      </w:r>
                      <w:r>
                        <w:rPr>
                          <w:rFonts w:ascii="Garamond" w:eastAsia="Garamond" w:hAnsi="Garamond" w:cs="Garamond"/>
                          <w:color w:val="000000"/>
                          <w:sz w:val="19"/>
                          <w:szCs w:val="19"/>
                        </w:rPr>
                        <w:t xml:space="preserve">x </w:t>
                      </w:r>
                      <w:r>
                        <w:rPr>
                          <w:color w:val="000000"/>
                        </w:rPr>
                        <w:t>10-15 dosis</w:t>
                      </w:r>
                    </w:p>
                  </w:txbxContent>
                </v:textbox>
                <w10:wrap type="topAndBottom" anchorx="page" anchory="margin"/>
              </v:shape>
            </w:pict>
          </mc:Fallback>
        </mc:AlternateContent>
      </w:r>
      <w:r>
        <w:rPr>
          <w:noProof/>
        </w:rPr>
        <mc:AlternateContent>
          <mc:Choice Requires="wps">
            <w:drawing>
              <wp:anchor distT="725170" distB="1738630" distL="5500370" distR="839470" simplePos="0" relativeHeight="251706368" behindDoc="0" locked="0" layoutInCell="1" allowOverlap="1" wp14:anchorId="7ECA43F9" wp14:editId="309E9E72">
                <wp:simplePos x="0" y="0"/>
                <wp:positionH relativeFrom="page">
                  <wp:posOffset>5857875</wp:posOffset>
                </wp:positionH>
                <wp:positionV relativeFrom="margin">
                  <wp:posOffset>320040</wp:posOffset>
                </wp:positionV>
                <wp:extent cx="1444625" cy="829310"/>
                <wp:effectExtent l="0" t="0" r="0" b="0"/>
                <wp:wrapTopAndBottom/>
                <wp:docPr id="2382" name="Shape 2382"/>
                <wp:cNvGraphicFramePr/>
                <a:graphic xmlns:a="http://schemas.openxmlformats.org/drawingml/2006/main">
                  <a:graphicData uri="http://schemas.microsoft.com/office/word/2010/wordprocessingShape">
                    <wps:wsp>
                      <wps:cNvSpPr txBox="1"/>
                      <wps:spPr>
                        <a:xfrm>
                          <a:off x="0" y="0"/>
                          <a:ext cx="1444625" cy="829310"/>
                        </a:xfrm>
                        <a:prstGeom prst="rect">
                          <a:avLst/>
                        </a:prstGeom>
                        <a:noFill/>
                      </wps:spPr>
                      <wps:txbx>
                        <w:txbxContent>
                          <w:p w14:paraId="179BD19D" w14:textId="77777777" w:rsidR="00924992" w:rsidRDefault="00924992">
                            <w:pPr>
                              <w:pStyle w:val="Bodytext20"/>
                              <w:spacing w:line="240" w:lineRule="auto"/>
                            </w:pPr>
                            <w:r>
                              <w:rPr>
                                <w:color w:val="000000"/>
                              </w:rPr>
                              <w:t xml:space="preserve">75 mg/kg/día en 3 dosis </w:t>
                            </w:r>
                            <w:r>
                              <w:rPr>
                                <w:rFonts w:ascii="Garamond" w:eastAsia="Garamond" w:hAnsi="Garamond" w:cs="Garamond"/>
                                <w:color w:val="000000"/>
                                <w:sz w:val="19"/>
                                <w:szCs w:val="19"/>
                              </w:rPr>
                              <w:t xml:space="preserve">x </w:t>
                            </w:r>
                            <w:r>
                              <w:rPr>
                                <w:color w:val="000000"/>
                              </w:rPr>
                              <w:t>1 día</w:t>
                            </w:r>
                          </w:p>
                          <w:p w14:paraId="4FC52723" w14:textId="77777777" w:rsidR="00924992" w:rsidRDefault="00924992">
                            <w:pPr>
                              <w:pStyle w:val="Bodytext20"/>
                              <w:spacing w:after="240" w:line="240" w:lineRule="auto"/>
                            </w:pPr>
                            <w:r>
                              <w:rPr>
                                <w:color w:val="000000"/>
                              </w:rPr>
                              <w:t xml:space="preserve">10 mg/kg </w:t>
                            </w:r>
                            <w:r>
                              <w:rPr>
                                <w:rFonts w:ascii="Garamond" w:eastAsia="Garamond" w:hAnsi="Garamond" w:cs="Garamond"/>
                                <w:color w:val="000000"/>
                                <w:sz w:val="19"/>
                                <w:szCs w:val="19"/>
                              </w:rPr>
                              <w:t xml:space="preserve">x </w:t>
                            </w:r>
                            <w:r>
                              <w:rPr>
                                <w:color w:val="000000"/>
                              </w:rPr>
                              <w:t>7 días</w:t>
                            </w:r>
                          </w:p>
                          <w:p w14:paraId="597B3EE8" w14:textId="77777777" w:rsidR="00924992" w:rsidRDefault="00924992">
                            <w:pPr>
                              <w:pStyle w:val="Bodytext20"/>
                              <w:spacing w:line="240" w:lineRule="auto"/>
                            </w:pPr>
                            <w:r>
                              <w:rPr>
                                <w:color w:val="000000"/>
                              </w:rPr>
                              <w:t>10 mg/kg una vez</w:t>
                            </w:r>
                          </w:p>
                          <w:p w14:paraId="68293846" w14:textId="77777777" w:rsidR="00924992" w:rsidRDefault="00924992">
                            <w:pPr>
                              <w:pStyle w:val="Bodytext20"/>
                              <w:spacing w:line="240" w:lineRule="auto"/>
                            </w:pPr>
                            <w:r>
                              <w:rPr>
                                <w:color w:val="000000"/>
                              </w:rPr>
                              <w:t>30-50 mg/kg en días alternos</w:t>
                            </w:r>
                          </w:p>
                          <w:p w14:paraId="1060C826" w14:textId="77777777" w:rsidR="00924992" w:rsidRDefault="00924992">
                            <w:pPr>
                              <w:pStyle w:val="Bodytext20"/>
                              <w:spacing w:line="240" w:lineRule="auto"/>
                            </w:pPr>
                            <w:r>
                              <w:rPr>
                                <w:rFonts w:ascii="Garamond" w:eastAsia="Garamond" w:hAnsi="Garamond" w:cs="Garamond"/>
                                <w:color w:val="000000"/>
                                <w:sz w:val="19"/>
                                <w:szCs w:val="19"/>
                              </w:rPr>
                              <w:t xml:space="preserve">x </w:t>
                            </w:r>
                            <w:r>
                              <w:rPr>
                                <w:color w:val="000000"/>
                              </w:rPr>
                              <w:t>10-15 dosis</w:t>
                            </w:r>
                          </w:p>
                        </w:txbxContent>
                      </wps:txbx>
                      <wps:bodyPr lIns="0" tIns="0" rIns="0" bIns="0"/>
                    </wps:wsp>
                  </a:graphicData>
                </a:graphic>
              </wp:anchor>
            </w:drawing>
          </mc:Choice>
          <mc:Fallback>
            <w:pict>
              <v:shape w14:anchorId="7ECA43F9" id="Shape 2382" o:spid="_x0000_s1076" type="#_x0000_t202" style="position:absolute;margin-left:461.25pt;margin-top:25.2pt;width:113.75pt;height:65.3pt;z-index:251706368;visibility:visible;mso-wrap-style:square;mso-wrap-distance-left:433.1pt;mso-wrap-distance-top:57.1pt;mso-wrap-distance-right:66.1pt;mso-wrap-distance-bottom:136.9pt;mso-position-horizontal:absolute;mso-position-horizontal-relative:page;mso-position-vertical:absolute;mso-position-vertical-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" filled="f" stroked="f">
                <v:textbox inset="0,0,0,0">
                  <w:txbxContent>
                    <w:p w14:paraId="179BD19D" w14:textId="77777777" w:rsidR="00924992" w:rsidRDefault="00924992">
                      <w:pPr>
                        <w:pStyle w:val="Bodytext20"/>
                        <w:spacing w:line="240" w:lineRule="auto"/>
                      </w:pPr>
                      <w:r>
                        <w:rPr>
                          <w:color w:val="000000"/>
                        </w:rPr>
                        <w:t xml:space="preserve">75 mg/kg/día en 3 dosis </w:t>
                      </w:r>
                      <w:r>
                        <w:rPr>
                          <w:rFonts w:ascii="Garamond" w:eastAsia="Garamond" w:hAnsi="Garamond" w:cs="Garamond"/>
                          <w:color w:val="000000"/>
                          <w:sz w:val="19"/>
                          <w:szCs w:val="19"/>
                        </w:rPr>
                        <w:t xml:space="preserve">x </w:t>
                      </w:r>
                      <w:r>
                        <w:rPr>
                          <w:color w:val="000000"/>
                        </w:rPr>
                        <w:t>1 día</w:t>
                      </w:r>
                    </w:p>
                    <w:p w14:paraId="4FC52723" w14:textId="77777777" w:rsidR="00924992" w:rsidRDefault="00924992">
                      <w:pPr>
                        <w:pStyle w:val="Bodytext20"/>
                        <w:spacing w:after="240" w:line="240" w:lineRule="auto"/>
                      </w:pPr>
                      <w:r>
                        <w:rPr>
                          <w:color w:val="000000"/>
                        </w:rPr>
                        <w:t xml:space="preserve">10 mg/kg </w:t>
                      </w:r>
                      <w:r>
                        <w:rPr>
                          <w:rFonts w:ascii="Garamond" w:eastAsia="Garamond" w:hAnsi="Garamond" w:cs="Garamond"/>
                          <w:color w:val="000000"/>
                          <w:sz w:val="19"/>
                          <w:szCs w:val="19"/>
                        </w:rPr>
                        <w:t xml:space="preserve">x </w:t>
                      </w:r>
                      <w:r>
                        <w:rPr>
                          <w:color w:val="000000"/>
                        </w:rPr>
                        <w:t>7 días</w:t>
                      </w:r>
                    </w:p>
                    <w:p w14:paraId="597B3EE8" w14:textId="77777777" w:rsidR="00924992" w:rsidRDefault="00924992">
                      <w:pPr>
                        <w:pStyle w:val="Bodytext20"/>
                        <w:spacing w:line="240" w:lineRule="auto"/>
                      </w:pPr>
                      <w:r>
                        <w:rPr>
                          <w:color w:val="000000"/>
                        </w:rPr>
                        <w:t>10 mg/kg una vez</w:t>
                      </w:r>
                    </w:p>
                    <w:p w14:paraId="68293846" w14:textId="77777777" w:rsidR="00924992" w:rsidRDefault="00924992">
                      <w:pPr>
                        <w:pStyle w:val="Bodytext20"/>
                        <w:spacing w:line="240" w:lineRule="auto"/>
                      </w:pPr>
                      <w:r>
                        <w:rPr>
                          <w:color w:val="000000"/>
                        </w:rPr>
                        <w:t>30-50 mg/kg en días alternos</w:t>
                      </w:r>
                    </w:p>
                    <w:p w14:paraId="1060C826" w14:textId="77777777" w:rsidR="00924992" w:rsidRDefault="00924992">
                      <w:pPr>
                        <w:pStyle w:val="Bodytext20"/>
                        <w:spacing w:line="240" w:lineRule="auto"/>
                      </w:pPr>
                      <w:r>
                        <w:rPr>
                          <w:rFonts w:ascii="Garamond" w:eastAsia="Garamond" w:hAnsi="Garamond" w:cs="Garamond"/>
                          <w:color w:val="000000"/>
                          <w:sz w:val="19"/>
                          <w:szCs w:val="19"/>
                        </w:rPr>
                        <w:t xml:space="preserve">x </w:t>
                      </w:r>
                      <w:r>
                        <w:rPr>
                          <w:color w:val="000000"/>
                        </w:rPr>
                        <w:t>10-15 dosis</w:t>
                      </w:r>
                    </w:p>
                  </w:txbxContent>
                </v:textbox>
                <w10:wrap type="topAndBottom" anchorx="page" anchory="margin"/>
              </v:shape>
            </w:pict>
          </mc:Fallback>
        </mc:AlternateContent>
      </w:r>
      <w:r>
        <w:rPr>
          <w:noProof/>
        </w:rPr>
        <mc:AlternateContent>
          <mc:Choice Requires="wps">
            <w:drawing>
              <wp:anchor distT="1703705" distB="324485" distL="168910" distR="2632075" simplePos="0" relativeHeight="251707392" behindDoc="0" locked="0" layoutInCell="1" allowOverlap="1" wp14:anchorId="50313FF9" wp14:editId="0C701504">
                <wp:simplePos x="0" y="0"/>
                <wp:positionH relativeFrom="page">
                  <wp:posOffset>526415</wp:posOffset>
                </wp:positionH>
                <wp:positionV relativeFrom="margin">
                  <wp:posOffset>1298575</wp:posOffset>
                </wp:positionV>
                <wp:extent cx="4983480" cy="1264920"/>
                <wp:effectExtent l="0" t="0" r="0" b="0"/>
                <wp:wrapTopAndBottom/>
                <wp:docPr id="2384" name="Shape 2384"/>
                <wp:cNvGraphicFramePr/>
                <a:graphic xmlns:a="http://schemas.openxmlformats.org/drawingml/2006/main">
                  <a:graphicData uri="http://schemas.microsoft.com/office/word/2010/wordprocessingShape">
                    <wps:wsp>
                      <wps:cNvSpPr txBox="1"/>
                      <wps:spPr>
                        <a:xfrm>
                          <a:off x="0" y="0"/>
                          <a:ext cx="4983480" cy="1264920"/>
                        </a:xfrm>
                        <a:prstGeom prst="rect">
                          <a:avLst/>
                        </a:prstGeom>
                        <a:noFill/>
                      </wps:spPr>
                      <wps:txbx>
                        <w:txbxContent>
                          <w:tbl>
                            <w:tblPr>
                              <w:tblOverlap w:val="never"/>
                              <w:tblW w:w="0" w:type="auto"/>
                              <w:tblLayout w:type="fixed"/>
                              <w:tblCellMar>
                                <w:left w:w="10" w:type="dxa"/>
                                <w:right w:w="10" w:type="dxa"/>
                              </w:tblCellMar>
                              <w:tblLook w:val="04A0" w:firstRow="1" w:lastRow="0" w:firstColumn="1" w:lastColumn="0" w:noHBand="0" w:noVBand="1"/>
                            </w:tblPr>
                            <w:tblGrid>
                              <w:gridCol w:w="2290"/>
                              <w:gridCol w:w="2645"/>
                              <w:gridCol w:w="2914"/>
                            </w:tblGrid>
                            <w:tr w:rsidR="00924992" w14:paraId="006012B7" w14:textId="77777777">
                              <w:tblPrEx>
                                <w:tblCellMar>
                                  <w:top w:w="0" w:type="dxa"/>
                                  <w:bottom w:w="0" w:type="dxa"/>
                                </w:tblCellMar>
                              </w:tblPrEx>
                              <w:trPr>
                                <w:trHeight w:hRule="exact" w:val="226"/>
                                <w:tblHeader/>
                              </w:trPr>
                              <w:tc>
                                <w:tcPr>
                                  <w:tcW w:w="2290" w:type="dxa"/>
                                  <w:shd w:val="clear" w:color="auto" w:fill="FFFFFF"/>
                                </w:tcPr>
                                <w:p w14:paraId="33F06EC0" w14:textId="77777777" w:rsidR="00924992" w:rsidRDefault="00924992">
                                  <w:pPr>
                                    <w:pStyle w:val="Other0"/>
                                    <w:spacing w:line="240" w:lineRule="auto"/>
                                    <w:ind w:firstLine="0"/>
                                    <w:rPr>
                                      <w:sz w:val="16"/>
                                      <w:szCs w:val="16"/>
                                    </w:rPr>
                                  </w:pPr>
                                  <w:r>
                                    <w:rPr>
                                      <w:rFonts w:ascii="Times New Roman" w:eastAsia="Times New Roman" w:hAnsi="Times New Roman" w:cs="Times New Roman"/>
                                      <w:color w:val="000000"/>
                                      <w:sz w:val="16"/>
                                      <w:szCs w:val="16"/>
                                    </w:rPr>
                                    <w:t>Fármacos más indicados:</w:t>
                                  </w:r>
                                </w:p>
                              </w:tc>
                              <w:tc>
                                <w:tcPr>
                                  <w:tcW w:w="2645" w:type="dxa"/>
                                  <w:shd w:val="clear" w:color="auto" w:fill="FFFFFF"/>
                                </w:tcPr>
                                <w:p w14:paraId="29D59358" w14:textId="77777777" w:rsidR="00924992" w:rsidRDefault="00924992">
                                  <w:pPr>
                                    <w:pStyle w:val="Other0"/>
                                    <w:spacing w:line="240" w:lineRule="auto"/>
                                    <w:ind w:firstLine="480"/>
                                    <w:rPr>
                                      <w:sz w:val="16"/>
                                      <w:szCs w:val="16"/>
                                    </w:rPr>
                                  </w:pPr>
                                  <w:r>
                                    <w:rPr>
                                      <w:rFonts w:ascii="Times New Roman" w:eastAsia="Times New Roman" w:hAnsi="Times New Roman" w:cs="Times New Roman"/>
                                      <w:color w:val="000000"/>
                                      <w:sz w:val="16"/>
                                      <w:szCs w:val="16"/>
                                    </w:rPr>
                                    <w:t>Praziquantel</w:t>
                                  </w:r>
                                  <w:r>
                                    <w:rPr>
                                      <w:rFonts w:ascii="Times New Roman" w:eastAsia="Times New Roman" w:hAnsi="Times New Roman" w:cs="Times New Roman"/>
                                      <w:color w:val="000000"/>
                                      <w:sz w:val="16"/>
                                      <w:szCs w:val="16"/>
                                      <w:vertAlign w:val="superscript"/>
                                    </w:rPr>
                                    <w:t>3</w:t>
                                  </w:r>
                                </w:p>
                              </w:tc>
                              <w:tc>
                                <w:tcPr>
                                  <w:tcW w:w="2914" w:type="dxa"/>
                                  <w:shd w:val="clear" w:color="auto" w:fill="FFFFFF"/>
                                </w:tcPr>
                                <w:p w14:paraId="01825769" w14:textId="77777777" w:rsidR="00924992" w:rsidRDefault="00924992">
                                  <w:pPr>
                                    <w:pStyle w:val="Other0"/>
                                    <w:spacing w:line="240" w:lineRule="auto"/>
                                    <w:ind w:firstLine="600"/>
                                    <w:rPr>
                                      <w:sz w:val="16"/>
                                      <w:szCs w:val="16"/>
                                    </w:rPr>
                                  </w:pPr>
                                  <w:r>
                                    <w:rPr>
                                      <w:rFonts w:ascii="Times New Roman" w:eastAsia="Times New Roman" w:hAnsi="Times New Roman" w:cs="Times New Roman"/>
                                      <w:color w:val="000000"/>
                                      <w:sz w:val="16"/>
                                      <w:szCs w:val="16"/>
                                    </w:rPr>
                                    <w:t xml:space="preserve">75 mg/kg/día en 3 dosis </w:t>
                                  </w:r>
                                  <w:r>
                                    <w:rPr>
                                      <w:color w:val="000000"/>
                                    </w:rPr>
                                    <w:t xml:space="preserve">x </w:t>
                                  </w:r>
                                  <w:r>
                                    <w:rPr>
                                      <w:rFonts w:ascii="Times New Roman" w:eastAsia="Times New Roman" w:hAnsi="Times New Roman" w:cs="Times New Roman"/>
                                      <w:color w:val="000000"/>
                                      <w:sz w:val="16"/>
                                      <w:szCs w:val="16"/>
                                    </w:rPr>
                                    <w:t>1 día</w:t>
                                  </w:r>
                                </w:p>
                              </w:tc>
                            </w:tr>
                            <w:tr w:rsidR="00924992" w14:paraId="7B51A6A1" w14:textId="77777777">
                              <w:tblPrEx>
                                <w:tblCellMar>
                                  <w:top w:w="0" w:type="dxa"/>
                                  <w:bottom w:w="0" w:type="dxa"/>
                                </w:tblCellMar>
                              </w:tblPrEx>
                              <w:trPr>
                                <w:trHeight w:hRule="exact" w:val="221"/>
                              </w:trPr>
                              <w:tc>
                                <w:tcPr>
                                  <w:tcW w:w="4935" w:type="dxa"/>
                                  <w:gridSpan w:val="2"/>
                                  <w:shd w:val="clear" w:color="auto" w:fill="FFFFFF"/>
                                  <w:vAlign w:val="bottom"/>
                                </w:tcPr>
                                <w:p w14:paraId="00BAB979" w14:textId="77777777" w:rsidR="00924992" w:rsidRDefault="00924992">
                                  <w:pPr>
                                    <w:pStyle w:val="Other0"/>
                                    <w:spacing w:line="240" w:lineRule="auto"/>
                                    <w:ind w:firstLine="0"/>
                                    <w:rPr>
                                      <w:sz w:val="16"/>
                                      <w:szCs w:val="16"/>
                                    </w:rPr>
                                  </w:pPr>
                                  <w:r>
                                    <w:rPr>
                                      <w:rFonts w:ascii="Times New Roman" w:eastAsia="Times New Roman" w:hAnsi="Times New Roman" w:cs="Times New Roman"/>
                                      <w:b/>
                                      <w:bCs/>
                                      <w:i/>
                                      <w:iCs/>
                                      <w:color w:val="000000"/>
                                      <w:sz w:val="17"/>
                                      <w:szCs w:val="17"/>
                                    </w:rPr>
                                    <w:t>Metorchis conjunctus</w:t>
                                  </w:r>
                                  <w:r>
                                    <w:rPr>
                                      <w:rFonts w:ascii="Times New Roman" w:eastAsia="Times New Roman" w:hAnsi="Times New Roman" w:cs="Times New Roman"/>
                                      <w:b/>
                                      <w:bCs/>
                                      <w:color w:val="000000"/>
                                      <w:sz w:val="16"/>
                                      <w:szCs w:val="16"/>
                                    </w:rPr>
                                    <w:t xml:space="preserve"> (duela hepática norteamericana)</w:t>
                                  </w:r>
                                  <w:r>
                                    <w:rPr>
                                      <w:rFonts w:ascii="Times New Roman" w:eastAsia="Times New Roman" w:hAnsi="Times New Roman" w:cs="Times New Roman"/>
                                      <w:b/>
                                      <w:bCs/>
                                      <w:color w:val="000000"/>
                                      <w:sz w:val="16"/>
                                      <w:szCs w:val="16"/>
                                      <w:vertAlign w:val="superscript"/>
                                    </w:rPr>
                                    <w:t xml:space="preserve">     </w:t>
                                  </w:r>
                                </w:p>
                              </w:tc>
                              <w:tc>
                                <w:tcPr>
                                  <w:tcW w:w="2914" w:type="dxa"/>
                                  <w:shd w:val="clear" w:color="auto" w:fill="FFFFFF"/>
                                </w:tcPr>
                                <w:p w14:paraId="1669FE68" w14:textId="77777777" w:rsidR="00924992" w:rsidRDefault="00924992">
                                  <w:pPr>
                                    <w:rPr>
                                      <w:sz w:val="10"/>
                                      <w:szCs w:val="10"/>
                                    </w:rPr>
                                  </w:pPr>
                                </w:p>
                              </w:tc>
                            </w:tr>
                            <w:tr w:rsidR="00924992" w14:paraId="6596887F" w14:textId="77777777">
                              <w:tblPrEx>
                                <w:tblCellMar>
                                  <w:top w:w="0" w:type="dxa"/>
                                  <w:bottom w:w="0" w:type="dxa"/>
                                </w:tblCellMar>
                              </w:tblPrEx>
                              <w:trPr>
                                <w:trHeight w:hRule="exact" w:val="216"/>
                              </w:trPr>
                              <w:tc>
                                <w:tcPr>
                                  <w:tcW w:w="2290" w:type="dxa"/>
                                  <w:shd w:val="clear" w:color="auto" w:fill="FFFFFF"/>
                                  <w:vAlign w:val="bottom"/>
                                </w:tcPr>
                                <w:p w14:paraId="0672694D" w14:textId="77777777" w:rsidR="00924992" w:rsidRDefault="00924992">
                                  <w:pPr>
                                    <w:pStyle w:val="Other0"/>
                                    <w:spacing w:line="240" w:lineRule="auto"/>
                                    <w:ind w:firstLine="0"/>
                                    <w:rPr>
                                      <w:sz w:val="16"/>
                                      <w:szCs w:val="16"/>
                                    </w:rPr>
                                  </w:pPr>
                                  <w:r>
                                    <w:rPr>
                                      <w:rFonts w:ascii="Times New Roman" w:eastAsia="Times New Roman" w:hAnsi="Times New Roman" w:cs="Times New Roman"/>
                                      <w:color w:val="000000"/>
                                      <w:sz w:val="16"/>
                                      <w:szCs w:val="16"/>
                                    </w:rPr>
                                    <w:t>Fármaco más indicado:</w:t>
                                  </w:r>
                                </w:p>
                              </w:tc>
                              <w:tc>
                                <w:tcPr>
                                  <w:tcW w:w="2645" w:type="dxa"/>
                                  <w:shd w:val="clear" w:color="auto" w:fill="FFFFFF"/>
                                  <w:vAlign w:val="bottom"/>
                                </w:tcPr>
                                <w:p w14:paraId="6E3E575B" w14:textId="77777777" w:rsidR="00924992" w:rsidRDefault="00924992">
                                  <w:pPr>
                                    <w:pStyle w:val="Other0"/>
                                    <w:spacing w:line="240" w:lineRule="auto"/>
                                    <w:ind w:firstLine="480"/>
                                    <w:rPr>
                                      <w:sz w:val="16"/>
                                      <w:szCs w:val="16"/>
                                    </w:rPr>
                                  </w:pPr>
                                  <w:r>
                                    <w:rPr>
                                      <w:rFonts w:ascii="Times New Roman" w:eastAsia="Times New Roman" w:hAnsi="Times New Roman" w:cs="Times New Roman"/>
                                      <w:color w:val="000000"/>
                                      <w:sz w:val="16"/>
                                      <w:szCs w:val="16"/>
                                    </w:rPr>
                                    <w:t>Praziquantel</w:t>
                                  </w:r>
                                  <w:r>
                                    <w:rPr>
                                      <w:rFonts w:ascii="Times New Roman" w:eastAsia="Times New Roman" w:hAnsi="Times New Roman" w:cs="Times New Roman"/>
                                      <w:color w:val="000000"/>
                                      <w:sz w:val="16"/>
                                      <w:szCs w:val="16"/>
                                      <w:vertAlign w:val="superscript"/>
                                    </w:rPr>
                                    <w:t>3</w:t>
                                  </w:r>
                                </w:p>
                              </w:tc>
                              <w:tc>
                                <w:tcPr>
                                  <w:tcW w:w="2914" w:type="dxa"/>
                                  <w:shd w:val="clear" w:color="auto" w:fill="FFFFFF"/>
                                  <w:vAlign w:val="bottom"/>
                                </w:tcPr>
                                <w:p w14:paraId="68AA3A96" w14:textId="77777777" w:rsidR="00924992" w:rsidRDefault="00924992">
                                  <w:pPr>
                                    <w:pStyle w:val="Other0"/>
                                    <w:spacing w:line="240" w:lineRule="auto"/>
                                    <w:ind w:firstLine="600"/>
                                    <w:rPr>
                                      <w:sz w:val="16"/>
                                      <w:szCs w:val="16"/>
                                    </w:rPr>
                                  </w:pPr>
                                  <w:r>
                                    <w:rPr>
                                      <w:rFonts w:ascii="Times New Roman" w:eastAsia="Times New Roman" w:hAnsi="Times New Roman" w:cs="Times New Roman"/>
                                      <w:color w:val="000000"/>
                                      <w:sz w:val="16"/>
                                      <w:szCs w:val="16"/>
                                    </w:rPr>
                                    <w:t xml:space="preserve">75 mg/kg/día en 3 dosis </w:t>
                                  </w:r>
                                  <w:r>
                                    <w:rPr>
                                      <w:color w:val="000000"/>
                                    </w:rPr>
                                    <w:t xml:space="preserve">x </w:t>
                                  </w:r>
                                  <w:r>
                                    <w:rPr>
                                      <w:rFonts w:ascii="Times New Roman" w:eastAsia="Times New Roman" w:hAnsi="Times New Roman" w:cs="Times New Roman"/>
                                      <w:color w:val="000000"/>
                                      <w:sz w:val="16"/>
                                      <w:szCs w:val="16"/>
                                    </w:rPr>
                                    <w:t>1 día</w:t>
                                  </w:r>
                                </w:p>
                              </w:tc>
                            </w:tr>
                            <w:tr w:rsidR="00924992" w14:paraId="4EE9AD5B" w14:textId="77777777">
                              <w:tblPrEx>
                                <w:tblCellMar>
                                  <w:top w:w="0" w:type="dxa"/>
                                  <w:bottom w:w="0" w:type="dxa"/>
                                </w:tblCellMar>
                              </w:tblPrEx>
                              <w:trPr>
                                <w:trHeight w:hRule="exact" w:val="226"/>
                              </w:trPr>
                              <w:tc>
                                <w:tcPr>
                                  <w:tcW w:w="2290" w:type="dxa"/>
                                  <w:shd w:val="clear" w:color="auto" w:fill="FFFFFF"/>
                                  <w:vAlign w:val="bottom"/>
                                </w:tcPr>
                                <w:p w14:paraId="5AFF6194" w14:textId="77777777" w:rsidR="00924992" w:rsidRDefault="00924992">
                                  <w:pPr>
                                    <w:pStyle w:val="Other0"/>
                                    <w:spacing w:line="240" w:lineRule="auto"/>
                                    <w:ind w:firstLine="0"/>
                                    <w:rPr>
                                      <w:sz w:val="17"/>
                                      <w:szCs w:val="17"/>
                                    </w:rPr>
                                  </w:pPr>
                                  <w:r>
                                    <w:rPr>
                                      <w:rFonts w:ascii="Times New Roman" w:eastAsia="Times New Roman" w:hAnsi="Times New Roman" w:cs="Times New Roman"/>
                                      <w:b/>
                                      <w:bCs/>
                                      <w:i/>
                                      <w:iCs/>
                                      <w:color w:val="000000"/>
                                      <w:sz w:val="17"/>
                                      <w:szCs w:val="17"/>
                                    </w:rPr>
                                    <w:t>Nanophyetus salmincola</w:t>
                                  </w:r>
                                </w:p>
                              </w:tc>
                              <w:tc>
                                <w:tcPr>
                                  <w:tcW w:w="2645" w:type="dxa"/>
                                  <w:shd w:val="clear" w:color="auto" w:fill="FFFFFF"/>
                                </w:tcPr>
                                <w:p w14:paraId="124F44C2" w14:textId="77777777" w:rsidR="00924992" w:rsidRDefault="00924992">
                                  <w:pPr>
                                    <w:rPr>
                                      <w:sz w:val="10"/>
                                      <w:szCs w:val="10"/>
                                    </w:rPr>
                                  </w:pPr>
                                </w:p>
                              </w:tc>
                              <w:tc>
                                <w:tcPr>
                                  <w:tcW w:w="2914" w:type="dxa"/>
                                  <w:shd w:val="clear" w:color="auto" w:fill="FFFFFF"/>
                                </w:tcPr>
                                <w:p w14:paraId="060D7FBA" w14:textId="77777777" w:rsidR="00924992" w:rsidRDefault="00924992">
                                  <w:pPr>
                                    <w:rPr>
                                      <w:sz w:val="10"/>
                                      <w:szCs w:val="10"/>
                                    </w:rPr>
                                  </w:pPr>
                                </w:p>
                              </w:tc>
                            </w:tr>
                            <w:tr w:rsidR="00924992" w14:paraId="7C020BA2" w14:textId="77777777">
                              <w:tblPrEx>
                                <w:tblCellMar>
                                  <w:top w:w="0" w:type="dxa"/>
                                  <w:bottom w:w="0" w:type="dxa"/>
                                </w:tblCellMar>
                              </w:tblPrEx>
                              <w:trPr>
                                <w:trHeight w:hRule="exact" w:val="221"/>
                              </w:trPr>
                              <w:tc>
                                <w:tcPr>
                                  <w:tcW w:w="2290" w:type="dxa"/>
                                  <w:shd w:val="clear" w:color="auto" w:fill="FFFFFF"/>
                                </w:tcPr>
                                <w:p w14:paraId="75AC4B08" w14:textId="77777777" w:rsidR="00924992" w:rsidRDefault="00924992">
                                  <w:pPr>
                                    <w:pStyle w:val="Other0"/>
                                    <w:spacing w:line="240" w:lineRule="auto"/>
                                    <w:ind w:firstLine="0"/>
                                    <w:rPr>
                                      <w:sz w:val="16"/>
                                      <w:szCs w:val="16"/>
                                    </w:rPr>
                                  </w:pPr>
                                  <w:r>
                                    <w:rPr>
                                      <w:rFonts w:ascii="Times New Roman" w:eastAsia="Times New Roman" w:hAnsi="Times New Roman" w:cs="Times New Roman"/>
                                      <w:color w:val="000000"/>
                                      <w:sz w:val="16"/>
                                      <w:szCs w:val="16"/>
                                    </w:rPr>
                                    <w:t>Fármaco más indicado:</w:t>
                                  </w:r>
                                </w:p>
                              </w:tc>
                              <w:tc>
                                <w:tcPr>
                                  <w:tcW w:w="2645" w:type="dxa"/>
                                  <w:shd w:val="clear" w:color="auto" w:fill="FFFFFF"/>
                                </w:tcPr>
                                <w:p w14:paraId="6DC75CFA" w14:textId="77777777" w:rsidR="00924992" w:rsidRDefault="00924992">
                                  <w:pPr>
                                    <w:pStyle w:val="Other0"/>
                                    <w:spacing w:line="240" w:lineRule="auto"/>
                                    <w:ind w:firstLine="480"/>
                                    <w:rPr>
                                      <w:sz w:val="16"/>
                                      <w:szCs w:val="16"/>
                                    </w:rPr>
                                  </w:pPr>
                                  <w:r>
                                    <w:rPr>
                                      <w:rFonts w:ascii="Times New Roman" w:eastAsia="Times New Roman" w:hAnsi="Times New Roman" w:cs="Times New Roman"/>
                                      <w:color w:val="000000"/>
                                      <w:sz w:val="16"/>
                                      <w:szCs w:val="16"/>
                                    </w:rPr>
                                    <w:t>Praziquantel</w:t>
                                  </w:r>
                                  <w:r>
                                    <w:rPr>
                                      <w:rFonts w:ascii="Times New Roman" w:eastAsia="Times New Roman" w:hAnsi="Times New Roman" w:cs="Times New Roman"/>
                                      <w:color w:val="000000"/>
                                      <w:sz w:val="16"/>
                                      <w:szCs w:val="16"/>
                                      <w:vertAlign w:val="superscript"/>
                                    </w:rPr>
                                    <w:t>3</w:t>
                                  </w:r>
                                </w:p>
                              </w:tc>
                              <w:tc>
                                <w:tcPr>
                                  <w:tcW w:w="2914" w:type="dxa"/>
                                  <w:shd w:val="clear" w:color="auto" w:fill="FFFFFF"/>
                                </w:tcPr>
                                <w:p w14:paraId="1446D264" w14:textId="77777777" w:rsidR="00924992" w:rsidRDefault="00924992">
                                  <w:pPr>
                                    <w:pStyle w:val="Other0"/>
                                    <w:spacing w:line="240" w:lineRule="auto"/>
                                    <w:ind w:firstLine="600"/>
                                    <w:rPr>
                                      <w:sz w:val="16"/>
                                      <w:szCs w:val="16"/>
                                    </w:rPr>
                                  </w:pPr>
                                  <w:r>
                                    <w:rPr>
                                      <w:rFonts w:ascii="Times New Roman" w:eastAsia="Times New Roman" w:hAnsi="Times New Roman" w:cs="Times New Roman"/>
                                      <w:color w:val="000000"/>
                                      <w:sz w:val="16"/>
                                      <w:szCs w:val="16"/>
                                    </w:rPr>
                                    <w:t xml:space="preserve">60 mg/kg/día en 3 dosis </w:t>
                                  </w:r>
                                  <w:r>
                                    <w:rPr>
                                      <w:color w:val="000000"/>
                                    </w:rPr>
                                    <w:t xml:space="preserve">x </w:t>
                                  </w:r>
                                  <w:r>
                                    <w:rPr>
                                      <w:rFonts w:ascii="Times New Roman" w:eastAsia="Times New Roman" w:hAnsi="Times New Roman" w:cs="Times New Roman"/>
                                      <w:color w:val="000000"/>
                                      <w:sz w:val="16"/>
                                      <w:szCs w:val="16"/>
                                    </w:rPr>
                                    <w:t>1 día</w:t>
                                  </w:r>
                                </w:p>
                              </w:tc>
                            </w:tr>
                            <w:tr w:rsidR="00924992" w14:paraId="6B1C9CF4" w14:textId="77777777">
                              <w:tblPrEx>
                                <w:tblCellMar>
                                  <w:top w:w="0" w:type="dxa"/>
                                  <w:bottom w:w="0" w:type="dxa"/>
                                </w:tblCellMar>
                              </w:tblPrEx>
                              <w:trPr>
                                <w:trHeight w:hRule="exact" w:val="216"/>
                              </w:trPr>
                              <w:tc>
                                <w:tcPr>
                                  <w:tcW w:w="4935" w:type="dxa"/>
                                  <w:gridSpan w:val="2"/>
                                  <w:shd w:val="clear" w:color="auto" w:fill="FFFFFF"/>
                                  <w:vAlign w:val="bottom"/>
                                </w:tcPr>
                                <w:p w14:paraId="758546BA" w14:textId="77777777" w:rsidR="00924992" w:rsidRDefault="00924992">
                                  <w:pPr>
                                    <w:pStyle w:val="Other0"/>
                                    <w:spacing w:line="240" w:lineRule="auto"/>
                                    <w:ind w:firstLine="0"/>
                                    <w:rPr>
                                      <w:sz w:val="16"/>
                                      <w:szCs w:val="16"/>
                                    </w:rPr>
                                  </w:pPr>
                                  <w:r>
                                    <w:rPr>
                                      <w:rFonts w:ascii="Times New Roman" w:eastAsia="Times New Roman" w:hAnsi="Times New Roman" w:cs="Times New Roman"/>
                                      <w:b/>
                                      <w:bCs/>
                                      <w:i/>
                                      <w:iCs/>
                                      <w:color w:val="000000"/>
                                      <w:sz w:val="17"/>
                                      <w:szCs w:val="17"/>
                                    </w:rPr>
                                    <w:t>Opisthorchis viverrini</w:t>
                                  </w:r>
                                  <w:r>
                                    <w:rPr>
                                      <w:rFonts w:ascii="Times New Roman" w:eastAsia="Times New Roman" w:hAnsi="Times New Roman" w:cs="Times New Roman"/>
                                      <w:b/>
                                      <w:bCs/>
                                      <w:color w:val="000000"/>
                                      <w:sz w:val="16"/>
                                      <w:szCs w:val="16"/>
                                    </w:rPr>
                                    <w:t xml:space="preserve"> (duela hepática del sudeste asiático)</w:t>
                                  </w:r>
                                </w:p>
                              </w:tc>
                              <w:tc>
                                <w:tcPr>
                                  <w:tcW w:w="2914" w:type="dxa"/>
                                  <w:shd w:val="clear" w:color="auto" w:fill="FFFFFF"/>
                                </w:tcPr>
                                <w:p w14:paraId="14F73799" w14:textId="77777777" w:rsidR="00924992" w:rsidRDefault="00924992">
                                  <w:pPr>
                                    <w:rPr>
                                      <w:sz w:val="10"/>
                                      <w:szCs w:val="10"/>
                                    </w:rPr>
                                  </w:pPr>
                                </w:p>
                              </w:tc>
                            </w:tr>
                            <w:tr w:rsidR="00924992" w14:paraId="32F0AC4E" w14:textId="77777777">
                              <w:tblPrEx>
                                <w:tblCellMar>
                                  <w:top w:w="0" w:type="dxa"/>
                                  <w:bottom w:w="0" w:type="dxa"/>
                                </w:tblCellMar>
                              </w:tblPrEx>
                              <w:trPr>
                                <w:trHeight w:hRule="exact" w:val="216"/>
                              </w:trPr>
                              <w:tc>
                                <w:tcPr>
                                  <w:tcW w:w="2290" w:type="dxa"/>
                                  <w:shd w:val="clear" w:color="auto" w:fill="FFFFFF"/>
                                </w:tcPr>
                                <w:p w14:paraId="43BE3B92" w14:textId="77777777" w:rsidR="00924992" w:rsidRDefault="00924992">
                                  <w:pPr>
                                    <w:pStyle w:val="Other0"/>
                                    <w:spacing w:line="240" w:lineRule="auto"/>
                                    <w:ind w:firstLine="0"/>
                                    <w:rPr>
                                      <w:sz w:val="16"/>
                                      <w:szCs w:val="16"/>
                                    </w:rPr>
                                  </w:pPr>
                                  <w:r>
                                    <w:rPr>
                                      <w:rFonts w:ascii="Times New Roman" w:eastAsia="Times New Roman" w:hAnsi="Times New Roman" w:cs="Times New Roman"/>
                                      <w:color w:val="000000"/>
                                      <w:sz w:val="16"/>
                                      <w:szCs w:val="16"/>
                                    </w:rPr>
                                    <w:t>Fármaco más indicado:</w:t>
                                  </w:r>
                                </w:p>
                              </w:tc>
                              <w:tc>
                                <w:tcPr>
                                  <w:tcW w:w="2645" w:type="dxa"/>
                                  <w:shd w:val="clear" w:color="auto" w:fill="FFFFFF"/>
                                </w:tcPr>
                                <w:p w14:paraId="74001E7C" w14:textId="77777777" w:rsidR="00924992" w:rsidRDefault="00924992">
                                  <w:pPr>
                                    <w:pStyle w:val="Other0"/>
                                    <w:spacing w:line="240" w:lineRule="auto"/>
                                    <w:ind w:firstLine="480"/>
                                    <w:rPr>
                                      <w:sz w:val="16"/>
                                      <w:szCs w:val="16"/>
                                    </w:rPr>
                                  </w:pPr>
                                  <w:r>
                                    <w:rPr>
                                      <w:rFonts w:ascii="Times New Roman" w:eastAsia="Times New Roman" w:hAnsi="Times New Roman" w:cs="Times New Roman"/>
                                      <w:color w:val="000000"/>
                                      <w:sz w:val="16"/>
                                      <w:szCs w:val="16"/>
                                    </w:rPr>
                                    <w:t>Praziquantel</w:t>
                                  </w:r>
                                </w:p>
                              </w:tc>
                              <w:tc>
                                <w:tcPr>
                                  <w:tcW w:w="2914" w:type="dxa"/>
                                  <w:shd w:val="clear" w:color="auto" w:fill="FFFFFF"/>
                                </w:tcPr>
                                <w:p w14:paraId="439E8211" w14:textId="77777777" w:rsidR="00924992" w:rsidRDefault="00924992">
                                  <w:pPr>
                                    <w:pStyle w:val="Other0"/>
                                    <w:spacing w:line="240" w:lineRule="auto"/>
                                    <w:ind w:firstLine="600"/>
                                    <w:rPr>
                                      <w:sz w:val="16"/>
                                      <w:szCs w:val="16"/>
                                    </w:rPr>
                                  </w:pPr>
                                  <w:r>
                                    <w:rPr>
                                      <w:rFonts w:ascii="Times New Roman" w:eastAsia="Times New Roman" w:hAnsi="Times New Roman" w:cs="Times New Roman"/>
                                      <w:color w:val="000000"/>
                                      <w:sz w:val="16"/>
                                      <w:szCs w:val="16"/>
                                    </w:rPr>
                                    <w:t xml:space="preserve">75 mg/kg/día en 3 dosis </w:t>
                                  </w:r>
                                  <w:r>
                                    <w:rPr>
                                      <w:color w:val="000000"/>
                                    </w:rPr>
                                    <w:t xml:space="preserve">x </w:t>
                                  </w:r>
                                  <w:r>
                                    <w:rPr>
                                      <w:rFonts w:ascii="Times New Roman" w:eastAsia="Times New Roman" w:hAnsi="Times New Roman" w:cs="Times New Roman"/>
                                      <w:color w:val="000000"/>
                                      <w:sz w:val="16"/>
                                      <w:szCs w:val="16"/>
                                    </w:rPr>
                                    <w:t>1 día</w:t>
                                  </w:r>
                                </w:p>
                              </w:tc>
                            </w:tr>
                            <w:tr w:rsidR="00924992" w14:paraId="0212DCF0" w14:textId="77777777">
                              <w:tblPrEx>
                                <w:tblCellMar>
                                  <w:top w:w="0" w:type="dxa"/>
                                  <w:bottom w:w="0" w:type="dxa"/>
                                </w:tblCellMar>
                              </w:tblPrEx>
                              <w:trPr>
                                <w:trHeight w:hRule="exact" w:val="216"/>
                              </w:trPr>
                              <w:tc>
                                <w:tcPr>
                                  <w:tcW w:w="4935" w:type="dxa"/>
                                  <w:gridSpan w:val="2"/>
                                  <w:shd w:val="clear" w:color="auto" w:fill="FFFFFF"/>
                                  <w:vAlign w:val="bottom"/>
                                </w:tcPr>
                                <w:p w14:paraId="560EF5EA" w14:textId="77777777" w:rsidR="00924992" w:rsidRDefault="00924992">
                                  <w:pPr>
                                    <w:pStyle w:val="Other0"/>
                                    <w:spacing w:line="240" w:lineRule="auto"/>
                                    <w:ind w:firstLine="0"/>
                                    <w:rPr>
                                      <w:sz w:val="16"/>
                                      <w:szCs w:val="16"/>
                                    </w:rPr>
                                  </w:pPr>
                                  <w:r>
                                    <w:rPr>
                                      <w:rFonts w:ascii="Times New Roman" w:eastAsia="Times New Roman" w:hAnsi="Times New Roman" w:cs="Times New Roman"/>
                                      <w:b/>
                                      <w:bCs/>
                                      <w:i/>
                                      <w:iCs/>
                                      <w:color w:val="000000"/>
                                      <w:sz w:val="17"/>
                                      <w:szCs w:val="17"/>
                                    </w:rPr>
                                    <w:t>Paragonimus westermani</w:t>
                                  </w:r>
                                  <w:r>
                                    <w:rPr>
                                      <w:rFonts w:ascii="Times New Roman" w:eastAsia="Times New Roman" w:hAnsi="Times New Roman" w:cs="Times New Roman"/>
                                      <w:b/>
                                      <w:bCs/>
                                      <w:color w:val="000000"/>
                                      <w:sz w:val="16"/>
                                      <w:szCs w:val="16"/>
                                    </w:rPr>
                                    <w:t xml:space="preserve"> (duela de pulmón)</w:t>
                                  </w:r>
                                </w:p>
                              </w:tc>
                              <w:tc>
                                <w:tcPr>
                                  <w:tcW w:w="2914" w:type="dxa"/>
                                  <w:shd w:val="clear" w:color="auto" w:fill="FFFFFF"/>
                                </w:tcPr>
                                <w:p w14:paraId="16FCFA16" w14:textId="77777777" w:rsidR="00924992" w:rsidRDefault="00924992">
                                  <w:pPr>
                                    <w:rPr>
                                      <w:sz w:val="10"/>
                                      <w:szCs w:val="10"/>
                                    </w:rPr>
                                  </w:pPr>
                                </w:p>
                              </w:tc>
                            </w:tr>
                            <w:tr w:rsidR="00924992" w14:paraId="088BC96C" w14:textId="77777777">
                              <w:tblPrEx>
                                <w:tblCellMar>
                                  <w:top w:w="0" w:type="dxa"/>
                                  <w:bottom w:w="0" w:type="dxa"/>
                                </w:tblCellMar>
                              </w:tblPrEx>
                              <w:trPr>
                                <w:trHeight w:hRule="exact" w:val="235"/>
                              </w:trPr>
                              <w:tc>
                                <w:tcPr>
                                  <w:tcW w:w="2290" w:type="dxa"/>
                                  <w:shd w:val="clear" w:color="auto" w:fill="FFFFFF"/>
                                </w:tcPr>
                                <w:p w14:paraId="28B2867B" w14:textId="77777777" w:rsidR="00924992" w:rsidRDefault="00924992">
                                  <w:pPr>
                                    <w:pStyle w:val="Other0"/>
                                    <w:spacing w:line="240" w:lineRule="auto"/>
                                    <w:ind w:firstLine="0"/>
                                    <w:rPr>
                                      <w:sz w:val="16"/>
                                      <w:szCs w:val="16"/>
                                    </w:rPr>
                                  </w:pPr>
                                  <w:r>
                                    <w:rPr>
                                      <w:rFonts w:ascii="Times New Roman" w:eastAsia="Times New Roman" w:hAnsi="Times New Roman" w:cs="Times New Roman"/>
                                      <w:color w:val="000000"/>
                                      <w:sz w:val="16"/>
                                      <w:szCs w:val="16"/>
                                    </w:rPr>
                                    <w:t>Fármaco más indicado:</w:t>
                                  </w:r>
                                </w:p>
                              </w:tc>
                              <w:tc>
                                <w:tcPr>
                                  <w:tcW w:w="2645" w:type="dxa"/>
                                  <w:shd w:val="clear" w:color="auto" w:fill="FFFFFF"/>
                                </w:tcPr>
                                <w:p w14:paraId="63DDE55D" w14:textId="77777777" w:rsidR="00924992" w:rsidRDefault="00924992">
                                  <w:pPr>
                                    <w:pStyle w:val="Other0"/>
                                    <w:spacing w:line="240" w:lineRule="auto"/>
                                    <w:ind w:firstLine="480"/>
                                    <w:rPr>
                                      <w:sz w:val="16"/>
                                      <w:szCs w:val="16"/>
                                    </w:rPr>
                                  </w:pPr>
                                  <w:r>
                                    <w:rPr>
                                      <w:rFonts w:ascii="Times New Roman" w:eastAsia="Times New Roman" w:hAnsi="Times New Roman" w:cs="Times New Roman"/>
                                      <w:color w:val="000000"/>
                                      <w:sz w:val="16"/>
                                      <w:szCs w:val="16"/>
                                    </w:rPr>
                                    <w:t>Praziquantel</w:t>
                                  </w:r>
                                  <w:r>
                                    <w:rPr>
                                      <w:rFonts w:ascii="Times New Roman" w:eastAsia="Times New Roman" w:hAnsi="Times New Roman" w:cs="Times New Roman"/>
                                      <w:color w:val="000000"/>
                                      <w:sz w:val="16"/>
                                      <w:szCs w:val="16"/>
                                      <w:vertAlign w:val="superscript"/>
                                    </w:rPr>
                                    <w:t>3</w:t>
                                  </w:r>
                                </w:p>
                              </w:tc>
                              <w:tc>
                                <w:tcPr>
                                  <w:tcW w:w="2914" w:type="dxa"/>
                                  <w:shd w:val="clear" w:color="auto" w:fill="FFFFFF"/>
                                </w:tcPr>
                                <w:p w14:paraId="52B518F8" w14:textId="77777777" w:rsidR="00924992" w:rsidRDefault="00924992">
                                  <w:pPr>
                                    <w:pStyle w:val="Other0"/>
                                    <w:spacing w:line="240" w:lineRule="auto"/>
                                    <w:ind w:firstLine="600"/>
                                    <w:rPr>
                                      <w:sz w:val="16"/>
                                      <w:szCs w:val="16"/>
                                    </w:rPr>
                                  </w:pPr>
                                  <w:r>
                                    <w:rPr>
                                      <w:rFonts w:ascii="Times New Roman" w:eastAsia="Times New Roman" w:hAnsi="Times New Roman" w:cs="Times New Roman"/>
                                      <w:color w:val="000000"/>
                                      <w:sz w:val="16"/>
                                      <w:szCs w:val="16"/>
                                    </w:rPr>
                                    <w:t xml:space="preserve">75 mg/kg/día en 3 dosis </w:t>
                                  </w:r>
                                  <w:r>
                                    <w:rPr>
                                      <w:color w:val="000000"/>
                                    </w:rPr>
                                    <w:t xml:space="preserve">x </w:t>
                                  </w:r>
                                  <w:r>
                                    <w:rPr>
                                      <w:rFonts w:ascii="Times New Roman" w:eastAsia="Times New Roman" w:hAnsi="Times New Roman" w:cs="Times New Roman"/>
                                      <w:color w:val="000000"/>
                                      <w:sz w:val="16"/>
                                      <w:szCs w:val="16"/>
                                    </w:rPr>
                                    <w:t>2 días</w:t>
                                  </w:r>
                                </w:p>
                              </w:tc>
                            </w:tr>
                          </w:tbl>
                          <w:p w14:paraId="75BAFA37" w14:textId="77777777" w:rsidR="00924992" w:rsidRDefault="00924992">
                            <w:pPr>
                              <w:spacing w:line="1" w:lineRule="exact"/>
                            </w:pPr>
                          </w:p>
                        </w:txbxContent>
                      </wps:txbx>
                      <wps:bodyPr lIns="0" tIns="0" rIns="0" bIns="0"/>
                    </wps:wsp>
                  </a:graphicData>
                </a:graphic>
              </wp:anchor>
            </w:drawing>
          </mc:Choice>
          <mc:Fallback>
            <w:pict>
              <v:shape w14:anchorId="50313FF9" id="Shape 2384" o:spid="_x0000_s1077" type="#_x0000_t202" style="position:absolute;margin-left:41.45pt;margin-top:102.25pt;width:392.4pt;height:99.6pt;z-index:251707392;visibility:visible;mso-wrap-style:square;mso-wrap-distance-left:13.3pt;mso-wrap-distance-top:134.15pt;mso-wrap-distance-right:207.25pt;mso-wrap-distance-bottom:25.55pt;mso-position-horizontal:absolute;mso-position-horizontal-relative:page;mso-position-vertical:absolute;mso-position-vertical-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" filled="f" stroked="f">
                <v:textbox inset="0,0,0,0">
                  <w:txbxContent>
                    <w:tbl>
                      <w:tblPr>
                        <w:tblOverlap w:val="never"/>
                        <w:tblW w:w="0" w:type="auto"/>
                        <w:tblLayout w:type="fixed"/>
                        <w:tblCellMar>
                          <w:left w:w="10" w:type="dxa"/>
                          <w:right w:w="10" w:type="dxa"/>
                        </w:tblCellMar>
                        <w:tblLook w:val="04A0" w:firstRow="1" w:lastRow="0" w:firstColumn="1" w:lastColumn="0" w:noHBand="0" w:noVBand="1"/>
                      </w:tblPr>
                      <w:tblGrid>
                        <w:gridCol w:w="2290"/>
                        <w:gridCol w:w="2645"/>
                        <w:gridCol w:w="2914"/>
                      </w:tblGrid>
                      <w:tr w:rsidR="00924992" w14:paraId="006012B7" w14:textId="77777777">
                        <w:tblPrEx>
                          <w:tblCellMar>
                            <w:top w:w="0" w:type="dxa"/>
                            <w:bottom w:w="0" w:type="dxa"/>
                          </w:tblCellMar>
                        </w:tblPrEx>
                        <w:trPr>
                          <w:trHeight w:hRule="exact" w:val="226"/>
                          <w:tblHeader/>
                        </w:trPr>
                        <w:tc>
                          <w:tcPr>
                            <w:tcW w:w="2290" w:type="dxa"/>
                            <w:shd w:val="clear" w:color="auto" w:fill="FFFFFF"/>
                          </w:tcPr>
                          <w:p w14:paraId="33F06EC0" w14:textId="77777777" w:rsidR="00924992" w:rsidRDefault="00924992">
                            <w:pPr>
                              <w:pStyle w:val="Other0"/>
                              <w:spacing w:line="240" w:lineRule="auto"/>
                              <w:ind w:firstLine="0"/>
                              <w:rPr>
                                <w:sz w:val="16"/>
                                <w:szCs w:val="16"/>
                              </w:rPr>
                            </w:pPr>
                            <w:r>
                              <w:rPr>
                                <w:rFonts w:ascii="Times New Roman" w:eastAsia="Times New Roman" w:hAnsi="Times New Roman" w:cs="Times New Roman"/>
                                <w:color w:val="000000"/>
                                <w:sz w:val="16"/>
                                <w:szCs w:val="16"/>
                              </w:rPr>
                              <w:t>Fármacos más indicados:</w:t>
                            </w:r>
                          </w:p>
                        </w:tc>
                        <w:tc>
                          <w:tcPr>
                            <w:tcW w:w="2645" w:type="dxa"/>
                            <w:shd w:val="clear" w:color="auto" w:fill="FFFFFF"/>
                          </w:tcPr>
                          <w:p w14:paraId="29D59358" w14:textId="77777777" w:rsidR="00924992" w:rsidRDefault="00924992">
                            <w:pPr>
                              <w:pStyle w:val="Other0"/>
                              <w:spacing w:line="240" w:lineRule="auto"/>
                              <w:ind w:firstLine="480"/>
                              <w:rPr>
                                <w:sz w:val="16"/>
                                <w:szCs w:val="16"/>
                              </w:rPr>
                            </w:pPr>
                            <w:r>
                              <w:rPr>
                                <w:rFonts w:ascii="Times New Roman" w:eastAsia="Times New Roman" w:hAnsi="Times New Roman" w:cs="Times New Roman"/>
                                <w:color w:val="000000"/>
                                <w:sz w:val="16"/>
                                <w:szCs w:val="16"/>
                              </w:rPr>
                              <w:t>Praziquantel</w:t>
                            </w:r>
                            <w:r>
                              <w:rPr>
                                <w:rFonts w:ascii="Times New Roman" w:eastAsia="Times New Roman" w:hAnsi="Times New Roman" w:cs="Times New Roman"/>
                                <w:color w:val="000000"/>
                                <w:sz w:val="16"/>
                                <w:szCs w:val="16"/>
                                <w:vertAlign w:val="superscript"/>
                              </w:rPr>
                              <w:t>3</w:t>
                            </w:r>
                          </w:p>
                        </w:tc>
                        <w:tc>
                          <w:tcPr>
                            <w:tcW w:w="2914" w:type="dxa"/>
                            <w:shd w:val="clear" w:color="auto" w:fill="FFFFFF"/>
                          </w:tcPr>
                          <w:p w14:paraId="01825769" w14:textId="77777777" w:rsidR="00924992" w:rsidRDefault="00924992">
                            <w:pPr>
                              <w:pStyle w:val="Other0"/>
                              <w:spacing w:line="240" w:lineRule="auto"/>
                              <w:ind w:firstLine="600"/>
                              <w:rPr>
                                <w:sz w:val="16"/>
                                <w:szCs w:val="16"/>
                              </w:rPr>
                            </w:pPr>
                            <w:r>
                              <w:rPr>
                                <w:rFonts w:ascii="Times New Roman" w:eastAsia="Times New Roman" w:hAnsi="Times New Roman" w:cs="Times New Roman"/>
                                <w:color w:val="000000"/>
                                <w:sz w:val="16"/>
                                <w:szCs w:val="16"/>
                              </w:rPr>
                              <w:t xml:space="preserve">75 mg/kg/día en 3 dosis </w:t>
                            </w:r>
                            <w:r>
                              <w:rPr>
                                <w:color w:val="000000"/>
                              </w:rPr>
                              <w:t xml:space="preserve">x </w:t>
                            </w:r>
                            <w:r>
                              <w:rPr>
                                <w:rFonts w:ascii="Times New Roman" w:eastAsia="Times New Roman" w:hAnsi="Times New Roman" w:cs="Times New Roman"/>
                                <w:color w:val="000000"/>
                                <w:sz w:val="16"/>
                                <w:szCs w:val="16"/>
                              </w:rPr>
                              <w:t>1 día</w:t>
                            </w:r>
                          </w:p>
                        </w:tc>
                      </w:tr>
                      <w:tr w:rsidR="00924992" w14:paraId="7B51A6A1" w14:textId="77777777">
                        <w:tblPrEx>
                          <w:tblCellMar>
                            <w:top w:w="0" w:type="dxa"/>
                            <w:bottom w:w="0" w:type="dxa"/>
                          </w:tblCellMar>
                        </w:tblPrEx>
                        <w:trPr>
                          <w:trHeight w:hRule="exact" w:val="221"/>
                        </w:trPr>
                        <w:tc>
                          <w:tcPr>
                            <w:tcW w:w="4935" w:type="dxa"/>
                            <w:gridSpan w:val="2"/>
                            <w:shd w:val="clear" w:color="auto" w:fill="FFFFFF"/>
                            <w:vAlign w:val="bottom"/>
                          </w:tcPr>
                          <w:p w14:paraId="00BAB979" w14:textId="77777777" w:rsidR="00924992" w:rsidRDefault="00924992">
                            <w:pPr>
                              <w:pStyle w:val="Other0"/>
                              <w:spacing w:line="240" w:lineRule="auto"/>
                              <w:ind w:firstLine="0"/>
                              <w:rPr>
                                <w:sz w:val="16"/>
                                <w:szCs w:val="16"/>
                              </w:rPr>
                            </w:pPr>
                            <w:r>
                              <w:rPr>
                                <w:rFonts w:ascii="Times New Roman" w:eastAsia="Times New Roman" w:hAnsi="Times New Roman" w:cs="Times New Roman"/>
                                <w:b/>
                                <w:bCs/>
                                <w:i/>
                                <w:iCs/>
                                <w:color w:val="000000"/>
                                <w:sz w:val="17"/>
                                <w:szCs w:val="17"/>
                              </w:rPr>
                              <w:t>Metorchis conjunctus</w:t>
                            </w:r>
                            <w:r>
                              <w:rPr>
                                <w:rFonts w:ascii="Times New Roman" w:eastAsia="Times New Roman" w:hAnsi="Times New Roman" w:cs="Times New Roman"/>
                                <w:b/>
                                <w:bCs/>
                                <w:color w:val="000000"/>
                                <w:sz w:val="16"/>
                                <w:szCs w:val="16"/>
                              </w:rPr>
                              <w:t xml:space="preserve"> (duela hepática norteamericana)</w:t>
                            </w:r>
                            <w:r>
                              <w:rPr>
                                <w:rFonts w:ascii="Times New Roman" w:eastAsia="Times New Roman" w:hAnsi="Times New Roman" w:cs="Times New Roman"/>
                                <w:b/>
                                <w:bCs/>
                                <w:color w:val="000000"/>
                                <w:sz w:val="16"/>
                                <w:szCs w:val="16"/>
                                <w:vertAlign w:val="superscript"/>
                              </w:rPr>
                              <w:t xml:space="preserve">     </w:t>
                            </w:r>
                          </w:p>
                        </w:tc>
                        <w:tc>
                          <w:tcPr>
                            <w:tcW w:w="2914" w:type="dxa"/>
                            <w:shd w:val="clear" w:color="auto" w:fill="FFFFFF"/>
                          </w:tcPr>
                          <w:p w14:paraId="1669FE68" w14:textId="77777777" w:rsidR="00924992" w:rsidRDefault="00924992">
                            <w:pPr>
                              <w:rPr>
                                <w:sz w:val="10"/>
                                <w:szCs w:val="10"/>
                              </w:rPr>
                            </w:pPr>
                          </w:p>
                        </w:tc>
                      </w:tr>
                      <w:tr w:rsidR="00924992" w14:paraId="6596887F" w14:textId="77777777">
                        <w:tblPrEx>
                          <w:tblCellMar>
                            <w:top w:w="0" w:type="dxa"/>
                            <w:bottom w:w="0" w:type="dxa"/>
                          </w:tblCellMar>
                        </w:tblPrEx>
                        <w:trPr>
                          <w:trHeight w:hRule="exact" w:val="216"/>
                        </w:trPr>
                        <w:tc>
                          <w:tcPr>
                            <w:tcW w:w="2290" w:type="dxa"/>
                            <w:shd w:val="clear" w:color="auto" w:fill="FFFFFF"/>
                            <w:vAlign w:val="bottom"/>
                          </w:tcPr>
                          <w:p w14:paraId="0672694D" w14:textId="77777777" w:rsidR="00924992" w:rsidRDefault="00924992">
                            <w:pPr>
                              <w:pStyle w:val="Other0"/>
                              <w:spacing w:line="240" w:lineRule="auto"/>
                              <w:ind w:firstLine="0"/>
                              <w:rPr>
                                <w:sz w:val="16"/>
                                <w:szCs w:val="16"/>
                              </w:rPr>
                            </w:pPr>
                            <w:r>
                              <w:rPr>
                                <w:rFonts w:ascii="Times New Roman" w:eastAsia="Times New Roman" w:hAnsi="Times New Roman" w:cs="Times New Roman"/>
                                <w:color w:val="000000"/>
                                <w:sz w:val="16"/>
                                <w:szCs w:val="16"/>
                              </w:rPr>
                              <w:t>Fármaco más indicado:</w:t>
                            </w:r>
                          </w:p>
                        </w:tc>
                        <w:tc>
                          <w:tcPr>
                            <w:tcW w:w="2645" w:type="dxa"/>
                            <w:shd w:val="clear" w:color="auto" w:fill="FFFFFF"/>
                            <w:vAlign w:val="bottom"/>
                          </w:tcPr>
                          <w:p w14:paraId="6E3E575B" w14:textId="77777777" w:rsidR="00924992" w:rsidRDefault="00924992">
                            <w:pPr>
                              <w:pStyle w:val="Other0"/>
                              <w:spacing w:line="240" w:lineRule="auto"/>
                              <w:ind w:firstLine="480"/>
                              <w:rPr>
                                <w:sz w:val="16"/>
                                <w:szCs w:val="16"/>
                              </w:rPr>
                            </w:pPr>
                            <w:r>
                              <w:rPr>
                                <w:rFonts w:ascii="Times New Roman" w:eastAsia="Times New Roman" w:hAnsi="Times New Roman" w:cs="Times New Roman"/>
                                <w:color w:val="000000"/>
                                <w:sz w:val="16"/>
                                <w:szCs w:val="16"/>
                              </w:rPr>
                              <w:t>Praziquantel</w:t>
                            </w:r>
                            <w:r>
                              <w:rPr>
                                <w:rFonts w:ascii="Times New Roman" w:eastAsia="Times New Roman" w:hAnsi="Times New Roman" w:cs="Times New Roman"/>
                                <w:color w:val="000000"/>
                                <w:sz w:val="16"/>
                                <w:szCs w:val="16"/>
                                <w:vertAlign w:val="superscript"/>
                              </w:rPr>
                              <w:t>3</w:t>
                            </w:r>
                          </w:p>
                        </w:tc>
                        <w:tc>
                          <w:tcPr>
                            <w:tcW w:w="2914" w:type="dxa"/>
                            <w:shd w:val="clear" w:color="auto" w:fill="FFFFFF"/>
                            <w:vAlign w:val="bottom"/>
                          </w:tcPr>
                          <w:p w14:paraId="68AA3A96" w14:textId="77777777" w:rsidR="00924992" w:rsidRDefault="00924992">
                            <w:pPr>
                              <w:pStyle w:val="Other0"/>
                              <w:spacing w:line="240" w:lineRule="auto"/>
                              <w:ind w:firstLine="600"/>
                              <w:rPr>
                                <w:sz w:val="16"/>
                                <w:szCs w:val="16"/>
                              </w:rPr>
                            </w:pPr>
                            <w:r>
                              <w:rPr>
                                <w:rFonts w:ascii="Times New Roman" w:eastAsia="Times New Roman" w:hAnsi="Times New Roman" w:cs="Times New Roman"/>
                                <w:color w:val="000000"/>
                                <w:sz w:val="16"/>
                                <w:szCs w:val="16"/>
                              </w:rPr>
                              <w:t xml:space="preserve">75 mg/kg/día en 3 dosis </w:t>
                            </w:r>
                            <w:r>
                              <w:rPr>
                                <w:color w:val="000000"/>
                              </w:rPr>
                              <w:t xml:space="preserve">x </w:t>
                            </w:r>
                            <w:r>
                              <w:rPr>
                                <w:rFonts w:ascii="Times New Roman" w:eastAsia="Times New Roman" w:hAnsi="Times New Roman" w:cs="Times New Roman"/>
                                <w:color w:val="000000"/>
                                <w:sz w:val="16"/>
                                <w:szCs w:val="16"/>
                              </w:rPr>
                              <w:t>1 día</w:t>
                            </w:r>
                          </w:p>
                        </w:tc>
                      </w:tr>
                      <w:tr w:rsidR="00924992" w14:paraId="4EE9AD5B" w14:textId="77777777">
                        <w:tblPrEx>
                          <w:tblCellMar>
                            <w:top w:w="0" w:type="dxa"/>
                            <w:bottom w:w="0" w:type="dxa"/>
                          </w:tblCellMar>
                        </w:tblPrEx>
                        <w:trPr>
                          <w:trHeight w:hRule="exact" w:val="226"/>
                        </w:trPr>
                        <w:tc>
                          <w:tcPr>
                            <w:tcW w:w="2290" w:type="dxa"/>
                            <w:shd w:val="clear" w:color="auto" w:fill="FFFFFF"/>
                            <w:vAlign w:val="bottom"/>
                          </w:tcPr>
                          <w:p w14:paraId="5AFF6194" w14:textId="77777777" w:rsidR="00924992" w:rsidRDefault="00924992">
                            <w:pPr>
                              <w:pStyle w:val="Other0"/>
                              <w:spacing w:line="240" w:lineRule="auto"/>
                              <w:ind w:firstLine="0"/>
                              <w:rPr>
                                <w:sz w:val="17"/>
                                <w:szCs w:val="17"/>
                              </w:rPr>
                            </w:pPr>
                            <w:r>
                              <w:rPr>
                                <w:rFonts w:ascii="Times New Roman" w:eastAsia="Times New Roman" w:hAnsi="Times New Roman" w:cs="Times New Roman"/>
                                <w:b/>
                                <w:bCs/>
                                <w:i/>
                                <w:iCs/>
                                <w:color w:val="000000"/>
                                <w:sz w:val="17"/>
                                <w:szCs w:val="17"/>
                              </w:rPr>
                              <w:t>Nanophyetus salmincola</w:t>
                            </w:r>
                          </w:p>
                        </w:tc>
                        <w:tc>
                          <w:tcPr>
                            <w:tcW w:w="2645" w:type="dxa"/>
                            <w:shd w:val="clear" w:color="auto" w:fill="FFFFFF"/>
                          </w:tcPr>
                          <w:p w14:paraId="124F44C2" w14:textId="77777777" w:rsidR="00924992" w:rsidRDefault="00924992">
                            <w:pPr>
                              <w:rPr>
                                <w:sz w:val="10"/>
                                <w:szCs w:val="10"/>
                              </w:rPr>
                            </w:pPr>
                          </w:p>
                        </w:tc>
                        <w:tc>
                          <w:tcPr>
                            <w:tcW w:w="2914" w:type="dxa"/>
                            <w:shd w:val="clear" w:color="auto" w:fill="FFFFFF"/>
                          </w:tcPr>
                          <w:p w14:paraId="060D7FBA" w14:textId="77777777" w:rsidR="00924992" w:rsidRDefault="00924992">
                            <w:pPr>
                              <w:rPr>
                                <w:sz w:val="10"/>
                                <w:szCs w:val="10"/>
                              </w:rPr>
                            </w:pPr>
                          </w:p>
                        </w:tc>
                      </w:tr>
                      <w:tr w:rsidR="00924992" w14:paraId="7C020BA2" w14:textId="77777777">
                        <w:tblPrEx>
                          <w:tblCellMar>
                            <w:top w:w="0" w:type="dxa"/>
                            <w:bottom w:w="0" w:type="dxa"/>
                          </w:tblCellMar>
                        </w:tblPrEx>
                        <w:trPr>
                          <w:trHeight w:hRule="exact" w:val="221"/>
                        </w:trPr>
                        <w:tc>
                          <w:tcPr>
                            <w:tcW w:w="2290" w:type="dxa"/>
                            <w:shd w:val="clear" w:color="auto" w:fill="FFFFFF"/>
                          </w:tcPr>
                          <w:p w14:paraId="75AC4B08" w14:textId="77777777" w:rsidR="00924992" w:rsidRDefault="00924992">
                            <w:pPr>
                              <w:pStyle w:val="Other0"/>
                              <w:spacing w:line="240" w:lineRule="auto"/>
                              <w:ind w:firstLine="0"/>
                              <w:rPr>
                                <w:sz w:val="16"/>
                                <w:szCs w:val="16"/>
                              </w:rPr>
                            </w:pPr>
                            <w:r>
                              <w:rPr>
                                <w:rFonts w:ascii="Times New Roman" w:eastAsia="Times New Roman" w:hAnsi="Times New Roman" w:cs="Times New Roman"/>
                                <w:color w:val="000000"/>
                                <w:sz w:val="16"/>
                                <w:szCs w:val="16"/>
                              </w:rPr>
                              <w:t>Fármaco más indicado:</w:t>
                            </w:r>
                          </w:p>
                        </w:tc>
                        <w:tc>
                          <w:tcPr>
                            <w:tcW w:w="2645" w:type="dxa"/>
                            <w:shd w:val="clear" w:color="auto" w:fill="FFFFFF"/>
                          </w:tcPr>
                          <w:p w14:paraId="6DC75CFA" w14:textId="77777777" w:rsidR="00924992" w:rsidRDefault="00924992">
                            <w:pPr>
                              <w:pStyle w:val="Other0"/>
                              <w:spacing w:line="240" w:lineRule="auto"/>
                              <w:ind w:firstLine="480"/>
                              <w:rPr>
                                <w:sz w:val="16"/>
                                <w:szCs w:val="16"/>
                              </w:rPr>
                            </w:pPr>
                            <w:r>
                              <w:rPr>
                                <w:rFonts w:ascii="Times New Roman" w:eastAsia="Times New Roman" w:hAnsi="Times New Roman" w:cs="Times New Roman"/>
                                <w:color w:val="000000"/>
                                <w:sz w:val="16"/>
                                <w:szCs w:val="16"/>
                              </w:rPr>
                              <w:t>Praziquantel</w:t>
                            </w:r>
                            <w:r>
                              <w:rPr>
                                <w:rFonts w:ascii="Times New Roman" w:eastAsia="Times New Roman" w:hAnsi="Times New Roman" w:cs="Times New Roman"/>
                                <w:color w:val="000000"/>
                                <w:sz w:val="16"/>
                                <w:szCs w:val="16"/>
                                <w:vertAlign w:val="superscript"/>
                              </w:rPr>
                              <w:t>3</w:t>
                            </w:r>
                          </w:p>
                        </w:tc>
                        <w:tc>
                          <w:tcPr>
                            <w:tcW w:w="2914" w:type="dxa"/>
                            <w:shd w:val="clear" w:color="auto" w:fill="FFFFFF"/>
                          </w:tcPr>
                          <w:p w14:paraId="1446D264" w14:textId="77777777" w:rsidR="00924992" w:rsidRDefault="00924992">
                            <w:pPr>
                              <w:pStyle w:val="Other0"/>
                              <w:spacing w:line="240" w:lineRule="auto"/>
                              <w:ind w:firstLine="600"/>
                              <w:rPr>
                                <w:sz w:val="16"/>
                                <w:szCs w:val="16"/>
                              </w:rPr>
                            </w:pPr>
                            <w:r>
                              <w:rPr>
                                <w:rFonts w:ascii="Times New Roman" w:eastAsia="Times New Roman" w:hAnsi="Times New Roman" w:cs="Times New Roman"/>
                                <w:color w:val="000000"/>
                                <w:sz w:val="16"/>
                                <w:szCs w:val="16"/>
                              </w:rPr>
                              <w:t xml:space="preserve">60 mg/kg/día en 3 dosis </w:t>
                            </w:r>
                            <w:r>
                              <w:rPr>
                                <w:color w:val="000000"/>
                              </w:rPr>
                              <w:t xml:space="preserve">x </w:t>
                            </w:r>
                            <w:r>
                              <w:rPr>
                                <w:rFonts w:ascii="Times New Roman" w:eastAsia="Times New Roman" w:hAnsi="Times New Roman" w:cs="Times New Roman"/>
                                <w:color w:val="000000"/>
                                <w:sz w:val="16"/>
                                <w:szCs w:val="16"/>
                              </w:rPr>
                              <w:t>1 día</w:t>
                            </w:r>
                          </w:p>
                        </w:tc>
                      </w:tr>
                      <w:tr w:rsidR="00924992" w14:paraId="6B1C9CF4" w14:textId="77777777">
                        <w:tblPrEx>
                          <w:tblCellMar>
                            <w:top w:w="0" w:type="dxa"/>
                            <w:bottom w:w="0" w:type="dxa"/>
                          </w:tblCellMar>
                        </w:tblPrEx>
                        <w:trPr>
                          <w:trHeight w:hRule="exact" w:val="216"/>
                        </w:trPr>
                        <w:tc>
                          <w:tcPr>
                            <w:tcW w:w="4935" w:type="dxa"/>
                            <w:gridSpan w:val="2"/>
                            <w:shd w:val="clear" w:color="auto" w:fill="FFFFFF"/>
                            <w:vAlign w:val="bottom"/>
                          </w:tcPr>
                          <w:p w14:paraId="758546BA" w14:textId="77777777" w:rsidR="00924992" w:rsidRDefault="00924992">
                            <w:pPr>
                              <w:pStyle w:val="Other0"/>
                              <w:spacing w:line="240" w:lineRule="auto"/>
                              <w:ind w:firstLine="0"/>
                              <w:rPr>
                                <w:sz w:val="16"/>
                                <w:szCs w:val="16"/>
                              </w:rPr>
                            </w:pPr>
                            <w:r>
                              <w:rPr>
                                <w:rFonts w:ascii="Times New Roman" w:eastAsia="Times New Roman" w:hAnsi="Times New Roman" w:cs="Times New Roman"/>
                                <w:b/>
                                <w:bCs/>
                                <w:i/>
                                <w:iCs/>
                                <w:color w:val="000000"/>
                                <w:sz w:val="17"/>
                                <w:szCs w:val="17"/>
                              </w:rPr>
                              <w:t>Opisthorchis viverrini</w:t>
                            </w:r>
                            <w:r>
                              <w:rPr>
                                <w:rFonts w:ascii="Times New Roman" w:eastAsia="Times New Roman" w:hAnsi="Times New Roman" w:cs="Times New Roman"/>
                                <w:b/>
                                <w:bCs/>
                                <w:color w:val="000000"/>
                                <w:sz w:val="16"/>
                                <w:szCs w:val="16"/>
                              </w:rPr>
                              <w:t xml:space="preserve"> (duela hepática del sudeste asiático)</w:t>
                            </w:r>
                          </w:p>
                        </w:tc>
                        <w:tc>
                          <w:tcPr>
                            <w:tcW w:w="2914" w:type="dxa"/>
                            <w:shd w:val="clear" w:color="auto" w:fill="FFFFFF"/>
                          </w:tcPr>
                          <w:p w14:paraId="14F73799" w14:textId="77777777" w:rsidR="00924992" w:rsidRDefault="00924992">
                            <w:pPr>
                              <w:rPr>
                                <w:sz w:val="10"/>
                                <w:szCs w:val="10"/>
                              </w:rPr>
                            </w:pPr>
                          </w:p>
                        </w:tc>
                      </w:tr>
                      <w:tr w:rsidR="00924992" w14:paraId="32F0AC4E" w14:textId="77777777">
                        <w:tblPrEx>
                          <w:tblCellMar>
                            <w:top w:w="0" w:type="dxa"/>
                            <w:bottom w:w="0" w:type="dxa"/>
                          </w:tblCellMar>
                        </w:tblPrEx>
                        <w:trPr>
                          <w:trHeight w:hRule="exact" w:val="216"/>
                        </w:trPr>
                        <w:tc>
                          <w:tcPr>
                            <w:tcW w:w="2290" w:type="dxa"/>
                            <w:shd w:val="clear" w:color="auto" w:fill="FFFFFF"/>
                          </w:tcPr>
                          <w:p w14:paraId="43BE3B92" w14:textId="77777777" w:rsidR="00924992" w:rsidRDefault="00924992">
                            <w:pPr>
                              <w:pStyle w:val="Other0"/>
                              <w:spacing w:line="240" w:lineRule="auto"/>
                              <w:ind w:firstLine="0"/>
                              <w:rPr>
                                <w:sz w:val="16"/>
                                <w:szCs w:val="16"/>
                              </w:rPr>
                            </w:pPr>
                            <w:r>
                              <w:rPr>
                                <w:rFonts w:ascii="Times New Roman" w:eastAsia="Times New Roman" w:hAnsi="Times New Roman" w:cs="Times New Roman"/>
                                <w:color w:val="000000"/>
                                <w:sz w:val="16"/>
                                <w:szCs w:val="16"/>
                              </w:rPr>
                              <w:t>Fármaco más indicado:</w:t>
                            </w:r>
                          </w:p>
                        </w:tc>
                        <w:tc>
                          <w:tcPr>
                            <w:tcW w:w="2645" w:type="dxa"/>
                            <w:shd w:val="clear" w:color="auto" w:fill="FFFFFF"/>
                          </w:tcPr>
                          <w:p w14:paraId="74001E7C" w14:textId="77777777" w:rsidR="00924992" w:rsidRDefault="00924992">
                            <w:pPr>
                              <w:pStyle w:val="Other0"/>
                              <w:spacing w:line="240" w:lineRule="auto"/>
                              <w:ind w:firstLine="480"/>
                              <w:rPr>
                                <w:sz w:val="16"/>
                                <w:szCs w:val="16"/>
                              </w:rPr>
                            </w:pPr>
                            <w:r>
                              <w:rPr>
                                <w:rFonts w:ascii="Times New Roman" w:eastAsia="Times New Roman" w:hAnsi="Times New Roman" w:cs="Times New Roman"/>
                                <w:color w:val="000000"/>
                                <w:sz w:val="16"/>
                                <w:szCs w:val="16"/>
                              </w:rPr>
                              <w:t>Praziquantel</w:t>
                            </w:r>
                          </w:p>
                        </w:tc>
                        <w:tc>
                          <w:tcPr>
                            <w:tcW w:w="2914" w:type="dxa"/>
                            <w:shd w:val="clear" w:color="auto" w:fill="FFFFFF"/>
                          </w:tcPr>
                          <w:p w14:paraId="439E8211" w14:textId="77777777" w:rsidR="00924992" w:rsidRDefault="00924992">
                            <w:pPr>
                              <w:pStyle w:val="Other0"/>
                              <w:spacing w:line="240" w:lineRule="auto"/>
                              <w:ind w:firstLine="600"/>
                              <w:rPr>
                                <w:sz w:val="16"/>
                                <w:szCs w:val="16"/>
                              </w:rPr>
                            </w:pPr>
                            <w:r>
                              <w:rPr>
                                <w:rFonts w:ascii="Times New Roman" w:eastAsia="Times New Roman" w:hAnsi="Times New Roman" w:cs="Times New Roman"/>
                                <w:color w:val="000000"/>
                                <w:sz w:val="16"/>
                                <w:szCs w:val="16"/>
                              </w:rPr>
                              <w:t xml:space="preserve">75 mg/kg/día en 3 dosis </w:t>
                            </w:r>
                            <w:r>
                              <w:rPr>
                                <w:color w:val="000000"/>
                              </w:rPr>
                              <w:t xml:space="preserve">x </w:t>
                            </w:r>
                            <w:r>
                              <w:rPr>
                                <w:rFonts w:ascii="Times New Roman" w:eastAsia="Times New Roman" w:hAnsi="Times New Roman" w:cs="Times New Roman"/>
                                <w:color w:val="000000"/>
                                <w:sz w:val="16"/>
                                <w:szCs w:val="16"/>
                              </w:rPr>
                              <w:t>1 día</w:t>
                            </w:r>
                          </w:p>
                        </w:tc>
                      </w:tr>
                      <w:tr w:rsidR="00924992" w14:paraId="0212DCF0" w14:textId="77777777">
                        <w:tblPrEx>
                          <w:tblCellMar>
                            <w:top w:w="0" w:type="dxa"/>
                            <w:bottom w:w="0" w:type="dxa"/>
                          </w:tblCellMar>
                        </w:tblPrEx>
                        <w:trPr>
                          <w:trHeight w:hRule="exact" w:val="216"/>
                        </w:trPr>
                        <w:tc>
                          <w:tcPr>
                            <w:tcW w:w="4935" w:type="dxa"/>
                            <w:gridSpan w:val="2"/>
                            <w:shd w:val="clear" w:color="auto" w:fill="FFFFFF"/>
                            <w:vAlign w:val="bottom"/>
                          </w:tcPr>
                          <w:p w14:paraId="560EF5EA" w14:textId="77777777" w:rsidR="00924992" w:rsidRDefault="00924992">
                            <w:pPr>
                              <w:pStyle w:val="Other0"/>
                              <w:spacing w:line="240" w:lineRule="auto"/>
                              <w:ind w:firstLine="0"/>
                              <w:rPr>
                                <w:sz w:val="16"/>
                                <w:szCs w:val="16"/>
                              </w:rPr>
                            </w:pPr>
                            <w:r>
                              <w:rPr>
                                <w:rFonts w:ascii="Times New Roman" w:eastAsia="Times New Roman" w:hAnsi="Times New Roman" w:cs="Times New Roman"/>
                                <w:b/>
                                <w:bCs/>
                                <w:i/>
                                <w:iCs/>
                                <w:color w:val="000000"/>
                                <w:sz w:val="17"/>
                                <w:szCs w:val="17"/>
                              </w:rPr>
                              <w:t>Paragonimus westermani</w:t>
                            </w:r>
                            <w:r>
                              <w:rPr>
                                <w:rFonts w:ascii="Times New Roman" w:eastAsia="Times New Roman" w:hAnsi="Times New Roman" w:cs="Times New Roman"/>
                                <w:b/>
                                <w:bCs/>
                                <w:color w:val="000000"/>
                                <w:sz w:val="16"/>
                                <w:szCs w:val="16"/>
                              </w:rPr>
                              <w:t xml:space="preserve"> (duela de pulmón)</w:t>
                            </w:r>
                          </w:p>
                        </w:tc>
                        <w:tc>
                          <w:tcPr>
                            <w:tcW w:w="2914" w:type="dxa"/>
                            <w:shd w:val="clear" w:color="auto" w:fill="FFFFFF"/>
                          </w:tcPr>
                          <w:p w14:paraId="16FCFA16" w14:textId="77777777" w:rsidR="00924992" w:rsidRDefault="00924992">
                            <w:pPr>
                              <w:rPr>
                                <w:sz w:val="10"/>
                                <w:szCs w:val="10"/>
                              </w:rPr>
                            </w:pPr>
                          </w:p>
                        </w:tc>
                      </w:tr>
                      <w:tr w:rsidR="00924992" w14:paraId="088BC96C" w14:textId="77777777">
                        <w:tblPrEx>
                          <w:tblCellMar>
                            <w:top w:w="0" w:type="dxa"/>
                            <w:bottom w:w="0" w:type="dxa"/>
                          </w:tblCellMar>
                        </w:tblPrEx>
                        <w:trPr>
                          <w:trHeight w:hRule="exact" w:val="235"/>
                        </w:trPr>
                        <w:tc>
                          <w:tcPr>
                            <w:tcW w:w="2290" w:type="dxa"/>
                            <w:shd w:val="clear" w:color="auto" w:fill="FFFFFF"/>
                          </w:tcPr>
                          <w:p w14:paraId="28B2867B" w14:textId="77777777" w:rsidR="00924992" w:rsidRDefault="00924992">
                            <w:pPr>
                              <w:pStyle w:val="Other0"/>
                              <w:spacing w:line="240" w:lineRule="auto"/>
                              <w:ind w:firstLine="0"/>
                              <w:rPr>
                                <w:sz w:val="16"/>
                                <w:szCs w:val="16"/>
                              </w:rPr>
                            </w:pPr>
                            <w:r>
                              <w:rPr>
                                <w:rFonts w:ascii="Times New Roman" w:eastAsia="Times New Roman" w:hAnsi="Times New Roman" w:cs="Times New Roman"/>
                                <w:color w:val="000000"/>
                                <w:sz w:val="16"/>
                                <w:szCs w:val="16"/>
                              </w:rPr>
                              <w:t>Fármaco más indicado:</w:t>
                            </w:r>
                          </w:p>
                        </w:tc>
                        <w:tc>
                          <w:tcPr>
                            <w:tcW w:w="2645" w:type="dxa"/>
                            <w:shd w:val="clear" w:color="auto" w:fill="FFFFFF"/>
                          </w:tcPr>
                          <w:p w14:paraId="63DDE55D" w14:textId="77777777" w:rsidR="00924992" w:rsidRDefault="00924992">
                            <w:pPr>
                              <w:pStyle w:val="Other0"/>
                              <w:spacing w:line="240" w:lineRule="auto"/>
                              <w:ind w:firstLine="480"/>
                              <w:rPr>
                                <w:sz w:val="16"/>
                                <w:szCs w:val="16"/>
                              </w:rPr>
                            </w:pPr>
                            <w:r>
                              <w:rPr>
                                <w:rFonts w:ascii="Times New Roman" w:eastAsia="Times New Roman" w:hAnsi="Times New Roman" w:cs="Times New Roman"/>
                                <w:color w:val="000000"/>
                                <w:sz w:val="16"/>
                                <w:szCs w:val="16"/>
                              </w:rPr>
                              <w:t>Praziquantel</w:t>
                            </w:r>
                            <w:r>
                              <w:rPr>
                                <w:rFonts w:ascii="Times New Roman" w:eastAsia="Times New Roman" w:hAnsi="Times New Roman" w:cs="Times New Roman"/>
                                <w:color w:val="000000"/>
                                <w:sz w:val="16"/>
                                <w:szCs w:val="16"/>
                                <w:vertAlign w:val="superscript"/>
                              </w:rPr>
                              <w:t>3</w:t>
                            </w:r>
                          </w:p>
                        </w:tc>
                        <w:tc>
                          <w:tcPr>
                            <w:tcW w:w="2914" w:type="dxa"/>
                            <w:shd w:val="clear" w:color="auto" w:fill="FFFFFF"/>
                          </w:tcPr>
                          <w:p w14:paraId="52B518F8" w14:textId="77777777" w:rsidR="00924992" w:rsidRDefault="00924992">
                            <w:pPr>
                              <w:pStyle w:val="Other0"/>
                              <w:spacing w:line="240" w:lineRule="auto"/>
                              <w:ind w:firstLine="600"/>
                              <w:rPr>
                                <w:sz w:val="16"/>
                                <w:szCs w:val="16"/>
                              </w:rPr>
                            </w:pPr>
                            <w:r>
                              <w:rPr>
                                <w:rFonts w:ascii="Times New Roman" w:eastAsia="Times New Roman" w:hAnsi="Times New Roman" w:cs="Times New Roman"/>
                                <w:color w:val="000000"/>
                                <w:sz w:val="16"/>
                                <w:szCs w:val="16"/>
                              </w:rPr>
                              <w:t xml:space="preserve">75 mg/kg/día en 3 dosis </w:t>
                            </w:r>
                            <w:r>
                              <w:rPr>
                                <w:color w:val="000000"/>
                              </w:rPr>
                              <w:t xml:space="preserve">x </w:t>
                            </w:r>
                            <w:r>
                              <w:rPr>
                                <w:rFonts w:ascii="Times New Roman" w:eastAsia="Times New Roman" w:hAnsi="Times New Roman" w:cs="Times New Roman"/>
                                <w:color w:val="000000"/>
                                <w:sz w:val="16"/>
                                <w:szCs w:val="16"/>
                              </w:rPr>
                              <w:t>2 días</w:t>
                            </w:r>
                          </w:p>
                        </w:tc>
                      </w:tr>
                    </w:tbl>
                    <w:p w14:paraId="75BAFA37" w14:textId="77777777" w:rsidR="00924992" w:rsidRDefault="00924992">
                      <w:pPr>
                        <w:spacing w:line="1" w:lineRule="exact"/>
                      </w:pPr>
                    </w:p>
                  </w:txbxContent>
                </v:textbox>
                <w10:wrap type="topAndBottom" anchorx="page" anchory="margin"/>
              </v:shape>
            </w:pict>
          </mc:Fallback>
        </mc:AlternateContent>
      </w:r>
      <w:r>
        <w:rPr>
          <w:noProof/>
        </w:rPr>
        <mc:AlternateContent>
          <mc:Choice Requires="wps">
            <w:drawing>
              <wp:anchor distT="0" distB="0" distL="0" distR="0" simplePos="0" relativeHeight="251790336" behindDoc="0" locked="0" layoutInCell="1" allowOverlap="1" wp14:anchorId="42E300F6" wp14:editId="19A8B449">
                <wp:simplePos x="0" y="0"/>
                <wp:positionH relativeFrom="page">
                  <wp:posOffset>526415</wp:posOffset>
                </wp:positionH>
                <wp:positionV relativeFrom="margin">
                  <wp:posOffset>1152525</wp:posOffset>
                </wp:positionV>
                <wp:extent cx="4206240" cy="152400"/>
                <wp:effectExtent l="0" t="0" r="0" b="0"/>
                <wp:wrapNone/>
                <wp:docPr id="2386" name="Shape 2386"/>
                <wp:cNvGraphicFramePr/>
                <a:graphic xmlns:a="http://schemas.openxmlformats.org/drawingml/2006/main">
                  <a:graphicData uri="http://schemas.microsoft.com/office/word/2010/wordprocessingShape">
                    <wps:wsp>
                      <wps:cNvSpPr txBox="1"/>
                      <wps:spPr>
                        <a:xfrm>
                          <a:off x="0" y="0"/>
                          <a:ext cx="4206240" cy="152400"/>
                        </a:xfrm>
                        <a:prstGeom prst="rect">
                          <a:avLst/>
                        </a:prstGeom>
                        <a:noFill/>
                      </wps:spPr>
                      <wps:txbx>
                        <w:txbxContent>
                          <w:p w14:paraId="176003D8" w14:textId="77777777" w:rsidR="00924992" w:rsidRDefault="00924992">
                            <w:pPr>
                              <w:pStyle w:val="Tablecaption0"/>
                              <w:spacing w:line="240" w:lineRule="auto"/>
                              <w:ind w:left="0"/>
                              <w:rPr>
                                <w:sz w:val="16"/>
                                <w:szCs w:val="16"/>
                              </w:rPr>
                            </w:pPr>
                            <w:r>
                              <w:rPr>
                                <w:b/>
                                <w:bCs/>
                                <w:i/>
                                <w:iCs/>
                                <w:color w:val="000000"/>
                                <w:sz w:val="17"/>
                                <w:szCs w:val="17"/>
                              </w:rPr>
                              <w:t>Fasciolopsis buski, Heterophyes heterophyes, Metagonimus yokogawai</w:t>
                            </w:r>
                            <w:r>
                              <w:rPr>
                                <w:b/>
                                <w:bCs/>
                                <w:color w:val="000000"/>
                                <w:sz w:val="16"/>
                                <w:szCs w:val="16"/>
                              </w:rPr>
                              <w:t xml:space="preserve"> (duelas intestinales)</w:t>
                            </w:r>
                          </w:p>
                        </w:txbxContent>
                      </wps:txbx>
                      <wps:bodyPr lIns="0" tIns="0" rIns="0" bIns="0"/>
                    </wps:wsp>
                  </a:graphicData>
                </a:graphic>
              </wp:anchor>
            </w:drawing>
          </mc:Choice>
          <mc:Fallback>
            <w:pict>
              <v:shape w14:anchorId="42E300F6" id="Shape 2386" o:spid="_x0000_s1078" type="#_x0000_t202" style="position:absolute;margin-left:41.45pt;margin-top:90.75pt;width:331.2pt;height:12pt;z-index:251790336;visibility:visible;mso-wrap-style:square;mso-wrap-distance-left:0;mso-wrap-distance-top:0;mso-wrap-distance-right:0;mso-wrap-distance-bottom:0;mso-position-horizontal:absolute;mso-position-horizontal-relative:page;mso-position-vertical:absolute;mso-position-vertical-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" filled="f" stroked="f">
                <v:textbox inset="0,0,0,0">
                  <w:txbxContent>
                    <w:p w14:paraId="176003D8" w14:textId="77777777" w:rsidR="00924992" w:rsidRDefault="00924992">
                      <w:pPr>
                        <w:pStyle w:val="Tablecaption0"/>
                        <w:spacing w:line="240" w:lineRule="auto"/>
                        <w:ind w:left="0"/>
                        <w:rPr>
                          <w:sz w:val="16"/>
                          <w:szCs w:val="16"/>
                        </w:rPr>
                      </w:pPr>
                      <w:r>
                        <w:rPr>
                          <w:b/>
                          <w:bCs/>
                          <w:i/>
                          <w:iCs/>
                          <w:color w:val="000000"/>
                          <w:sz w:val="17"/>
                          <w:szCs w:val="17"/>
                        </w:rPr>
                        <w:t>Fasciolopsis buski, Heterophyes heterophyes, Metagonimus yokogawai</w:t>
                      </w:r>
                      <w:r>
                        <w:rPr>
                          <w:b/>
                          <w:bCs/>
                          <w:color w:val="000000"/>
                          <w:sz w:val="16"/>
                          <w:szCs w:val="16"/>
                        </w:rPr>
                        <w:t xml:space="preserve"> (duelas intestinales)</w:t>
                      </w:r>
                    </w:p>
                  </w:txbxContent>
                </v:textbox>
                <w10:wrap anchorx="page" anchory="margin"/>
              </v:shape>
            </w:pict>
          </mc:Fallback>
        </mc:AlternateContent>
      </w:r>
      <w:r>
        <w:rPr>
          <w:noProof/>
        </w:rPr>
        <mc:AlternateContent>
          <mc:Choice Requires="wps">
            <w:drawing>
              <wp:anchor distT="0" distB="0" distL="0" distR="0" simplePos="0" relativeHeight="251791360" behindDoc="0" locked="0" layoutInCell="1" allowOverlap="1" wp14:anchorId="781922F7" wp14:editId="775F64C0">
                <wp:simplePos x="0" y="0"/>
                <wp:positionH relativeFrom="page">
                  <wp:posOffset>535305</wp:posOffset>
                </wp:positionH>
                <wp:positionV relativeFrom="margin">
                  <wp:posOffset>2554605</wp:posOffset>
                </wp:positionV>
                <wp:extent cx="4822190" cy="283210"/>
                <wp:effectExtent l="0" t="0" r="0" b="0"/>
                <wp:wrapNone/>
                <wp:docPr id="2388" name="Shape 2388"/>
                <wp:cNvGraphicFramePr/>
                <a:graphic xmlns:a="http://schemas.openxmlformats.org/drawingml/2006/main">
                  <a:graphicData uri="http://schemas.microsoft.com/office/word/2010/wordprocessingShape">
                    <wps:wsp>
                      <wps:cNvSpPr txBox="1"/>
                      <wps:spPr>
                        <a:xfrm>
                          <a:off x="0" y="0"/>
                          <a:ext cx="4822190" cy="283210"/>
                        </a:xfrm>
                        <a:prstGeom prst="rect">
                          <a:avLst/>
                        </a:prstGeom>
                        <a:noFill/>
                      </wps:spPr>
                      <wps:txbx>
                        <w:txbxContent>
                          <w:p w14:paraId="265BEA51" w14:textId="77777777" w:rsidR="00924992" w:rsidRDefault="00924992">
                            <w:pPr>
                              <w:pStyle w:val="Tablecaption0"/>
                              <w:tabs>
                                <w:tab w:val="left" w:pos="2731"/>
                                <w:tab w:val="left" w:pos="5506"/>
                              </w:tabs>
                              <w:spacing w:line="240" w:lineRule="auto"/>
                              <w:ind w:left="0"/>
                              <w:rPr>
                                <w:sz w:val="16"/>
                                <w:szCs w:val="16"/>
                              </w:rPr>
                            </w:pPr>
                            <w:r>
                              <w:rPr>
                                <w:color w:val="000000"/>
                                <w:sz w:val="16"/>
                                <w:szCs w:val="16"/>
                              </w:rPr>
                              <w:t>Fármaco alternativo:</w:t>
                            </w:r>
                            <w:r>
                              <w:rPr>
                                <w:color w:val="000000"/>
                                <w:sz w:val="16"/>
                                <w:szCs w:val="16"/>
                                <w:vertAlign w:val="superscript"/>
                              </w:rPr>
                              <w:t>23</w:t>
                            </w:r>
                            <w:r>
                              <w:rPr>
                                <w:color w:val="000000"/>
                                <w:sz w:val="16"/>
                                <w:szCs w:val="16"/>
                              </w:rPr>
                              <w:tab/>
                              <w:t>Bitionol*</w:t>
                            </w:r>
                            <w:r>
                              <w:rPr>
                                <w:color w:val="000000"/>
                                <w:sz w:val="16"/>
                                <w:szCs w:val="16"/>
                              </w:rPr>
                              <w:tab/>
                              <w:t>30-50 mg/kg en días alternos</w:t>
                            </w:r>
                          </w:p>
                          <w:p w14:paraId="2F38FE98" w14:textId="77777777" w:rsidR="00924992" w:rsidRDefault="00924992">
                            <w:pPr>
                              <w:pStyle w:val="Tablecaption0"/>
                              <w:spacing w:line="240" w:lineRule="auto"/>
                              <w:ind w:left="5620"/>
                              <w:rPr>
                                <w:sz w:val="16"/>
                                <w:szCs w:val="16"/>
                              </w:rPr>
                            </w:pPr>
                            <w:r>
                              <w:rPr>
                                <w:rFonts w:ascii="Garamond" w:eastAsia="Garamond" w:hAnsi="Garamond" w:cs="Garamond"/>
                                <w:color w:val="000000"/>
                                <w:sz w:val="19"/>
                                <w:szCs w:val="19"/>
                              </w:rPr>
                              <w:t xml:space="preserve">x </w:t>
                            </w:r>
                            <w:r>
                              <w:rPr>
                                <w:color w:val="000000"/>
                                <w:sz w:val="16"/>
                                <w:szCs w:val="16"/>
                              </w:rPr>
                              <w:t>10-15 dosis</w:t>
                            </w:r>
                          </w:p>
                        </w:txbxContent>
                      </wps:txbx>
                      <wps:bodyPr lIns="0" tIns="0" rIns="0" bIns="0"/>
                    </wps:wsp>
                  </a:graphicData>
                </a:graphic>
              </wp:anchor>
            </w:drawing>
          </mc:Choice>
          <mc:Fallback>
            <w:pict>
              <v:shape w14:anchorId="781922F7" id="Shape 2388" o:spid="_x0000_s1079" type="#_x0000_t202" style="position:absolute;margin-left:42.15pt;margin-top:201.15pt;width:379.7pt;height:22.3pt;z-index:251791360;visibility:visible;mso-wrap-style:square;mso-wrap-distance-left:0;mso-wrap-distance-top:0;mso-wrap-distance-right:0;mso-wrap-distance-bottom:0;mso-position-horizontal:absolute;mso-position-horizontal-relative:page;mso-position-vertical:absolute;mso-position-vertical-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" filled="f" stroked="f">
                <v:textbox inset="0,0,0,0">
                  <w:txbxContent>
                    <w:p w14:paraId="265BEA51" w14:textId="77777777" w:rsidR="00924992" w:rsidRDefault="00924992">
                      <w:pPr>
                        <w:pStyle w:val="Tablecaption0"/>
                        <w:tabs>
                          <w:tab w:val="left" w:pos="2731"/>
                          <w:tab w:val="left" w:pos="5506"/>
                        </w:tabs>
                        <w:spacing w:line="240" w:lineRule="auto"/>
                        <w:ind w:left="0"/>
                        <w:rPr>
                          <w:sz w:val="16"/>
                          <w:szCs w:val="16"/>
                        </w:rPr>
                      </w:pPr>
                      <w:r>
                        <w:rPr>
                          <w:color w:val="000000"/>
                          <w:sz w:val="16"/>
                          <w:szCs w:val="16"/>
                        </w:rPr>
                        <w:t>Fármaco alternativo:</w:t>
                      </w:r>
                      <w:r>
                        <w:rPr>
                          <w:color w:val="000000"/>
                          <w:sz w:val="16"/>
                          <w:szCs w:val="16"/>
                          <w:vertAlign w:val="superscript"/>
                        </w:rPr>
                        <w:t>23</w:t>
                      </w:r>
                      <w:r>
                        <w:rPr>
                          <w:color w:val="000000"/>
                          <w:sz w:val="16"/>
                          <w:szCs w:val="16"/>
                        </w:rPr>
                        <w:tab/>
                        <w:t>Bitionol*</w:t>
                      </w:r>
                      <w:r>
                        <w:rPr>
                          <w:color w:val="000000"/>
                          <w:sz w:val="16"/>
                          <w:szCs w:val="16"/>
                        </w:rPr>
                        <w:tab/>
                        <w:t>30-50 mg/kg en días alternos</w:t>
                      </w:r>
                    </w:p>
                    <w:p w14:paraId="2F38FE98" w14:textId="77777777" w:rsidR="00924992" w:rsidRDefault="00924992">
                      <w:pPr>
                        <w:pStyle w:val="Tablecaption0"/>
                        <w:spacing w:line="240" w:lineRule="auto"/>
                        <w:ind w:left="5620"/>
                        <w:rPr>
                          <w:sz w:val="16"/>
                          <w:szCs w:val="16"/>
                        </w:rPr>
                      </w:pPr>
                      <w:r>
                        <w:rPr>
                          <w:rFonts w:ascii="Garamond" w:eastAsia="Garamond" w:hAnsi="Garamond" w:cs="Garamond"/>
                          <w:color w:val="000000"/>
                          <w:sz w:val="19"/>
                          <w:szCs w:val="19"/>
                        </w:rPr>
                        <w:t xml:space="preserve">x </w:t>
                      </w:r>
                      <w:r>
                        <w:rPr>
                          <w:color w:val="000000"/>
                          <w:sz w:val="16"/>
                          <w:szCs w:val="16"/>
                        </w:rPr>
                        <w:t>10-15 dosis</w:t>
                      </w:r>
                    </w:p>
                  </w:txbxContent>
                </v:textbox>
                <w10:wrap anchorx="page" anchory="margin"/>
              </v:shape>
            </w:pict>
          </mc:Fallback>
        </mc:AlternateContent>
      </w:r>
      <w:r>
        <w:rPr>
          <w:noProof/>
        </w:rPr>
        <mc:AlternateContent>
          <mc:Choice Requires="wps">
            <w:drawing>
              <wp:anchor distT="1703705" distB="38100" distL="5500370" distR="1525270" simplePos="0" relativeHeight="251708416" behindDoc="0" locked="0" layoutInCell="1" allowOverlap="1" wp14:anchorId="21A8FFE1" wp14:editId="6B6D2464">
                <wp:simplePos x="0" y="0"/>
                <wp:positionH relativeFrom="page">
                  <wp:posOffset>5857875</wp:posOffset>
                </wp:positionH>
                <wp:positionV relativeFrom="margin">
                  <wp:posOffset>1298575</wp:posOffset>
                </wp:positionV>
                <wp:extent cx="758825" cy="1551305"/>
                <wp:effectExtent l="0" t="0" r="0" b="0"/>
                <wp:wrapTopAndBottom/>
                <wp:docPr id="2390" name="Shape 2390"/>
                <wp:cNvGraphicFramePr/>
                <a:graphic xmlns:a="http://schemas.openxmlformats.org/drawingml/2006/main">
                  <a:graphicData uri="http://schemas.microsoft.com/office/word/2010/wordprocessingShape">
                    <wps:wsp>
                      <wps:cNvSpPr txBox="1"/>
                      <wps:spPr>
                        <a:xfrm>
                          <a:off x="0" y="0"/>
                          <a:ext cx="758825" cy="1551305"/>
                        </a:xfrm>
                        <a:prstGeom prst="rect">
                          <a:avLst/>
                        </a:prstGeom>
                        <a:noFill/>
                      </wps:spPr>
                      <wps:txbx>
                        <w:txbxContent>
                          <w:p w14:paraId="654C743F" w14:textId="77777777" w:rsidR="00924992" w:rsidRDefault="00924992">
                            <w:pPr>
                              <w:pStyle w:val="Bodytext20"/>
                              <w:spacing w:after="200"/>
                            </w:pPr>
                            <w:r>
                              <w:rPr>
                                <w:color w:val="000000"/>
                              </w:rPr>
                              <w:t>75 mg/kg/día en</w:t>
                            </w:r>
                          </w:p>
                          <w:p w14:paraId="4114861B" w14:textId="77777777" w:rsidR="00924992" w:rsidRDefault="00924992">
                            <w:pPr>
                              <w:pStyle w:val="Bodytext20"/>
                              <w:spacing w:after="200"/>
                            </w:pPr>
                            <w:r>
                              <w:rPr>
                                <w:color w:val="000000"/>
                              </w:rPr>
                              <w:t>75 mg/kg/día en</w:t>
                            </w:r>
                          </w:p>
                          <w:p w14:paraId="4B697EE4" w14:textId="77777777" w:rsidR="00924992" w:rsidRDefault="00924992">
                            <w:pPr>
                              <w:pStyle w:val="Bodytext20"/>
                              <w:spacing w:after="200"/>
                            </w:pPr>
                            <w:r>
                              <w:rPr>
                                <w:color w:val="000000"/>
                              </w:rPr>
                              <w:t>60 mg/kg/día en</w:t>
                            </w:r>
                          </w:p>
                          <w:p w14:paraId="2935DCCD" w14:textId="77777777" w:rsidR="00924992" w:rsidRDefault="00924992">
                            <w:pPr>
                              <w:pStyle w:val="Bodytext20"/>
                              <w:spacing w:after="200"/>
                            </w:pPr>
                            <w:r>
                              <w:rPr>
                                <w:color w:val="000000"/>
                              </w:rPr>
                              <w:t>75 mg/kg/día en</w:t>
                            </w:r>
                          </w:p>
                          <w:p w14:paraId="12647480" w14:textId="77777777" w:rsidR="00924992" w:rsidRDefault="00924992">
                            <w:pPr>
                              <w:pStyle w:val="Bodytext20"/>
                            </w:pPr>
                            <w:r>
                              <w:rPr>
                                <w:color w:val="000000"/>
                              </w:rPr>
                              <w:t>75 mg/kg/día en</w:t>
                            </w:r>
                          </w:p>
                          <w:p w14:paraId="32D605AD" w14:textId="77777777" w:rsidR="00924992" w:rsidRDefault="00924992">
                            <w:pPr>
                              <w:pStyle w:val="Bodytext20"/>
                              <w:pBdr>
                                <w:bottom w:val="single" w:sz="4" w:space="0" w:color="auto"/>
                              </w:pBdr>
                              <w:spacing w:after="200" w:line="262" w:lineRule="auto"/>
                              <w:jc w:val="center"/>
                            </w:pPr>
                            <w:r>
                              <w:rPr>
                                <w:color w:val="000000"/>
                              </w:rPr>
                              <w:t>30-50 mg/kg en</w:t>
                            </w:r>
                            <w:r>
                              <w:rPr>
                                <w:color w:val="000000"/>
                              </w:rPr>
                              <w:br/>
                            </w:r>
                            <w:r>
                              <w:rPr>
                                <w:rFonts w:ascii="Garamond" w:eastAsia="Garamond" w:hAnsi="Garamond" w:cs="Garamond"/>
                                <w:color w:val="000000"/>
                                <w:sz w:val="19"/>
                                <w:szCs w:val="19"/>
                              </w:rPr>
                              <w:t xml:space="preserve">x </w:t>
                            </w:r>
                            <w:r>
                              <w:rPr>
                                <w:color w:val="000000"/>
                              </w:rPr>
                              <w:t>10-15 dosis</w:t>
                            </w:r>
                          </w:p>
                        </w:txbxContent>
                      </wps:txbx>
                      <wps:bodyPr lIns="0" tIns="0" rIns="0" bIns="0"/>
                    </wps:wsp>
                  </a:graphicData>
                </a:graphic>
              </wp:anchor>
            </w:drawing>
          </mc:Choice>
          <mc:Fallback>
            <w:pict>
              <v:shape w14:anchorId="21A8FFE1" id="Shape 2390" o:spid="_x0000_s1080" type="#_x0000_t202" style="position:absolute;margin-left:461.25pt;margin-top:102.25pt;width:59.75pt;height:122.15pt;z-index:251708416;visibility:visible;mso-wrap-style:square;mso-wrap-distance-left:433.1pt;mso-wrap-distance-top:134.15pt;mso-wrap-distance-right:120.1pt;mso-wrap-distance-bottom:3pt;mso-position-horizontal:absolute;mso-position-horizontal-relative:page;mso-position-vertical:absolute;mso-position-vertical-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" filled="f" stroked="f">
                <v:textbox inset="0,0,0,0">
                  <w:txbxContent>
                    <w:p w14:paraId="654C743F" w14:textId="77777777" w:rsidR="00924992" w:rsidRDefault="00924992">
                      <w:pPr>
                        <w:pStyle w:val="Bodytext20"/>
                        <w:spacing w:after="200"/>
                      </w:pPr>
                      <w:r>
                        <w:rPr>
                          <w:color w:val="000000"/>
                        </w:rPr>
                        <w:t>75 mg/kg/día en</w:t>
                      </w:r>
                    </w:p>
                    <w:p w14:paraId="4114861B" w14:textId="77777777" w:rsidR="00924992" w:rsidRDefault="00924992">
                      <w:pPr>
                        <w:pStyle w:val="Bodytext20"/>
                        <w:spacing w:after="200"/>
                      </w:pPr>
                      <w:r>
                        <w:rPr>
                          <w:color w:val="000000"/>
                        </w:rPr>
                        <w:t>75 mg/kg/día en</w:t>
                      </w:r>
                    </w:p>
                    <w:p w14:paraId="4B697EE4" w14:textId="77777777" w:rsidR="00924992" w:rsidRDefault="00924992">
                      <w:pPr>
                        <w:pStyle w:val="Bodytext20"/>
                        <w:spacing w:after="200"/>
                      </w:pPr>
                      <w:r>
                        <w:rPr>
                          <w:color w:val="000000"/>
                        </w:rPr>
                        <w:t>60 mg/kg/día en</w:t>
                      </w:r>
                    </w:p>
                    <w:p w14:paraId="2935DCCD" w14:textId="77777777" w:rsidR="00924992" w:rsidRDefault="00924992">
                      <w:pPr>
                        <w:pStyle w:val="Bodytext20"/>
                        <w:spacing w:after="200"/>
                      </w:pPr>
                      <w:r>
                        <w:rPr>
                          <w:color w:val="000000"/>
                        </w:rPr>
                        <w:t>75 mg/kg/día en</w:t>
                      </w:r>
                    </w:p>
                    <w:p w14:paraId="12647480" w14:textId="77777777" w:rsidR="00924992" w:rsidRDefault="00924992">
                      <w:pPr>
                        <w:pStyle w:val="Bodytext20"/>
                      </w:pPr>
                      <w:r>
                        <w:rPr>
                          <w:color w:val="000000"/>
                        </w:rPr>
                        <w:t>75 mg/kg/día en</w:t>
                      </w:r>
                    </w:p>
                    <w:p w14:paraId="32D605AD" w14:textId="77777777" w:rsidR="00924992" w:rsidRDefault="00924992">
                      <w:pPr>
                        <w:pStyle w:val="Bodytext20"/>
                        <w:pBdr>
                          <w:bottom w:val="single" w:sz="4" w:space="0" w:color="auto"/>
                        </w:pBdr>
                        <w:spacing w:after="200" w:line="262" w:lineRule="auto"/>
                        <w:jc w:val="center"/>
                      </w:pPr>
                      <w:r>
                        <w:rPr>
                          <w:color w:val="000000"/>
                        </w:rPr>
                        <w:t>30-50 mg/kg en</w:t>
                      </w:r>
                      <w:r>
                        <w:rPr>
                          <w:color w:val="000000"/>
                        </w:rPr>
                        <w:br/>
                      </w:r>
                      <w:r>
                        <w:rPr>
                          <w:rFonts w:ascii="Garamond" w:eastAsia="Garamond" w:hAnsi="Garamond" w:cs="Garamond"/>
                          <w:color w:val="000000"/>
                          <w:sz w:val="19"/>
                          <w:szCs w:val="19"/>
                        </w:rPr>
                        <w:t xml:space="preserve">x </w:t>
                      </w:r>
                      <w:r>
                        <w:rPr>
                          <w:color w:val="000000"/>
                        </w:rPr>
                        <w:t>10-15 dosis</w:t>
                      </w:r>
                    </w:p>
                  </w:txbxContent>
                </v:textbox>
                <w10:wrap type="topAndBottom" anchorx="page" anchory="margin"/>
              </v:shape>
            </w:pict>
          </mc:Fallback>
        </mc:AlternateContent>
      </w:r>
      <w:r>
        <w:rPr>
          <w:noProof/>
        </w:rPr>
        <mc:AlternateContent>
          <mc:Choice Requires="wps">
            <w:drawing>
              <wp:anchor distT="1700530" distB="178435" distL="6259195" distR="805815" simplePos="0" relativeHeight="251709440" behindDoc="0" locked="0" layoutInCell="1" allowOverlap="1" wp14:anchorId="5519FF5F" wp14:editId="6166C0D8">
                <wp:simplePos x="0" y="0"/>
                <wp:positionH relativeFrom="page">
                  <wp:posOffset>6616700</wp:posOffset>
                </wp:positionH>
                <wp:positionV relativeFrom="margin">
                  <wp:posOffset>1295400</wp:posOffset>
                </wp:positionV>
                <wp:extent cx="719455" cy="1414145"/>
                <wp:effectExtent l="0" t="0" r="0" b="0"/>
                <wp:wrapTopAndBottom/>
                <wp:docPr id="2392" name="Shape 2392"/>
                <wp:cNvGraphicFramePr/>
                <a:graphic xmlns:a="http://schemas.openxmlformats.org/drawingml/2006/main">
                  <a:graphicData uri="http://schemas.microsoft.com/office/word/2010/wordprocessingShape">
                    <wps:wsp>
                      <wps:cNvSpPr txBox="1"/>
                      <wps:spPr>
                        <a:xfrm>
                          <a:off x="0" y="0"/>
                          <a:ext cx="719455" cy="1414145"/>
                        </a:xfrm>
                        <a:prstGeom prst="rect">
                          <a:avLst/>
                        </a:prstGeom>
                        <a:noFill/>
                      </wps:spPr>
                      <wps:txbx>
                        <w:txbxContent>
                          <w:p w14:paraId="60B52899" w14:textId="77777777" w:rsidR="00924992" w:rsidRDefault="00924992">
                            <w:pPr>
                              <w:pStyle w:val="Bodytext20"/>
                              <w:spacing w:after="200" w:line="254" w:lineRule="auto"/>
                            </w:pPr>
                            <w:r>
                              <w:rPr>
                                <w:color w:val="000000"/>
                              </w:rPr>
                              <w:t xml:space="preserve">3 dosis </w:t>
                            </w:r>
                            <w:r>
                              <w:rPr>
                                <w:rFonts w:ascii="Garamond" w:eastAsia="Garamond" w:hAnsi="Garamond" w:cs="Garamond"/>
                                <w:color w:val="000000"/>
                                <w:sz w:val="19"/>
                                <w:szCs w:val="19"/>
                              </w:rPr>
                              <w:t xml:space="preserve">x </w:t>
                            </w:r>
                            <w:r>
                              <w:rPr>
                                <w:color w:val="000000"/>
                              </w:rPr>
                              <w:t>1 día</w:t>
                            </w:r>
                          </w:p>
                          <w:p w14:paraId="20E368AD" w14:textId="77777777" w:rsidR="00924992" w:rsidRDefault="00924992">
                            <w:pPr>
                              <w:pStyle w:val="Bodytext20"/>
                              <w:spacing w:after="200" w:line="254" w:lineRule="auto"/>
                            </w:pPr>
                            <w:r>
                              <w:rPr>
                                <w:color w:val="000000"/>
                              </w:rPr>
                              <w:t xml:space="preserve">3 dosis </w:t>
                            </w:r>
                            <w:r>
                              <w:rPr>
                                <w:rFonts w:ascii="Garamond" w:eastAsia="Garamond" w:hAnsi="Garamond" w:cs="Garamond"/>
                                <w:color w:val="000000"/>
                                <w:sz w:val="19"/>
                                <w:szCs w:val="19"/>
                              </w:rPr>
                              <w:t xml:space="preserve">x </w:t>
                            </w:r>
                            <w:r>
                              <w:rPr>
                                <w:color w:val="000000"/>
                              </w:rPr>
                              <w:t>1 día</w:t>
                            </w:r>
                          </w:p>
                          <w:p w14:paraId="4F336853" w14:textId="77777777" w:rsidR="00924992" w:rsidRDefault="00924992">
                            <w:pPr>
                              <w:pStyle w:val="Bodytext20"/>
                              <w:spacing w:after="200" w:line="254" w:lineRule="auto"/>
                            </w:pPr>
                            <w:r>
                              <w:rPr>
                                <w:color w:val="000000"/>
                              </w:rPr>
                              <w:t xml:space="preserve">3 dosis </w:t>
                            </w:r>
                            <w:r>
                              <w:rPr>
                                <w:rFonts w:ascii="Garamond" w:eastAsia="Garamond" w:hAnsi="Garamond" w:cs="Garamond"/>
                                <w:color w:val="000000"/>
                                <w:sz w:val="19"/>
                                <w:szCs w:val="19"/>
                              </w:rPr>
                              <w:t xml:space="preserve">x </w:t>
                            </w:r>
                            <w:r>
                              <w:rPr>
                                <w:color w:val="000000"/>
                              </w:rPr>
                              <w:t>1 día</w:t>
                            </w:r>
                          </w:p>
                          <w:p w14:paraId="023609D4" w14:textId="77777777" w:rsidR="00924992" w:rsidRDefault="00924992">
                            <w:pPr>
                              <w:pStyle w:val="Bodytext20"/>
                              <w:spacing w:after="200" w:line="254" w:lineRule="auto"/>
                            </w:pPr>
                            <w:r>
                              <w:rPr>
                                <w:color w:val="000000"/>
                              </w:rPr>
                              <w:t xml:space="preserve">3 dosis </w:t>
                            </w:r>
                            <w:r>
                              <w:rPr>
                                <w:rFonts w:ascii="Garamond" w:eastAsia="Garamond" w:hAnsi="Garamond" w:cs="Garamond"/>
                                <w:color w:val="000000"/>
                                <w:sz w:val="19"/>
                                <w:szCs w:val="19"/>
                              </w:rPr>
                              <w:t xml:space="preserve">x </w:t>
                            </w:r>
                            <w:r>
                              <w:rPr>
                                <w:color w:val="000000"/>
                              </w:rPr>
                              <w:t>1 día</w:t>
                            </w:r>
                          </w:p>
                          <w:p w14:paraId="6E23BD0A" w14:textId="77777777" w:rsidR="00924992" w:rsidRDefault="00924992">
                            <w:pPr>
                              <w:pStyle w:val="Bodytext20"/>
                              <w:spacing w:after="200" w:line="276" w:lineRule="auto"/>
                            </w:pPr>
                            <w:r>
                              <w:rPr>
                                <w:color w:val="000000"/>
                              </w:rPr>
                              <w:t xml:space="preserve">3 dosis </w:t>
                            </w:r>
                            <w:r>
                              <w:rPr>
                                <w:rFonts w:ascii="Garamond" w:eastAsia="Garamond" w:hAnsi="Garamond" w:cs="Garamond"/>
                                <w:color w:val="000000"/>
                                <w:sz w:val="19"/>
                                <w:szCs w:val="19"/>
                              </w:rPr>
                              <w:t xml:space="preserve">x </w:t>
                            </w:r>
                            <w:r>
                              <w:rPr>
                                <w:color w:val="000000"/>
                              </w:rPr>
                              <w:t>2 días días alternos</w:t>
                            </w:r>
                          </w:p>
                        </w:txbxContent>
                      </wps:txbx>
                      <wps:bodyPr lIns="0" tIns="0" rIns="0" bIns="0"/>
                    </wps:wsp>
                  </a:graphicData>
                </a:graphic>
              </wp:anchor>
            </w:drawing>
          </mc:Choice>
          <mc:Fallback>
            <w:pict>
              <v:shape w14:anchorId="5519FF5F" id="Shape 2392" o:spid="_x0000_s1081" type="#_x0000_t202" style="position:absolute;margin-left:521pt;margin-top:102pt;width:56.65pt;height:111.35pt;z-index:251709440;visibility:visible;mso-wrap-style:square;mso-wrap-distance-left:492.85pt;mso-wrap-distance-top:133.9pt;mso-wrap-distance-right:63.45pt;mso-wrap-distance-bottom:14.05pt;mso-position-horizontal:absolute;mso-position-horizontal-relative:page;mso-position-vertical:absolute;mso-position-vertical-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" filled="f" stroked="f">
                <v:textbox inset="0,0,0,0">
                  <w:txbxContent>
                    <w:p w14:paraId="60B52899" w14:textId="77777777" w:rsidR="00924992" w:rsidRDefault="00924992">
                      <w:pPr>
                        <w:pStyle w:val="Bodytext20"/>
                        <w:spacing w:after="200" w:line="254" w:lineRule="auto"/>
                      </w:pPr>
                      <w:r>
                        <w:rPr>
                          <w:color w:val="000000"/>
                        </w:rPr>
                        <w:t xml:space="preserve">3 dosis </w:t>
                      </w:r>
                      <w:r>
                        <w:rPr>
                          <w:rFonts w:ascii="Garamond" w:eastAsia="Garamond" w:hAnsi="Garamond" w:cs="Garamond"/>
                          <w:color w:val="000000"/>
                          <w:sz w:val="19"/>
                          <w:szCs w:val="19"/>
                        </w:rPr>
                        <w:t xml:space="preserve">x </w:t>
                      </w:r>
                      <w:r>
                        <w:rPr>
                          <w:color w:val="000000"/>
                        </w:rPr>
                        <w:t>1 día</w:t>
                      </w:r>
                    </w:p>
                    <w:p w14:paraId="20E368AD" w14:textId="77777777" w:rsidR="00924992" w:rsidRDefault="00924992">
                      <w:pPr>
                        <w:pStyle w:val="Bodytext20"/>
                        <w:spacing w:after="200" w:line="254" w:lineRule="auto"/>
                      </w:pPr>
                      <w:r>
                        <w:rPr>
                          <w:color w:val="000000"/>
                        </w:rPr>
                        <w:t xml:space="preserve">3 dosis </w:t>
                      </w:r>
                      <w:r>
                        <w:rPr>
                          <w:rFonts w:ascii="Garamond" w:eastAsia="Garamond" w:hAnsi="Garamond" w:cs="Garamond"/>
                          <w:color w:val="000000"/>
                          <w:sz w:val="19"/>
                          <w:szCs w:val="19"/>
                        </w:rPr>
                        <w:t xml:space="preserve">x </w:t>
                      </w:r>
                      <w:r>
                        <w:rPr>
                          <w:color w:val="000000"/>
                        </w:rPr>
                        <w:t>1 día</w:t>
                      </w:r>
                    </w:p>
                    <w:p w14:paraId="4F336853" w14:textId="77777777" w:rsidR="00924992" w:rsidRDefault="00924992">
                      <w:pPr>
                        <w:pStyle w:val="Bodytext20"/>
                        <w:spacing w:after="200" w:line="254" w:lineRule="auto"/>
                      </w:pPr>
                      <w:r>
                        <w:rPr>
                          <w:color w:val="000000"/>
                        </w:rPr>
                        <w:t xml:space="preserve">3 dosis </w:t>
                      </w:r>
                      <w:r>
                        <w:rPr>
                          <w:rFonts w:ascii="Garamond" w:eastAsia="Garamond" w:hAnsi="Garamond" w:cs="Garamond"/>
                          <w:color w:val="000000"/>
                          <w:sz w:val="19"/>
                          <w:szCs w:val="19"/>
                        </w:rPr>
                        <w:t xml:space="preserve">x </w:t>
                      </w:r>
                      <w:r>
                        <w:rPr>
                          <w:color w:val="000000"/>
                        </w:rPr>
                        <w:t>1 día</w:t>
                      </w:r>
                    </w:p>
                    <w:p w14:paraId="023609D4" w14:textId="77777777" w:rsidR="00924992" w:rsidRDefault="00924992">
                      <w:pPr>
                        <w:pStyle w:val="Bodytext20"/>
                        <w:spacing w:after="200" w:line="254" w:lineRule="auto"/>
                      </w:pPr>
                      <w:r>
                        <w:rPr>
                          <w:color w:val="000000"/>
                        </w:rPr>
                        <w:t xml:space="preserve">3 dosis </w:t>
                      </w:r>
                      <w:r>
                        <w:rPr>
                          <w:rFonts w:ascii="Garamond" w:eastAsia="Garamond" w:hAnsi="Garamond" w:cs="Garamond"/>
                          <w:color w:val="000000"/>
                          <w:sz w:val="19"/>
                          <w:szCs w:val="19"/>
                        </w:rPr>
                        <w:t xml:space="preserve">x </w:t>
                      </w:r>
                      <w:r>
                        <w:rPr>
                          <w:color w:val="000000"/>
                        </w:rPr>
                        <w:t>1 día</w:t>
                      </w:r>
                    </w:p>
                    <w:p w14:paraId="6E23BD0A" w14:textId="77777777" w:rsidR="00924992" w:rsidRDefault="00924992">
                      <w:pPr>
                        <w:pStyle w:val="Bodytext20"/>
                        <w:spacing w:after="200" w:line="276" w:lineRule="auto"/>
                      </w:pPr>
                      <w:r>
                        <w:rPr>
                          <w:color w:val="000000"/>
                        </w:rPr>
                        <w:t xml:space="preserve">3 dosis </w:t>
                      </w:r>
                      <w:r>
                        <w:rPr>
                          <w:rFonts w:ascii="Garamond" w:eastAsia="Garamond" w:hAnsi="Garamond" w:cs="Garamond"/>
                          <w:color w:val="000000"/>
                          <w:sz w:val="19"/>
                          <w:szCs w:val="19"/>
                        </w:rPr>
                        <w:t xml:space="preserve">x </w:t>
                      </w:r>
                      <w:r>
                        <w:rPr>
                          <w:color w:val="000000"/>
                        </w:rPr>
                        <w:t>2 días días alternos</w:t>
                      </w:r>
                    </w:p>
                  </w:txbxContent>
                </v:textbox>
                <w10:wrap type="topAndBottom" anchorx="page" anchory="margin"/>
              </v:shape>
            </w:pict>
          </mc:Fallback>
        </mc:AlternateContent>
      </w:r>
      <w:r>
        <w:rPr>
          <w:noProof/>
        </w:rPr>
        <mc:AlternateContent>
          <mc:Choice Requires="wps">
            <w:drawing>
              <wp:anchor distT="33655" distB="379095" distL="7548245" distR="114300" simplePos="0" relativeHeight="251710464" behindDoc="0" locked="0" layoutInCell="1" allowOverlap="1" wp14:anchorId="3E00F66F" wp14:editId="45FAE39B">
                <wp:simplePos x="0" y="0"/>
                <wp:positionH relativeFrom="page">
                  <wp:posOffset>7905750</wp:posOffset>
                </wp:positionH>
                <wp:positionV relativeFrom="margin">
                  <wp:posOffset>-371475</wp:posOffset>
                </wp:positionV>
                <wp:extent cx="121920" cy="2880360"/>
                <wp:effectExtent l="0" t="0" r="0" b="0"/>
                <wp:wrapTopAndBottom/>
                <wp:docPr id="2394" name="Shape 2394"/>
                <wp:cNvGraphicFramePr/>
                <a:graphic xmlns:a="http://schemas.openxmlformats.org/drawingml/2006/main">
                  <a:graphicData uri="http://schemas.microsoft.com/office/word/2010/wordprocessingShape">
                    <wps:wsp>
                      <wps:cNvSpPr txBox="1"/>
                      <wps:spPr>
                        <a:xfrm>
                          <a:off x="0" y="0"/>
                          <a:ext cx="121920" cy="2880360"/>
                        </a:xfrm>
                        <a:prstGeom prst="rect">
                          <a:avLst/>
                        </a:prstGeom>
                        <a:noFill/>
                      </wps:spPr>
                      <wps:txbx>
                        <w:txbxContent>
                          <w:p w14:paraId="7425F689" w14:textId="77777777" w:rsidR="00924992" w:rsidRDefault="00924992">
                            <w:pPr>
                              <w:pStyle w:val="Bodytext80"/>
                              <w:tabs>
                                <w:tab w:val="left" w:pos="2338"/>
                              </w:tabs>
                            </w:pPr>
                            <w:r>
                              <w:rPr>
                                <w:sz w:val="16"/>
                                <w:szCs w:val="16"/>
                              </w:rPr>
                              <w:t>788</w:t>
                            </w:r>
                            <w:r>
                              <w:rPr>
                                <w:sz w:val="16"/>
                                <w:szCs w:val="16"/>
                              </w:rPr>
                              <w:tab/>
                            </w:r>
                            <w:r>
                              <w:t>FÁRMACOS ANTIPARASITARIOS</w:t>
                            </w:r>
                          </w:p>
                        </w:txbxContent>
                      </wps:txbx>
                      <wps:bodyPr vert="vert" lIns="0" tIns="0" rIns="0" bIns="0" upright="1"/>
                    </wps:wsp>
                  </a:graphicData>
                </a:graphic>
              </wp:anchor>
            </w:drawing>
          </mc:Choice>
          <mc:Fallback>
            <w:pict>
              <v:shape w14:anchorId="3E00F66F" id="Shape 2394" o:spid="_x0000_s1082" type="#_x0000_t202" style="position:absolute;margin-left:622.5pt;margin-top:-29.25pt;width:9.6pt;height:226.8pt;z-index:251710464;visibility:visible;mso-wrap-style:square;mso-wrap-distance-left:594.35pt;mso-wrap-distance-top:2.65pt;mso-wrap-distance-right:9pt;mso-wrap-distance-bottom:29.85pt;mso-position-horizontal:absolute;mso-position-horizontal-relative:page;mso-position-vertical:absolute;mso-position-vertical-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" filled="f" stroked="f">
                <v:textbox style="layout-flow:vertical" inset="0,0,0,0">
                  <w:txbxContent>
                    <w:p w14:paraId="7425F689" w14:textId="77777777" w:rsidR="00924992" w:rsidRDefault="00924992">
                      <w:pPr>
                        <w:pStyle w:val="Bodytext80"/>
                        <w:tabs>
                          <w:tab w:val="left" w:pos="2338"/>
                        </w:tabs>
                      </w:pPr>
                      <w:r>
                        <w:rPr>
                          <w:sz w:val="16"/>
                          <w:szCs w:val="16"/>
                        </w:rPr>
                        <w:t>788</w:t>
                      </w:r>
                      <w:r>
                        <w:rPr>
                          <w:sz w:val="16"/>
                          <w:szCs w:val="16"/>
                        </w:rPr>
                        <w:tab/>
                      </w:r>
                      <w:r>
                        <w:t>FÁRMACOS ANTIPARASITARIOS</w:t>
                      </w:r>
                    </w:p>
                  </w:txbxContent>
                </v:textbox>
                <w10:wrap type="topAndBottom" anchorx="page" anchory="margin"/>
              </v:shape>
            </w:pict>
          </mc:Fallback>
        </mc:AlternateContent>
      </w:r>
    </w:p>
    <w:p w14:paraId="09B52C61" w14:textId="77777777" w:rsidR="00924992" w:rsidRDefault="00924992">
      <w:pPr>
        <w:pStyle w:val="Heading31"/>
        <w:keepNext/>
        <w:keepLines/>
        <w:framePr w:w="4618" w:h="317" w:wrap="none" w:hAnchor="page" w:x="4038" w:y="1"/>
        <w:rPr>
          <w:sz w:val="16"/>
          <w:szCs w:val="16"/>
        </w:rPr>
      </w:pPr>
      <w:bookmarkStart w:id="557" w:name="bookmark1988"/>
      <w:bookmarkStart w:id="558" w:name="bookmark1989"/>
      <w:bookmarkStart w:id="559" w:name="bookmark1990"/>
      <w:r>
        <w:rPr>
          <w:b w:val="0"/>
          <w:bCs w:val="0"/>
          <w:color w:val="000000"/>
        </w:rPr>
        <w:t xml:space="preserve">Cuadro 4-13. </w:t>
      </w:r>
      <w:r>
        <w:rPr>
          <w:color w:val="000000"/>
        </w:rPr>
        <w:t xml:space="preserve">Fármacos antiparasitarios </w:t>
      </w:r>
      <w:r>
        <w:rPr>
          <w:rFonts w:ascii="Times New Roman" w:eastAsia="Times New Roman" w:hAnsi="Times New Roman" w:cs="Times New Roman"/>
          <w:b w:val="0"/>
          <w:bCs w:val="0"/>
          <w:i/>
          <w:iCs/>
          <w:color w:val="000000"/>
          <w:w w:val="100"/>
          <w:sz w:val="16"/>
          <w:szCs w:val="16"/>
        </w:rPr>
        <w:t>continuación</w:t>
      </w:r>
      <w:bookmarkEnd w:id="557"/>
      <w:bookmarkEnd w:id="558"/>
      <w:bookmarkEnd w:id="559"/>
    </w:p>
    <w:p w14:paraId="06744A8D" w14:textId="77777777" w:rsidR="00924992" w:rsidRDefault="00924992">
      <w:pPr>
        <w:pStyle w:val="Heading41"/>
        <w:keepNext/>
        <w:keepLines/>
        <w:framePr w:w="9912" w:h="298" w:wrap="none" w:hAnchor="page" w:x="673" w:y="347"/>
        <w:pBdr>
          <w:top w:val="single" w:sz="0" w:space="0" w:color="000000"/>
          <w:left w:val="single" w:sz="0" w:space="0" w:color="000000"/>
          <w:bottom w:val="single" w:sz="0" w:space="0" w:color="000000"/>
          <w:right w:val="single" w:sz="0" w:space="0" w:color="000000"/>
        </w:pBdr>
        <w:shd w:val="clear" w:color="auto" w:fill="000000"/>
        <w:tabs>
          <w:tab w:val="left" w:pos="2827"/>
          <w:tab w:val="left" w:pos="5664"/>
          <w:tab w:val="left" w:pos="8496"/>
        </w:tabs>
      </w:pPr>
      <w:bookmarkStart w:id="560" w:name="bookmark1991"/>
      <w:bookmarkStart w:id="561" w:name="bookmark1992"/>
      <w:bookmarkStart w:id="562" w:name="bookmark1993"/>
      <w:r>
        <w:rPr>
          <w:color w:val="FFFFFF"/>
        </w:rPr>
        <w:t>Infección</w:t>
      </w:r>
      <w:r>
        <w:rPr>
          <w:color w:val="FFFFFF"/>
        </w:rPr>
        <w:tab/>
        <w:t>Fármaco</w:t>
      </w:r>
      <w:r>
        <w:rPr>
          <w:color w:val="FFFFFF"/>
        </w:rPr>
        <w:tab/>
        <w:t>Dosis para adultos</w:t>
      </w:r>
      <w:r>
        <w:rPr>
          <w:color w:val="FFFFFF"/>
        </w:rPr>
        <w:tab/>
        <w:t>Dosis para niños</w:t>
      </w:r>
      <w:bookmarkEnd w:id="560"/>
      <w:bookmarkEnd w:id="561"/>
      <w:bookmarkEnd w:id="562"/>
    </w:p>
    <w:tbl>
      <w:tblPr>
        <w:tblOverlap w:val="never"/>
        <w:tblW w:w="0" w:type="auto"/>
        <w:tblLayout w:type="fixed"/>
        <w:tblCellMar>
          <w:left w:w="10" w:type="dxa"/>
          <w:right w:w="10" w:type="dxa"/>
        </w:tblCellMar>
        <w:tblLook w:val="04A0" w:firstRow="1" w:lastRow="0" w:firstColumn="1" w:lastColumn="0" w:noHBand="0" w:noVBand="1"/>
      </w:tblPr>
      <w:tblGrid>
        <w:gridCol w:w="2875"/>
        <w:gridCol w:w="2126"/>
        <w:gridCol w:w="3442"/>
        <w:gridCol w:w="2789"/>
      </w:tblGrid>
      <w:tr w:rsidR="00924992" w14:paraId="030F0E29" w14:textId="77777777">
        <w:tblPrEx>
          <w:tblCellMar>
            <w:top w:w="0" w:type="dxa"/>
            <w:bottom w:w="0" w:type="dxa"/>
          </w:tblCellMar>
        </w:tblPrEx>
        <w:trPr>
          <w:trHeight w:hRule="exact" w:val="446"/>
        </w:trPr>
        <w:tc>
          <w:tcPr>
            <w:tcW w:w="2875" w:type="dxa"/>
            <w:shd w:val="clear" w:color="auto" w:fill="FFFFFF"/>
          </w:tcPr>
          <w:p w14:paraId="365CB760" w14:textId="77777777" w:rsidR="00924992" w:rsidRDefault="00924992">
            <w:pPr>
              <w:pStyle w:val="Other0"/>
              <w:framePr w:w="11232" w:h="3874" w:hSpace="139" w:vSpace="1090" w:wrap="none" w:hAnchor="page" w:x="615" w:y="1758"/>
              <w:spacing w:line="240" w:lineRule="auto"/>
              <w:ind w:firstLine="0"/>
              <w:rPr>
                <w:sz w:val="16"/>
                <w:szCs w:val="16"/>
              </w:rPr>
            </w:pPr>
            <w:r>
              <w:rPr>
                <w:rFonts w:ascii="Times New Roman" w:eastAsia="Times New Roman" w:hAnsi="Times New Roman" w:cs="Times New Roman"/>
                <w:color w:val="000000"/>
                <w:sz w:val="16"/>
                <w:szCs w:val="16"/>
              </w:rPr>
              <w:t>Fármaco más indicado:</w:t>
            </w:r>
            <w:r>
              <w:rPr>
                <w:rFonts w:ascii="Times New Roman" w:eastAsia="Times New Roman" w:hAnsi="Times New Roman" w:cs="Times New Roman"/>
                <w:color w:val="000000"/>
                <w:sz w:val="16"/>
                <w:szCs w:val="16"/>
                <w:vertAlign w:val="superscript"/>
              </w:rPr>
              <w:t>24</w:t>
            </w:r>
          </w:p>
        </w:tc>
        <w:tc>
          <w:tcPr>
            <w:tcW w:w="2126" w:type="dxa"/>
            <w:shd w:val="clear" w:color="auto" w:fill="FFFFFF"/>
          </w:tcPr>
          <w:p w14:paraId="1DF3A18A" w14:textId="77777777" w:rsidR="00924992" w:rsidRDefault="00924992">
            <w:pPr>
              <w:pStyle w:val="Other0"/>
              <w:framePr w:w="11232" w:h="3874" w:hSpace="139" w:vSpace="1090" w:wrap="none" w:hAnchor="page" w:x="615" w:y="1758"/>
              <w:spacing w:line="240" w:lineRule="auto"/>
              <w:ind w:firstLine="0"/>
              <w:rPr>
                <w:sz w:val="16"/>
                <w:szCs w:val="16"/>
              </w:rPr>
            </w:pPr>
            <w:r>
              <w:rPr>
                <w:rFonts w:ascii="Times New Roman" w:eastAsia="Times New Roman" w:hAnsi="Times New Roman" w:cs="Times New Roman"/>
                <w:color w:val="000000"/>
                <w:sz w:val="16"/>
                <w:szCs w:val="16"/>
              </w:rPr>
              <w:t>Pamoato de pirantel</w:t>
            </w:r>
          </w:p>
        </w:tc>
        <w:tc>
          <w:tcPr>
            <w:tcW w:w="3442" w:type="dxa"/>
            <w:shd w:val="clear" w:color="auto" w:fill="FFFFFF"/>
            <w:vAlign w:val="bottom"/>
          </w:tcPr>
          <w:p w14:paraId="2688DF6F" w14:textId="77777777" w:rsidR="00924992" w:rsidRDefault="00924992">
            <w:pPr>
              <w:pStyle w:val="Other0"/>
              <w:framePr w:w="11232" w:h="3874" w:hSpace="139" w:vSpace="1090" w:wrap="none" w:hAnchor="page" w:x="615" w:y="1758"/>
              <w:spacing w:line="283" w:lineRule="auto"/>
              <w:ind w:left="780" w:hanging="80"/>
              <w:rPr>
                <w:sz w:val="16"/>
                <w:szCs w:val="16"/>
              </w:rPr>
            </w:pPr>
            <w:r>
              <w:rPr>
                <w:rFonts w:ascii="Times New Roman" w:eastAsia="Times New Roman" w:hAnsi="Times New Roman" w:cs="Times New Roman"/>
                <w:color w:val="000000"/>
                <w:sz w:val="16"/>
                <w:szCs w:val="16"/>
              </w:rPr>
              <w:t>11 mg/kg de producto base una vez (máx. 1 g); repetir en 2 semanas</w:t>
            </w:r>
          </w:p>
        </w:tc>
        <w:tc>
          <w:tcPr>
            <w:tcW w:w="2789" w:type="dxa"/>
            <w:shd w:val="clear" w:color="auto" w:fill="FFFFFF"/>
            <w:vAlign w:val="bottom"/>
          </w:tcPr>
          <w:p w14:paraId="6BF076EB" w14:textId="77777777" w:rsidR="00924992" w:rsidRDefault="00924992">
            <w:pPr>
              <w:pStyle w:val="Other0"/>
              <w:framePr w:w="11232" w:h="3874" w:hSpace="139" w:vSpace="1090" w:wrap="none" w:hAnchor="page" w:x="615" w:y="1758"/>
              <w:spacing w:line="283" w:lineRule="auto"/>
              <w:ind w:firstLine="0"/>
              <w:jc w:val="center"/>
              <w:rPr>
                <w:sz w:val="16"/>
                <w:szCs w:val="16"/>
              </w:rPr>
            </w:pPr>
            <w:r>
              <w:rPr>
                <w:rFonts w:ascii="Times New Roman" w:eastAsia="Times New Roman" w:hAnsi="Times New Roman" w:cs="Times New Roman"/>
                <w:color w:val="000000"/>
                <w:sz w:val="16"/>
                <w:szCs w:val="16"/>
              </w:rPr>
              <w:t>11 mg/kg de producto base una vez (máx. 1 g); repetir en 2 semanas</w:t>
            </w:r>
          </w:p>
        </w:tc>
      </w:tr>
      <w:tr w:rsidR="00924992" w14:paraId="704068AE" w14:textId="77777777">
        <w:tblPrEx>
          <w:tblCellMar>
            <w:top w:w="0" w:type="dxa"/>
            <w:bottom w:w="0" w:type="dxa"/>
          </w:tblCellMar>
        </w:tblPrEx>
        <w:trPr>
          <w:trHeight w:hRule="exact" w:val="211"/>
        </w:trPr>
        <w:tc>
          <w:tcPr>
            <w:tcW w:w="2875" w:type="dxa"/>
            <w:shd w:val="clear" w:color="auto" w:fill="FFFFFF"/>
          </w:tcPr>
          <w:p w14:paraId="739EE6E0" w14:textId="77777777" w:rsidR="00924992" w:rsidRDefault="00924992">
            <w:pPr>
              <w:pStyle w:val="Other0"/>
              <w:framePr w:w="11232" w:h="3874" w:hSpace="139" w:vSpace="1090" w:wrap="none" w:hAnchor="page" w:x="615" w:y="1758"/>
              <w:spacing w:line="240" w:lineRule="auto"/>
              <w:ind w:firstLine="0"/>
              <w:rPr>
                <w:sz w:val="16"/>
                <w:szCs w:val="16"/>
              </w:rPr>
            </w:pPr>
            <w:r>
              <w:rPr>
                <w:rFonts w:ascii="Times New Roman" w:eastAsia="Times New Roman" w:hAnsi="Times New Roman" w:cs="Times New Roman"/>
                <w:b/>
                <w:bCs/>
                <w:color w:val="000000"/>
                <w:sz w:val="16"/>
                <w:szCs w:val="16"/>
              </w:rPr>
              <w:t>O</w:t>
            </w:r>
          </w:p>
        </w:tc>
        <w:tc>
          <w:tcPr>
            <w:tcW w:w="2126" w:type="dxa"/>
            <w:shd w:val="clear" w:color="auto" w:fill="FFFFFF"/>
          </w:tcPr>
          <w:p w14:paraId="320C111F" w14:textId="77777777" w:rsidR="00924992" w:rsidRDefault="00924992">
            <w:pPr>
              <w:pStyle w:val="Other0"/>
              <w:framePr w:w="11232" w:h="3874" w:hSpace="139" w:vSpace="1090" w:wrap="none" w:hAnchor="page" w:x="615" w:y="1758"/>
              <w:spacing w:line="240" w:lineRule="auto"/>
              <w:ind w:firstLine="0"/>
              <w:rPr>
                <w:sz w:val="16"/>
                <w:szCs w:val="16"/>
              </w:rPr>
            </w:pPr>
            <w:r>
              <w:rPr>
                <w:rFonts w:ascii="Times New Roman" w:eastAsia="Times New Roman" w:hAnsi="Times New Roman" w:cs="Times New Roman"/>
                <w:color w:val="000000"/>
                <w:sz w:val="16"/>
                <w:szCs w:val="16"/>
              </w:rPr>
              <w:t>Mebendazol</w:t>
            </w:r>
          </w:p>
        </w:tc>
        <w:tc>
          <w:tcPr>
            <w:tcW w:w="3442" w:type="dxa"/>
            <w:shd w:val="clear" w:color="auto" w:fill="FFFFFF"/>
          </w:tcPr>
          <w:p w14:paraId="13F9927A" w14:textId="77777777" w:rsidR="00924992" w:rsidRDefault="00924992">
            <w:pPr>
              <w:pStyle w:val="Other0"/>
              <w:framePr w:w="11232" w:h="3874" w:hSpace="139" w:vSpace="1090" w:wrap="none" w:hAnchor="page" w:x="615" w:y="1758"/>
              <w:spacing w:line="240" w:lineRule="auto"/>
              <w:ind w:firstLine="700"/>
              <w:rPr>
                <w:sz w:val="16"/>
                <w:szCs w:val="16"/>
              </w:rPr>
            </w:pPr>
            <w:r>
              <w:rPr>
                <w:rFonts w:ascii="Times New Roman" w:eastAsia="Times New Roman" w:hAnsi="Times New Roman" w:cs="Times New Roman"/>
                <w:color w:val="000000"/>
                <w:sz w:val="16"/>
                <w:szCs w:val="16"/>
              </w:rPr>
              <w:t>100 mg una vez; repetir en 2 semanas</w:t>
            </w:r>
          </w:p>
        </w:tc>
        <w:tc>
          <w:tcPr>
            <w:tcW w:w="2789" w:type="dxa"/>
            <w:shd w:val="clear" w:color="auto" w:fill="FFFFFF"/>
          </w:tcPr>
          <w:p w14:paraId="68751F58" w14:textId="77777777" w:rsidR="00924992" w:rsidRDefault="00924992">
            <w:pPr>
              <w:pStyle w:val="Other0"/>
              <w:framePr w:w="11232" w:h="3874" w:hSpace="139" w:vSpace="1090" w:wrap="none" w:hAnchor="page" w:x="615" w:y="1758"/>
              <w:spacing w:line="240" w:lineRule="auto"/>
              <w:ind w:firstLine="0"/>
              <w:rPr>
                <w:sz w:val="16"/>
                <w:szCs w:val="16"/>
              </w:rPr>
            </w:pPr>
            <w:r>
              <w:rPr>
                <w:rFonts w:ascii="Times New Roman" w:eastAsia="Times New Roman" w:hAnsi="Times New Roman" w:cs="Times New Roman"/>
                <w:color w:val="000000"/>
                <w:sz w:val="16"/>
                <w:szCs w:val="16"/>
              </w:rPr>
              <w:t>100 mg una vez; repetir en 2 semanas</w:t>
            </w:r>
          </w:p>
        </w:tc>
      </w:tr>
      <w:tr w:rsidR="00924992" w14:paraId="6E755822" w14:textId="77777777">
        <w:tblPrEx>
          <w:tblCellMar>
            <w:top w:w="0" w:type="dxa"/>
            <w:bottom w:w="0" w:type="dxa"/>
          </w:tblCellMar>
        </w:tblPrEx>
        <w:trPr>
          <w:trHeight w:hRule="exact" w:val="211"/>
        </w:trPr>
        <w:tc>
          <w:tcPr>
            <w:tcW w:w="2875" w:type="dxa"/>
            <w:shd w:val="clear" w:color="auto" w:fill="FFFFFF"/>
            <w:vAlign w:val="bottom"/>
          </w:tcPr>
          <w:p w14:paraId="71FCC2C2" w14:textId="77777777" w:rsidR="00924992" w:rsidRDefault="00924992">
            <w:pPr>
              <w:pStyle w:val="Other0"/>
              <w:framePr w:w="11232" w:h="3874" w:hSpace="139" w:vSpace="1090" w:wrap="none" w:hAnchor="page" w:x="615" w:y="1758"/>
              <w:spacing w:line="240" w:lineRule="auto"/>
              <w:ind w:firstLine="0"/>
              <w:rPr>
                <w:sz w:val="16"/>
                <w:szCs w:val="16"/>
              </w:rPr>
            </w:pPr>
            <w:r>
              <w:rPr>
                <w:rFonts w:ascii="Times New Roman" w:eastAsia="Times New Roman" w:hAnsi="Times New Roman" w:cs="Times New Roman"/>
                <w:b/>
                <w:bCs/>
                <w:color w:val="000000"/>
                <w:sz w:val="16"/>
                <w:szCs w:val="16"/>
              </w:rPr>
              <w:t>O</w:t>
            </w:r>
          </w:p>
        </w:tc>
        <w:tc>
          <w:tcPr>
            <w:tcW w:w="2126" w:type="dxa"/>
            <w:shd w:val="clear" w:color="auto" w:fill="FFFFFF"/>
            <w:vAlign w:val="bottom"/>
          </w:tcPr>
          <w:p w14:paraId="08C88DE2" w14:textId="77777777" w:rsidR="00924992" w:rsidRDefault="00924992">
            <w:pPr>
              <w:pStyle w:val="Other0"/>
              <w:framePr w:w="11232" w:h="3874" w:hSpace="139" w:vSpace="1090" w:wrap="none" w:hAnchor="page" w:x="615" w:y="1758"/>
              <w:spacing w:line="240" w:lineRule="auto"/>
              <w:ind w:firstLine="0"/>
              <w:rPr>
                <w:sz w:val="16"/>
                <w:szCs w:val="16"/>
              </w:rPr>
            </w:pPr>
            <w:r>
              <w:rPr>
                <w:rFonts w:ascii="Times New Roman" w:eastAsia="Times New Roman" w:hAnsi="Times New Roman" w:cs="Times New Roman"/>
                <w:color w:val="000000"/>
                <w:sz w:val="16"/>
                <w:szCs w:val="16"/>
              </w:rPr>
              <w:t>Albendazol</w:t>
            </w:r>
            <w:r>
              <w:rPr>
                <w:rFonts w:ascii="Times New Roman" w:eastAsia="Times New Roman" w:hAnsi="Times New Roman" w:cs="Times New Roman"/>
                <w:color w:val="000000"/>
                <w:sz w:val="16"/>
                <w:szCs w:val="16"/>
                <w:vertAlign w:val="superscript"/>
              </w:rPr>
              <w:t>3</w:t>
            </w:r>
          </w:p>
        </w:tc>
        <w:tc>
          <w:tcPr>
            <w:tcW w:w="3442" w:type="dxa"/>
            <w:shd w:val="clear" w:color="auto" w:fill="FFFFFF"/>
            <w:vAlign w:val="bottom"/>
          </w:tcPr>
          <w:p w14:paraId="10F7BEE4" w14:textId="77777777" w:rsidR="00924992" w:rsidRDefault="00924992">
            <w:pPr>
              <w:pStyle w:val="Other0"/>
              <w:framePr w:w="11232" w:h="3874" w:hSpace="139" w:vSpace="1090" w:wrap="none" w:hAnchor="page" w:x="615" w:y="1758"/>
              <w:spacing w:line="240" w:lineRule="auto"/>
              <w:ind w:firstLine="700"/>
              <w:rPr>
                <w:sz w:val="16"/>
                <w:szCs w:val="16"/>
              </w:rPr>
            </w:pPr>
            <w:r>
              <w:rPr>
                <w:rFonts w:ascii="Times New Roman" w:eastAsia="Times New Roman" w:hAnsi="Times New Roman" w:cs="Times New Roman"/>
                <w:color w:val="000000"/>
                <w:sz w:val="16"/>
                <w:szCs w:val="16"/>
              </w:rPr>
              <w:t>400 mg una vez; repetir en 2 semanas</w:t>
            </w:r>
          </w:p>
        </w:tc>
        <w:tc>
          <w:tcPr>
            <w:tcW w:w="2789" w:type="dxa"/>
            <w:shd w:val="clear" w:color="auto" w:fill="FFFFFF"/>
            <w:vAlign w:val="bottom"/>
          </w:tcPr>
          <w:p w14:paraId="0B62F59E" w14:textId="77777777" w:rsidR="00924992" w:rsidRDefault="00924992">
            <w:pPr>
              <w:pStyle w:val="Other0"/>
              <w:framePr w:w="11232" w:h="3874" w:hSpace="139" w:vSpace="1090" w:wrap="none" w:hAnchor="page" w:x="615" w:y="1758"/>
              <w:spacing w:line="240" w:lineRule="auto"/>
              <w:ind w:firstLine="0"/>
              <w:rPr>
                <w:sz w:val="16"/>
                <w:szCs w:val="16"/>
              </w:rPr>
            </w:pPr>
            <w:r>
              <w:rPr>
                <w:rFonts w:ascii="Times New Roman" w:eastAsia="Times New Roman" w:hAnsi="Times New Roman" w:cs="Times New Roman"/>
                <w:color w:val="000000"/>
                <w:sz w:val="16"/>
                <w:szCs w:val="16"/>
              </w:rPr>
              <w:t>400 mg una vez; repetir en 2 semanas</w:t>
            </w:r>
          </w:p>
        </w:tc>
      </w:tr>
      <w:tr w:rsidR="00924992" w14:paraId="763A178A" w14:textId="77777777">
        <w:tblPrEx>
          <w:tblCellMar>
            <w:top w:w="0" w:type="dxa"/>
            <w:bottom w:w="0" w:type="dxa"/>
          </w:tblCellMar>
        </w:tblPrEx>
        <w:trPr>
          <w:trHeight w:hRule="exact" w:val="202"/>
        </w:trPr>
        <w:tc>
          <w:tcPr>
            <w:tcW w:w="2875" w:type="dxa"/>
            <w:shd w:val="clear" w:color="auto" w:fill="FFFFFF"/>
            <w:vAlign w:val="bottom"/>
          </w:tcPr>
          <w:p w14:paraId="26C2F0DC" w14:textId="77777777" w:rsidR="00924992" w:rsidRDefault="00924992">
            <w:pPr>
              <w:pStyle w:val="Other0"/>
              <w:framePr w:w="11232" w:h="3874" w:hSpace="139" w:vSpace="1090" w:wrap="none" w:hAnchor="page" w:x="615" w:y="1758"/>
              <w:spacing w:line="240" w:lineRule="auto"/>
              <w:ind w:firstLine="0"/>
              <w:rPr>
                <w:sz w:val="16"/>
                <w:szCs w:val="16"/>
              </w:rPr>
            </w:pPr>
            <w:r>
              <w:rPr>
                <w:rFonts w:ascii="Times New Roman" w:eastAsia="Times New Roman" w:hAnsi="Times New Roman" w:cs="Times New Roman"/>
                <w:b/>
                <w:bCs/>
                <w:color w:val="000000"/>
                <w:sz w:val="16"/>
                <w:szCs w:val="16"/>
              </w:rPr>
              <w:t xml:space="preserve">ESCABIASIS </w:t>
            </w:r>
            <w:r>
              <w:rPr>
                <w:rFonts w:ascii="Times New Roman" w:eastAsia="Times New Roman" w:hAnsi="Times New Roman" w:cs="Times New Roman"/>
                <w:i/>
                <w:iCs/>
                <w:color w:val="000000"/>
                <w:sz w:val="16"/>
                <w:szCs w:val="16"/>
              </w:rPr>
              <w:t>(Sarcoptes scabiei)</w:t>
            </w:r>
            <w:r>
              <w:rPr>
                <w:rFonts w:ascii="Times New Roman" w:eastAsia="Times New Roman" w:hAnsi="Times New Roman" w:cs="Times New Roman"/>
                <w:color w:val="000000"/>
                <w:sz w:val="16"/>
                <w:szCs w:val="16"/>
              </w:rPr>
              <w:t xml:space="preserve"> o sarna</w:t>
            </w:r>
          </w:p>
        </w:tc>
        <w:tc>
          <w:tcPr>
            <w:tcW w:w="2126" w:type="dxa"/>
            <w:shd w:val="clear" w:color="auto" w:fill="FFFFFF"/>
          </w:tcPr>
          <w:p w14:paraId="1F9EFFF7" w14:textId="77777777" w:rsidR="00924992" w:rsidRDefault="00924992">
            <w:pPr>
              <w:framePr w:w="11232" w:h="3874" w:hSpace="139" w:vSpace="1090" w:wrap="none" w:hAnchor="page" w:x="615" w:y="1758"/>
              <w:rPr>
                <w:sz w:val="10"/>
                <w:szCs w:val="10"/>
              </w:rPr>
            </w:pPr>
          </w:p>
        </w:tc>
        <w:tc>
          <w:tcPr>
            <w:tcW w:w="3442" w:type="dxa"/>
            <w:shd w:val="clear" w:color="auto" w:fill="FFFFFF"/>
          </w:tcPr>
          <w:p w14:paraId="31CE6A9E" w14:textId="77777777" w:rsidR="00924992" w:rsidRDefault="00924992">
            <w:pPr>
              <w:framePr w:w="11232" w:h="3874" w:hSpace="139" w:vSpace="1090" w:wrap="none" w:hAnchor="page" w:x="615" w:y="1758"/>
              <w:rPr>
                <w:sz w:val="10"/>
                <w:szCs w:val="10"/>
              </w:rPr>
            </w:pPr>
          </w:p>
        </w:tc>
        <w:tc>
          <w:tcPr>
            <w:tcW w:w="2789" w:type="dxa"/>
            <w:shd w:val="clear" w:color="auto" w:fill="FFFFFF"/>
          </w:tcPr>
          <w:p w14:paraId="56DCF89A" w14:textId="77777777" w:rsidR="00924992" w:rsidRDefault="00924992">
            <w:pPr>
              <w:framePr w:w="11232" w:h="3874" w:hSpace="139" w:vSpace="1090" w:wrap="none" w:hAnchor="page" w:x="615" w:y="1758"/>
              <w:rPr>
                <w:sz w:val="10"/>
                <w:szCs w:val="10"/>
              </w:rPr>
            </w:pPr>
          </w:p>
        </w:tc>
      </w:tr>
      <w:tr w:rsidR="00924992" w14:paraId="6EE92D1D" w14:textId="77777777">
        <w:tblPrEx>
          <w:tblCellMar>
            <w:top w:w="0" w:type="dxa"/>
            <w:bottom w:w="0" w:type="dxa"/>
          </w:tblCellMar>
        </w:tblPrEx>
        <w:trPr>
          <w:trHeight w:hRule="exact" w:val="202"/>
        </w:trPr>
        <w:tc>
          <w:tcPr>
            <w:tcW w:w="2875" w:type="dxa"/>
            <w:shd w:val="clear" w:color="auto" w:fill="FFFFFF"/>
          </w:tcPr>
          <w:p w14:paraId="2DA6030B" w14:textId="77777777" w:rsidR="00924992" w:rsidRDefault="00924992">
            <w:pPr>
              <w:pStyle w:val="Other0"/>
              <w:framePr w:w="11232" w:h="3874" w:hSpace="139" w:vSpace="1090" w:wrap="none" w:hAnchor="page" w:x="615" w:y="1758"/>
              <w:spacing w:line="240" w:lineRule="auto"/>
              <w:ind w:firstLine="0"/>
              <w:rPr>
                <w:sz w:val="16"/>
                <w:szCs w:val="16"/>
              </w:rPr>
            </w:pPr>
            <w:r>
              <w:rPr>
                <w:rFonts w:ascii="Times New Roman" w:eastAsia="Times New Roman" w:hAnsi="Times New Roman" w:cs="Times New Roman"/>
                <w:color w:val="000000"/>
                <w:sz w:val="16"/>
                <w:szCs w:val="16"/>
              </w:rPr>
              <w:t>Fármaco más indicado:</w:t>
            </w:r>
          </w:p>
        </w:tc>
        <w:tc>
          <w:tcPr>
            <w:tcW w:w="2126" w:type="dxa"/>
            <w:shd w:val="clear" w:color="auto" w:fill="FFFFFF"/>
          </w:tcPr>
          <w:p w14:paraId="54CF84DA" w14:textId="77777777" w:rsidR="00924992" w:rsidRDefault="00924992">
            <w:pPr>
              <w:pStyle w:val="Other0"/>
              <w:framePr w:w="11232" w:h="3874" w:hSpace="139" w:vSpace="1090" w:wrap="none" w:hAnchor="page" w:x="615" w:y="1758"/>
              <w:spacing w:line="240" w:lineRule="auto"/>
              <w:ind w:firstLine="0"/>
              <w:rPr>
                <w:sz w:val="16"/>
                <w:szCs w:val="16"/>
              </w:rPr>
            </w:pPr>
            <w:r>
              <w:rPr>
                <w:rFonts w:ascii="Times New Roman" w:eastAsia="Times New Roman" w:hAnsi="Times New Roman" w:cs="Times New Roman"/>
                <w:color w:val="000000"/>
                <w:sz w:val="16"/>
                <w:szCs w:val="16"/>
              </w:rPr>
              <w:t>Permetrina al 5%</w:t>
            </w:r>
          </w:p>
        </w:tc>
        <w:tc>
          <w:tcPr>
            <w:tcW w:w="3442" w:type="dxa"/>
            <w:shd w:val="clear" w:color="auto" w:fill="FFFFFF"/>
          </w:tcPr>
          <w:p w14:paraId="38288074" w14:textId="77777777" w:rsidR="00924992" w:rsidRDefault="00924992">
            <w:pPr>
              <w:pStyle w:val="Other0"/>
              <w:framePr w:w="11232" w:h="3874" w:hSpace="139" w:vSpace="1090" w:wrap="none" w:hAnchor="page" w:x="615" w:y="1758"/>
              <w:spacing w:line="240" w:lineRule="auto"/>
              <w:ind w:firstLine="700"/>
              <w:rPr>
                <w:sz w:val="16"/>
                <w:szCs w:val="16"/>
              </w:rPr>
            </w:pPr>
            <w:r>
              <w:rPr>
                <w:rFonts w:ascii="Times New Roman" w:eastAsia="Times New Roman" w:hAnsi="Times New Roman" w:cs="Times New Roman"/>
                <w:color w:val="000000"/>
                <w:sz w:val="16"/>
                <w:szCs w:val="16"/>
              </w:rPr>
              <w:t>Aplicación tópica</w:t>
            </w:r>
          </w:p>
        </w:tc>
        <w:tc>
          <w:tcPr>
            <w:tcW w:w="2789" w:type="dxa"/>
            <w:shd w:val="clear" w:color="auto" w:fill="FFFFFF"/>
          </w:tcPr>
          <w:p w14:paraId="04D4B324" w14:textId="77777777" w:rsidR="00924992" w:rsidRDefault="00924992">
            <w:pPr>
              <w:pStyle w:val="Other0"/>
              <w:framePr w:w="11232" w:h="3874" w:hSpace="139" w:vSpace="1090" w:wrap="none" w:hAnchor="page" w:x="615" w:y="1758"/>
              <w:spacing w:line="240" w:lineRule="auto"/>
              <w:ind w:firstLine="0"/>
              <w:rPr>
                <w:sz w:val="16"/>
                <w:szCs w:val="16"/>
              </w:rPr>
            </w:pPr>
            <w:r>
              <w:rPr>
                <w:rFonts w:ascii="Times New Roman" w:eastAsia="Times New Roman" w:hAnsi="Times New Roman" w:cs="Times New Roman"/>
                <w:color w:val="000000"/>
                <w:sz w:val="16"/>
                <w:szCs w:val="16"/>
              </w:rPr>
              <w:t>Aplicación tópica</w:t>
            </w:r>
          </w:p>
        </w:tc>
      </w:tr>
      <w:tr w:rsidR="00924992" w14:paraId="75EA8A07" w14:textId="77777777">
        <w:tblPrEx>
          <w:tblCellMar>
            <w:top w:w="0" w:type="dxa"/>
            <w:bottom w:w="0" w:type="dxa"/>
          </w:tblCellMar>
        </w:tblPrEx>
        <w:trPr>
          <w:trHeight w:hRule="exact" w:val="187"/>
        </w:trPr>
        <w:tc>
          <w:tcPr>
            <w:tcW w:w="2875" w:type="dxa"/>
            <w:shd w:val="clear" w:color="auto" w:fill="FFFFFF"/>
            <w:vAlign w:val="bottom"/>
          </w:tcPr>
          <w:p w14:paraId="0274A4DB" w14:textId="77777777" w:rsidR="00924992" w:rsidRDefault="00924992">
            <w:pPr>
              <w:pStyle w:val="Other0"/>
              <w:framePr w:w="11232" w:h="3874" w:hSpace="139" w:vSpace="1090" w:wrap="none" w:hAnchor="page" w:x="615" w:y="1758"/>
              <w:spacing w:line="240" w:lineRule="auto"/>
              <w:ind w:firstLine="0"/>
              <w:rPr>
                <w:sz w:val="16"/>
                <w:szCs w:val="16"/>
              </w:rPr>
            </w:pPr>
            <w:r>
              <w:rPr>
                <w:rFonts w:ascii="Times New Roman" w:eastAsia="Times New Roman" w:hAnsi="Times New Roman" w:cs="Times New Roman"/>
                <w:color w:val="000000"/>
                <w:sz w:val="16"/>
                <w:szCs w:val="16"/>
              </w:rPr>
              <w:t>Fármacos alternativos:</w:t>
            </w:r>
          </w:p>
        </w:tc>
        <w:tc>
          <w:tcPr>
            <w:tcW w:w="2126" w:type="dxa"/>
            <w:shd w:val="clear" w:color="auto" w:fill="FFFFFF"/>
            <w:vAlign w:val="bottom"/>
          </w:tcPr>
          <w:p w14:paraId="4FE507A6" w14:textId="77777777" w:rsidR="00924992" w:rsidRDefault="00924992">
            <w:pPr>
              <w:pStyle w:val="Other0"/>
              <w:framePr w:w="11232" w:h="3874" w:hSpace="139" w:vSpace="1090" w:wrap="none" w:hAnchor="page" w:x="615" w:y="1758"/>
              <w:spacing w:line="240" w:lineRule="auto"/>
              <w:ind w:firstLine="0"/>
              <w:rPr>
                <w:sz w:val="16"/>
                <w:szCs w:val="16"/>
              </w:rPr>
            </w:pPr>
            <w:r>
              <w:rPr>
                <w:rFonts w:ascii="Times New Roman" w:eastAsia="Times New Roman" w:hAnsi="Times New Roman" w:cs="Times New Roman"/>
                <w:color w:val="000000"/>
                <w:sz w:val="16"/>
                <w:szCs w:val="16"/>
              </w:rPr>
              <w:t>Ivermectina</w:t>
            </w:r>
            <w:r>
              <w:rPr>
                <w:rFonts w:ascii="Times New Roman" w:eastAsia="Times New Roman" w:hAnsi="Times New Roman" w:cs="Times New Roman"/>
                <w:color w:val="000000"/>
                <w:sz w:val="16"/>
                <w:szCs w:val="16"/>
                <w:vertAlign w:val="superscript"/>
              </w:rPr>
              <w:t>3,25</w:t>
            </w:r>
          </w:p>
        </w:tc>
        <w:tc>
          <w:tcPr>
            <w:tcW w:w="3442" w:type="dxa"/>
            <w:shd w:val="clear" w:color="auto" w:fill="FFFFFF"/>
            <w:vAlign w:val="bottom"/>
          </w:tcPr>
          <w:p w14:paraId="20635DF3" w14:textId="77777777" w:rsidR="00924992" w:rsidRDefault="00924992">
            <w:pPr>
              <w:pStyle w:val="Other0"/>
              <w:framePr w:w="11232" w:h="3874" w:hSpace="139" w:vSpace="1090" w:wrap="none" w:hAnchor="page" w:x="615" w:y="1758"/>
              <w:spacing w:line="240" w:lineRule="auto"/>
              <w:ind w:firstLine="700"/>
              <w:rPr>
                <w:sz w:val="16"/>
                <w:szCs w:val="16"/>
              </w:rPr>
            </w:pPr>
            <w:r>
              <w:rPr>
                <w:rFonts w:ascii="Times New Roman" w:eastAsia="Times New Roman" w:hAnsi="Times New Roman" w:cs="Times New Roman"/>
                <w:color w:val="000000"/>
                <w:sz w:val="16"/>
                <w:szCs w:val="16"/>
              </w:rPr>
              <w:t>200 pg/kg PO una vez</w:t>
            </w:r>
          </w:p>
        </w:tc>
        <w:tc>
          <w:tcPr>
            <w:tcW w:w="2789" w:type="dxa"/>
            <w:shd w:val="clear" w:color="auto" w:fill="FFFFFF"/>
            <w:vAlign w:val="bottom"/>
          </w:tcPr>
          <w:p w14:paraId="1F17FA50" w14:textId="77777777" w:rsidR="00924992" w:rsidRDefault="00924992">
            <w:pPr>
              <w:pStyle w:val="Other0"/>
              <w:framePr w:w="11232" w:h="3874" w:hSpace="139" w:vSpace="1090" w:wrap="none" w:hAnchor="page" w:x="615" w:y="1758"/>
              <w:spacing w:line="240" w:lineRule="auto"/>
              <w:ind w:firstLine="0"/>
              <w:rPr>
                <w:sz w:val="16"/>
                <w:szCs w:val="16"/>
              </w:rPr>
            </w:pPr>
            <w:r>
              <w:rPr>
                <w:rFonts w:ascii="Times New Roman" w:eastAsia="Times New Roman" w:hAnsi="Times New Roman" w:cs="Times New Roman"/>
                <w:color w:val="000000"/>
                <w:sz w:val="16"/>
                <w:szCs w:val="16"/>
              </w:rPr>
              <w:t>200 pg/kg PO una vez</w:t>
            </w:r>
          </w:p>
        </w:tc>
      </w:tr>
      <w:tr w:rsidR="00924992" w14:paraId="51AAE9D0" w14:textId="77777777">
        <w:tblPrEx>
          <w:tblCellMar>
            <w:top w:w="0" w:type="dxa"/>
            <w:bottom w:w="0" w:type="dxa"/>
          </w:tblCellMar>
        </w:tblPrEx>
        <w:trPr>
          <w:trHeight w:hRule="exact" w:val="211"/>
        </w:trPr>
        <w:tc>
          <w:tcPr>
            <w:tcW w:w="2875" w:type="dxa"/>
            <w:shd w:val="clear" w:color="auto" w:fill="FFFFFF"/>
          </w:tcPr>
          <w:p w14:paraId="41BE2CDF" w14:textId="77777777" w:rsidR="00924992" w:rsidRDefault="00924992">
            <w:pPr>
              <w:framePr w:w="11232" w:h="3874" w:hSpace="139" w:vSpace="1090" w:wrap="none" w:hAnchor="page" w:x="615" w:y="1758"/>
              <w:rPr>
                <w:sz w:val="10"/>
                <w:szCs w:val="10"/>
              </w:rPr>
            </w:pPr>
          </w:p>
        </w:tc>
        <w:tc>
          <w:tcPr>
            <w:tcW w:w="2126" w:type="dxa"/>
            <w:shd w:val="clear" w:color="auto" w:fill="FFFFFF"/>
            <w:vAlign w:val="bottom"/>
          </w:tcPr>
          <w:p w14:paraId="37CC4A71" w14:textId="77777777" w:rsidR="00924992" w:rsidRDefault="00924992">
            <w:pPr>
              <w:pStyle w:val="Other0"/>
              <w:framePr w:w="11232" w:h="3874" w:hSpace="139" w:vSpace="1090" w:wrap="none" w:hAnchor="page" w:x="615" w:y="1758"/>
              <w:spacing w:line="240" w:lineRule="auto"/>
              <w:ind w:firstLine="0"/>
              <w:rPr>
                <w:sz w:val="16"/>
                <w:szCs w:val="16"/>
              </w:rPr>
            </w:pPr>
            <w:r>
              <w:rPr>
                <w:rFonts w:ascii="Times New Roman" w:eastAsia="Times New Roman" w:hAnsi="Times New Roman" w:cs="Times New Roman"/>
                <w:color w:val="000000"/>
                <w:sz w:val="16"/>
                <w:szCs w:val="16"/>
              </w:rPr>
              <w:t>Crotamitón al 10%</w:t>
            </w:r>
          </w:p>
        </w:tc>
        <w:tc>
          <w:tcPr>
            <w:tcW w:w="3442" w:type="dxa"/>
            <w:shd w:val="clear" w:color="auto" w:fill="FFFFFF"/>
            <w:vAlign w:val="bottom"/>
          </w:tcPr>
          <w:p w14:paraId="3350AC51" w14:textId="77777777" w:rsidR="00924992" w:rsidRDefault="00924992">
            <w:pPr>
              <w:pStyle w:val="Other0"/>
              <w:framePr w:w="11232" w:h="3874" w:hSpace="139" w:vSpace="1090" w:wrap="none" w:hAnchor="page" w:x="615" w:y="1758"/>
              <w:spacing w:line="240" w:lineRule="auto"/>
              <w:ind w:firstLine="700"/>
              <w:rPr>
                <w:sz w:val="16"/>
                <w:szCs w:val="16"/>
              </w:rPr>
            </w:pPr>
            <w:r>
              <w:rPr>
                <w:rFonts w:ascii="Times New Roman" w:eastAsia="Times New Roman" w:hAnsi="Times New Roman" w:cs="Times New Roman"/>
                <w:color w:val="000000"/>
                <w:sz w:val="16"/>
                <w:szCs w:val="16"/>
              </w:rPr>
              <w:t>Aplicación tópica una vez</w:t>
            </w:r>
          </w:p>
        </w:tc>
        <w:tc>
          <w:tcPr>
            <w:tcW w:w="2789" w:type="dxa"/>
            <w:shd w:val="clear" w:color="auto" w:fill="FFFFFF"/>
            <w:vAlign w:val="bottom"/>
          </w:tcPr>
          <w:p w14:paraId="38EF5C0B" w14:textId="77777777" w:rsidR="00924992" w:rsidRDefault="00924992">
            <w:pPr>
              <w:pStyle w:val="Other0"/>
              <w:framePr w:w="11232" w:h="3874" w:hSpace="139" w:vSpace="1090" w:wrap="none" w:hAnchor="page" w:x="615" w:y="1758"/>
              <w:spacing w:line="240" w:lineRule="auto"/>
              <w:ind w:firstLine="0"/>
              <w:rPr>
                <w:sz w:val="16"/>
                <w:szCs w:val="16"/>
              </w:rPr>
            </w:pPr>
            <w:r>
              <w:rPr>
                <w:rFonts w:ascii="Times New Roman" w:eastAsia="Times New Roman" w:hAnsi="Times New Roman" w:cs="Times New Roman"/>
                <w:color w:val="000000"/>
                <w:sz w:val="16"/>
                <w:szCs w:val="16"/>
              </w:rPr>
              <w:t>Aplicación tópica una vez</w:t>
            </w:r>
          </w:p>
        </w:tc>
      </w:tr>
      <w:tr w:rsidR="00924992" w14:paraId="7C7463A5" w14:textId="77777777">
        <w:tblPrEx>
          <w:tblCellMar>
            <w:top w:w="0" w:type="dxa"/>
            <w:bottom w:w="0" w:type="dxa"/>
          </w:tblCellMar>
        </w:tblPrEx>
        <w:trPr>
          <w:trHeight w:hRule="exact" w:val="178"/>
        </w:trPr>
        <w:tc>
          <w:tcPr>
            <w:tcW w:w="2875" w:type="dxa"/>
            <w:shd w:val="clear" w:color="auto" w:fill="FFFFFF"/>
          </w:tcPr>
          <w:p w14:paraId="24D8A5E8" w14:textId="77777777" w:rsidR="00924992" w:rsidRDefault="00924992">
            <w:pPr>
              <w:framePr w:w="11232" w:h="3874" w:hSpace="139" w:vSpace="1090" w:wrap="none" w:hAnchor="page" w:x="615" w:y="1758"/>
              <w:rPr>
                <w:sz w:val="10"/>
                <w:szCs w:val="10"/>
              </w:rPr>
            </w:pPr>
          </w:p>
        </w:tc>
        <w:tc>
          <w:tcPr>
            <w:tcW w:w="2126" w:type="dxa"/>
            <w:shd w:val="clear" w:color="auto" w:fill="FFFFFF"/>
          </w:tcPr>
          <w:p w14:paraId="26618ADA" w14:textId="77777777" w:rsidR="00924992" w:rsidRDefault="00924992">
            <w:pPr>
              <w:framePr w:w="11232" w:h="3874" w:hSpace="139" w:vSpace="1090" w:wrap="none" w:hAnchor="page" w:x="615" w:y="1758"/>
              <w:rPr>
                <w:sz w:val="10"/>
                <w:szCs w:val="10"/>
              </w:rPr>
            </w:pPr>
          </w:p>
        </w:tc>
        <w:tc>
          <w:tcPr>
            <w:tcW w:w="3442" w:type="dxa"/>
            <w:shd w:val="clear" w:color="auto" w:fill="FFFFFF"/>
          </w:tcPr>
          <w:p w14:paraId="0718914F" w14:textId="77777777" w:rsidR="00924992" w:rsidRDefault="00924992">
            <w:pPr>
              <w:pStyle w:val="Other0"/>
              <w:framePr w:w="11232" w:h="3874" w:hSpace="139" w:vSpace="1090" w:wrap="none" w:hAnchor="page" w:x="615" w:y="1758"/>
              <w:spacing w:line="240" w:lineRule="auto"/>
              <w:ind w:firstLine="700"/>
              <w:rPr>
                <w:sz w:val="16"/>
                <w:szCs w:val="16"/>
              </w:rPr>
            </w:pPr>
            <w:r>
              <w:rPr>
                <w:rFonts w:ascii="Times New Roman" w:eastAsia="Times New Roman" w:hAnsi="Times New Roman" w:cs="Times New Roman"/>
                <w:color w:val="000000"/>
                <w:sz w:val="16"/>
                <w:szCs w:val="16"/>
              </w:rPr>
              <w:t xml:space="preserve">diariamente </w:t>
            </w:r>
            <w:r>
              <w:rPr>
                <w:color w:val="000000"/>
              </w:rPr>
              <w:t xml:space="preserve">x </w:t>
            </w:r>
            <w:r>
              <w:rPr>
                <w:rFonts w:ascii="Times New Roman" w:eastAsia="Times New Roman" w:hAnsi="Times New Roman" w:cs="Times New Roman"/>
                <w:color w:val="000000"/>
                <w:sz w:val="16"/>
                <w:szCs w:val="16"/>
              </w:rPr>
              <w:t>2</w:t>
            </w:r>
          </w:p>
        </w:tc>
        <w:tc>
          <w:tcPr>
            <w:tcW w:w="2789" w:type="dxa"/>
            <w:shd w:val="clear" w:color="auto" w:fill="FFFFFF"/>
          </w:tcPr>
          <w:p w14:paraId="548B3B72" w14:textId="77777777" w:rsidR="00924992" w:rsidRDefault="00924992">
            <w:pPr>
              <w:pStyle w:val="Other0"/>
              <w:framePr w:w="11232" w:h="3874" w:hSpace="139" w:vSpace="1090" w:wrap="none" w:hAnchor="page" w:x="615" w:y="1758"/>
              <w:spacing w:line="240" w:lineRule="auto"/>
              <w:ind w:firstLine="0"/>
              <w:rPr>
                <w:sz w:val="16"/>
                <w:szCs w:val="16"/>
              </w:rPr>
            </w:pPr>
            <w:r>
              <w:rPr>
                <w:rFonts w:ascii="Times New Roman" w:eastAsia="Times New Roman" w:hAnsi="Times New Roman" w:cs="Times New Roman"/>
                <w:color w:val="000000"/>
                <w:sz w:val="16"/>
                <w:szCs w:val="16"/>
              </w:rPr>
              <w:t xml:space="preserve">diariamente </w:t>
            </w:r>
            <w:r>
              <w:rPr>
                <w:color w:val="000000"/>
              </w:rPr>
              <w:t xml:space="preserve">x </w:t>
            </w:r>
            <w:r>
              <w:rPr>
                <w:rFonts w:ascii="Times New Roman" w:eastAsia="Times New Roman" w:hAnsi="Times New Roman" w:cs="Times New Roman"/>
                <w:color w:val="000000"/>
                <w:sz w:val="16"/>
                <w:szCs w:val="16"/>
              </w:rPr>
              <w:t>2</w:t>
            </w:r>
          </w:p>
        </w:tc>
      </w:tr>
      <w:tr w:rsidR="00924992" w14:paraId="7ED864D9" w14:textId="77777777">
        <w:tblPrEx>
          <w:tblCellMar>
            <w:top w:w="0" w:type="dxa"/>
            <w:bottom w:w="0" w:type="dxa"/>
          </w:tblCellMar>
        </w:tblPrEx>
        <w:trPr>
          <w:trHeight w:hRule="exact" w:val="202"/>
        </w:trPr>
        <w:tc>
          <w:tcPr>
            <w:tcW w:w="2875" w:type="dxa"/>
            <w:shd w:val="clear" w:color="auto" w:fill="FFFFFF"/>
            <w:vAlign w:val="bottom"/>
          </w:tcPr>
          <w:p w14:paraId="181FABFA" w14:textId="77777777" w:rsidR="00924992" w:rsidRDefault="00924992">
            <w:pPr>
              <w:pStyle w:val="Other0"/>
              <w:framePr w:w="11232" w:h="3874" w:hSpace="139" w:vSpace="1090" w:wrap="none" w:hAnchor="page" w:x="615" w:y="1758"/>
              <w:spacing w:line="240" w:lineRule="auto"/>
              <w:ind w:firstLine="0"/>
              <w:rPr>
                <w:sz w:val="16"/>
                <w:szCs w:val="16"/>
              </w:rPr>
            </w:pPr>
            <w:r>
              <w:rPr>
                <w:rFonts w:ascii="Times New Roman" w:eastAsia="Times New Roman" w:hAnsi="Times New Roman" w:cs="Times New Roman"/>
                <w:b/>
                <w:bCs/>
                <w:color w:val="000000"/>
                <w:sz w:val="16"/>
                <w:szCs w:val="16"/>
              </w:rPr>
              <w:t xml:space="preserve">ESQUISTOSOMIASIS </w:t>
            </w:r>
            <w:r>
              <w:rPr>
                <w:rFonts w:ascii="Times New Roman" w:eastAsia="Times New Roman" w:hAnsi="Times New Roman" w:cs="Times New Roman"/>
                <w:i/>
                <w:iCs/>
                <w:color w:val="000000"/>
                <w:sz w:val="16"/>
                <w:szCs w:val="16"/>
              </w:rPr>
              <w:t>(Bilharziasis)</w:t>
            </w:r>
          </w:p>
        </w:tc>
        <w:tc>
          <w:tcPr>
            <w:tcW w:w="2126" w:type="dxa"/>
            <w:shd w:val="clear" w:color="auto" w:fill="FFFFFF"/>
          </w:tcPr>
          <w:p w14:paraId="12155331" w14:textId="77777777" w:rsidR="00924992" w:rsidRDefault="00924992">
            <w:pPr>
              <w:framePr w:w="11232" w:h="3874" w:hSpace="139" w:vSpace="1090" w:wrap="none" w:hAnchor="page" w:x="615" w:y="1758"/>
              <w:rPr>
                <w:sz w:val="10"/>
                <w:szCs w:val="10"/>
              </w:rPr>
            </w:pPr>
          </w:p>
        </w:tc>
        <w:tc>
          <w:tcPr>
            <w:tcW w:w="3442" w:type="dxa"/>
            <w:shd w:val="clear" w:color="auto" w:fill="FFFFFF"/>
          </w:tcPr>
          <w:p w14:paraId="57252936" w14:textId="77777777" w:rsidR="00924992" w:rsidRDefault="00924992">
            <w:pPr>
              <w:framePr w:w="11232" w:h="3874" w:hSpace="139" w:vSpace="1090" w:wrap="none" w:hAnchor="page" w:x="615" w:y="1758"/>
              <w:rPr>
                <w:sz w:val="10"/>
                <w:szCs w:val="10"/>
              </w:rPr>
            </w:pPr>
          </w:p>
        </w:tc>
        <w:tc>
          <w:tcPr>
            <w:tcW w:w="2789" w:type="dxa"/>
            <w:shd w:val="clear" w:color="auto" w:fill="FFFFFF"/>
          </w:tcPr>
          <w:p w14:paraId="47AACF1D" w14:textId="77777777" w:rsidR="00924992" w:rsidRDefault="00924992">
            <w:pPr>
              <w:framePr w:w="11232" w:h="3874" w:hSpace="139" w:vSpace="1090" w:wrap="none" w:hAnchor="page" w:x="615" w:y="1758"/>
              <w:rPr>
                <w:sz w:val="10"/>
                <w:szCs w:val="10"/>
              </w:rPr>
            </w:pPr>
          </w:p>
        </w:tc>
      </w:tr>
      <w:tr w:rsidR="00924992" w14:paraId="05E4CABE" w14:textId="77777777">
        <w:tblPrEx>
          <w:tblCellMar>
            <w:top w:w="0" w:type="dxa"/>
            <w:bottom w:w="0" w:type="dxa"/>
          </w:tblCellMar>
        </w:tblPrEx>
        <w:trPr>
          <w:trHeight w:hRule="exact" w:val="187"/>
        </w:trPr>
        <w:tc>
          <w:tcPr>
            <w:tcW w:w="2875" w:type="dxa"/>
            <w:shd w:val="clear" w:color="auto" w:fill="FFFFFF"/>
          </w:tcPr>
          <w:p w14:paraId="4EA1C674" w14:textId="77777777" w:rsidR="00924992" w:rsidRDefault="00924992">
            <w:pPr>
              <w:pStyle w:val="Other0"/>
              <w:framePr w:w="11232" w:h="3874" w:hSpace="139" w:vSpace="1090" w:wrap="none" w:hAnchor="page" w:x="615" w:y="1758"/>
              <w:spacing w:line="240" w:lineRule="auto"/>
              <w:ind w:firstLine="0"/>
              <w:rPr>
                <w:sz w:val="17"/>
                <w:szCs w:val="17"/>
              </w:rPr>
            </w:pPr>
            <w:r>
              <w:rPr>
                <w:rFonts w:ascii="Times New Roman" w:eastAsia="Times New Roman" w:hAnsi="Times New Roman" w:cs="Times New Roman"/>
                <w:b/>
                <w:bCs/>
                <w:i/>
                <w:iCs/>
                <w:color w:val="000000"/>
                <w:sz w:val="17"/>
                <w:szCs w:val="17"/>
              </w:rPr>
              <w:t>S. haematobium</w:t>
            </w:r>
          </w:p>
        </w:tc>
        <w:tc>
          <w:tcPr>
            <w:tcW w:w="2126" w:type="dxa"/>
            <w:shd w:val="clear" w:color="auto" w:fill="FFFFFF"/>
          </w:tcPr>
          <w:p w14:paraId="2F472017" w14:textId="77777777" w:rsidR="00924992" w:rsidRDefault="00924992">
            <w:pPr>
              <w:framePr w:w="11232" w:h="3874" w:hSpace="139" w:vSpace="1090" w:wrap="none" w:hAnchor="page" w:x="615" w:y="1758"/>
              <w:rPr>
                <w:sz w:val="10"/>
                <w:szCs w:val="10"/>
              </w:rPr>
            </w:pPr>
          </w:p>
        </w:tc>
        <w:tc>
          <w:tcPr>
            <w:tcW w:w="3442" w:type="dxa"/>
            <w:shd w:val="clear" w:color="auto" w:fill="FFFFFF"/>
          </w:tcPr>
          <w:p w14:paraId="56A6E4ED" w14:textId="77777777" w:rsidR="00924992" w:rsidRDefault="00924992">
            <w:pPr>
              <w:framePr w:w="11232" w:h="3874" w:hSpace="139" w:vSpace="1090" w:wrap="none" w:hAnchor="page" w:x="615" w:y="1758"/>
              <w:rPr>
                <w:sz w:val="10"/>
                <w:szCs w:val="10"/>
              </w:rPr>
            </w:pPr>
          </w:p>
        </w:tc>
        <w:tc>
          <w:tcPr>
            <w:tcW w:w="2789" w:type="dxa"/>
            <w:shd w:val="clear" w:color="auto" w:fill="FFFFFF"/>
          </w:tcPr>
          <w:p w14:paraId="5BA93861" w14:textId="77777777" w:rsidR="00924992" w:rsidRDefault="00924992">
            <w:pPr>
              <w:framePr w:w="11232" w:h="3874" w:hSpace="139" w:vSpace="1090" w:wrap="none" w:hAnchor="page" w:x="615" w:y="1758"/>
              <w:rPr>
                <w:sz w:val="10"/>
                <w:szCs w:val="10"/>
              </w:rPr>
            </w:pPr>
          </w:p>
        </w:tc>
      </w:tr>
      <w:tr w:rsidR="00924992" w14:paraId="229475F8" w14:textId="77777777">
        <w:tblPrEx>
          <w:tblCellMar>
            <w:top w:w="0" w:type="dxa"/>
            <w:bottom w:w="0" w:type="dxa"/>
          </w:tblCellMar>
        </w:tblPrEx>
        <w:trPr>
          <w:trHeight w:hRule="exact" w:val="216"/>
        </w:trPr>
        <w:tc>
          <w:tcPr>
            <w:tcW w:w="2875" w:type="dxa"/>
            <w:shd w:val="clear" w:color="auto" w:fill="FFFFFF"/>
            <w:vAlign w:val="bottom"/>
          </w:tcPr>
          <w:p w14:paraId="354284E9" w14:textId="77777777" w:rsidR="00924992" w:rsidRDefault="00924992">
            <w:pPr>
              <w:pStyle w:val="Other0"/>
              <w:framePr w:w="11232" w:h="3874" w:hSpace="139" w:vSpace="1090" w:wrap="none" w:hAnchor="page" w:x="615" w:y="1758"/>
              <w:spacing w:line="240" w:lineRule="auto"/>
              <w:ind w:firstLine="0"/>
              <w:rPr>
                <w:sz w:val="16"/>
                <w:szCs w:val="16"/>
              </w:rPr>
            </w:pPr>
            <w:r>
              <w:rPr>
                <w:rFonts w:ascii="Times New Roman" w:eastAsia="Times New Roman" w:hAnsi="Times New Roman" w:cs="Times New Roman"/>
                <w:color w:val="000000"/>
                <w:sz w:val="16"/>
                <w:szCs w:val="16"/>
              </w:rPr>
              <w:t>Fármaco más indicado:</w:t>
            </w:r>
          </w:p>
        </w:tc>
        <w:tc>
          <w:tcPr>
            <w:tcW w:w="2126" w:type="dxa"/>
            <w:shd w:val="clear" w:color="auto" w:fill="FFFFFF"/>
            <w:vAlign w:val="bottom"/>
          </w:tcPr>
          <w:p w14:paraId="53F1A6BA" w14:textId="77777777" w:rsidR="00924992" w:rsidRDefault="00924992">
            <w:pPr>
              <w:pStyle w:val="Other0"/>
              <w:framePr w:w="11232" w:h="3874" w:hSpace="139" w:vSpace="1090" w:wrap="none" w:hAnchor="page" w:x="615" w:y="1758"/>
              <w:spacing w:line="240" w:lineRule="auto"/>
              <w:ind w:firstLine="0"/>
              <w:rPr>
                <w:sz w:val="16"/>
                <w:szCs w:val="16"/>
              </w:rPr>
            </w:pPr>
            <w:r>
              <w:rPr>
                <w:rFonts w:ascii="Times New Roman" w:eastAsia="Times New Roman" w:hAnsi="Times New Roman" w:cs="Times New Roman"/>
                <w:color w:val="000000"/>
                <w:sz w:val="16"/>
                <w:szCs w:val="16"/>
              </w:rPr>
              <w:t>Praziquantel</w:t>
            </w:r>
          </w:p>
        </w:tc>
        <w:tc>
          <w:tcPr>
            <w:tcW w:w="3442" w:type="dxa"/>
            <w:shd w:val="clear" w:color="auto" w:fill="FFFFFF"/>
            <w:vAlign w:val="bottom"/>
          </w:tcPr>
          <w:p w14:paraId="7895FD5E" w14:textId="77777777" w:rsidR="00924992" w:rsidRDefault="00924992">
            <w:pPr>
              <w:pStyle w:val="Other0"/>
              <w:framePr w:w="11232" w:h="3874" w:hSpace="139" w:vSpace="1090" w:wrap="none" w:hAnchor="page" w:x="615" w:y="1758"/>
              <w:spacing w:line="240" w:lineRule="auto"/>
              <w:ind w:firstLine="700"/>
              <w:rPr>
                <w:sz w:val="16"/>
                <w:szCs w:val="16"/>
              </w:rPr>
            </w:pPr>
            <w:r>
              <w:rPr>
                <w:rFonts w:ascii="Times New Roman" w:eastAsia="Times New Roman" w:hAnsi="Times New Roman" w:cs="Times New Roman"/>
                <w:color w:val="000000"/>
                <w:sz w:val="16"/>
                <w:szCs w:val="16"/>
              </w:rPr>
              <w:t xml:space="preserve">40 mg/kg/día en 2 dosis </w:t>
            </w:r>
            <w:r>
              <w:rPr>
                <w:color w:val="000000"/>
              </w:rPr>
              <w:t xml:space="preserve">x </w:t>
            </w:r>
            <w:r>
              <w:rPr>
                <w:rFonts w:ascii="Times New Roman" w:eastAsia="Times New Roman" w:hAnsi="Times New Roman" w:cs="Times New Roman"/>
                <w:color w:val="000000"/>
                <w:sz w:val="16"/>
                <w:szCs w:val="16"/>
              </w:rPr>
              <w:t>1 día</w:t>
            </w:r>
          </w:p>
        </w:tc>
        <w:tc>
          <w:tcPr>
            <w:tcW w:w="2789" w:type="dxa"/>
            <w:shd w:val="clear" w:color="auto" w:fill="FFFFFF"/>
            <w:vAlign w:val="bottom"/>
          </w:tcPr>
          <w:p w14:paraId="2D25EA26" w14:textId="77777777" w:rsidR="00924992" w:rsidRDefault="00924992">
            <w:pPr>
              <w:pStyle w:val="Other0"/>
              <w:framePr w:w="11232" w:h="3874" w:hSpace="139" w:vSpace="1090" w:wrap="none" w:hAnchor="page" w:x="615" w:y="1758"/>
              <w:spacing w:line="240" w:lineRule="auto"/>
              <w:ind w:firstLine="0"/>
              <w:rPr>
                <w:sz w:val="16"/>
                <w:szCs w:val="16"/>
              </w:rPr>
            </w:pPr>
            <w:r>
              <w:rPr>
                <w:rFonts w:ascii="Times New Roman" w:eastAsia="Times New Roman" w:hAnsi="Times New Roman" w:cs="Times New Roman"/>
                <w:color w:val="000000"/>
                <w:sz w:val="16"/>
                <w:szCs w:val="16"/>
              </w:rPr>
              <w:t xml:space="preserve">40 mg/kg/día en 2 dosis </w:t>
            </w:r>
            <w:r>
              <w:rPr>
                <w:color w:val="000000"/>
              </w:rPr>
              <w:t xml:space="preserve">x </w:t>
            </w:r>
            <w:r>
              <w:rPr>
                <w:rFonts w:ascii="Times New Roman" w:eastAsia="Times New Roman" w:hAnsi="Times New Roman" w:cs="Times New Roman"/>
                <w:color w:val="000000"/>
                <w:sz w:val="16"/>
                <w:szCs w:val="16"/>
              </w:rPr>
              <w:t>1 día</w:t>
            </w:r>
          </w:p>
        </w:tc>
      </w:tr>
      <w:tr w:rsidR="00924992" w14:paraId="45D3AC66" w14:textId="77777777">
        <w:tblPrEx>
          <w:tblCellMar>
            <w:top w:w="0" w:type="dxa"/>
            <w:bottom w:w="0" w:type="dxa"/>
          </w:tblCellMar>
        </w:tblPrEx>
        <w:trPr>
          <w:trHeight w:hRule="exact" w:val="202"/>
        </w:trPr>
        <w:tc>
          <w:tcPr>
            <w:tcW w:w="2875" w:type="dxa"/>
            <w:shd w:val="clear" w:color="auto" w:fill="FFFFFF"/>
            <w:vAlign w:val="bottom"/>
          </w:tcPr>
          <w:p w14:paraId="347E6D7B" w14:textId="77777777" w:rsidR="00924992" w:rsidRDefault="00924992">
            <w:pPr>
              <w:pStyle w:val="Other0"/>
              <w:framePr w:w="11232" w:h="3874" w:hSpace="139" w:vSpace="1090" w:wrap="none" w:hAnchor="page" w:x="615" w:y="1758"/>
              <w:spacing w:line="240" w:lineRule="auto"/>
              <w:ind w:firstLine="0"/>
              <w:rPr>
                <w:sz w:val="17"/>
                <w:szCs w:val="17"/>
              </w:rPr>
            </w:pPr>
            <w:r>
              <w:rPr>
                <w:rFonts w:ascii="Times New Roman" w:eastAsia="Times New Roman" w:hAnsi="Times New Roman" w:cs="Times New Roman"/>
                <w:b/>
                <w:bCs/>
                <w:i/>
                <w:iCs/>
                <w:color w:val="000000"/>
                <w:sz w:val="17"/>
                <w:szCs w:val="17"/>
              </w:rPr>
              <w:t>S. japonicum</w:t>
            </w:r>
          </w:p>
        </w:tc>
        <w:tc>
          <w:tcPr>
            <w:tcW w:w="2126" w:type="dxa"/>
            <w:shd w:val="clear" w:color="auto" w:fill="FFFFFF"/>
          </w:tcPr>
          <w:p w14:paraId="713ADEF9" w14:textId="77777777" w:rsidR="00924992" w:rsidRDefault="00924992">
            <w:pPr>
              <w:framePr w:w="11232" w:h="3874" w:hSpace="139" w:vSpace="1090" w:wrap="none" w:hAnchor="page" w:x="615" w:y="1758"/>
              <w:rPr>
                <w:sz w:val="10"/>
                <w:szCs w:val="10"/>
              </w:rPr>
            </w:pPr>
          </w:p>
        </w:tc>
        <w:tc>
          <w:tcPr>
            <w:tcW w:w="3442" w:type="dxa"/>
            <w:shd w:val="clear" w:color="auto" w:fill="FFFFFF"/>
          </w:tcPr>
          <w:p w14:paraId="7A88E7BF" w14:textId="77777777" w:rsidR="00924992" w:rsidRDefault="00924992">
            <w:pPr>
              <w:framePr w:w="11232" w:h="3874" w:hSpace="139" w:vSpace="1090" w:wrap="none" w:hAnchor="page" w:x="615" w:y="1758"/>
              <w:rPr>
                <w:sz w:val="10"/>
                <w:szCs w:val="10"/>
              </w:rPr>
            </w:pPr>
          </w:p>
        </w:tc>
        <w:tc>
          <w:tcPr>
            <w:tcW w:w="2789" w:type="dxa"/>
            <w:shd w:val="clear" w:color="auto" w:fill="FFFFFF"/>
          </w:tcPr>
          <w:p w14:paraId="712F7CCD" w14:textId="77777777" w:rsidR="00924992" w:rsidRDefault="00924992">
            <w:pPr>
              <w:framePr w:w="11232" w:h="3874" w:hSpace="139" w:vSpace="1090" w:wrap="none" w:hAnchor="page" w:x="615" w:y="1758"/>
              <w:rPr>
                <w:sz w:val="10"/>
                <w:szCs w:val="10"/>
              </w:rPr>
            </w:pPr>
          </w:p>
        </w:tc>
      </w:tr>
      <w:tr w:rsidR="00924992" w14:paraId="06A23EDA" w14:textId="77777777">
        <w:tblPrEx>
          <w:tblCellMar>
            <w:top w:w="0" w:type="dxa"/>
            <w:bottom w:w="0" w:type="dxa"/>
          </w:tblCellMar>
        </w:tblPrEx>
        <w:trPr>
          <w:trHeight w:hRule="exact" w:val="197"/>
        </w:trPr>
        <w:tc>
          <w:tcPr>
            <w:tcW w:w="2875" w:type="dxa"/>
            <w:shd w:val="clear" w:color="auto" w:fill="FFFFFF"/>
          </w:tcPr>
          <w:p w14:paraId="64899C7E" w14:textId="77777777" w:rsidR="00924992" w:rsidRDefault="00924992">
            <w:pPr>
              <w:pStyle w:val="Other0"/>
              <w:framePr w:w="11232" w:h="3874" w:hSpace="139" w:vSpace="1090" w:wrap="none" w:hAnchor="page" w:x="615" w:y="1758"/>
              <w:spacing w:line="240" w:lineRule="auto"/>
              <w:ind w:firstLine="0"/>
              <w:rPr>
                <w:sz w:val="16"/>
                <w:szCs w:val="16"/>
              </w:rPr>
            </w:pPr>
            <w:r>
              <w:rPr>
                <w:rFonts w:ascii="Times New Roman" w:eastAsia="Times New Roman" w:hAnsi="Times New Roman" w:cs="Times New Roman"/>
                <w:color w:val="000000"/>
                <w:sz w:val="16"/>
                <w:szCs w:val="16"/>
              </w:rPr>
              <w:t>Fármaco más indicado:</w:t>
            </w:r>
          </w:p>
        </w:tc>
        <w:tc>
          <w:tcPr>
            <w:tcW w:w="2126" w:type="dxa"/>
            <w:shd w:val="clear" w:color="auto" w:fill="FFFFFF"/>
          </w:tcPr>
          <w:p w14:paraId="0E458D01" w14:textId="77777777" w:rsidR="00924992" w:rsidRDefault="00924992">
            <w:pPr>
              <w:pStyle w:val="Other0"/>
              <w:framePr w:w="11232" w:h="3874" w:hSpace="139" w:vSpace="1090" w:wrap="none" w:hAnchor="page" w:x="615" w:y="1758"/>
              <w:spacing w:line="240" w:lineRule="auto"/>
              <w:ind w:firstLine="0"/>
              <w:rPr>
                <w:sz w:val="16"/>
                <w:szCs w:val="16"/>
              </w:rPr>
            </w:pPr>
            <w:r>
              <w:rPr>
                <w:rFonts w:ascii="Times New Roman" w:eastAsia="Times New Roman" w:hAnsi="Times New Roman" w:cs="Times New Roman"/>
                <w:color w:val="000000"/>
                <w:sz w:val="16"/>
                <w:szCs w:val="16"/>
              </w:rPr>
              <w:t>Praziquantel</w:t>
            </w:r>
          </w:p>
        </w:tc>
        <w:tc>
          <w:tcPr>
            <w:tcW w:w="3442" w:type="dxa"/>
            <w:shd w:val="clear" w:color="auto" w:fill="FFFFFF"/>
          </w:tcPr>
          <w:p w14:paraId="1D3F232D" w14:textId="77777777" w:rsidR="00924992" w:rsidRDefault="00924992">
            <w:pPr>
              <w:pStyle w:val="Other0"/>
              <w:framePr w:w="11232" w:h="3874" w:hSpace="139" w:vSpace="1090" w:wrap="none" w:hAnchor="page" w:x="615" w:y="1758"/>
              <w:spacing w:line="240" w:lineRule="auto"/>
              <w:ind w:firstLine="700"/>
              <w:rPr>
                <w:sz w:val="16"/>
                <w:szCs w:val="16"/>
              </w:rPr>
            </w:pPr>
            <w:r>
              <w:rPr>
                <w:rFonts w:ascii="Times New Roman" w:eastAsia="Times New Roman" w:hAnsi="Times New Roman" w:cs="Times New Roman"/>
                <w:color w:val="000000"/>
                <w:sz w:val="16"/>
                <w:szCs w:val="16"/>
              </w:rPr>
              <w:t xml:space="preserve">60 mg/kg/día en 3 dosis </w:t>
            </w:r>
            <w:r>
              <w:rPr>
                <w:color w:val="000000"/>
              </w:rPr>
              <w:t xml:space="preserve">X </w:t>
            </w:r>
            <w:r>
              <w:rPr>
                <w:rFonts w:ascii="Times New Roman" w:eastAsia="Times New Roman" w:hAnsi="Times New Roman" w:cs="Times New Roman"/>
                <w:color w:val="000000"/>
                <w:sz w:val="16"/>
                <w:szCs w:val="16"/>
              </w:rPr>
              <w:t>1 día</w:t>
            </w:r>
          </w:p>
        </w:tc>
        <w:tc>
          <w:tcPr>
            <w:tcW w:w="2789" w:type="dxa"/>
            <w:shd w:val="clear" w:color="auto" w:fill="FFFFFF"/>
          </w:tcPr>
          <w:p w14:paraId="1A353796" w14:textId="77777777" w:rsidR="00924992" w:rsidRDefault="00924992">
            <w:pPr>
              <w:pStyle w:val="Other0"/>
              <w:framePr w:w="11232" w:h="3874" w:hSpace="139" w:vSpace="1090" w:wrap="none" w:hAnchor="page" w:x="615" w:y="1758"/>
              <w:spacing w:line="240" w:lineRule="auto"/>
              <w:ind w:firstLine="0"/>
              <w:rPr>
                <w:sz w:val="16"/>
                <w:szCs w:val="16"/>
              </w:rPr>
            </w:pPr>
            <w:r>
              <w:rPr>
                <w:rFonts w:ascii="Times New Roman" w:eastAsia="Times New Roman" w:hAnsi="Times New Roman" w:cs="Times New Roman"/>
                <w:color w:val="000000"/>
                <w:sz w:val="16"/>
                <w:szCs w:val="16"/>
              </w:rPr>
              <w:t xml:space="preserve">60 mg/kg/día en 3 dosis </w:t>
            </w:r>
            <w:r>
              <w:rPr>
                <w:color w:val="000000"/>
              </w:rPr>
              <w:t xml:space="preserve">x </w:t>
            </w:r>
            <w:r>
              <w:rPr>
                <w:rFonts w:ascii="Times New Roman" w:eastAsia="Times New Roman" w:hAnsi="Times New Roman" w:cs="Times New Roman"/>
                <w:color w:val="000000"/>
                <w:sz w:val="16"/>
                <w:szCs w:val="16"/>
              </w:rPr>
              <w:t>1 día</w:t>
            </w:r>
          </w:p>
        </w:tc>
      </w:tr>
      <w:tr w:rsidR="00924992" w14:paraId="7CC65347" w14:textId="77777777">
        <w:tblPrEx>
          <w:tblCellMar>
            <w:top w:w="0" w:type="dxa"/>
            <w:bottom w:w="0" w:type="dxa"/>
          </w:tblCellMar>
        </w:tblPrEx>
        <w:trPr>
          <w:trHeight w:hRule="exact" w:val="182"/>
        </w:trPr>
        <w:tc>
          <w:tcPr>
            <w:tcW w:w="2875" w:type="dxa"/>
            <w:shd w:val="clear" w:color="auto" w:fill="FFFFFF"/>
          </w:tcPr>
          <w:p w14:paraId="1951DE01" w14:textId="77777777" w:rsidR="00924992" w:rsidRDefault="00924992">
            <w:pPr>
              <w:pStyle w:val="Other0"/>
              <w:framePr w:w="11232" w:h="3874" w:hSpace="139" w:vSpace="1090" w:wrap="none" w:hAnchor="page" w:x="615" w:y="1758"/>
              <w:spacing w:line="240" w:lineRule="auto"/>
              <w:ind w:firstLine="0"/>
              <w:rPr>
                <w:sz w:val="17"/>
                <w:szCs w:val="17"/>
              </w:rPr>
            </w:pPr>
            <w:r>
              <w:rPr>
                <w:rFonts w:ascii="Times New Roman" w:eastAsia="Times New Roman" w:hAnsi="Times New Roman" w:cs="Times New Roman"/>
                <w:b/>
                <w:bCs/>
                <w:i/>
                <w:iCs/>
                <w:color w:val="000000"/>
                <w:sz w:val="17"/>
                <w:szCs w:val="17"/>
              </w:rPr>
              <w:t>S. mansoni</w:t>
            </w:r>
          </w:p>
        </w:tc>
        <w:tc>
          <w:tcPr>
            <w:tcW w:w="2126" w:type="dxa"/>
            <w:shd w:val="clear" w:color="auto" w:fill="FFFFFF"/>
          </w:tcPr>
          <w:p w14:paraId="74BE97AA" w14:textId="77777777" w:rsidR="00924992" w:rsidRDefault="00924992">
            <w:pPr>
              <w:framePr w:w="11232" w:h="3874" w:hSpace="139" w:vSpace="1090" w:wrap="none" w:hAnchor="page" w:x="615" w:y="1758"/>
              <w:rPr>
                <w:sz w:val="10"/>
                <w:szCs w:val="10"/>
              </w:rPr>
            </w:pPr>
          </w:p>
        </w:tc>
        <w:tc>
          <w:tcPr>
            <w:tcW w:w="3442" w:type="dxa"/>
            <w:shd w:val="clear" w:color="auto" w:fill="FFFFFF"/>
          </w:tcPr>
          <w:p w14:paraId="4ECD43A7" w14:textId="77777777" w:rsidR="00924992" w:rsidRDefault="00924992">
            <w:pPr>
              <w:framePr w:w="11232" w:h="3874" w:hSpace="139" w:vSpace="1090" w:wrap="none" w:hAnchor="page" w:x="615" w:y="1758"/>
              <w:rPr>
                <w:sz w:val="10"/>
                <w:szCs w:val="10"/>
              </w:rPr>
            </w:pPr>
          </w:p>
        </w:tc>
        <w:tc>
          <w:tcPr>
            <w:tcW w:w="2789" w:type="dxa"/>
            <w:shd w:val="clear" w:color="auto" w:fill="FFFFFF"/>
          </w:tcPr>
          <w:p w14:paraId="33A930EA" w14:textId="77777777" w:rsidR="00924992" w:rsidRDefault="00924992">
            <w:pPr>
              <w:framePr w:w="11232" w:h="3874" w:hSpace="139" w:vSpace="1090" w:wrap="none" w:hAnchor="page" w:x="615" w:y="1758"/>
              <w:rPr>
                <w:sz w:val="10"/>
                <w:szCs w:val="10"/>
              </w:rPr>
            </w:pPr>
          </w:p>
        </w:tc>
      </w:tr>
      <w:tr w:rsidR="00924992" w14:paraId="572756A0" w14:textId="77777777">
        <w:tblPrEx>
          <w:tblCellMar>
            <w:top w:w="0" w:type="dxa"/>
            <w:bottom w:w="0" w:type="dxa"/>
          </w:tblCellMar>
        </w:tblPrEx>
        <w:trPr>
          <w:trHeight w:hRule="exact" w:val="216"/>
        </w:trPr>
        <w:tc>
          <w:tcPr>
            <w:tcW w:w="2875" w:type="dxa"/>
            <w:shd w:val="clear" w:color="auto" w:fill="FFFFFF"/>
            <w:vAlign w:val="bottom"/>
          </w:tcPr>
          <w:p w14:paraId="5F75B590" w14:textId="77777777" w:rsidR="00924992" w:rsidRDefault="00924992">
            <w:pPr>
              <w:pStyle w:val="Other0"/>
              <w:framePr w:w="11232" w:h="3874" w:hSpace="139" w:vSpace="1090" w:wrap="none" w:hAnchor="page" w:x="615" w:y="1758"/>
              <w:spacing w:line="240" w:lineRule="auto"/>
              <w:ind w:firstLine="0"/>
              <w:rPr>
                <w:sz w:val="16"/>
                <w:szCs w:val="16"/>
              </w:rPr>
            </w:pPr>
            <w:r>
              <w:rPr>
                <w:rFonts w:ascii="Times New Roman" w:eastAsia="Times New Roman" w:hAnsi="Times New Roman" w:cs="Times New Roman"/>
                <w:color w:val="000000"/>
                <w:sz w:val="16"/>
                <w:szCs w:val="16"/>
              </w:rPr>
              <w:t>Fármaco más indicado:</w:t>
            </w:r>
          </w:p>
        </w:tc>
        <w:tc>
          <w:tcPr>
            <w:tcW w:w="2126" w:type="dxa"/>
            <w:shd w:val="clear" w:color="auto" w:fill="FFFFFF"/>
            <w:vAlign w:val="bottom"/>
          </w:tcPr>
          <w:p w14:paraId="41C34F5F" w14:textId="77777777" w:rsidR="00924992" w:rsidRDefault="00924992">
            <w:pPr>
              <w:pStyle w:val="Other0"/>
              <w:framePr w:w="11232" w:h="3874" w:hSpace="139" w:vSpace="1090" w:wrap="none" w:hAnchor="page" w:x="615" w:y="1758"/>
              <w:spacing w:line="240" w:lineRule="auto"/>
              <w:ind w:firstLine="0"/>
              <w:rPr>
                <w:sz w:val="16"/>
                <w:szCs w:val="16"/>
              </w:rPr>
            </w:pPr>
            <w:r>
              <w:rPr>
                <w:rFonts w:ascii="Times New Roman" w:eastAsia="Times New Roman" w:hAnsi="Times New Roman" w:cs="Times New Roman"/>
                <w:color w:val="000000"/>
                <w:sz w:val="16"/>
                <w:szCs w:val="16"/>
              </w:rPr>
              <w:t>Praziquantel</w:t>
            </w:r>
          </w:p>
        </w:tc>
        <w:tc>
          <w:tcPr>
            <w:tcW w:w="3442" w:type="dxa"/>
            <w:shd w:val="clear" w:color="auto" w:fill="FFFFFF"/>
            <w:vAlign w:val="bottom"/>
          </w:tcPr>
          <w:p w14:paraId="7CC8C53A" w14:textId="77777777" w:rsidR="00924992" w:rsidRDefault="00924992">
            <w:pPr>
              <w:pStyle w:val="Other0"/>
              <w:framePr w:w="11232" w:h="3874" w:hSpace="139" w:vSpace="1090" w:wrap="none" w:hAnchor="page" w:x="615" w:y="1758"/>
              <w:spacing w:line="240" w:lineRule="auto"/>
              <w:ind w:firstLine="700"/>
              <w:rPr>
                <w:sz w:val="16"/>
                <w:szCs w:val="16"/>
              </w:rPr>
            </w:pPr>
            <w:r>
              <w:rPr>
                <w:rFonts w:ascii="Times New Roman" w:eastAsia="Times New Roman" w:hAnsi="Times New Roman" w:cs="Times New Roman"/>
                <w:color w:val="000000"/>
                <w:sz w:val="16"/>
                <w:szCs w:val="16"/>
              </w:rPr>
              <w:t xml:space="preserve">40 mg/kg/día en 2 dosis </w:t>
            </w:r>
            <w:r>
              <w:rPr>
                <w:color w:val="000000"/>
              </w:rPr>
              <w:t xml:space="preserve">x </w:t>
            </w:r>
            <w:r>
              <w:rPr>
                <w:rFonts w:ascii="Times New Roman" w:eastAsia="Times New Roman" w:hAnsi="Times New Roman" w:cs="Times New Roman"/>
                <w:color w:val="000000"/>
                <w:sz w:val="16"/>
                <w:szCs w:val="16"/>
              </w:rPr>
              <w:t>1 día</w:t>
            </w:r>
          </w:p>
        </w:tc>
        <w:tc>
          <w:tcPr>
            <w:tcW w:w="2789" w:type="dxa"/>
            <w:shd w:val="clear" w:color="auto" w:fill="FFFFFF"/>
            <w:vAlign w:val="bottom"/>
          </w:tcPr>
          <w:p w14:paraId="3D433A7B" w14:textId="77777777" w:rsidR="00924992" w:rsidRDefault="00924992">
            <w:pPr>
              <w:pStyle w:val="Other0"/>
              <w:framePr w:w="11232" w:h="3874" w:hSpace="139" w:vSpace="1090" w:wrap="none" w:hAnchor="page" w:x="615" w:y="1758"/>
              <w:spacing w:line="240" w:lineRule="auto"/>
              <w:ind w:firstLine="0"/>
              <w:rPr>
                <w:sz w:val="16"/>
                <w:szCs w:val="16"/>
              </w:rPr>
            </w:pPr>
            <w:r>
              <w:rPr>
                <w:rFonts w:ascii="Times New Roman" w:eastAsia="Times New Roman" w:hAnsi="Times New Roman" w:cs="Times New Roman"/>
                <w:color w:val="000000"/>
                <w:sz w:val="16"/>
                <w:szCs w:val="16"/>
              </w:rPr>
              <w:t xml:space="preserve">40 mg/kg/día en 2 dosis </w:t>
            </w:r>
            <w:r>
              <w:rPr>
                <w:color w:val="000000"/>
              </w:rPr>
              <w:t xml:space="preserve">x </w:t>
            </w:r>
            <w:r>
              <w:rPr>
                <w:rFonts w:ascii="Times New Roman" w:eastAsia="Times New Roman" w:hAnsi="Times New Roman" w:cs="Times New Roman"/>
                <w:color w:val="000000"/>
                <w:sz w:val="16"/>
                <w:szCs w:val="16"/>
              </w:rPr>
              <w:t>1 día</w:t>
            </w:r>
          </w:p>
        </w:tc>
      </w:tr>
      <w:tr w:rsidR="00924992" w14:paraId="4B9393ED" w14:textId="77777777">
        <w:tblPrEx>
          <w:tblCellMar>
            <w:top w:w="0" w:type="dxa"/>
            <w:bottom w:w="0" w:type="dxa"/>
          </w:tblCellMar>
        </w:tblPrEx>
        <w:trPr>
          <w:trHeight w:hRule="exact" w:val="202"/>
        </w:trPr>
        <w:tc>
          <w:tcPr>
            <w:tcW w:w="2875" w:type="dxa"/>
            <w:shd w:val="clear" w:color="auto" w:fill="FFFFFF"/>
            <w:vAlign w:val="bottom"/>
          </w:tcPr>
          <w:p w14:paraId="1B331F14" w14:textId="77777777" w:rsidR="00924992" w:rsidRDefault="00924992">
            <w:pPr>
              <w:pStyle w:val="Other0"/>
              <w:framePr w:w="11232" w:h="3874" w:hSpace="139" w:vSpace="1090" w:wrap="none" w:hAnchor="page" w:x="615" w:y="1758"/>
              <w:spacing w:line="240" w:lineRule="auto"/>
              <w:ind w:firstLine="0"/>
              <w:rPr>
                <w:sz w:val="16"/>
                <w:szCs w:val="16"/>
              </w:rPr>
            </w:pPr>
            <w:r>
              <w:rPr>
                <w:rFonts w:ascii="Times New Roman" w:eastAsia="Times New Roman" w:hAnsi="Times New Roman" w:cs="Times New Roman"/>
                <w:color w:val="000000"/>
                <w:sz w:val="16"/>
                <w:szCs w:val="16"/>
              </w:rPr>
              <w:t>Fármaco alternativo:</w:t>
            </w:r>
          </w:p>
        </w:tc>
        <w:tc>
          <w:tcPr>
            <w:tcW w:w="2126" w:type="dxa"/>
            <w:shd w:val="clear" w:color="auto" w:fill="FFFFFF"/>
            <w:vAlign w:val="bottom"/>
          </w:tcPr>
          <w:p w14:paraId="133C0BC6" w14:textId="77777777" w:rsidR="00924992" w:rsidRDefault="00924992">
            <w:pPr>
              <w:pStyle w:val="Other0"/>
              <w:framePr w:w="11232" w:h="3874" w:hSpace="139" w:vSpace="1090" w:wrap="none" w:hAnchor="page" w:x="615" w:y="1758"/>
              <w:spacing w:line="240" w:lineRule="auto"/>
              <w:ind w:firstLine="0"/>
              <w:rPr>
                <w:sz w:val="16"/>
                <w:szCs w:val="16"/>
              </w:rPr>
            </w:pPr>
            <w:r>
              <w:rPr>
                <w:rFonts w:ascii="Times New Roman" w:eastAsia="Times New Roman" w:hAnsi="Times New Roman" w:cs="Times New Roman"/>
                <w:color w:val="000000"/>
                <w:sz w:val="16"/>
                <w:szCs w:val="16"/>
              </w:rPr>
              <w:t>Oxamniquina</w:t>
            </w:r>
            <w:r>
              <w:rPr>
                <w:rFonts w:ascii="Times New Roman" w:eastAsia="Times New Roman" w:hAnsi="Times New Roman" w:cs="Times New Roman"/>
                <w:color w:val="000000"/>
                <w:sz w:val="16"/>
                <w:szCs w:val="16"/>
                <w:vertAlign w:val="superscript"/>
              </w:rPr>
              <w:t>26</w:t>
            </w:r>
          </w:p>
        </w:tc>
        <w:tc>
          <w:tcPr>
            <w:tcW w:w="3442" w:type="dxa"/>
            <w:shd w:val="clear" w:color="auto" w:fill="FFFFFF"/>
            <w:vAlign w:val="bottom"/>
          </w:tcPr>
          <w:p w14:paraId="019C65AD" w14:textId="77777777" w:rsidR="00924992" w:rsidRDefault="00924992">
            <w:pPr>
              <w:pStyle w:val="Other0"/>
              <w:framePr w:w="11232" w:h="3874" w:hSpace="139" w:vSpace="1090" w:wrap="none" w:hAnchor="page" w:x="615" w:y="1758"/>
              <w:spacing w:line="240" w:lineRule="auto"/>
              <w:ind w:firstLine="700"/>
              <w:rPr>
                <w:sz w:val="16"/>
                <w:szCs w:val="16"/>
              </w:rPr>
            </w:pPr>
            <w:r>
              <w:rPr>
                <w:rFonts w:ascii="Times New Roman" w:eastAsia="Times New Roman" w:hAnsi="Times New Roman" w:cs="Times New Roman"/>
                <w:color w:val="000000"/>
                <w:sz w:val="16"/>
                <w:szCs w:val="16"/>
              </w:rPr>
              <w:t>15 mg/kg una vez</w:t>
            </w:r>
            <w:r>
              <w:rPr>
                <w:rFonts w:ascii="Times New Roman" w:eastAsia="Times New Roman" w:hAnsi="Times New Roman" w:cs="Times New Roman"/>
                <w:color w:val="000000"/>
                <w:sz w:val="16"/>
                <w:szCs w:val="16"/>
                <w:vertAlign w:val="superscript"/>
              </w:rPr>
              <w:t>27</w:t>
            </w:r>
          </w:p>
        </w:tc>
        <w:tc>
          <w:tcPr>
            <w:tcW w:w="2789" w:type="dxa"/>
            <w:shd w:val="clear" w:color="auto" w:fill="FFFFFF"/>
            <w:vAlign w:val="bottom"/>
          </w:tcPr>
          <w:p w14:paraId="67F560E8" w14:textId="77777777" w:rsidR="00924992" w:rsidRDefault="00924992">
            <w:pPr>
              <w:pStyle w:val="Other0"/>
              <w:framePr w:w="11232" w:h="3874" w:hSpace="139" w:vSpace="1090" w:wrap="none" w:hAnchor="page" w:x="615" w:y="1758"/>
              <w:spacing w:line="240" w:lineRule="auto"/>
              <w:ind w:firstLine="0"/>
              <w:rPr>
                <w:sz w:val="16"/>
                <w:szCs w:val="16"/>
              </w:rPr>
            </w:pPr>
            <w:r>
              <w:rPr>
                <w:rFonts w:ascii="Times New Roman" w:eastAsia="Times New Roman" w:hAnsi="Times New Roman" w:cs="Times New Roman"/>
                <w:color w:val="000000"/>
                <w:sz w:val="16"/>
                <w:szCs w:val="16"/>
              </w:rPr>
              <w:t xml:space="preserve">20 mg/kg/día en 2 dosis </w:t>
            </w:r>
            <w:r>
              <w:rPr>
                <w:color w:val="000000"/>
              </w:rPr>
              <w:t xml:space="preserve">x </w:t>
            </w:r>
            <w:r>
              <w:rPr>
                <w:rFonts w:ascii="Times New Roman" w:eastAsia="Times New Roman" w:hAnsi="Times New Roman" w:cs="Times New Roman"/>
                <w:color w:val="000000"/>
                <w:sz w:val="16"/>
                <w:szCs w:val="16"/>
              </w:rPr>
              <w:t>1 día</w:t>
            </w:r>
            <w:r>
              <w:rPr>
                <w:rFonts w:ascii="Times New Roman" w:eastAsia="Times New Roman" w:hAnsi="Times New Roman" w:cs="Times New Roman"/>
                <w:color w:val="000000"/>
                <w:sz w:val="16"/>
                <w:szCs w:val="16"/>
                <w:vertAlign w:val="superscript"/>
              </w:rPr>
              <w:t>27</w:t>
            </w:r>
          </w:p>
        </w:tc>
      </w:tr>
      <w:tr w:rsidR="00924992" w14:paraId="6E3DAAD3" w14:textId="77777777">
        <w:tblPrEx>
          <w:tblCellMar>
            <w:top w:w="0" w:type="dxa"/>
            <w:bottom w:w="0" w:type="dxa"/>
          </w:tblCellMar>
        </w:tblPrEx>
        <w:trPr>
          <w:trHeight w:hRule="exact" w:val="206"/>
        </w:trPr>
        <w:tc>
          <w:tcPr>
            <w:tcW w:w="2875" w:type="dxa"/>
            <w:shd w:val="clear" w:color="auto" w:fill="FFFFFF"/>
            <w:vAlign w:val="bottom"/>
          </w:tcPr>
          <w:p w14:paraId="779EC2C3" w14:textId="77777777" w:rsidR="00924992" w:rsidRDefault="00924992">
            <w:pPr>
              <w:pStyle w:val="Other0"/>
              <w:framePr w:w="11232" w:h="3874" w:hSpace="139" w:vSpace="1090" w:wrap="none" w:hAnchor="page" w:x="615" w:y="1758"/>
              <w:spacing w:line="240" w:lineRule="auto"/>
              <w:ind w:firstLine="0"/>
              <w:rPr>
                <w:sz w:val="17"/>
                <w:szCs w:val="17"/>
              </w:rPr>
            </w:pPr>
            <w:r>
              <w:rPr>
                <w:rFonts w:ascii="Times New Roman" w:eastAsia="Times New Roman" w:hAnsi="Times New Roman" w:cs="Times New Roman"/>
                <w:b/>
                <w:bCs/>
                <w:i/>
                <w:iCs/>
                <w:color w:val="000000"/>
                <w:sz w:val="17"/>
                <w:szCs w:val="17"/>
              </w:rPr>
              <w:t>S. mekongi</w:t>
            </w:r>
          </w:p>
        </w:tc>
        <w:tc>
          <w:tcPr>
            <w:tcW w:w="2126" w:type="dxa"/>
            <w:shd w:val="clear" w:color="auto" w:fill="FFFFFF"/>
          </w:tcPr>
          <w:p w14:paraId="20A2A09D" w14:textId="77777777" w:rsidR="00924992" w:rsidRDefault="00924992">
            <w:pPr>
              <w:framePr w:w="11232" w:h="3874" w:hSpace="139" w:vSpace="1090" w:wrap="none" w:hAnchor="page" w:x="615" w:y="1758"/>
              <w:rPr>
                <w:sz w:val="10"/>
                <w:szCs w:val="10"/>
              </w:rPr>
            </w:pPr>
          </w:p>
        </w:tc>
        <w:tc>
          <w:tcPr>
            <w:tcW w:w="3442" w:type="dxa"/>
            <w:shd w:val="clear" w:color="auto" w:fill="FFFFFF"/>
          </w:tcPr>
          <w:p w14:paraId="19F85E8F" w14:textId="77777777" w:rsidR="00924992" w:rsidRDefault="00924992">
            <w:pPr>
              <w:framePr w:w="11232" w:h="3874" w:hSpace="139" w:vSpace="1090" w:wrap="none" w:hAnchor="page" w:x="615" w:y="1758"/>
              <w:rPr>
                <w:sz w:val="10"/>
                <w:szCs w:val="10"/>
              </w:rPr>
            </w:pPr>
          </w:p>
        </w:tc>
        <w:tc>
          <w:tcPr>
            <w:tcW w:w="2789" w:type="dxa"/>
            <w:shd w:val="clear" w:color="auto" w:fill="FFFFFF"/>
          </w:tcPr>
          <w:p w14:paraId="68505E47" w14:textId="77777777" w:rsidR="00924992" w:rsidRDefault="00924992">
            <w:pPr>
              <w:framePr w:w="11232" w:h="3874" w:hSpace="139" w:vSpace="1090" w:wrap="none" w:hAnchor="page" w:x="615" w:y="1758"/>
              <w:rPr>
                <w:sz w:val="10"/>
                <w:szCs w:val="10"/>
              </w:rPr>
            </w:pPr>
          </w:p>
        </w:tc>
      </w:tr>
      <w:tr w:rsidR="00924992" w14:paraId="37A52FCB" w14:textId="77777777">
        <w:tblPrEx>
          <w:tblCellMar>
            <w:top w:w="0" w:type="dxa"/>
            <w:bottom w:w="0" w:type="dxa"/>
          </w:tblCellMar>
        </w:tblPrEx>
        <w:trPr>
          <w:trHeight w:hRule="exact" w:val="216"/>
        </w:trPr>
        <w:tc>
          <w:tcPr>
            <w:tcW w:w="2875" w:type="dxa"/>
            <w:tcBorders>
              <w:bottom w:val="single" w:sz="4" w:space="0" w:color="auto"/>
            </w:tcBorders>
            <w:shd w:val="clear" w:color="auto" w:fill="FFFFFF"/>
          </w:tcPr>
          <w:p w14:paraId="4ECF431C" w14:textId="77777777" w:rsidR="00924992" w:rsidRDefault="00924992">
            <w:pPr>
              <w:pStyle w:val="Other0"/>
              <w:framePr w:w="11232" w:h="3874" w:hSpace="139" w:vSpace="1090" w:wrap="none" w:hAnchor="page" w:x="615" w:y="1758"/>
              <w:spacing w:line="240" w:lineRule="auto"/>
              <w:ind w:firstLine="0"/>
              <w:rPr>
                <w:sz w:val="16"/>
                <w:szCs w:val="16"/>
              </w:rPr>
            </w:pPr>
            <w:r>
              <w:rPr>
                <w:rFonts w:ascii="Times New Roman" w:eastAsia="Times New Roman" w:hAnsi="Times New Roman" w:cs="Times New Roman"/>
                <w:color w:val="000000"/>
                <w:sz w:val="16"/>
                <w:szCs w:val="16"/>
              </w:rPr>
              <w:t>Fármaco más indicado:</w:t>
            </w:r>
          </w:p>
        </w:tc>
        <w:tc>
          <w:tcPr>
            <w:tcW w:w="2126" w:type="dxa"/>
            <w:tcBorders>
              <w:bottom w:val="single" w:sz="4" w:space="0" w:color="auto"/>
            </w:tcBorders>
            <w:shd w:val="clear" w:color="auto" w:fill="FFFFFF"/>
          </w:tcPr>
          <w:p w14:paraId="004E56BA" w14:textId="77777777" w:rsidR="00924992" w:rsidRDefault="00924992">
            <w:pPr>
              <w:pStyle w:val="Other0"/>
              <w:framePr w:w="11232" w:h="3874" w:hSpace="139" w:vSpace="1090" w:wrap="none" w:hAnchor="page" w:x="615" w:y="1758"/>
              <w:spacing w:line="240" w:lineRule="auto"/>
              <w:ind w:firstLine="0"/>
              <w:rPr>
                <w:sz w:val="16"/>
                <w:szCs w:val="16"/>
              </w:rPr>
            </w:pPr>
            <w:r>
              <w:rPr>
                <w:rFonts w:ascii="Times New Roman" w:eastAsia="Times New Roman" w:hAnsi="Times New Roman" w:cs="Times New Roman"/>
                <w:color w:val="000000"/>
                <w:sz w:val="16"/>
                <w:szCs w:val="16"/>
              </w:rPr>
              <w:t>Praziquantel</w:t>
            </w:r>
          </w:p>
        </w:tc>
        <w:tc>
          <w:tcPr>
            <w:tcW w:w="3442" w:type="dxa"/>
            <w:tcBorders>
              <w:bottom w:val="single" w:sz="4" w:space="0" w:color="auto"/>
            </w:tcBorders>
            <w:shd w:val="clear" w:color="auto" w:fill="FFFFFF"/>
          </w:tcPr>
          <w:p w14:paraId="5861D0F8" w14:textId="77777777" w:rsidR="00924992" w:rsidRDefault="00924992">
            <w:pPr>
              <w:pStyle w:val="Other0"/>
              <w:framePr w:w="11232" w:h="3874" w:hSpace="139" w:vSpace="1090" w:wrap="none" w:hAnchor="page" w:x="615" w:y="1758"/>
              <w:spacing w:line="240" w:lineRule="auto"/>
              <w:ind w:firstLine="700"/>
              <w:rPr>
                <w:sz w:val="16"/>
                <w:szCs w:val="16"/>
              </w:rPr>
            </w:pPr>
            <w:r>
              <w:rPr>
                <w:rFonts w:ascii="Times New Roman" w:eastAsia="Times New Roman" w:hAnsi="Times New Roman" w:cs="Times New Roman"/>
                <w:color w:val="000000"/>
                <w:sz w:val="16"/>
                <w:szCs w:val="16"/>
              </w:rPr>
              <w:t xml:space="preserve">60 mg/kg/día en 3 dosis </w:t>
            </w:r>
            <w:r>
              <w:rPr>
                <w:color w:val="000000"/>
              </w:rPr>
              <w:t xml:space="preserve">x </w:t>
            </w:r>
            <w:r>
              <w:rPr>
                <w:rFonts w:ascii="Times New Roman" w:eastAsia="Times New Roman" w:hAnsi="Times New Roman" w:cs="Times New Roman"/>
                <w:color w:val="000000"/>
                <w:sz w:val="16"/>
                <w:szCs w:val="16"/>
              </w:rPr>
              <w:t>1 día</w:t>
            </w:r>
          </w:p>
        </w:tc>
        <w:tc>
          <w:tcPr>
            <w:tcW w:w="2789" w:type="dxa"/>
            <w:tcBorders>
              <w:bottom w:val="single" w:sz="4" w:space="0" w:color="auto"/>
            </w:tcBorders>
            <w:shd w:val="clear" w:color="auto" w:fill="FFFFFF"/>
          </w:tcPr>
          <w:p w14:paraId="3B9AAB2A" w14:textId="77777777" w:rsidR="00924992" w:rsidRDefault="00924992">
            <w:pPr>
              <w:pStyle w:val="Other0"/>
              <w:framePr w:w="11232" w:h="3874" w:hSpace="139" w:vSpace="1090" w:wrap="none" w:hAnchor="page" w:x="615" w:y="1758"/>
              <w:spacing w:line="240" w:lineRule="auto"/>
              <w:ind w:firstLine="0"/>
              <w:rPr>
                <w:sz w:val="16"/>
                <w:szCs w:val="16"/>
              </w:rPr>
            </w:pPr>
            <w:r>
              <w:rPr>
                <w:rFonts w:ascii="Times New Roman" w:eastAsia="Times New Roman" w:hAnsi="Times New Roman" w:cs="Times New Roman"/>
                <w:color w:val="000000"/>
                <w:sz w:val="16"/>
                <w:szCs w:val="16"/>
              </w:rPr>
              <w:t xml:space="preserve">60 mg/kg/día en 3 dosis </w:t>
            </w:r>
            <w:r>
              <w:rPr>
                <w:color w:val="000000"/>
              </w:rPr>
              <w:t xml:space="preserve">x </w:t>
            </w:r>
            <w:r>
              <w:rPr>
                <w:rFonts w:ascii="Times New Roman" w:eastAsia="Times New Roman" w:hAnsi="Times New Roman" w:cs="Times New Roman"/>
                <w:color w:val="000000"/>
                <w:sz w:val="16"/>
                <w:szCs w:val="16"/>
              </w:rPr>
              <w:t>1 día</w:t>
            </w:r>
          </w:p>
        </w:tc>
      </w:tr>
    </w:tbl>
    <w:p w14:paraId="572747CD" w14:textId="77777777" w:rsidR="00924992" w:rsidRDefault="00924992">
      <w:pPr>
        <w:framePr w:w="11232" w:h="3874" w:hSpace="139" w:vSpace="1090" w:wrap="none" w:hAnchor="page" w:x="615" w:y="1758"/>
        <w:spacing w:line="1" w:lineRule="exact"/>
      </w:pPr>
    </w:p>
    <w:p w14:paraId="18FA6123" w14:textId="77777777" w:rsidR="00924992" w:rsidRDefault="00924992">
      <w:pPr>
        <w:pStyle w:val="Tablecaption0"/>
        <w:framePr w:w="11203" w:h="1085" w:wrap="none" w:hAnchor="page" w:x="615" w:y="668"/>
        <w:spacing w:line="240" w:lineRule="auto"/>
        <w:ind w:left="0"/>
        <w:rPr>
          <w:sz w:val="16"/>
          <w:szCs w:val="16"/>
        </w:rPr>
      </w:pPr>
      <w:r>
        <w:rPr>
          <w:b/>
          <w:bCs/>
          <w:color w:val="000000"/>
          <w:sz w:val="16"/>
          <w:szCs w:val="16"/>
        </w:rPr>
        <w:t xml:space="preserve">Echinococcus, </w:t>
      </w:r>
      <w:r>
        <w:rPr>
          <w:color w:val="000000"/>
          <w:sz w:val="16"/>
          <w:szCs w:val="16"/>
        </w:rPr>
        <w:t>véase “VERMES PLANOS (TENIAS), infección”</w:t>
      </w:r>
    </w:p>
    <w:p w14:paraId="586D3123" w14:textId="77777777" w:rsidR="00924992" w:rsidRDefault="00924992">
      <w:pPr>
        <w:pStyle w:val="Tablecaption0"/>
        <w:framePr w:w="11203" w:h="1085" w:wrap="none" w:hAnchor="page" w:x="615" w:y="668"/>
        <w:spacing w:line="240" w:lineRule="auto"/>
        <w:ind w:left="0"/>
        <w:rPr>
          <w:sz w:val="16"/>
          <w:szCs w:val="16"/>
        </w:rPr>
      </w:pPr>
      <w:r>
        <w:rPr>
          <w:b/>
          <w:bCs/>
          <w:i/>
          <w:iCs/>
          <w:color w:val="000000"/>
          <w:sz w:val="17"/>
          <w:szCs w:val="17"/>
        </w:rPr>
        <w:t>Entamoeba histolytica,</w:t>
      </w:r>
      <w:r>
        <w:rPr>
          <w:i/>
          <w:iCs/>
          <w:color w:val="000000"/>
        </w:rPr>
        <w:t>véase</w:t>
      </w:r>
      <w:r>
        <w:rPr>
          <w:color w:val="000000"/>
          <w:sz w:val="16"/>
          <w:szCs w:val="16"/>
        </w:rPr>
        <w:t xml:space="preserve"> “AMIBIASIS”</w:t>
      </w:r>
    </w:p>
    <w:p w14:paraId="7002F91C" w14:textId="77777777" w:rsidR="00924992" w:rsidRDefault="00924992">
      <w:pPr>
        <w:pStyle w:val="Tablecaption0"/>
        <w:framePr w:w="11203" w:h="1085" w:wrap="none" w:hAnchor="page" w:x="615" w:y="668"/>
        <w:spacing w:line="240" w:lineRule="auto"/>
        <w:ind w:left="0"/>
        <w:rPr>
          <w:sz w:val="16"/>
          <w:szCs w:val="16"/>
        </w:rPr>
      </w:pPr>
      <w:r>
        <w:rPr>
          <w:b/>
          <w:bCs/>
          <w:i/>
          <w:iCs/>
          <w:color w:val="000000"/>
          <w:sz w:val="17"/>
          <w:szCs w:val="17"/>
        </w:rPr>
        <w:t xml:space="preserve">ENTAMOEBA </w:t>
      </w:r>
      <w:r>
        <w:rPr>
          <w:i/>
          <w:iCs/>
          <w:color w:val="000000"/>
          <w:sz w:val="16"/>
          <w:szCs w:val="16"/>
        </w:rPr>
        <w:t>polecki,</w:t>
      </w:r>
      <w:r>
        <w:rPr>
          <w:color w:val="000000"/>
          <w:sz w:val="16"/>
          <w:szCs w:val="16"/>
        </w:rPr>
        <w:t xml:space="preserve"> infección</w:t>
      </w:r>
    </w:p>
    <w:p w14:paraId="3D1B8881" w14:textId="77777777" w:rsidR="00924992" w:rsidRDefault="00924992">
      <w:pPr>
        <w:pStyle w:val="Tablecaption0"/>
        <w:framePr w:w="11203" w:h="1085" w:wrap="none" w:hAnchor="page" w:x="615" w:y="668"/>
        <w:tabs>
          <w:tab w:val="left" w:pos="2789"/>
          <w:tab w:val="left" w:pos="5568"/>
          <w:tab w:val="left" w:pos="8482"/>
        </w:tabs>
        <w:spacing w:line="240" w:lineRule="auto"/>
        <w:ind w:left="0"/>
        <w:jc w:val="both"/>
        <w:rPr>
          <w:sz w:val="16"/>
          <w:szCs w:val="16"/>
        </w:rPr>
      </w:pPr>
      <w:r>
        <w:rPr>
          <w:color w:val="000000"/>
          <w:sz w:val="16"/>
          <w:szCs w:val="16"/>
        </w:rPr>
        <w:t>Fármaco más indicado:</w:t>
      </w:r>
      <w:r>
        <w:rPr>
          <w:color w:val="000000"/>
          <w:sz w:val="16"/>
          <w:szCs w:val="16"/>
        </w:rPr>
        <w:tab/>
        <w:t>Metronidazol</w:t>
      </w:r>
      <w:r>
        <w:rPr>
          <w:color w:val="000000"/>
          <w:sz w:val="16"/>
          <w:szCs w:val="16"/>
          <w:vertAlign w:val="superscript"/>
        </w:rPr>
        <w:t>3</w:t>
      </w:r>
      <w:r>
        <w:rPr>
          <w:color w:val="000000"/>
          <w:sz w:val="16"/>
          <w:szCs w:val="16"/>
        </w:rPr>
        <w:tab/>
        <w:t xml:space="preserve">750 mg tid </w:t>
      </w:r>
      <w:r>
        <w:rPr>
          <w:rFonts w:ascii="Garamond" w:eastAsia="Garamond" w:hAnsi="Garamond" w:cs="Garamond"/>
          <w:color w:val="000000"/>
          <w:sz w:val="19"/>
          <w:szCs w:val="19"/>
        </w:rPr>
        <w:t xml:space="preserve">X </w:t>
      </w:r>
      <w:r>
        <w:rPr>
          <w:color w:val="000000"/>
          <w:sz w:val="16"/>
          <w:szCs w:val="16"/>
        </w:rPr>
        <w:t>10 días</w:t>
      </w:r>
      <w:r>
        <w:rPr>
          <w:color w:val="000000"/>
          <w:sz w:val="16"/>
          <w:szCs w:val="16"/>
        </w:rPr>
        <w:tab/>
        <w:t xml:space="preserve">35-50 mg/kg/día en 3 dosis </w:t>
      </w:r>
      <w:r>
        <w:rPr>
          <w:rFonts w:ascii="Garamond" w:eastAsia="Garamond" w:hAnsi="Garamond" w:cs="Garamond"/>
          <w:color w:val="000000"/>
          <w:sz w:val="19"/>
          <w:szCs w:val="19"/>
        </w:rPr>
        <w:t xml:space="preserve">x </w:t>
      </w:r>
      <w:r>
        <w:rPr>
          <w:color w:val="000000"/>
          <w:sz w:val="16"/>
          <w:szCs w:val="16"/>
        </w:rPr>
        <w:t>10 días</w:t>
      </w:r>
    </w:p>
    <w:p w14:paraId="645094E7" w14:textId="77777777" w:rsidR="00924992" w:rsidRDefault="00924992">
      <w:pPr>
        <w:pStyle w:val="Tablecaption0"/>
        <w:framePr w:w="11203" w:h="1085" w:wrap="none" w:hAnchor="page" w:x="615" w:y="668"/>
        <w:spacing w:line="240" w:lineRule="auto"/>
        <w:ind w:left="0"/>
        <w:jc w:val="both"/>
        <w:rPr>
          <w:sz w:val="16"/>
          <w:szCs w:val="16"/>
        </w:rPr>
      </w:pPr>
      <w:r>
        <w:rPr>
          <w:b/>
          <w:bCs/>
          <w:i/>
          <w:iCs/>
          <w:color w:val="000000"/>
          <w:sz w:val="17"/>
          <w:szCs w:val="17"/>
        </w:rPr>
        <w:t xml:space="preserve">ENTEROBIUS </w:t>
      </w:r>
      <w:r>
        <w:rPr>
          <w:i/>
          <w:iCs/>
          <w:color w:val="000000"/>
          <w:sz w:val="16"/>
          <w:szCs w:val="16"/>
        </w:rPr>
        <w:t>vermicularis</w:t>
      </w:r>
      <w:r>
        <w:rPr>
          <w:color w:val="000000"/>
          <w:sz w:val="16"/>
          <w:szCs w:val="16"/>
        </w:rPr>
        <w:t xml:space="preserve"> (oxiuros), infección</w:t>
      </w:r>
    </w:p>
    <w:p w14:paraId="026D4C2C" w14:textId="77777777" w:rsidR="00924992" w:rsidRDefault="00924992">
      <w:pPr>
        <w:pStyle w:val="Tablecaption0"/>
        <w:framePr w:w="11338" w:h="1109" w:wrap="none" w:hAnchor="page" w:x="649" w:y="5795"/>
        <w:numPr>
          <w:ilvl w:val="0"/>
          <w:numId w:val="137"/>
        </w:numPr>
        <w:tabs>
          <w:tab w:val="left" w:pos="370"/>
        </w:tabs>
        <w:spacing w:line="240" w:lineRule="auto"/>
        <w:ind w:left="380" w:hanging="380"/>
      </w:pPr>
      <w:r>
        <w:rPr>
          <w:color w:val="000000"/>
        </w:rPr>
        <w:t xml:space="preserve">En personas inmunodeficientes o con enfermedad diseminada puede ser necesario prolongar o repetir el tratamiento o usar otros agentes. En un paciente se uso una presentación veterinaria parenteral de ivermectina (PL Chiodini et al, </w:t>
      </w:r>
      <w:r>
        <w:rPr>
          <w:i/>
          <w:iCs/>
          <w:color w:val="000000"/>
        </w:rPr>
        <w:t>Lancet</w:t>
      </w:r>
      <w:r>
        <w:rPr>
          <w:color w:val="000000"/>
        </w:rPr>
        <w:t xml:space="preserve"> 2000; 355:43).</w:t>
      </w:r>
    </w:p>
    <w:p w14:paraId="360FD6D4" w14:textId="77777777" w:rsidR="00924992" w:rsidRDefault="00924992">
      <w:pPr>
        <w:pStyle w:val="Tablecaption0"/>
        <w:framePr w:w="11338" w:h="1109" w:wrap="none" w:hAnchor="page" w:x="649" w:y="5795"/>
        <w:numPr>
          <w:ilvl w:val="0"/>
          <w:numId w:val="137"/>
        </w:numPr>
        <w:tabs>
          <w:tab w:val="left" w:pos="370"/>
        </w:tabs>
        <w:spacing w:line="240" w:lineRule="auto"/>
        <w:ind w:left="0"/>
      </w:pPr>
      <w:r>
        <w:rPr>
          <w:color w:val="000000"/>
        </w:rPr>
        <w:t>La dosis señalada probablemente sea tóxica y haya que disminuirla.</w:t>
      </w:r>
    </w:p>
    <w:p w14:paraId="18B14841" w14:textId="77777777" w:rsidR="00924992" w:rsidRDefault="00924992">
      <w:pPr>
        <w:pStyle w:val="Tablecaption0"/>
        <w:framePr w:w="11338" w:h="1109" w:wrap="none" w:hAnchor="page" w:x="649" w:y="5795"/>
        <w:numPr>
          <w:ilvl w:val="0"/>
          <w:numId w:val="137"/>
        </w:numPr>
        <w:tabs>
          <w:tab w:val="left" w:pos="374"/>
        </w:tabs>
        <w:spacing w:line="240" w:lineRule="auto"/>
        <w:ind w:left="380" w:hanging="380"/>
        <w:jc w:val="both"/>
      </w:pPr>
      <w:r>
        <w:rPr>
          <w:color w:val="000000"/>
        </w:rPr>
        <w:t xml:space="preserve">Las bacterias </w:t>
      </w:r>
      <w:r>
        <w:rPr>
          <w:i/>
          <w:iCs/>
          <w:color w:val="000000"/>
        </w:rPr>
        <w:t>Wolbachia</w:t>
      </w:r>
      <w:r>
        <w:rPr>
          <w:color w:val="000000"/>
        </w:rPr>
        <w:t xml:space="preserve"> endosimbióticas pueden intervenir en el desarrollo de las filarias y la respuesta del hospedador y pudieran constituir un nuevo “blanco” para tratamiento (HF Cross et al, </w:t>
      </w:r>
      <w:r>
        <w:rPr>
          <w:i/>
          <w:iCs/>
          <w:color w:val="000000"/>
        </w:rPr>
        <w:t>Lancet</w:t>
      </w:r>
      <w:r>
        <w:rPr>
          <w:color w:val="000000"/>
        </w:rPr>
        <w:t xml:space="preserve"> 2001; 358:1873). Se ha erradicado </w:t>
      </w:r>
      <w:r>
        <w:rPr>
          <w:i/>
          <w:iCs/>
          <w:color w:val="000000"/>
        </w:rPr>
        <w:t>Wolbachia</w:t>
      </w:r>
      <w:r>
        <w:rPr>
          <w:color w:val="000000"/>
        </w:rPr>
        <w:t xml:space="preserve"> con 100 mg de doxiciclina al día </w:t>
      </w:r>
      <w:r>
        <w:rPr>
          <w:rFonts w:ascii="Garamond" w:eastAsia="Garamond" w:hAnsi="Garamond" w:cs="Garamond"/>
          <w:color w:val="000000"/>
          <w:sz w:val="19"/>
          <w:szCs w:val="19"/>
        </w:rPr>
        <w:t xml:space="preserve">X </w:t>
      </w:r>
      <w:r>
        <w:rPr>
          <w:color w:val="000000"/>
        </w:rPr>
        <w:t xml:space="preserve">6 semanas y se ha logrado esterilizar a los vermes adultos en la oncocercosis (A Hoerauf et al, </w:t>
      </w:r>
      <w:r>
        <w:rPr>
          <w:i/>
          <w:iCs/>
          <w:color w:val="000000"/>
        </w:rPr>
        <w:t>Lancet</w:t>
      </w:r>
      <w:r>
        <w:rPr>
          <w:color w:val="000000"/>
        </w:rPr>
        <w:t xml:space="preserve"> 2000; 355:1241).</w:t>
      </w:r>
    </w:p>
    <w:p w14:paraId="642DA9CC" w14:textId="77777777" w:rsidR="00924992" w:rsidRDefault="00924992">
      <w:pPr>
        <w:pStyle w:val="Bodytext80"/>
        <w:framePr w:w="192" w:h="4526" w:hRule="exact" w:wrap="none" w:hAnchor="page" w:x="12390" w:y="2391"/>
        <w:tabs>
          <w:tab w:val="left" w:pos="4210"/>
        </w:tabs>
        <w:textDirection w:val="tbRl"/>
        <w:rPr>
          <w:sz w:val="16"/>
          <w:szCs w:val="16"/>
        </w:rPr>
      </w:pPr>
      <w:r>
        <w:t>FÁRMACOS ANTIPARASITARIOS</w:t>
      </w:r>
      <w:r>
        <w:tab/>
      </w:r>
      <w:r>
        <w:rPr>
          <w:sz w:val="16"/>
          <w:szCs w:val="16"/>
        </w:rPr>
        <w:t>789</w:t>
      </w:r>
    </w:p>
    <w:p w14:paraId="46D7DC30" w14:textId="77777777" w:rsidR="00924992" w:rsidRDefault="00924992">
      <w:pPr>
        <w:spacing w:line="360" w:lineRule="exact"/>
      </w:pPr>
    </w:p>
    <w:p w14:paraId="6226F88C" w14:textId="77777777" w:rsidR="00924992" w:rsidRDefault="00924992">
      <w:pPr>
        <w:spacing w:line="360" w:lineRule="exact"/>
      </w:pPr>
    </w:p>
    <w:p w14:paraId="0C1A0E45" w14:textId="77777777" w:rsidR="00924992" w:rsidRDefault="00924992">
      <w:pPr>
        <w:spacing w:line="360" w:lineRule="exact"/>
      </w:pPr>
    </w:p>
    <w:p w14:paraId="5EA226C2" w14:textId="77777777" w:rsidR="00924992" w:rsidRDefault="00924992">
      <w:pPr>
        <w:spacing w:line="360" w:lineRule="exact"/>
      </w:pPr>
    </w:p>
    <w:p w14:paraId="0DB5DB70" w14:textId="77777777" w:rsidR="00924992" w:rsidRDefault="00924992">
      <w:pPr>
        <w:spacing w:line="360" w:lineRule="exact"/>
      </w:pPr>
    </w:p>
    <w:p w14:paraId="14B00DF0" w14:textId="77777777" w:rsidR="00924992" w:rsidRDefault="00924992">
      <w:pPr>
        <w:spacing w:line="360" w:lineRule="exact"/>
      </w:pPr>
    </w:p>
    <w:p w14:paraId="41137725" w14:textId="77777777" w:rsidR="00924992" w:rsidRDefault="00924992">
      <w:pPr>
        <w:spacing w:line="360" w:lineRule="exact"/>
      </w:pPr>
    </w:p>
    <w:p w14:paraId="22CEA0CF" w14:textId="77777777" w:rsidR="00924992" w:rsidRDefault="00924992">
      <w:pPr>
        <w:spacing w:line="360" w:lineRule="exact"/>
      </w:pPr>
    </w:p>
    <w:p w14:paraId="6BFBDAEC" w14:textId="77777777" w:rsidR="00924992" w:rsidRDefault="00924992">
      <w:pPr>
        <w:spacing w:line="360" w:lineRule="exact"/>
      </w:pPr>
    </w:p>
    <w:p w14:paraId="380A72A4" w14:textId="77777777" w:rsidR="00924992" w:rsidRDefault="00924992">
      <w:pPr>
        <w:spacing w:line="360" w:lineRule="exact"/>
      </w:pPr>
    </w:p>
    <w:p w14:paraId="03DCCE6E" w14:textId="77777777" w:rsidR="00924992" w:rsidRDefault="00924992">
      <w:pPr>
        <w:spacing w:line="360" w:lineRule="exact"/>
      </w:pPr>
    </w:p>
    <w:p w14:paraId="48E80510" w14:textId="77777777" w:rsidR="00924992" w:rsidRDefault="00924992">
      <w:pPr>
        <w:spacing w:line="360" w:lineRule="exact"/>
      </w:pPr>
    </w:p>
    <w:p w14:paraId="08170C02" w14:textId="77777777" w:rsidR="00924992" w:rsidRDefault="00924992">
      <w:pPr>
        <w:spacing w:line="360" w:lineRule="exact"/>
      </w:pPr>
    </w:p>
    <w:p w14:paraId="7734705B" w14:textId="77777777" w:rsidR="00924992" w:rsidRDefault="00924992">
      <w:pPr>
        <w:spacing w:line="360" w:lineRule="exact"/>
      </w:pPr>
    </w:p>
    <w:p w14:paraId="31C745C6" w14:textId="77777777" w:rsidR="00924992" w:rsidRDefault="00924992">
      <w:pPr>
        <w:spacing w:line="360" w:lineRule="exact"/>
      </w:pPr>
    </w:p>
    <w:p w14:paraId="44CC9A5E" w14:textId="77777777" w:rsidR="00924992" w:rsidRDefault="00924992">
      <w:pPr>
        <w:spacing w:line="360" w:lineRule="exact"/>
      </w:pPr>
    </w:p>
    <w:p w14:paraId="784ACF07" w14:textId="77777777" w:rsidR="00924992" w:rsidRDefault="00924992">
      <w:pPr>
        <w:spacing w:line="360" w:lineRule="exact"/>
      </w:pPr>
    </w:p>
    <w:p w14:paraId="68F5394D" w14:textId="77777777" w:rsidR="00924992" w:rsidRDefault="00924992">
      <w:pPr>
        <w:spacing w:line="360" w:lineRule="exact"/>
      </w:pPr>
    </w:p>
    <w:p w14:paraId="22A41F42" w14:textId="77777777" w:rsidR="00924992" w:rsidRDefault="00924992">
      <w:pPr>
        <w:spacing w:after="436" w:line="1" w:lineRule="exact"/>
      </w:pPr>
    </w:p>
    <w:p w14:paraId="0D4FEA1E" w14:textId="77777777" w:rsidR="00924992" w:rsidRDefault="00924992">
      <w:pPr>
        <w:spacing w:line="1" w:lineRule="exact"/>
        <w:sectPr w:rsidR="00924992" w:rsidSect="00924992">
          <w:pgSz w:w="13022" w:h="8501" w:orient="landscape"/>
          <w:pgMar w:top="1080" w:right="441" w:bottom="346" w:left="614" w:header="0" w:footer="3" w:gutter="0"/>
          <w:cols w:space="720"/>
          <w:noEndnote/>
          <w:docGrid w:linePitch="360"/>
          <w15:footnoteColumns w:val="1"/>
        </w:sectPr>
      </w:pPr>
    </w:p>
    <w:p w14:paraId="4DD52AC8" w14:textId="77777777" w:rsidR="00924992" w:rsidRDefault="00924992">
      <w:pPr>
        <w:spacing w:line="1" w:lineRule="exact"/>
      </w:pPr>
      <w:r>
        <w:rPr>
          <w:noProof/>
        </w:rPr>
        <mc:AlternateContent>
          <mc:Choice Requires="wps">
            <w:drawing>
              <wp:anchor distT="0" distB="128270" distL="114300" distR="114300" simplePos="0" relativeHeight="251711488" behindDoc="0" locked="0" layoutInCell="1" allowOverlap="1" wp14:anchorId="44FA7EA2" wp14:editId="58D8F813">
                <wp:simplePos x="0" y="0"/>
                <wp:positionH relativeFrom="page">
                  <wp:posOffset>402590</wp:posOffset>
                </wp:positionH>
                <wp:positionV relativeFrom="paragraph">
                  <wp:posOffset>234950</wp:posOffset>
                </wp:positionV>
                <wp:extent cx="7260590" cy="612775"/>
                <wp:effectExtent l="0" t="0" r="0" b="0"/>
                <wp:wrapTopAndBottom/>
                <wp:docPr id="2396" name="Shape 2396"/>
                <wp:cNvGraphicFramePr/>
                <a:graphic xmlns:a="http://schemas.openxmlformats.org/drawingml/2006/main">
                  <a:graphicData uri="http://schemas.microsoft.com/office/word/2010/wordprocessingShape">
                    <wps:wsp>
                      <wps:cNvSpPr txBox="1"/>
                      <wps:spPr>
                        <a:xfrm>
                          <a:off x="0" y="0"/>
                          <a:ext cx="7260590" cy="612775"/>
                        </a:xfrm>
                        <a:prstGeom prst="rect">
                          <a:avLst/>
                        </a:prstGeom>
                        <a:noFill/>
                      </wps:spPr>
                      <wps:txbx>
                        <w:txbxContent>
                          <w:tbl>
                            <w:tblPr>
                              <w:tblOverlap w:val="never"/>
                              <w:tblW w:w="0" w:type="auto"/>
                              <w:tblLayout w:type="fixed"/>
                              <w:tblCellMar>
                                <w:left w:w="10" w:type="dxa"/>
                                <w:right w:w="10" w:type="dxa"/>
                              </w:tblCellMar>
                              <w:tblLook w:val="04A0" w:firstRow="1" w:lastRow="0" w:firstColumn="1" w:lastColumn="0" w:noHBand="0" w:noVBand="1"/>
                            </w:tblPr>
                            <w:tblGrid>
                              <w:gridCol w:w="2338"/>
                              <w:gridCol w:w="2376"/>
                              <w:gridCol w:w="3259"/>
                              <w:gridCol w:w="3461"/>
                            </w:tblGrid>
                            <w:tr w:rsidR="00924992" w14:paraId="525277EE" w14:textId="77777777">
                              <w:tblPrEx>
                                <w:tblCellMar>
                                  <w:top w:w="0" w:type="dxa"/>
                                  <w:bottom w:w="0" w:type="dxa"/>
                                </w:tblCellMar>
                              </w:tblPrEx>
                              <w:trPr>
                                <w:trHeight w:hRule="exact" w:val="278"/>
                                <w:tblHeader/>
                              </w:trPr>
                              <w:tc>
                                <w:tcPr>
                                  <w:tcW w:w="2338" w:type="dxa"/>
                                  <w:shd w:val="clear" w:color="auto" w:fill="000000"/>
                                </w:tcPr>
                                <w:p w14:paraId="3074EE9F" w14:textId="77777777" w:rsidR="00924992" w:rsidRDefault="00924992">
                                  <w:pPr>
                                    <w:pStyle w:val="Other0"/>
                                    <w:pBdr>
                                      <w:top w:val="single" w:sz="0" w:space="0" w:color="000000"/>
                                      <w:left w:val="single" w:sz="0" w:space="0" w:color="000000"/>
                                      <w:bottom w:val="single" w:sz="0" w:space="0" w:color="000000"/>
                                      <w:right w:val="single" w:sz="0" w:space="0" w:color="000000"/>
                                    </w:pBdr>
                                    <w:shd w:val="clear" w:color="auto" w:fill="000000"/>
                                    <w:spacing w:line="240" w:lineRule="auto"/>
                                    <w:ind w:firstLine="0"/>
                                    <w:rPr>
                                      <w:sz w:val="24"/>
                                      <w:szCs w:val="24"/>
                                    </w:rPr>
                                  </w:pPr>
                                  <w:r>
                                    <w:rPr>
                                      <w:rFonts w:ascii="Arial" w:eastAsia="Arial" w:hAnsi="Arial" w:cs="Arial"/>
                                      <w:b/>
                                      <w:bCs/>
                                      <w:color w:val="FFFFFF"/>
                                      <w:w w:val="70"/>
                                      <w:sz w:val="24"/>
                                      <w:szCs w:val="24"/>
                                    </w:rPr>
                                    <w:t>Infección</w:t>
                                  </w:r>
                                </w:p>
                              </w:tc>
                              <w:tc>
                                <w:tcPr>
                                  <w:tcW w:w="2376" w:type="dxa"/>
                                  <w:shd w:val="clear" w:color="auto" w:fill="000000"/>
                                </w:tcPr>
                                <w:p w14:paraId="10F32182" w14:textId="77777777" w:rsidR="00924992" w:rsidRDefault="00924992">
                                  <w:pPr>
                                    <w:pStyle w:val="Other0"/>
                                    <w:pBdr>
                                      <w:top w:val="single" w:sz="0" w:space="0" w:color="000000"/>
                                      <w:left w:val="single" w:sz="0" w:space="0" w:color="000000"/>
                                      <w:bottom w:val="single" w:sz="0" w:space="0" w:color="000000"/>
                                      <w:right w:val="single" w:sz="0" w:space="0" w:color="000000"/>
                                    </w:pBdr>
                                    <w:shd w:val="clear" w:color="auto" w:fill="000000"/>
                                    <w:spacing w:line="240" w:lineRule="auto"/>
                                    <w:ind w:firstLine="540"/>
                                    <w:rPr>
                                      <w:sz w:val="24"/>
                                      <w:szCs w:val="24"/>
                                    </w:rPr>
                                  </w:pPr>
                                  <w:r>
                                    <w:rPr>
                                      <w:rFonts w:ascii="Arial" w:eastAsia="Arial" w:hAnsi="Arial" w:cs="Arial"/>
                                      <w:b/>
                                      <w:bCs/>
                                      <w:color w:val="FFFFFF"/>
                                      <w:w w:val="70"/>
                                      <w:sz w:val="24"/>
                                      <w:szCs w:val="24"/>
                                    </w:rPr>
                                    <w:t>Fármaco</w:t>
                                  </w:r>
                                </w:p>
                              </w:tc>
                              <w:tc>
                                <w:tcPr>
                                  <w:tcW w:w="3259" w:type="dxa"/>
                                  <w:shd w:val="clear" w:color="auto" w:fill="000000"/>
                                </w:tcPr>
                                <w:p w14:paraId="5A59203D" w14:textId="77777777" w:rsidR="00924992" w:rsidRDefault="00924992">
                                  <w:pPr>
                                    <w:pStyle w:val="Other0"/>
                                    <w:pBdr>
                                      <w:top w:val="single" w:sz="0" w:space="0" w:color="000000"/>
                                      <w:left w:val="single" w:sz="0" w:space="0" w:color="000000"/>
                                      <w:bottom w:val="single" w:sz="0" w:space="0" w:color="000000"/>
                                      <w:right w:val="single" w:sz="0" w:space="0" w:color="000000"/>
                                    </w:pBdr>
                                    <w:shd w:val="clear" w:color="auto" w:fill="000000"/>
                                    <w:spacing w:line="240" w:lineRule="auto"/>
                                    <w:ind w:firstLine="0"/>
                                    <w:jc w:val="center"/>
                                    <w:rPr>
                                      <w:sz w:val="24"/>
                                      <w:szCs w:val="24"/>
                                    </w:rPr>
                                  </w:pPr>
                                  <w:r>
                                    <w:rPr>
                                      <w:rFonts w:ascii="Arial" w:eastAsia="Arial" w:hAnsi="Arial" w:cs="Arial"/>
                                      <w:b/>
                                      <w:bCs/>
                                      <w:color w:val="FFFFFF"/>
                                      <w:w w:val="70"/>
                                      <w:sz w:val="24"/>
                                      <w:szCs w:val="24"/>
                                    </w:rPr>
                                    <w:t>Dosis para adultos</w:t>
                                  </w:r>
                                </w:p>
                              </w:tc>
                              <w:tc>
                                <w:tcPr>
                                  <w:tcW w:w="3461" w:type="dxa"/>
                                  <w:shd w:val="clear" w:color="auto" w:fill="000000"/>
                                </w:tcPr>
                                <w:p w14:paraId="28369DDA" w14:textId="77777777" w:rsidR="00924992" w:rsidRDefault="00924992">
                                  <w:pPr>
                                    <w:pStyle w:val="Other0"/>
                                    <w:pBdr>
                                      <w:top w:val="single" w:sz="0" w:space="0" w:color="000000"/>
                                      <w:left w:val="single" w:sz="0" w:space="0" w:color="000000"/>
                                      <w:bottom w:val="single" w:sz="0" w:space="0" w:color="000000"/>
                                      <w:right w:val="single" w:sz="0" w:space="0" w:color="000000"/>
                                    </w:pBdr>
                                    <w:shd w:val="clear" w:color="auto" w:fill="000000"/>
                                    <w:tabs>
                                      <w:tab w:val="left" w:pos="3407"/>
                                    </w:tabs>
                                    <w:spacing w:line="240" w:lineRule="auto"/>
                                    <w:ind w:firstLine="580"/>
                                    <w:rPr>
                                      <w:sz w:val="24"/>
                                      <w:szCs w:val="24"/>
                                    </w:rPr>
                                  </w:pPr>
                                  <w:r>
                                    <w:rPr>
                                      <w:rFonts w:ascii="Arial" w:eastAsia="Arial" w:hAnsi="Arial" w:cs="Arial"/>
                                      <w:b/>
                                      <w:bCs/>
                                      <w:color w:val="FFFFFF"/>
                                      <w:w w:val="70"/>
                                      <w:sz w:val="24"/>
                                      <w:szCs w:val="24"/>
                                    </w:rPr>
                                    <w:t>Dosis para niños</w:t>
                                  </w:r>
                                  <w:r>
                                    <w:rPr>
                                      <w:rFonts w:ascii="Arial" w:eastAsia="Arial" w:hAnsi="Arial" w:cs="Arial"/>
                                      <w:b/>
                                      <w:bCs/>
                                      <w:color w:val="FFFFFF"/>
                                      <w:w w:val="70"/>
                                      <w:sz w:val="24"/>
                                      <w:szCs w:val="24"/>
                                    </w:rPr>
                                    <w:tab/>
                                    <w:t>I</w:t>
                                  </w:r>
                                </w:p>
                              </w:tc>
                            </w:tr>
                            <w:tr w:rsidR="00924992" w14:paraId="0727B545" w14:textId="77777777">
                              <w:tblPrEx>
                                <w:tblCellMar>
                                  <w:top w:w="0" w:type="dxa"/>
                                  <w:bottom w:w="0" w:type="dxa"/>
                                </w:tblCellMar>
                              </w:tblPrEx>
                              <w:trPr>
                                <w:trHeight w:hRule="exact" w:val="269"/>
                              </w:trPr>
                              <w:tc>
                                <w:tcPr>
                                  <w:tcW w:w="4714" w:type="dxa"/>
                                  <w:gridSpan w:val="2"/>
                                  <w:shd w:val="clear" w:color="auto" w:fill="FFFFFF"/>
                                  <w:vAlign w:val="bottom"/>
                                </w:tcPr>
                                <w:p w14:paraId="40CFC718" w14:textId="77777777" w:rsidR="00924992" w:rsidRDefault="00924992">
                                  <w:pPr>
                                    <w:pStyle w:val="Other0"/>
                                    <w:spacing w:line="240" w:lineRule="auto"/>
                                    <w:ind w:firstLine="0"/>
                                    <w:rPr>
                                      <w:sz w:val="16"/>
                                      <w:szCs w:val="16"/>
                                    </w:rPr>
                                  </w:pPr>
                                  <w:r>
                                    <w:rPr>
                                      <w:rFonts w:ascii="Times New Roman" w:eastAsia="Times New Roman" w:hAnsi="Times New Roman" w:cs="Times New Roman"/>
                                      <w:b/>
                                      <w:bCs/>
                                      <w:color w:val="000000"/>
                                      <w:sz w:val="16"/>
                                      <w:szCs w:val="16"/>
                                    </w:rPr>
                                    <w:t xml:space="preserve">ESTRONGILOIDIASIS </w:t>
                                  </w:r>
                                  <w:r>
                                    <w:rPr>
                                      <w:rFonts w:ascii="Times New Roman" w:eastAsia="Times New Roman" w:hAnsi="Times New Roman" w:cs="Times New Roman"/>
                                      <w:i/>
                                      <w:iCs/>
                                      <w:color w:val="000000"/>
                                      <w:sz w:val="16"/>
                                      <w:szCs w:val="16"/>
                                    </w:rPr>
                                    <w:t>(Strongyloides stercoralis)</w:t>
                                  </w:r>
                                </w:p>
                              </w:tc>
                              <w:tc>
                                <w:tcPr>
                                  <w:tcW w:w="3259" w:type="dxa"/>
                                  <w:shd w:val="clear" w:color="auto" w:fill="FFFFFF"/>
                                </w:tcPr>
                                <w:p w14:paraId="7E15B131" w14:textId="77777777" w:rsidR="00924992" w:rsidRDefault="00924992">
                                  <w:pPr>
                                    <w:rPr>
                                      <w:sz w:val="10"/>
                                      <w:szCs w:val="10"/>
                                    </w:rPr>
                                  </w:pPr>
                                </w:p>
                              </w:tc>
                              <w:tc>
                                <w:tcPr>
                                  <w:tcW w:w="3461" w:type="dxa"/>
                                  <w:shd w:val="clear" w:color="auto" w:fill="FFFFFF"/>
                                </w:tcPr>
                                <w:p w14:paraId="213B9DF6" w14:textId="77777777" w:rsidR="00924992" w:rsidRDefault="00924992">
                                  <w:pPr>
                                    <w:rPr>
                                      <w:sz w:val="10"/>
                                      <w:szCs w:val="10"/>
                                    </w:rPr>
                                  </w:pPr>
                                </w:p>
                              </w:tc>
                            </w:tr>
                            <w:tr w:rsidR="00924992" w14:paraId="7D03A9BA" w14:textId="77777777">
                              <w:tblPrEx>
                                <w:tblCellMar>
                                  <w:top w:w="0" w:type="dxa"/>
                                  <w:bottom w:w="0" w:type="dxa"/>
                                </w:tblCellMar>
                              </w:tblPrEx>
                              <w:trPr>
                                <w:trHeight w:hRule="exact" w:val="182"/>
                              </w:trPr>
                              <w:tc>
                                <w:tcPr>
                                  <w:tcW w:w="2338" w:type="dxa"/>
                                  <w:shd w:val="clear" w:color="auto" w:fill="FFFFFF"/>
                                </w:tcPr>
                                <w:p w14:paraId="1961D5CF" w14:textId="77777777" w:rsidR="00924992" w:rsidRDefault="00924992">
                                  <w:pPr>
                                    <w:pStyle w:val="Other0"/>
                                    <w:spacing w:line="240" w:lineRule="auto"/>
                                    <w:ind w:firstLine="0"/>
                                    <w:rPr>
                                      <w:sz w:val="16"/>
                                      <w:szCs w:val="16"/>
                                    </w:rPr>
                                  </w:pPr>
                                  <w:r>
                                    <w:rPr>
                                      <w:rFonts w:ascii="Times New Roman" w:eastAsia="Times New Roman" w:hAnsi="Times New Roman" w:cs="Times New Roman"/>
                                      <w:color w:val="000000"/>
                                      <w:sz w:val="16"/>
                                      <w:szCs w:val="16"/>
                                    </w:rPr>
                                    <w:t>Fármaco más indicado:</w:t>
                                  </w:r>
                                  <w:r>
                                    <w:rPr>
                                      <w:rFonts w:ascii="Times New Roman" w:eastAsia="Times New Roman" w:hAnsi="Times New Roman" w:cs="Times New Roman"/>
                                      <w:color w:val="000000"/>
                                      <w:sz w:val="16"/>
                                      <w:szCs w:val="16"/>
                                      <w:vertAlign w:val="superscript"/>
                                    </w:rPr>
                                    <w:t>28</w:t>
                                  </w:r>
                                </w:p>
                              </w:tc>
                              <w:tc>
                                <w:tcPr>
                                  <w:tcW w:w="2376" w:type="dxa"/>
                                  <w:shd w:val="clear" w:color="auto" w:fill="FFFFFF"/>
                                </w:tcPr>
                                <w:p w14:paraId="59543373" w14:textId="77777777" w:rsidR="00924992" w:rsidRDefault="00924992">
                                  <w:pPr>
                                    <w:pStyle w:val="Other0"/>
                                    <w:spacing w:line="240" w:lineRule="auto"/>
                                    <w:ind w:firstLine="540"/>
                                    <w:rPr>
                                      <w:sz w:val="16"/>
                                      <w:szCs w:val="16"/>
                                    </w:rPr>
                                  </w:pPr>
                                  <w:r>
                                    <w:rPr>
                                      <w:rFonts w:ascii="Times New Roman" w:eastAsia="Times New Roman" w:hAnsi="Times New Roman" w:cs="Times New Roman"/>
                                      <w:color w:val="000000"/>
                                      <w:sz w:val="16"/>
                                      <w:szCs w:val="16"/>
                                    </w:rPr>
                                    <w:t>Ivermectina</w:t>
                                  </w:r>
                                </w:p>
                              </w:tc>
                              <w:tc>
                                <w:tcPr>
                                  <w:tcW w:w="3259" w:type="dxa"/>
                                  <w:shd w:val="clear" w:color="auto" w:fill="FFFFFF"/>
                                </w:tcPr>
                                <w:p w14:paraId="0E46A709" w14:textId="77777777" w:rsidR="00924992" w:rsidRDefault="00924992">
                                  <w:pPr>
                                    <w:pStyle w:val="Other0"/>
                                    <w:spacing w:line="240" w:lineRule="auto"/>
                                    <w:ind w:firstLine="960"/>
                                    <w:rPr>
                                      <w:sz w:val="16"/>
                                      <w:szCs w:val="16"/>
                                    </w:rPr>
                                  </w:pPr>
                                  <w:r>
                                    <w:rPr>
                                      <w:rFonts w:ascii="Times New Roman" w:eastAsia="Times New Roman" w:hAnsi="Times New Roman" w:cs="Times New Roman"/>
                                      <w:color w:val="000000"/>
                                      <w:sz w:val="16"/>
                                      <w:szCs w:val="16"/>
                                    </w:rPr>
                                    <w:t xml:space="preserve">200 pg/kg/día </w:t>
                                  </w:r>
                                  <w:r>
                                    <w:rPr>
                                      <w:color w:val="000000"/>
                                    </w:rPr>
                                    <w:t xml:space="preserve">x </w:t>
                                  </w:r>
                                  <w:r>
                                    <w:rPr>
                                      <w:rFonts w:ascii="Times New Roman" w:eastAsia="Times New Roman" w:hAnsi="Times New Roman" w:cs="Times New Roman"/>
                                      <w:color w:val="000000"/>
                                      <w:sz w:val="16"/>
                                      <w:szCs w:val="16"/>
                                    </w:rPr>
                                    <w:t>1-2 días</w:t>
                                  </w:r>
                                </w:p>
                              </w:tc>
                              <w:tc>
                                <w:tcPr>
                                  <w:tcW w:w="3461" w:type="dxa"/>
                                  <w:shd w:val="clear" w:color="auto" w:fill="FFFFFF"/>
                                </w:tcPr>
                                <w:p w14:paraId="4782B918" w14:textId="77777777" w:rsidR="00924992" w:rsidRDefault="00924992">
                                  <w:pPr>
                                    <w:pStyle w:val="Other0"/>
                                    <w:spacing w:line="240" w:lineRule="auto"/>
                                    <w:ind w:firstLine="580"/>
                                    <w:rPr>
                                      <w:sz w:val="16"/>
                                      <w:szCs w:val="16"/>
                                    </w:rPr>
                                  </w:pPr>
                                  <w:r>
                                    <w:rPr>
                                      <w:rFonts w:ascii="Times New Roman" w:eastAsia="Times New Roman" w:hAnsi="Times New Roman" w:cs="Times New Roman"/>
                                      <w:color w:val="000000"/>
                                      <w:sz w:val="16"/>
                                      <w:szCs w:val="16"/>
                                    </w:rPr>
                                    <w:t xml:space="preserve">200 pg/kg/día </w:t>
                                  </w:r>
                                  <w:r>
                                    <w:rPr>
                                      <w:color w:val="000000"/>
                                    </w:rPr>
                                    <w:t xml:space="preserve">x </w:t>
                                  </w:r>
                                  <w:r>
                                    <w:rPr>
                                      <w:rFonts w:ascii="Times New Roman" w:eastAsia="Times New Roman" w:hAnsi="Times New Roman" w:cs="Times New Roman"/>
                                      <w:color w:val="000000"/>
                                      <w:sz w:val="16"/>
                                      <w:szCs w:val="16"/>
                                    </w:rPr>
                                    <w:t>1-2 días</w:t>
                                  </w:r>
                                </w:p>
                              </w:tc>
                            </w:tr>
                            <w:tr w:rsidR="00924992" w14:paraId="31E4BCA0" w14:textId="77777777">
                              <w:tblPrEx>
                                <w:tblCellMar>
                                  <w:top w:w="0" w:type="dxa"/>
                                  <w:bottom w:w="0" w:type="dxa"/>
                                </w:tblCellMar>
                              </w:tblPrEx>
                              <w:trPr>
                                <w:trHeight w:hRule="exact" w:val="235"/>
                              </w:trPr>
                              <w:tc>
                                <w:tcPr>
                                  <w:tcW w:w="2338" w:type="dxa"/>
                                  <w:shd w:val="clear" w:color="auto" w:fill="FFFFFF"/>
                                </w:tcPr>
                                <w:p w14:paraId="109346E0" w14:textId="77777777" w:rsidR="00924992" w:rsidRDefault="00924992">
                                  <w:pPr>
                                    <w:pStyle w:val="Other0"/>
                                    <w:spacing w:line="240" w:lineRule="auto"/>
                                    <w:ind w:firstLine="0"/>
                                    <w:rPr>
                                      <w:sz w:val="16"/>
                                      <w:szCs w:val="16"/>
                                    </w:rPr>
                                  </w:pPr>
                                  <w:r>
                                    <w:rPr>
                                      <w:rFonts w:ascii="Times New Roman" w:eastAsia="Times New Roman" w:hAnsi="Times New Roman" w:cs="Times New Roman"/>
                                      <w:color w:val="000000"/>
                                      <w:sz w:val="16"/>
                                      <w:szCs w:val="16"/>
                                    </w:rPr>
                                    <w:t>Fármaco alternativo:</w:t>
                                  </w:r>
                                </w:p>
                              </w:tc>
                              <w:tc>
                                <w:tcPr>
                                  <w:tcW w:w="2376" w:type="dxa"/>
                                  <w:shd w:val="clear" w:color="auto" w:fill="FFFFFF"/>
                                </w:tcPr>
                                <w:p w14:paraId="7D12AE0D" w14:textId="77777777" w:rsidR="00924992" w:rsidRDefault="00924992">
                                  <w:pPr>
                                    <w:pStyle w:val="Other0"/>
                                    <w:spacing w:line="240" w:lineRule="auto"/>
                                    <w:ind w:firstLine="540"/>
                                    <w:rPr>
                                      <w:sz w:val="16"/>
                                      <w:szCs w:val="16"/>
                                    </w:rPr>
                                  </w:pPr>
                                  <w:r>
                                    <w:rPr>
                                      <w:rFonts w:ascii="Times New Roman" w:eastAsia="Times New Roman" w:hAnsi="Times New Roman" w:cs="Times New Roman"/>
                                      <w:color w:val="000000"/>
                                      <w:sz w:val="16"/>
                                      <w:szCs w:val="16"/>
                                    </w:rPr>
                                    <w:t>Tiabendazol</w:t>
                                  </w:r>
                                </w:p>
                              </w:tc>
                              <w:tc>
                                <w:tcPr>
                                  <w:tcW w:w="3259" w:type="dxa"/>
                                  <w:shd w:val="clear" w:color="auto" w:fill="FFFFFF"/>
                                </w:tcPr>
                                <w:p w14:paraId="50AC2F25" w14:textId="77777777" w:rsidR="00924992" w:rsidRDefault="00924992">
                                  <w:pPr>
                                    <w:pStyle w:val="Other0"/>
                                    <w:spacing w:line="240" w:lineRule="auto"/>
                                    <w:ind w:firstLine="960"/>
                                    <w:rPr>
                                      <w:sz w:val="16"/>
                                      <w:szCs w:val="16"/>
                                    </w:rPr>
                                  </w:pPr>
                                  <w:r>
                                    <w:rPr>
                                      <w:rFonts w:ascii="Times New Roman" w:eastAsia="Times New Roman" w:hAnsi="Times New Roman" w:cs="Times New Roman"/>
                                      <w:color w:val="000000"/>
                                      <w:sz w:val="16"/>
                                      <w:szCs w:val="16"/>
                                    </w:rPr>
                                    <w:t>50 mg/kg/día en 2 dosis</w:t>
                                  </w:r>
                                </w:p>
                              </w:tc>
                              <w:tc>
                                <w:tcPr>
                                  <w:tcW w:w="3461" w:type="dxa"/>
                                  <w:shd w:val="clear" w:color="auto" w:fill="FFFFFF"/>
                                </w:tcPr>
                                <w:p w14:paraId="7899732F" w14:textId="77777777" w:rsidR="00924992" w:rsidRDefault="00924992">
                                  <w:pPr>
                                    <w:pStyle w:val="Other0"/>
                                    <w:spacing w:line="240" w:lineRule="auto"/>
                                    <w:ind w:firstLine="580"/>
                                    <w:rPr>
                                      <w:sz w:val="16"/>
                                      <w:szCs w:val="16"/>
                                    </w:rPr>
                                  </w:pPr>
                                  <w:r>
                                    <w:rPr>
                                      <w:rFonts w:ascii="Times New Roman" w:eastAsia="Times New Roman" w:hAnsi="Times New Roman" w:cs="Times New Roman"/>
                                      <w:color w:val="000000"/>
                                      <w:sz w:val="16"/>
                                      <w:szCs w:val="16"/>
                                    </w:rPr>
                                    <w:t>50 mg/kg/día en 2 dosis (máx. 3 g/día)</w:t>
                                  </w:r>
                                </w:p>
                              </w:tc>
                            </w:tr>
                          </w:tbl>
                          <w:p w14:paraId="2F2504FE" w14:textId="77777777" w:rsidR="00924992" w:rsidRDefault="00924992">
                            <w:pPr>
                              <w:spacing w:line="1" w:lineRule="exact"/>
                            </w:pPr>
                          </w:p>
                        </w:txbxContent>
                      </wps:txbx>
                      <wps:bodyPr lIns="0" tIns="0" rIns="0" bIns="0"/>
                    </wps:wsp>
                  </a:graphicData>
                </a:graphic>
              </wp:anchor>
            </w:drawing>
          </mc:Choice>
          <mc:Fallback>
            <w:pict>
              <v:shape w14:anchorId="44FA7EA2" id="Shape 2396" o:spid="_x0000_s1083" type="#_x0000_t202" style="position:absolute;margin-left:31.7pt;margin-top:18.5pt;width:571.7pt;height:48.25pt;z-index:251711488;visibility:visible;mso-wrap-style:square;mso-wrap-distance-left:9pt;mso-wrap-distance-top:0;mso-wrap-distance-right:9pt;mso-wrap-distance-bottom:10.1pt;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" filled="f" stroked="f">
                <v:textbox inset="0,0,0,0">
                  <w:txbxContent>
                    <w:tbl>
                      <w:tblPr>
                        <w:tblOverlap w:val="never"/>
                        <w:tblW w:w="0" w:type="auto"/>
                        <w:tblLayout w:type="fixed"/>
                        <w:tblCellMar>
                          <w:left w:w="10" w:type="dxa"/>
                          <w:right w:w="10" w:type="dxa"/>
                        </w:tblCellMar>
                        <w:tblLook w:val="04A0" w:firstRow="1" w:lastRow="0" w:firstColumn="1" w:lastColumn="0" w:noHBand="0" w:noVBand="1"/>
                      </w:tblPr>
                      <w:tblGrid>
                        <w:gridCol w:w="2338"/>
                        <w:gridCol w:w="2376"/>
                        <w:gridCol w:w="3259"/>
                        <w:gridCol w:w="3461"/>
                      </w:tblGrid>
                      <w:tr w:rsidR="00924992" w14:paraId="525277EE" w14:textId="77777777">
                        <w:tblPrEx>
                          <w:tblCellMar>
                            <w:top w:w="0" w:type="dxa"/>
                            <w:bottom w:w="0" w:type="dxa"/>
                          </w:tblCellMar>
                        </w:tblPrEx>
                        <w:trPr>
                          <w:trHeight w:hRule="exact" w:val="278"/>
                          <w:tblHeader/>
                        </w:trPr>
                        <w:tc>
                          <w:tcPr>
                            <w:tcW w:w="2338" w:type="dxa"/>
                            <w:shd w:val="clear" w:color="auto" w:fill="000000"/>
                          </w:tcPr>
                          <w:p w14:paraId="3074EE9F" w14:textId="77777777" w:rsidR="00924992" w:rsidRDefault="00924992">
                            <w:pPr>
                              <w:pStyle w:val="Other0"/>
                              <w:pBdr>
                                <w:top w:val="single" w:sz="0" w:space="0" w:color="000000"/>
                                <w:left w:val="single" w:sz="0" w:space="0" w:color="000000"/>
                                <w:bottom w:val="single" w:sz="0" w:space="0" w:color="000000"/>
                                <w:right w:val="single" w:sz="0" w:space="0" w:color="000000"/>
                              </w:pBdr>
                              <w:shd w:val="clear" w:color="auto" w:fill="000000"/>
                              <w:spacing w:line="240" w:lineRule="auto"/>
                              <w:ind w:firstLine="0"/>
                              <w:rPr>
                                <w:sz w:val="24"/>
                                <w:szCs w:val="24"/>
                              </w:rPr>
                            </w:pPr>
                            <w:r>
                              <w:rPr>
                                <w:rFonts w:ascii="Arial" w:eastAsia="Arial" w:hAnsi="Arial" w:cs="Arial"/>
                                <w:b/>
                                <w:bCs/>
                                <w:color w:val="FFFFFF"/>
                                <w:w w:val="70"/>
                                <w:sz w:val="24"/>
                                <w:szCs w:val="24"/>
                              </w:rPr>
                              <w:t>Infección</w:t>
                            </w:r>
                          </w:p>
                        </w:tc>
                        <w:tc>
                          <w:tcPr>
                            <w:tcW w:w="2376" w:type="dxa"/>
                            <w:shd w:val="clear" w:color="auto" w:fill="000000"/>
                          </w:tcPr>
                          <w:p w14:paraId="10F32182" w14:textId="77777777" w:rsidR="00924992" w:rsidRDefault="00924992">
                            <w:pPr>
                              <w:pStyle w:val="Other0"/>
                              <w:pBdr>
                                <w:top w:val="single" w:sz="0" w:space="0" w:color="000000"/>
                                <w:left w:val="single" w:sz="0" w:space="0" w:color="000000"/>
                                <w:bottom w:val="single" w:sz="0" w:space="0" w:color="000000"/>
                                <w:right w:val="single" w:sz="0" w:space="0" w:color="000000"/>
                              </w:pBdr>
                              <w:shd w:val="clear" w:color="auto" w:fill="000000"/>
                              <w:spacing w:line="240" w:lineRule="auto"/>
                              <w:ind w:firstLine="540"/>
                              <w:rPr>
                                <w:sz w:val="24"/>
                                <w:szCs w:val="24"/>
                              </w:rPr>
                            </w:pPr>
                            <w:r>
                              <w:rPr>
                                <w:rFonts w:ascii="Arial" w:eastAsia="Arial" w:hAnsi="Arial" w:cs="Arial"/>
                                <w:b/>
                                <w:bCs/>
                                <w:color w:val="FFFFFF"/>
                                <w:w w:val="70"/>
                                <w:sz w:val="24"/>
                                <w:szCs w:val="24"/>
                              </w:rPr>
                              <w:t>Fármaco</w:t>
                            </w:r>
                          </w:p>
                        </w:tc>
                        <w:tc>
                          <w:tcPr>
                            <w:tcW w:w="3259" w:type="dxa"/>
                            <w:shd w:val="clear" w:color="auto" w:fill="000000"/>
                          </w:tcPr>
                          <w:p w14:paraId="5A59203D" w14:textId="77777777" w:rsidR="00924992" w:rsidRDefault="00924992">
                            <w:pPr>
                              <w:pStyle w:val="Other0"/>
                              <w:pBdr>
                                <w:top w:val="single" w:sz="0" w:space="0" w:color="000000"/>
                                <w:left w:val="single" w:sz="0" w:space="0" w:color="000000"/>
                                <w:bottom w:val="single" w:sz="0" w:space="0" w:color="000000"/>
                                <w:right w:val="single" w:sz="0" w:space="0" w:color="000000"/>
                              </w:pBdr>
                              <w:shd w:val="clear" w:color="auto" w:fill="000000"/>
                              <w:spacing w:line="240" w:lineRule="auto"/>
                              <w:ind w:firstLine="0"/>
                              <w:jc w:val="center"/>
                              <w:rPr>
                                <w:sz w:val="24"/>
                                <w:szCs w:val="24"/>
                              </w:rPr>
                            </w:pPr>
                            <w:r>
                              <w:rPr>
                                <w:rFonts w:ascii="Arial" w:eastAsia="Arial" w:hAnsi="Arial" w:cs="Arial"/>
                                <w:b/>
                                <w:bCs/>
                                <w:color w:val="FFFFFF"/>
                                <w:w w:val="70"/>
                                <w:sz w:val="24"/>
                                <w:szCs w:val="24"/>
                              </w:rPr>
                              <w:t>Dosis para adultos</w:t>
                            </w:r>
                          </w:p>
                        </w:tc>
                        <w:tc>
                          <w:tcPr>
                            <w:tcW w:w="3461" w:type="dxa"/>
                            <w:shd w:val="clear" w:color="auto" w:fill="000000"/>
                          </w:tcPr>
                          <w:p w14:paraId="28369DDA" w14:textId="77777777" w:rsidR="00924992" w:rsidRDefault="00924992">
                            <w:pPr>
                              <w:pStyle w:val="Other0"/>
                              <w:pBdr>
                                <w:top w:val="single" w:sz="0" w:space="0" w:color="000000"/>
                                <w:left w:val="single" w:sz="0" w:space="0" w:color="000000"/>
                                <w:bottom w:val="single" w:sz="0" w:space="0" w:color="000000"/>
                                <w:right w:val="single" w:sz="0" w:space="0" w:color="000000"/>
                              </w:pBdr>
                              <w:shd w:val="clear" w:color="auto" w:fill="000000"/>
                              <w:tabs>
                                <w:tab w:val="left" w:pos="3407"/>
                              </w:tabs>
                              <w:spacing w:line="240" w:lineRule="auto"/>
                              <w:ind w:firstLine="580"/>
                              <w:rPr>
                                <w:sz w:val="24"/>
                                <w:szCs w:val="24"/>
                              </w:rPr>
                            </w:pPr>
                            <w:r>
                              <w:rPr>
                                <w:rFonts w:ascii="Arial" w:eastAsia="Arial" w:hAnsi="Arial" w:cs="Arial"/>
                                <w:b/>
                                <w:bCs/>
                                <w:color w:val="FFFFFF"/>
                                <w:w w:val="70"/>
                                <w:sz w:val="24"/>
                                <w:szCs w:val="24"/>
                              </w:rPr>
                              <w:t>Dosis para niños</w:t>
                            </w:r>
                            <w:r>
                              <w:rPr>
                                <w:rFonts w:ascii="Arial" w:eastAsia="Arial" w:hAnsi="Arial" w:cs="Arial"/>
                                <w:b/>
                                <w:bCs/>
                                <w:color w:val="FFFFFF"/>
                                <w:w w:val="70"/>
                                <w:sz w:val="24"/>
                                <w:szCs w:val="24"/>
                              </w:rPr>
                              <w:tab/>
                              <w:t>I</w:t>
                            </w:r>
                          </w:p>
                        </w:tc>
                      </w:tr>
                      <w:tr w:rsidR="00924992" w14:paraId="0727B545" w14:textId="77777777">
                        <w:tblPrEx>
                          <w:tblCellMar>
                            <w:top w:w="0" w:type="dxa"/>
                            <w:bottom w:w="0" w:type="dxa"/>
                          </w:tblCellMar>
                        </w:tblPrEx>
                        <w:trPr>
                          <w:trHeight w:hRule="exact" w:val="269"/>
                        </w:trPr>
                        <w:tc>
                          <w:tcPr>
                            <w:tcW w:w="4714" w:type="dxa"/>
                            <w:gridSpan w:val="2"/>
                            <w:shd w:val="clear" w:color="auto" w:fill="FFFFFF"/>
                            <w:vAlign w:val="bottom"/>
                          </w:tcPr>
                          <w:p w14:paraId="40CFC718" w14:textId="77777777" w:rsidR="00924992" w:rsidRDefault="00924992">
                            <w:pPr>
                              <w:pStyle w:val="Other0"/>
                              <w:spacing w:line="240" w:lineRule="auto"/>
                              <w:ind w:firstLine="0"/>
                              <w:rPr>
                                <w:sz w:val="16"/>
                                <w:szCs w:val="16"/>
                              </w:rPr>
                            </w:pPr>
                            <w:r>
                              <w:rPr>
                                <w:rFonts w:ascii="Times New Roman" w:eastAsia="Times New Roman" w:hAnsi="Times New Roman" w:cs="Times New Roman"/>
                                <w:b/>
                                <w:bCs/>
                                <w:color w:val="000000"/>
                                <w:sz w:val="16"/>
                                <w:szCs w:val="16"/>
                              </w:rPr>
                              <w:t xml:space="preserve">ESTRONGILOIDIASIS </w:t>
                            </w:r>
                            <w:r>
                              <w:rPr>
                                <w:rFonts w:ascii="Times New Roman" w:eastAsia="Times New Roman" w:hAnsi="Times New Roman" w:cs="Times New Roman"/>
                                <w:i/>
                                <w:iCs/>
                                <w:color w:val="000000"/>
                                <w:sz w:val="16"/>
                                <w:szCs w:val="16"/>
                              </w:rPr>
                              <w:t>(Strongyloides stercoralis)</w:t>
                            </w:r>
                          </w:p>
                        </w:tc>
                        <w:tc>
                          <w:tcPr>
                            <w:tcW w:w="3259" w:type="dxa"/>
                            <w:shd w:val="clear" w:color="auto" w:fill="FFFFFF"/>
                          </w:tcPr>
                          <w:p w14:paraId="7E15B131" w14:textId="77777777" w:rsidR="00924992" w:rsidRDefault="00924992">
                            <w:pPr>
                              <w:rPr>
                                <w:sz w:val="10"/>
                                <w:szCs w:val="10"/>
                              </w:rPr>
                            </w:pPr>
                          </w:p>
                        </w:tc>
                        <w:tc>
                          <w:tcPr>
                            <w:tcW w:w="3461" w:type="dxa"/>
                            <w:shd w:val="clear" w:color="auto" w:fill="FFFFFF"/>
                          </w:tcPr>
                          <w:p w14:paraId="213B9DF6" w14:textId="77777777" w:rsidR="00924992" w:rsidRDefault="00924992">
                            <w:pPr>
                              <w:rPr>
                                <w:sz w:val="10"/>
                                <w:szCs w:val="10"/>
                              </w:rPr>
                            </w:pPr>
                          </w:p>
                        </w:tc>
                      </w:tr>
                      <w:tr w:rsidR="00924992" w14:paraId="7D03A9BA" w14:textId="77777777">
                        <w:tblPrEx>
                          <w:tblCellMar>
                            <w:top w:w="0" w:type="dxa"/>
                            <w:bottom w:w="0" w:type="dxa"/>
                          </w:tblCellMar>
                        </w:tblPrEx>
                        <w:trPr>
                          <w:trHeight w:hRule="exact" w:val="182"/>
                        </w:trPr>
                        <w:tc>
                          <w:tcPr>
                            <w:tcW w:w="2338" w:type="dxa"/>
                            <w:shd w:val="clear" w:color="auto" w:fill="FFFFFF"/>
                          </w:tcPr>
                          <w:p w14:paraId="1961D5CF" w14:textId="77777777" w:rsidR="00924992" w:rsidRDefault="00924992">
                            <w:pPr>
                              <w:pStyle w:val="Other0"/>
                              <w:spacing w:line="240" w:lineRule="auto"/>
                              <w:ind w:firstLine="0"/>
                              <w:rPr>
                                <w:sz w:val="16"/>
                                <w:szCs w:val="16"/>
                              </w:rPr>
                            </w:pPr>
                            <w:r>
                              <w:rPr>
                                <w:rFonts w:ascii="Times New Roman" w:eastAsia="Times New Roman" w:hAnsi="Times New Roman" w:cs="Times New Roman"/>
                                <w:color w:val="000000"/>
                                <w:sz w:val="16"/>
                                <w:szCs w:val="16"/>
                              </w:rPr>
                              <w:t>Fármaco más indicado:</w:t>
                            </w:r>
                            <w:r>
                              <w:rPr>
                                <w:rFonts w:ascii="Times New Roman" w:eastAsia="Times New Roman" w:hAnsi="Times New Roman" w:cs="Times New Roman"/>
                                <w:color w:val="000000"/>
                                <w:sz w:val="16"/>
                                <w:szCs w:val="16"/>
                                <w:vertAlign w:val="superscript"/>
                              </w:rPr>
                              <w:t>28</w:t>
                            </w:r>
                          </w:p>
                        </w:tc>
                        <w:tc>
                          <w:tcPr>
                            <w:tcW w:w="2376" w:type="dxa"/>
                            <w:shd w:val="clear" w:color="auto" w:fill="FFFFFF"/>
                          </w:tcPr>
                          <w:p w14:paraId="59543373" w14:textId="77777777" w:rsidR="00924992" w:rsidRDefault="00924992">
                            <w:pPr>
                              <w:pStyle w:val="Other0"/>
                              <w:spacing w:line="240" w:lineRule="auto"/>
                              <w:ind w:firstLine="540"/>
                              <w:rPr>
                                <w:sz w:val="16"/>
                                <w:szCs w:val="16"/>
                              </w:rPr>
                            </w:pPr>
                            <w:r>
                              <w:rPr>
                                <w:rFonts w:ascii="Times New Roman" w:eastAsia="Times New Roman" w:hAnsi="Times New Roman" w:cs="Times New Roman"/>
                                <w:color w:val="000000"/>
                                <w:sz w:val="16"/>
                                <w:szCs w:val="16"/>
                              </w:rPr>
                              <w:t>Ivermectina</w:t>
                            </w:r>
                          </w:p>
                        </w:tc>
                        <w:tc>
                          <w:tcPr>
                            <w:tcW w:w="3259" w:type="dxa"/>
                            <w:shd w:val="clear" w:color="auto" w:fill="FFFFFF"/>
                          </w:tcPr>
                          <w:p w14:paraId="0E46A709" w14:textId="77777777" w:rsidR="00924992" w:rsidRDefault="00924992">
                            <w:pPr>
                              <w:pStyle w:val="Other0"/>
                              <w:spacing w:line="240" w:lineRule="auto"/>
                              <w:ind w:firstLine="960"/>
                              <w:rPr>
                                <w:sz w:val="16"/>
                                <w:szCs w:val="16"/>
                              </w:rPr>
                            </w:pPr>
                            <w:r>
                              <w:rPr>
                                <w:rFonts w:ascii="Times New Roman" w:eastAsia="Times New Roman" w:hAnsi="Times New Roman" w:cs="Times New Roman"/>
                                <w:color w:val="000000"/>
                                <w:sz w:val="16"/>
                                <w:szCs w:val="16"/>
                              </w:rPr>
                              <w:t xml:space="preserve">200 pg/kg/día </w:t>
                            </w:r>
                            <w:r>
                              <w:rPr>
                                <w:color w:val="000000"/>
                              </w:rPr>
                              <w:t xml:space="preserve">x </w:t>
                            </w:r>
                            <w:r>
                              <w:rPr>
                                <w:rFonts w:ascii="Times New Roman" w:eastAsia="Times New Roman" w:hAnsi="Times New Roman" w:cs="Times New Roman"/>
                                <w:color w:val="000000"/>
                                <w:sz w:val="16"/>
                                <w:szCs w:val="16"/>
                              </w:rPr>
                              <w:t>1-2 días</w:t>
                            </w:r>
                          </w:p>
                        </w:tc>
                        <w:tc>
                          <w:tcPr>
                            <w:tcW w:w="3461" w:type="dxa"/>
                            <w:shd w:val="clear" w:color="auto" w:fill="FFFFFF"/>
                          </w:tcPr>
                          <w:p w14:paraId="4782B918" w14:textId="77777777" w:rsidR="00924992" w:rsidRDefault="00924992">
                            <w:pPr>
                              <w:pStyle w:val="Other0"/>
                              <w:spacing w:line="240" w:lineRule="auto"/>
                              <w:ind w:firstLine="580"/>
                              <w:rPr>
                                <w:sz w:val="16"/>
                                <w:szCs w:val="16"/>
                              </w:rPr>
                            </w:pPr>
                            <w:r>
                              <w:rPr>
                                <w:rFonts w:ascii="Times New Roman" w:eastAsia="Times New Roman" w:hAnsi="Times New Roman" w:cs="Times New Roman"/>
                                <w:color w:val="000000"/>
                                <w:sz w:val="16"/>
                                <w:szCs w:val="16"/>
                              </w:rPr>
                              <w:t xml:space="preserve">200 pg/kg/día </w:t>
                            </w:r>
                            <w:r>
                              <w:rPr>
                                <w:color w:val="000000"/>
                              </w:rPr>
                              <w:t xml:space="preserve">x </w:t>
                            </w:r>
                            <w:r>
                              <w:rPr>
                                <w:rFonts w:ascii="Times New Roman" w:eastAsia="Times New Roman" w:hAnsi="Times New Roman" w:cs="Times New Roman"/>
                                <w:color w:val="000000"/>
                                <w:sz w:val="16"/>
                                <w:szCs w:val="16"/>
                              </w:rPr>
                              <w:t>1-2 días</w:t>
                            </w:r>
                          </w:p>
                        </w:tc>
                      </w:tr>
                      <w:tr w:rsidR="00924992" w14:paraId="31E4BCA0" w14:textId="77777777">
                        <w:tblPrEx>
                          <w:tblCellMar>
                            <w:top w:w="0" w:type="dxa"/>
                            <w:bottom w:w="0" w:type="dxa"/>
                          </w:tblCellMar>
                        </w:tblPrEx>
                        <w:trPr>
                          <w:trHeight w:hRule="exact" w:val="235"/>
                        </w:trPr>
                        <w:tc>
                          <w:tcPr>
                            <w:tcW w:w="2338" w:type="dxa"/>
                            <w:shd w:val="clear" w:color="auto" w:fill="FFFFFF"/>
                          </w:tcPr>
                          <w:p w14:paraId="109346E0" w14:textId="77777777" w:rsidR="00924992" w:rsidRDefault="00924992">
                            <w:pPr>
                              <w:pStyle w:val="Other0"/>
                              <w:spacing w:line="240" w:lineRule="auto"/>
                              <w:ind w:firstLine="0"/>
                              <w:rPr>
                                <w:sz w:val="16"/>
                                <w:szCs w:val="16"/>
                              </w:rPr>
                            </w:pPr>
                            <w:r>
                              <w:rPr>
                                <w:rFonts w:ascii="Times New Roman" w:eastAsia="Times New Roman" w:hAnsi="Times New Roman" w:cs="Times New Roman"/>
                                <w:color w:val="000000"/>
                                <w:sz w:val="16"/>
                                <w:szCs w:val="16"/>
                              </w:rPr>
                              <w:t>Fármaco alternativo:</w:t>
                            </w:r>
                          </w:p>
                        </w:tc>
                        <w:tc>
                          <w:tcPr>
                            <w:tcW w:w="2376" w:type="dxa"/>
                            <w:shd w:val="clear" w:color="auto" w:fill="FFFFFF"/>
                          </w:tcPr>
                          <w:p w14:paraId="7D12AE0D" w14:textId="77777777" w:rsidR="00924992" w:rsidRDefault="00924992">
                            <w:pPr>
                              <w:pStyle w:val="Other0"/>
                              <w:spacing w:line="240" w:lineRule="auto"/>
                              <w:ind w:firstLine="540"/>
                              <w:rPr>
                                <w:sz w:val="16"/>
                                <w:szCs w:val="16"/>
                              </w:rPr>
                            </w:pPr>
                            <w:r>
                              <w:rPr>
                                <w:rFonts w:ascii="Times New Roman" w:eastAsia="Times New Roman" w:hAnsi="Times New Roman" w:cs="Times New Roman"/>
                                <w:color w:val="000000"/>
                                <w:sz w:val="16"/>
                                <w:szCs w:val="16"/>
                              </w:rPr>
                              <w:t>Tiabendazol</w:t>
                            </w:r>
                          </w:p>
                        </w:tc>
                        <w:tc>
                          <w:tcPr>
                            <w:tcW w:w="3259" w:type="dxa"/>
                            <w:shd w:val="clear" w:color="auto" w:fill="FFFFFF"/>
                          </w:tcPr>
                          <w:p w14:paraId="50AC2F25" w14:textId="77777777" w:rsidR="00924992" w:rsidRDefault="00924992">
                            <w:pPr>
                              <w:pStyle w:val="Other0"/>
                              <w:spacing w:line="240" w:lineRule="auto"/>
                              <w:ind w:firstLine="960"/>
                              <w:rPr>
                                <w:sz w:val="16"/>
                                <w:szCs w:val="16"/>
                              </w:rPr>
                            </w:pPr>
                            <w:r>
                              <w:rPr>
                                <w:rFonts w:ascii="Times New Roman" w:eastAsia="Times New Roman" w:hAnsi="Times New Roman" w:cs="Times New Roman"/>
                                <w:color w:val="000000"/>
                                <w:sz w:val="16"/>
                                <w:szCs w:val="16"/>
                              </w:rPr>
                              <w:t>50 mg/kg/día en 2 dosis</w:t>
                            </w:r>
                          </w:p>
                        </w:tc>
                        <w:tc>
                          <w:tcPr>
                            <w:tcW w:w="3461" w:type="dxa"/>
                            <w:shd w:val="clear" w:color="auto" w:fill="FFFFFF"/>
                          </w:tcPr>
                          <w:p w14:paraId="7899732F" w14:textId="77777777" w:rsidR="00924992" w:rsidRDefault="00924992">
                            <w:pPr>
                              <w:pStyle w:val="Other0"/>
                              <w:spacing w:line="240" w:lineRule="auto"/>
                              <w:ind w:firstLine="580"/>
                              <w:rPr>
                                <w:sz w:val="16"/>
                                <w:szCs w:val="16"/>
                              </w:rPr>
                            </w:pPr>
                            <w:r>
                              <w:rPr>
                                <w:rFonts w:ascii="Times New Roman" w:eastAsia="Times New Roman" w:hAnsi="Times New Roman" w:cs="Times New Roman"/>
                                <w:color w:val="000000"/>
                                <w:sz w:val="16"/>
                                <w:szCs w:val="16"/>
                              </w:rPr>
                              <w:t>50 mg/kg/día en 2 dosis (máx. 3 g/día)</w:t>
                            </w:r>
                          </w:p>
                        </w:tc>
                      </w:tr>
                    </w:tbl>
                    <w:p w14:paraId="2F2504FE" w14:textId="77777777" w:rsidR="00924992" w:rsidRDefault="00924992">
                      <w:pPr>
                        <w:spacing w:line="1" w:lineRule="exact"/>
                      </w:pPr>
                    </w:p>
                  </w:txbxContent>
                </v:textbox>
                <w10:wrap type="topAndBottom" anchorx="page"/>
              </v:shape>
            </w:pict>
          </mc:Fallback>
        </mc:AlternateContent>
      </w:r>
      <w:r>
        <w:rPr>
          <w:noProof/>
        </w:rPr>
        <mc:AlternateContent>
          <mc:Choice Requires="wps">
            <w:drawing>
              <wp:anchor distT="0" distB="0" distL="0" distR="0" simplePos="0" relativeHeight="251792384" behindDoc="0" locked="0" layoutInCell="1" allowOverlap="1" wp14:anchorId="16B1C7F9" wp14:editId="3D51517B">
                <wp:simplePos x="0" y="0"/>
                <wp:positionH relativeFrom="page">
                  <wp:posOffset>4063365</wp:posOffset>
                </wp:positionH>
                <wp:positionV relativeFrom="paragraph">
                  <wp:posOffset>822960</wp:posOffset>
                </wp:positionV>
                <wp:extent cx="2258695" cy="152400"/>
                <wp:effectExtent l="0" t="0" r="0" b="0"/>
                <wp:wrapNone/>
                <wp:docPr id="2398" name="Shape 2398"/>
                <wp:cNvGraphicFramePr/>
                <a:graphic xmlns:a="http://schemas.openxmlformats.org/drawingml/2006/main">
                  <a:graphicData uri="http://schemas.microsoft.com/office/word/2010/wordprocessingShape">
                    <wps:wsp>
                      <wps:cNvSpPr txBox="1"/>
                      <wps:spPr>
                        <a:xfrm>
                          <a:off x="0" y="0"/>
                          <a:ext cx="2258695" cy="152400"/>
                        </a:xfrm>
                        <a:prstGeom prst="rect">
                          <a:avLst/>
                        </a:prstGeom>
                        <a:noFill/>
                      </wps:spPr>
                      <wps:txbx>
                        <w:txbxContent>
                          <w:p w14:paraId="5BD8182B" w14:textId="77777777" w:rsidR="00924992" w:rsidRDefault="00924992">
                            <w:pPr>
                              <w:pStyle w:val="Tablecaption0"/>
                              <w:tabs>
                                <w:tab w:val="left" w:pos="2837"/>
                              </w:tabs>
                              <w:spacing w:line="240" w:lineRule="auto"/>
                              <w:ind w:left="0"/>
                              <w:rPr>
                                <w:sz w:val="16"/>
                                <w:szCs w:val="16"/>
                              </w:rPr>
                            </w:pPr>
                            <w:r>
                              <w:rPr>
                                <w:color w:val="000000"/>
                                <w:sz w:val="16"/>
                                <w:szCs w:val="16"/>
                              </w:rPr>
                              <w:t xml:space="preserve">(máx. 3 g/día) </w:t>
                            </w:r>
                            <w:r>
                              <w:rPr>
                                <w:rFonts w:ascii="Garamond" w:eastAsia="Garamond" w:hAnsi="Garamond" w:cs="Garamond"/>
                                <w:color w:val="000000"/>
                                <w:sz w:val="19"/>
                                <w:szCs w:val="19"/>
                              </w:rPr>
                              <w:t xml:space="preserve">x </w:t>
                            </w:r>
                            <w:r>
                              <w:rPr>
                                <w:color w:val="000000"/>
                                <w:sz w:val="16"/>
                                <w:szCs w:val="16"/>
                              </w:rPr>
                              <w:t>2 días</w:t>
                            </w:r>
                            <w:r>
                              <w:rPr>
                                <w:color w:val="000000"/>
                                <w:sz w:val="16"/>
                                <w:szCs w:val="16"/>
                                <w:vertAlign w:val="superscript"/>
                              </w:rPr>
                              <w:t>29</w:t>
                            </w:r>
                            <w:r>
                              <w:rPr>
                                <w:color w:val="000000"/>
                                <w:sz w:val="16"/>
                                <w:szCs w:val="16"/>
                              </w:rPr>
                              <w:tab/>
                            </w:r>
                            <w:r>
                              <w:rPr>
                                <w:rFonts w:ascii="Garamond" w:eastAsia="Garamond" w:hAnsi="Garamond" w:cs="Garamond"/>
                                <w:color w:val="000000"/>
                                <w:sz w:val="19"/>
                                <w:szCs w:val="19"/>
                              </w:rPr>
                              <w:t xml:space="preserve">x </w:t>
                            </w:r>
                            <w:r>
                              <w:rPr>
                                <w:color w:val="000000"/>
                                <w:sz w:val="16"/>
                                <w:szCs w:val="16"/>
                              </w:rPr>
                              <w:t>2 días</w:t>
                            </w:r>
                            <w:r>
                              <w:rPr>
                                <w:color w:val="000000"/>
                                <w:sz w:val="16"/>
                                <w:szCs w:val="16"/>
                                <w:vertAlign w:val="superscript"/>
                              </w:rPr>
                              <w:t>29</w:t>
                            </w:r>
                          </w:p>
                        </w:txbxContent>
                      </wps:txbx>
                      <wps:bodyPr lIns="0" tIns="0" rIns="0" bIns="0"/>
                    </wps:wsp>
                  </a:graphicData>
                </a:graphic>
              </wp:anchor>
            </w:drawing>
          </mc:Choice>
          <mc:Fallback>
            <w:pict>
              <v:shape w14:anchorId="16B1C7F9" id="Shape 2398" o:spid="_x0000_s1084" type="#_x0000_t202" style="position:absolute;margin-left:319.95pt;margin-top:64.8pt;width:177.85pt;height:12pt;z-index:25179238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" filled="f" stroked="f">
                <v:textbox inset="0,0,0,0">
                  <w:txbxContent>
                    <w:p w14:paraId="5BD8182B" w14:textId="77777777" w:rsidR="00924992" w:rsidRDefault="00924992">
                      <w:pPr>
                        <w:pStyle w:val="Tablecaption0"/>
                        <w:tabs>
                          <w:tab w:val="left" w:pos="2837"/>
                        </w:tabs>
                        <w:spacing w:line="240" w:lineRule="auto"/>
                        <w:ind w:left="0"/>
                        <w:rPr>
                          <w:sz w:val="16"/>
                          <w:szCs w:val="16"/>
                        </w:rPr>
                      </w:pPr>
                      <w:r>
                        <w:rPr>
                          <w:color w:val="000000"/>
                          <w:sz w:val="16"/>
                          <w:szCs w:val="16"/>
                        </w:rPr>
                        <w:t xml:space="preserve">(máx. 3 g/día) </w:t>
                      </w:r>
                      <w:r>
                        <w:rPr>
                          <w:rFonts w:ascii="Garamond" w:eastAsia="Garamond" w:hAnsi="Garamond" w:cs="Garamond"/>
                          <w:color w:val="000000"/>
                          <w:sz w:val="19"/>
                          <w:szCs w:val="19"/>
                        </w:rPr>
                        <w:t xml:space="preserve">x </w:t>
                      </w:r>
                      <w:r>
                        <w:rPr>
                          <w:color w:val="000000"/>
                          <w:sz w:val="16"/>
                          <w:szCs w:val="16"/>
                        </w:rPr>
                        <w:t>2 días</w:t>
                      </w:r>
                      <w:r>
                        <w:rPr>
                          <w:color w:val="000000"/>
                          <w:sz w:val="16"/>
                          <w:szCs w:val="16"/>
                          <w:vertAlign w:val="superscript"/>
                        </w:rPr>
                        <w:t>29</w:t>
                      </w:r>
                      <w:r>
                        <w:rPr>
                          <w:color w:val="000000"/>
                          <w:sz w:val="16"/>
                          <w:szCs w:val="16"/>
                        </w:rPr>
                        <w:tab/>
                      </w:r>
                      <w:r>
                        <w:rPr>
                          <w:rFonts w:ascii="Garamond" w:eastAsia="Garamond" w:hAnsi="Garamond" w:cs="Garamond"/>
                          <w:color w:val="000000"/>
                          <w:sz w:val="19"/>
                          <w:szCs w:val="19"/>
                        </w:rPr>
                        <w:t xml:space="preserve">x </w:t>
                      </w:r>
                      <w:r>
                        <w:rPr>
                          <w:color w:val="000000"/>
                          <w:sz w:val="16"/>
                          <w:szCs w:val="16"/>
                        </w:rPr>
                        <w:t>2 días</w:t>
                      </w:r>
                      <w:r>
                        <w:rPr>
                          <w:color w:val="000000"/>
                          <w:sz w:val="16"/>
                          <w:szCs w:val="16"/>
                          <w:vertAlign w:val="superscript"/>
                        </w:rPr>
                        <w:t>29</w:t>
                      </w:r>
                    </w:p>
                  </w:txbxContent>
                </v:textbox>
                <w10:wrap anchorx="page"/>
              </v:shape>
            </w:pict>
          </mc:Fallback>
        </mc:AlternateContent>
      </w:r>
      <w:r>
        <w:rPr>
          <w:noProof/>
        </w:rPr>
        <mc:AlternateContent>
          <mc:Choice Requires="wps">
            <w:drawing>
              <wp:anchor distT="150495" distB="0" distL="114300" distR="114300" simplePos="0" relativeHeight="251712512" behindDoc="0" locked="0" layoutInCell="1" allowOverlap="1" wp14:anchorId="73AFB419" wp14:editId="369D09CF">
                <wp:simplePos x="0" y="0"/>
                <wp:positionH relativeFrom="page">
                  <wp:posOffset>423545</wp:posOffset>
                </wp:positionH>
                <wp:positionV relativeFrom="paragraph">
                  <wp:posOffset>1063625</wp:posOffset>
                </wp:positionV>
                <wp:extent cx="7016750" cy="1981200"/>
                <wp:effectExtent l="0" t="0" r="0" b="0"/>
                <wp:wrapTopAndBottom/>
                <wp:docPr id="2400" name="Shape 2400"/>
                <wp:cNvGraphicFramePr/>
                <a:graphic xmlns:a="http://schemas.openxmlformats.org/drawingml/2006/main">
                  <a:graphicData uri="http://schemas.microsoft.com/office/word/2010/wordprocessingShape">
                    <wps:wsp>
                      <wps:cNvSpPr txBox="1"/>
                      <wps:spPr>
                        <a:xfrm>
                          <a:off x="0" y="0"/>
                          <a:ext cx="7016750" cy="1981200"/>
                        </a:xfrm>
                        <a:prstGeom prst="rect">
                          <a:avLst/>
                        </a:prstGeom>
                        <a:noFill/>
                      </wps:spPr>
                      <wps:txbx>
                        <w:txbxContent>
                          <w:tbl>
                            <w:tblPr>
                              <w:tblOverlap w:val="never"/>
                              <w:tblW w:w="0" w:type="auto"/>
                              <w:tblLayout w:type="fixed"/>
                              <w:tblCellMar>
                                <w:left w:w="10" w:type="dxa"/>
                                <w:right w:w="10" w:type="dxa"/>
                              </w:tblCellMar>
                              <w:tblLook w:val="04A0" w:firstRow="1" w:lastRow="0" w:firstColumn="1" w:lastColumn="0" w:noHBand="0" w:noVBand="1"/>
                            </w:tblPr>
                            <w:tblGrid>
                              <w:gridCol w:w="2424"/>
                              <w:gridCol w:w="2630"/>
                              <w:gridCol w:w="3278"/>
                              <w:gridCol w:w="2717"/>
                            </w:tblGrid>
                            <w:tr w:rsidR="00924992" w14:paraId="2A981F8C" w14:textId="77777777">
                              <w:tblPrEx>
                                <w:tblCellMar>
                                  <w:top w:w="0" w:type="dxa"/>
                                  <w:bottom w:w="0" w:type="dxa"/>
                                </w:tblCellMar>
                              </w:tblPrEx>
                              <w:trPr>
                                <w:trHeight w:hRule="exact" w:val="197"/>
                                <w:tblHeader/>
                              </w:trPr>
                              <w:tc>
                                <w:tcPr>
                                  <w:tcW w:w="2424" w:type="dxa"/>
                                  <w:shd w:val="clear" w:color="auto" w:fill="FFFFFF"/>
                                </w:tcPr>
                                <w:p w14:paraId="5DB0EB83" w14:textId="77777777" w:rsidR="00924992" w:rsidRDefault="00924992">
                                  <w:pPr>
                                    <w:pStyle w:val="Other0"/>
                                    <w:spacing w:line="240" w:lineRule="auto"/>
                                    <w:ind w:firstLine="0"/>
                                    <w:rPr>
                                      <w:sz w:val="16"/>
                                      <w:szCs w:val="16"/>
                                    </w:rPr>
                                  </w:pPr>
                                  <w:r>
                                    <w:rPr>
                                      <w:rFonts w:ascii="Times New Roman" w:eastAsia="Times New Roman" w:hAnsi="Times New Roman" w:cs="Times New Roman"/>
                                      <w:b/>
                                      <w:bCs/>
                                      <w:color w:val="000000"/>
                                      <w:sz w:val="16"/>
                                      <w:szCs w:val="16"/>
                                    </w:rPr>
                                    <w:t>FILARIASIS</w:t>
                                  </w:r>
                                  <w:r>
                                    <w:rPr>
                                      <w:rFonts w:ascii="Times New Roman" w:eastAsia="Times New Roman" w:hAnsi="Times New Roman" w:cs="Times New Roman"/>
                                      <w:color w:val="000000"/>
                                      <w:sz w:val="16"/>
                                      <w:szCs w:val="16"/>
                                      <w:vertAlign w:val="superscript"/>
                                    </w:rPr>
                                    <w:t>30</w:t>
                                  </w:r>
                                </w:p>
                              </w:tc>
                              <w:tc>
                                <w:tcPr>
                                  <w:tcW w:w="2630" w:type="dxa"/>
                                  <w:shd w:val="clear" w:color="auto" w:fill="FFFFFF"/>
                                </w:tcPr>
                                <w:p w14:paraId="6747DA5A" w14:textId="77777777" w:rsidR="00924992" w:rsidRDefault="00924992">
                                  <w:pPr>
                                    <w:rPr>
                                      <w:sz w:val="10"/>
                                      <w:szCs w:val="10"/>
                                    </w:rPr>
                                  </w:pPr>
                                </w:p>
                              </w:tc>
                              <w:tc>
                                <w:tcPr>
                                  <w:tcW w:w="3278" w:type="dxa"/>
                                  <w:shd w:val="clear" w:color="auto" w:fill="FFFFFF"/>
                                </w:tcPr>
                                <w:p w14:paraId="4A909FC3" w14:textId="77777777" w:rsidR="00924992" w:rsidRDefault="00924992">
                                  <w:pPr>
                                    <w:rPr>
                                      <w:sz w:val="10"/>
                                      <w:szCs w:val="10"/>
                                    </w:rPr>
                                  </w:pPr>
                                </w:p>
                              </w:tc>
                              <w:tc>
                                <w:tcPr>
                                  <w:tcW w:w="2717" w:type="dxa"/>
                                  <w:shd w:val="clear" w:color="auto" w:fill="FFFFFF"/>
                                </w:tcPr>
                                <w:p w14:paraId="294DD95A" w14:textId="77777777" w:rsidR="00924992" w:rsidRDefault="00924992">
                                  <w:pPr>
                                    <w:rPr>
                                      <w:sz w:val="10"/>
                                      <w:szCs w:val="10"/>
                                    </w:rPr>
                                  </w:pPr>
                                </w:p>
                              </w:tc>
                            </w:tr>
                            <w:tr w:rsidR="00924992" w14:paraId="092D5D83" w14:textId="77777777">
                              <w:tblPrEx>
                                <w:tblCellMar>
                                  <w:top w:w="0" w:type="dxa"/>
                                  <w:bottom w:w="0" w:type="dxa"/>
                                </w:tblCellMar>
                              </w:tblPrEx>
                              <w:trPr>
                                <w:trHeight w:hRule="exact" w:val="221"/>
                              </w:trPr>
                              <w:tc>
                                <w:tcPr>
                                  <w:tcW w:w="5054" w:type="dxa"/>
                                  <w:gridSpan w:val="2"/>
                                  <w:shd w:val="clear" w:color="auto" w:fill="FFFFFF"/>
                                  <w:vAlign w:val="bottom"/>
                                </w:tcPr>
                                <w:p w14:paraId="28FF0D23" w14:textId="77777777" w:rsidR="00924992" w:rsidRDefault="00924992">
                                  <w:pPr>
                                    <w:pStyle w:val="Other0"/>
                                    <w:spacing w:line="240" w:lineRule="auto"/>
                                    <w:ind w:firstLine="0"/>
                                    <w:rPr>
                                      <w:sz w:val="17"/>
                                      <w:szCs w:val="17"/>
                                    </w:rPr>
                                  </w:pPr>
                                  <w:r>
                                    <w:rPr>
                                      <w:rFonts w:ascii="Times New Roman" w:eastAsia="Times New Roman" w:hAnsi="Times New Roman" w:cs="Times New Roman"/>
                                      <w:b/>
                                      <w:bCs/>
                                      <w:i/>
                                      <w:iCs/>
                                      <w:color w:val="000000"/>
                                      <w:sz w:val="17"/>
                                      <w:szCs w:val="17"/>
                                    </w:rPr>
                                    <w:t>Wuchereria bancrofif Brugia malayi, Brugia timori</w:t>
                                  </w:r>
                                </w:p>
                              </w:tc>
                              <w:tc>
                                <w:tcPr>
                                  <w:tcW w:w="3278" w:type="dxa"/>
                                  <w:shd w:val="clear" w:color="auto" w:fill="FFFFFF"/>
                                </w:tcPr>
                                <w:p w14:paraId="5BA7B1EF" w14:textId="77777777" w:rsidR="00924992" w:rsidRDefault="00924992">
                                  <w:pPr>
                                    <w:rPr>
                                      <w:sz w:val="10"/>
                                      <w:szCs w:val="10"/>
                                    </w:rPr>
                                  </w:pPr>
                                </w:p>
                              </w:tc>
                              <w:tc>
                                <w:tcPr>
                                  <w:tcW w:w="2717" w:type="dxa"/>
                                  <w:shd w:val="clear" w:color="auto" w:fill="FFFFFF"/>
                                </w:tcPr>
                                <w:p w14:paraId="4B61FCD5" w14:textId="77777777" w:rsidR="00924992" w:rsidRDefault="00924992">
                                  <w:pPr>
                                    <w:rPr>
                                      <w:sz w:val="10"/>
                                      <w:szCs w:val="10"/>
                                    </w:rPr>
                                  </w:pPr>
                                </w:p>
                              </w:tc>
                            </w:tr>
                            <w:tr w:rsidR="00924992" w14:paraId="71882281" w14:textId="77777777">
                              <w:tblPrEx>
                                <w:tblCellMar>
                                  <w:top w:w="0" w:type="dxa"/>
                                  <w:bottom w:w="0" w:type="dxa"/>
                                </w:tblCellMar>
                              </w:tblPrEx>
                              <w:trPr>
                                <w:trHeight w:hRule="exact" w:val="187"/>
                              </w:trPr>
                              <w:tc>
                                <w:tcPr>
                                  <w:tcW w:w="2424" w:type="dxa"/>
                                  <w:shd w:val="clear" w:color="auto" w:fill="FFFFFF"/>
                                </w:tcPr>
                                <w:p w14:paraId="2C690DCF" w14:textId="77777777" w:rsidR="00924992" w:rsidRDefault="00924992">
                                  <w:pPr>
                                    <w:pStyle w:val="Other0"/>
                                    <w:spacing w:line="240" w:lineRule="auto"/>
                                    <w:ind w:firstLine="0"/>
                                    <w:rPr>
                                      <w:sz w:val="16"/>
                                      <w:szCs w:val="16"/>
                                    </w:rPr>
                                  </w:pPr>
                                  <w:r>
                                    <w:rPr>
                                      <w:rFonts w:ascii="Times New Roman" w:eastAsia="Times New Roman" w:hAnsi="Times New Roman" w:cs="Times New Roman"/>
                                      <w:color w:val="000000"/>
                                      <w:sz w:val="16"/>
                                      <w:szCs w:val="16"/>
                                    </w:rPr>
                                    <w:t>Fármaco más indicado</w:t>
                                  </w:r>
                                  <w:r>
                                    <w:rPr>
                                      <w:rFonts w:ascii="Times New Roman" w:eastAsia="Times New Roman" w:hAnsi="Times New Roman" w:cs="Times New Roman"/>
                                      <w:color w:val="000000"/>
                                      <w:sz w:val="16"/>
                                      <w:szCs w:val="16"/>
                                      <w:vertAlign w:val="superscript"/>
                                    </w:rPr>
                                    <w:t>31,32</w:t>
                                  </w:r>
                                </w:p>
                              </w:tc>
                              <w:tc>
                                <w:tcPr>
                                  <w:tcW w:w="2630" w:type="dxa"/>
                                  <w:shd w:val="clear" w:color="auto" w:fill="FFFFFF"/>
                                </w:tcPr>
                                <w:p w14:paraId="55437FE9" w14:textId="77777777" w:rsidR="00924992" w:rsidRDefault="00924992">
                                  <w:pPr>
                                    <w:pStyle w:val="Other0"/>
                                    <w:spacing w:line="240" w:lineRule="auto"/>
                                    <w:ind w:firstLine="440"/>
                                    <w:rPr>
                                      <w:sz w:val="16"/>
                                      <w:szCs w:val="16"/>
                                    </w:rPr>
                                  </w:pPr>
                                  <w:r>
                                    <w:rPr>
                                      <w:rFonts w:ascii="Times New Roman" w:eastAsia="Times New Roman" w:hAnsi="Times New Roman" w:cs="Times New Roman"/>
                                      <w:color w:val="000000"/>
                                      <w:sz w:val="16"/>
                                      <w:szCs w:val="16"/>
                                    </w:rPr>
                                    <w:t>Dietilcarbamazina</w:t>
                                  </w:r>
                                  <w:r>
                                    <w:rPr>
                                      <w:rFonts w:ascii="Times New Roman" w:eastAsia="Times New Roman" w:hAnsi="Times New Roman" w:cs="Times New Roman"/>
                                      <w:color w:val="000000"/>
                                      <w:sz w:val="16"/>
                                      <w:szCs w:val="16"/>
                                      <w:vertAlign w:val="superscript"/>
                                    </w:rPr>
                                    <w:t xml:space="preserve"> </w:t>
                                  </w:r>
                                  <w:r>
                                    <w:rPr>
                                      <w:rFonts w:ascii="Times New Roman" w:eastAsia="Times New Roman" w:hAnsi="Times New Roman" w:cs="Times New Roman"/>
                                      <w:color w:val="000000"/>
                                      <w:sz w:val="16"/>
                                      <w:szCs w:val="16"/>
                                    </w:rPr>
                                    <w:t>*</w:t>
                                  </w:r>
                                </w:p>
                              </w:tc>
                              <w:tc>
                                <w:tcPr>
                                  <w:tcW w:w="3278" w:type="dxa"/>
                                  <w:shd w:val="clear" w:color="auto" w:fill="FFFFFF"/>
                                </w:tcPr>
                                <w:p w14:paraId="198EF2F3" w14:textId="77777777" w:rsidR="00924992" w:rsidRDefault="00924992">
                                  <w:pPr>
                                    <w:pStyle w:val="Other0"/>
                                    <w:spacing w:line="240" w:lineRule="auto"/>
                                    <w:ind w:firstLine="580"/>
                                    <w:rPr>
                                      <w:sz w:val="16"/>
                                      <w:szCs w:val="16"/>
                                    </w:rPr>
                                  </w:pPr>
                                  <w:r>
                                    <w:rPr>
                                      <w:rFonts w:ascii="Times New Roman" w:eastAsia="Times New Roman" w:hAnsi="Times New Roman" w:cs="Times New Roman"/>
                                      <w:color w:val="000000"/>
                                      <w:sz w:val="16"/>
                                      <w:szCs w:val="16"/>
                                    </w:rPr>
                                    <w:t>Día 1: 50 mg, p.c.</w:t>
                                  </w:r>
                                </w:p>
                              </w:tc>
                              <w:tc>
                                <w:tcPr>
                                  <w:tcW w:w="2717" w:type="dxa"/>
                                  <w:shd w:val="clear" w:color="auto" w:fill="FFFFFF"/>
                                </w:tcPr>
                                <w:p w14:paraId="1C0B1DEF" w14:textId="77777777" w:rsidR="00924992" w:rsidRDefault="00924992">
                                  <w:pPr>
                                    <w:pStyle w:val="Other0"/>
                                    <w:spacing w:line="240" w:lineRule="auto"/>
                                    <w:ind w:firstLine="180"/>
                                    <w:jc w:val="both"/>
                                    <w:rPr>
                                      <w:sz w:val="16"/>
                                      <w:szCs w:val="16"/>
                                    </w:rPr>
                                  </w:pPr>
                                  <w:r>
                                    <w:rPr>
                                      <w:rFonts w:ascii="Times New Roman" w:eastAsia="Times New Roman" w:hAnsi="Times New Roman" w:cs="Times New Roman"/>
                                      <w:color w:val="000000"/>
                                      <w:sz w:val="16"/>
                                      <w:szCs w:val="16"/>
                                    </w:rPr>
                                    <w:t>Día 1: 1 mg/kg p.c.</w:t>
                                  </w:r>
                                </w:p>
                              </w:tc>
                            </w:tr>
                            <w:tr w:rsidR="00924992" w14:paraId="05C31805" w14:textId="77777777">
                              <w:tblPrEx>
                                <w:tblCellMar>
                                  <w:top w:w="0" w:type="dxa"/>
                                  <w:bottom w:w="0" w:type="dxa"/>
                                </w:tblCellMar>
                              </w:tblPrEx>
                              <w:trPr>
                                <w:trHeight w:hRule="exact" w:val="211"/>
                              </w:trPr>
                              <w:tc>
                                <w:tcPr>
                                  <w:tcW w:w="2424" w:type="dxa"/>
                                  <w:shd w:val="clear" w:color="auto" w:fill="FFFFFF"/>
                                </w:tcPr>
                                <w:p w14:paraId="0EA0900C" w14:textId="77777777" w:rsidR="00924992" w:rsidRDefault="00924992">
                                  <w:pPr>
                                    <w:rPr>
                                      <w:sz w:val="10"/>
                                      <w:szCs w:val="10"/>
                                    </w:rPr>
                                  </w:pPr>
                                </w:p>
                              </w:tc>
                              <w:tc>
                                <w:tcPr>
                                  <w:tcW w:w="2630" w:type="dxa"/>
                                  <w:shd w:val="clear" w:color="auto" w:fill="FFFFFF"/>
                                </w:tcPr>
                                <w:p w14:paraId="40C2E677" w14:textId="77777777" w:rsidR="00924992" w:rsidRDefault="00924992">
                                  <w:pPr>
                                    <w:rPr>
                                      <w:sz w:val="10"/>
                                      <w:szCs w:val="10"/>
                                    </w:rPr>
                                  </w:pPr>
                                </w:p>
                              </w:tc>
                              <w:tc>
                                <w:tcPr>
                                  <w:tcW w:w="3278" w:type="dxa"/>
                                  <w:shd w:val="clear" w:color="auto" w:fill="FFFFFF"/>
                                  <w:vAlign w:val="bottom"/>
                                </w:tcPr>
                                <w:p w14:paraId="10102F5C" w14:textId="77777777" w:rsidR="00924992" w:rsidRDefault="00924992">
                                  <w:pPr>
                                    <w:pStyle w:val="Other0"/>
                                    <w:spacing w:line="240" w:lineRule="auto"/>
                                    <w:ind w:firstLine="580"/>
                                    <w:rPr>
                                      <w:sz w:val="16"/>
                                      <w:szCs w:val="16"/>
                                    </w:rPr>
                                  </w:pPr>
                                  <w:r>
                                    <w:rPr>
                                      <w:rFonts w:ascii="Times New Roman" w:eastAsia="Times New Roman" w:hAnsi="Times New Roman" w:cs="Times New Roman"/>
                                      <w:color w:val="000000"/>
                                      <w:sz w:val="16"/>
                                      <w:szCs w:val="16"/>
                                    </w:rPr>
                                    <w:t>Día 2: 50 mg tid</w:t>
                                  </w:r>
                                </w:p>
                              </w:tc>
                              <w:tc>
                                <w:tcPr>
                                  <w:tcW w:w="2717" w:type="dxa"/>
                                  <w:shd w:val="clear" w:color="auto" w:fill="FFFFFF"/>
                                  <w:vAlign w:val="bottom"/>
                                </w:tcPr>
                                <w:p w14:paraId="57F5A4E0" w14:textId="77777777" w:rsidR="00924992" w:rsidRDefault="00924992">
                                  <w:pPr>
                                    <w:pStyle w:val="Other0"/>
                                    <w:spacing w:line="240" w:lineRule="auto"/>
                                    <w:ind w:firstLine="180"/>
                                    <w:jc w:val="both"/>
                                    <w:rPr>
                                      <w:sz w:val="16"/>
                                      <w:szCs w:val="16"/>
                                    </w:rPr>
                                  </w:pPr>
                                  <w:r>
                                    <w:rPr>
                                      <w:rFonts w:ascii="Times New Roman" w:eastAsia="Times New Roman" w:hAnsi="Times New Roman" w:cs="Times New Roman"/>
                                      <w:color w:val="000000"/>
                                      <w:sz w:val="16"/>
                                      <w:szCs w:val="16"/>
                                    </w:rPr>
                                    <w:t>Día 2: 1 mg/kg tid</w:t>
                                  </w:r>
                                </w:p>
                              </w:tc>
                            </w:tr>
                            <w:tr w:rsidR="00924992" w14:paraId="70E9211A" w14:textId="77777777">
                              <w:tblPrEx>
                                <w:tblCellMar>
                                  <w:top w:w="0" w:type="dxa"/>
                                  <w:bottom w:w="0" w:type="dxa"/>
                                </w:tblCellMar>
                              </w:tblPrEx>
                              <w:trPr>
                                <w:trHeight w:hRule="exact" w:val="197"/>
                              </w:trPr>
                              <w:tc>
                                <w:tcPr>
                                  <w:tcW w:w="2424" w:type="dxa"/>
                                  <w:shd w:val="clear" w:color="auto" w:fill="FFFFFF"/>
                                </w:tcPr>
                                <w:p w14:paraId="287D27D9" w14:textId="77777777" w:rsidR="00924992" w:rsidRDefault="00924992">
                                  <w:pPr>
                                    <w:rPr>
                                      <w:sz w:val="10"/>
                                      <w:szCs w:val="10"/>
                                    </w:rPr>
                                  </w:pPr>
                                </w:p>
                              </w:tc>
                              <w:tc>
                                <w:tcPr>
                                  <w:tcW w:w="2630" w:type="dxa"/>
                                  <w:shd w:val="clear" w:color="auto" w:fill="FFFFFF"/>
                                </w:tcPr>
                                <w:p w14:paraId="646E73DD" w14:textId="77777777" w:rsidR="00924992" w:rsidRDefault="00924992">
                                  <w:pPr>
                                    <w:rPr>
                                      <w:sz w:val="10"/>
                                      <w:szCs w:val="10"/>
                                    </w:rPr>
                                  </w:pPr>
                                </w:p>
                              </w:tc>
                              <w:tc>
                                <w:tcPr>
                                  <w:tcW w:w="3278" w:type="dxa"/>
                                  <w:shd w:val="clear" w:color="auto" w:fill="FFFFFF"/>
                                  <w:vAlign w:val="bottom"/>
                                </w:tcPr>
                                <w:p w14:paraId="7C5FE2C9" w14:textId="77777777" w:rsidR="00924992" w:rsidRDefault="00924992">
                                  <w:pPr>
                                    <w:pStyle w:val="Other0"/>
                                    <w:spacing w:line="240" w:lineRule="auto"/>
                                    <w:ind w:firstLine="580"/>
                                    <w:rPr>
                                      <w:sz w:val="16"/>
                                      <w:szCs w:val="16"/>
                                    </w:rPr>
                                  </w:pPr>
                                  <w:r>
                                    <w:rPr>
                                      <w:rFonts w:ascii="Times New Roman" w:eastAsia="Times New Roman" w:hAnsi="Times New Roman" w:cs="Times New Roman"/>
                                      <w:color w:val="000000"/>
                                      <w:sz w:val="16"/>
                                      <w:szCs w:val="16"/>
                                    </w:rPr>
                                    <w:t>Día 3: 100 mg tid</w:t>
                                  </w:r>
                                </w:p>
                              </w:tc>
                              <w:tc>
                                <w:tcPr>
                                  <w:tcW w:w="2717" w:type="dxa"/>
                                  <w:shd w:val="clear" w:color="auto" w:fill="FFFFFF"/>
                                  <w:vAlign w:val="bottom"/>
                                </w:tcPr>
                                <w:p w14:paraId="058C42BE" w14:textId="77777777" w:rsidR="00924992" w:rsidRDefault="00924992">
                                  <w:pPr>
                                    <w:pStyle w:val="Other0"/>
                                    <w:spacing w:line="240" w:lineRule="auto"/>
                                    <w:ind w:firstLine="180"/>
                                    <w:jc w:val="both"/>
                                    <w:rPr>
                                      <w:sz w:val="16"/>
                                      <w:szCs w:val="16"/>
                                    </w:rPr>
                                  </w:pPr>
                                  <w:r>
                                    <w:rPr>
                                      <w:rFonts w:ascii="Times New Roman" w:eastAsia="Times New Roman" w:hAnsi="Times New Roman" w:cs="Times New Roman"/>
                                      <w:color w:val="000000"/>
                                      <w:sz w:val="16"/>
                                      <w:szCs w:val="16"/>
                                    </w:rPr>
                                    <w:t>Día 3: 1-2 mg/kg tid</w:t>
                                  </w:r>
                                </w:p>
                              </w:tc>
                            </w:tr>
                            <w:tr w:rsidR="00924992" w14:paraId="725068B8" w14:textId="77777777">
                              <w:tblPrEx>
                                <w:tblCellMar>
                                  <w:top w:w="0" w:type="dxa"/>
                                  <w:bottom w:w="0" w:type="dxa"/>
                                </w:tblCellMar>
                              </w:tblPrEx>
                              <w:trPr>
                                <w:trHeight w:hRule="exact" w:val="192"/>
                              </w:trPr>
                              <w:tc>
                                <w:tcPr>
                                  <w:tcW w:w="2424" w:type="dxa"/>
                                  <w:shd w:val="clear" w:color="auto" w:fill="FFFFFF"/>
                                </w:tcPr>
                                <w:p w14:paraId="3AA7D77C" w14:textId="77777777" w:rsidR="00924992" w:rsidRDefault="00924992">
                                  <w:pPr>
                                    <w:rPr>
                                      <w:sz w:val="10"/>
                                      <w:szCs w:val="10"/>
                                    </w:rPr>
                                  </w:pPr>
                                </w:p>
                              </w:tc>
                              <w:tc>
                                <w:tcPr>
                                  <w:tcW w:w="2630" w:type="dxa"/>
                                  <w:shd w:val="clear" w:color="auto" w:fill="FFFFFF"/>
                                </w:tcPr>
                                <w:p w14:paraId="54027F65" w14:textId="77777777" w:rsidR="00924992" w:rsidRDefault="00924992">
                                  <w:pPr>
                                    <w:rPr>
                                      <w:sz w:val="10"/>
                                      <w:szCs w:val="10"/>
                                    </w:rPr>
                                  </w:pPr>
                                </w:p>
                              </w:tc>
                              <w:tc>
                                <w:tcPr>
                                  <w:tcW w:w="3278" w:type="dxa"/>
                                  <w:shd w:val="clear" w:color="auto" w:fill="FFFFFF"/>
                                  <w:vAlign w:val="bottom"/>
                                </w:tcPr>
                                <w:p w14:paraId="7EDE2D3D" w14:textId="77777777" w:rsidR="00924992" w:rsidRDefault="00924992">
                                  <w:pPr>
                                    <w:pStyle w:val="Other0"/>
                                    <w:spacing w:line="240" w:lineRule="auto"/>
                                    <w:ind w:firstLine="580"/>
                                    <w:rPr>
                                      <w:sz w:val="16"/>
                                      <w:szCs w:val="16"/>
                                    </w:rPr>
                                  </w:pPr>
                                  <w:r>
                                    <w:rPr>
                                      <w:rFonts w:ascii="Times New Roman" w:eastAsia="Times New Roman" w:hAnsi="Times New Roman" w:cs="Times New Roman"/>
                                      <w:color w:val="000000"/>
                                      <w:sz w:val="16"/>
                                      <w:szCs w:val="16"/>
                                    </w:rPr>
                                    <w:t>Días 4 a 14: 6 mg/kg/día en 3 dosis</w:t>
                                  </w:r>
                                </w:p>
                              </w:tc>
                              <w:tc>
                                <w:tcPr>
                                  <w:tcW w:w="2717" w:type="dxa"/>
                                  <w:shd w:val="clear" w:color="auto" w:fill="FFFFFF"/>
                                  <w:vAlign w:val="bottom"/>
                                </w:tcPr>
                                <w:p w14:paraId="2C7A7E6A" w14:textId="77777777" w:rsidR="00924992" w:rsidRDefault="00924992">
                                  <w:pPr>
                                    <w:pStyle w:val="Other0"/>
                                    <w:spacing w:line="240" w:lineRule="auto"/>
                                    <w:ind w:firstLine="180"/>
                                    <w:jc w:val="both"/>
                                    <w:rPr>
                                      <w:sz w:val="16"/>
                                      <w:szCs w:val="16"/>
                                    </w:rPr>
                                  </w:pPr>
                                  <w:r>
                                    <w:rPr>
                                      <w:rFonts w:ascii="Times New Roman" w:eastAsia="Times New Roman" w:hAnsi="Times New Roman" w:cs="Times New Roman"/>
                                      <w:color w:val="000000"/>
                                      <w:sz w:val="16"/>
                                      <w:szCs w:val="16"/>
                                    </w:rPr>
                                    <w:t>Días 4 a 14: 6 mg/kg/día en 3 dosis</w:t>
                                  </w:r>
                                </w:p>
                              </w:tc>
                            </w:tr>
                            <w:tr w:rsidR="00924992" w14:paraId="4A7E9B65" w14:textId="77777777">
                              <w:tblPrEx>
                                <w:tblCellMar>
                                  <w:top w:w="0" w:type="dxa"/>
                                  <w:bottom w:w="0" w:type="dxa"/>
                                </w:tblCellMar>
                              </w:tblPrEx>
                              <w:trPr>
                                <w:trHeight w:hRule="exact" w:val="192"/>
                              </w:trPr>
                              <w:tc>
                                <w:tcPr>
                                  <w:tcW w:w="2424" w:type="dxa"/>
                                  <w:shd w:val="clear" w:color="auto" w:fill="FFFFFF"/>
                                </w:tcPr>
                                <w:p w14:paraId="11CE4E3D" w14:textId="77777777" w:rsidR="00924992" w:rsidRDefault="00924992">
                                  <w:pPr>
                                    <w:pStyle w:val="Other0"/>
                                    <w:spacing w:line="240" w:lineRule="auto"/>
                                    <w:ind w:firstLine="0"/>
                                    <w:rPr>
                                      <w:sz w:val="17"/>
                                      <w:szCs w:val="17"/>
                                    </w:rPr>
                                  </w:pPr>
                                  <w:r>
                                    <w:rPr>
                                      <w:rFonts w:ascii="Times New Roman" w:eastAsia="Times New Roman" w:hAnsi="Times New Roman" w:cs="Times New Roman"/>
                                      <w:b/>
                                      <w:bCs/>
                                      <w:i/>
                                      <w:iCs/>
                                      <w:color w:val="000000"/>
                                      <w:sz w:val="17"/>
                                      <w:szCs w:val="17"/>
                                    </w:rPr>
                                    <w:t>Loa loa</w:t>
                                  </w:r>
                                </w:p>
                              </w:tc>
                              <w:tc>
                                <w:tcPr>
                                  <w:tcW w:w="2630" w:type="dxa"/>
                                  <w:shd w:val="clear" w:color="auto" w:fill="FFFFFF"/>
                                </w:tcPr>
                                <w:p w14:paraId="329C2326" w14:textId="77777777" w:rsidR="00924992" w:rsidRDefault="00924992">
                                  <w:pPr>
                                    <w:rPr>
                                      <w:sz w:val="10"/>
                                      <w:szCs w:val="10"/>
                                    </w:rPr>
                                  </w:pPr>
                                </w:p>
                              </w:tc>
                              <w:tc>
                                <w:tcPr>
                                  <w:tcW w:w="3278" w:type="dxa"/>
                                  <w:shd w:val="clear" w:color="auto" w:fill="FFFFFF"/>
                                </w:tcPr>
                                <w:p w14:paraId="2AFD29FE" w14:textId="77777777" w:rsidR="00924992" w:rsidRDefault="00924992">
                                  <w:pPr>
                                    <w:rPr>
                                      <w:sz w:val="10"/>
                                      <w:szCs w:val="10"/>
                                    </w:rPr>
                                  </w:pPr>
                                </w:p>
                              </w:tc>
                              <w:tc>
                                <w:tcPr>
                                  <w:tcW w:w="2717" w:type="dxa"/>
                                  <w:shd w:val="clear" w:color="auto" w:fill="FFFFFF"/>
                                </w:tcPr>
                                <w:p w14:paraId="4D40D029" w14:textId="77777777" w:rsidR="00924992" w:rsidRDefault="00924992">
                                  <w:pPr>
                                    <w:rPr>
                                      <w:sz w:val="10"/>
                                      <w:szCs w:val="10"/>
                                    </w:rPr>
                                  </w:pPr>
                                </w:p>
                              </w:tc>
                            </w:tr>
                            <w:tr w:rsidR="00924992" w14:paraId="2D2F2806" w14:textId="77777777">
                              <w:tblPrEx>
                                <w:tblCellMar>
                                  <w:top w:w="0" w:type="dxa"/>
                                  <w:bottom w:w="0" w:type="dxa"/>
                                </w:tblCellMar>
                              </w:tblPrEx>
                              <w:trPr>
                                <w:trHeight w:hRule="exact" w:val="206"/>
                              </w:trPr>
                              <w:tc>
                                <w:tcPr>
                                  <w:tcW w:w="2424" w:type="dxa"/>
                                  <w:shd w:val="clear" w:color="auto" w:fill="FFFFFF"/>
                                  <w:vAlign w:val="bottom"/>
                                </w:tcPr>
                                <w:p w14:paraId="761C5E1C" w14:textId="77777777" w:rsidR="00924992" w:rsidRDefault="00924992">
                                  <w:pPr>
                                    <w:pStyle w:val="Other0"/>
                                    <w:spacing w:line="240" w:lineRule="auto"/>
                                    <w:ind w:firstLine="0"/>
                                    <w:rPr>
                                      <w:sz w:val="16"/>
                                      <w:szCs w:val="16"/>
                                    </w:rPr>
                                  </w:pPr>
                                  <w:r>
                                    <w:rPr>
                                      <w:rFonts w:ascii="Times New Roman" w:eastAsia="Times New Roman" w:hAnsi="Times New Roman" w:cs="Times New Roman"/>
                                      <w:color w:val="000000"/>
                                      <w:sz w:val="16"/>
                                      <w:szCs w:val="16"/>
                                    </w:rPr>
                                    <w:t>Fármaco más indicado:</w:t>
                                  </w:r>
                                  <w:r>
                                    <w:rPr>
                                      <w:rFonts w:ascii="Times New Roman" w:eastAsia="Times New Roman" w:hAnsi="Times New Roman" w:cs="Times New Roman"/>
                                      <w:color w:val="000000"/>
                                      <w:sz w:val="16"/>
                                      <w:szCs w:val="16"/>
                                      <w:vertAlign w:val="superscript"/>
                                    </w:rPr>
                                    <w:t>32,34</w:t>
                                  </w:r>
                                </w:p>
                              </w:tc>
                              <w:tc>
                                <w:tcPr>
                                  <w:tcW w:w="2630" w:type="dxa"/>
                                  <w:shd w:val="clear" w:color="auto" w:fill="FFFFFF"/>
                                  <w:vAlign w:val="bottom"/>
                                </w:tcPr>
                                <w:p w14:paraId="39535202" w14:textId="77777777" w:rsidR="00924992" w:rsidRDefault="00924992">
                                  <w:pPr>
                                    <w:pStyle w:val="Other0"/>
                                    <w:spacing w:line="240" w:lineRule="auto"/>
                                    <w:ind w:firstLine="440"/>
                                    <w:rPr>
                                      <w:sz w:val="16"/>
                                      <w:szCs w:val="16"/>
                                    </w:rPr>
                                  </w:pPr>
                                  <w:r>
                                    <w:rPr>
                                      <w:rFonts w:ascii="Times New Roman" w:eastAsia="Times New Roman" w:hAnsi="Times New Roman" w:cs="Times New Roman"/>
                                      <w:color w:val="000000"/>
                                      <w:sz w:val="16"/>
                                      <w:szCs w:val="16"/>
                                    </w:rPr>
                                    <w:t>Dietilcarbamazina</w:t>
                                  </w:r>
                                  <w:r>
                                    <w:rPr>
                                      <w:rFonts w:ascii="Times New Roman" w:eastAsia="Times New Roman" w:hAnsi="Times New Roman" w:cs="Times New Roman"/>
                                      <w:color w:val="000000"/>
                                      <w:sz w:val="16"/>
                                      <w:szCs w:val="16"/>
                                      <w:vertAlign w:val="superscript"/>
                                    </w:rPr>
                                    <w:t>33</w:t>
                                  </w:r>
                                  <w:r>
                                    <w:rPr>
                                      <w:rFonts w:ascii="Times New Roman" w:eastAsia="Times New Roman" w:hAnsi="Times New Roman" w:cs="Times New Roman"/>
                                      <w:color w:val="000000"/>
                                      <w:sz w:val="16"/>
                                      <w:szCs w:val="16"/>
                                    </w:rPr>
                                    <w:t>*</w:t>
                                  </w:r>
                                </w:p>
                              </w:tc>
                              <w:tc>
                                <w:tcPr>
                                  <w:tcW w:w="3278" w:type="dxa"/>
                                  <w:shd w:val="clear" w:color="auto" w:fill="FFFFFF"/>
                                  <w:vAlign w:val="bottom"/>
                                </w:tcPr>
                                <w:p w14:paraId="4C7DD7B0" w14:textId="77777777" w:rsidR="00924992" w:rsidRDefault="00924992">
                                  <w:pPr>
                                    <w:pStyle w:val="Other0"/>
                                    <w:spacing w:line="240" w:lineRule="auto"/>
                                    <w:ind w:firstLine="580"/>
                                    <w:rPr>
                                      <w:sz w:val="16"/>
                                      <w:szCs w:val="16"/>
                                    </w:rPr>
                                  </w:pPr>
                                  <w:r>
                                    <w:rPr>
                                      <w:rFonts w:ascii="Times New Roman" w:eastAsia="Times New Roman" w:hAnsi="Times New Roman" w:cs="Times New Roman"/>
                                      <w:color w:val="000000"/>
                                      <w:sz w:val="16"/>
                                      <w:szCs w:val="16"/>
                                    </w:rPr>
                                    <w:t>Día 1: 50 mg p.c.</w:t>
                                  </w:r>
                                </w:p>
                              </w:tc>
                              <w:tc>
                                <w:tcPr>
                                  <w:tcW w:w="2717" w:type="dxa"/>
                                  <w:shd w:val="clear" w:color="auto" w:fill="FFFFFF"/>
                                  <w:vAlign w:val="bottom"/>
                                </w:tcPr>
                                <w:p w14:paraId="12C86749" w14:textId="77777777" w:rsidR="00924992" w:rsidRDefault="00924992">
                                  <w:pPr>
                                    <w:pStyle w:val="Other0"/>
                                    <w:spacing w:line="240" w:lineRule="auto"/>
                                    <w:ind w:firstLine="180"/>
                                    <w:jc w:val="both"/>
                                    <w:rPr>
                                      <w:sz w:val="16"/>
                                      <w:szCs w:val="16"/>
                                    </w:rPr>
                                  </w:pPr>
                                  <w:r>
                                    <w:rPr>
                                      <w:rFonts w:ascii="Times New Roman" w:eastAsia="Times New Roman" w:hAnsi="Times New Roman" w:cs="Times New Roman"/>
                                      <w:color w:val="000000"/>
                                      <w:sz w:val="16"/>
                                      <w:szCs w:val="16"/>
                                    </w:rPr>
                                    <w:t>Día 1: 1 mg/kg p.c.</w:t>
                                  </w:r>
                                </w:p>
                              </w:tc>
                            </w:tr>
                            <w:tr w:rsidR="00924992" w14:paraId="26AD65D5" w14:textId="77777777">
                              <w:tblPrEx>
                                <w:tblCellMar>
                                  <w:top w:w="0" w:type="dxa"/>
                                  <w:bottom w:w="0" w:type="dxa"/>
                                </w:tblCellMar>
                              </w:tblPrEx>
                              <w:trPr>
                                <w:trHeight w:hRule="exact" w:val="211"/>
                              </w:trPr>
                              <w:tc>
                                <w:tcPr>
                                  <w:tcW w:w="2424" w:type="dxa"/>
                                  <w:shd w:val="clear" w:color="auto" w:fill="FFFFFF"/>
                                </w:tcPr>
                                <w:p w14:paraId="051F331E" w14:textId="77777777" w:rsidR="00924992" w:rsidRDefault="00924992">
                                  <w:pPr>
                                    <w:rPr>
                                      <w:sz w:val="10"/>
                                      <w:szCs w:val="10"/>
                                    </w:rPr>
                                  </w:pPr>
                                </w:p>
                              </w:tc>
                              <w:tc>
                                <w:tcPr>
                                  <w:tcW w:w="2630" w:type="dxa"/>
                                  <w:shd w:val="clear" w:color="auto" w:fill="FFFFFF"/>
                                </w:tcPr>
                                <w:p w14:paraId="18F8BD93" w14:textId="77777777" w:rsidR="00924992" w:rsidRDefault="00924992">
                                  <w:pPr>
                                    <w:rPr>
                                      <w:sz w:val="10"/>
                                      <w:szCs w:val="10"/>
                                    </w:rPr>
                                  </w:pPr>
                                </w:p>
                              </w:tc>
                              <w:tc>
                                <w:tcPr>
                                  <w:tcW w:w="3278" w:type="dxa"/>
                                  <w:shd w:val="clear" w:color="auto" w:fill="FFFFFF"/>
                                  <w:vAlign w:val="bottom"/>
                                </w:tcPr>
                                <w:p w14:paraId="198D624F" w14:textId="77777777" w:rsidR="00924992" w:rsidRDefault="00924992">
                                  <w:pPr>
                                    <w:pStyle w:val="Other0"/>
                                    <w:spacing w:line="240" w:lineRule="auto"/>
                                    <w:ind w:firstLine="580"/>
                                    <w:rPr>
                                      <w:sz w:val="16"/>
                                      <w:szCs w:val="16"/>
                                    </w:rPr>
                                  </w:pPr>
                                  <w:r>
                                    <w:rPr>
                                      <w:rFonts w:ascii="Times New Roman" w:eastAsia="Times New Roman" w:hAnsi="Times New Roman" w:cs="Times New Roman"/>
                                      <w:color w:val="000000"/>
                                      <w:sz w:val="16"/>
                                      <w:szCs w:val="16"/>
                                    </w:rPr>
                                    <w:t>Día 2: 50 mg tid</w:t>
                                  </w:r>
                                </w:p>
                              </w:tc>
                              <w:tc>
                                <w:tcPr>
                                  <w:tcW w:w="2717" w:type="dxa"/>
                                  <w:shd w:val="clear" w:color="auto" w:fill="FFFFFF"/>
                                  <w:vAlign w:val="bottom"/>
                                </w:tcPr>
                                <w:p w14:paraId="60012320" w14:textId="77777777" w:rsidR="00924992" w:rsidRDefault="00924992">
                                  <w:pPr>
                                    <w:pStyle w:val="Other0"/>
                                    <w:spacing w:line="240" w:lineRule="auto"/>
                                    <w:ind w:firstLine="180"/>
                                    <w:jc w:val="both"/>
                                    <w:rPr>
                                      <w:sz w:val="16"/>
                                      <w:szCs w:val="16"/>
                                    </w:rPr>
                                  </w:pPr>
                                  <w:r>
                                    <w:rPr>
                                      <w:rFonts w:ascii="Times New Roman" w:eastAsia="Times New Roman" w:hAnsi="Times New Roman" w:cs="Times New Roman"/>
                                      <w:color w:val="000000"/>
                                      <w:sz w:val="16"/>
                                      <w:szCs w:val="16"/>
                                    </w:rPr>
                                    <w:t>Día 2: 1 mg/kg tid</w:t>
                                  </w:r>
                                </w:p>
                              </w:tc>
                            </w:tr>
                            <w:tr w:rsidR="00924992" w14:paraId="65929E7A" w14:textId="77777777">
                              <w:tblPrEx>
                                <w:tblCellMar>
                                  <w:top w:w="0" w:type="dxa"/>
                                  <w:bottom w:w="0" w:type="dxa"/>
                                </w:tblCellMar>
                              </w:tblPrEx>
                              <w:trPr>
                                <w:trHeight w:hRule="exact" w:val="197"/>
                              </w:trPr>
                              <w:tc>
                                <w:tcPr>
                                  <w:tcW w:w="2424" w:type="dxa"/>
                                  <w:shd w:val="clear" w:color="auto" w:fill="FFFFFF"/>
                                </w:tcPr>
                                <w:p w14:paraId="652862BC" w14:textId="77777777" w:rsidR="00924992" w:rsidRDefault="00924992">
                                  <w:pPr>
                                    <w:rPr>
                                      <w:sz w:val="10"/>
                                      <w:szCs w:val="10"/>
                                    </w:rPr>
                                  </w:pPr>
                                </w:p>
                              </w:tc>
                              <w:tc>
                                <w:tcPr>
                                  <w:tcW w:w="2630" w:type="dxa"/>
                                  <w:shd w:val="clear" w:color="auto" w:fill="FFFFFF"/>
                                </w:tcPr>
                                <w:p w14:paraId="5960B5A4" w14:textId="77777777" w:rsidR="00924992" w:rsidRDefault="00924992">
                                  <w:pPr>
                                    <w:rPr>
                                      <w:sz w:val="10"/>
                                      <w:szCs w:val="10"/>
                                    </w:rPr>
                                  </w:pPr>
                                </w:p>
                              </w:tc>
                              <w:tc>
                                <w:tcPr>
                                  <w:tcW w:w="3278" w:type="dxa"/>
                                  <w:shd w:val="clear" w:color="auto" w:fill="FFFFFF"/>
                                  <w:vAlign w:val="bottom"/>
                                </w:tcPr>
                                <w:p w14:paraId="6E252B45" w14:textId="77777777" w:rsidR="00924992" w:rsidRDefault="00924992">
                                  <w:pPr>
                                    <w:pStyle w:val="Other0"/>
                                    <w:spacing w:line="240" w:lineRule="auto"/>
                                    <w:ind w:firstLine="580"/>
                                    <w:rPr>
                                      <w:sz w:val="16"/>
                                      <w:szCs w:val="16"/>
                                    </w:rPr>
                                  </w:pPr>
                                  <w:r>
                                    <w:rPr>
                                      <w:rFonts w:ascii="Times New Roman" w:eastAsia="Times New Roman" w:hAnsi="Times New Roman" w:cs="Times New Roman"/>
                                      <w:color w:val="000000"/>
                                      <w:sz w:val="16"/>
                                      <w:szCs w:val="16"/>
                                    </w:rPr>
                                    <w:t>Día 3: 100 mg tid</w:t>
                                  </w:r>
                                </w:p>
                              </w:tc>
                              <w:tc>
                                <w:tcPr>
                                  <w:tcW w:w="2717" w:type="dxa"/>
                                  <w:shd w:val="clear" w:color="auto" w:fill="FFFFFF"/>
                                  <w:vAlign w:val="bottom"/>
                                </w:tcPr>
                                <w:p w14:paraId="22F9D5FA" w14:textId="77777777" w:rsidR="00924992" w:rsidRDefault="00924992">
                                  <w:pPr>
                                    <w:pStyle w:val="Other0"/>
                                    <w:spacing w:line="240" w:lineRule="auto"/>
                                    <w:ind w:firstLine="180"/>
                                    <w:jc w:val="both"/>
                                    <w:rPr>
                                      <w:sz w:val="16"/>
                                      <w:szCs w:val="16"/>
                                    </w:rPr>
                                  </w:pPr>
                                  <w:r>
                                    <w:rPr>
                                      <w:rFonts w:ascii="Times New Roman" w:eastAsia="Times New Roman" w:hAnsi="Times New Roman" w:cs="Times New Roman"/>
                                      <w:color w:val="000000"/>
                                      <w:sz w:val="16"/>
                                      <w:szCs w:val="16"/>
                                    </w:rPr>
                                    <w:t>Día 3: 1-2 mg/kg tid</w:t>
                                  </w:r>
                                </w:p>
                              </w:tc>
                            </w:tr>
                            <w:tr w:rsidR="00924992" w14:paraId="643DA27C" w14:textId="77777777">
                              <w:tblPrEx>
                                <w:tblCellMar>
                                  <w:top w:w="0" w:type="dxa"/>
                                  <w:bottom w:w="0" w:type="dxa"/>
                                </w:tblCellMar>
                              </w:tblPrEx>
                              <w:trPr>
                                <w:trHeight w:hRule="exact" w:val="192"/>
                              </w:trPr>
                              <w:tc>
                                <w:tcPr>
                                  <w:tcW w:w="2424" w:type="dxa"/>
                                  <w:shd w:val="clear" w:color="auto" w:fill="FFFFFF"/>
                                </w:tcPr>
                                <w:p w14:paraId="44D6932C" w14:textId="77777777" w:rsidR="00924992" w:rsidRDefault="00924992">
                                  <w:pPr>
                                    <w:rPr>
                                      <w:sz w:val="10"/>
                                      <w:szCs w:val="10"/>
                                    </w:rPr>
                                  </w:pPr>
                                </w:p>
                              </w:tc>
                              <w:tc>
                                <w:tcPr>
                                  <w:tcW w:w="2630" w:type="dxa"/>
                                  <w:shd w:val="clear" w:color="auto" w:fill="FFFFFF"/>
                                </w:tcPr>
                                <w:p w14:paraId="76D8EB8D" w14:textId="77777777" w:rsidR="00924992" w:rsidRDefault="00924992">
                                  <w:pPr>
                                    <w:rPr>
                                      <w:sz w:val="10"/>
                                      <w:szCs w:val="10"/>
                                    </w:rPr>
                                  </w:pPr>
                                </w:p>
                              </w:tc>
                              <w:tc>
                                <w:tcPr>
                                  <w:tcW w:w="3278" w:type="dxa"/>
                                  <w:shd w:val="clear" w:color="auto" w:fill="FFFFFF"/>
                                  <w:vAlign w:val="bottom"/>
                                </w:tcPr>
                                <w:p w14:paraId="7AD187FD" w14:textId="77777777" w:rsidR="00924992" w:rsidRDefault="00924992">
                                  <w:pPr>
                                    <w:pStyle w:val="Other0"/>
                                    <w:spacing w:line="240" w:lineRule="auto"/>
                                    <w:ind w:firstLine="580"/>
                                    <w:rPr>
                                      <w:sz w:val="16"/>
                                      <w:szCs w:val="16"/>
                                    </w:rPr>
                                  </w:pPr>
                                  <w:r>
                                    <w:rPr>
                                      <w:rFonts w:ascii="Times New Roman" w:eastAsia="Times New Roman" w:hAnsi="Times New Roman" w:cs="Times New Roman"/>
                                      <w:color w:val="000000"/>
                                      <w:sz w:val="16"/>
                                      <w:szCs w:val="16"/>
                                    </w:rPr>
                                    <w:t>Días 4 a 21: 9 mg/kg/día en 3 dosis</w:t>
                                  </w:r>
                                </w:p>
                              </w:tc>
                              <w:tc>
                                <w:tcPr>
                                  <w:tcW w:w="2717" w:type="dxa"/>
                                  <w:shd w:val="clear" w:color="auto" w:fill="FFFFFF"/>
                                  <w:vAlign w:val="bottom"/>
                                </w:tcPr>
                                <w:p w14:paraId="535AFA35" w14:textId="77777777" w:rsidR="00924992" w:rsidRDefault="00924992">
                                  <w:pPr>
                                    <w:pStyle w:val="Other0"/>
                                    <w:spacing w:line="240" w:lineRule="auto"/>
                                    <w:ind w:firstLine="180"/>
                                    <w:jc w:val="both"/>
                                    <w:rPr>
                                      <w:sz w:val="16"/>
                                      <w:szCs w:val="16"/>
                                    </w:rPr>
                                  </w:pPr>
                                  <w:r>
                                    <w:rPr>
                                      <w:rFonts w:ascii="Times New Roman" w:eastAsia="Times New Roman" w:hAnsi="Times New Roman" w:cs="Times New Roman"/>
                                      <w:color w:val="000000"/>
                                      <w:sz w:val="16"/>
                                      <w:szCs w:val="16"/>
                                    </w:rPr>
                                    <w:t>Días 4 a 21: 9 mg/kg/día en 3 dosis</w:t>
                                  </w:r>
                                </w:p>
                              </w:tc>
                            </w:tr>
                            <w:tr w:rsidR="00924992" w14:paraId="24D6D590" w14:textId="77777777">
                              <w:tblPrEx>
                                <w:tblCellMar>
                                  <w:top w:w="0" w:type="dxa"/>
                                  <w:bottom w:w="0" w:type="dxa"/>
                                </w:tblCellMar>
                              </w:tblPrEx>
                              <w:trPr>
                                <w:trHeight w:hRule="exact" w:val="197"/>
                              </w:trPr>
                              <w:tc>
                                <w:tcPr>
                                  <w:tcW w:w="2424" w:type="dxa"/>
                                  <w:shd w:val="clear" w:color="auto" w:fill="FFFFFF"/>
                                </w:tcPr>
                                <w:p w14:paraId="2B8F6A15" w14:textId="77777777" w:rsidR="00924992" w:rsidRDefault="00924992">
                                  <w:pPr>
                                    <w:pStyle w:val="Other0"/>
                                    <w:spacing w:line="240" w:lineRule="auto"/>
                                    <w:ind w:firstLine="0"/>
                                    <w:rPr>
                                      <w:sz w:val="17"/>
                                      <w:szCs w:val="17"/>
                                    </w:rPr>
                                  </w:pPr>
                                  <w:r>
                                    <w:rPr>
                                      <w:rFonts w:ascii="Times New Roman" w:eastAsia="Times New Roman" w:hAnsi="Times New Roman" w:cs="Times New Roman"/>
                                      <w:b/>
                                      <w:bCs/>
                                      <w:i/>
                                      <w:iCs/>
                                      <w:color w:val="000000"/>
                                      <w:sz w:val="17"/>
                                      <w:szCs w:val="17"/>
                                    </w:rPr>
                                    <w:t>Mansonella ozzardi</w:t>
                                  </w:r>
                                </w:p>
                              </w:tc>
                              <w:tc>
                                <w:tcPr>
                                  <w:tcW w:w="2630" w:type="dxa"/>
                                  <w:shd w:val="clear" w:color="auto" w:fill="FFFFFF"/>
                                </w:tcPr>
                                <w:p w14:paraId="37E564D9" w14:textId="77777777" w:rsidR="00924992" w:rsidRDefault="00924992">
                                  <w:pPr>
                                    <w:rPr>
                                      <w:sz w:val="10"/>
                                      <w:szCs w:val="10"/>
                                    </w:rPr>
                                  </w:pPr>
                                </w:p>
                              </w:tc>
                              <w:tc>
                                <w:tcPr>
                                  <w:tcW w:w="3278" w:type="dxa"/>
                                  <w:shd w:val="clear" w:color="auto" w:fill="FFFFFF"/>
                                </w:tcPr>
                                <w:p w14:paraId="765A9BAA" w14:textId="77777777" w:rsidR="00924992" w:rsidRDefault="00924992">
                                  <w:pPr>
                                    <w:rPr>
                                      <w:sz w:val="10"/>
                                      <w:szCs w:val="10"/>
                                    </w:rPr>
                                  </w:pPr>
                                </w:p>
                              </w:tc>
                              <w:tc>
                                <w:tcPr>
                                  <w:tcW w:w="2717" w:type="dxa"/>
                                  <w:shd w:val="clear" w:color="auto" w:fill="FFFFFF"/>
                                </w:tcPr>
                                <w:p w14:paraId="0D12C9DD" w14:textId="77777777" w:rsidR="00924992" w:rsidRDefault="00924992">
                                  <w:pPr>
                                    <w:rPr>
                                      <w:sz w:val="10"/>
                                      <w:szCs w:val="10"/>
                                    </w:rPr>
                                  </w:pPr>
                                </w:p>
                              </w:tc>
                            </w:tr>
                            <w:tr w:rsidR="00924992" w14:paraId="331DCD08" w14:textId="77777777">
                              <w:tblPrEx>
                                <w:tblCellMar>
                                  <w:top w:w="0" w:type="dxa"/>
                                  <w:bottom w:w="0" w:type="dxa"/>
                                </w:tblCellMar>
                              </w:tblPrEx>
                              <w:trPr>
                                <w:trHeight w:hRule="exact" w:val="202"/>
                              </w:trPr>
                              <w:tc>
                                <w:tcPr>
                                  <w:tcW w:w="2424" w:type="dxa"/>
                                  <w:shd w:val="clear" w:color="auto" w:fill="FFFFFF"/>
                                  <w:vAlign w:val="bottom"/>
                                </w:tcPr>
                                <w:p w14:paraId="60CBCA94" w14:textId="77777777" w:rsidR="00924992" w:rsidRDefault="00924992">
                                  <w:pPr>
                                    <w:pStyle w:val="Other0"/>
                                    <w:spacing w:line="240" w:lineRule="auto"/>
                                    <w:ind w:firstLine="0"/>
                                    <w:rPr>
                                      <w:sz w:val="16"/>
                                      <w:szCs w:val="16"/>
                                    </w:rPr>
                                  </w:pPr>
                                  <w:r>
                                    <w:rPr>
                                      <w:rFonts w:ascii="Times New Roman" w:eastAsia="Times New Roman" w:hAnsi="Times New Roman" w:cs="Times New Roman"/>
                                      <w:color w:val="000000"/>
                                      <w:sz w:val="16"/>
                                      <w:szCs w:val="16"/>
                                    </w:rPr>
                                    <w:t>Fármaco más indicado:</w:t>
                                  </w:r>
                                  <w:r>
                                    <w:rPr>
                                      <w:rFonts w:ascii="Times New Roman" w:eastAsia="Times New Roman" w:hAnsi="Times New Roman" w:cs="Times New Roman"/>
                                      <w:color w:val="000000"/>
                                      <w:sz w:val="16"/>
                                      <w:szCs w:val="16"/>
                                      <w:vertAlign w:val="superscript"/>
                                    </w:rPr>
                                    <w:t xml:space="preserve"> </w:t>
                                  </w:r>
                                </w:p>
                              </w:tc>
                              <w:tc>
                                <w:tcPr>
                                  <w:tcW w:w="2630" w:type="dxa"/>
                                  <w:shd w:val="clear" w:color="auto" w:fill="FFFFFF"/>
                                  <w:vAlign w:val="bottom"/>
                                </w:tcPr>
                                <w:p w14:paraId="052784BC" w14:textId="77777777" w:rsidR="00924992" w:rsidRDefault="00924992">
                                  <w:pPr>
                                    <w:pStyle w:val="Other0"/>
                                    <w:spacing w:line="240" w:lineRule="auto"/>
                                    <w:ind w:firstLine="440"/>
                                    <w:rPr>
                                      <w:sz w:val="16"/>
                                      <w:szCs w:val="16"/>
                                    </w:rPr>
                                  </w:pPr>
                                  <w:r>
                                    <w:rPr>
                                      <w:rFonts w:ascii="Times New Roman" w:eastAsia="Times New Roman" w:hAnsi="Times New Roman" w:cs="Times New Roman"/>
                                      <w:color w:val="000000"/>
                                      <w:sz w:val="16"/>
                                      <w:szCs w:val="16"/>
                                    </w:rPr>
                                    <w:t>Véase pie de cuadro 35</w:t>
                                  </w:r>
                                </w:p>
                              </w:tc>
                              <w:tc>
                                <w:tcPr>
                                  <w:tcW w:w="3278" w:type="dxa"/>
                                  <w:shd w:val="clear" w:color="auto" w:fill="FFFFFF"/>
                                </w:tcPr>
                                <w:p w14:paraId="581BC22A" w14:textId="77777777" w:rsidR="00924992" w:rsidRDefault="00924992">
                                  <w:pPr>
                                    <w:rPr>
                                      <w:sz w:val="10"/>
                                      <w:szCs w:val="10"/>
                                    </w:rPr>
                                  </w:pPr>
                                </w:p>
                              </w:tc>
                              <w:tc>
                                <w:tcPr>
                                  <w:tcW w:w="2717" w:type="dxa"/>
                                  <w:shd w:val="clear" w:color="auto" w:fill="FFFFFF"/>
                                </w:tcPr>
                                <w:p w14:paraId="3BF4A2FE" w14:textId="77777777" w:rsidR="00924992" w:rsidRDefault="00924992">
                                  <w:pPr>
                                    <w:rPr>
                                      <w:sz w:val="10"/>
                                      <w:szCs w:val="10"/>
                                    </w:rPr>
                                  </w:pPr>
                                </w:p>
                              </w:tc>
                            </w:tr>
                            <w:tr w:rsidR="00924992" w14:paraId="5C2EE9B8" w14:textId="77777777">
                              <w:tblPrEx>
                                <w:tblCellMar>
                                  <w:top w:w="0" w:type="dxa"/>
                                  <w:bottom w:w="0" w:type="dxa"/>
                                </w:tblCellMar>
                              </w:tblPrEx>
                              <w:trPr>
                                <w:trHeight w:hRule="exact" w:val="216"/>
                              </w:trPr>
                              <w:tc>
                                <w:tcPr>
                                  <w:tcW w:w="2424" w:type="dxa"/>
                                  <w:shd w:val="clear" w:color="auto" w:fill="FFFFFF"/>
                                  <w:vAlign w:val="bottom"/>
                                </w:tcPr>
                                <w:p w14:paraId="194F6ED2" w14:textId="77777777" w:rsidR="00924992" w:rsidRDefault="00924992">
                                  <w:pPr>
                                    <w:pStyle w:val="Other0"/>
                                    <w:spacing w:line="240" w:lineRule="auto"/>
                                    <w:ind w:firstLine="0"/>
                                    <w:rPr>
                                      <w:sz w:val="17"/>
                                      <w:szCs w:val="17"/>
                                    </w:rPr>
                                  </w:pPr>
                                  <w:r>
                                    <w:rPr>
                                      <w:rFonts w:ascii="Times New Roman" w:eastAsia="Times New Roman" w:hAnsi="Times New Roman" w:cs="Times New Roman"/>
                                      <w:b/>
                                      <w:bCs/>
                                      <w:i/>
                                      <w:iCs/>
                                      <w:color w:val="000000"/>
                                      <w:sz w:val="17"/>
                                      <w:szCs w:val="17"/>
                                    </w:rPr>
                                    <w:t>Mansonella perstans</w:t>
                                  </w:r>
                                </w:p>
                              </w:tc>
                              <w:tc>
                                <w:tcPr>
                                  <w:tcW w:w="2630" w:type="dxa"/>
                                  <w:shd w:val="clear" w:color="auto" w:fill="FFFFFF"/>
                                </w:tcPr>
                                <w:p w14:paraId="175B29A3" w14:textId="77777777" w:rsidR="00924992" w:rsidRDefault="00924992">
                                  <w:pPr>
                                    <w:rPr>
                                      <w:sz w:val="10"/>
                                      <w:szCs w:val="10"/>
                                    </w:rPr>
                                  </w:pPr>
                                </w:p>
                              </w:tc>
                              <w:tc>
                                <w:tcPr>
                                  <w:tcW w:w="3278" w:type="dxa"/>
                                  <w:shd w:val="clear" w:color="auto" w:fill="FFFFFF"/>
                                </w:tcPr>
                                <w:p w14:paraId="1F59004C" w14:textId="77777777" w:rsidR="00924992" w:rsidRDefault="00924992">
                                  <w:pPr>
                                    <w:rPr>
                                      <w:sz w:val="10"/>
                                      <w:szCs w:val="10"/>
                                    </w:rPr>
                                  </w:pPr>
                                </w:p>
                              </w:tc>
                              <w:tc>
                                <w:tcPr>
                                  <w:tcW w:w="2717" w:type="dxa"/>
                                  <w:shd w:val="clear" w:color="auto" w:fill="FFFFFF"/>
                                </w:tcPr>
                                <w:p w14:paraId="346D3249" w14:textId="77777777" w:rsidR="00924992" w:rsidRDefault="00924992">
                                  <w:pPr>
                                    <w:rPr>
                                      <w:sz w:val="10"/>
                                      <w:szCs w:val="10"/>
                                    </w:rPr>
                                  </w:pPr>
                                </w:p>
                              </w:tc>
                            </w:tr>
                            <w:tr w:rsidR="00924992" w14:paraId="7A16A175" w14:textId="77777777">
                              <w:tblPrEx>
                                <w:tblCellMar>
                                  <w:top w:w="0" w:type="dxa"/>
                                  <w:bottom w:w="0" w:type="dxa"/>
                                </w:tblCellMar>
                              </w:tblPrEx>
                              <w:trPr>
                                <w:trHeight w:hRule="exact" w:val="302"/>
                              </w:trPr>
                              <w:tc>
                                <w:tcPr>
                                  <w:tcW w:w="2424" w:type="dxa"/>
                                  <w:tcBorders>
                                    <w:bottom w:val="single" w:sz="4" w:space="0" w:color="auto"/>
                                  </w:tcBorders>
                                  <w:shd w:val="clear" w:color="auto" w:fill="FFFFFF"/>
                                </w:tcPr>
                                <w:p w14:paraId="0EC91176" w14:textId="77777777" w:rsidR="00924992" w:rsidRDefault="00924992">
                                  <w:pPr>
                                    <w:pStyle w:val="Other0"/>
                                    <w:spacing w:line="240" w:lineRule="auto"/>
                                    <w:ind w:firstLine="0"/>
                                    <w:rPr>
                                      <w:sz w:val="16"/>
                                      <w:szCs w:val="16"/>
                                    </w:rPr>
                                  </w:pPr>
                                  <w:r>
                                    <w:rPr>
                                      <w:rFonts w:ascii="Times New Roman" w:eastAsia="Times New Roman" w:hAnsi="Times New Roman" w:cs="Times New Roman"/>
                                      <w:color w:val="000000"/>
                                      <w:sz w:val="16"/>
                                      <w:szCs w:val="16"/>
                                    </w:rPr>
                                    <w:t>Fármaco más indicado:</w:t>
                                  </w:r>
                                  <w:r>
                                    <w:rPr>
                                      <w:rFonts w:ascii="Times New Roman" w:eastAsia="Times New Roman" w:hAnsi="Times New Roman" w:cs="Times New Roman"/>
                                      <w:color w:val="000000"/>
                                      <w:sz w:val="16"/>
                                      <w:szCs w:val="16"/>
                                      <w:vertAlign w:val="superscript"/>
                                    </w:rPr>
                                    <w:t>32</w:t>
                                  </w:r>
                                </w:p>
                              </w:tc>
                              <w:tc>
                                <w:tcPr>
                                  <w:tcW w:w="2630" w:type="dxa"/>
                                  <w:tcBorders>
                                    <w:bottom w:val="single" w:sz="4" w:space="0" w:color="auto"/>
                                  </w:tcBorders>
                                  <w:shd w:val="clear" w:color="auto" w:fill="FFFFFF"/>
                                </w:tcPr>
                                <w:p w14:paraId="52AF98A2" w14:textId="77777777" w:rsidR="00924992" w:rsidRDefault="00924992">
                                  <w:pPr>
                                    <w:pStyle w:val="Other0"/>
                                    <w:spacing w:line="240" w:lineRule="auto"/>
                                    <w:ind w:firstLine="440"/>
                                    <w:rPr>
                                      <w:sz w:val="16"/>
                                      <w:szCs w:val="16"/>
                                    </w:rPr>
                                  </w:pPr>
                                  <w:r>
                                    <w:rPr>
                                      <w:rFonts w:ascii="Times New Roman" w:eastAsia="Times New Roman" w:hAnsi="Times New Roman" w:cs="Times New Roman"/>
                                      <w:color w:val="000000"/>
                                      <w:sz w:val="16"/>
                                      <w:szCs w:val="16"/>
                                    </w:rPr>
                                    <w:t>Mebendazol</w:t>
                                  </w:r>
                                  <w:r>
                                    <w:rPr>
                                      <w:rFonts w:ascii="Times New Roman" w:eastAsia="Times New Roman" w:hAnsi="Times New Roman" w:cs="Times New Roman"/>
                                      <w:color w:val="000000"/>
                                      <w:sz w:val="16"/>
                                      <w:szCs w:val="16"/>
                                      <w:vertAlign w:val="superscript"/>
                                    </w:rPr>
                                    <w:t>3</w:t>
                                  </w:r>
                                </w:p>
                              </w:tc>
                              <w:tc>
                                <w:tcPr>
                                  <w:tcW w:w="3278" w:type="dxa"/>
                                  <w:tcBorders>
                                    <w:bottom w:val="single" w:sz="4" w:space="0" w:color="auto"/>
                                  </w:tcBorders>
                                  <w:shd w:val="clear" w:color="auto" w:fill="FFFFFF"/>
                                </w:tcPr>
                                <w:p w14:paraId="357F649B" w14:textId="77777777" w:rsidR="00924992" w:rsidRDefault="00924992">
                                  <w:pPr>
                                    <w:pStyle w:val="Other0"/>
                                    <w:spacing w:line="240" w:lineRule="auto"/>
                                    <w:ind w:firstLine="580"/>
                                    <w:rPr>
                                      <w:sz w:val="16"/>
                                      <w:szCs w:val="16"/>
                                    </w:rPr>
                                  </w:pPr>
                                  <w:r>
                                    <w:rPr>
                                      <w:rFonts w:ascii="Times New Roman" w:eastAsia="Times New Roman" w:hAnsi="Times New Roman" w:cs="Times New Roman"/>
                                      <w:color w:val="000000"/>
                                      <w:sz w:val="16"/>
                                      <w:szCs w:val="16"/>
                                    </w:rPr>
                                    <w:t xml:space="preserve">100 mg bid </w:t>
                                  </w:r>
                                  <w:r>
                                    <w:rPr>
                                      <w:color w:val="000000"/>
                                    </w:rPr>
                                    <w:t xml:space="preserve">x </w:t>
                                  </w:r>
                                  <w:r>
                                    <w:rPr>
                                      <w:rFonts w:ascii="Times New Roman" w:eastAsia="Times New Roman" w:hAnsi="Times New Roman" w:cs="Times New Roman"/>
                                      <w:color w:val="000000"/>
                                      <w:sz w:val="16"/>
                                      <w:szCs w:val="16"/>
                                    </w:rPr>
                                    <w:t>30 días</w:t>
                                  </w:r>
                                </w:p>
                              </w:tc>
                              <w:tc>
                                <w:tcPr>
                                  <w:tcW w:w="2717" w:type="dxa"/>
                                  <w:tcBorders>
                                    <w:bottom w:val="single" w:sz="4" w:space="0" w:color="auto"/>
                                  </w:tcBorders>
                                  <w:shd w:val="clear" w:color="auto" w:fill="FFFFFF"/>
                                </w:tcPr>
                                <w:p w14:paraId="73435B68" w14:textId="77777777" w:rsidR="00924992" w:rsidRDefault="00924992">
                                  <w:pPr>
                                    <w:pStyle w:val="Other0"/>
                                    <w:spacing w:line="240" w:lineRule="auto"/>
                                    <w:ind w:firstLine="180"/>
                                    <w:rPr>
                                      <w:sz w:val="16"/>
                                      <w:szCs w:val="16"/>
                                    </w:rPr>
                                  </w:pPr>
                                  <w:r>
                                    <w:rPr>
                                      <w:rFonts w:ascii="Times New Roman" w:eastAsia="Times New Roman" w:hAnsi="Times New Roman" w:cs="Times New Roman"/>
                                      <w:color w:val="000000"/>
                                      <w:sz w:val="16"/>
                                      <w:szCs w:val="16"/>
                                    </w:rPr>
                                    <w:t xml:space="preserve">100 mg bid </w:t>
                                  </w:r>
                                  <w:r>
                                    <w:rPr>
                                      <w:color w:val="000000"/>
                                    </w:rPr>
                                    <w:t xml:space="preserve">x </w:t>
                                  </w:r>
                                  <w:r>
                                    <w:rPr>
                                      <w:rFonts w:ascii="Times New Roman" w:eastAsia="Times New Roman" w:hAnsi="Times New Roman" w:cs="Times New Roman"/>
                                      <w:color w:val="000000"/>
                                      <w:sz w:val="16"/>
                                      <w:szCs w:val="16"/>
                                    </w:rPr>
                                    <w:t>30 días</w:t>
                                  </w:r>
                                </w:p>
                              </w:tc>
                            </w:tr>
                          </w:tbl>
                          <w:p w14:paraId="513D0F4C" w14:textId="77777777" w:rsidR="00924992" w:rsidRDefault="00924992">
                            <w:pPr>
                              <w:spacing w:line="1" w:lineRule="exact"/>
                            </w:pPr>
                          </w:p>
                        </w:txbxContent>
                      </wps:txbx>
                      <wps:bodyPr lIns="0" tIns="0" rIns="0" bIns="0"/>
                    </wps:wsp>
                  </a:graphicData>
                </a:graphic>
              </wp:anchor>
            </w:drawing>
          </mc:Choice>
          <mc:Fallback>
            <w:pict>
              <v:shape w14:anchorId="73AFB419" id="Shape 2400" o:spid="_x0000_s1085" type="#_x0000_t202" style="position:absolute;margin-left:33.35pt;margin-top:83.75pt;width:552.5pt;height:156pt;z-index:251712512;visibility:visible;mso-wrap-style:square;mso-wrap-distance-left:9pt;mso-wrap-distance-top:11.85pt;mso-wrap-distance-right:9pt;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" filled="f" stroked="f">
                <v:textbox inset="0,0,0,0">
                  <w:txbxContent>
                    <w:tbl>
                      <w:tblPr>
                        <w:tblOverlap w:val="never"/>
                        <w:tblW w:w="0" w:type="auto"/>
                        <w:tblLayout w:type="fixed"/>
                        <w:tblCellMar>
                          <w:left w:w="10" w:type="dxa"/>
                          <w:right w:w="10" w:type="dxa"/>
                        </w:tblCellMar>
                        <w:tblLook w:val="04A0" w:firstRow="1" w:lastRow="0" w:firstColumn="1" w:lastColumn="0" w:noHBand="0" w:noVBand="1"/>
                      </w:tblPr>
                      <w:tblGrid>
                        <w:gridCol w:w="2424"/>
                        <w:gridCol w:w="2630"/>
                        <w:gridCol w:w="3278"/>
                        <w:gridCol w:w="2717"/>
                      </w:tblGrid>
                      <w:tr w:rsidR="00924992" w14:paraId="2A981F8C" w14:textId="77777777">
                        <w:tblPrEx>
                          <w:tblCellMar>
                            <w:top w:w="0" w:type="dxa"/>
                            <w:bottom w:w="0" w:type="dxa"/>
                          </w:tblCellMar>
                        </w:tblPrEx>
                        <w:trPr>
                          <w:trHeight w:hRule="exact" w:val="197"/>
                          <w:tblHeader/>
                        </w:trPr>
                        <w:tc>
                          <w:tcPr>
                            <w:tcW w:w="2424" w:type="dxa"/>
                            <w:shd w:val="clear" w:color="auto" w:fill="FFFFFF"/>
                          </w:tcPr>
                          <w:p w14:paraId="5DB0EB83" w14:textId="77777777" w:rsidR="00924992" w:rsidRDefault="00924992">
                            <w:pPr>
                              <w:pStyle w:val="Other0"/>
                              <w:spacing w:line="240" w:lineRule="auto"/>
                              <w:ind w:firstLine="0"/>
                              <w:rPr>
                                <w:sz w:val="16"/>
                                <w:szCs w:val="16"/>
                              </w:rPr>
                            </w:pPr>
                            <w:r>
                              <w:rPr>
                                <w:rFonts w:ascii="Times New Roman" w:eastAsia="Times New Roman" w:hAnsi="Times New Roman" w:cs="Times New Roman"/>
                                <w:b/>
                                <w:bCs/>
                                <w:color w:val="000000"/>
                                <w:sz w:val="16"/>
                                <w:szCs w:val="16"/>
                              </w:rPr>
                              <w:t>FILARIASIS</w:t>
                            </w:r>
                            <w:r>
                              <w:rPr>
                                <w:rFonts w:ascii="Times New Roman" w:eastAsia="Times New Roman" w:hAnsi="Times New Roman" w:cs="Times New Roman"/>
                                <w:color w:val="000000"/>
                                <w:sz w:val="16"/>
                                <w:szCs w:val="16"/>
                                <w:vertAlign w:val="superscript"/>
                              </w:rPr>
                              <w:t>30</w:t>
                            </w:r>
                          </w:p>
                        </w:tc>
                        <w:tc>
                          <w:tcPr>
                            <w:tcW w:w="2630" w:type="dxa"/>
                            <w:shd w:val="clear" w:color="auto" w:fill="FFFFFF"/>
                          </w:tcPr>
                          <w:p w14:paraId="6747DA5A" w14:textId="77777777" w:rsidR="00924992" w:rsidRDefault="00924992">
                            <w:pPr>
                              <w:rPr>
                                <w:sz w:val="10"/>
                                <w:szCs w:val="10"/>
                              </w:rPr>
                            </w:pPr>
                          </w:p>
                        </w:tc>
                        <w:tc>
                          <w:tcPr>
                            <w:tcW w:w="3278" w:type="dxa"/>
                            <w:shd w:val="clear" w:color="auto" w:fill="FFFFFF"/>
                          </w:tcPr>
                          <w:p w14:paraId="4A909FC3" w14:textId="77777777" w:rsidR="00924992" w:rsidRDefault="00924992">
                            <w:pPr>
                              <w:rPr>
                                <w:sz w:val="10"/>
                                <w:szCs w:val="10"/>
                              </w:rPr>
                            </w:pPr>
                          </w:p>
                        </w:tc>
                        <w:tc>
                          <w:tcPr>
                            <w:tcW w:w="2717" w:type="dxa"/>
                            <w:shd w:val="clear" w:color="auto" w:fill="FFFFFF"/>
                          </w:tcPr>
                          <w:p w14:paraId="294DD95A" w14:textId="77777777" w:rsidR="00924992" w:rsidRDefault="00924992">
                            <w:pPr>
                              <w:rPr>
                                <w:sz w:val="10"/>
                                <w:szCs w:val="10"/>
                              </w:rPr>
                            </w:pPr>
                          </w:p>
                        </w:tc>
                      </w:tr>
                      <w:tr w:rsidR="00924992" w14:paraId="092D5D83" w14:textId="77777777">
                        <w:tblPrEx>
                          <w:tblCellMar>
                            <w:top w:w="0" w:type="dxa"/>
                            <w:bottom w:w="0" w:type="dxa"/>
                          </w:tblCellMar>
                        </w:tblPrEx>
                        <w:trPr>
                          <w:trHeight w:hRule="exact" w:val="221"/>
                        </w:trPr>
                        <w:tc>
                          <w:tcPr>
                            <w:tcW w:w="5054" w:type="dxa"/>
                            <w:gridSpan w:val="2"/>
                            <w:shd w:val="clear" w:color="auto" w:fill="FFFFFF"/>
                            <w:vAlign w:val="bottom"/>
                          </w:tcPr>
                          <w:p w14:paraId="28FF0D23" w14:textId="77777777" w:rsidR="00924992" w:rsidRDefault="00924992">
                            <w:pPr>
                              <w:pStyle w:val="Other0"/>
                              <w:spacing w:line="240" w:lineRule="auto"/>
                              <w:ind w:firstLine="0"/>
                              <w:rPr>
                                <w:sz w:val="17"/>
                                <w:szCs w:val="17"/>
                              </w:rPr>
                            </w:pPr>
                            <w:r>
                              <w:rPr>
                                <w:rFonts w:ascii="Times New Roman" w:eastAsia="Times New Roman" w:hAnsi="Times New Roman" w:cs="Times New Roman"/>
                                <w:b/>
                                <w:bCs/>
                                <w:i/>
                                <w:iCs/>
                                <w:color w:val="000000"/>
                                <w:sz w:val="17"/>
                                <w:szCs w:val="17"/>
                              </w:rPr>
                              <w:t>Wuchereria bancrofif Brugia malayi, Brugia timori</w:t>
                            </w:r>
                          </w:p>
                        </w:tc>
                        <w:tc>
                          <w:tcPr>
                            <w:tcW w:w="3278" w:type="dxa"/>
                            <w:shd w:val="clear" w:color="auto" w:fill="FFFFFF"/>
                          </w:tcPr>
                          <w:p w14:paraId="5BA7B1EF" w14:textId="77777777" w:rsidR="00924992" w:rsidRDefault="00924992">
                            <w:pPr>
                              <w:rPr>
                                <w:sz w:val="10"/>
                                <w:szCs w:val="10"/>
                              </w:rPr>
                            </w:pPr>
                          </w:p>
                        </w:tc>
                        <w:tc>
                          <w:tcPr>
                            <w:tcW w:w="2717" w:type="dxa"/>
                            <w:shd w:val="clear" w:color="auto" w:fill="FFFFFF"/>
                          </w:tcPr>
                          <w:p w14:paraId="4B61FCD5" w14:textId="77777777" w:rsidR="00924992" w:rsidRDefault="00924992">
                            <w:pPr>
                              <w:rPr>
                                <w:sz w:val="10"/>
                                <w:szCs w:val="10"/>
                              </w:rPr>
                            </w:pPr>
                          </w:p>
                        </w:tc>
                      </w:tr>
                      <w:tr w:rsidR="00924992" w14:paraId="71882281" w14:textId="77777777">
                        <w:tblPrEx>
                          <w:tblCellMar>
                            <w:top w:w="0" w:type="dxa"/>
                            <w:bottom w:w="0" w:type="dxa"/>
                          </w:tblCellMar>
                        </w:tblPrEx>
                        <w:trPr>
                          <w:trHeight w:hRule="exact" w:val="187"/>
                        </w:trPr>
                        <w:tc>
                          <w:tcPr>
                            <w:tcW w:w="2424" w:type="dxa"/>
                            <w:shd w:val="clear" w:color="auto" w:fill="FFFFFF"/>
                          </w:tcPr>
                          <w:p w14:paraId="2C690DCF" w14:textId="77777777" w:rsidR="00924992" w:rsidRDefault="00924992">
                            <w:pPr>
                              <w:pStyle w:val="Other0"/>
                              <w:spacing w:line="240" w:lineRule="auto"/>
                              <w:ind w:firstLine="0"/>
                              <w:rPr>
                                <w:sz w:val="16"/>
                                <w:szCs w:val="16"/>
                              </w:rPr>
                            </w:pPr>
                            <w:r>
                              <w:rPr>
                                <w:rFonts w:ascii="Times New Roman" w:eastAsia="Times New Roman" w:hAnsi="Times New Roman" w:cs="Times New Roman"/>
                                <w:color w:val="000000"/>
                                <w:sz w:val="16"/>
                                <w:szCs w:val="16"/>
                              </w:rPr>
                              <w:t>Fármaco más indicado</w:t>
                            </w:r>
                            <w:r>
                              <w:rPr>
                                <w:rFonts w:ascii="Times New Roman" w:eastAsia="Times New Roman" w:hAnsi="Times New Roman" w:cs="Times New Roman"/>
                                <w:color w:val="000000"/>
                                <w:sz w:val="16"/>
                                <w:szCs w:val="16"/>
                                <w:vertAlign w:val="superscript"/>
                              </w:rPr>
                              <w:t>31,32</w:t>
                            </w:r>
                          </w:p>
                        </w:tc>
                        <w:tc>
                          <w:tcPr>
                            <w:tcW w:w="2630" w:type="dxa"/>
                            <w:shd w:val="clear" w:color="auto" w:fill="FFFFFF"/>
                          </w:tcPr>
                          <w:p w14:paraId="55437FE9" w14:textId="77777777" w:rsidR="00924992" w:rsidRDefault="00924992">
                            <w:pPr>
                              <w:pStyle w:val="Other0"/>
                              <w:spacing w:line="240" w:lineRule="auto"/>
                              <w:ind w:firstLine="440"/>
                              <w:rPr>
                                <w:sz w:val="16"/>
                                <w:szCs w:val="16"/>
                              </w:rPr>
                            </w:pPr>
                            <w:r>
                              <w:rPr>
                                <w:rFonts w:ascii="Times New Roman" w:eastAsia="Times New Roman" w:hAnsi="Times New Roman" w:cs="Times New Roman"/>
                                <w:color w:val="000000"/>
                                <w:sz w:val="16"/>
                                <w:szCs w:val="16"/>
                              </w:rPr>
                              <w:t>Dietilcarbamazina</w:t>
                            </w:r>
                            <w:r>
                              <w:rPr>
                                <w:rFonts w:ascii="Times New Roman" w:eastAsia="Times New Roman" w:hAnsi="Times New Roman" w:cs="Times New Roman"/>
                                <w:color w:val="000000"/>
                                <w:sz w:val="16"/>
                                <w:szCs w:val="16"/>
                                <w:vertAlign w:val="superscript"/>
                              </w:rPr>
                              <w:t xml:space="preserve"> </w:t>
                            </w:r>
                            <w:r>
                              <w:rPr>
                                <w:rFonts w:ascii="Times New Roman" w:eastAsia="Times New Roman" w:hAnsi="Times New Roman" w:cs="Times New Roman"/>
                                <w:color w:val="000000"/>
                                <w:sz w:val="16"/>
                                <w:szCs w:val="16"/>
                              </w:rPr>
                              <w:t>*</w:t>
                            </w:r>
                          </w:p>
                        </w:tc>
                        <w:tc>
                          <w:tcPr>
                            <w:tcW w:w="3278" w:type="dxa"/>
                            <w:shd w:val="clear" w:color="auto" w:fill="FFFFFF"/>
                          </w:tcPr>
                          <w:p w14:paraId="198EF2F3" w14:textId="77777777" w:rsidR="00924992" w:rsidRDefault="00924992">
                            <w:pPr>
                              <w:pStyle w:val="Other0"/>
                              <w:spacing w:line="240" w:lineRule="auto"/>
                              <w:ind w:firstLine="580"/>
                              <w:rPr>
                                <w:sz w:val="16"/>
                                <w:szCs w:val="16"/>
                              </w:rPr>
                            </w:pPr>
                            <w:r>
                              <w:rPr>
                                <w:rFonts w:ascii="Times New Roman" w:eastAsia="Times New Roman" w:hAnsi="Times New Roman" w:cs="Times New Roman"/>
                                <w:color w:val="000000"/>
                                <w:sz w:val="16"/>
                                <w:szCs w:val="16"/>
                              </w:rPr>
                              <w:t>Día 1: 50 mg, p.c.</w:t>
                            </w:r>
                          </w:p>
                        </w:tc>
                        <w:tc>
                          <w:tcPr>
                            <w:tcW w:w="2717" w:type="dxa"/>
                            <w:shd w:val="clear" w:color="auto" w:fill="FFFFFF"/>
                          </w:tcPr>
                          <w:p w14:paraId="1C0B1DEF" w14:textId="77777777" w:rsidR="00924992" w:rsidRDefault="00924992">
                            <w:pPr>
                              <w:pStyle w:val="Other0"/>
                              <w:spacing w:line="240" w:lineRule="auto"/>
                              <w:ind w:firstLine="180"/>
                              <w:jc w:val="both"/>
                              <w:rPr>
                                <w:sz w:val="16"/>
                                <w:szCs w:val="16"/>
                              </w:rPr>
                            </w:pPr>
                            <w:r>
                              <w:rPr>
                                <w:rFonts w:ascii="Times New Roman" w:eastAsia="Times New Roman" w:hAnsi="Times New Roman" w:cs="Times New Roman"/>
                                <w:color w:val="000000"/>
                                <w:sz w:val="16"/>
                                <w:szCs w:val="16"/>
                              </w:rPr>
                              <w:t>Día 1: 1 mg/kg p.c.</w:t>
                            </w:r>
                          </w:p>
                        </w:tc>
                      </w:tr>
                      <w:tr w:rsidR="00924992" w14:paraId="05C31805" w14:textId="77777777">
                        <w:tblPrEx>
                          <w:tblCellMar>
                            <w:top w:w="0" w:type="dxa"/>
                            <w:bottom w:w="0" w:type="dxa"/>
                          </w:tblCellMar>
                        </w:tblPrEx>
                        <w:trPr>
                          <w:trHeight w:hRule="exact" w:val="211"/>
                        </w:trPr>
                        <w:tc>
                          <w:tcPr>
                            <w:tcW w:w="2424" w:type="dxa"/>
                            <w:shd w:val="clear" w:color="auto" w:fill="FFFFFF"/>
                          </w:tcPr>
                          <w:p w14:paraId="0EA0900C" w14:textId="77777777" w:rsidR="00924992" w:rsidRDefault="00924992">
                            <w:pPr>
                              <w:rPr>
                                <w:sz w:val="10"/>
                                <w:szCs w:val="10"/>
                              </w:rPr>
                            </w:pPr>
                          </w:p>
                        </w:tc>
                        <w:tc>
                          <w:tcPr>
                            <w:tcW w:w="2630" w:type="dxa"/>
                            <w:shd w:val="clear" w:color="auto" w:fill="FFFFFF"/>
                          </w:tcPr>
                          <w:p w14:paraId="40C2E677" w14:textId="77777777" w:rsidR="00924992" w:rsidRDefault="00924992">
                            <w:pPr>
                              <w:rPr>
                                <w:sz w:val="10"/>
                                <w:szCs w:val="10"/>
                              </w:rPr>
                            </w:pPr>
                          </w:p>
                        </w:tc>
                        <w:tc>
                          <w:tcPr>
                            <w:tcW w:w="3278" w:type="dxa"/>
                            <w:shd w:val="clear" w:color="auto" w:fill="FFFFFF"/>
                            <w:vAlign w:val="bottom"/>
                          </w:tcPr>
                          <w:p w14:paraId="10102F5C" w14:textId="77777777" w:rsidR="00924992" w:rsidRDefault="00924992">
                            <w:pPr>
                              <w:pStyle w:val="Other0"/>
                              <w:spacing w:line="240" w:lineRule="auto"/>
                              <w:ind w:firstLine="580"/>
                              <w:rPr>
                                <w:sz w:val="16"/>
                                <w:szCs w:val="16"/>
                              </w:rPr>
                            </w:pPr>
                            <w:r>
                              <w:rPr>
                                <w:rFonts w:ascii="Times New Roman" w:eastAsia="Times New Roman" w:hAnsi="Times New Roman" w:cs="Times New Roman"/>
                                <w:color w:val="000000"/>
                                <w:sz w:val="16"/>
                                <w:szCs w:val="16"/>
                              </w:rPr>
                              <w:t>Día 2: 50 mg tid</w:t>
                            </w:r>
                          </w:p>
                        </w:tc>
                        <w:tc>
                          <w:tcPr>
                            <w:tcW w:w="2717" w:type="dxa"/>
                            <w:shd w:val="clear" w:color="auto" w:fill="FFFFFF"/>
                            <w:vAlign w:val="bottom"/>
                          </w:tcPr>
                          <w:p w14:paraId="57F5A4E0" w14:textId="77777777" w:rsidR="00924992" w:rsidRDefault="00924992">
                            <w:pPr>
                              <w:pStyle w:val="Other0"/>
                              <w:spacing w:line="240" w:lineRule="auto"/>
                              <w:ind w:firstLine="180"/>
                              <w:jc w:val="both"/>
                              <w:rPr>
                                <w:sz w:val="16"/>
                                <w:szCs w:val="16"/>
                              </w:rPr>
                            </w:pPr>
                            <w:r>
                              <w:rPr>
                                <w:rFonts w:ascii="Times New Roman" w:eastAsia="Times New Roman" w:hAnsi="Times New Roman" w:cs="Times New Roman"/>
                                <w:color w:val="000000"/>
                                <w:sz w:val="16"/>
                                <w:szCs w:val="16"/>
                              </w:rPr>
                              <w:t>Día 2: 1 mg/kg tid</w:t>
                            </w:r>
                          </w:p>
                        </w:tc>
                      </w:tr>
                      <w:tr w:rsidR="00924992" w14:paraId="70E9211A" w14:textId="77777777">
                        <w:tblPrEx>
                          <w:tblCellMar>
                            <w:top w:w="0" w:type="dxa"/>
                            <w:bottom w:w="0" w:type="dxa"/>
                          </w:tblCellMar>
                        </w:tblPrEx>
                        <w:trPr>
                          <w:trHeight w:hRule="exact" w:val="197"/>
                        </w:trPr>
                        <w:tc>
                          <w:tcPr>
                            <w:tcW w:w="2424" w:type="dxa"/>
                            <w:shd w:val="clear" w:color="auto" w:fill="FFFFFF"/>
                          </w:tcPr>
                          <w:p w14:paraId="287D27D9" w14:textId="77777777" w:rsidR="00924992" w:rsidRDefault="00924992">
                            <w:pPr>
                              <w:rPr>
                                <w:sz w:val="10"/>
                                <w:szCs w:val="10"/>
                              </w:rPr>
                            </w:pPr>
                          </w:p>
                        </w:tc>
                        <w:tc>
                          <w:tcPr>
                            <w:tcW w:w="2630" w:type="dxa"/>
                            <w:shd w:val="clear" w:color="auto" w:fill="FFFFFF"/>
                          </w:tcPr>
                          <w:p w14:paraId="646E73DD" w14:textId="77777777" w:rsidR="00924992" w:rsidRDefault="00924992">
                            <w:pPr>
                              <w:rPr>
                                <w:sz w:val="10"/>
                                <w:szCs w:val="10"/>
                              </w:rPr>
                            </w:pPr>
                          </w:p>
                        </w:tc>
                        <w:tc>
                          <w:tcPr>
                            <w:tcW w:w="3278" w:type="dxa"/>
                            <w:shd w:val="clear" w:color="auto" w:fill="FFFFFF"/>
                            <w:vAlign w:val="bottom"/>
                          </w:tcPr>
                          <w:p w14:paraId="7C5FE2C9" w14:textId="77777777" w:rsidR="00924992" w:rsidRDefault="00924992">
                            <w:pPr>
                              <w:pStyle w:val="Other0"/>
                              <w:spacing w:line="240" w:lineRule="auto"/>
                              <w:ind w:firstLine="580"/>
                              <w:rPr>
                                <w:sz w:val="16"/>
                                <w:szCs w:val="16"/>
                              </w:rPr>
                            </w:pPr>
                            <w:r>
                              <w:rPr>
                                <w:rFonts w:ascii="Times New Roman" w:eastAsia="Times New Roman" w:hAnsi="Times New Roman" w:cs="Times New Roman"/>
                                <w:color w:val="000000"/>
                                <w:sz w:val="16"/>
                                <w:szCs w:val="16"/>
                              </w:rPr>
                              <w:t>Día 3: 100 mg tid</w:t>
                            </w:r>
                          </w:p>
                        </w:tc>
                        <w:tc>
                          <w:tcPr>
                            <w:tcW w:w="2717" w:type="dxa"/>
                            <w:shd w:val="clear" w:color="auto" w:fill="FFFFFF"/>
                            <w:vAlign w:val="bottom"/>
                          </w:tcPr>
                          <w:p w14:paraId="058C42BE" w14:textId="77777777" w:rsidR="00924992" w:rsidRDefault="00924992">
                            <w:pPr>
                              <w:pStyle w:val="Other0"/>
                              <w:spacing w:line="240" w:lineRule="auto"/>
                              <w:ind w:firstLine="180"/>
                              <w:jc w:val="both"/>
                              <w:rPr>
                                <w:sz w:val="16"/>
                                <w:szCs w:val="16"/>
                              </w:rPr>
                            </w:pPr>
                            <w:r>
                              <w:rPr>
                                <w:rFonts w:ascii="Times New Roman" w:eastAsia="Times New Roman" w:hAnsi="Times New Roman" w:cs="Times New Roman"/>
                                <w:color w:val="000000"/>
                                <w:sz w:val="16"/>
                                <w:szCs w:val="16"/>
                              </w:rPr>
                              <w:t>Día 3: 1-2 mg/kg tid</w:t>
                            </w:r>
                          </w:p>
                        </w:tc>
                      </w:tr>
                      <w:tr w:rsidR="00924992" w14:paraId="725068B8" w14:textId="77777777">
                        <w:tblPrEx>
                          <w:tblCellMar>
                            <w:top w:w="0" w:type="dxa"/>
                            <w:bottom w:w="0" w:type="dxa"/>
                          </w:tblCellMar>
                        </w:tblPrEx>
                        <w:trPr>
                          <w:trHeight w:hRule="exact" w:val="192"/>
                        </w:trPr>
                        <w:tc>
                          <w:tcPr>
                            <w:tcW w:w="2424" w:type="dxa"/>
                            <w:shd w:val="clear" w:color="auto" w:fill="FFFFFF"/>
                          </w:tcPr>
                          <w:p w14:paraId="3AA7D77C" w14:textId="77777777" w:rsidR="00924992" w:rsidRDefault="00924992">
                            <w:pPr>
                              <w:rPr>
                                <w:sz w:val="10"/>
                                <w:szCs w:val="10"/>
                              </w:rPr>
                            </w:pPr>
                          </w:p>
                        </w:tc>
                        <w:tc>
                          <w:tcPr>
                            <w:tcW w:w="2630" w:type="dxa"/>
                            <w:shd w:val="clear" w:color="auto" w:fill="FFFFFF"/>
                          </w:tcPr>
                          <w:p w14:paraId="54027F65" w14:textId="77777777" w:rsidR="00924992" w:rsidRDefault="00924992">
                            <w:pPr>
                              <w:rPr>
                                <w:sz w:val="10"/>
                                <w:szCs w:val="10"/>
                              </w:rPr>
                            </w:pPr>
                          </w:p>
                        </w:tc>
                        <w:tc>
                          <w:tcPr>
                            <w:tcW w:w="3278" w:type="dxa"/>
                            <w:shd w:val="clear" w:color="auto" w:fill="FFFFFF"/>
                            <w:vAlign w:val="bottom"/>
                          </w:tcPr>
                          <w:p w14:paraId="7EDE2D3D" w14:textId="77777777" w:rsidR="00924992" w:rsidRDefault="00924992">
                            <w:pPr>
                              <w:pStyle w:val="Other0"/>
                              <w:spacing w:line="240" w:lineRule="auto"/>
                              <w:ind w:firstLine="580"/>
                              <w:rPr>
                                <w:sz w:val="16"/>
                                <w:szCs w:val="16"/>
                              </w:rPr>
                            </w:pPr>
                            <w:r>
                              <w:rPr>
                                <w:rFonts w:ascii="Times New Roman" w:eastAsia="Times New Roman" w:hAnsi="Times New Roman" w:cs="Times New Roman"/>
                                <w:color w:val="000000"/>
                                <w:sz w:val="16"/>
                                <w:szCs w:val="16"/>
                              </w:rPr>
                              <w:t>Días 4 a 14: 6 mg/kg/día en 3 dosis</w:t>
                            </w:r>
                          </w:p>
                        </w:tc>
                        <w:tc>
                          <w:tcPr>
                            <w:tcW w:w="2717" w:type="dxa"/>
                            <w:shd w:val="clear" w:color="auto" w:fill="FFFFFF"/>
                            <w:vAlign w:val="bottom"/>
                          </w:tcPr>
                          <w:p w14:paraId="2C7A7E6A" w14:textId="77777777" w:rsidR="00924992" w:rsidRDefault="00924992">
                            <w:pPr>
                              <w:pStyle w:val="Other0"/>
                              <w:spacing w:line="240" w:lineRule="auto"/>
                              <w:ind w:firstLine="180"/>
                              <w:jc w:val="both"/>
                              <w:rPr>
                                <w:sz w:val="16"/>
                                <w:szCs w:val="16"/>
                              </w:rPr>
                            </w:pPr>
                            <w:r>
                              <w:rPr>
                                <w:rFonts w:ascii="Times New Roman" w:eastAsia="Times New Roman" w:hAnsi="Times New Roman" w:cs="Times New Roman"/>
                                <w:color w:val="000000"/>
                                <w:sz w:val="16"/>
                                <w:szCs w:val="16"/>
                              </w:rPr>
                              <w:t>Días 4 a 14: 6 mg/kg/día en 3 dosis</w:t>
                            </w:r>
                          </w:p>
                        </w:tc>
                      </w:tr>
                      <w:tr w:rsidR="00924992" w14:paraId="4A7E9B65" w14:textId="77777777">
                        <w:tblPrEx>
                          <w:tblCellMar>
                            <w:top w:w="0" w:type="dxa"/>
                            <w:bottom w:w="0" w:type="dxa"/>
                          </w:tblCellMar>
                        </w:tblPrEx>
                        <w:trPr>
                          <w:trHeight w:hRule="exact" w:val="192"/>
                        </w:trPr>
                        <w:tc>
                          <w:tcPr>
                            <w:tcW w:w="2424" w:type="dxa"/>
                            <w:shd w:val="clear" w:color="auto" w:fill="FFFFFF"/>
                          </w:tcPr>
                          <w:p w14:paraId="11CE4E3D" w14:textId="77777777" w:rsidR="00924992" w:rsidRDefault="00924992">
                            <w:pPr>
                              <w:pStyle w:val="Other0"/>
                              <w:spacing w:line="240" w:lineRule="auto"/>
                              <w:ind w:firstLine="0"/>
                              <w:rPr>
                                <w:sz w:val="17"/>
                                <w:szCs w:val="17"/>
                              </w:rPr>
                            </w:pPr>
                            <w:r>
                              <w:rPr>
                                <w:rFonts w:ascii="Times New Roman" w:eastAsia="Times New Roman" w:hAnsi="Times New Roman" w:cs="Times New Roman"/>
                                <w:b/>
                                <w:bCs/>
                                <w:i/>
                                <w:iCs/>
                                <w:color w:val="000000"/>
                                <w:sz w:val="17"/>
                                <w:szCs w:val="17"/>
                              </w:rPr>
                              <w:t>Loa loa</w:t>
                            </w:r>
                          </w:p>
                        </w:tc>
                        <w:tc>
                          <w:tcPr>
                            <w:tcW w:w="2630" w:type="dxa"/>
                            <w:shd w:val="clear" w:color="auto" w:fill="FFFFFF"/>
                          </w:tcPr>
                          <w:p w14:paraId="329C2326" w14:textId="77777777" w:rsidR="00924992" w:rsidRDefault="00924992">
                            <w:pPr>
                              <w:rPr>
                                <w:sz w:val="10"/>
                                <w:szCs w:val="10"/>
                              </w:rPr>
                            </w:pPr>
                          </w:p>
                        </w:tc>
                        <w:tc>
                          <w:tcPr>
                            <w:tcW w:w="3278" w:type="dxa"/>
                            <w:shd w:val="clear" w:color="auto" w:fill="FFFFFF"/>
                          </w:tcPr>
                          <w:p w14:paraId="2AFD29FE" w14:textId="77777777" w:rsidR="00924992" w:rsidRDefault="00924992">
                            <w:pPr>
                              <w:rPr>
                                <w:sz w:val="10"/>
                                <w:szCs w:val="10"/>
                              </w:rPr>
                            </w:pPr>
                          </w:p>
                        </w:tc>
                        <w:tc>
                          <w:tcPr>
                            <w:tcW w:w="2717" w:type="dxa"/>
                            <w:shd w:val="clear" w:color="auto" w:fill="FFFFFF"/>
                          </w:tcPr>
                          <w:p w14:paraId="4D40D029" w14:textId="77777777" w:rsidR="00924992" w:rsidRDefault="00924992">
                            <w:pPr>
                              <w:rPr>
                                <w:sz w:val="10"/>
                                <w:szCs w:val="10"/>
                              </w:rPr>
                            </w:pPr>
                          </w:p>
                        </w:tc>
                      </w:tr>
                      <w:tr w:rsidR="00924992" w14:paraId="2D2F2806" w14:textId="77777777">
                        <w:tblPrEx>
                          <w:tblCellMar>
                            <w:top w:w="0" w:type="dxa"/>
                            <w:bottom w:w="0" w:type="dxa"/>
                          </w:tblCellMar>
                        </w:tblPrEx>
                        <w:trPr>
                          <w:trHeight w:hRule="exact" w:val="206"/>
                        </w:trPr>
                        <w:tc>
                          <w:tcPr>
                            <w:tcW w:w="2424" w:type="dxa"/>
                            <w:shd w:val="clear" w:color="auto" w:fill="FFFFFF"/>
                            <w:vAlign w:val="bottom"/>
                          </w:tcPr>
                          <w:p w14:paraId="761C5E1C" w14:textId="77777777" w:rsidR="00924992" w:rsidRDefault="00924992">
                            <w:pPr>
                              <w:pStyle w:val="Other0"/>
                              <w:spacing w:line="240" w:lineRule="auto"/>
                              <w:ind w:firstLine="0"/>
                              <w:rPr>
                                <w:sz w:val="16"/>
                                <w:szCs w:val="16"/>
                              </w:rPr>
                            </w:pPr>
                            <w:r>
                              <w:rPr>
                                <w:rFonts w:ascii="Times New Roman" w:eastAsia="Times New Roman" w:hAnsi="Times New Roman" w:cs="Times New Roman"/>
                                <w:color w:val="000000"/>
                                <w:sz w:val="16"/>
                                <w:szCs w:val="16"/>
                              </w:rPr>
                              <w:t>Fármaco más indicado:</w:t>
                            </w:r>
                            <w:r>
                              <w:rPr>
                                <w:rFonts w:ascii="Times New Roman" w:eastAsia="Times New Roman" w:hAnsi="Times New Roman" w:cs="Times New Roman"/>
                                <w:color w:val="000000"/>
                                <w:sz w:val="16"/>
                                <w:szCs w:val="16"/>
                                <w:vertAlign w:val="superscript"/>
                              </w:rPr>
                              <w:t>32,34</w:t>
                            </w:r>
                          </w:p>
                        </w:tc>
                        <w:tc>
                          <w:tcPr>
                            <w:tcW w:w="2630" w:type="dxa"/>
                            <w:shd w:val="clear" w:color="auto" w:fill="FFFFFF"/>
                            <w:vAlign w:val="bottom"/>
                          </w:tcPr>
                          <w:p w14:paraId="39535202" w14:textId="77777777" w:rsidR="00924992" w:rsidRDefault="00924992">
                            <w:pPr>
                              <w:pStyle w:val="Other0"/>
                              <w:spacing w:line="240" w:lineRule="auto"/>
                              <w:ind w:firstLine="440"/>
                              <w:rPr>
                                <w:sz w:val="16"/>
                                <w:szCs w:val="16"/>
                              </w:rPr>
                            </w:pPr>
                            <w:r>
                              <w:rPr>
                                <w:rFonts w:ascii="Times New Roman" w:eastAsia="Times New Roman" w:hAnsi="Times New Roman" w:cs="Times New Roman"/>
                                <w:color w:val="000000"/>
                                <w:sz w:val="16"/>
                                <w:szCs w:val="16"/>
                              </w:rPr>
                              <w:t>Dietilcarbamazina</w:t>
                            </w:r>
                            <w:r>
                              <w:rPr>
                                <w:rFonts w:ascii="Times New Roman" w:eastAsia="Times New Roman" w:hAnsi="Times New Roman" w:cs="Times New Roman"/>
                                <w:color w:val="000000"/>
                                <w:sz w:val="16"/>
                                <w:szCs w:val="16"/>
                                <w:vertAlign w:val="superscript"/>
                              </w:rPr>
                              <w:t>33</w:t>
                            </w:r>
                            <w:r>
                              <w:rPr>
                                <w:rFonts w:ascii="Times New Roman" w:eastAsia="Times New Roman" w:hAnsi="Times New Roman" w:cs="Times New Roman"/>
                                <w:color w:val="000000"/>
                                <w:sz w:val="16"/>
                                <w:szCs w:val="16"/>
                              </w:rPr>
                              <w:t>*</w:t>
                            </w:r>
                          </w:p>
                        </w:tc>
                        <w:tc>
                          <w:tcPr>
                            <w:tcW w:w="3278" w:type="dxa"/>
                            <w:shd w:val="clear" w:color="auto" w:fill="FFFFFF"/>
                            <w:vAlign w:val="bottom"/>
                          </w:tcPr>
                          <w:p w14:paraId="4C7DD7B0" w14:textId="77777777" w:rsidR="00924992" w:rsidRDefault="00924992">
                            <w:pPr>
                              <w:pStyle w:val="Other0"/>
                              <w:spacing w:line="240" w:lineRule="auto"/>
                              <w:ind w:firstLine="580"/>
                              <w:rPr>
                                <w:sz w:val="16"/>
                                <w:szCs w:val="16"/>
                              </w:rPr>
                            </w:pPr>
                            <w:r>
                              <w:rPr>
                                <w:rFonts w:ascii="Times New Roman" w:eastAsia="Times New Roman" w:hAnsi="Times New Roman" w:cs="Times New Roman"/>
                                <w:color w:val="000000"/>
                                <w:sz w:val="16"/>
                                <w:szCs w:val="16"/>
                              </w:rPr>
                              <w:t>Día 1: 50 mg p.c.</w:t>
                            </w:r>
                          </w:p>
                        </w:tc>
                        <w:tc>
                          <w:tcPr>
                            <w:tcW w:w="2717" w:type="dxa"/>
                            <w:shd w:val="clear" w:color="auto" w:fill="FFFFFF"/>
                            <w:vAlign w:val="bottom"/>
                          </w:tcPr>
                          <w:p w14:paraId="12C86749" w14:textId="77777777" w:rsidR="00924992" w:rsidRDefault="00924992">
                            <w:pPr>
                              <w:pStyle w:val="Other0"/>
                              <w:spacing w:line="240" w:lineRule="auto"/>
                              <w:ind w:firstLine="180"/>
                              <w:jc w:val="both"/>
                              <w:rPr>
                                <w:sz w:val="16"/>
                                <w:szCs w:val="16"/>
                              </w:rPr>
                            </w:pPr>
                            <w:r>
                              <w:rPr>
                                <w:rFonts w:ascii="Times New Roman" w:eastAsia="Times New Roman" w:hAnsi="Times New Roman" w:cs="Times New Roman"/>
                                <w:color w:val="000000"/>
                                <w:sz w:val="16"/>
                                <w:szCs w:val="16"/>
                              </w:rPr>
                              <w:t>Día 1: 1 mg/kg p.c.</w:t>
                            </w:r>
                          </w:p>
                        </w:tc>
                      </w:tr>
                      <w:tr w:rsidR="00924992" w14:paraId="26AD65D5" w14:textId="77777777">
                        <w:tblPrEx>
                          <w:tblCellMar>
                            <w:top w:w="0" w:type="dxa"/>
                            <w:bottom w:w="0" w:type="dxa"/>
                          </w:tblCellMar>
                        </w:tblPrEx>
                        <w:trPr>
                          <w:trHeight w:hRule="exact" w:val="211"/>
                        </w:trPr>
                        <w:tc>
                          <w:tcPr>
                            <w:tcW w:w="2424" w:type="dxa"/>
                            <w:shd w:val="clear" w:color="auto" w:fill="FFFFFF"/>
                          </w:tcPr>
                          <w:p w14:paraId="051F331E" w14:textId="77777777" w:rsidR="00924992" w:rsidRDefault="00924992">
                            <w:pPr>
                              <w:rPr>
                                <w:sz w:val="10"/>
                                <w:szCs w:val="10"/>
                              </w:rPr>
                            </w:pPr>
                          </w:p>
                        </w:tc>
                        <w:tc>
                          <w:tcPr>
                            <w:tcW w:w="2630" w:type="dxa"/>
                            <w:shd w:val="clear" w:color="auto" w:fill="FFFFFF"/>
                          </w:tcPr>
                          <w:p w14:paraId="18F8BD93" w14:textId="77777777" w:rsidR="00924992" w:rsidRDefault="00924992">
                            <w:pPr>
                              <w:rPr>
                                <w:sz w:val="10"/>
                                <w:szCs w:val="10"/>
                              </w:rPr>
                            </w:pPr>
                          </w:p>
                        </w:tc>
                        <w:tc>
                          <w:tcPr>
                            <w:tcW w:w="3278" w:type="dxa"/>
                            <w:shd w:val="clear" w:color="auto" w:fill="FFFFFF"/>
                            <w:vAlign w:val="bottom"/>
                          </w:tcPr>
                          <w:p w14:paraId="198D624F" w14:textId="77777777" w:rsidR="00924992" w:rsidRDefault="00924992">
                            <w:pPr>
                              <w:pStyle w:val="Other0"/>
                              <w:spacing w:line="240" w:lineRule="auto"/>
                              <w:ind w:firstLine="580"/>
                              <w:rPr>
                                <w:sz w:val="16"/>
                                <w:szCs w:val="16"/>
                              </w:rPr>
                            </w:pPr>
                            <w:r>
                              <w:rPr>
                                <w:rFonts w:ascii="Times New Roman" w:eastAsia="Times New Roman" w:hAnsi="Times New Roman" w:cs="Times New Roman"/>
                                <w:color w:val="000000"/>
                                <w:sz w:val="16"/>
                                <w:szCs w:val="16"/>
                              </w:rPr>
                              <w:t>Día 2: 50 mg tid</w:t>
                            </w:r>
                          </w:p>
                        </w:tc>
                        <w:tc>
                          <w:tcPr>
                            <w:tcW w:w="2717" w:type="dxa"/>
                            <w:shd w:val="clear" w:color="auto" w:fill="FFFFFF"/>
                            <w:vAlign w:val="bottom"/>
                          </w:tcPr>
                          <w:p w14:paraId="60012320" w14:textId="77777777" w:rsidR="00924992" w:rsidRDefault="00924992">
                            <w:pPr>
                              <w:pStyle w:val="Other0"/>
                              <w:spacing w:line="240" w:lineRule="auto"/>
                              <w:ind w:firstLine="180"/>
                              <w:jc w:val="both"/>
                              <w:rPr>
                                <w:sz w:val="16"/>
                                <w:szCs w:val="16"/>
                              </w:rPr>
                            </w:pPr>
                            <w:r>
                              <w:rPr>
                                <w:rFonts w:ascii="Times New Roman" w:eastAsia="Times New Roman" w:hAnsi="Times New Roman" w:cs="Times New Roman"/>
                                <w:color w:val="000000"/>
                                <w:sz w:val="16"/>
                                <w:szCs w:val="16"/>
                              </w:rPr>
                              <w:t>Día 2: 1 mg/kg tid</w:t>
                            </w:r>
                          </w:p>
                        </w:tc>
                      </w:tr>
                      <w:tr w:rsidR="00924992" w14:paraId="65929E7A" w14:textId="77777777">
                        <w:tblPrEx>
                          <w:tblCellMar>
                            <w:top w:w="0" w:type="dxa"/>
                            <w:bottom w:w="0" w:type="dxa"/>
                          </w:tblCellMar>
                        </w:tblPrEx>
                        <w:trPr>
                          <w:trHeight w:hRule="exact" w:val="197"/>
                        </w:trPr>
                        <w:tc>
                          <w:tcPr>
                            <w:tcW w:w="2424" w:type="dxa"/>
                            <w:shd w:val="clear" w:color="auto" w:fill="FFFFFF"/>
                          </w:tcPr>
                          <w:p w14:paraId="652862BC" w14:textId="77777777" w:rsidR="00924992" w:rsidRDefault="00924992">
                            <w:pPr>
                              <w:rPr>
                                <w:sz w:val="10"/>
                                <w:szCs w:val="10"/>
                              </w:rPr>
                            </w:pPr>
                          </w:p>
                        </w:tc>
                        <w:tc>
                          <w:tcPr>
                            <w:tcW w:w="2630" w:type="dxa"/>
                            <w:shd w:val="clear" w:color="auto" w:fill="FFFFFF"/>
                          </w:tcPr>
                          <w:p w14:paraId="5960B5A4" w14:textId="77777777" w:rsidR="00924992" w:rsidRDefault="00924992">
                            <w:pPr>
                              <w:rPr>
                                <w:sz w:val="10"/>
                                <w:szCs w:val="10"/>
                              </w:rPr>
                            </w:pPr>
                          </w:p>
                        </w:tc>
                        <w:tc>
                          <w:tcPr>
                            <w:tcW w:w="3278" w:type="dxa"/>
                            <w:shd w:val="clear" w:color="auto" w:fill="FFFFFF"/>
                            <w:vAlign w:val="bottom"/>
                          </w:tcPr>
                          <w:p w14:paraId="6E252B45" w14:textId="77777777" w:rsidR="00924992" w:rsidRDefault="00924992">
                            <w:pPr>
                              <w:pStyle w:val="Other0"/>
                              <w:spacing w:line="240" w:lineRule="auto"/>
                              <w:ind w:firstLine="580"/>
                              <w:rPr>
                                <w:sz w:val="16"/>
                                <w:szCs w:val="16"/>
                              </w:rPr>
                            </w:pPr>
                            <w:r>
                              <w:rPr>
                                <w:rFonts w:ascii="Times New Roman" w:eastAsia="Times New Roman" w:hAnsi="Times New Roman" w:cs="Times New Roman"/>
                                <w:color w:val="000000"/>
                                <w:sz w:val="16"/>
                                <w:szCs w:val="16"/>
                              </w:rPr>
                              <w:t>Día 3: 100 mg tid</w:t>
                            </w:r>
                          </w:p>
                        </w:tc>
                        <w:tc>
                          <w:tcPr>
                            <w:tcW w:w="2717" w:type="dxa"/>
                            <w:shd w:val="clear" w:color="auto" w:fill="FFFFFF"/>
                            <w:vAlign w:val="bottom"/>
                          </w:tcPr>
                          <w:p w14:paraId="22F9D5FA" w14:textId="77777777" w:rsidR="00924992" w:rsidRDefault="00924992">
                            <w:pPr>
                              <w:pStyle w:val="Other0"/>
                              <w:spacing w:line="240" w:lineRule="auto"/>
                              <w:ind w:firstLine="180"/>
                              <w:jc w:val="both"/>
                              <w:rPr>
                                <w:sz w:val="16"/>
                                <w:szCs w:val="16"/>
                              </w:rPr>
                            </w:pPr>
                            <w:r>
                              <w:rPr>
                                <w:rFonts w:ascii="Times New Roman" w:eastAsia="Times New Roman" w:hAnsi="Times New Roman" w:cs="Times New Roman"/>
                                <w:color w:val="000000"/>
                                <w:sz w:val="16"/>
                                <w:szCs w:val="16"/>
                              </w:rPr>
                              <w:t>Día 3: 1-2 mg/kg tid</w:t>
                            </w:r>
                          </w:p>
                        </w:tc>
                      </w:tr>
                      <w:tr w:rsidR="00924992" w14:paraId="643DA27C" w14:textId="77777777">
                        <w:tblPrEx>
                          <w:tblCellMar>
                            <w:top w:w="0" w:type="dxa"/>
                            <w:bottom w:w="0" w:type="dxa"/>
                          </w:tblCellMar>
                        </w:tblPrEx>
                        <w:trPr>
                          <w:trHeight w:hRule="exact" w:val="192"/>
                        </w:trPr>
                        <w:tc>
                          <w:tcPr>
                            <w:tcW w:w="2424" w:type="dxa"/>
                            <w:shd w:val="clear" w:color="auto" w:fill="FFFFFF"/>
                          </w:tcPr>
                          <w:p w14:paraId="44D6932C" w14:textId="77777777" w:rsidR="00924992" w:rsidRDefault="00924992">
                            <w:pPr>
                              <w:rPr>
                                <w:sz w:val="10"/>
                                <w:szCs w:val="10"/>
                              </w:rPr>
                            </w:pPr>
                          </w:p>
                        </w:tc>
                        <w:tc>
                          <w:tcPr>
                            <w:tcW w:w="2630" w:type="dxa"/>
                            <w:shd w:val="clear" w:color="auto" w:fill="FFFFFF"/>
                          </w:tcPr>
                          <w:p w14:paraId="76D8EB8D" w14:textId="77777777" w:rsidR="00924992" w:rsidRDefault="00924992">
                            <w:pPr>
                              <w:rPr>
                                <w:sz w:val="10"/>
                                <w:szCs w:val="10"/>
                              </w:rPr>
                            </w:pPr>
                          </w:p>
                        </w:tc>
                        <w:tc>
                          <w:tcPr>
                            <w:tcW w:w="3278" w:type="dxa"/>
                            <w:shd w:val="clear" w:color="auto" w:fill="FFFFFF"/>
                            <w:vAlign w:val="bottom"/>
                          </w:tcPr>
                          <w:p w14:paraId="7AD187FD" w14:textId="77777777" w:rsidR="00924992" w:rsidRDefault="00924992">
                            <w:pPr>
                              <w:pStyle w:val="Other0"/>
                              <w:spacing w:line="240" w:lineRule="auto"/>
                              <w:ind w:firstLine="580"/>
                              <w:rPr>
                                <w:sz w:val="16"/>
                                <w:szCs w:val="16"/>
                              </w:rPr>
                            </w:pPr>
                            <w:r>
                              <w:rPr>
                                <w:rFonts w:ascii="Times New Roman" w:eastAsia="Times New Roman" w:hAnsi="Times New Roman" w:cs="Times New Roman"/>
                                <w:color w:val="000000"/>
                                <w:sz w:val="16"/>
                                <w:szCs w:val="16"/>
                              </w:rPr>
                              <w:t>Días 4 a 21: 9 mg/kg/día en 3 dosis</w:t>
                            </w:r>
                          </w:p>
                        </w:tc>
                        <w:tc>
                          <w:tcPr>
                            <w:tcW w:w="2717" w:type="dxa"/>
                            <w:shd w:val="clear" w:color="auto" w:fill="FFFFFF"/>
                            <w:vAlign w:val="bottom"/>
                          </w:tcPr>
                          <w:p w14:paraId="535AFA35" w14:textId="77777777" w:rsidR="00924992" w:rsidRDefault="00924992">
                            <w:pPr>
                              <w:pStyle w:val="Other0"/>
                              <w:spacing w:line="240" w:lineRule="auto"/>
                              <w:ind w:firstLine="180"/>
                              <w:jc w:val="both"/>
                              <w:rPr>
                                <w:sz w:val="16"/>
                                <w:szCs w:val="16"/>
                              </w:rPr>
                            </w:pPr>
                            <w:r>
                              <w:rPr>
                                <w:rFonts w:ascii="Times New Roman" w:eastAsia="Times New Roman" w:hAnsi="Times New Roman" w:cs="Times New Roman"/>
                                <w:color w:val="000000"/>
                                <w:sz w:val="16"/>
                                <w:szCs w:val="16"/>
                              </w:rPr>
                              <w:t>Días 4 a 21: 9 mg/kg/día en 3 dosis</w:t>
                            </w:r>
                          </w:p>
                        </w:tc>
                      </w:tr>
                      <w:tr w:rsidR="00924992" w14:paraId="24D6D590" w14:textId="77777777">
                        <w:tblPrEx>
                          <w:tblCellMar>
                            <w:top w:w="0" w:type="dxa"/>
                            <w:bottom w:w="0" w:type="dxa"/>
                          </w:tblCellMar>
                        </w:tblPrEx>
                        <w:trPr>
                          <w:trHeight w:hRule="exact" w:val="197"/>
                        </w:trPr>
                        <w:tc>
                          <w:tcPr>
                            <w:tcW w:w="2424" w:type="dxa"/>
                            <w:shd w:val="clear" w:color="auto" w:fill="FFFFFF"/>
                          </w:tcPr>
                          <w:p w14:paraId="2B8F6A15" w14:textId="77777777" w:rsidR="00924992" w:rsidRDefault="00924992">
                            <w:pPr>
                              <w:pStyle w:val="Other0"/>
                              <w:spacing w:line="240" w:lineRule="auto"/>
                              <w:ind w:firstLine="0"/>
                              <w:rPr>
                                <w:sz w:val="17"/>
                                <w:szCs w:val="17"/>
                              </w:rPr>
                            </w:pPr>
                            <w:r>
                              <w:rPr>
                                <w:rFonts w:ascii="Times New Roman" w:eastAsia="Times New Roman" w:hAnsi="Times New Roman" w:cs="Times New Roman"/>
                                <w:b/>
                                <w:bCs/>
                                <w:i/>
                                <w:iCs/>
                                <w:color w:val="000000"/>
                                <w:sz w:val="17"/>
                                <w:szCs w:val="17"/>
                              </w:rPr>
                              <w:t>Mansonella ozzardi</w:t>
                            </w:r>
                          </w:p>
                        </w:tc>
                        <w:tc>
                          <w:tcPr>
                            <w:tcW w:w="2630" w:type="dxa"/>
                            <w:shd w:val="clear" w:color="auto" w:fill="FFFFFF"/>
                          </w:tcPr>
                          <w:p w14:paraId="37E564D9" w14:textId="77777777" w:rsidR="00924992" w:rsidRDefault="00924992">
                            <w:pPr>
                              <w:rPr>
                                <w:sz w:val="10"/>
                                <w:szCs w:val="10"/>
                              </w:rPr>
                            </w:pPr>
                          </w:p>
                        </w:tc>
                        <w:tc>
                          <w:tcPr>
                            <w:tcW w:w="3278" w:type="dxa"/>
                            <w:shd w:val="clear" w:color="auto" w:fill="FFFFFF"/>
                          </w:tcPr>
                          <w:p w14:paraId="765A9BAA" w14:textId="77777777" w:rsidR="00924992" w:rsidRDefault="00924992">
                            <w:pPr>
                              <w:rPr>
                                <w:sz w:val="10"/>
                                <w:szCs w:val="10"/>
                              </w:rPr>
                            </w:pPr>
                          </w:p>
                        </w:tc>
                        <w:tc>
                          <w:tcPr>
                            <w:tcW w:w="2717" w:type="dxa"/>
                            <w:shd w:val="clear" w:color="auto" w:fill="FFFFFF"/>
                          </w:tcPr>
                          <w:p w14:paraId="0D12C9DD" w14:textId="77777777" w:rsidR="00924992" w:rsidRDefault="00924992">
                            <w:pPr>
                              <w:rPr>
                                <w:sz w:val="10"/>
                                <w:szCs w:val="10"/>
                              </w:rPr>
                            </w:pPr>
                          </w:p>
                        </w:tc>
                      </w:tr>
                      <w:tr w:rsidR="00924992" w14:paraId="331DCD08" w14:textId="77777777">
                        <w:tblPrEx>
                          <w:tblCellMar>
                            <w:top w:w="0" w:type="dxa"/>
                            <w:bottom w:w="0" w:type="dxa"/>
                          </w:tblCellMar>
                        </w:tblPrEx>
                        <w:trPr>
                          <w:trHeight w:hRule="exact" w:val="202"/>
                        </w:trPr>
                        <w:tc>
                          <w:tcPr>
                            <w:tcW w:w="2424" w:type="dxa"/>
                            <w:shd w:val="clear" w:color="auto" w:fill="FFFFFF"/>
                            <w:vAlign w:val="bottom"/>
                          </w:tcPr>
                          <w:p w14:paraId="60CBCA94" w14:textId="77777777" w:rsidR="00924992" w:rsidRDefault="00924992">
                            <w:pPr>
                              <w:pStyle w:val="Other0"/>
                              <w:spacing w:line="240" w:lineRule="auto"/>
                              <w:ind w:firstLine="0"/>
                              <w:rPr>
                                <w:sz w:val="16"/>
                                <w:szCs w:val="16"/>
                              </w:rPr>
                            </w:pPr>
                            <w:r>
                              <w:rPr>
                                <w:rFonts w:ascii="Times New Roman" w:eastAsia="Times New Roman" w:hAnsi="Times New Roman" w:cs="Times New Roman"/>
                                <w:color w:val="000000"/>
                                <w:sz w:val="16"/>
                                <w:szCs w:val="16"/>
                              </w:rPr>
                              <w:t>Fármaco más indicado:</w:t>
                            </w:r>
                            <w:r>
                              <w:rPr>
                                <w:rFonts w:ascii="Times New Roman" w:eastAsia="Times New Roman" w:hAnsi="Times New Roman" w:cs="Times New Roman"/>
                                <w:color w:val="000000"/>
                                <w:sz w:val="16"/>
                                <w:szCs w:val="16"/>
                                <w:vertAlign w:val="superscript"/>
                              </w:rPr>
                              <w:t xml:space="preserve"> </w:t>
                            </w:r>
                          </w:p>
                        </w:tc>
                        <w:tc>
                          <w:tcPr>
                            <w:tcW w:w="2630" w:type="dxa"/>
                            <w:shd w:val="clear" w:color="auto" w:fill="FFFFFF"/>
                            <w:vAlign w:val="bottom"/>
                          </w:tcPr>
                          <w:p w14:paraId="052784BC" w14:textId="77777777" w:rsidR="00924992" w:rsidRDefault="00924992">
                            <w:pPr>
                              <w:pStyle w:val="Other0"/>
                              <w:spacing w:line="240" w:lineRule="auto"/>
                              <w:ind w:firstLine="440"/>
                              <w:rPr>
                                <w:sz w:val="16"/>
                                <w:szCs w:val="16"/>
                              </w:rPr>
                            </w:pPr>
                            <w:r>
                              <w:rPr>
                                <w:rFonts w:ascii="Times New Roman" w:eastAsia="Times New Roman" w:hAnsi="Times New Roman" w:cs="Times New Roman"/>
                                <w:color w:val="000000"/>
                                <w:sz w:val="16"/>
                                <w:szCs w:val="16"/>
                              </w:rPr>
                              <w:t>Véase pie de cuadro 35</w:t>
                            </w:r>
                          </w:p>
                        </w:tc>
                        <w:tc>
                          <w:tcPr>
                            <w:tcW w:w="3278" w:type="dxa"/>
                            <w:shd w:val="clear" w:color="auto" w:fill="FFFFFF"/>
                          </w:tcPr>
                          <w:p w14:paraId="581BC22A" w14:textId="77777777" w:rsidR="00924992" w:rsidRDefault="00924992">
                            <w:pPr>
                              <w:rPr>
                                <w:sz w:val="10"/>
                                <w:szCs w:val="10"/>
                              </w:rPr>
                            </w:pPr>
                          </w:p>
                        </w:tc>
                        <w:tc>
                          <w:tcPr>
                            <w:tcW w:w="2717" w:type="dxa"/>
                            <w:shd w:val="clear" w:color="auto" w:fill="FFFFFF"/>
                          </w:tcPr>
                          <w:p w14:paraId="3BF4A2FE" w14:textId="77777777" w:rsidR="00924992" w:rsidRDefault="00924992">
                            <w:pPr>
                              <w:rPr>
                                <w:sz w:val="10"/>
                                <w:szCs w:val="10"/>
                              </w:rPr>
                            </w:pPr>
                          </w:p>
                        </w:tc>
                      </w:tr>
                      <w:tr w:rsidR="00924992" w14:paraId="5C2EE9B8" w14:textId="77777777">
                        <w:tblPrEx>
                          <w:tblCellMar>
                            <w:top w:w="0" w:type="dxa"/>
                            <w:bottom w:w="0" w:type="dxa"/>
                          </w:tblCellMar>
                        </w:tblPrEx>
                        <w:trPr>
                          <w:trHeight w:hRule="exact" w:val="216"/>
                        </w:trPr>
                        <w:tc>
                          <w:tcPr>
                            <w:tcW w:w="2424" w:type="dxa"/>
                            <w:shd w:val="clear" w:color="auto" w:fill="FFFFFF"/>
                            <w:vAlign w:val="bottom"/>
                          </w:tcPr>
                          <w:p w14:paraId="194F6ED2" w14:textId="77777777" w:rsidR="00924992" w:rsidRDefault="00924992">
                            <w:pPr>
                              <w:pStyle w:val="Other0"/>
                              <w:spacing w:line="240" w:lineRule="auto"/>
                              <w:ind w:firstLine="0"/>
                              <w:rPr>
                                <w:sz w:val="17"/>
                                <w:szCs w:val="17"/>
                              </w:rPr>
                            </w:pPr>
                            <w:r>
                              <w:rPr>
                                <w:rFonts w:ascii="Times New Roman" w:eastAsia="Times New Roman" w:hAnsi="Times New Roman" w:cs="Times New Roman"/>
                                <w:b/>
                                <w:bCs/>
                                <w:i/>
                                <w:iCs/>
                                <w:color w:val="000000"/>
                                <w:sz w:val="17"/>
                                <w:szCs w:val="17"/>
                              </w:rPr>
                              <w:t>Mansonella perstans</w:t>
                            </w:r>
                          </w:p>
                        </w:tc>
                        <w:tc>
                          <w:tcPr>
                            <w:tcW w:w="2630" w:type="dxa"/>
                            <w:shd w:val="clear" w:color="auto" w:fill="FFFFFF"/>
                          </w:tcPr>
                          <w:p w14:paraId="175B29A3" w14:textId="77777777" w:rsidR="00924992" w:rsidRDefault="00924992">
                            <w:pPr>
                              <w:rPr>
                                <w:sz w:val="10"/>
                                <w:szCs w:val="10"/>
                              </w:rPr>
                            </w:pPr>
                          </w:p>
                        </w:tc>
                        <w:tc>
                          <w:tcPr>
                            <w:tcW w:w="3278" w:type="dxa"/>
                            <w:shd w:val="clear" w:color="auto" w:fill="FFFFFF"/>
                          </w:tcPr>
                          <w:p w14:paraId="1F59004C" w14:textId="77777777" w:rsidR="00924992" w:rsidRDefault="00924992">
                            <w:pPr>
                              <w:rPr>
                                <w:sz w:val="10"/>
                                <w:szCs w:val="10"/>
                              </w:rPr>
                            </w:pPr>
                          </w:p>
                        </w:tc>
                        <w:tc>
                          <w:tcPr>
                            <w:tcW w:w="2717" w:type="dxa"/>
                            <w:shd w:val="clear" w:color="auto" w:fill="FFFFFF"/>
                          </w:tcPr>
                          <w:p w14:paraId="346D3249" w14:textId="77777777" w:rsidR="00924992" w:rsidRDefault="00924992">
                            <w:pPr>
                              <w:rPr>
                                <w:sz w:val="10"/>
                                <w:szCs w:val="10"/>
                              </w:rPr>
                            </w:pPr>
                          </w:p>
                        </w:tc>
                      </w:tr>
                      <w:tr w:rsidR="00924992" w14:paraId="7A16A175" w14:textId="77777777">
                        <w:tblPrEx>
                          <w:tblCellMar>
                            <w:top w:w="0" w:type="dxa"/>
                            <w:bottom w:w="0" w:type="dxa"/>
                          </w:tblCellMar>
                        </w:tblPrEx>
                        <w:trPr>
                          <w:trHeight w:hRule="exact" w:val="302"/>
                        </w:trPr>
                        <w:tc>
                          <w:tcPr>
                            <w:tcW w:w="2424" w:type="dxa"/>
                            <w:tcBorders>
                              <w:bottom w:val="single" w:sz="4" w:space="0" w:color="auto"/>
                            </w:tcBorders>
                            <w:shd w:val="clear" w:color="auto" w:fill="FFFFFF"/>
                          </w:tcPr>
                          <w:p w14:paraId="0EC91176" w14:textId="77777777" w:rsidR="00924992" w:rsidRDefault="00924992">
                            <w:pPr>
                              <w:pStyle w:val="Other0"/>
                              <w:spacing w:line="240" w:lineRule="auto"/>
                              <w:ind w:firstLine="0"/>
                              <w:rPr>
                                <w:sz w:val="16"/>
                                <w:szCs w:val="16"/>
                              </w:rPr>
                            </w:pPr>
                            <w:r>
                              <w:rPr>
                                <w:rFonts w:ascii="Times New Roman" w:eastAsia="Times New Roman" w:hAnsi="Times New Roman" w:cs="Times New Roman"/>
                                <w:color w:val="000000"/>
                                <w:sz w:val="16"/>
                                <w:szCs w:val="16"/>
                              </w:rPr>
                              <w:t>Fármaco más indicado:</w:t>
                            </w:r>
                            <w:r>
                              <w:rPr>
                                <w:rFonts w:ascii="Times New Roman" w:eastAsia="Times New Roman" w:hAnsi="Times New Roman" w:cs="Times New Roman"/>
                                <w:color w:val="000000"/>
                                <w:sz w:val="16"/>
                                <w:szCs w:val="16"/>
                                <w:vertAlign w:val="superscript"/>
                              </w:rPr>
                              <w:t>32</w:t>
                            </w:r>
                          </w:p>
                        </w:tc>
                        <w:tc>
                          <w:tcPr>
                            <w:tcW w:w="2630" w:type="dxa"/>
                            <w:tcBorders>
                              <w:bottom w:val="single" w:sz="4" w:space="0" w:color="auto"/>
                            </w:tcBorders>
                            <w:shd w:val="clear" w:color="auto" w:fill="FFFFFF"/>
                          </w:tcPr>
                          <w:p w14:paraId="52AF98A2" w14:textId="77777777" w:rsidR="00924992" w:rsidRDefault="00924992">
                            <w:pPr>
                              <w:pStyle w:val="Other0"/>
                              <w:spacing w:line="240" w:lineRule="auto"/>
                              <w:ind w:firstLine="440"/>
                              <w:rPr>
                                <w:sz w:val="16"/>
                                <w:szCs w:val="16"/>
                              </w:rPr>
                            </w:pPr>
                            <w:r>
                              <w:rPr>
                                <w:rFonts w:ascii="Times New Roman" w:eastAsia="Times New Roman" w:hAnsi="Times New Roman" w:cs="Times New Roman"/>
                                <w:color w:val="000000"/>
                                <w:sz w:val="16"/>
                                <w:szCs w:val="16"/>
                              </w:rPr>
                              <w:t>Mebendazol</w:t>
                            </w:r>
                            <w:r>
                              <w:rPr>
                                <w:rFonts w:ascii="Times New Roman" w:eastAsia="Times New Roman" w:hAnsi="Times New Roman" w:cs="Times New Roman"/>
                                <w:color w:val="000000"/>
                                <w:sz w:val="16"/>
                                <w:szCs w:val="16"/>
                                <w:vertAlign w:val="superscript"/>
                              </w:rPr>
                              <w:t>3</w:t>
                            </w:r>
                          </w:p>
                        </w:tc>
                        <w:tc>
                          <w:tcPr>
                            <w:tcW w:w="3278" w:type="dxa"/>
                            <w:tcBorders>
                              <w:bottom w:val="single" w:sz="4" w:space="0" w:color="auto"/>
                            </w:tcBorders>
                            <w:shd w:val="clear" w:color="auto" w:fill="FFFFFF"/>
                          </w:tcPr>
                          <w:p w14:paraId="357F649B" w14:textId="77777777" w:rsidR="00924992" w:rsidRDefault="00924992">
                            <w:pPr>
                              <w:pStyle w:val="Other0"/>
                              <w:spacing w:line="240" w:lineRule="auto"/>
                              <w:ind w:firstLine="580"/>
                              <w:rPr>
                                <w:sz w:val="16"/>
                                <w:szCs w:val="16"/>
                              </w:rPr>
                            </w:pPr>
                            <w:r>
                              <w:rPr>
                                <w:rFonts w:ascii="Times New Roman" w:eastAsia="Times New Roman" w:hAnsi="Times New Roman" w:cs="Times New Roman"/>
                                <w:color w:val="000000"/>
                                <w:sz w:val="16"/>
                                <w:szCs w:val="16"/>
                              </w:rPr>
                              <w:t xml:space="preserve">100 mg bid </w:t>
                            </w:r>
                            <w:r>
                              <w:rPr>
                                <w:color w:val="000000"/>
                              </w:rPr>
                              <w:t xml:space="preserve">x </w:t>
                            </w:r>
                            <w:r>
                              <w:rPr>
                                <w:rFonts w:ascii="Times New Roman" w:eastAsia="Times New Roman" w:hAnsi="Times New Roman" w:cs="Times New Roman"/>
                                <w:color w:val="000000"/>
                                <w:sz w:val="16"/>
                                <w:szCs w:val="16"/>
                              </w:rPr>
                              <w:t>30 días</w:t>
                            </w:r>
                          </w:p>
                        </w:tc>
                        <w:tc>
                          <w:tcPr>
                            <w:tcW w:w="2717" w:type="dxa"/>
                            <w:tcBorders>
                              <w:bottom w:val="single" w:sz="4" w:space="0" w:color="auto"/>
                            </w:tcBorders>
                            <w:shd w:val="clear" w:color="auto" w:fill="FFFFFF"/>
                          </w:tcPr>
                          <w:p w14:paraId="73435B68" w14:textId="77777777" w:rsidR="00924992" w:rsidRDefault="00924992">
                            <w:pPr>
                              <w:pStyle w:val="Other0"/>
                              <w:spacing w:line="240" w:lineRule="auto"/>
                              <w:ind w:firstLine="180"/>
                              <w:rPr>
                                <w:sz w:val="16"/>
                                <w:szCs w:val="16"/>
                              </w:rPr>
                            </w:pPr>
                            <w:r>
                              <w:rPr>
                                <w:rFonts w:ascii="Times New Roman" w:eastAsia="Times New Roman" w:hAnsi="Times New Roman" w:cs="Times New Roman"/>
                                <w:color w:val="000000"/>
                                <w:sz w:val="16"/>
                                <w:szCs w:val="16"/>
                              </w:rPr>
                              <w:t xml:space="preserve">100 mg bid </w:t>
                            </w:r>
                            <w:r>
                              <w:rPr>
                                <w:color w:val="000000"/>
                              </w:rPr>
                              <w:t xml:space="preserve">x </w:t>
                            </w:r>
                            <w:r>
                              <w:rPr>
                                <w:rFonts w:ascii="Times New Roman" w:eastAsia="Times New Roman" w:hAnsi="Times New Roman" w:cs="Times New Roman"/>
                                <w:color w:val="000000"/>
                                <w:sz w:val="16"/>
                                <w:szCs w:val="16"/>
                              </w:rPr>
                              <w:t>30 días</w:t>
                            </w:r>
                          </w:p>
                        </w:tc>
                      </w:tr>
                    </w:tbl>
                    <w:p w14:paraId="513D0F4C" w14:textId="77777777" w:rsidR="00924992" w:rsidRDefault="00924992">
                      <w:pPr>
                        <w:spacing w:line="1" w:lineRule="exact"/>
                      </w:pPr>
                    </w:p>
                  </w:txbxContent>
                </v:textbox>
                <w10:wrap type="topAndBottom" anchorx="page"/>
              </v:shape>
            </w:pict>
          </mc:Fallback>
        </mc:AlternateContent>
      </w:r>
      <w:r>
        <w:rPr>
          <w:noProof/>
        </w:rPr>
        <mc:AlternateContent>
          <mc:Choice Requires="wps">
            <w:drawing>
              <wp:anchor distT="0" distB="0" distL="0" distR="0" simplePos="0" relativeHeight="251793408" behindDoc="0" locked="0" layoutInCell="1" allowOverlap="1" wp14:anchorId="418E253D" wp14:editId="0537633D">
                <wp:simplePos x="0" y="0"/>
                <wp:positionH relativeFrom="page">
                  <wp:posOffset>426720</wp:posOffset>
                </wp:positionH>
                <wp:positionV relativeFrom="paragraph">
                  <wp:posOffset>938530</wp:posOffset>
                </wp:positionV>
                <wp:extent cx="2767330" cy="149225"/>
                <wp:effectExtent l="0" t="0" r="0" b="0"/>
                <wp:wrapNone/>
                <wp:docPr id="2402" name="Shape 2402"/>
                <wp:cNvGraphicFramePr/>
                <a:graphic xmlns:a="http://schemas.openxmlformats.org/drawingml/2006/main">
                  <a:graphicData uri="http://schemas.microsoft.com/office/word/2010/wordprocessingShape">
                    <wps:wsp>
                      <wps:cNvSpPr txBox="1"/>
                      <wps:spPr>
                        <a:xfrm>
                          <a:off x="0" y="0"/>
                          <a:ext cx="2767330" cy="149225"/>
                        </a:xfrm>
                        <a:prstGeom prst="rect">
                          <a:avLst/>
                        </a:prstGeom>
                        <a:noFill/>
                      </wps:spPr>
                      <wps:txbx>
                        <w:txbxContent>
                          <w:p w14:paraId="1A377ADE" w14:textId="77777777" w:rsidR="00924992" w:rsidRDefault="00924992">
                            <w:pPr>
                              <w:pStyle w:val="Tablecaption0"/>
                              <w:spacing w:line="240" w:lineRule="auto"/>
                              <w:ind w:left="0"/>
                              <w:rPr>
                                <w:sz w:val="16"/>
                                <w:szCs w:val="16"/>
                              </w:rPr>
                            </w:pPr>
                            <w:r>
                              <w:rPr>
                                <w:b/>
                                <w:bCs/>
                                <w:i/>
                                <w:iCs/>
                                <w:color w:val="000000"/>
                                <w:sz w:val="17"/>
                                <w:szCs w:val="17"/>
                              </w:rPr>
                              <w:t>Fasciola hepatica</w:t>
                            </w:r>
                            <w:r>
                              <w:rPr>
                                <w:i/>
                                <w:iCs/>
                                <w:color w:val="000000"/>
                              </w:rPr>
                              <w:t>,</w:t>
                            </w:r>
                            <w:r>
                              <w:rPr>
                                <w:color w:val="000000"/>
                                <w:sz w:val="16"/>
                                <w:szCs w:val="16"/>
                              </w:rPr>
                              <w:t xml:space="preserve"> véase “DUELAS hermafroditas, infección’</w:t>
                            </w:r>
                          </w:p>
                        </w:txbxContent>
                      </wps:txbx>
                      <wps:bodyPr lIns="0" tIns="0" rIns="0" bIns="0"/>
                    </wps:wsp>
                  </a:graphicData>
                </a:graphic>
              </wp:anchor>
            </w:drawing>
          </mc:Choice>
          <mc:Fallback>
            <w:pict>
              <v:shape w14:anchorId="418E253D" id="Shape 2402" o:spid="_x0000_s1086" type="#_x0000_t202" style="position:absolute;margin-left:33.6pt;margin-top:73.9pt;width:217.9pt;height:11.75pt;z-index:25179340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" filled="f" stroked="f">
                <v:textbox inset="0,0,0,0">
                  <w:txbxContent>
                    <w:p w14:paraId="1A377ADE" w14:textId="77777777" w:rsidR="00924992" w:rsidRDefault="00924992">
                      <w:pPr>
                        <w:pStyle w:val="Tablecaption0"/>
                        <w:spacing w:line="240" w:lineRule="auto"/>
                        <w:ind w:left="0"/>
                        <w:rPr>
                          <w:sz w:val="16"/>
                          <w:szCs w:val="16"/>
                        </w:rPr>
                      </w:pPr>
                      <w:r>
                        <w:rPr>
                          <w:b/>
                          <w:bCs/>
                          <w:i/>
                          <w:iCs/>
                          <w:color w:val="000000"/>
                          <w:sz w:val="17"/>
                          <w:szCs w:val="17"/>
                        </w:rPr>
                        <w:t>Fasciola hepatica</w:t>
                      </w:r>
                      <w:r>
                        <w:rPr>
                          <w:i/>
                          <w:iCs/>
                          <w:color w:val="000000"/>
                        </w:rPr>
                        <w:t>,</w:t>
                      </w:r>
                      <w:r>
                        <w:rPr>
                          <w:color w:val="000000"/>
                          <w:sz w:val="16"/>
                          <w:szCs w:val="16"/>
                        </w:rPr>
                        <w:t xml:space="preserve"> véase “DUELAS hermafroditas, infección’</w:t>
                      </w:r>
                    </w:p>
                  </w:txbxContent>
                </v:textbox>
                <w10:wrap anchorx="page"/>
              </v:shape>
            </w:pict>
          </mc:Fallback>
        </mc:AlternateContent>
      </w:r>
      <w:r>
        <w:rPr>
          <w:noProof/>
        </w:rPr>
        <mc:AlternateContent>
          <mc:Choice Requires="wps">
            <w:drawing>
              <wp:anchor distT="0" distB="0" distL="0" distR="0" simplePos="0" relativeHeight="251713536" behindDoc="0" locked="0" layoutInCell="1" allowOverlap="1" wp14:anchorId="38E6D8FA" wp14:editId="0B1EC30B">
                <wp:simplePos x="0" y="0"/>
                <wp:positionH relativeFrom="page">
                  <wp:posOffset>7867015</wp:posOffset>
                </wp:positionH>
                <wp:positionV relativeFrom="paragraph">
                  <wp:posOffset>33655</wp:posOffset>
                </wp:positionV>
                <wp:extent cx="121920" cy="2880360"/>
                <wp:effectExtent l="0" t="0" r="0" b="0"/>
                <wp:wrapSquare wrapText="bothSides"/>
                <wp:docPr id="2404" name="Shape 2404"/>
                <wp:cNvGraphicFramePr/>
                <a:graphic xmlns:a="http://schemas.openxmlformats.org/drawingml/2006/main">
                  <a:graphicData uri="http://schemas.microsoft.com/office/word/2010/wordprocessingShape">
                    <wps:wsp>
                      <wps:cNvSpPr txBox="1"/>
                      <wps:spPr>
                        <a:xfrm>
                          <a:off x="0" y="0"/>
                          <a:ext cx="121920" cy="2880360"/>
                        </a:xfrm>
                        <a:prstGeom prst="rect">
                          <a:avLst/>
                        </a:prstGeom>
                        <a:noFill/>
                      </wps:spPr>
                      <wps:txbx>
                        <w:txbxContent>
                          <w:p w14:paraId="5D49C9E6" w14:textId="77777777" w:rsidR="00924992" w:rsidRDefault="00924992">
                            <w:pPr>
                              <w:pStyle w:val="Bodytext80"/>
                              <w:tabs>
                                <w:tab w:val="left" w:pos="2338"/>
                              </w:tabs>
                            </w:pPr>
                            <w:r>
                              <w:rPr>
                                <w:sz w:val="16"/>
                                <w:szCs w:val="16"/>
                              </w:rPr>
                              <w:t>790</w:t>
                            </w:r>
                            <w:r>
                              <w:rPr>
                                <w:sz w:val="16"/>
                                <w:szCs w:val="16"/>
                              </w:rPr>
                              <w:tab/>
                            </w:r>
                            <w:r>
                              <w:t>FÁRMACOS ANTIPARASITARIOS</w:t>
                            </w:r>
                          </w:p>
                        </w:txbxContent>
                      </wps:txbx>
                      <wps:bodyPr vert="vert" lIns="0" tIns="0" rIns="0" bIns="0" upright="1"/>
                    </wps:wsp>
                  </a:graphicData>
                </a:graphic>
              </wp:anchor>
            </w:drawing>
          </mc:Choice>
          <mc:Fallback>
            <w:pict>
              <v:shape w14:anchorId="38E6D8FA" id="Shape 2404" o:spid="_x0000_s1087" type="#_x0000_t202" style="position:absolute;margin-left:619.45pt;margin-top:2.65pt;width:9.6pt;height:226.8pt;z-index:25171353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" filled="f" stroked="f">
                <v:textbox style="layout-flow:vertical" inset="0,0,0,0">
                  <w:txbxContent>
                    <w:p w14:paraId="5D49C9E6" w14:textId="77777777" w:rsidR="00924992" w:rsidRDefault="00924992">
                      <w:pPr>
                        <w:pStyle w:val="Bodytext80"/>
                        <w:tabs>
                          <w:tab w:val="left" w:pos="2338"/>
                        </w:tabs>
                      </w:pPr>
                      <w:r>
                        <w:rPr>
                          <w:sz w:val="16"/>
                          <w:szCs w:val="16"/>
                        </w:rPr>
                        <w:t>790</w:t>
                      </w:r>
                      <w:r>
                        <w:rPr>
                          <w:sz w:val="16"/>
                          <w:szCs w:val="16"/>
                        </w:rPr>
                        <w:tab/>
                      </w:r>
                      <w:r>
                        <w:t>FÁRMACOS ANTIPARASITARIOS</w:t>
                      </w:r>
                    </w:p>
                  </w:txbxContent>
                </v:textbox>
                <w10:wrap type="square" anchorx="page"/>
              </v:shape>
            </w:pict>
          </mc:Fallback>
        </mc:AlternateContent>
      </w:r>
    </w:p>
    <w:p w14:paraId="05D7291B" w14:textId="77777777" w:rsidR="00924992" w:rsidRDefault="00924992">
      <w:pPr>
        <w:pStyle w:val="Heading31"/>
        <w:keepNext/>
        <w:keepLines/>
        <w:jc w:val="center"/>
        <w:rPr>
          <w:sz w:val="16"/>
          <w:szCs w:val="16"/>
        </w:rPr>
        <w:sectPr w:rsidR="00924992" w:rsidSect="00924992">
          <w:pgSz w:w="13022" w:h="8501" w:orient="landscape"/>
          <w:pgMar w:top="451" w:right="700" w:bottom="451" w:left="590" w:header="0" w:footer="3" w:gutter="0"/>
          <w:cols w:space="720"/>
          <w:noEndnote/>
          <w:docGrid w:linePitch="360"/>
          <w15:footnoteColumns w:val="1"/>
        </w:sectPr>
      </w:pPr>
      <w:bookmarkStart w:id="563" w:name="bookmark1994"/>
      <w:bookmarkStart w:id="564" w:name="bookmark1995"/>
      <w:bookmarkStart w:id="565" w:name="bookmark1996"/>
      <w:r>
        <w:rPr>
          <w:b w:val="0"/>
          <w:bCs w:val="0"/>
          <w:color w:val="000000"/>
        </w:rPr>
        <w:t xml:space="preserve">Cuadro 4-13. </w:t>
      </w:r>
      <w:r>
        <w:rPr>
          <w:color w:val="000000"/>
        </w:rPr>
        <w:t xml:space="preserve">Fármacos antiparasitarios </w:t>
      </w:r>
      <w:r>
        <w:rPr>
          <w:rFonts w:ascii="Times New Roman" w:eastAsia="Times New Roman" w:hAnsi="Times New Roman" w:cs="Times New Roman"/>
          <w:b w:val="0"/>
          <w:bCs w:val="0"/>
          <w:i/>
          <w:iCs/>
          <w:color w:val="000000"/>
          <w:w w:val="100"/>
          <w:sz w:val="16"/>
          <w:szCs w:val="16"/>
        </w:rPr>
        <w:t>cwitinuación</w:t>
      </w:r>
      <w:bookmarkEnd w:id="563"/>
      <w:bookmarkEnd w:id="564"/>
      <w:bookmarkEnd w:id="565"/>
    </w:p>
    <w:p w14:paraId="2A509A3F" w14:textId="77777777" w:rsidR="00924992" w:rsidRDefault="00924992">
      <w:pPr>
        <w:pStyle w:val="Heading41"/>
        <w:keepNext/>
        <w:keepLines/>
        <w:framePr w:w="768" w:h="298" w:wrap="none" w:hAnchor="page" w:x="683" w:y="347"/>
        <w:pBdr>
          <w:top w:val="single" w:sz="0" w:space="0" w:color="000000"/>
          <w:left w:val="single" w:sz="0" w:space="0" w:color="000000"/>
          <w:bottom w:val="single" w:sz="0" w:space="0" w:color="000000"/>
          <w:right w:val="single" w:sz="0" w:space="0" w:color="000000"/>
        </w:pBdr>
        <w:shd w:val="clear" w:color="auto" w:fill="000000"/>
      </w:pPr>
      <w:bookmarkStart w:id="566" w:name="bookmark1997"/>
      <w:bookmarkStart w:id="567" w:name="bookmark1998"/>
      <w:bookmarkStart w:id="568" w:name="bookmark1999"/>
      <w:r>
        <w:rPr>
          <w:color w:val="FFFFFF"/>
        </w:rPr>
        <w:t>Infección</w:t>
      </w:r>
      <w:bookmarkEnd w:id="566"/>
      <w:bookmarkEnd w:id="567"/>
      <w:bookmarkEnd w:id="568"/>
    </w:p>
    <w:p w14:paraId="713A2785" w14:textId="77777777" w:rsidR="00924992" w:rsidRDefault="00924992">
      <w:pPr>
        <w:pStyle w:val="Heading31"/>
        <w:keepNext/>
        <w:keepLines/>
        <w:framePr w:w="4618" w:h="317" w:wrap="none" w:hAnchor="page" w:x="4038" w:y="1"/>
        <w:rPr>
          <w:sz w:val="16"/>
          <w:szCs w:val="16"/>
        </w:rPr>
      </w:pPr>
      <w:bookmarkStart w:id="569" w:name="bookmark2000"/>
      <w:bookmarkStart w:id="570" w:name="bookmark2001"/>
      <w:bookmarkStart w:id="571" w:name="bookmark2002"/>
      <w:r>
        <w:rPr>
          <w:b w:val="0"/>
          <w:bCs w:val="0"/>
          <w:color w:val="000000"/>
        </w:rPr>
        <w:t xml:space="preserve">Cuadro 4-13. </w:t>
      </w:r>
      <w:r>
        <w:rPr>
          <w:color w:val="000000"/>
        </w:rPr>
        <w:t xml:space="preserve">Fármacos antiparasitarios </w:t>
      </w:r>
      <w:r>
        <w:rPr>
          <w:rFonts w:ascii="Times New Roman" w:eastAsia="Times New Roman" w:hAnsi="Times New Roman" w:cs="Times New Roman"/>
          <w:b w:val="0"/>
          <w:bCs w:val="0"/>
          <w:i/>
          <w:iCs/>
          <w:color w:val="000000"/>
          <w:w w:val="100"/>
          <w:sz w:val="16"/>
          <w:szCs w:val="16"/>
        </w:rPr>
        <w:t>continuación</w:t>
      </w:r>
      <w:bookmarkEnd w:id="569"/>
      <w:bookmarkEnd w:id="570"/>
      <w:bookmarkEnd w:id="571"/>
    </w:p>
    <w:p w14:paraId="5F0B01D7" w14:textId="77777777" w:rsidR="00924992" w:rsidRDefault="00924992">
      <w:pPr>
        <w:pStyle w:val="Heading41"/>
        <w:keepNext/>
        <w:keepLines/>
        <w:framePr w:w="749" w:h="298" w:wrap="none" w:hAnchor="page" w:x="3505" w:y="351"/>
        <w:pBdr>
          <w:top w:val="single" w:sz="0" w:space="0" w:color="000000"/>
          <w:left w:val="single" w:sz="0" w:space="0" w:color="000000"/>
          <w:bottom w:val="single" w:sz="0" w:space="0" w:color="000000"/>
          <w:right w:val="single" w:sz="0" w:space="0" w:color="000000"/>
        </w:pBdr>
        <w:shd w:val="clear" w:color="auto" w:fill="000000"/>
        <w:jc w:val="center"/>
      </w:pPr>
      <w:bookmarkStart w:id="572" w:name="bookmark2003"/>
      <w:bookmarkStart w:id="573" w:name="bookmark2004"/>
      <w:bookmarkStart w:id="574" w:name="bookmark2005"/>
      <w:r>
        <w:rPr>
          <w:color w:val="FFFFFF"/>
        </w:rPr>
        <w:t>Fármaco</w:t>
      </w:r>
      <w:bookmarkEnd w:id="572"/>
      <w:bookmarkEnd w:id="573"/>
      <w:bookmarkEnd w:id="574"/>
    </w:p>
    <w:p w14:paraId="44527DEE" w14:textId="77777777" w:rsidR="00924992" w:rsidRDefault="00924992">
      <w:pPr>
        <w:pStyle w:val="Heading41"/>
        <w:keepNext/>
        <w:keepLines/>
        <w:framePr w:w="1565" w:h="298" w:wrap="none" w:hAnchor="page" w:x="6342" w:y="351"/>
        <w:pBdr>
          <w:top w:val="single" w:sz="0" w:space="0" w:color="000000"/>
          <w:left w:val="single" w:sz="0" w:space="0" w:color="000000"/>
          <w:bottom w:val="single" w:sz="0" w:space="0" w:color="000000"/>
          <w:right w:val="single" w:sz="0" w:space="0" w:color="000000"/>
        </w:pBdr>
        <w:shd w:val="clear" w:color="auto" w:fill="000000"/>
        <w:jc w:val="center"/>
      </w:pPr>
      <w:bookmarkStart w:id="575" w:name="bookmark2006"/>
      <w:bookmarkStart w:id="576" w:name="bookmark2007"/>
      <w:bookmarkStart w:id="577" w:name="bookmark2008"/>
      <w:r>
        <w:rPr>
          <w:color w:val="FFFFFF"/>
        </w:rPr>
        <w:t>Dosis para adultos</w:t>
      </w:r>
      <w:bookmarkEnd w:id="575"/>
      <w:bookmarkEnd w:id="576"/>
      <w:bookmarkEnd w:id="577"/>
    </w:p>
    <w:p w14:paraId="2BB5F1B9" w14:textId="77777777" w:rsidR="00924992" w:rsidRDefault="00924992">
      <w:pPr>
        <w:pStyle w:val="Heading41"/>
        <w:keepNext/>
        <w:keepLines/>
        <w:framePr w:w="1411" w:h="298" w:wrap="none" w:hAnchor="page" w:x="9174" w:y="351"/>
        <w:pBdr>
          <w:top w:val="single" w:sz="0" w:space="0" w:color="000000"/>
          <w:left w:val="single" w:sz="0" w:space="0" w:color="000000"/>
          <w:bottom w:val="single" w:sz="0" w:space="0" w:color="000000"/>
          <w:right w:val="single" w:sz="0" w:space="0" w:color="000000"/>
        </w:pBdr>
        <w:shd w:val="clear" w:color="auto" w:fill="000000"/>
        <w:jc w:val="right"/>
      </w:pPr>
      <w:bookmarkStart w:id="578" w:name="bookmark2009"/>
      <w:bookmarkStart w:id="579" w:name="bookmark2010"/>
      <w:bookmarkStart w:id="580" w:name="bookmark2011"/>
      <w:r>
        <w:rPr>
          <w:color w:val="FFFFFF"/>
        </w:rPr>
        <w:t>Dosis para niños</w:t>
      </w:r>
      <w:bookmarkEnd w:id="578"/>
      <w:bookmarkEnd w:id="579"/>
      <w:bookmarkEnd w:id="580"/>
    </w:p>
    <w:p w14:paraId="7E070D03" w14:textId="77777777" w:rsidR="00924992" w:rsidRDefault="00924992">
      <w:pPr>
        <w:pStyle w:val="Bodytext20"/>
        <w:framePr w:w="4123" w:h="1627" w:wrap="none" w:hAnchor="page" w:x="769" w:y="697"/>
        <w:tabs>
          <w:tab w:val="left" w:pos="2678"/>
        </w:tabs>
        <w:spacing w:line="240" w:lineRule="auto"/>
      </w:pPr>
      <w:r>
        <w:rPr>
          <w:b/>
          <w:bCs/>
          <w:color w:val="000000"/>
        </w:rPr>
        <w:t>O</w:t>
      </w:r>
      <w:r>
        <w:rPr>
          <w:b/>
          <w:bCs/>
          <w:color w:val="000000"/>
        </w:rPr>
        <w:tab/>
      </w:r>
      <w:r>
        <w:rPr>
          <w:color w:val="000000"/>
        </w:rPr>
        <w:t>Albendazol</w:t>
      </w:r>
      <w:r>
        <w:rPr>
          <w:color w:val="000000"/>
          <w:vertAlign w:val="superscript"/>
        </w:rPr>
        <w:t>3</w:t>
      </w:r>
    </w:p>
    <w:p w14:paraId="6F8B1EE1" w14:textId="77777777" w:rsidR="00924992" w:rsidRDefault="00924992">
      <w:pPr>
        <w:pStyle w:val="Bodytext20"/>
        <w:framePr w:w="4123" w:h="1627" w:wrap="none" w:hAnchor="page" w:x="769" w:y="697"/>
        <w:spacing w:line="240" w:lineRule="auto"/>
        <w:rPr>
          <w:sz w:val="17"/>
          <w:szCs w:val="17"/>
        </w:rPr>
      </w:pPr>
      <w:r>
        <w:rPr>
          <w:b/>
          <w:bCs/>
          <w:i/>
          <w:iCs/>
          <w:color w:val="000000"/>
          <w:sz w:val="17"/>
          <w:szCs w:val="17"/>
        </w:rPr>
        <w:t>Mansonella streptocerca</w:t>
      </w:r>
    </w:p>
    <w:p w14:paraId="472C8211" w14:textId="77777777" w:rsidR="00924992" w:rsidRDefault="00924992">
      <w:pPr>
        <w:pStyle w:val="Bodytext20"/>
        <w:framePr w:w="4123" w:h="1627" w:wrap="none" w:hAnchor="page" w:x="769" w:y="697"/>
        <w:tabs>
          <w:tab w:val="left" w:pos="2678"/>
        </w:tabs>
        <w:spacing w:line="240" w:lineRule="auto"/>
      </w:pPr>
      <w:r>
        <w:rPr>
          <w:color w:val="000000"/>
        </w:rPr>
        <w:t>Fármaco más indicado:</w:t>
      </w:r>
      <w:r>
        <w:rPr>
          <w:color w:val="000000"/>
          <w:vertAlign w:val="superscript"/>
        </w:rPr>
        <w:t>32,36</w:t>
      </w:r>
      <w:r>
        <w:rPr>
          <w:color w:val="000000"/>
        </w:rPr>
        <w:tab/>
        <w:t>Dietilcarbamazina*</w:t>
      </w:r>
    </w:p>
    <w:p w14:paraId="1186A869" w14:textId="77777777" w:rsidR="00924992" w:rsidRDefault="00924992">
      <w:pPr>
        <w:pStyle w:val="Bodytext20"/>
        <w:framePr w:w="4123" w:h="1627" w:wrap="none" w:hAnchor="page" w:x="769" w:y="697"/>
        <w:spacing w:line="240" w:lineRule="auto"/>
        <w:ind w:left="2760"/>
      </w:pPr>
      <w:r>
        <w:rPr>
          <w:color w:val="000000"/>
        </w:rPr>
        <w:t>Ivermectina</w:t>
      </w:r>
      <w:r>
        <w:rPr>
          <w:color w:val="000000"/>
          <w:vertAlign w:val="superscript"/>
        </w:rPr>
        <w:t>3</w:t>
      </w:r>
    </w:p>
    <w:p w14:paraId="75F77CA3" w14:textId="77777777" w:rsidR="00924992" w:rsidRDefault="00924992">
      <w:pPr>
        <w:pStyle w:val="Bodytext20"/>
        <w:framePr w:w="4123" w:h="1627" w:wrap="none" w:hAnchor="page" w:x="769" w:y="697"/>
        <w:spacing w:line="240" w:lineRule="auto"/>
      </w:pPr>
      <w:r>
        <w:rPr>
          <w:b/>
          <w:bCs/>
          <w:color w:val="000000"/>
        </w:rPr>
        <w:t>Eosinofilia pulmonar tropical (TPE)</w:t>
      </w:r>
    </w:p>
    <w:p w14:paraId="327577C5" w14:textId="77777777" w:rsidR="00924992" w:rsidRDefault="00924992">
      <w:pPr>
        <w:pStyle w:val="Bodytext20"/>
        <w:framePr w:w="4123" w:h="1627" w:wrap="none" w:hAnchor="page" w:x="769" w:y="697"/>
        <w:tabs>
          <w:tab w:val="left" w:pos="2678"/>
        </w:tabs>
        <w:spacing w:line="240" w:lineRule="auto"/>
      </w:pPr>
      <w:r>
        <w:rPr>
          <w:color w:val="000000"/>
        </w:rPr>
        <w:t>Fármaco más indicado:</w:t>
      </w:r>
      <w:r>
        <w:rPr>
          <w:color w:val="000000"/>
        </w:rPr>
        <w:tab/>
        <w:t>Dietilcarbamazina*</w:t>
      </w:r>
    </w:p>
    <w:p w14:paraId="5F809276" w14:textId="77777777" w:rsidR="00924992" w:rsidRDefault="00924992">
      <w:pPr>
        <w:pStyle w:val="Bodytext20"/>
        <w:framePr w:w="4123" w:h="1627" w:wrap="none" w:hAnchor="page" w:x="769" w:y="697"/>
        <w:spacing w:line="240" w:lineRule="auto"/>
      </w:pPr>
      <w:r>
        <w:rPr>
          <w:b/>
          <w:bCs/>
          <w:i/>
          <w:iCs/>
          <w:color w:val="000000"/>
          <w:sz w:val="17"/>
          <w:szCs w:val="17"/>
        </w:rPr>
        <w:t>Onchocerca volvulus</w:t>
      </w:r>
      <w:r>
        <w:rPr>
          <w:color w:val="000000"/>
        </w:rPr>
        <w:t xml:space="preserve"> (ceguera de los ríos)</w:t>
      </w:r>
    </w:p>
    <w:p w14:paraId="627FA729" w14:textId="77777777" w:rsidR="00924992" w:rsidRDefault="00924992">
      <w:pPr>
        <w:pStyle w:val="Bodytext20"/>
        <w:framePr w:w="4123" w:h="1627" w:wrap="none" w:hAnchor="page" w:x="769" w:y="697"/>
        <w:tabs>
          <w:tab w:val="left" w:pos="2678"/>
        </w:tabs>
        <w:spacing w:line="240" w:lineRule="auto"/>
      </w:pPr>
      <w:r>
        <w:rPr>
          <w:color w:val="000000"/>
        </w:rPr>
        <w:t>Fármaco más indicado:</w:t>
      </w:r>
      <w:r>
        <w:rPr>
          <w:color w:val="000000"/>
        </w:rPr>
        <w:tab/>
        <w:t>Ivermectina</w:t>
      </w:r>
      <w:r>
        <w:rPr>
          <w:color w:val="000000"/>
          <w:vertAlign w:val="superscript"/>
        </w:rPr>
        <w:t>37</w:t>
      </w:r>
    </w:p>
    <w:p w14:paraId="563CB81E" w14:textId="77777777" w:rsidR="00924992" w:rsidRDefault="00924992">
      <w:pPr>
        <w:pStyle w:val="Bodytext20"/>
        <w:framePr w:w="4085" w:h="1786" w:wrap="none" w:hAnchor="page" w:x="678" w:y="2699"/>
        <w:spacing w:line="264" w:lineRule="auto"/>
      </w:pPr>
      <w:r>
        <w:rPr>
          <w:b/>
          <w:bCs/>
          <w:color w:val="000000"/>
        </w:rPr>
        <w:t xml:space="preserve">GIARDIASIS </w:t>
      </w:r>
      <w:r>
        <w:rPr>
          <w:i/>
          <w:iCs/>
          <w:color w:val="000000"/>
        </w:rPr>
        <w:t>(Giardia lamblia)</w:t>
      </w:r>
    </w:p>
    <w:p w14:paraId="72704A23" w14:textId="77777777" w:rsidR="00924992" w:rsidRDefault="00924992">
      <w:pPr>
        <w:pStyle w:val="Bodytext20"/>
        <w:framePr w:w="4085" w:h="1786" w:wrap="none" w:hAnchor="page" w:x="678" w:y="2699"/>
        <w:tabs>
          <w:tab w:val="left" w:pos="2698"/>
        </w:tabs>
        <w:spacing w:line="264" w:lineRule="auto"/>
      </w:pPr>
      <w:r>
        <w:rPr>
          <w:color w:val="000000"/>
        </w:rPr>
        <w:t>Fármaco más indicado:</w:t>
      </w:r>
      <w:r>
        <w:rPr>
          <w:color w:val="000000"/>
        </w:rPr>
        <w:tab/>
        <w:t>Metronidazol</w:t>
      </w:r>
      <w:r>
        <w:rPr>
          <w:color w:val="000000"/>
          <w:vertAlign w:val="superscript"/>
        </w:rPr>
        <w:t>3</w:t>
      </w:r>
    </w:p>
    <w:p w14:paraId="58D9087D" w14:textId="77777777" w:rsidR="00924992" w:rsidRDefault="00924992">
      <w:pPr>
        <w:pStyle w:val="Bodytext20"/>
        <w:framePr w:w="4085" w:h="1786" w:wrap="none" w:hAnchor="page" w:x="678" w:y="2699"/>
        <w:tabs>
          <w:tab w:val="left" w:pos="2698"/>
        </w:tabs>
        <w:spacing w:line="264" w:lineRule="auto"/>
      </w:pPr>
      <w:r>
        <w:rPr>
          <w:color w:val="000000"/>
        </w:rPr>
        <w:t>Fármacos alternativos:</w:t>
      </w:r>
      <w:r>
        <w:rPr>
          <w:color w:val="000000"/>
          <w:vertAlign w:val="superscript"/>
        </w:rPr>
        <w:t>38</w:t>
      </w:r>
      <w:r>
        <w:rPr>
          <w:color w:val="000000"/>
        </w:rPr>
        <w:tab/>
        <w:t>Quinacrina</w:t>
      </w:r>
      <w:r>
        <w:rPr>
          <w:color w:val="000000"/>
          <w:vertAlign w:val="superscript"/>
        </w:rPr>
        <w:t>7</w:t>
      </w:r>
    </w:p>
    <w:p w14:paraId="19279348" w14:textId="77777777" w:rsidR="00924992" w:rsidRDefault="00924992">
      <w:pPr>
        <w:pStyle w:val="Bodytext20"/>
        <w:framePr w:w="4085" w:h="1786" w:wrap="none" w:hAnchor="page" w:x="678" w:y="2699"/>
        <w:spacing w:line="264" w:lineRule="auto"/>
        <w:ind w:left="2860"/>
      </w:pPr>
      <w:r>
        <w:rPr>
          <w:color w:val="000000"/>
        </w:rPr>
        <w:t>Tinidazol</w:t>
      </w:r>
      <w:r>
        <w:rPr>
          <w:color w:val="000000"/>
          <w:vertAlign w:val="superscript"/>
        </w:rPr>
        <w:t xml:space="preserve">10 </w:t>
      </w:r>
      <w:r>
        <w:rPr>
          <w:color w:val="000000"/>
        </w:rPr>
        <w:t>Furazolidona</w:t>
      </w:r>
    </w:p>
    <w:p w14:paraId="1E49EBE7" w14:textId="77777777" w:rsidR="00924992" w:rsidRDefault="00924992">
      <w:pPr>
        <w:pStyle w:val="Bodytext20"/>
        <w:framePr w:w="4085" w:h="1786" w:wrap="none" w:hAnchor="page" w:x="678" w:y="2699"/>
        <w:spacing w:line="264" w:lineRule="auto"/>
        <w:ind w:left="2860"/>
      </w:pPr>
      <w:r>
        <w:rPr>
          <w:color w:val="000000"/>
        </w:rPr>
        <w:t>Paromomicina</w:t>
      </w:r>
      <w:r>
        <w:rPr>
          <w:color w:val="000000"/>
          <w:vertAlign w:val="superscript"/>
        </w:rPr>
        <w:t>3,39</w:t>
      </w:r>
    </w:p>
    <w:p w14:paraId="14EBBFFB" w14:textId="77777777" w:rsidR="00924992" w:rsidRDefault="00924992">
      <w:pPr>
        <w:pStyle w:val="Bodytext20"/>
        <w:framePr w:w="4085" w:h="1786" w:wrap="none" w:hAnchor="page" w:x="678" w:y="2699"/>
        <w:spacing w:line="230" w:lineRule="auto"/>
      </w:pPr>
      <w:r>
        <w:rPr>
          <w:b/>
          <w:bCs/>
          <w:color w:val="000000"/>
        </w:rPr>
        <w:t xml:space="preserve">GNATOSTOMIASIS </w:t>
      </w:r>
      <w:r>
        <w:rPr>
          <w:i/>
          <w:iCs/>
          <w:color w:val="000000"/>
        </w:rPr>
        <w:t>(Gnathostoma spinigerum)</w:t>
      </w:r>
    </w:p>
    <w:p w14:paraId="3330C977" w14:textId="77777777" w:rsidR="00924992" w:rsidRDefault="00924992">
      <w:pPr>
        <w:pStyle w:val="Bodytext20"/>
        <w:framePr w:w="4085" w:h="1786" w:wrap="none" w:hAnchor="page" w:x="678" w:y="2699"/>
        <w:tabs>
          <w:tab w:val="left" w:pos="2822"/>
        </w:tabs>
        <w:spacing w:line="264" w:lineRule="auto"/>
      </w:pPr>
      <w:r>
        <w:rPr>
          <w:color w:val="000000"/>
        </w:rPr>
        <w:t>Tratamiento más indicado:</w:t>
      </w:r>
      <w:r>
        <w:rPr>
          <w:color w:val="000000"/>
          <w:vertAlign w:val="superscript"/>
        </w:rPr>
        <w:t>40</w:t>
      </w:r>
      <w:r>
        <w:rPr>
          <w:color w:val="000000"/>
        </w:rPr>
        <w:tab/>
        <w:t>Albendazol</w:t>
      </w:r>
      <w:r>
        <w:rPr>
          <w:color w:val="000000"/>
          <w:vertAlign w:val="superscript"/>
        </w:rPr>
        <w:t>3</w:t>
      </w:r>
    </w:p>
    <w:p w14:paraId="71ADA66E" w14:textId="77777777" w:rsidR="00924992" w:rsidRDefault="00924992">
      <w:pPr>
        <w:pStyle w:val="Bodytext20"/>
        <w:framePr w:w="4085" w:h="1786" w:wrap="none" w:hAnchor="page" w:x="678" w:y="2699"/>
        <w:tabs>
          <w:tab w:val="left" w:pos="2731"/>
        </w:tabs>
        <w:spacing w:line="264" w:lineRule="auto"/>
      </w:pPr>
      <w:r>
        <w:rPr>
          <w:b/>
          <w:bCs/>
          <w:color w:val="000000"/>
        </w:rPr>
        <w:t>O</w:t>
      </w:r>
      <w:r>
        <w:rPr>
          <w:b/>
          <w:bCs/>
          <w:color w:val="000000"/>
        </w:rPr>
        <w:tab/>
      </w:r>
      <w:r>
        <w:rPr>
          <w:color w:val="000000"/>
        </w:rPr>
        <w:t>Ivermectina</w:t>
      </w:r>
      <w:r>
        <w:rPr>
          <w:color w:val="000000"/>
          <w:vertAlign w:val="superscript"/>
        </w:rPr>
        <w:t>3</w:t>
      </w:r>
    </w:p>
    <w:p w14:paraId="2DD6BFC0" w14:textId="77777777" w:rsidR="00924992" w:rsidRDefault="00924992">
      <w:pPr>
        <w:pStyle w:val="Bodytext20"/>
        <w:framePr w:w="2779" w:h="3811" w:wrap="none" w:hAnchor="page" w:x="6289" w:y="702"/>
        <w:spacing w:after="180" w:line="226" w:lineRule="auto"/>
      </w:pPr>
      <w:r>
        <w:rPr>
          <w:color w:val="000000"/>
        </w:rPr>
        <w:t xml:space="preserve">400 mg bid </w:t>
      </w:r>
      <w:r>
        <w:rPr>
          <w:rFonts w:ascii="Garamond" w:eastAsia="Garamond" w:hAnsi="Garamond" w:cs="Garamond"/>
          <w:color w:val="000000"/>
          <w:sz w:val="19"/>
          <w:szCs w:val="19"/>
        </w:rPr>
        <w:t xml:space="preserve">x </w:t>
      </w:r>
      <w:r>
        <w:rPr>
          <w:color w:val="000000"/>
        </w:rPr>
        <w:t>10 días</w:t>
      </w:r>
    </w:p>
    <w:p w14:paraId="2286F0E8" w14:textId="77777777" w:rsidR="00924992" w:rsidRDefault="00924992">
      <w:pPr>
        <w:pStyle w:val="Bodytext20"/>
        <w:framePr w:w="2779" w:h="3811" w:wrap="none" w:hAnchor="page" w:x="6289" w:y="702"/>
        <w:spacing w:line="226" w:lineRule="auto"/>
      </w:pPr>
      <w:r>
        <w:rPr>
          <w:color w:val="000000"/>
        </w:rPr>
        <w:t xml:space="preserve">6 mg/kg/día </w:t>
      </w:r>
      <w:r>
        <w:rPr>
          <w:rFonts w:ascii="Garamond" w:eastAsia="Garamond" w:hAnsi="Garamond" w:cs="Garamond"/>
          <w:color w:val="000000"/>
          <w:sz w:val="19"/>
          <w:szCs w:val="19"/>
        </w:rPr>
        <w:t xml:space="preserve">x </w:t>
      </w:r>
      <w:r>
        <w:rPr>
          <w:color w:val="000000"/>
        </w:rPr>
        <w:t>14 días</w:t>
      </w:r>
    </w:p>
    <w:p w14:paraId="2DD4CB0D" w14:textId="77777777" w:rsidR="00924992" w:rsidRDefault="00924992">
      <w:pPr>
        <w:pStyle w:val="Bodytext20"/>
        <w:framePr w:w="2779" w:h="3811" w:wrap="none" w:hAnchor="page" w:x="6289" w:y="702"/>
        <w:spacing w:after="180" w:line="264" w:lineRule="auto"/>
      </w:pPr>
      <w:r>
        <w:rPr>
          <w:color w:val="000000"/>
        </w:rPr>
        <w:t>150 pg/kg una vez</w:t>
      </w:r>
    </w:p>
    <w:p w14:paraId="577E723C" w14:textId="77777777" w:rsidR="00924992" w:rsidRDefault="00924992">
      <w:pPr>
        <w:pStyle w:val="Bodytext20"/>
        <w:framePr w:w="2779" w:h="3811" w:wrap="none" w:hAnchor="page" w:x="6289" w:y="702"/>
        <w:spacing w:after="180" w:line="264" w:lineRule="auto"/>
      </w:pPr>
      <w:r>
        <w:rPr>
          <w:color w:val="000000"/>
        </w:rPr>
        <w:t xml:space="preserve">6 mg/kg/día en 3 dosis </w:t>
      </w:r>
      <w:r>
        <w:rPr>
          <w:rFonts w:ascii="Garamond" w:eastAsia="Garamond" w:hAnsi="Garamond" w:cs="Garamond"/>
          <w:color w:val="000000"/>
          <w:sz w:val="19"/>
          <w:szCs w:val="19"/>
        </w:rPr>
        <w:t xml:space="preserve">x </w:t>
      </w:r>
      <w:r>
        <w:rPr>
          <w:color w:val="000000"/>
        </w:rPr>
        <w:t>21 días</w:t>
      </w:r>
    </w:p>
    <w:p w14:paraId="28F150B3" w14:textId="77777777" w:rsidR="00924992" w:rsidRDefault="00924992">
      <w:pPr>
        <w:pStyle w:val="Bodytext20"/>
        <w:framePr w:w="2779" w:h="3811" w:wrap="none" w:hAnchor="page" w:x="6289" w:y="702"/>
        <w:spacing w:line="264" w:lineRule="auto"/>
      </w:pPr>
      <w:r>
        <w:rPr>
          <w:color w:val="000000"/>
        </w:rPr>
        <w:t>150 pg/kg una vez; repetir cada</w:t>
      </w:r>
    </w:p>
    <w:p w14:paraId="4CB1A1E4" w14:textId="77777777" w:rsidR="00924992" w:rsidRDefault="00924992">
      <w:pPr>
        <w:pStyle w:val="Bodytext20"/>
        <w:framePr w:w="2779" w:h="3811" w:wrap="none" w:hAnchor="page" w:x="6289" w:y="702"/>
        <w:spacing w:after="180" w:line="264" w:lineRule="auto"/>
      </w:pPr>
      <w:r>
        <w:rPr>
          <w:color w:val="000000"/>
        </w:rPr>
        <w:t>6 a 12 meses hasta que el paciente esté asintomático</w:t>
      </w:r>
    </w:p>
    <w:p w14:paraId="559C90E0" w14:textId="77777777" w:rsidR="00924992" w:rsidRDefault="00924992">
      <w:pPr>
        <w:pStyle w:val="Bodytext20"/>
        <w:framePr w:w="2779" w:h="3811" w:wrap="none" w:hAnchor="page" w:x="6289" w:y="702"/>
        <w:spacing w:line="226" w:lineRule="auto"/>
      </w:pPr>
      <w:r>
        <w:rPr>
          <w:color w:val="000000"/>
        </w:rPr>
        <w:t xml:space="preserve">250 mg tid </w:t>
      </w:r>
      <w:r>
        <w:rPr>
          <w:rFonts w:ascii="Garamond" w:eastAsia="Garamond" w:hAnsi="Garamond" w:cs="Garamond"/>
          <w:color w:val="000000"/>
          <w:sz w:val="19"/>
          <w:szCs w:val="19"/>
        </w:rPr>
        <w:t xml:space="preserve">x </w:t>
      </w:r>
      <w:r>
        <w:rPr>
          <w:color w:val="000000"/>
        </w:rPr>
        <w:t>5 días</w:t>
      </w:r>
    </w:p>
    <w:p w14:paraId="726ED489" w14:textId="77777777" w:rsidR="00924992" w:rsidRDefault="00924992">
      <w:pPr>
        <w:pStyle w:val="Bodytext20"/>
        <w:framePr w:w="2779" w:h="3811" w:wrap="none" w:hAnchor="page" w:x="6289" w:y="702"/>
        <w:spacing w:line="226" w:lineRule="auto"/>
      </w:pPr>
      <w:r>
        <w:rPr>
          <w:color w:val="000000"/>
        </w:rPr>
        <w:t xml:space="preserve">100 mg tid </w:t>
      </w:r>
      <w:r>
        <w:rPr>
          <w:rFonts w:ascii="Garamond" w:eastAsia="Garamond" w:hAnsi="Garamond" w:cs="Garamond"/>
          <w:color w:val="000000"/>
          <w:sz w:val="19"/>
          <w:szCs w:val="19"/>
        </w:rPr>
        <w:t xml:space="preserve">x </w:t>
      </w:r>
      <w:r>
        <w:rPr>
          <w:color w:val="000000"/>
        </w:rPr>
        <w:t>5 días (máx. 300 mg/día)</w:t>
      </w:r>
    </w:p>
    <w:p w14:paraId="20DC92F1" w14:textId="77777777" w:rsidR="00924992" w:rsidRDefault="00924992">
      <w:pPr>
        <w:pStyle w:val="Bodytext20"/>
        <w:framePr w:w="2779" w:h="3811" w:wrap="none" w:hAnchor="page" w:x="6289" w:y="702"/>
        <w:spacing w:line="264" w:lineRule="auto"/>
      </w:pPr>
      <w:r>
        <w:rPr>
          <w:color w:val="000000"/>
        </w:rPr>
        <w:t>2 g una vez</w:t>
      </w:r>
    </w:p>
    <w:p w14:paraId="48FDF51A" w14:textId="77777777" w:rsidR="00924992" w:rsidRDefault="00924992">
      <w:pPr>
        <w:pStyle w:val="Bodytext20"/>
        <w:framePr w:w="2779" w:h="3811" w:wrap="none" w:hAnchor="page" w:x="6289" w:y="702"/>
        <w:spacing w:line="226" w:lineRule="auto"/>
      </w:pPr>
      <w:r>
        <w:rPr>
          <w:color w:val="000000"/>
        </w:rPr>
        <w:t xml:space="preserve">100 mg qid </w:t>
      </w:r>
      <w:r>
        <w:rPr>
          <w:rFonts w:ascii="Garamond" w:eastAsia="Garamond" w:hAnsi="Garamond" w:cs="Garamond"/>
          <w:color w:val="000000"/>
          <w:sz w:val="19"/>
          <w:szCs w:val="19"/>
        </w:rPr>
        <w:t xml:space="preserve">x </w:t>
      </w:r>
      <w:r>
        <w:rPr>
          <w:color w:val="000000"/>
        </w:rPr>
        <w:t>7-10 días</w:t>
      </w:r>
    </w:p>
    <w:p w14:paraId="51B0C035" w14:textId="77777777" w:rsidR="00924992" w:rsidRDefault="00924992">
      <w:pPr>
        <w:pStyle w:val="Bodytext20"/>
        <w:framePr w:w="2779" w:h="3811" w:wrap="none" w:hAnchor="page" w:x="6289" w:y="702"/>
        <w:spacing w:after="180" w:line="264" w:lineRule="auto"/>
      </w:pPr>
      <w:r>
        <w:rPr>
          <w:color w:val="000000"/>
        </w:rPr>
        <w:t xml:space="preserve">25-35 mg/kg/día en 3 dosis </w:t>
      </w:r>
      <w:r>
        <w:rPr>
          <w:rFonts w:ascii="Garamond" w:eastAsia="Garamond" w:hAnsi="Garamond" w:cs="Garamond"/>
          <w:color w:val="000000"/>
          <w:sz w:val="19"/>
          <w:szCs w:val="19"/>
        </w:rPr>
        <w:t xml:space="preserve">x </w:t>
      </w:r>
      <w:r>
        <w:rPr>
          <w:color w:val="000000"/>
        </w:rPr>
        <w:t>7 días</w:t>
      </w:r>
    </w:p>
    <w:p w14:paraId="04CAA253" w14:textId="77777777" w:rsidR="00924992" w:rsidRDefault="00924992">
      <w:pPr>
        <w:pStyle w:val="Bodytext20"/>
        <w:framePr w:w="2779" w:h="3811" w:wrap="none" w:hAnchor="page" w:x="6289" w:y="702"/>
        <w:spacing w:line="226" w:lineRule="auto"/>
      </w:pPr>
      <w:r>
        <w:rPr>
          <w:color w:val="000000"/>
        </w:rPr>
        <w:t xml:space="preserve">400 mg bid </w:t>
      </w:r>
      <w:r>
        <w:rPr>
          <w:rFonts w:ascii="Garamond" w:eastAsia="Garamond" w:hAnsi="Garamond" w:cs="Garamond"/>
          <w:color w:val="000000"/>
          <w:sz w:val="19"/>
          <w:szCs w:val="19"/>
        </w:rPr>
        <w:t xml:space="preserve">x </w:t>
      </w:r>
      <w:r>
        <w:rPr>
          <w:color w:val="000000"/>
        </w:rPr>
        <w:t>21 días</w:t>
      </w:r>
    </w:p>
    <w:p w14:paraId="6CC2014C" w14:textId="77777777" w:rsidR="00924992" w:rsidRDefault="00924992">
      <w:pPr>
        <w:pStyle w:val="Bodytext20"/>
        <w:framePr w:w="2779" w:h="3811" w:wrap="none" w:hAnchor="page" w:x="6289" w:y="702"/>
        <w:spacing w:after="180" w:line="264" w:lineRule="auto"/>
      </w:pPr>
      <w:r>
        <w:rPr>
          <w:color w:val="000000"/>
        </w:rPr>
        <w:t xml:space="preserve">200 pg/kg/día </w:t>
      </w:r>
      <w:r>
        <w:rPr>
          <w:rFonts w:ascii="Garamond" w:eastAsia="Garamond" w:hAnsi="Garamond" w:cs="Garamond"/>
          <w:color w:val="000000"/>
          <w:sz w:val="19"/>
          <w:szCs w:val="19"/>
        </w:rPr>
        <w:t xml:space="preserve">x </w:t>
      </w:r>
      <w:r>
        <w:rPr>
          <w:color w:val="000000"/>
        </w:rPr>
        <w:t>2 días</w:t>
      </w:r>
    </w:p>
    <w:p w14:paraId="69B8B4D2" w14:textId="77777777" w:rsidR="00924992" w:rsidRDefault="00924992">
      <w:pPr>
        <w:pStyle w:val="Bodytext20"/>
        <w:framePr w:w="2822" w:h="3811" w:wrap="none" w:hAnchor="page" w:x="9164" w:y="702"/>
        <w:spacing w:after="180" w:line="226" w:lineRule="auto"/>
      </w:pPr>
      <w:r>
        <w:rPr>
          <w:color w:val="000000"/>
        </w:rPr>
        <w:t xml:space="preserve">400 mg bid </w:t>
      </w:r>
      <w:r>
        <w:rPr>
          <w:rFonts w:ascii="Garamond" w:eastAsia="Garamond" w:hAnsi="Garamond" w:cs="Garamond"/>
          <w:color w:val="000000"/>
          <w:sz w:val="19"/>
          <w:szCs w:val="19"/>
        </w:rPr>
        <w:t xml:space="preserve">x </w:t>
      </w:r>
      <w:r>
        <w:rPr>
          <w:color w:val="000000"/>
        </w:rPr>
        <w:t>10 días</w:t>
      </w:r>
    </w:p>
    <w:p w14:paraId="6DFDD200" w14:textId="77777777" w:rsidR="00924992" w:rsidRDefault="00924992">
      <w:pPr>
        <w:pStyle w:val="Bodytext20"/>
        <w:framePr w:w="2822" w:h="3811" w:wrap="none" w:hAnchor="page" w:x="9164" w:y="702"/>
        <w:spacing w:line="226" w:lineRule="auto"/>
      </w:pPr>
      <w:r>
        <w:rPr>
          <w:color w:val="000000"/>
        </w:rPr>
        <w:t xml:space="preserve">6 mg/kg/día </w:t>
      </w:r>
      <w:r>
        <w:rPr>
          <w:rFonts w:ascii="Garamond" w:eastAsia="Garamond" w:hAnsi="Garamond" w:cs="Garamond"/>
          <w:color w:val="000000"/>
          <w:sz w:val="19"/>
          <w:szCs w:val="19"/>
        </w:rPr>
        <w:t xml:space="preserve">x </w:t>
      </w:r>
      <w:r>
        <w:rPr>
          <w:color w:val="000000"/>
        </w:rPr>
        <w:t>14 días</w:t>
      </w:r>
    </w:p>
    <w:p w14:paraId="3D6E318D" w14:textId="77777777" w:rsidR="00924992" w:rsidRDefault="00924992">
      <w:pPr>
        <w:pStyle w:val="Bodytext20"/>
        <w:framePr w:w="2822" w:h="3811" w:wrap="none" w:hAnchor="page" w:x="9164" w:y="702"/>
        <w:spacing w:after="180" w:line="264" w:lineRule="auto"/>
      </w:pPr>
      <w:r>
        <w:rPr>
          <w:color w:val="000000"/>
        </w:rPr>
        <w:t>150 pg/kg una vez</w:t>
      </w:r>
    </w:p>
    <w:p w14:paraId="476FC943" w14:textId="77777777" w:rsidR="00924992" w:rsidRDefault="00924992">
      <w:pPr>
        <w:pStyle w:val="Bodytext20"/>
        <w:framePr w:w="2822" w:h="3811" w:wrap="none" w:hAnchor="page" w:x="9164" w:y="702"/>
        <w:spacing w:after="180" w:line="264" w:lineRule="auto"/>
      </w:pPr>
      <w:r>
        <w:rPr>
          <w:color w:val="000000"/>
        </w:rPr>
        <w:t xml:space="preserve">6 mg/kg/día en 3 dosis </w:t>
      </w:r>
      <w:r>
        <w:rPr>
          <w:rFonts w:ascii="Garamond" w:eastAsia="Garamond" w:hAnsi="Garamond" w:cs="Garamond"/>
          <w:color w:val="000000"/>
          <w:sz w:val="19"/>
          <w:szCs w:val="19"/>
        </w:rPr>
        <w:t xml:space="preserve">x </w:t>
      </w:r>
      <w:r>
        <w:rPr>
          <w:color w:val="000000"/>
        </w:rPr>
        <w:t>21 días</w:t>
      </w:r>
    </w:p>
    <w:p w14:paraId="2688DD6B" w14:textId="77777777" w:rsidR="00924992" w:rsidRDefault="00924992">
      <w:pPr>
        <w:pStyle w:val="Bodytext20"/>
        <w:framePr w:w="2822" w:h="3811" w:wrap="none" w:hAnchor="page" w:x="9164" w:y="702"/>
        <w:spacing w:after="180" w:line="264" w:lineRule="auto"/>
      </w:pPr>
      <w:r>
        <w:rPr>
          <w:color w:val="000000"/>
        </w:rPr>
        <w:t>150 pg/kg una vez; repetir cada 6 a 12 meses hasta que el paciente esté asintomático</w:t>
      </w:r>
    </w:p>
    <w:p w14:paraId="6BA30FAF" w14:textId="77777777" w:rsidR="00924992" w:rsidRDefault="00924992">
      <w:pPr>
        <w:pStyle w:val="Bodytext20"/>
        <w:framePr w:w="2822" w:h="3811" w:wrap="none" w:hAnchor="page" w:x="9164" w:y="702"/>
        <w:spacing w:line="264" w:lineRule="auto"/>
      </w:pPr>
      <w:r>
        <w:rPr>
          <w:color w:val="000000"/>
        </w:rPr>
        <w:t xml:space="preserve">15 mg/kg/día en 3 dosis </w:t>
      </w:r>
      <w:r>
        <w:rPr>
          <w:rFonts w:ascii="Garamond" w:eastAsia="Garamond" w:hAnsi="Garamond" w:cs="Garamond"/>
          <w:color w:val="000000"/>
          <w:sz w:val="19"/>
          <w:szCs w:val="19"/>
        </w:rPr>
        <w:t xml:space="preserve">x </w:t>
      </w:r>
      <w:r>
        <w:rPr>
          <w:color w:val="000000"/>
        </w:rPr>
        <w:t>5 días</w:t>
      </w:r>
    </w:p>
    <w:p w14:paraId="699DA728" w14:textId="77777777" w:rsidR="00924992" w:rsidRDefault="00924992">
      <w:pPr>
        <w:pStyle w:val="Bodytext20"/>
        <w:framePr w:w="2822" w:h="3811" w:wrap="none" w:hAnchor="page" w:x="9164" w:y="702"/>
        <w:spacing w:line="226" w:lineRule="auto"/>
      </w:pPr>
      <w:r>
        <w:rPr>
          <w:color w:val="000000"/>
        </w:rPr>
        <w:t xml:space="preserve">2 mg/kg tid </w:t>
      </w:r>
      <w:r>
        <w:rPr>
          <w:rFonts w:ascii="Garamond" w:eastAsia="Garamond" w:hAnsi="Garamond" w:cs="Garamond"/>
          <w:color w:val="000000"/>
          <w:sz w:val="19"/>
          <w:szCs w:val="19"/>
        </w:rPr>
        <w:t xml:space="preserve">x </w:t>
      </w:r>
      <w:r>
        <w:rPr>
          <w:color w:val="000000"/>
        </w:rPr>
        <w:t>5 días (máx. 300 mg/día)</w:t>
      </w:r>
    </w:p>
    <w:p w14:paraId="602289AA" w14:textId="77777777" w:rsidR="00924992" w:rsidRDefault="00924992">
      <w:pPr>
        <w:pStyle w:val="Bodytext20"/>
        <w:framePr w:w="2822" w:h="3811" w:wrap="none" w:hAnchor="page" w:x="9164" w:y="702"/>
        <w:spacing w:line="264" w:lineRule="auto"/>
      </w:pPr>
      <w:r>
        <w:rPr>
          <w:color w:val="000000"/>
        </w:rPr>
        <w:t>50 mg/kg una vez (máx. 2 g)</w:t>
      </w:r>
    </w:p>
    <w:p w14:paraId="28081A52" w14:textId="77777777" w:rsidR="00924992" w:rsidRDefault="00924992">
      <w:pPr>
        <w:pStyle w:val="Bodytext20"/>
        <w:framePr w:w="2822" w:h="3811" w:wrap="none" w:hAnchor="page" w:x="9164" w:y="702"/>
        <w:spacing w:line="264" w:lineRule="auto"/>
      </w:pPr>
      <w:r>
        <w:rPr>
          <w:color w:val="000000"/>
        </w:rPr>
        <w:t xml:space="preserve">6 mg/kg/día en 4 dosis </w:t>
      </w:r>
      <w:r>
        <w:rPr>
          <w:rFonts w:ascii="Garamond" w:eastAsia="Garamond" w:hAnsi="Garamond" w:cs="Garamond"/>
          <w:color w:val="000000"/>
          <w:sz w:val="19"/>
          <w:szCs w:val="19"/>
        </w:rPr>
        <w:t xml:space="preserve">x </w:t>
      </w:r>
      <w:r>
        <w:rPr>
          <w:color w:val="000000"/>
        </w:rPr>
        <w:t>7-10 días</w:t>
      </w:r>
    </w:p>
    <w:p w14:paraId="59E69447" w14:textId="77777777" w:rsidR="00924992" w:rsidRDefault="00924992">
      <w:pPr>
        <w:pStyle w:val="Bodytext20"/>
        <w:framePr w:w="2822" w:h="3811" w:wrap="none" w:hAnchor="page" w:x="9164" w:y="702"/>
        <w:spacing w:after="180" w:line="264" w:lineRule="auto"/>
      </w:pPr>
      <w:r>
        <w:rPr>
          <w:color w:val="000000"/>
        </w:rPr>
        <w:t xml:space="preserve">25-35 mg/kg/día en 3 dosis </w:t>
      </w:r>
      <w:r>
        <w:rPr>
          <w:rFonts w:ascii="Garamond" w:eastAsia="Garamond" w:hAnsi="Garamond" w:cs="Garamond"/>
          <w:color w:val="000000"/>
          <w:sz w:val="19"/>
          <w:szCs w:val="19"/>
        </w:rPr>
        <w:t xml:space="preserve">x </w:t>
      </w:r>
      <w:r>
        <w:rPr>
          <w:color w:val="000000"/>
        </w:rPr>
        <w:t>7 días</w:t>
      </w:r>
    </w:p>
    <w:p w14:paraId="7DD3557C" w14:textId="77777777" w:rsidR="00924992" w:rsidRDefault="00924992">
      <w:pPr>
        <w:pStyle w:val="Bodytext20"/>
        <w:framePr w:w="2822" w:h="3811" w:wrap="none" w:hAnchor="page" w:x="9164" w:y="702"/>
        <w:spacing w:line="226" w:lineRule="auto"/>
      </w:pPr>
      <w:r>
        <w:rPr>
          <w:color w:val="000000"/>
        </w:rPr>
        <w:t xml:space="preserve">400 mg bid </w:t>
      </w:r>
      <w:r>
        <w:rPr>
          <w:rFonts w:ascii="Garamond" w:eastAsia="Garamond" w:hAnsi="Garamond" w:cs="Garamond"/>
          <w:color w:val="000000"/>
          <w:sz w:val="19"/>
          <w:szCs w:val="19"/>
        </w:rPr>
        <w:t xml:space="preserve">x </w:t>
      </w:r>
      <w:r>
        <w:rPr>
          <w:color w:val="000000"/>
        </w:rPr>
        <w:t>21 días</w:t>
      </w:r>
    </w:p>
    <w:p w14:paraId="2F837341" w14:textId="77777777" w:rsidR="00924992" w:rsidRDefault="00924992">
      <w:pPr>
        <w:pStyle w:val="Bodytext20"/>
        <w:framePr w:w="2822" w:h="3811" w:wrap="none" w:hAnchor="page" w:x="9164" w:y="702"/>
        <w:spacing w:after="180" w:line="264" w:lineRule="auto"/>
      </w:pPr>
      <w:r>
        <w:rPr>
          <w:color w:val="000000"/>
        </w:rPr>
        <w:t xml:space="preserve">200 pg/kg/día </w:t>
      </w:r>
      <w:r>
        <w:rPr>
          <w:rFonts w:ascii="Garamond" w:eastAsia="Garamond" w:hAnsi="Garamond" w:cs="Garamond"/>
          <w:color w:val="000000"/>
          <w:sz w:val="19"/>
          <w:szCs w:val="19"/>
        </w:rPr>
        <w:t xml:space="preserve">x </w:t>
      </w:r>
      <w:r>
        <w:rPr>
          <w:color w:val="000000"/>
        </w:rPr>
        <w:t>2 días</w:t>
      </w:r>
    </w:p>
    <w:p w14:paraId="60E94C2B" w14:textId="77777777" w:rsidR="00924992" w:rsidRDefault="00924992">
      <w:pPr>
        <w:pStyle w:val="Bodytext20"/>
        <w:framePr w:w="4450" w:h="821" w:wrap="none" w:hAnchor="page" w:x="683" w:y="4489"/>
        <w:tabs>
          <w:tab w:val="left" w:pos="2683"/>
        </w:tabs>
        <w:spacing w:line="240" w:lineRule="auto"/>
      </w:pPr>
      <w:r>
        <w:rPr>
          <w:b/>
          <w:bCs/>
          <w:color w:val="000000"/>
        </w:rPr>
        <w:t>O</w:t>
      </w:r>
      <w:r>
        <w:rPr>
          <w:b/>
          <w:bCs/>
          <w:color w:val="000000"/>
        </w:rPr>
        <w:tab/>
      </w:r>
      <w:r>
        <w:rPr>
          <w:color w:val="000000"/>
        </w:rPr>
        <w:t>Extirpación quirúrgica</w:t>
      </w:r>
    </w:p>
    <w:p w14:paraId="711BF95E" w14:textId="77777777" w:rsidR="00924992" w:rsidRDefault="00924992">
      <w:pPr>
        <w:pStyle w:val="Bodytext20"/>
        <w:framePr w:w="4450" w:h="821" w:wrap="none" w:hAnchor="page" w:x="683" w:y="4489"/>
        <w:spacing w:line="240" w:lineRule="auto"/>
      </w:pPr>
      <w:r>
        <w:rPr>
          <w:b/>
          <w:bCs/>
          <w:color w:val="000000"/>
        </w:rPr>
        <w:t xml:space="preserve">GONGILONEMIASIS </w:t>
      </w:r>
      <w:r>
        <w:rPr>
          <w:i/>
          <w:iCs/>
          <w:color w:val="000000"/>
        </w:rPr>
        <w:t>(</w:t>
      </w:r>
      <w:r>
        <w:rPr>
          <w:color w:val="000000"/>
        </w:rPr>
        <w:t xml:space="preserve">especies de </w:t>
      </w:r>
      <w:r>
        <w:rPr>
          <w:i/>
          <w:iCs/>
          <w:color w:val="000000"/>
        </w:rPr>
        <w:t>Gongylonema)</w:t>
      </w:r>
    </w:p>
    <w:p w14:paraId="593A6CA1" w14:textId="77777777" w:rsidR="00924992" w:rsidRDefault="00924992">
      <w:pPr>
        <w:pStyle w:val="Bodytext20"/>
        <w:framePr w:w="4450" w:h="821" w:wrap="none" w:hAnchor="page" w:x="683" w:y="4489"/>
        <w:tabs>
          <w:tab w:val="left" w:pos="2698"/>
        </w:tabs>
        <w:spacing w:line="240" w:lineRule="auto"/>
      </w:pPr>
      <w:r>
        <w:rPr>
          <w:color w:val="000000"/>
        </w:rPr>
        <w:t>Tratamiento más indicado:</w:t>
      </w:r>
      <w:r>
        <w:rPr>
          <w:color w:val="000000"/>
        </w:rPr>
        <w:tab/>
        <w:t>Extirpación quirúrgica</w:t>
      </w:r>
    </w:p>
    <w:p w14:paraId="31664278" w14:textId="77777777" w:rsidR="00924992" w:rsidRDefault="00924992">
      <w:pPr>
        <w:pStyle w:val="Bodytext20"/>
        <w:framePr w:w="4450" w:h="821" w:wrap="none" w:hAnchor="page" w:x="683" w:y="4489"/>
        <w:tabs>
          <w:tab w:val="left" w:pos="2683"/>
        </w:tabs>
        <w:spacing w:line="240" w:lineRule="auto"/>
      </w:pPr>
      <w:r>
        <w:rPr>
          <w:b/>
          <w:bCs/>
          <w:color w:val="000000"/>
        </w:rPr>
        <w:t>O</w:t>
      </w:r>
      <w:r>
        <w:rPr>
          <w:b/>
          <w:bCs/>
          <w:color w:val="000000"/>
        </w:rPr>
        <w:tab/>
      </w:r>
      <w:r>
        <w:rPr>
          <w:color w:val="000000"/>
        </w:rPr>
        <w:t>Albendazol</w:t>
      </w:r>
      <w:r>
        <w:rPr>
          <w:color w:val="000000"/>
          <w:vertAlign w:val="superscript"/>
        </w:rPr>
        <w:t>3,41</w:t>
      </w:r>
    </w:p>
    <w:p w14:paraId="3B10B13D" w14:textId="77777777" w:rsidR="00924992" w:rsidRDefault="00924992">
      <w:pPr>
        <w:pStyle w:val="Bodytext20"/>
        <w:framePr w:w="1570" w:h="240" w:wrap="none" w:hAnchor="page" w:x="6303" w:y="5075"/>
        <w:spacing w:line="240" w:lineRule="auto"/>
      </w:pPr>
      <w:r>
        <w:rPr>
          <w:color w:val="000000"/>
        </w:rPr>
        <w:t xml:space="preserve">10 mg/kg/día </w:t>
      </w:r>
      <w:r>
        <w:rPr>
          <w:rFonts w:ascii="Garamond" w:eastAsia="Garamond" w:hAnsi="Garamond" w:cs="Garamond"/>
          <w:color w:val="000000"/>
          <w:sz w:val="19"/>
          <w:szCs w:val="19"/>
        </w:rPr>
        <w:t xml:space="preserve">x </w:t>
      </w:r>
      <w:r>
        <w:rPr>
          <w:color w:val="000000"/>
        </w:rPr>
        <w:t>3 días</w:t>
      </w:r>
    </w:p>
    <w:p w14:paraId="0A6C3B1E" w14:textId="77777777" w:rsidR="00924992" w:rsidRDefault="00924992">
      <w:pPr>
        <w:pStyle w:val="Bodytext20"/>
        <w:framePr w:w="1565" w:h="240" w:wrap="none" w:hAnchor="page" w:x="9179" w:y="5075"/>
        <w:spacing w:line="240" w:lineRule="auto"/>
      </w:pPr>
      <w:r>
        <w:rPr>
          <w:color w:val="000000"/>
        </w:rPr>
        <w:t xml:space="preserve">10 mg/kg/día </w:t>
      </w:r>
      <w:r>
        <w:rPr>
          <w:rFonts w:ascii="Garamond" w:eastAsia="Garamond" w:hAnsi="Garamond" w:cs="Garamond"/>
          <w:color w:val="000000"/>
          <w:sz w:val="19"/>
          <w:szCs w:val="19"/>
        </w:rPr>
        <w:t xml:space="preserve">x </w:t>
      </w:r>
      <w:r>
        <w:rPr>
          <w:color w:val="000000"/>
        </w:rPr>
        <w:t>3 días</w:t>
      </w:r>
    </w:p>
    <w:p w14:paraId="7524AC16" w14:textId="77777777" w:rsidR="00924992" w:rsidRDefault="00924992">
      <w:pPr>
        <w:pStyle w:val="Bodytext20"/>
        <w:framePr w:w="245" w:h="739" w:wrap="none" w:hAnchor="page" w:x="649" w:y="5483"/>
        <w:spacing w:line="240" w:lineRule="auto"/>
        <w:jc w:val="both"/>
        <w:rPr>
          <w:sz w:val="15"/>
          <w:szCs w:val="15"/>
        </w:rPr>
      </w:pPr>
      <w:bookmarkStart w:id="581" w:name="bookmark2012"/>
      <w:r>
        <w:rPr>
          <w:color w:val="000000"/>
          <w:sz w:val="15"/>
          <w:szCs w:val="15"/>
        </w:rPr>
        <w:t>3</w:t>
      </w:r>
      <w:bookmarkEnd w:id="581"/>
      <w:r>
        <w:rPr>
          <w:color w:val="000000"/>
          <w:sz w:val="15"/>
          <w:szCs w:val="15"/>
        </w:rPr>
        <w:t>5.</w:t>
      </w:r>
    </w:p>
    <w:p w14:paraId="1AEABF0E" w14:textId="77777777" w:rsidR="00924992" w:rsidRDefault="00924992">
      <w:pPr>
        <w:pStyle w:val="Bodytext20"/>
        <w:framePr w:w="245" w:h="739" w:wrap="none" w:hAnchor="page" w:x="649" w:y="5483"/>
        <w:spacing w:line="240" w:lineRule="auto"/>
        <w:jc w:val="both"/>
        <w:rPr>
          <w:sz w:val="15"/>
          <w:szCs w:val="15"/>
        </w:rPr>
      </w:pPr>
      <w:bookmarkStart w:id="582" w:name="bookmark2013"/>
      <w:r>
        <w:rPr>
          <w:color w:val="000000"/>
          <w:sz w:val="15"/>
          <w:szCs w:val="15"/>
        </w:rPr>
        <w:t>3</w:t>
      </w:r>
      <w:bookmarkEnd w:id="582"/>
      <w:r>
        <w:rPr>
          <w:color w:val="000000"/>
          <w:sz w:val="15"/>
          <w:szCs w:val="15"/>
        </w:rPr>
        <w:t>6.</w:t>
      </w:r>
    </w:p>
    <w:p w14:paraId="3AB047B0" w14:textId="77777777" w:rsidR="00924992" w:rsidRDefault="00924992">
      <w:pPr>
        <w:pStyle w:val="Bodytext20"/>
        <w:framePr w:w="245" w:h="739" w:wrap="none" w:hAnchor="page" w:x="649" w:y="5483"/>
        <w:spacing w:line="240" w:lineRule="auto"/>
        <w:jc w:val="both"/>
        <w:rPr>
          <w:sz w:val="15"/>
          <w:szCs w:val="15"/>
        </w:rPr>
      </w:pPr>
      <w:bookmarkStart w:id="583" w:name="bookmark2014"/>
      <w:r>
        <w:rPr>
          <w:color w:val="000000"/>
          <w:sz w:val="15"/>
          <w:szCs w:val="15"/>
        </w:rPr>
        <w:t>3</w:t>
      </w:r>
      <w:bookmarkEnd w:id="583"/>
      <w:r>
        <w:rPr>
          <w:color w:val="000000"/>
          <w:sz w:val="15"/>
          <w:szCs w:val="15"/>
        </w:rPr>
        <w:t>7.</w:t>
      </w:r>
    </w:p>
    <w:p w14:paraId="17BB0F58" w14:textId="77777777" w:rsidR="00924992" w:rsidRDefault="00924992">
      <w:pPr>
        <w:pStyle w:val="Bodytext20"/>
        <w:framePr w:w="245" w:h="739" w:wrap="none" w:hAnchor="page" w:x="649" w:y="5483"/>
        <w:spacing w:line="240" w:lineRule="auto"/>
        <w:jc w:val="both"/>
        <w:rPr>
          <w:sz w:val="15"/>
          <w:szCs w:val="15"/>
        </w:rPr>
      </w:pPr>
      <w:bookmarkStart w:id="584" w:name="bookmark2015"/>
      <w:r>
        <w:rPr>
          <w:color w:val="000000"/>
          <w:sz w:val="15"/>
          <w:szCs w:val="15"/>
        </w:rPr>
        <w:t>3</w:t>
      </w:r>
      <w:bookmarkEnd w:id="584"/>
      <w:r>
        <w:rPr>
          <w:color w:val="000000"/>
          <w:sz w:val="15"/>
          <w:szCs w:val="15"/>
        </w:rPr>
        <w:t>8.</w:t>
      </w:r>
    </w:p>
    <w:p w14:paraId="7E4865BA" w14:textId="77777777" w:rsidR="00924992" w:rsidRDefault="00924992">
      <w:pPr>
        <w:pStyle w:val="Bodytext20"/>
        <w:framePr w:w="10982" w:h="1656" w:wrap="none" w:hAnchor="page" w:x="1019" w:y="5473"/>
        <w:spacing w:line="240" w:lineRule="auto"/>
        <w:rPr>
          <w:sz w:val="15"/>
          <w:szCs w:val="15"/>
        </w:rPr>
      </w:pPr>
      <w:r>
        <w:rPr>
          <w:color w:val="000000"/>
          <w:sz w:val="15"/>
          <w:szCs w:val="15"/>
        </w:rPr>
        <w:t>La dietilcarbamazina no es eficaz; han sido eficaces 200 pg/kg de ivermectina una vez.</w:t>
      </w:r>
    </w:p>
    <w:p w14:paraId="3A738AB4" w14:textId="77777777" w:rsidR="00924992" w:rsidRDefault="00924992">
      <w:pPr>
        <w:pStyle w:val="Bodytext20"/>
        <w:framePr w:w="10982" w:h="1656" w:wrap="none" w:hAnchor="page" w:x="1019" w:y="5473"/>
        <w:spacing w:line="240" w:lineRule="auto"/>
        <w:rPr>
          <w:sz w:val="15"/>
          <w:szCs w:val="15"/>
        </w:rPr>
      </w:pPr>
      <w:r>
        <w:rPr>
          <w:color w:val="000000"/>
          <w:sz w:val="15"/>
          <w:szCs w:val="15"/>
        </w:rPr>
        <w:t xml:space="preserve">La dietilcarbamazina puede curar gracias a la actividad que tiene contra vermes adultos y las microfilarias. La ivermectina es el único agente activo eficaz contra microfilarias. El tratamiento anual con ivermectina a razón de 150 pg/kg puede evitar la ceguera causada por la oncocercosis ocular (D Mabey et al </w:t>
      </w:r>
      <w:r>
        <w:rPr>
          <w:i/>
          <w:iCs/>
          <w:color w:val="000000"/>
          <w:sz w:val="15"/>
          <w:szCs w:val="15"/>
        </w:rPr>
        <w:t>Ophthalmology</w:t>
      </w:r>
      <w:r>
        <w:rPr>
          <w:color w:val="000000"/>
          <w:sz w:val="15"/>
          <w:szCs w:val="15"/>
        </w:rPr>
        <w:t xml:space="preserve"> 1996; 103:1001).</w:t>
      </w:r>
    </w:p>
    <w:p w14:paraId="7D9CF839" w14:textId="77777777" w:rsidR="00924992" w:rsidRDefault="00924992">
      <w:pPr>
        <w:pStyle w:val="Bodytext20"/>
        <w:framePr w:w="10982" w:h="1656" w:wrap="none" w:hAnchor="page" w:x="1019" w:y="5473"/>
        <w:spacing w:line="240" w:lineRule="auto"/>
        <w:rPr>
          <w:sz w:val="15"/>
          <w:szCs w:val="15"/>
        </w:rPr>
      </w:pPr>
      <w:r>
        <w:rPr>
          <w:color w:val="000000"/>
          <w:sz w:val="15"/>
          <w:szCs w:val="15"/>
        </w:rPr>
        <w:t xml:space="preserve">En un estudio, la nitazoxanida (véase el pie de cuadro 9) tuvo la misma eficacia que el metronidazol; ha sido utilizada satisfactoriamente en altas dosis para tratar un caso de Giardia resistente a metronidazol y albendazol (JJ Ortiz et al, </w:t>
      </w:r>
      <w:r>
        <w:rPr>
          <w:i/>
          <w:iCs/>
          <w:color w:val="000000"/>
          <w:sz w:val="15"/>
          <w:szCs w:val="15"/>
        </w:rPr>
        <w:t>Aliment Pharmacol Ther</w:t>
      </w:r>
      <w:r>
        <w:rPr>
          <w:color w:val="000000"/>
          <w:sz w:val="15"/>
          <w:szCs w:val="15"/>
        </w:rPr>
        <w:t xml:space="preserve"> 2001; 15:1409; P Abboud et al, </w:t>
      </w:r>
      <w:r>
        <w:rPr>
          <w:i/>
          <w:iCs/>
          <w:color w:val="000000"/>
          <w:sz w:val="15"/>
          <w:szCs w:val="15"/>
        </w:rPr>
        <w:t>Clin Infect Dis</w:t>
      </w:r>
      <w:r>
        <w:rPr>
          <w:color w:val="000000"/>
          <w:sz w:val="15"/>
          <w:szCs w:val="15"/>
        </w:rPr>
        <w:t xml:space="preserve"> 2001; 32:1792). La administración de 400 mg de albendazol diariamente durante cinco días puede ser eficaz (A Hall and Q Nahar, </w:t>
      </w:r>
      <w:r>
        <w:rPr>
          <w:i/>
          <w:iCs/>
          <w:color w:val="000000"/>
          <w:sz w:val="15"/>
          <w:szCs w:val="15"/>
        </w:rPr>
        <w:t>Trans R Soc Trop MedHyg</w:t>
      </w:r>
      <w:r>
        <w:rPr>
          <w:color w:val="000000"/>
          <w:sz w:val="15"/>
          <w:szCs w:val="15"/>
        </w:rPr>
        <w:t xml:space="preserve"> 1993; 87:84; AK Dutta et al, </w:t>
      </w:r>
      <w:r>
        <w:rPr>
          <w:i/>
          <w:iCs/>
          <w:color w:val="000000"/>
          <w:sz w:val="15"/>
          <w:szCs w:val="15"/>
        </w:rPr>
        <w:t>Indian JPediatr</w:t>
      </w:r>
      <w:r>
        <w:rPr>
          <w:color w:val="000000"/>
          <w:sz w:val="15"/>
          <w:szCs w:val="15"/>
        </w:rPr>
        <w:t xml:space="preserve"> 1994; 61</w:t>
      </w:r>
      <w:r>
        <w:rPr>
          <w:color w:val="000000"/>
          <w:sz w:val="15"/>
          <w:szCs w:val="15"/>
        </w:rPr>
        <w:softHyphen/>
        <w:t xml:space="preserve">689). También pueden ser eficaces bacitracina zinc o bacitracina a razón de 120 000 U dos veces al día durante 10 días (BJ Andrews et al, </w:t>
      </w:r>
      <w:r>
        <w:rPr>
          <w:i/>
          <w:iCs/>
          <w:color w:val="000000"/>
          <w:sz w:val="15"/>
          <w:szCs w:val="15"/>
        </w:rPr>
        <w:t>Am J Trop Med Hyg</w:t>
      </w:r>
      <w:r>
        <w:rPr>
          <w:color w:val="000000"/>
          <w:sz w:val="15"/>
          <w:szCs w:val="15"/>
        </w:rPr>
        <w:t xml:space="preserve"> 1995; 52:318).</w:t>
      </w:r>
    </w:p>
    <w:p w14:paraId="09EBA4F0" w14:textId="77777777" w:rsidR="00924992" w:rsidRDefault="00924992">
      <w:pPr>
        <w:pStyle w:val="Bodytext20"/>
        <w:framePr w:w="10982" w:h="1656" w:wrap="none" w:hAnchor="page" w:x="1019" w:y="5473"/>
        <w:spacing w:line="240" w:lineRule="auto"/>
        <w:rPr>
          <w:sz w:val="15"/>
          <w:szCs w:val="15"/>
        </w:rPr>
      </w:pPr>
      <w:r>
        <w:rPr>
          <w:color w:val="000000"/>
          <w:sz w:val="15"/>
          <w:szCs w:val="15"/>
        </w:rPr>
        <w:t xml:space="preserve">Ha sido eficaz la combinación con dosis estándar de metronidazol y quinacrina administradas durante tres semanas en un número reducido de infecciones refractarias (TE Nash et al, </w:t>
      </w:r>
      <w:r>
        <w:rPr>
          <w:i/>
          <w:iCs/>
          <w:color w:val="000000"/>
          <w:sz w:val="15"/>
          <w:szCs w:val="15"/>
        </w:rPr>
        <w:t>Clin Infect Dis</w:t>
      </w:r>
      <w:r>
        <w:rPr>
          <w:color w:val="000000"/>
          <w:sz w:val="15"/>
          <w:szCs w:val="15"/>
        </w:rPr>
        <w:t xml:space="preserve"> 2001; 33:22).</w:t>
      </w:r>
    </w:p>
    <w:p w14:paraId="302332FA" w14:textId="77777777" w:rsidR="00924992" w:rsidRDefault="00924992">
      <w:pPr>
        <w:pStyle w:val="Bodytext80"/>
        <w:framePr w:w="192" w:h="4502" w:hRule="exact" w:wrap="none" w:hAnchor="page" w:x="12390" w:y="2574"/>
        <w:tabs>
          <w:tab w:val="left" w:pos="4210"/>
        </w:tabs>
        <w:textDirection w:val="tbRl"/>
        <w:rPr>
          <w:sz w:val="16"/>
          <w:szCs w:val="16"/>
        </w:rPr>
      </w:pPr>
      <w:r>
        <w:t>FÁRMACOS ANTIPARASITARIOS</w:t>
      </w:r>
      <w:r>
        <w:tab/>
      </w:r>
      <w:r>
        <w:rPr>
          <w:sz w:val="16"/>
          <w:szCs w:val="16"/>
        </w:rPr>
        <w:t>791</w:t>
      </w:r>
    </w:p>
    <w:p w14:paraId="5167659B" w14:textId="77777777" w:rsidR="00924992" w:rsidRDefault="00924992">
      <w:pPr>
        <w:spacing w:line="360" w:lineRule="exact"/>
      </w:pPr>
    </w:p>
    <w:p w14:paraId="06B1BB69" w14:textId="77777777" w:rsidR="00924992" w:rsidRDefault="00924992">
      <w:pPr>
        <w:spacing w:line="360" w:lineRule="exact"/>
      </w:pPr>
    </w:p>
    <w:p w14:paraId="6B6F6549" w14:textId="77777777" w:rsidR="00924992" w:rsidRDefault="00924992">
      <w:pPr>
        <w:spacing w:line="360" w:lineRule="exact"/>
      </w:pPr>
    </w:p>
    <w:p w14:paraId="2B8D9FED" w14:textId="77777777" w:rsidR="00924992" w:rsidRDefault="00924992">
      <w:pPr>
        <w:spacing w:line="360" w:lineRule="exact"/>
      </w:pPr>
    </w:p>
    <w:p w14:paraId="733D0B0E" w14:textId="77777777" w:rsidR="00924992" w:rsidRDefault="00924992">
      <w:pPr>
        <w:spacing w:line="360" w:lineRule="exact"/>
      </w:pPr>
    </w:p>
    <w:p w14:paraId="07DE0EA0" w14:textId="77777777" w:rsidR="00924992" w:rsidRDefault="00924992">
      <w:pPr>
        <w:spacing w:line="360" w:lineRule="exact"/>
      </w:pPr>
    </w:p>
    <w:p w14:paraId="6CE3D163" w14:textId="77777777" w:rsidR="00924992" w:rsidRDefault="00924992">
      <w:pPr>
        <w:spacing w:line="360" w:lineRule="exact"/>
      </w:pPr>
    </w:p>
    <w:p w14:paraId="7AE4A4D1" w14:textId="77777777" w:rsidR="00924992" w:rsidRDefault="00924992">
      <w:pPr>
        <w:spacing w:line="360" w:lineRule="exact"/>
      </w:pPr>
    </w:p>
    <w:p w14:paraId="3093EED2" w14:textId="77777777" w:rsidR="00924992" w:rsidRDefault="00924992">
      <w:pPr>
        <w:spacing w:line="360" w:lineRule="exact"/>
      </w:pPr>
    </w:p>
    <w:p w14:paraId="363DC2BC" w14:textId="77777777" w:rsidR="00924992" w:rsidRDefault="00924992">
      <w:pPr>
        <w:spacing w:line="360" w:lineRule="exact"/>
      </w:pPr>
    </w:p>
    <w:p w14:paraId="7A6474F8" w14:textId="77777777" w:rsidR="00924992" w:rsidRDefault="00924992">
      <w:pPr>
        <w:spacing w:line="360" w:lineRule="exact"/>
      </w:pPr>
    </w:p>
    <w:p w14:paraId="7AE843A7" w14:textId="77777777" w:rsidR="00924992" w:rsidRDefault="00924992">
      <w:pPr>
        <w:spacing w:line="360" w:lineRule="exact"/>
      </w:pPr>
    </w:p>
    <w:p w14:paraId="3B785DB9" w14:textId="77777777" w:rsidR="00924992" w:rsidRDefault="00924992">
      <w:pPr>
        <w:spacing w:line="360" w:lineRule="exact"/>
      </w:pPr>
    </w:p>
    <w:p w14:paraId="13B04605" w14:textId="77777777" w:rsidR="00924992" w:rsidRDefault="00924992">
      <w:pPr>
        <w:spacing w:line="360" w:lineRule="exact"/>
      </w:pPr>
    </w:p>
    <w:p w14:paraId="6C7AF00D" w14:textId="77777777" w:rsidR="00924992" w:rsidRDefault="00924992">
      <w:pPr>
        <w:spacing w:line="360" w:lineRule="exact"/>
      </w:pPr>
    </w:p>
    <w:p w14:paraId="43581271" w14:textId="77777777" w:rsidR="00924992" w:rsidRDefault="00924992">
      <w:pPr>
        <w:spacing w:line="360" w:lineRule="exact"/>
      </w:pPr>
    </w:p>
    <w:p w14:paraId="24C84C4C" w14:textId="77777777" w:rsidR="00924992" w:rsidRDefault="00924992">
      <w:pPr>
        <w:spacing w:line="360" w:lineRule="exact"/>
      </w:pPr>
    </w:p>
    <w:p w14:paraId="3323D1E2" w14:textId="77777777" w:rsidR="00924992" w:rsidRDefault="00924992">
      <w:pPr>
        <w:spacing w:line="360" w:lineRule="exact"/>
      </w:pPr>
    </w:p>
    <w:p w14:paraId="00378F84" w14:textId="77777777" w:rsidR="00924992" w:rsidRDefault="00924992">
      <w:pPr>
        <w:spacing w:after="647" w:line="1" w:lineRule="exact"/>
      </w:pPr>
    </w:p>
    <w:p w14:paraId="6E896835" w14:textId="77777777" w:rsidR="00924992" w:rsidRDefault="00924992">
      <w:pPr>
        <w:spacing w:line="1" w:lineRule="exact"/>
        <w:sectPr w:rsidR="00924992" w:rsidSect="00924992">
          <w:headerReference w:type="even" r:id="rId351"/>
          <w:headerReference w:type="default" r:id="rId352"/>
          <w:footerReference w:type="even" r:id="rId353"/>
          <w:footerReference w:type="default" r:id="rId354"/>
          <w:pgSz w:w="13022" w:h="8501" w:orient="landscape"/>
          <w:pgMar w:top="898" w:right="442" w:bottom="371" w:left="648" w:header="470" w:footer="3" w:gutter="0"/>
          <w:cols w:space="720"/>
          <w:noEndnote/>
          <w:docGrid w:linePitch="360"/>
          <w15:footnoteColumns w:val="1"/>
        </w:sectPr>
      </w:pPr>
    </w:p>
    <w:p w14:paraId="286FAE5F" w14:textId="77777777" w:rsidR="00924992" w:rsidRDefault="00924992">
      <w:pPr>
        <w:spacing w:line="1" w:lineRule="exact"/>
      </w:pPr>
      <w:r>
        <w:rPr>
          <w:noProof/>
        </w:rPr>
        <mc:AlternateContent>
          <mc:Choice Requires="wps">
            <w:drawing>
              <wp:anchor distT="377825" distB="12700" distL="117475" distR="114300" simplePos="0" relativeHeight="251714560" behindDoc="0" locked="0" layoutInCell="1" allowOverlap="1" wp14:anchorId="362D36C4" wp14:editId="7F9AD8C3">
                <wp:simplePos x="0" y="0"/>
                <wp:positionH relativeFrom="page">
                  <wp:posOffset>429895</wp:posOffset>
                </wp:positionH>
                <wp:positionV relativeFrom="paragraph">
                  <wp:posOffset>822960</wp:posOffset>
                </wp:positionV>
                <wp:extent cx="7141210" cy="1664335"/>
                <wp:effectExtent l="0" t="0" r="0" b="0"/>
                <wp:wrapTopAndBottom/>
                <wp:docPr id="2410" name="Shape 2410"/>
                <wp:cNvGraphicFramePr/>
                <a:graphic xmlns:a="http://schemas.openxmlformats.org/drawingml/2006/main">
                  <a:graphicData uri="http://schemas.microsoft.com/office/word/2010/wordprocessingShape">
                    <wps:wsp>
                      <wps:cNvSpPr txBox="1"/>
                      <wps:spPr>
                        <a:xfrm>
                          <a:off x="0" y="0"/>
                          <a:ext cx="7141210" cy="1664335"/>
                        </a:xfrm>
                        <a:prstGeom prst="rect">
                          <a:avLst/>
                        </a:prstGeom>
                        <a:noFill/>
                      </wps:spPr>
                      <wps:txbx>
                        <w:txbxContent>
                          <w:tbl>
                            <w:tblPr>
                              <w:tblOverlap w:val="never"/>
                              <w:tblW w:w="0" w:type="auto"/>
                              <w:tblLayout w:type="fixed"/>
                              <w:tblCellMar>
                                <w:left w:w="10" w:type="dxa"/>
                                <w:right w:w="10" w:type="dxa"/>
                              </w:tblCellMar>
                              <w:tblLook w:val="04A0" w:firstRow="1" w:lastRow="0" w:firstColumn="1" w:lastColumn="0" w:noHBand="0" w:noVBand="1"/>
                            </w:tblPr>
                            <w:tblGrid>
                              <w:gridCol w:w="2342"/>
                              <w:gridCol w:w="2933"/>
                              <w:gridCol w:w="3149"/>
                              <w:gridCol w:w="2822"/>
                            </w:tblGrid>
                            <w:tr w:rsidR="00924992" w14:paraId="25AE5EBE" w14:textId="77777777">
                              <w:tblPrEx>
                                <w:tblCellMar>
                                  <w:top w:w="0" w:type="dxa"/>
                                  <w:bottom w:w="0" w:type="dxa"/>
                                </w:tblCellMar>
                              </w:tblPrEx>
                              <w:trPr>
                                <w:trHeight w:hRule="exact" w:val="389"/>
                                <w:tblHeader/>
                              </w:trPr>
                              <w:tc>
                                <w:tcPr>
                                  <w:tcW w:w="2342" w:type="dxa"/>
                                  <w:shd w:val="clear" w:color="auto" w:fill="FFFFFF"/>
                                </w:tcPr>
                                <w:p w14:paraId="353AFD99" w14:textId="77777777" w:rsidR="00924992" w:rsidRDefault="00924992">
                                  <w:pPr>
                                    <w:pStyle w:val="Other0"/>
                                    <w:spacing w:line="240" w:lineRule="auto"/>
                                    <w:ind w:firstLine="0"/>
                                    <w:rPr>
                                      <w:sz w:val="16"/>
                                      <w:szCs w:val="16"/>
                                    </w:rPr>
                                  </w:pPr>
                                  <w:r>
                                    <w:rPr>
                                      <w:rFonts w:ascii="Times New Roman" w:eastAsia="Times New Roman" w:hAnsi="Times New Roman" w:cs="Times New Roman"/>
                                      <w:color w:val="000000"/>
                                      <w:sz w:val="16"/>
                                      <w:szCs w:val="16"/>
                                    </w:rPr>
                                    <w:t>Fármaco más indicado:</w:t>
                                  </w:r>
                                  <w:r>
                                    <w:rPr>
                                      <w:rFonts w:ascii="Times New Roman" w:eastAsia="Times New Roman" w:hAnsi="Times New Roman" w:cs="Times New Roman"/>
                                      <w:color w:val="000000"/>
                                      <w:sz w:val="16"/>
                                      <w:szCs w:val="16"/>
                                      <w:vertAlign w:val="superscript"/>
                                    </w:rPr>
                                    <w:t xml:space="preserve">    </w:t>
                                  </w:r>
                                </w:p>
                              </w:tc>
                              <w:tc>
                                <w:tcPr>
                                  <w:tcW w:w="2933" w:type="dxa"/>
                                  <w:shd w:val="clear" w:color="auto" w:fill="FFFFFF"/>
                                </w:tcPr>
                                <w:p w14:paraId="331FB6B7" w14:textId="77777777" w:rsidR="00924992" w:rsidRDefault="00924992">
                                  <w:pPr>
                                    <w:pStyle w:val="Other0"/>
                                    <w:spacing w:line="240" w:lineRule="auto"/>
                                    <w:ind w:firstLine="500"/>
                                    <w:rPr>
                                      <w:sz w:val="16"/>
                                      <w:szCs w:val="16"/>
                                    </w:rPr>
                                  </w:pPr>
                                  <w:r>
                                    <w:rPr>
                                      <w:rFonts w:ascii="Times New Roman" w:eastAsia="Times New Roman" w:hAnsi="Times New Roman" w:cs="Times New Roman"/>
                                      <w:color w:val="000000"/>
                                      <w:sz w:val="16"/>
                                      <w:szCs w:val="16"/>
                                    </w:rPr>
                                    <w:t>Trimetoprim-sulfametoxazol</w:t>
                                  </w:r>
                                  <w:r>
                                    <w:rPr>
                                      <w:rFonts w:ascii="Times New Roman" w:eastAsia="Times New Roman" w:hAnsi="Times New Roman" w:cs="Times New Roman"/>
                                      <w:color w:val="000000"/>
                                      <w:sz w:val="16"/>
                                      <w:szCs w:val="16"/>
                                      <w:vertAlign w:val="superscript"/>
                                    </w:rPr>
                                    <w:t>3</w:t>
                                  </w:r>
                                </w:p>
                              </w:tc>
                              <w:tc>
                                <w:tcPr>
                                  <w:tcW w:w="3149" w:type="dxa"/>
                                  <w:shd w:val="clear" w:color="auto" w:fill="FFFFFF"/>
                                  <w:vAlign w:val="bottom"/>
                                </w:tcPr>
                                <w:p w14:paraId="62B1660B" w14:textId="77777777" w:rsidR="00924992" w:rsidRDefault="00924992">
                                  <w:pPr>
                                    <w:pStyle w:val="Other0"/>
                                    <w:spacing w:line="240" w:lineRule="auto"/>
                                    <w:ind w:left="460" w:hanging="100"/>
                                    <w:rPr>
                                      <w:sz w:val="16"/>
                                      <w:szCs w:val="16"/>
                                    </w:rPr>
                                  </w:pPr>
                                  <w:r>
                                    <w:rPr>
                                      <w:rFonts w:ascii="Times New Roman" w:eastAsia="Times New Roman" w:hAnsi="Times New Roman" w:cs="Times New Roman"/>
                                      <w:color w:val="000000"/>
                                      <w:sz w:val="16"/>
                                      <w:szCs w:val="16"/>
                                    </w:rPr>
                                    <w:t xml:space="preserve">160 mg TMP, 800 mg SMX bid </w:t>
                                  </w:r>
                                  <w:r>
                                    <w:rPr>
                                      <w:color w:val="000000"/>
                                    </w:rPr>
                                    <w:t xml:space="preserve">x </w:t>
                                  </w:r>
                                  <w:r>
                                    <w:rPr>
                                      <w:rFonts w:ascii="Times New Roman" w:eastAsia="Times New Roman" w:hAnsi="Times New Roman" w:cs="Times New Roman"/>
                                      <w:color w:val="000000"/>
                                      <w:sz w:val="16"/>
                                      <w:szCs w:val="16"/>
                                    </w:rPr>
                                    <w:t>10 días</w:t>
                                  </w:r>
                                </w:p>
                              </w:tc>
                              <w:tc>
                                <w:tcPr>
                                  <w:tcW w:w="2822" w:type="dxa"/>
                                  <w:shd w:val="clear" w:color="auto" w:fill="FFFFFF"/>
                                  <w:vAlign w:val="bottom"/>
                                </w:tcPr>
                                <w:p w14:paraId="4AA48C7C" w14:textId="77777777" w:rsidR="00924992" w:rsidRDefault="00924992">
                                  <w:pPr>
                                    <w:pStyle w:val="Other0"/>
                                    <w:spacing w:line="240" w:lineRule="auto"/>
                                    <w:ind w:left="180" w:hanging="180"/>
                                    <w:rPr>
                                      <w:sz w:val="16"/>
                                      <w:szCs w:val="16"/>
                                    </w:rPr>
                                  </w:pPr>
                                  <w:r>
                                    <w:rPr>
                                      <w:rFonts w:ascii="Times New Roman" w:eastAsia="Times New Roman" w:hAnsi="Times New Roman" w:cs="Times New Roman"/>
                                      <w:color w:val="000000"/>
                                      <w:sz w:val="16"/>
                                      <w:szCs w:val="16"/>
                                    </w:rPr>
                                    <w:t xml:space="preserve">TMP 5 mg/kg, SMX 25 mg/kg bid </w:t>
                                  </w:r>
                                  <w:r>
                                    <w:rPr>
                                      <w:color w:val="000000"/>
                                    </w:rPr>
                                    <w:t xml:space="preserve">x </w:t>
                                  </w:r>
                                  <w:r>
                                    <w:rPr>
                                      <w:rFonts w:ascii="Times New Roman" w:eastAsia="Times New Roman" w:hAnsi="Times New Roman" w:cs="Times New Roman"/>
                                      <w:color w:val="000000"/>
                                      <w:sz w:val="16"/>
                                      <w:szCs w:val="16"/>
                                    </w:rPr>
                                    <w:t>10 días</w:t>
                                  </w:r>
                                </w:p>
                              </w:tc>
                            </w:tr>
                            <w:tr w:rsidR="00924992" w14:paraId="39DB3F5D" w14:textId="77777777">
                              <w:tblPrEx>
                                <w:tblCellMar>
                                  <w:top w:w="0" w:type="dxa"/>
                                  <w:bottom w:w="0" w:type="dxa"/>
                                </w:tblCellMar>
                              </w:tblPrEx>
                              <w:trPr>
                                <w:trHeight w:hRule="exact" w:val="206"/>
                              </w:trPr>
                              <w:tc>
                                <w:tcPr>
                                  <w:tcW w:w="2342" w:type="dxa"/>
                                  <w:shd w:val="clear" w:color="auto" w:fill="FFFFFF"/>
                                </w:tcPr>
                                <w:p w14:paraId="2D7575DE" w14:textId="77777777" w:rsidR="00924992" w:rsidRDefault="00924992">
                                  <w:pPr>
                                    <w:pStyle w:val="Other0"/>
                                    <w:spacing w:line="240" w:lineRule="auto"/>
                                    <w:ind w:firstLine="0"/>
                                    <w:rPr>
                                      <w:sz w:val="16"/>
                                      <w:szCs w:val="16"/>
                                    </w:rPr>
                                  </w:pPr>
                                  <w:r>
                                    <w:rPr>
                                      <w:rFonts w:ascii="Times New Roman" w:eastAsia="Times New Roman" w:hAnsi="Times New Roman" w:cs="Times New Roman"/>
                                      <w:b/>
                                      <w:bCs/>
                                      <w:color w:val="000000"/>
                                      <w:sz w:val="16"/>
                                      <w:szCs w:val="16"/>
                                    </w:rPr>
                                    <w:t>LEISHMANIASIS</w:t>
                                  </w:r>
                                </w:p>
                              </w:tc>
                              <w:tc>
                                <w:tcPr>
                                  <w:tcW w:w="2933" w:type="dxa"/>
                                  <w:shd w:val="clear" w:color="auto" w:fill="FFFFFF"/>
                                </w:tcPr>
                                <w:p w14:paraId="0E378D22" w14:textId="77777777" w:rsidR="00924992" w:rsidRDefault="00924992">
                                  <w:pPr>
                                    <w:rPr>
                                      <w:sz w:val="10"/>
                                      <w:szCs w:val="10"/>
                                    </w:rPr>
                                  </w:pPr>
                                </w:p>
                              </w:tc>
                              <w:tc>
                                <w:tcPr>
                                  <w:tcW w:w="3149" w:type="dxa"/>
                                  <w:shd w:val="clear" w:color="auto" w:fill="FFFFFF"/>
                                </w:tcPr>
                                <w:p w14:paraId="042E0FC5" w14:textId="77777777" w:rsidR="00924992" w:rsidRDefault="00924992">
                                  <w:pPr>
                                    <w:rPr>
                                      <w:sz w:val="10"/>
                                      <w:szCs w:val="10"/>
                                    </w:rPr>
                                  </w:pPr>
                                </w:p>
                              </w:tc>
                              <w:tc>
                                <w:tcPr>
                                  <w:tcW w:w="2822" w:type="dxa"/>
                                  <w:shd w:val="clear" w:color="auto" w:fill="FFFFFF"/>
                                </w:tcPr>
                                <w:p w14:paraId="761FB7CE" w14:textId="77777777" w:rsidR="00924992" w:rsidRDefault="00924992">
                                  <w:pPr>
                                    <w:rPr>
                                      <w:sz w:val="10"/>
                                      <w:szCs w:val="10"/>
                                    </w:rPr>
                                  </w:pPr>
                                </w:p>
                              </w:tc>
                            </w:tr>
                            <w:tr w:rsidR="00924992" w14:paraId="18C574F1" w14:textId="77777777">
                              <w:tblPrEx>
                                <w:tblCellMar>
                                  <w:top w:w="0" w:type="dxa"/>
                                  <w:bottom w:w="0" w:type="dxa"/>
                                </w:tblCellMar>
                              </w:tblPrEx>
                              <w:trPr>
                                <w:trHeight w:hRule="exact" w:val="245"/>
                              </w:trPr>
                              <w:tc>
                                <w:tcPr>
                                  <w:tcW w:w="2342" w:type="dxa"/>
                                  <w:shd w:val="clear" w:color="auto" w:fill="FFFFFF"/>
                                  <w:vAlign w:val="bottom"/>
                                </w:tcPr>
                                <w:p w14:paraId="2B1AB16C" w14:textId="77777777" w:rsidR="00924992" w:rsidRDefault="00924992">
                                  <w:pPr>
                                    <w:pStyle w:val="Other0"/>
                                    <w:spacing w:line="240" w:lineRule="auto"/>
                                    <w:ind w:firstLine="0"/>
                                    <w:rPr>
                                      <w:sz w:val="16"/>
                                      <w:szCs w:val="16"/>
                                    </w:rPr>
                                  </w:pPr>
                                  <w:r>
                                    <w:rPr>
                                      <w:rFonts w:ascii="Times New Roman" w:eastAsia="Times New Roman" w:hAnsi="Times New Roman" w:cs="Times New Roman"/>
                                      <w:color w:val="000000"/>
                                      <w:sz w:val="16"/>
                                      <w:szCs w:val="16"/>
                                    </w:rPr>
                                    <w:t>Fármaco más indicado:</w:t>
                                  </w:r>
                                </w:p>
                              </w:tc>
                              <w:tc>
                                <w:tcPr>
                                  <w:tcW w:w="2933" w:type="dxa"/>
                                  <w:shd w:val="clear" w:color="auto" w:fill="FFFFFF"/>
                                  <w:vAlign w:val="bottom"/>
                                </w:tcPr>
                                <w:p w14:paraId="3A153F85" w14:textId="77777777" w:rsidR="00924992" w:rsidRDefault="00924992">
                                  <w:pPr>
                                    <w:pStyle w:val="Other0"/>
                                    <w:spacing w:line="240" w:lineRule="auto"/>
                                    <w:ind w:firstLine="500"/>
                                    <w:rPr>
                                      <w:sz w:val="16"/>
                                      <w:szCs w:val="16"/>
                                    </w:rPr>
                                  </w:pPr>
                                  <w:r>
                                    <w:rPr>
                                      <w:rFonts w:ascii="Times New Roman" w:eastAsia="Times New Roman" w:hAnsi="Times New Roman" w:cs="Times New Roman"/>
                                      <w:color w:val="000000"/>
                                      <w:sz w:val="16"/>
                                      <w:szCs w:val="16"/>
                                    </w:rPr>
                                    <w:t>Estibogluconato sódico*</w:t>
                                  </w:r>
                                </w:p>
                              </w:tc>
                              <w:tc>
                                <w:tcPr>
                                  <w:tcW w:w="3149" w:type="dxa"/>
                                  <w:shd w:val="clear" w:color="auto" w:fill="FFFFFF"/>
                                  <w:vAlign w:val="bottom"/>
                                </w:tcPr>
                                <w:p w14:paraId="5C32AF80" w14:textId="77777777" w:rsidR="00924992" w:rsidRDefault="00924992">
                                  <w:pPr>
                                    <w:pStyle w:val="Other0"/>
                                    <w:spacing w:line="240" w:lineRule="auto"/>
                                    <w:ind w:firstLine="340"/>
                                    <w:rPr>
                                      <w:sz w:val="16"/>
                                      <w:szCs w:val="16"/>
                                    </w:rPr>
                                  </w:pPr>
                                  <w:r>
                                    <w:rPr>
                                      <w:rFonts w:ascii="Times New Roman" w:eastAsia="Times New Roman" w:hAnsi="Times New Roman" w:cs="Times New Roman"/>
                                      <w:color w:val="000000"/>
                                      <w:sz w:val="16"/>
                                      <w:szCs w:val="16"/>
                                    </w:rPr>
                                    <w:t xml:space="preserve">20 mg Sb/kg/día IV o IM </w:t>
                                  </w:r>
                                  <w:r>
                                    <w:rPr>
                                      <w:color w:val="000000"/>
                                    </w:rPr>
                                    <w:t xml:space="preserve">x </w:t>
                                  </w:r>
                                  <w:r>
                                    <w:rPr>
                                      <w:rFonts w:ascii="Times New Roman" w:eastAsia="Times New Roman" w:hAnsi="Times New Roman" w:cs="Times New Roman"/>
                                      <w:color w:val="000000"/>
                                      <w:sz w:val="16"/>
                                      <w:szCs w:val="16"/>
                                    </w:rPr>
                                    <w:t>20-28 días</w:t>
                                  </w:r>
                                </w:p>
                              </w:tc>
                              <w:tc>
                                <w:tcPr>
                                  <w:tcW w:w="2822" w:type="dxa"/>
                                  <w:shd w:val="clear" w:color="auto" w:fill="FFFFFF"/>
                                  <w:vAlign w:val="bottom"/>
                                </w:tcPr>
                                <w:p w14:paraId="1F83A7B4" w14:textId="77777777" w:rsidR="00924992" w:rsidRDefault="00924992">
                                  <w:pPr>
                                    <w:pStyle w:val="Other0"/>
                                    <w:spacing w:line="240" w:lineRule="auto"/>
                                    <w:ind w:firstLine="0"/>
                                    <w:rPr>
                                      <w:sz w:val="16"/>
                                      <w:szCs w:val="16"/>
                                    </w:rPr>
                                  </w:pPr>
                                  <w:r>
                                    <w:rPr>
                                      <w:rFonts w:ascii="Times New Roman" w:eastAsia="Times New Roman" w:hAnsi="Times New Roman" w:cs="Times New Roman"/>
                                      <w:color w:val="000000"/>
                                      <w:sz w:val="16"/>
                                      <w:szCs w:val="16"/>
                                    </w:rPr>
                                    <w:t xml:space="preserve">20 mg Sb/kg/día IV o IM </w:t>
                                  </w:r>
                                  <w:r>
                                    <w:rPr>
                                      <w:color w:val="000000"/>
                                    </w:rPr>
                                    <w:t xml:space="preserve">x </w:t>
                                  </w:r>
                                  <w:r>
                                    <w:rPr>
                                      <w:rFonts w:ascii="Times New Roman" w:eastAsia="Times New Roman" w:hAnsi="Times New Roman" w:cs="Times New Roman"/>
                                      <w:color w:val="000000"/>
                                      <w:sz w:val="16"/>
                                      <w:szCs w:val="16"/>
                                    </w:rPr>
                                    <w:t>20-28 días</w:t>
                                  </w:r>
                                  <w:r>
                                    <w:rPr>
                                      <w:rFonts w:ascii="Times New Roman" w:eastAsia="Times New Roman" w:hAnsi="Times New Roman" w:cs="Times New Roman"/>
                                      <w:color w:val="000000"/>
                                      <w:sz w:val="16"/>
                                      <w:szCs w:val="16"/>
                                      <w:vertAlign w:val="superscript"/>
                                    </w:rPr>
                                    <w:t>45</w:t>
                                  </w:r>
                                </w:p>
                              </w:tc>
                            </w:tr>
                            <w:tr w:rsidR="00924992" w14:paraId="0A76D43C" w14:textId="77777777">
                              <w:tblPrEx>
                                <w:tblCellMar>
                                  <w:top w:w="0" w:type="dxa"/>
                                  <w:bottom w:w="0" w:type="dxa"/>
                                </w:tblCellMar>
                              </w:tblPrEx>
                              <w:trPr>
                                <w:trHeight w:hRule="exact" w:val="211"/>
                              </w:trPr>
                              <w:tc>
                                <w:tcPr>
                                  <w:tcW w:w="2342" w:type="dxa"/>
                                  <w:shd w:val="clear" w:color="auto" w:fill="FFFFFF"/>
                                  <w:vAlign w:val="bottom"/>
                                </w:tcPr>
                                <w:p w14:paraId="6A23FF24" w14:textId="77777777" w:rsidR="00924992" w:rsidRDefault="00924992">
                                  <w:pPr>
                                    <w:pStyle w:val="Other0"/>
                                    <w:spacing w:line="240" w:lineRule="auto"/>
                                    <w:ind w:firstLine="0"/>
                                    <w:rPr>
                                      <w:sz w:val="16"/>
                                      <w:szCs w:val="16"/>
                                    </w:rPr>
                                  </w:pPr>
                                  <w:r>
                                    <w:rPr>
                                      <w:rFonts w:ascii="Times New Roman" w:eastAsia="Times New Roman" w:hAnsi="Times New Roman" w:cs="Times New Roman"/>
                                      <w:b/>
                                      <w:bCs/>
                                      <w:color w:val="000000"/>
                                      <w:sz w:val="16"/>
                                      <w:szCs w:val="16"/>
                                    </w:rPr>
                                    <w:t>O</w:t>
                                  </w:r>
                                </w:p>
                              </w:tc>
                              <w:tc>
                                <w:tcPr>
                                  <w:tcW w:w="2933" w:type="dxa"/>
                                  <w:shd w:val="clear" w:color="auto" w:fill="FFFFFF"/>
                                  <w:vAlign w:val="bottom"/>
                                </w:tcPr>
                                <w:p w14:paraId="01FFEDC3" w14:textId="77777777" w:rsidR="00924992" w:rsidRDefault="00924992">
                                  <w:pPr>
                                    <w:pStyle w:val="Other0"/>
                                    <w:spacing w:line="240" w:lineRule="auto"/>
                                    <w:ind w:firstLine="500"/>
                                    <w:rPr>
                                      <w:sz w:val="16"/>
                                      <w:szCs w:val="16"/>
                                    </w:rPr>
                                  </w:pPr>
                                  <w:r>
                                    <w:rPr>
                                      <w:rFonts w:ascii="Times New Roman" w:eastAsia="Times New Roman" w:hAnsi="Times New Roman" w:cs="Times New Roman"/>
                                      <w:color w:val="000000"/>
                                      <w:sz w:val="16"/>
                                      <w:szCs w:val="16"/>
                                    </w:rPr>
                                    <w:t>Antimoniato de meglumina*</w:t>
                                  </w:r>
                                </w:p>
                              </w:tc>
                              <w:tc>
                                <w:tcPr>
                                  <w:tcW w:w="3149" w:type="dxa"/>
                                  <w:shd w:val="clear" w:color="auto" w:fill="FFFFFF"/>
                                  <w:vAlign w:val="bottom"/>
                                </w:tcPr>
                                <w:p w14:paraId="5250F19C" w14:textId="77777777" w:rsidR="00924992" w:rsidRDefault="00924992">
                                  <w:pPr>
                                    <w:pStyle w:val="Other0"/>
                                    <w:spacing w:line="240" w:lineRule="auto"/>
                                    <w:ind w:firstLine="340"/>
                                    <w:rPr>
                                      <w:sz w:val="16"/>
                                      <w:szCs w:val="16"/>
                                    </w:rPr>
                                  </w:pPr>
                                  <w:r>
                                    <w:rPr>
                                      <w:rFonts w:ascii="Times New Roman" w:eastAsia="Times New Roman" w:hAnsi="Times New Roman" w:cs="Times New Roman"/>
                                      <w:color w:val="000000"/>
                                      <w:sz w:val="16"/>
                                      <w:szCs w:val="16"/>
                                    </w:rPr>
                                    <w:t xml:space="preserve">20 mg Sb/kg/día IV o IM </w:t>
                                  </w:r>
                                  <w:r>
                                    <w:rPr>
                                      <w:color w:val="000000"/>
                                    </w:rPr>
                                    <w:t xml:space="preserve">x </w:t>
                                  </w:r>
                                  <w:r>
                                    <w:rPr>
                                      <w:rFonts w:ascii="Times New Roman" w:eastAsia="Times New Roman" w:hAnsi="Times New Roman" w:cs="Times New Roman"/>
                                      <w:color w:val="000000"/>
                                      <w:sz w:val="16"/>
                                      <w:szCs w:val="16"/>
                                    </w:rPr>
                                    <w:t>20-27 días</w:t>
                                  </w:r>
                                  <w:r>
                                    <w:rPr>
                                      <w:rFonts w:ascii="Times New Roman" w:eastAsia="Times New Roman" w:hAnsi="Times New Roman" w:cs="Times New Roman"/>
                                      <w:color w:val="000000"/>
                                      <w:sz w:val="16"/>
                                      <w:szCs w:val="16"/>
                                      <w:vertAlign w:val="superscript"/>
                                    </w:rPr>
                                    <w:t>45</w:t>
                                  </w:r>
                                </w:p>
                              </w:tc>
                              <w:tc>
                                <w:tcPr>
                                  <w:tcW w:w="2822" w:type="dxa"/>
                                  <w:shd w:val="clear" w:color="auto" w:fill="FFFFFF"/>
                                  <w:vAlign w:val="bottom"/>
                                </w:tcPr>
                                <w:p w14:paraId="0651C81E" w14:textId="77777777" w:rsidR="00924992" w:rsidRDefault="00924992">
                                  <w:pPr>
                                    <w:pStyle w:val="Other0"/>
                                    <w:spacing w:line="240" w:lineRule="auto"/>
                                    <w:ind w:firstLine="0"/>
                                    <w:rPr>
                                      <w:sz w:val="16"/>
                                      <w:szCs w:val="16"/>
                                    </w:rPr>
                                  </w:pPr>
                                  <w:r>
                                    <w:rPr>
                                      <w:rFonts w:ascii="Times New Roman" w:eastAsia="Times New Roman" w:hAnsi="Times New Roman" w:cs="Times New Roman"/>
                                      <w:color w:val="000000"/>
                                      <w:sz w:val="16"/>
                                      <w:szCs w:val="16"/>
                                    </w:rPr>
                                    <w:t xml:space="preserve">20 mg Sb/kg/día IV o IM </w:t>
                                  </w:r>
                                  <w:r>
                                    <w:rPr>
                                      <w:color w:val="000000"/>
                                    </w:rPr>
                                    <w:t xml:space="preserve">x </w:t>
                                  </w:r>
                                  <w:r>
                                    <w:rPr>
                                      <w:rFonts w:ascii="Times New Roman" w:eastAsia="Times New Roman" w:hAnsi="Times New Roman" w:cs="Times New Roman"/>
                                      <w:color w:val="000000"/>
                                      <w:sz w:val="16"/>
                                      <w:szCs w:val="16"/>
                                    </w:rPr>
                                    <w:t>20-28 días</w:t>
                                  </w:r>
                                  <w:r>
                                    <w:rPr>
                                      <w:rFonts w:ascii="Times New Roman" w:eastAsia="Times New Roman" w:hAnsi="Times New Roman" w:cs="Times New Roman"/>
                                      <w:color w:val="000000"/>
                                      <w:sz w:val="16"/>
                                      <w:szCs w:val="16"/>
                                      <w:vertAlign w:val="superscript"/>
                                    </w:rPr>
                                    <w:t>45</w:t>
                                  </w:r>
                                </w:p>
                              </w:tc>
                            </w:tr>
                            <w:tr w:rsidR="00924992" w14:paraId="7241318C" w14:textId="77777777">
                              <w:tblPrEx>
                                <w:tblCellMar>
                                  <w:top w:w="0" w:type="dxa"/>
                                  <w:bottom w:w="0" w:type="dxa"/>
                                </w:tblCellMar>
                              </w:tblPrEx>
                              <w:trPr>
                                <w:trHeight w:hRule="exact" w:val="216"/>
                              </w:trPr>
                              <w:tc>
                                <w:tcPr>
                                  <w:tcW w:w="2342" w:type="dxa"/>
                                  <w:shd w:val="clear" w:color="auto" w:fill="FFFFFF"/>
                                  <w:vAlign w:val="bottom"/>
                                </w:tcPr>
                                <w:p w14:paraId="0BB8B128" w14:textId="77777777" w:rsidR="00924992" w:rsidRDefault="00924992">
                                  <w:pPr>
                                    <w:pStyle w:val="Other0"/>
                                    <w:spacing w:line="240" w:lineRule="auto"/>
                                    <w:ind w:firstLine="0"/>
                                    <w:rPr>
                                      <w:sz w:val="16"/>
                                      <w:szCs w:val="16"/>
                                    </w:rPr>
                                  </w:pPr>
                                  <w:r>
                                    <w:rPr>
                                      <w:rFonts w:ascii="Times New Roman" w:eastAsia="Times New Roman" w:hAnsi="Times New Roman" w:cs="Times New Roman"/>
                                      <w:b/>
                                      <w:bCs/>
                                      <w:color w:val="000000"/>
                                      <w:sz w:val="16"/>
                                      <w:szCs w:val="16"/>
                                    </w:rPr>
                                    <w:t>O</w:t>
                                  </w:r>
                                </w:p>
                              </w:tc>
                              <w:tc>
                                <w:tcPr>
                                  <w:tcW w:w="2933" w:type="dxa"/>
                                  <w:shd w:val="clear" w:color="auto" w:fill="FFFFFF"/>
                                  <w:vAlign w:val="bottom"/>
                                </w:tcPr>
                                <w:p w14:paraId="4770F737" w14:textId="77777777" w:rsidR="00924992" w:rsidRDefault="00924992">
                                  <w:pPr>
                                    <w:pStyle w:val="Other0"/>
                                    <w:spacing w:line="240" w:lineRule="auto"/>
                                    <w:ind w:firstLine="500"/>
                                    <w:rPr>
                                      <w:sz w:val="16"/>
                                      <w:szCs w:val="16"/>
                                    </w:rPr>
                                  </w:pPr>
                                  <w:r>
                                    <w:rPr>
                                      <w:rFonts w:ascii="Times New Roman" w:eastAsia="Times New Roman" w:hAnsi="Times New Roman" w:cs="Times New Roman"/>
                                      <w:color w:val="000000"/>
                                      <w:sz w:val="16"/>
                                      <w:szCs w:val="16"/>
                                    </w:rPr>
                                    <w:t>Anfotericina B</w:t>
                                  </w:r>
                                  <w:r>
                                    <w:rPr>
                                      <w:rFonts w:ascii="Times New Roman" w:eastAsia="Times New Roman" w:hAnsi="Times New Roman" w:cs="Times New Roman"/>
                                      <w:color w:val="000000"/>
                                      <w:sz w:val="16"/>
                                      <w:szCs w:val="16"/>
                                      <w:vertAlign w:val="superscript"/>
                                    </w:rPr>
                                    <w:t>3</w:t>
                                  </w:r>
                                </w:p>
                              </w:tc>
                              <w:tc>
                                <w:tcPr>
                                  <w:tcW w:w="3149" w:type="dxa"/>
                                  <w:shd w:val="clear" w:color="auto" w:fill="FFFFFF"/>
                                  <w:vAlign w:val="bottom"/>
                                </w:tcPr>
                                <w:p w14:paraId="53C8CED9" w14:textId="77777777" w:rsidR="00924992" w:rsidRDefault="00924992">
                                  <w:pPr>
                                    <w:pStyle w:val="Other0"/>
                                    <w:spacing w:line="240" w:lineRule="auto"/>
                                    <w:ind w:firstLine="340"/>
                                    <w:rPr>
                                      <w:sz w:val="16"/>
                                      <w:szCs w:val="16"/>
                                    </w:rPr>
                                  </w:pPr>
                                  <w:r>
                                    <w:rPr>
                                      <w:rFonts w:ascii="Times New Roman" w:eastAsia="Times New Roman" w:hAnsi="Times New Roman" w:cs="Times New Roman"/>
                                      <w:color w:val="000000"/>
                                      <w:sz w:val="16"/>
                                      <w:szCs w:val="16"/>
                                    </w:rPr>
                                    <w:t>0.5 a 1 mg/kg IV diariamente o cada</w:t>
                                  </w:r>
                                </w:p>
                              </w:tc>
                              <w:tc>
                                <w:tcPr>
                                  <w:tcW w:w="2822" w:type="dxa"/>
                                  <w:shd w:val="clear" w:color="auto" w:fill="FFFFFF"/>
                                  <w:vAlign w:val="bottom"/>
                                </w:tcPr>
                                <w:p w14:paraId="59B43AD0" w14:textId="77777777" w:rsidR="00924992" w:rsidRDefault="00924992">
                                  <w:pPr>
                                    <w:pStyle w:val="Other0"/>
                                    <w:spacing w:line="240" w:lineRule="auto"/>
                                    <w:ind w:firstLine="0"/>
                                    <w:rPr>
                                      <w:sz w:val="16"/>
                                      <w:szCs w:val="16"/>
                                    </w:rPr>
                                  </w:pPr>
                                  <w:r>
                                    <w:rPr>
                                      <w:rFonts w:ascii="Times New Roman" w:eastAsia="Times New Roman" w:hAnsi="Times New Roman" w:cs="Times New Roman"/>
                                      <w:color w:val="000000"/>
                                      <w:sz w:val="16"/>
                                      <w:szCs w:val="16"/>
                                    </w:rPr>
                                    <w:t>0.5 a 1 mg/kg IV diariamente o cada</w:t>
                                  </w:r>
                                </w:p>
                              </w:tc>
                            </w:tr>
                            <w:tr w:rsidR="00924992" w14:paraId="3685C9E9" w14:textId="77777777">
                              <w:tblPrEx>
                                <w:tblCellMar>
                                  <w:top w:w="0" w:type="dxa"/>
                                  <w:bottom w:w="0" w:type="dxa"/>
                                </w:tblCellMar>
                              </w:tblPrEx>
                              <w:trPr>
                                <w:trHeight w:hRule="exact" w:val="221"/>
                              </w:trPr>
                              <w:tc>
                                <w:tcPr>
                                  <w:tcW w:w="2342" w:type="dxa"/>
                                  <w:shd w:val="clear" w:color="auto" w:fill="FFFFFF"/>
                                </w:tcPr>
                                <w:p w14:paraId="4A16CEF4" w14:textId="77777777" w:rsidR="00924992" w:rsidRDefault="00924992">
                                  <w:pPr>
                                    <w:rPr>
                                      <w:sz w:val="10"/>
                                      <w:szCs w:val="10"/>
                                    </w:rPr>
                                  </w:pPr>
                                </w:p>
                              </w:tc>
                              <w:tc>
                                <w:tcPr>
                                  <w:tcW w:w="2933" w:type="dxa"/>
                                  <w:shd w:val="clear" w:color="auto" w:fill="FFFFFF"/>
                                </w:tcPr>
                                <w:p w14:paraId="680E53A9" w14:textId="77777777" w:rsidR="00924992" w:rsidRDefault="00924992">
                                  <w:pPr>
                                    <w:rPr>
                                      <w:sz w:val="10"/>
                                      <w:szCs w:val="10"/>
                                    </w:rPr>
                                  </w:pPr>
                                </w:p>
                              </w:tc>
                              <w:tc>
                                <w:tcPr>
                                  <w:tcW w:w="3149" w:type="dxa"/>
                                  <w:shd w:val="clear" w:color="auto" w:fill="FFFFFF"/>
                                  <w:vAlign w:val="bottom"/>
                                </w:tcPr>
                                <w:p w14:paraId="08AC5F40" w14:textId="77777777" w:rsidR="00924992" w:rsidRDefault="00924992">
                                  <w:pPr>
                                    <w:pStyle w:val="Other0"/>
                                    <w:spacing w:line="240" w:lineRule="auto"/>
                                    <w:ind w:firstLine="460"/>
                                    <w:rPr>
                                      <w:sz w:val="16"/>
                                      <w:szCs w:val="16"/>
                                    </w:rPr>
                                  </w:pPr>
                                  <w:r>
                                    <w:rPr>
                                      <w:rFonts w:ascii="Times New Roman" w:eastAsia="Times New Roman" w:hAnsi="Times New Roman" w:cs="Times New Roman"/>
                                      <w:color w:val="000000"/>
                                      <w:sz w:val="16"/>
                                      <w:szCs w:val="16"/>
                                    </w:rPr>
                                    <w:t>2 días, incluso por 8 semanas</w:t>
                                  </w:r>
                                </w:p>
                              </w:tc>
                              <w:tc>
                                <w:tcPr>
                                  <w:tcW w:w="2822" w:type="dxa"/>
                                  <w:shd w:val="clear" w:color="auto" w:fill="FFFFFF"/>
                                  <w:vAlign w:val="bottom"/>
                                </w:tcPr>
                                <w:p w14:paraId="57CEE075" w14:textId="77777777" w:rsidR="00924992" w:rsidRDefault="00924992">
                                  <w:pPr>
                                    <w:pStyle w:val="Other0"/>
                                    <w:spacing w:line="240" w:lineRule="auto"/>
                                    <w:ind w:firstLine="180"/>
                                    <w:rPr>
                                      <w:sz w:val="16"/>
                                      <w:szCs w:val="16"/>
                                    </w:rPr>
                                  </w:pPr>
                                  <w:r>
                                    <w:rPr>
                                      <w:rFonts w:ascii="Times New Roman" w:eastAsia="Times New Roman" w:hAnsi="Times New Roman" w:cs="Times New Roman"/>
                                      <w:color w:val="000000"/>
                                      <w:sz w:val="16"/>
                                      <w:szCs w:val="16"/>
                                    </w:rPr>
                                    <w:t>2 días, incluso por 8 semanas</w:t>
                                  </w:r>
                                </w:p>
                              </w:tc>
                            </w:tr>
                            <w:tr w:rsidR="00924992" w14:paraId="1211E608" w14:textId="77777777">
                              <w:tblPrEx>
                                <w:tblCellMar>
                                  <w:top w:w="0" w:type="dxa"/>
                                  <w:bottom w:w="0" w:type="dxa"/>
                                </w:tblCellMar>
                              </w:tblPrEx>
                              <w:trPr>
                                <w:trHeight w:hRule="exact" w:val="235"/>
                              </w:trPr>
                              <w:tc>
                                <w:tcPr>
                                  <w:tcW w:w="2342" w:type="dxa"/>
                                  <w:shd w:val="clear" w:color="auto" w:fill="FFFFFF"/>
                                  <w:vAlign w:val="bottom"/>
                                </w:tcPr>
                                <w:p w14:paraId="459FCE94" w14:textId="77777777" w:rsidR="00924992" w:rsidRDefault="00924992">
                                  <w:pPr>
                                    <w:pStyle w:val="Other0"/>
                                    <w:spacing w:line="240" w:lineRule="auto"/>
                                    <w:ind w:firstLine="0"/>
                                    <w:rPr>
                                      <w:sz w:val="16"/>
                                      <w:szCs w:val="16"/>
                                    </w:rPr>
                                  </w:pPr>
                                  <w:r>
                                    <w:rPr>
                                      <w:rFonts w:ascii="Times New Roman" w:eastAsia="Times New Roman" w:hAnsi="Times New Roman" w:cs="Times New Roman"/>
                                      <w:b/>
                                      <w:bCs/>
                                      <w:color w:val="000000"/>
                                      <w:sz w:val="16"/>
                                      <w:szCs w:val="16"/>
                                    </w:rPr>
                                    <w:t>O</w:t>
                                  </w:r>
                                </w:p>
                              </w:tc>
                              <w:tc>
                                <w:tcPr>
                                  <w:tcW w:w="2933" w:type="dxa"/>
                                  <w:shd w:val="clear" w:color="auto" w:fill="FFFFFF"/>
                                  <w:vAlign w:val="bottom"/>
                                </w:tcPr>
                                <w:p w14:paraId="1EC4E2ED" w14:textId="77777777" w:rsidR="00924992" w:rsidRDefault="00924992">
                                  <w:pPr>
                                    <w:pStyle w:val="Other0"/>
                                    <w:spacing w:line="240" w:lineRule="auto"/>
                                    <w:ind w:firstLine="500"/>
                                    <w:rPr>
                                      <w:sz w:val="16"/>
                                      <w:szCs w:val="16"/>
                                    </w:rPr>
                                  </w:pPr>
                                  <w:r>
                                    <w:rPr>
                                      <w:rFonts w:ascii="Times New Roman" w:eastAsia="Times New Roman" w:hAnsi="Times New Roman" w:cs="Times New Roman"/>
                                      <w:color w:val="000000"/>
                                      <w:sz w:val="16"/>
                                      <w:szCs w:val="16"/>
                                    </w:rPr>
                                    <w:t>Anfotericina B en liposomas</w:t>
                                  </w:r>
                                  <w:r>
                                    <w:rPr>
                                      <w:rFonts w:ascii="Times New Roman" w:eastAsia="Times New Roman" w:hAnsi="Times New Roman" w:cs="Times New Roman"/>
                                      <w:color w:val="000000"/>
                                      <w:sz w:val="16"/>
                                      <w:szCs w:val="16"/>
                                      <w:vertAlign w:val="superscript"/>
                                    </w:rPr>
                                    <w:t>46</w:t>
                                  </w:r>
                                </w:p>
                              </w:tc>
                              <w:tc>
                                <w:tcPr>
                                  <w:tcW w:w="3149" w:type="dxa"/>
                                  <w:shd w:val="clear" w:color="auto" w:fill="FFFFFF"/>
                                  <w:vAlign w:val="bottom"/>
                                </w:tcPr>
                                <w:p w14:paraId="02426BCD" w14:textId="77777777" w:rsidR="00924992" w:rsidRDefault="00924992">
                                  <w:pPr>
                                    <w:pStyle w:val="Other0"/>
                                    <w:spacing w:line="240" w:lineRule="auto"/>
                                    <w:ind w:firstLine="340"/>
                                    <w:rPr>
                                      <w:sz w:val="16"/>
                                      <w:szCs w:val="16"/>
                                    </w:rPr>
                                  </w:pPr>
                                  <w:r>
                                    <w:rPr>
                                      <w:rFonts w:ascii="Times New Roman" w:eastAsia="Times New Roman" w:hAnsi="Times New Roman" w:cs="Times New Roman"/>
                                      <w:color w:val="000000"/>
                                      <w:sz w:val="16"/>
                                      <w:szCs w:val="16"/>
                                    </w:rPr>
                                    <w:t>3 mg/kg/día (días 1-5) y 3 mg/kg/día</w:t>
                                  </w:r>
                                </w:p>
                              </w:tc>
                              <w:tc>
                                <w:tcPr>
                                  <w:tcW w:w="2822" w:type="dxa"/>
                                  <w:shd w:val="clear" w:color="auto" w:fill="FFFFFF"/>
                                  <w:vAlign w:val="bottom"/>
                                </w:tcPr>
                                <w:p w14:paraId="492E58CF" w14:textId="77777777" w:rsidR="00924992" w:rsidRDefault="00924992">
                                  <w:pPr>
                                    <w:pStyle w:val="Other0"/>
                                    <w:spacing w:line="240" w:lineRule="auto"/>
                                    <w:ind w:firstLine="0"/>
                                    <w:rPr>
                                      <w:sz w:val="16"/>
                                      <w:szCs w:val="16"/>
                                    </w:rPr>
                                  </w:pPr>
                                  <w:r>
                                    <w:rPr>
                                      <w:rFonts w:ascii="Times New Roman" w:eastAsia="Times New Roman" w:hAnsi="Times New Roman" w:cs="Times New Roman"/>
                                      <w:color w:val="000000"/>
                                      <w:sz w:val="16"/>
                                      <w:szCs w:val="16"/>
                                    </w:rPr>
                                    <w:t>3 mg/kg/día (días 1-5) y 3 mg/kg/día</w:t>
                                  </w:r>
                                </w:p>
                              </w:tc>
                            </w:tr>
                            <w:tr w:rsidR="00924992" w14:paraId="6760CCB3" w14:textId="77777777">
                              <w:tblPrEx>
                                <w:tblCellMar>
                                  <w:top w:w="0" w:type="dxa"/>
                                  <w:bottom w:w="0" w:type="dxa"/>
                                </w:tblCellMar>
                              </w:tblPrEx>
                              <w:trPr>
                                <w:trHeight w:hRule="exact" w:val="202"/>
                              </w:trPr>
                              <w:tc>
                                <w:tcPr>
                                  <w:tcW w:w="2342" w:type="dxa"/>
                                  <w:shd w:val="clear" w:color="auto" w:fill="FFFFFF"/>
                                </w:tcPr>
                                <w:p w14:paraId="53B26971" w14:textId="77777777" w:rsidR="00924992" w:rsidRDefault="00924992">
                                  <w:pPr>
                                    <w:rPr>
                                      <w:sz w:val="10"/>
                                      <w:szCs w:val="10"/>
                                    </w:rPr>
                                  </w:pPr>
                                </w:p>
                              </w:tc>
                              <w:tc>
                                <w:tcPr>
                                  <w:tcW w:w="2933" w:type="dxa"/>
                                  <w:shd w:val="clear" w:color="auto" w:fill="FFFFFF"/>
                                </w:tcPr>
                                <w:p w14:paraId="7E83F827" w14:textId="77777777" w:rsidR="00924992" w:rsidRDefault="00924992">
                                  <w:pPr>
                                    <w:rPr>
                                      <w:sz w:val="10"/>
                                      <w:szCs w:val="10"/>
                                    </w:rPr>
                                  </w:pPr>
                                </w:p>
                              </w:tc>
                              <w:tc>
                                <w:tcPr>
                                  <w:tcW w:w="3149" w:type="dxa"/>
                                  <w:shd w:val="clear" w:color="auto" w:fill="FFFFFF"/>
                                </w:tcPr>
                                <w:p w14:paraId="27D3E3C9" w14:textId="77777777" w:rsidR="00924992" w:rsidRDefault="00924992">
                                  <w:pPr>
                                    <w:pStyle w:val="Other0"/>
                                    <w:spacing w:line="240" w:lineRule="auto"/>
                                    <w:ind w:firstLine="460"/>
                                    <w:rPr>
                                      <w:sz w:val="16"/>
                                      <w:szCs w:val="16"/>
                                    </w:rPr>
                                  </w:pPr>
                                  <w:r>
                                    <w:rPr>
                                      <w:rFonts w:ascii="Times New Roman" w:eastAsia="Times New Roman" w:hAnsi="Times New Roman" w:cs="Times New Roman"/>
                                      <w:color w:val="000000"/>
                                      <w:sz w:val="16"/>
                                      <w:szCs w:val="16"/>
                                    </w:rPr>
                                    <w:t>días 14, 21</w:t>
                                  </w:r>
                                  <w:r>
                                    <w:rPr>
                                      <w:rFonts w:ascii="Times New Roman" w:eastAsia="Times New Roman" w:hAnsi="Times New Roman" w:cs="Times New Roman"/>
                                      <w:color w:val="000000"/>
                                      <w:sz w:val="16"/>
                                      <w:szCs w:val="16"/>
                                      <w:vertAlign w:val="superscript"/>
                                    </w:rPr>
                                    <w:t>47</w:t>
                                  </w:r>
                                </w:p>
                              </w:tc>
                              <w:tc>
                                <w:tcPr>
                                  <w:tcW w:w="2822" w:type="dxa"/>
                                  <w:shd w:val="clear" w:color="auto" w:fill="FFFFFF"/>
                                </w:tcPr>
                                <w:p w14:paraId="06D653FD" w14:textId="77777777" w:rsidR="00924992" w:rsidRDefault="00924992">
                                  <w:pPr>
                                    <w:pStyle w:val="Other0"/>
                                    <w:spacing w:line="240" w:lineRule="auto"/>
                                    <w:ind w:firstLine="180"/>
                                    <w:rPr>
                                      <w:sz w:val="16"/>
                                      <w:szCs w:val="16"/>
                                    </w:rPr>
                                  </w:pPr>
                                  <w:r>
                                    <w:rPr>
                                      <w:rFonts w:ascii="Times New Roman" w:eastAsia="Times New Roman" w:hAnsi="Times New Roman" w:cs="Times New Roman"/>
                                      <w:color w:val="000000"/>
                                      <w:sz w:val="16"/>
                                      <w:szCs w:val="16"/>
                                    </w:rPr>
                                    <w:t>días 14, 21</w:t>
                                  </w:r>
                                  <w:r>
                                    <w:rPr>
                                      <w:rFonts w:ascii="Times New Roman" w:eastAsia="Times New Roman" w:hAnsi="Times New Roman" w:cs="Times New Roman"/>
                                      <w:color w:val="000000"/>
                                      <w:sz w:val="16"/>
                                      <w:szCs w:val="16"/>
                                      <w:vertAlign w:val="superscript"/>
                                    </w:rPr>
                                    <w:t>47</w:t>
                                  </w:r>
                                </w:p>
                              </w:tc>
                            </w:tr>
                            <w:tr w:rsidR="00924992" w14:paraId="24CB7B46" w14:textId="77777777">
                              <w:tblPrEx>
                                <w:tblCellMar>
                                  <w:top w:w="0" w:type="dxa"/>
                                  <w:bottom w:w="0" w:type="dxa"/>
                                </w:tblCellMar>
                              </w:tblPrEx>
                              <w:trPr>
                                <w:trHeight w:hRule="exact" w:val="221"/>
                              </w:trPr>
                              <w:tc>
                                <w:tcPr>
                                  <w:tcW w:w="2342" w:type="dxa"/>
                                  <w:shd w:val="clear" w:color="auto" w:fill="FFFFFF"/>
                                  <w:vAlign w:val="bottom"/>
                                </w:tcPr>
                                <w:p w14:paraId="0799ED49" w14:textId="77777777" w:rsidR="00924992" w:rsidRDefault="00924992">
                                  <w:pPr>
                                    <w:pStyle w:val="Other0"/>
                                    <w:spacing w:line="240" w:lineRule="auto"/>
                                    <w:ind w:firstLine="0"/>
                                    <w:rPr>
                                      <w:sz w:val="16"/>
                                      <w:szCs w:val="16"/>
                                    </w:rPr>
                                  </w:pPr>
                                  <w:r>
                                    <w:rPr>
                                      <w:rFonts w:ascii="Times New Roman" w:eastAsia="Times New Roman" w:hAnsi="Times New Roman" w:cs="Times New Roman"/>
                                      <w:color w:val="000000"/>
                                      <w:sz w:val="16"/>
                                      <w:szCs w:val="16"/>
                                    </w:rPr>
                                    <w:t>Fármacos alternativos:</w:t>
                                  </w:r>
                                </w:p>
                              </w:tc>
                              <w:tc>
                                <w:tcPr>
                                  <w:tcW w:w="2933" w:type="dxa"/>
                                  <w:shd w:val="clear" w:color="auto" w:fill="FFFFFF"/>
                                  <w:vAlign w:val="bottom"/>
                                </w:tcPr>
                                <w:p w14:paraId="3730BF78" w14:textId="77777777" w:rsidR="00924992" w:rsidRDefault="00924992">
                                  <w:pPr>
                                    <w:pStyle w:val="Other0"/>
                                    <w:spacing w:line="240" w:lineRule="auto"/>
                                    <w:ind w:firstLine="500"/>
                                    <w:rPr>
                                      <w:sz w:val="16"/>
                                      <w:szCs w:val="16"/>
                                    </w:rPr>
                                  </w:pPr>
                                  <w:r>
                                    <w:rPr>
                                      <w:rFonts w:ascii="Times New Roman" w:eastAsia="Times New Roman" w:hAnsi="Times New Roman" w:cs="Times New Roman"/>
                                      <w:color w:val="000000"/>
                                      <w:sz w:val="16"/>
                                      <w:szCs w:val="16"/>
                                    </w:rPr>
                                    <w:t>Pentamidina</w:t>
                                  </w:r>
                                </w:p>
                              </w:tc>
                              <w:tc>
                                <w:tcPr>
                                  <w:tcW w:w="3149" w:type="dxa"/>
                                  <w:shd w:val="clear" w:color="auto" w:fill="FFFFFF"/>
                                  <w:vAlign w:val="bottom"/>
                                </w:tcPr>
                                <w:p w14:paraId="642E300A" w14:textId="77777777" w:rsidR="00924992" w:rsidRDefault="00924992">
                                  <w:pPr>
                                    <w:pStyle w:val="Other0"/>
                                    <w:spacing w:line="240" w:lineRule="auto"/>
                                    <w:ind w:firstLine="340"/>
                                    <w:rPr>
                                      <w:sz w:val="16"/>
                                      <w:szCs w:val="16"/>
                                    </w:rPr>
                                  </w:pPr>
                                  <w:r>
                                    <w:rPr>
                                      <w:rFonts w:ascii="Times New Roman" w:eastAsia="Times New Roman" w:hAnsi="Times New Roman" w:cs="Times New Roman"/>
                                      <w:color w:val="000000"/>
                                      <w:sz w:val="16"/>
                                      <w:szCs w:val="16"/>
                                    </w:rPr>
                                    <w:t>2-4 mg/kg diario o cada 2 días IV</w:t>
                                  </w:r>
                                </w:p>
                              </w:tc>
                              <w:tc>
                                <w:tcPr>
                                  <w:tcW w:w="2822" w:type="dxa"/>
                                  <w:shd w:val="clear" w:color="auto" w:fill="FFFFFF"/>
                                  <w:vAlign w:val="bottom"/>
                                </w:tcPr>
                                <w:p w14:paraId="5AF5DA7B" w14:textId="77777777" w:rsidR="00924992" w:rsidRDefault="00924992">
                                  <w:pPr>
                                    <w:pStyle w:val="Other0"/>
                                    <w:spacing w:line="240" w:lineRule="auto"/>
                                    <w:ind w:firstLine="0"/>
                                    <w:rPr>
                                      <w:sz w:val="16"/>
                                      <w:szCs w:val="16"/>
                                    </w:rPr>
                                  </w:pPr>
                                  <w:r>
                                    <w:rPr>
                                      <w:rFonts w:ascii="Times New Roman" w:eastAsia="Times New Roman" w:hAnsi="Times New Roman" w:cs="Times New Roman"/>
                                      <w:color w:val="000000"/>
                                      <w:sz w:val="16"/>
                                      <w:szCs w:val="16"/>
                                    </w:rPr>
                                    <w:t>2-4 mg/kg diario o cada 2 días IV o</w:t>
                                  </w:r>
                                </w:p>
                              </w:tc>
                            </w:tr>
                            <w:tr w:rsidR="00924992" w14:paraId="7CC96832" w14:textId="77777777">
                              <w:tblPrEx>
                                <w:tblCellMar>
                                  <w:top w:w="0" w:type="dxa"/>
                                  <w:bottom w:w="0" w:type="dxa"/>
                                </w:tblCellMar>
                              </w:tblPrEx>
                              <w:trPr>
                                <w:trHeight w:hRule="exact" w:val="230"/>
                              </w:trPr>
                              <w:tc>
                                <w:tcPr>
                                  <w:tcW w:w="2342" w:type="dxa"/>
                                  <w:shd w:val="clear" w:color="auto" w:fill="FFFFFF"/>
                                </w:tcPr>
                                <w:p w14:paraId="2D44F70F" w14:textId="77777777" w:rsidR="00924992" w:rsidRDefault="00924992">
                                  <w:pPr>
                                    <w:rPr>
                                      <w:sz w:val="10"/>
                                      <w:szCs w:val="10"/>
                                    </w:rPr>
                                  </w:pPr>
                                </w:p>
                              </w:tc>
                              <w:tc>
                                <w:tcPr>
                                  <w:tcW w:w="2933" w:type="dxa"/>
                                  <w:shd w:val="clear" w:color="auto" w:fill="FFFFFF"/>
                                </w:tcPr>
                                <w:p w14:paraId="49C6D0FE" w14:textId="77777777" w:rsidR="00924992" w:rsidRDefault="00924992">
                                  <w:pPr>
                                    <w:rPr>
                                      <w:sz w:val="10"/>
                                      <w:szCs w:val="10"/>
                                    </w:rPr>
                                  </w:pPr>
                                </w:p>
                              </w:tc>
                              <w:tc>
                                <w:tcPr>
                                  <w:tcW w:w="3149" w:type="dxa"/>
                                  <w:shd w:val="clear" w:color="auto" w:fill="FFFFFF"/>
                                  <w:vAlign w:val="bottom"/>
                                </w:tcPr>
                                <w:p w14:paraId="6B4C723E" w14:textId="77777777" w:rsidR="00924992" w:rsidRDefault="00924992">
                                  <w:pPr>
                                    <w:pStyle w:val="Other0"/>
                                    <w:spacing w:line="240" w:lineRule="auto"/>
                                    <w:ind w:firstLine="460"/>
                                    <w:rPr>
                                      <w:sz w:val="16"/>
                                      <w:szCs w:val="16"/>
                                    </w:rPr>
                                  </w:pPr>
                                  <w:r>
                                    <w:rPr>
                                      <w:rFonts w:ascii="Times New Roman" w:eastAsia="Times New Roman" w:hAnsi="Times New Roman" w:cs="Times New Roman"/>
                                      <w:color w:val="000000"/>
                                      <w:sz w:val="16"/>
                                      <w:szCs w:val="16"/>
                                    </w:rPr>
                                    <w:t>o IM por un total de 15 dosis</w:t>
                                  </w:r>
                                  <w:r>
                                    <w:rPr>
                                      <w:rFonts w:ascii="Times New Roman" w:eastAsia="Times New Roman" w:hAnsi="Times New Roman" w:cs="Times New Roman"/>
                                      <w:color w:val="000000"/>
                                      <w:sz w:val="16"/>
                                      <w:szCs w:val="16"/>
                                      <w:vertAlign w:val="superscript"/>
                                    </w:rPr>
                                    <w:t>48</w:t>
                                  </w:r>
                                </w:p>
                              </w:tc>
                              <w:tc>
                                <w:tcPr>
                                  <w:tcW w:w="2822" w:type="dxa"/>
                                  <w:shd w:val="clear" w:color="auto" w:fill="FFFFFF"/>
                                  <w:vAlign w:val="bottom"/>
                                </w:tcPr>
                                <w:p w14:paraId="6EC7A9C9" w14:textId="77777777" w:rsidR="00924992" w:rsidRDefault="00924992">
                                  <w:pPr>
                                    <w:pStyle w:val="Other0"/>
                                    <w:spacing w:line="240" w:lineRule="auto"/>
                                    <w:ind w:firstLine="180"/>
                                    <w:rPr>
                                      <w:sz w:val="16"/>
                                      <w:szCs w:val="16"/>
                                    </w:rPr>
                                  </w:pPr>
                                  <w:r>
                                    <w:rPr>
                                      <w:rFonts w:ascii="Times New Roman" w:eastAsia="Times New Roman" w:hAnsi="Times New Roman" w:cs="Times New Roman"/>
                                      <w:color w:val="000000"/>
                                      <w:sz w:val="16"/>
                                      <w:szCs w:val="16"/>
                                    </w:rPr>
                                    <w:t>IM por un total de 15 dosis</w:t>
                                  </w:r>
                                  <w:r>
                                    <w:rPr>
                                      <w:rFonts w:ascii="Times New Roman" w:eastAsia="Times New Roman" w:hAnsi="Times New Roman" w:cs="Times New Roman"/>
                                      <w:color w:val="000000"/>
                                      <w:sz w:val="16"/>
                                      <w:szCs w:val="16"/>
                                      <w:vertAlign w:val="superscript"/>
                                    </w:rPr>
                                    <w:t>48</w:t>
                                  </w:r>
                                </w:p>
                              </w:tc>
                            </w:tr>
                            <w:tr w:rsidR="00924992" w14:paraId="7D4AA269" w14:textId="77777777">
                              <w:tblPrEx>
                                <w:tblCellMar>
                                  <w:top w:w="0" w:type="dxa"/>
                                  <w:bottom w:w="0" w:type="dxa"/>
                                </w:tblCellMar>
                              </w:tblPrEx>
                              <w:trPr>
                                <w:trHeight w:hRule="exact" w:val="245"/>
                              </w:trPr>
                              <w:tc>
                                <w:tcPr>
                                  <w:tcW w:w="2342" w:type="dxa"/>
                                  <w:tcBorders>
                                    <w:bottom w:val="single" w:sz="4" w:space="0" w:color="auto"/>
                                  </w:tcBorders>
                                  <w:shd w:val="clear" w:color="auto" w:fill="FFFFFF"/>
                                </w:tcPr>
                                <w:p w14:paraId="55AF40D2" w14:textId="77777777" w:rsidR="00924992" w:rsidRDefault="00924992">
                                  <w:pPr>
                                    <w:pStyle w:val="Other0"/>
                                    <w:spacing w:line="240" w:lineRule="auto"/>
                                    <w:ind w:firstLine="0"/>
                                    <w:rPr>
                                      <w:sz w:val="16"/>
                                      <w:szCs w:val="16"/>
                                    </w:rPr>
                                  </w:pPr>
                                  <w:r>
                                    <w:rPr>
                                      <w:rFonts w:ascii="Times New Roman" w:eastAsia="Times New Roman" w:hAnsi="Times New Roman" w:cs="Times New Roman"/>
                                      <w:b/>
                                      <w:bCs/>
                                      <w:color w:val="000000"/>
                                      <w:sz w:val="16"/>
                                      <w:szCs w:val="16"/>
                                    </w:rPr>
                                    <w:t>O</w:t>
                                  </w:r>
                                </w:p>
                              </w:tc>
                              <w:tc>
                                <w:tcPr>
                                  <w:tcW w:w="2933" w:type="dxa"/>
                                  <w:tcBorders>
                                    <w:bottom w:val="single" w:sz="4" w:space="0" w:color="auto"/>
                                  </w:tcBorders>
                                  <w:shd w:val="clear" w:color="auto" w:fill="FFFFFF"/>
                                </w:tcPr>
                                <w:p w14:paraId="3F569F77" w14:textId="77777777" w:rsidR="00924992" w:rsidRDefault="00924992">
                                  <w:pPr>
                                    <w:pStyle w:val="Other0"/>
                                    <w:spacing w:line="240" w:lineRule="auto"/>
                                    <w:ind w:firstLine="500"/>
                                    <w:rPr>
                                      <w:sz w:val="16"/>
                                      <w:szCs w:val="16"/>
                                    </w:rPr>
                                  </w:pPr>
                                  <w:r>
                                    <w:rPr>
                                      <w:rFonts w:ascii="Times New Roman" w:eastAsia="Times New Roman" w:hAnsi="Times New Roman" w:cs="Times New Roman"/>
                                      <w:color w:val="000000"/>
                                      <w:sz w:val="16"/>
                                      <w:szCs w:val="16"/>
                                    </w:rPr>
                                    <w:t>Paromomicina</w:t>
                                  </w:r>
                                  <w:r>
                                    <w:rPr>
                                      <w:rFonts w:ascii="Times New Roman" w:eastAsia="Times New Roman" w:hAnsi="Times New Roman" w:cs="Times New Roman"/>
                                      <w:color w:val="000000"/>
                                      <w:sz w:val="16"/>
                                      <w:szCs w:val="16"/>
                                      <w:vertAlign w:val="superscript"/>
                                    </w:rPr>
                                    <w:t>49</w:t>
                                  </w:r>
                                  <w:r>
                                    <w:rPr>
                                      <w:rFonts w:ascii="Times New Roman" w:eastAsia="Times New Roman" w:hAnsi="Times New Roman" w:cs="Times New Roman"/>
                                      <w:color w:val="000000"/>
                                      <w:sz w:val="16"/>
                                      <w:szCs w:val="16"/>
                                    </w:rPr>
                                    <w:t>*</w:t>
                                  </w:r>
                                </w:p>
                              </w:tc>
                              <w:tc>
                                <w:tcPr>
                                  <w:tcW w:w="3149" w:type="dxa"/>
                                  <w:tcBorders>
                                    <w:bottom w:val="single" w:sz="4" w:space="0" w:color="auto"/>
                                  </w:tcBorders>
                                  <w:shd w:val="clear" w:color="auto" w:fill="FFFFFF"/>
                                </w:tcPr>
                                <w:p w14:paraId="793076A3" w14:textId="77777777" w:rsidR="00924992" w:rsidRDefault="00924992">
                                  <w:pPr>
                                    <w:pStyle w:val="Other0"/>
                                    <w:spacing w:line="240" w:lineRule="auto"/>
                                    <w:ind w:firstLine="340"/>
                                    <w:rPr>
                                      <w:sz w:val="16"/>
                                      <w:szCs w:val="16"/>
                                    </w:rPr>
                                  </w:pPr>
                                  <w:r>
                                    <w:rPr>
                                      <w:rFonts w:ascii="Times New Roman" w:eastAsia="Times New Roman" w:hAnsi="Times New Roman" w:cs="Times New Roman"/>
                                      <w:color w:val="000000"/>
                                      <w:sz w:val="16"/>
                                      <w:szCs w:val="16"/>
                                    </w:rPr>
                                    <w:t xml:space="preserve">Aplicación tópica 2 </w:t>
                                  </w:r>
                                  <w:r>
                                    <w:rPr>
                                      <w:color w:val="000000"/>
                                    </w:rPr>
                                    <w:t xml:space="preserve">x </w:t>
                                  </w:r>
                                  <w:r>
                                    <w:rPr>
                                      <w:rFonts w:ascii="Times New Roman" w:eastAsia="Times New Roman" w:hAnsi="Times New Roman" w:cs="Times New Roman"/>
                                      <w:color w:val="000000"/>
                                      <w:sz w:val="16"/>
                                      <w:szCs w:val="16"/>
                                    </w:rPr>
                                    <w:t xml:space="preserve">día </w:t>
                                  </w:r>
                                  <w:r>
                                    <w:rPr>
                                      <w:color w:val="000000"/>
                                    </w:rPr>
                                    <w:t xml:space="preserve">x </w:t>
                                  </w:r>
                                  <w:r>
                                    <w:rPr>
                                      <w:rFonts w:ascii="Times New Roman" w:eastAsia="Times New Roman" w:hAnsi="Times New Roman" w:cs="Times New Roman"/>
                                      <w:color w:val="000000"/>
                                      <w:sz w:val="16"/>
                                      <w:szCs w:val="16"/>
                                    </w:rPr>
                                    <w:t>10-20 días</w:t>
                                  </w:r>
                                </w:p>
                              </w:tc>
                              <w:tc>
                                <w:tcPr>
                                  <w:tcW w:w="2822" w:type="dxa"/>
                                  <w:tcBorders>
                                    <w:bottom w:val="single" w:sz="4" w:space="0" w:color="auto"/>
                                  </w:tcBorders>
                                  <w:shd w:val="clear" w:color="auto" w:fill="FFFFFF"/>
                                </w:tcPr>
                                <w:p w14:paraId="53444652" w14:textId="77777777" w:rsidR="00924992" w:rsidRDefault="00924992">
                                  <w:pPr>
                                    <w:rPr>
                                      <w:sz w:val="10"/>
                                      <w:szCs w:val="10"/>
                                    </w:rPr>
                                  </w:pPr>
                                </w:p>
                              </w:tc>
                            </w:tr>
                          </w:tbl>
                          <w:p w14:paraId="33458231" w14:textId="77777777" w:rsidR="00924992" w:rsidRDefault="00924992">
                            <w:pPr>
                              <w:spacing w:line="1" w:lineRule="exact"/>
                            </w:pPr>
                          </w:p>
                        </w:txbxContent>
                      </wps:txbx>
                      <wps:bodyPr lIns="0" tIns="0" rIns="0" bIns="0"/>
                    </wps:wsp>
                  </a:graphicData>
                </a:graphic>
              </wp:anchor>
            </w:drawing>
          </mc:Choice>
          <mc:Fallback>
            <w:pict>
              <v:shape w14:anchorId="362D36C4" id="Shape 2410" o:spid="_x0000_s1088" type="#_x0000_t202" style="position:absolute;margin-left:33.85pt;margin-top:64.8pt;width:562.3pt;height:131.05pt;z-index:251714560;visibility:visible;mso-wrap-style:square;mso-wrap-distance-left:9.25pt;mso-wrap-distance-top:29.75pt;mso-wrap-distance-right:9pt;mso-wrap-distance-bottom:1pt;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" filled="f" stroked="f">
                <v:textbox inset="0,0,0,0">
                  <w:txbxContent>
                    <w:tbl>
                      <w:tblPr>
                        <w:tblOverlap w:val="never"/>
                        <w:tblW w:w="0" w:type="auto"/>
                        <w:tblLayout w:type="fixed"/>
                        <w:tblCellMar>
                          <w:left w:w="10" w:type="dxa"/>
                          <w:right w:w="10" w:type="dxa"/>
                        </w:tblCellMar>
                        <w:tblLook w:val="04A0" w:firstRow="1" w:lastRow="0" w:firstColumn="1" w:lastColumn="0" w:noHBand="0" w:noVBand="1"/>
                      </w:tblPr>
                      <w:tblGrid>
                        <w:gridCol w:w="2342"/>
                        <w:gridCol w:w="2933"/>
                        <w:gridCol w:w="3149"/>
                        <w:gridCol w:w="2822"/>
                      </w:tblGrid>
                      <w:tr w:rsidR="00924992" w14:paraId="25AE5EBE" w14:textId="77777777">
                        <w:tblPrEx>
                          <w:tblCellMar>
                            <w:top w:w="0" w:type="dxa"/>
                            <w:bottom w:w="0" w:type="dxa"/>
                          </w:tblCellMar>
                        </w:tblPrEx>
                        <w:trPr>
                          <w:trHeight w:hRule="exact" w:val="389"/>
                          <w:tblHeader/>
                        </w:trPr>
                        <w:tc>
                          <w:tcPr>
                            <w:tcW w:w="2342" w:type="dxa"/>
                            <w:shd w:val="clear" w:color="auto" w:fill="FFFFFF"/>
                          </w:tcPr>
                          <w:p w14:paraId="353AFD99" w14:textId="77777777" w:rsidR="00924992" w:rsidRDefault="00924992">
                            <w:pPr>
                              <w:pStyle w:val="Other0"/>
                              <w:spacing w:line="240" w:lineRule="auto"/>
                              <w:ind w:firstLine="0"/>
                              <w:rPr>
                                <w:sz w:val="16"/>
                                <w:szCs w:val="16"/>
                              </w:rPr>
                            </w:pPr>
                            <w:r>
                              <w:rPr>
                                <w:rFonts w:ascii="Times New Roman" w:eastAsia="Times New Roman" w:hAnsi="Times New Roman" w:cs="Times New Roman"/>
                                <w:color w:val="000000"/>
                                <w:sz w:val="16"/>
                                <w:szCs w:val="16"/>
                              </w:rPr>
                              <w:t>Fármaco más indicado:</w:t>
                            </w:r>
                            <w:r>
                              <w:rPr>
                                <w:rFonts w:ascii="Times New Roman" w:eastAsia="Times New Roman" w:hAnsi="Times New Roman" w:cs="Times New Roman"/>
                                <w:color w:val="000000"/>
                                <w:sz w:val="16"/>
                                <w:szCs w:val="16"/>
                                <w:vertAlign w:val="superscript"/>
                              </w:rPr>
                              <w:t xml:space="preserve">    </w:t>
                            </w:r>
                          </w:p>
                        </w:tc>
                        <w:tc>
                          <w:tcPr>
                            <w:tcW w:w="2933" w:type="dxa"/>
                            <w:shd w:val="clear" w:color="auto" w:fill="FFFFFF"/>
                          </w:tcPr>
                          <w:p w14:paraId="331FB6B7" w14:textId="77777777" w:rsidR="00924992" w:rsidRDefault="00924992">
                            <w:pPr>
                              <w:pStyle w:val="Other0"/>
                              <w:spacing w:line="240" w:lineRule="auto"/>
                              <w:ind w:firstLine="500"/>
                              <w:rPr>
                                <w:sz w:val="16"/>
                                <w:szCs w:val="16"/>
                              </w:rPr>
                            </w:pPr>
                            <w:r>
                              <w:rPr>
                                <w:rFonts w:ascii="Times New Roman" w:eastAsia="Times New Roman" w:hAnsi="Times New Roman" w:cs="Times New Roman"/>
                                <w:color w:val="000000"/>
                                <w:sz w:val="16"/>
                                <w:szCs w:val="16"/>
                              </w:rPr>
                              <w:t>Trimetoprim-sulfametoxazol</w:t>
                            </w:r>
                            <w:r>
                              <w:rPr>
                                <w:rFonts w:ascii="Times New Roman" w:eastAsia="Times New Roman" w:hAnsi="Times New Roman" w:cs="Times New Roman"/>
                                <w:color w:val="000000"/>
                                <w:sz w:val="16"/>
                                <w:szCs w:val="16"/>
                                <w:vertAlign w:val="superscript"/>
                              </w:rPr>
                              <w:t>3</w:t>
                            </w:r>
                          </w:p>
                        </w:tc>
                        <w:tc>
                          <w:tcPr>
                            <w:tcW w:w="3149" w:type="dxa"/>
                            <w:shd w:val="clear" w:color="auto" w:fill="FFFFFF"/>
                            <w:vAlign w:val="bottom"/>
                          </w:tcPr>
                          <w:p w14:paraId="62B1660B" w14:textId="77777777" w:rsidR="00924992" w:rsidRDefault="00924992">
                            <w:pPr>
                              <w:pStyle w:val="Other0"/>
                              <w:spacing w:line="240" w:lineRule="auto"/>
                              <w:ind w:left="460" w:hanging="100"/>
                              <w:rPr>
                                <w:sz w:val="16"/>
                                <w:szCs w:val="16"/>
                              </w:rPr>
                            </w:pPr>
                            <w:r>
                              <w:rPr>
                                <w:rFonts w:ascii="Times New Roman" w:eastAsia="Times New Roman" w:hAnsi="Times New Roman" w:cs="Times New Roman"/>
                                <w:color w:val="000000"/>
                                <w:sz w:val="16"/>
                                <w:szCs w:val="16"/>
                              </w:rPr>
                              <w:t xml:space="preserve">160 mg TMP, 800 mg SMX bid </w:t>
                            </w:r>
                            <w:r>
                              <w:rPr>
                                <w:color w:val="000000"/>
                              </w:rPr>
                              <w:t xml:space="preserve">x </w:t>
                            </w:r>
                            <w:r>
                              <w:rPr>
                                <w:rFonts w:ascii="Times New Roman" w:eastAsia="Times New Roman" w:hAnsi="Times New Roman" w:cs="Times New Roman"/>
                                <w:color w:val="000000"/>
                                <w:sz w:val="16"/>
                                <w:szCs w:val="16"/>
                              </w:rPr>
                              <w:t>10 días</w:t>
                            </w:r>
                          </w:p>
                        </w:tc>
                        <w:tc>
                          <w:tcPr>
                            <w:tcW w:w="2822" w:type="dxa"/>
                            <w:shd w:val="clear" w:color="auto" w:fill="FFFFFF"/>
                            <w:vAlign w:val="bottom"/>
                          </w:tcPr>
                          <w:p w14:paraId="4AA48C7C" w14:textId="77777777" w:rsidR="00924992" w:rsidRDefault="00924992">
                            <w:pPr>
                              <w:pStyle w:val="Other0"/>
                              <w:spacing w:line="240" w:lineRule="auto"/>
                              <w:ind w:left="180" w:hanging="180"/>
                              <w:rPr>
                                <w:sz w:val="16"/>
                                <w:szCs w:val="16"/>
                              </w:rPr>
                            </w:pPr>
                            <w:r>
                              <w:rPr>
                                <w:rFonts w:ascii="Times New Roman" w:eastAsia="Times New Roman" w:hAnsi="Times New Roman" w:cs="Times New Roman"/>
                                <w:color w:val="000000"/>
                                <w:sz w:val="16"/>
                                <w:szCs w:val="16"/>
                              </w:rPr>
                              <w:t xml:space="preserve">TMP 5 mg/kg, SMX 25 mg/kg bid </w:t>
                            </w:r>
                            <w:r>
                              <w:rPr>
                                <w:color w:val="000000"/>
                              </w:rPr>
                              <w:t xml:space="preserve">x </w:t>
                            </w:r>
                            <w:r>
                              <w:rPr>
                                <w:rFonts w:ascii="Times New Roman" w:eastAsia="Times New Roman" w:hAnsi="Times New Roman" w:cs="Times New Roman"/>
                                <w:color w:val="000000"/>
                                <w:sz w:val="16"/>
                                <w:szCs w:val="16"/>
                              </w:rPr>
                              <w:t>10 días</w:t>
                            </w:r>
                          </w:p>
                        </w:tc>
                      </w:tr>
                      <w:tr w:rsidR="00924992" w14:paraId="39DB3F5D" w14:textId="77777777">
                        <w:tblPrEx>
                          <w:tblCellMar>
                            <w:top w:w="0" w:type="dxa"/>
                            <w:bottom w:w="0" w:type="dxa"/>
                          </w:tblCellMar>
                        </w:tblPrEx>
                        <w:trPr>
                          <w:trHeight w:hRule="exact" w:val="206"/>
                        </w:trPr>
                        <w:tc>
                          <w:tcPr>
                            <w:tcW w:w="2342" w:type="dxa"/>
                            <w:shd w:val="clear" w:color="auto" w:fill="FFFFFF"/>
                          </w:tcPr>
                          <w:p w14:paraId="2D7575DE" w14:textId="77777777" w:rsidR="00924992" w:rsidRDefault="00924992">
                            <w:pPr>
                              <w:pStyle w:val="Other0"/>
                              <w:spacing w:line="240" w:lineRule="auto"/>
                              <w:ind w:firstLine="0"/>
                              <w:rPr>
                                <w:sz w:val="16"/>
                                <w:szCs w:val="16"/>
                              </w:rPr>
                            </w:pPr>
                            <w:r>
                              <w:rPr>
                                <w:rFonts w:ascii="Times New Roman" w:eastAsia="Times New Roman" w:hAnsi="Times New Roman" w:cs="Times New Roman"/>
                                <w:b/>
                                <w:bCs/>
                                <w:color w:val="000000"/>
                                <w:sz w:val="16"/>
                                <w:szCs w:val="16"/>
                              </w:rPr>
                              <w:t>LEISHMANIASIS</w:t>
                            </w:r>
                          </w:p>
                        </w:tc>
                        <w:tc>
                          <w:tcPr>
                            <w:tcW w:w="2933" w:type="dxa"/>
                            <w:shd w:val="clear" w:color="auto" w:fill="FFFFFF"/>
                          </w:tcPr>
                          <w:p w14:paraId="0E378D22" w14:textId="77777777" w:rsidR="00924992" w:rsidRDefault="00924992">
                            <w:pPr>
                              <w:rPr>
                                <w:sz w:val="10"/>
                                <w:szCs w:val="10"/>
                              </w:rPr>
                            </w:pPr>
                          </w:p>
                        </w:tc>
                        <w:tc>
                          <w:tcPr>
                            <w:tcW w:w="3149" w:type="dxa"/>
                            <w:shd w:val="clear" w:color="auto" w:fill="FFFFFF"/>
                          </w:tcPr>
                          <w:p w14:paraId="042E0FC5" w14:textId="77777777" w:rsidR="00924992" w:rsidRDefault="00924992">
                            <w:pPr>
                              <w:rPr>
                                <w:sz w:val="10"/>
                                <w:szCs w:val="10"/>
                              </w:rPr>
                            </w:pPr>
                          </w:p>
                        </w:tc>
                        <w:tc>
                          <w:tcPr>
                            <w:tcW w:w="2822" w:type="dxa"/>
                            <w:shd w:val="clear" w:color="auto" w:fill="FFFFFF"/>
                          </w:tcPr>
                          <w:p w14:paraId="761FB7CE" w14:textId="77777777" w:rsidR="00924992" w:rsidRDefault="00924992">
                            <w:pPr>
                              <w:rPr>
                                <w:sz w:val="10"/>
                                <w:szCs w:val="10"/>
                              </w:rPr>
                            </w:pPr>
                          </w:p>
                        </w:tc>
                      </w:tr>
                      <w:tr w:rsidR="00924992" w14:paraId="18C574F1" w14:textId="77777777">
                        <w:tblPrEx>
                          <w:tblCellMar>
                            <w:top w:w="0" w:type="dxa"/>
                            <w:bottom w:w="0" w:type="dxa"/>
                          </w:tblCellMar>
                        </w:tblPrEx>
                        <w:trPr>
                          <w:trHeight w:hRule="exact" w:val="245"/>
                        </w:trPr>
                        <w:tc>
                          <w:tcPr>
                            <w:tcW w:w="2342" w:type="dxa"/>
                            <w:shd w:val="clear" w:color="auto" w:fill="FFFFFF"/>
                            <w:vAlign w:val="bottom"/>
                          </w:tcPr>
                          <w:p w14:paraId="2B1AB16C" w14:textId="77777777" w:rsidR="00924992" w:rsidRDefault="00924992">
                            <w:pPr>
                              <w:pStyle w:val="Other0"/>
                              <w:spacing w:line="240" w:lineRule="auto"/>
                              <w:ind w:firstLine="0"/>
                              <w:rPr>
                                <w:sz w:val="16"/>
                                <w:szCs w:val="16"/>
                              </w:rPr>
                            </w:pPr>
                            <w:r>
                              <w:rPr>
                                <w:rFonts w:ascii="Times New Roman" w:eastAsia="Times New Roman" w:hAnsi="Times New Roman" w:cs="Times New Roman"/>
                                <w:color w:val="000000"/>
                                <w:sz w:val="16"/>
                                <w:szCs w:val="16"/>
                              </w:rPr>
                              <w:t>Fármaco más indicado:</w:t>
                            </w:r>
                          </w:p>
                        </w:tc>
                        <w:tc>
                          <w:tcPr>
                            <w:tcW w:w="2933" w:type="dxa"/>
                            <w:shd w:val="clear" w:color="auto" w:fill="FFFFFF"/>
                            <w:vAlign w:val="bottom"/>
                          </w:tcPr>
                          <w:p w14:paraId="3A153F85" w14:textId="77777777" w:rsidR="00924992" w:rsidRDefault="00924992">
                            <w:pPr>
                              <w:pStyle w:val="Other0"/>
                              <w:spacing w:line="240" w:lineRule="auto"/>
                              <w:ind w:firstLine="500"/>
                              <w:rPr>
                                <w:sz w:val="16"/>
                                <w:szCs w:val="16"/>
                              </w:rPr>
                            </w:pPr>
                            <w:r>
                              <w:rPr>
                                <w:rFonts w:ascii="Times New Roman" w:eastAsia="Times New Roman" w:hAnsi="Times New Roman" w:cs="Times New Roman"/>
                                <w:color w:val="000000"/>
                                <w:sz w:val="16"/>
                                <w:szCs w:val="16"/>
                              </w:rPr>
                              <w:t>Estibogluconato sódico*</w:t>
                            </w:r>
                          </w:p>
                        </w:tc>
                        <w:tc>
                          <w:tcPr>
                            <w:tcW w:w="3149" w:type="dxa"/>
                            <w:shd w:val="clear" w:color="auto" w:fill="FFFFFF"/>
                            <w:vAlign w:val="bottom"/>
                          </w:tcPr>
                          <w:p w14:paraId="5C32AF80" w14:textId="77777777" w:rsidR="00924992" w:rsidRDefault="00924992">
                            <w:pPr>
                              <w:pStyle w:val="Other0"/>
                              <w:spacing w:line="240" w:lineRule="auto"/>
                              <w:ind w:firstLine="340"/>
                              <w:rPr>
                                <w:sz w:val="16"/>
                                <w:szCs w:val="16"/>
                              </w:rPr>
                            </w:pPr>
                            <w:r>
                              <w:rPr>
                                <w:rFonts w:ascii="Times New Roman" w:eastAsia="Times New Roman" w:hAnsi="Times New Roman" w:cs="Times New Roman"/>
                                <w:color w:val="000000"/>
                                <w:sz w:val="16"/>
                                <w:szCs w:val="16"/>
                              </w:rPr>
                              <w:t xml:space="preserve">20 mg Sb/kg/día IV o IM </w:t>
                            </w:r>
                            <w:r>
                              <w:rPr>
                                <w:color w:val="000000"/>
                              </w:rPr>
                              <w:t xml:space="preserve">x </w:t>
                            </w:r>
                            <w:r>
                              <w:rPr>
                                <w:rFonts w:ascii="Times New Roman" w:eastAsia="Times New Roman" w:hAnsi="Times New Roman" w:cs="Times New Roman"/>
                                <w:color w:val="000000"/>
                                <w:sz w:val="16"/>
                                <w:szCs w:val="16"/>
                              </w:rPr>
                              <w:t>20-28 días</w:t>
                            </w:r>
                          </w:p>
                        </w:tc>
                        <w:tc>
                          <w:tcPr>
                            <w:tcW w:w="2822" w:type="dxa"/>
                            <w:shd w:val="clear" w:color="auto" w:fill="FFFFFF"/>
                            <w:vAlign w:val="bottom"/>
                          </w:tcPr>
                          <w:p w14:paraId="1F83A7B4" w14:textId="77777777" w:rsidR="00924992" w:rsidRDefault="00924992">
                            <w:pPr>
                              <w:pStyle w:val="Other0"/>
                              <w:spacing w:line="240" w:lineRule="auto"/>
                              <w:ind w:firstLine="0"/>
                              <w:rPr>
                                <w:sz w:val="16"/>
                                <w:szCs w:val="16"/>
                              </w:rPr>
                            </w:pPr>
                            <w:r>
                              <w:rPr>
                                <w:rFonts w:ascii="Times New Roman" w:eastAsia="Times New Roman" w:hAnsi="Times New Roman" w:cs="Times New Roman"/>
                                <w:color w:val="000000"/>
                                <w:sz w:val="16"/>
                                <w:szCs w:val="16"/>
                              </w:rPr>
                              <w:t xml:space="preserve">20 mg Sb/kg/día IV o IM </w:t>
                            </w:r>
                            <w:r>
                              <w:rPr>
                                <w:color w:val="000000"/>
                              </w:rPr>
                              <w:t xml:space="preserve">x </w:t>
                            </w:r>
                            <w:r>
                              <w:rPr>
                                <w:rFonts w:ascii="Times New Roman" w:eastAsia="Times New Roman" w:hAnsi="Times New Roman" w:cs="Times New Roman"/>
                                <w:color w:val="000000"/>
                                <w:sz w:val="16"/>
                                <w:szCs w:val="16"/>
                              </w:rPr>
                              <w:t>20-28 días</w:t>
                            </w:r>
                            <w:r>
                              <w:rPr>
                                <w:rFonts w:ascii="Times New Roman" w:eastAsia="Times New Roman" w:hAnsi="Times New Roman" w:cs="Times New Roman"/>
                                <w:color w:val="000000"/>
                                <w:sz w:val="16"/>
                                <w:szCs w:val="16"/>
                                <w:vertAlign w:val="superscript"/>
                              </w:rPr>
                              <w:t>45</w:t>
                            </w:r>
                          </w:p>
                        </w:tc>
                      </w:tr>
                      <w:tr w:rsidR="00924992" w14:paraId="0A76D43C" w14:textId="77777777">
                        <w:tblPrEx>
                          <w:tblCellMar>
                            <w:top w:w="0" w:type="dxa"/>
                            <w:bottom w:w="0" w:type="dxa"/>
                          </w:tblCellMar>
                        </w:tblPrEx>
                        <w:trPr>
                          <w:trHeight w:hRule="exact" w:val="211"/>
                        </w:trPr>
                        <w:tc>
                          <w:tcPr>
                            <w:tcW w:w="2342" w:type="dxa"/>
                            <w:shd w:val="clear" w:color="auto" w:fill="FFFFFF"/>
                            <w:vAlign w:val="bottom"/>
                          </w:tcPr>
                          <w:p w14:paraId="6A23FF24" w14:textId="77777777" w:rsidR="00924992" w:rsidRDefault="00924992">
                            <w:pPr>
                              <w:pStyle w:val="Other0"/>
                              <w:spacing w:line="240" w:lineRule="auto"/>
                              <w:ind w:firstLine="0"/>
                              <w:rPr>
                                <w:sz w:val="16"/>
                                <w:szCs w:val="16"/>
                              </w:rPr>
                            </w:pPr>
                            <w:r>
                              <w:rPr>
                                <w:rFonts w:ascii="Times New Roman" w:eastAsia="Times New Roman" w:hAnsi="Times New Roman" w:cs="Times New Roman"/>
                                <w:b/>
                                <w:bCs/>
                                <w:color w:val="000000"/>
                                <w:sz w:val="16"/>
                                <w:szCs w:val="16"/>
                              </w:rPr>
                              <w:t>O</w:t>
                            </w:r>
                          </w:p>
                        </w:tc>
                        <w:tc>
                          <w:tcPr>
                            <w:tcW w:w="2933" w:type="dxa"/>
                            <w:shd w:val="clear" w:color="auto" w:fill="FFFFFF"/>
                            <w:vAlign w:val="bottom"/>
                          </w:tcPr>
                          <w:p w14:paraId="01FFEDC3" w14:textId="77777777" w:rsidR="00924992" w:rsidRDefault="00924992">
                            <w:pPr>
                              <w:pStyle w:val="Other0"/>
                              <w:spacing w:line="240" w:lineRule="auto"/>
                              <w:ind w:firstLine="500"/>
                              <w:rPr>
                                <w:sz w:val="16"/>
                                <w:szCs w:val="16"/>
                              </w:rPr>
                            </w:pPr>
                            <w:r>
                              <w:rPr>
                                <w:rFonts w:ascii="Times New Roman" w:eastAsia="Times New Roman" w:hAnsi="Times New Roman" w:cs="Times New Roman"/>
                                <w:color w:val="000000"/>
                                <w:sz w:val="16"/>
                                <w:szCs w:val="16"/>
                              </w:rPr>
                              <w:t>Antimoniato de meglumina*</w:t>
                            </w:r>
                          </w:p>
                        </w:tc>
                        <w:tc>
                          <w:tcPr>
                            <w:tcW w:w="3149" w:type="dxa"/>
                            <w:shd w:val="clear" w:color="auto" w:fill="FFFFFF"/>
                            <w:vAlign w:val="bottom"/>
                          </w:tcPr>
                          <w:p w14:paraId="5250F19C" w14:textId="77777777" w:rsidR="00924992" w:rsidRDefault="00924992">
                            <w:pPr>
                              <w:pStyle w:val="Other0"/>
                              <w:spacing w:line="240" w:lineRule="auto"/>
                              <w:ind w:firstLine="340"/>
                              <w:rPr>
                                <w:sz w:val="16"/>
                                <w:szCs w:val="16"/>
                              </w:rPr>
                            </w:pPr>
                            <w:r>
                              <w:rPr>
                                <w:rFonts w:ascii="Times New Roman" w:eastAsia="Times New Roman" w:hAnsi="Times New Roman" w:cs="Times New Roman"/>
                                <w:color w:val="000000"/>
                                <w:sz w:val="16"/>
                                <w:szCs w:val="16"/>
                              </w:rPr>
                              <w:t xml:space="preserve">20 mg Sb/kg/día IV o IM </w:t>
                            </w:r>
                            <w:r>
                              <w:rPr>
                                <w:color w:val="000000"/>
                              </w:rPr>
                              <w:t xml:space="preserve">x </w:t>
                            </w:r>
                            <w:r>
                              <w:rPr>
                                <w:rFonts w:ascii="Times New Roman" w:eastAsia="Times New Roman" w:hAnsi="Times New Roman" w:cs="Times New Roman"/>
                                <w:color w:val="000000"/>
                                <w:sz w:val="16"/>
                                <w:szCs w:val="16"/>
                              </w:rPr>
                              <w:t>20-27 días</w:t>
                            </w:r>
                            <w:r>
                              <w:rPr>
                                <w:rFonts w:ascii="Times New Roman" w:eastAsia="Times New Roman" w:hAnsi="Times New Roman" w:cs="Times New Roman"/>
                                <w:color w:val="000000"/>
                                <w:sz w:val="16"/>
                                <w:szCs w:val="16"/>
                                <w:vertAlign w:val="superscript"/>
                              </w:rPr>
                              <w:t>45</w:t>
                            </w:r>
                          </w:p>
                        </w:tc>
                        <w:tc>
                          <w:tcPr>
                            <w:tcW w:w="2822" w:type="dxa"/>
                            <w:shd w:val="clear" w:color="auto" w:fill="FFFFFF"/>
                            <w:vAlign w:val="bottom"/>
                          </w:tcPr>
                          <w:p w14:paraId="0651C81E" w14:textId="77777777" w:rsidR="00924992" w:rsidRDefault="00924992">
                            <w:pPr>
                              <w:pStyle w:val="Other0"/>
                              <w:spacing w:line="240" w:lineRule="auto"/>
                              <w:ind w:firstLine="0"/>
                              <w:rPr>
                                <w:sz w:val="16"/>
                                <w:szCs w:val="16"/>
                              </w:rPr>
                            </w:pPr>
                            <w:r>
                              <w:rPr>
                                <w:rFonts w:ascii="Times New Roman" w:eastAsia="Times New Roman" w:hAnsi="Times New Roman" w:cs="Times New Roman"/>
                                <w:color w:val="000000"/>
                                <w:sz w:val="16"/>
                                <w:szCs w:val="16"/>
                              </w:rPr>
                              <w:t xml:space="preserve">20 mg Sb/kg/día IV o IM </w:t>
                            </w:r>
                            <w:r>
                              <w:rPr>
                                <w:color w:val="000000"/>
                              </w:rPr>
                              <w:t xml:space="preserve">x </w:t>
                            </w:r>
                            <w:r>
                              <w:rPr>
                                <w:rFonts w:ascii="Times New Roman" w:eastAsia="Times New Roman" w:hAnsi="Times New Roman" w:cs="Times New Roman"/>
                                <w:color w:val="000000"/>
                                <w:sz w:val="16"/>
                                <w:szCs w:val="16"/>
                              </w:rPr>
                              <w:t>20-28 días</w:t>
                            </w:r>
                            <w:r>
                              <w:rPr>
                                <w:rFonts w:ascii="Times New Roman" w:eastAsia="Times New Roman" w:hAnsi="Times New Roman" w:cs="Times New Roman"/>
                                <w:color w:val="000000"/>
                                <w:sz w:val="16"/>
                                <w:szCs w:val="16"/>
                                <w:vertAlign w:val="superscript"/>
                              </w:rPr>
                              <w:t>45</w:t>
                            </w:r>
                          </w:p>
                        </w:tc>
                      </w:tr>
                      <w:tr w:rsidR="00924992" w14:paraId="7241318C" w14:textId="77777777">
                        <w:tblPrEx>
                          <w:tblCellMar>
                            <w:top w:w="0" w:type="dxa"/>
                            <w:bottom w:w="0" w:type="dxa"/>
                          </w:tblCellMar>
                        </w:tblPrEx>
                        <w:trPr>
                          <w:trHeight w:hRule="exact" w:val="216"/>
                        </w:trPr>
                        <w:tc>
                          <w:tcPr>
                            <w:tcW w:w="2342" w:type="dxa"/>
                            <w:shd w:val="clear" w:color="auto" w:fill="FFFFFF"/>
                            <w:vAlign w:val="bottom"/>
                          </w:tcPr>
                          <w:p w14:paraId="0BB8B128" w14:textId="77777777" w:rsidR="00924992" w:rsidRDefault="00924992">
                            <w:pPr>
                              <w:pStyle w:val="Other0"/>
                              <w:spacing w:line="240" w:lineRule="auto"/>
                              <w:ind w:firstLine="0"/>
                              <w:rPr>
                                <w:sz w:val="16"/>
                                <w:szCs w:val="16"/>
                              </w:rPr>
                            </w:pPr>
                            <w:r>
                              <w:rPr>
                                <w:rFonts w:ascii="Times New Roman" w:eastAsia="Times New Roman" w:hAnsi="Times New Roman" w:cs="Times New Roman"/>
                                <w:b/>
                                <w:bCs/>
                                <w:color w:val="000000"/>
                                <w:sz w:val="16"/>
                                <w:szCs w:val="16"/>
                              </w:rPr>
                              <w:t>O</w:t>
                            </w:r>
                          </w:p>
                        </w:tc>
                        <w:tc>
                          <w:tcPr>
                            <w:tcW w:w="2933" w:type="dxa"/>
                            <w:shd w:val="clear" w:color="auto" w:fill="FFFFFF"/>
                            <w:vAlign w:val="bottom"/>
                          </w:tcPr>
                          <w:p w14:paraId="4770F737" w14:textId="77777777" w:rsidR="00924992" w:rsidRDefault="00924992">
                            <w:pPr>
                              <w:pStyle w:val="Other0"/>
                              <w:spacing w:line="240" w:lineRule="auto"/>
                              <w:ind w:firstLine="500"/>
                              <w:rPr>
                                <w:sz w:val="16"/>
                                <w:szCs w:val="16"/>
                              </w:rPr>
                            </w:pPr>
                            <w:r>
                              <w:rPr>
                                <w:rFonts w:ascii="Times New Roman" w:eastAsia="Times New Roman" w:hAnsi="Times New Roman" w:cs="Times New Roman"/>
                                <w:color w:val="000000"/>
                                <w:sz w:val="16"/>
                                <w:szCs w:val="16"/>
                              </w:rPr>
                              <w:t>Anfotericina B</w:t>
                            </w:r>
                            <w:r>
                              <w:rPr>
                                <w:rFonts w:ascii="Times New Roman" w:eastAsia="Times New Roman" w:hAnsi="Times New Roman" w:cs="Times New Roman"/>
                                <w:color w:val="000000"/>
                                <w:sz w:val="16"/>
                                <w:szCs w:val="16"/>
                                <w:vertAlign w:val="superscript"/>
                              </w:rPr>
                              <w:t>3</w:t>
                            </w:r>
                          </w:p>
                        </w:tc>
                        <w:tc>
                          <w:tcPr>
                            <w:tcW w:w="3149" w:type="dxa"/>
                            <w:shd w:val="clear" w:color="auto" w:fill="FFFFFF"/>
                            <w:vAlign w:val="bottom"/>
                          </w:tcPr>
                          <w:p w14:paraId="53C8CED9" w14:textId="77777777" w:rsidR="00924992" w:rsidRDefault="00924992">
                            <w:pPr>
                              <w:pStyle w:val="Other0"/>
                              <w:spacing w:line="240" w:lineRule="auto"/>
                              <w:ind w:firstLine="340"/>
                              <w:rPr>
                                <w:sz w:val="16"/>
                                <w:szCs w:val="16"/>
                              </w:rPr>
                            </w:pPr>
                            <w:r>
                              <w:rPr>
                                <w:rFonts w:ascii="Times New Roman" w:eastAsia="Times New Roman" w:hAnsi="Times New Roman" w:cs="Times New Roman"/>
                                <w:color w:val="000000"/>
                                <w:sz w:val="16"/>
                                <w:szCs w:val="16"/>
                              </w:rPr>
                              <w:t>0.5 a 1 mg/kg IV diariamente o cada</w:t>
                            </w:r>
                          </w:p>
                        </w:tc>
                        <w:tc>
                          <w:tcPr>
                            <w:tcW w:w="2822" w:type="dxa"/>
                            <w:shd w:val="clear" w:color="auto" w:fill="FFFFFF"/>
                            <w:vAlign w:val="bottom"/>
                          </w:tcPr>
                          <w:p w14:paraId="59B43AD0" w14:textId="77777777" w:rsidR="00924992" w:rsidRDefault="00924992">
                            <w:pPr>
                              <w:pStyle w:val="Other0"/>
                              <w:spacing w:line="240" w:lineRule="auto"/>
                              <w:ind w:firstLine="0"/>
                              <w:rPr>
                                <w:sz w:val="16"/>
                                <w:szCs w:val="16"/>
                              </w:rPr>
                            </w:pPr>
                            <w:r>
                              <w:rPr>
                                <w:rFonts w:ascii="Times New Roman" w:eastAsia="Times New Roman" w:hAnsi="Times New Roman" w:cs="Times New Roman"/>
                                <w:color w:val="000000"/>
                                <w:sz w:val="16"/>
                                <w:szCs w:val="16"/>
                              </w:rPr>
                              <w:t>0.5 a 1 mg/kg IV diariamente o cada</w:t>
                            </w:r>
                          </w:p>
                        </w:tc>
                      </w:tr>
                      <w:tr w:rsidR="00924992" w14:paraId="3685C9E9" w14:textId="77777777">
                        <w:tblPrEx>
                          <w:tblCellMar>
                            <w:top w:w="0" w:type="dxa"/>
                            <w:bottom w:w="0" w:type="dxa"/>
                          </w:tblCellMar>
                        </w:tblPrEx>
                        <w:trPr>
                          <w:trHeight w:hRule="exact" w:val="221"/>
                        </w:trPr>
                        <w:tc>
                          <w:tcPr>
                            <w:tcW w:w="2342" w:type="dxa"/>
                            <w:shd w:val="clear" w:color="auto" w:fill="FFFFFF"/>
                          </w:tcPr>
                          <w:p w14:paraId="4A16CEF4" w14:textId="77777777" w:rsidR="00924992" w:rsidRDefault="00924992">
                            <w:pPr>
                              <w:rPr>
                                <w:sz w:val="10"/>
                                <w:szCs w:val="10"/>
                              </w:rPr>
                            </w:pPr>
                          </w:p>
                        </w:tc>
                        <w:tc>
                          <w:tcPr>
                            <w:tcW w:w="2933" w:type="dxa"/>
                            <w:shd w:val="clear" w:color="auto" w:fill="FFFFFF"/>
                          </w:tcPr>
                          <w:p w14:paraId="680E53A9" w14:textId="77777777" w:rsidR="00924992" w:rsidRDefault="00924992">
                            <w:pPr>
                              <w:rPr>
                                <w:sz w:val="10"/>
                                <w:szCs w:val="10"/>
                              </w:rPr>
                            </w:pPr>
                          </w:p>
                        </w:tc>
                        <w:tc>
                          <w:tcPr>
                            <w:tcW w:w="3149" w:type="dxa"/>
                            <w:shd w:val="clear" w:color="auto" w:fill="FFFFFF"/>
                            <w:vAlign w:val="bottom"/>
                          </w:tcPr>
                          <w:p w14:paraId="08AC5F40" w14:textId="77777777" w:rsidR="00924992" w:rsidRDefault="00924992">
                            <w:pPr>
                              <w:pStyle w:val="Other0"/>
                              <w:spacing w:line="240" w:lineRule="auto"/>
                              <w:ind w:firstLine="460"/>
                              <w:rPr>
                                <w:sz w:val="16"/>
                                <w:szCs w:val="16"/>
                              </w:rPr>
                            </w:pPr>
                            <w:r>
                              <w:rPr>
                                <w:rFonts w:ascii="Times New Roman" w:eastAsia="Times New Roman" w:hAnsi="Times New Roman" w:cs="Times New Roman"/>
                                <w:color w:val="000000"/>
                                <w:sz w:val="16"/>
                                <w:szCs w:val="16"/>
                              </w:rPr>
                              <w:t>2 días, incluso por 8 semanas</w:t>
                            </w:r>
                          </w:p>
                        </w:tc>
                        <w:tc>
                          <w:tcPr>
                            <w:tcW w:w="2822" w:type="dxa"/>
                            <w:shd w:val="clear" w:color="auto" w:fill="FFFFFF"/>
                            <w:vAlign w:val="bottom"/>
                          </w:tcPr>
                          <w:p w14:paraId="57CEE075" w14:textId="77777777" w:rsidR="00924992" w:rsidRDefault="00924992">
                            <w:pPr>
                              <w:pStyle w:val="Other0"/>
                              <w:spacing w:line="240" w:lineRule="auto"/>
                              <w:ind w:firstLine="180"/>
                              <w:rPr>
                                <w:sz w:val="16"/>
                                <w:szCs w:val="16"/>
                              </w:rPr>
                            </w:pPr>
                            <w:r>
                              <w:rPr>
                                <w:rFonts w:ascii="Times New Roman" w:eastAsia="Times New Roman" w:hAnsi="Times New Roman" w:cs="Times New Roman"/>
                                <w:color w:val="000000"/>
                                <w:sz w:val="16"/>
                                <w:szCs w:val="16"/>
                              </w:rPr>
                              <w:t>2 días, incluso por 8 semanas</w:t>
                            </w:r>
                          </w:p>
                        </w:tc>
                      </w:tr>
                      <w:tr w:rsidR="00924992" w14:paraId="1211E608" w14:textId="77777777">
                        <w:tblPrEx>
                          <w:tblCellMar>
                            <w:top w:w="0" w:type="dxa"/>
                            <w:bottom w:w="0" w:type="dxa"/>
                          </w:tblCellMar>
                        </w:tblPrEx>
                        <w:trPr>
                          <w:trHeight w:hRule="exact" w:val="235"/>
                        </w:trPr>
                        <w:tc>
                          <w:tcPr>
                            <w:tcW w:w="2342" w:type="dxa"/>
                            <w:shd w:val="clear" w:color="auto" w:fill="FFFFFF"/>
                            <w:vAlign w:val="bottom"/>
                          </w:tcPr>
                          <w:p w14:paraId="459FCE94" w14:textId="77777777" w:rsidR="00924992" w:rsidRDefault="00924992">
                            <w:pPr>
                              <w:pStyle w:val="Other0"/>
                              <w:spacing w:line="240" w:lineRule="auto"/>
                              <w:ind w:firstLine="0"/>
                              <w:rPr>
                                <w:sz w:val="16"/>
                                <w:szCs w:val="16"/>
                              </w:rPr>
                            </w:pPr>
                            <w:r>
                              <w:rPr>
                                <w:rFonts w:ascii="Times New Roman" w:eastAsia="Times New Roman" w:hAnsi="Times New Roman" w:cs="Times New Roman"/>
                                <w:b/>
                                <w:bCs/>
                                <w:color w:val="000000"/>
                                <w:sz w:val="16"/>
                                <w:szCs w:val="16"/>
                              </w:rPr>
                              <w:t>O</w:t>
                            </w:r>
                          </w:p>
                        </w:tc>
                        <w:tc>
                          <w:tcPr>
                            <w:tcW w:w="2933" w:type="dxa"/>
                            <w:shd w:val="clear" w:color="auto" w:fill="FFFFFF"/>
                            <w:vAlign w:val="bottom"/>
                          </w:tcPr>
                          <w:p w14:paraId="1EC4E2ED" w14:textId="77777777" w:rsidR="00924992" w:rsidRDefault="00924992">
                            <w:pPr>
                              <w:pStyle w:val="Other0"/>
                              <w:spacing w:line="240" w:lineRule="auto"/>
                              <w:ind w:firstLine="500"/>
                              <w:rPr>
                                <w:sz w:val="16"/>
                                <w:szCs w:val="16"/>
                              </w:rPr>
                            </w:pPr>
                            <w:r>
                              <w:rPr>
                                <w:rFonts w:ascii="Times New Roman" w:eastAsia="Times New Roman" w:hAnsi="Times New Roman" w:cs="Times New Roman"/>
                                <w:color w:val="000000"/>
                                <w:sz w:val="16"/>
                                <w:szCs w:val="16"/>
                              </w:rPr>
                              <w:t>Anfotericina B en liposomas</w:t>
                            </w:r>
                            <w:r>
                              <w:rPr>
                                <w:rFonts w:ascii="Times New Roman" w:eastAsia="Times New Roman" w:hAnsi="Times New Roman" w:cs="Times New Roman"/>
                                <w:color w:val="000000"/>
                                <w:sz w:val="16"/>
                                <w:szCs w:val="16"/>
                                <w:vertAlign w:val="superscript"/>
                              </w:rPr>
                              <w:t>46</w:t>
                            </w:r>
                          </w:p>
                        </w:tc>
                        <w:tc>
                          <w:tcPr>
                            <w:tcW w:w="3149" w:type="dxa"/>
                            <w:shd w:val="clear" w:color="auto" w:fill="FFFFFF"/>
                            <w:vAlign w:val="bottom"/>
                          </w:tcPr>
                          <w:p w14:paraId="02426BCD" w14:textId="77777777" w:rsidR="00924992" w:rsidRDefault="00924992">
                            <w:pPr>
                              <w:pStyle w:val="Other0"/>
                              <w:spacing w:line="240" w:lineRule="auto"/>
                              <w:ind w:firstLine="340"/>
                              <w:rPr>
                                <w:sz w:val="16"/>
                                <w:szCs w:val="16"/>
                              </w:rPr>
                            </w:pPr>
                            <w:r>
                              <w:rPr>
                                <w:rFonts w:ascii="Times New Roman" w:eastAsia="Times New Roman" w:hAnsi="Times New Roman" w:cs="Times New Roman"/>
                                <w:color w:val="000000"/>
                                <w:sz w:val="16"/>
                                <w:szCs w:val="16"/>
                              </w:rPr>
                              <w:t>3 mg/kg/día (días 1-5) y 3 mg/kg/día</w:t>
                            </w:r>
                          </w:p>
                        </w:tc>
                        <w:tc>
                          <w:tcPr>
                            <w:tcW w:w="2822" w:type="dxa"/>
                            <w:shd w:val="clear" w:color="auto" w:fill="FFFFFF"/>
                            <w:vAlign w:val="bottom"/>
                          </w:tcPr>
                          <w:p w14:paraId="492E58CF" w14:textId="77777777" w:rsidR="00924992" w:rsidRDefault="00924992">
                            <w:pPr>
                              <w:pStyle w:val="Other0"/>
                              <w:spacing w:line="240" w:lineRule="auto"/>
                              <w:ind w:firstLine="0"/>
                              <w:rPr>
                                <w:sz w:val="16"/>
                                <w:szCs w:val="16"/>
                              </w:rPr>
                            </w:pPr>
                            <w:r>
                              <w:rPr>
                                <w:rFonts w:ascii="Times New Roman" w:eastAsia="Times New Roman" w:hAnsi="Times New Roman" w:cs="Times New Roman"/>
                                <w:color w:val="000000"/>
                                <w:sz w:val="16"/>
                                <w:szCs w:val="16"/>
                              </w:rPr>
                              <w:t>3 mg/kg/día (días 1-5) y 3 mg/kg/día</w:t>
                            </w:r>
                          </w:p>
                        </w:tc>
                      </w:tr>
                      <w:tr w:rsidR="00924992" w14:paraId="6760CCB3" w14:textId="77777777">
                        <w:tblPrEx>
                          <w:tblCellMar>
                            <w:top w:w="0" w:type="dxa"/>
                            <w:bottom w:w="0" w:type="dxa"/>
                          </w:tblCellMar>
                        </w:tblPrEx>
                        <w:trPr>
                          <w:trHeight w:hRule="exact" w:val="202"/>
                        </w:trPr>
                        <w:tc>
                          <w:tcPr>
                            <w:tcW w:w="2342" w:type="dxa"/>
                            <w:shd w:val="clear" w:color="auto" w:fill="FFFFFF"/>
                          </w:tcPr>
                          <w:p w14:paraId="53B26971" w14:textId="77777777" w:rsidR="00924992" w:rsidRDefault="00924992">
                            <w:pPr>
                              <w:rPr>
                                <w:sz w:val="10"/>
                                <w:szCs w:val="10"/>
                              </w:rPr>
                            </w:pPr>
                          </w:p>
                        </w:tc>
                        <w:tc>
                          <w:tcPr>
                            <w:tcW w:w="2933" w:type="dxa"/>
                            <w:shd w:val="clear" w:color="auto" w:fill="FFFFFF"/>
                          </w:tcPr>
                          <w:p w14:paraId="7E83F827" w14:textId="77777777" w:rsidR="00924992" w:rsidRDefault="00924992">
                            <w:pPr>
                              <w:rPr>
                                <w:sz w:val="10"/>
                                <w:szCs w:val="10"/>
                              </w:rPr>
                            </w:pPr>
                          </w:p>
                        </w:tc>
                        <w:tc>
                          <w:tcPr>
                            <w:tcW w:w="3149" w:type="dxa"/>
                            <w:shd w:val="clear" w:color="auto" w:fill="FFFFFF"/>
                          </w:tcPr>
                          <w:p w14:paraId="27D3E3C9" w14:textId="77777777" w:rsidR="00924992" w:rsidRDefault="00924992">
                            <w:pPr>
                              <w:pStyle w:val="Other0"/>
                              <w:spacing w:line="240" w:lineRule="auto"/>
                              <w:ind w:firstLine="460"/>
                              <w:rPr>
                                <w:sz w:val="16"/>
                                <w:szCs w:val="16"/>
                              </w:rPr>
                            </w:pPr>
                            <w:r>
                              <w:rPr>
                                <w:rFonts w:ascii="Times New Roman" w:eastAsia="Times New Roman" w:hAnsi="Times New Roman" w:cs="Times New Roman"/>
                                <w:color w:val="000000"/>
                                <w:sz w:val="16"/>
                                <w:szCs w:val="16"/>
                              </w:rPr>
                              <w:t>días 14, 21</w:t>
                            </w:r>
                            <w:r>
                              <w:rPr>
                                <w:rFonts w:ascii="Times New Roman" w:eastAsia="Times New Roman" w:hAnsi="Times New Roman" w:cs="Times New Roman"/>
                                <w:color w:val="000000"/>
                                <w:sz w:val="16"/>
                                <w:szCs w:val="16"/>
                                <w:vertAlign w:val="superscript"/>
                              </w:rPr>
                              <w:t>47</w:t>
                            </w:r>
                          </w:p>
                        </w:tc>
                        <w:tc>
                          <w:tcPr>
                            <w:tcW w:w="2822" w:type="dxa"/>
                            <w:shd w:val="clear" w:color="auto" w:fill="FFFFFF"/>
                          </w:tcPr>
                          <w:p w14:paraId="06D653FD" w14:textId="77777777" w:rsidR="00924992" w:rsidRDefault="00924992">
                            <w:pPr>
                              <w:pStyle w:val="Other0"/>
                              <w:spacing w:line="240" w:lineRule="auto"/>
                              <w:ind w:firstLine="180"/>
                              <w:rPr>
                                <w:sz w:val="16"/>
                                <w:szCs w:val="16"/>
                              </w:rPr>
                            </w:pPr>
                            <w:r>
                              <w:rPr>
                                <w:rFonts w:ascii="Times New Roman" w:eastAsia="Times New Roman" w:hAnsi="Times New Roman" w:cs="Times New Roman"/>
                                <w:color w:val="000000"/>
                                <w:sz w:val="16"/>
                                <w:szCs w:val="16"/>
                              </w:rPr>
                              <w:t>días 14, 21</w:t>
                            </w:r>
                            <w:r>
                              <w:rPr>
                                <w:rFonts w:ascii="Times New Roman" w:eastAsia="Times New Roman" w:hAnsi="Times New Roman" w:cs="Times New Roman"/>
                                <w:color w:val="000000"/>
                                <w:sz w:val="16"/>
                                <w:szCs w:val="16"/>
                                <w:vertAlign w:val="superscript"/>
                              </w:rPr>
                              <w:t>47</w:t>
                            </w:r>
                          </w:p>
                        </w:tc>
                      </w:tr>
                      <w:tr w:rsidR="00924992" w14:paraId="24CB7B46" w14:textId="77777777">
                        <w:tblPrEx>
                          <w:tblCellMar>
                            <w:top w:w="0" w:type="dxa"/>
                            <w:bottom w:w="0" w:type="dxa"/>
                          </w:tblCellMar>
                        </w:tblPrEx>
                        <w:trPr>
                          <w:trHeight w:hRule="exact" w:val="221"/>
                        </w:trPr>
                        <w:tc>
                          <w:tcPr>
                            <w:tcW w:w="2342" w:type="dxa"/>
                            <w:shd w:val="clear" w:color="auto" w:fill="FFFFFF"/>
                            <w:vAlign w:val="bottom"/>
                          </w:tcPr>
                          <w:p w14:paraId="0799ED49" w14:textId="77777777" w:rsidR="00924992" w:rsidRDefault="00924992">
                            <w:pPr>
                              <w:pStyle w:val="Other0"/>
                              <w:spacing w:line="240" w:lineRule="auto"/>
                              <w:ind w:firstLine="0"/>
                              <w:rPr>
                                <w:sz w:val="16"/>
                                <w:szCs w:val="16"/>
                              </w:rPr>
                            </w:pPr>
                            <w:r>
                              <w:rPr>
                                <w:rFonts w:ascii="Times New Roman" w:eastAsia="Times New Roman" w:hAnsi="Times New Roman" w:cs="Times New Roman"/>
                                <w:color w:val="000000"/>
                                <w:sz w:val="16"/>
                                <w:szCs w:val="16"/>
                              </w:rPr>
                              <w:t>Fármacos alternativos:</w:t>
                            </w:r>
                          </w:p>
                        </w:tc>
                        <w:tc>
                          <w:tcPr>
                            <w:tcW w:w="2933" w:type="dxa"/>
                            <w:shd w:val="clear" w:color="auto" w:fill="FFFFFF"/>
                            <w:vAlign w:val="bottom"/>
                          </w:tcPr>
                          <w:p w14:paraId="3730BF78" w14:textId="77777777" w:rsidR="00924992" w:rsidRDefault="00924992">
                            <w:pPr>
                              <w:pStyle w:val="Other0"/>
                              <w:spacing w:line="240" w:lineRule="auto"/>
                              <w:ind w:firstLine="500"/>
                              <w:rPr>
                                <w:sz w:val="16"/>
                                <w:szCs w:val="16"/>
                              </w:rPr>
                            </w:pPr>
                            <w:r>
                              <w:rPr>
                                <w:rFonts w:ascii="Times New Roman" w:eastAsia="Times New Roman" w:hAnsi="Times New Roman" w:cs="Times New Roman"/>
                                <w:color w:val="000000"/>
                                <w:sz w:val="16"/>
                                <w:szCs w:val="16"/>
                              </w:rPr>
                              <w:t>Pentamidina</w:t>
                            </w:r>
                          </w:p>
                        </w:tc>
                        <w:tc>
                          <w:tcPr>
                            <w:tcW w:w="3149" w:type="dxa"/>
                            <w:shd w:val="clear" w:color="auto" w:fill="FFFFFF"/>
                            <w:vAlign w:val="bottom"/>
                          </w:tcPr>
                          <w:p w14:paraId="642E300A" w14:textId="77777777" w:rsidR="00924992" w:rsidRDefault="00924992">
                            <w:pPr>
                              <w:pStyle w:val="Other0"/>
                              <w:spacing w:line="240" w:lineRule="auto"/>
                              <w:ind w:firstLine="340"/>
                              <w:rPr>
                                <w:sz w:val="16"/>
                                <w:szCs w:val="16"/>
                              </w:rPr>
                            </w:pPr>
                            <w:r>
                              <w:rPr>
                                <w:rFonts w:ascii="Times New Roman" w:eastAsia="Times New Roman" w:hAnsi="Times New Roman" w:cs="Times New Roman"/>
                                <w:color w:val="000000"/>
                                <w:sz w:val="16"/>
                                <w:szCs w:val="16"/>
                              </w:rPr>
                              <w:t>2-4 mg/kg diario o cada 2 días IV</w:t>
                            </w:r>
                          </w:p>
                        </w:tc>
                        <w:tc>
                          <w:tcPr>
                            <w:tcW w:w="2822" w:type="dxa"/>
                            <w:shd w:val="clear" w:color="auto" w:fill="FFFFFF"/>
                            <w:vAlign w:val="bottom"/>
                          </w:tcPr>
                          <w:p w14:paraId="5AF5DA7B" w14:textId="77777777" w:rsidR="00924992" w:rsidRDefault="00924992">
                            <w:pPr>
                              <w:pStyle w:val="Other0"/>
                              <w:spacing w:line="240" w:lineRule="auto"/>
                              <w:ind w:firstLine="0"/>
                              <w:rPr>
                                <w:sz w:val="16"/>
                                <w:szCs w:val="16"/>
                              </w:rPr>
                            </w:pPr>
                            <w:r>
                              <w:rPr>
                                <w:rFonts w:ascii="Times New Roman" w:eastAsia="Times New Roman" w:hAnsi="Times New Roman" w:cs="Times New Roman"/>
                                <w:color w:val="000000"/>
                                <w:sz w:val="16"/>
                                <w:szCs w:val="16"/>
                              </w:rPr>
                              <w:t>2-4 mg/kg diario o cada 2 días IV o</w:t>
                            </w:r>
                          </w:p>
                        </w:tc>
                      </w:tr>
                      <w:tr w:rsidR="00924992" w14:paraId="7CC96832" w14:textId="77777777">
                        <w:tblPrEx>
                          <w:tblCellMar>
                            <w:top w:w="0" w:type="dxa"/>
                            <w:bottom w:w="0" w:type="dxa"/>
                          </w:tblCellMar>
                        </w:tblPrEx>
                        <w:trPr>
                          <w:trHeight w:hRule="exact" w:val="230"/>
                        </w:trPr>
                        <w:tc>
                          <w:tcPr>
                            <w:tcW w:w="2342" w:type="dxa"/>
                            <w:shd w:val="clear" w:color="auto" w:fill="FFFFFF"/>
                          </w:tcPr>
                          <w:p w14:paraId="2D44F70F" w14:textId="77777777" w:rsidR="00924992" w:rsidRDefault="00924992">
                            <w:pPr>
                              <w:rPr>
                                <w:sz w:val="10"/>
                                <w:szCs w:val="10"/>
                              </w:rPr>
                            </w:pPr>
                          </w:p>
                        </w:tc>
                        <w:tc>
                          <w:tcPr>
                            <w:tcW w:w="2933" w:type="dxa"/>
                            <w:shd w:val="clear" w:color="auto" w:fill="FFFFFF"/>
                          </w:tcPr>
                          <w:p w14:paraId="49C6D0FE" w14:textId="77777777" w:rsidR="00924992" w:rsidRDefault="00924992">
                            <w:pPr>
                              <w:rPr>
                                <w:sz w:val="10"/>
                                <w:szCs w:val="10"/>
                              </w:rPr>
                            </w:pPr>
                          </w:p>
                        </w:tc>
                        <w:tc>
                          <w:tcPr>
                            <w:tcW w:w="3149" w:type="dxa"/>
                            <w:shd w:val="clear" w:color="auto" w:fill="FFFFFF"/>
                            <w:vAlign w:val="bottom"/>
                          </w:tcPr>
                          <w:p w14:paraId="6B4C723E" w14:textId="77777777" w:rsidR="00924992" w:rsidRDefault="00924992">
                            <w:pPr>
                              <w:pStyle w:val="Other0"/>
                              <w:spacing w:line="240" w:lineRule="auto"/>
                              <w:ind w:firstLine="460"/>
                              <w:rPr>
                                <w:sz w:val="16"/>
                                <w:szCs w:val="16"/>
                              </w:rPr>
                            </w:pPr>
                            <w:r>
                              <w:rPr>
                                <w:rFonts w:ascii="Times New Roman" w:eastAsia="Times New Roman" w:hAnsi="Times New Roman" w:cs="Times New Roman"/>
                                <w:color w:val="000000"/>
                                <w:sz w:val="16"/>
                                <w:szCs w:val="16"/>
                              </w:rPr>
                              <w:t>o IM por un total de 15 dosis</w:t>
                            </w:r>
                            <w:r>
                              <w:rPr>
                                <w:rFonts w:ascii="Times New Roman" w:eastAsia="Times New Roman" w:hAnsi="Times New Roman" w:cs="Times New Roman"/>
                                <w:color w:val="000000"/>
                                <w:sz w:val="16"/>
                                <w:szCs w:val="16"/>
                                <w:vertAlign w:val="superscript"/>
                              </w:rPr>
                              <w:t>48</w:t>
                            </w:r>
                          </w:p>
                        </w:tc>
                        <w:tc>
                          <w:tcPr>
                            <w:tcW w:w="2822" w:type="dxa"/>
                            <w:shd w:val="clear" w:color="auto" w:fill="FFFFFF"/>
                            <w:vAlign w:val="bottom"/>
                          </w:tcPr>
                          <w:p w14:paraId="6EC7A9C9" w14:textId="77777777" w:rsidR="00924992" w:rsidRDefault="00924992">
                            <w:pPr>
                              <w:pStyle w:val="Other0"/>
                              <w:spacing w:line="240" w:lineRule="auto"/>
                              <w:ind w:firstLine="180"/>
                              <w:rPr>
                                <w:sz w:val="16"/>
                                <w:szCs w:val="16"/>
                              </w:rPr>
                            </w:pPr>
                            <w:r>
                              <w:rPr>
                                <w:rFonts w:ascii="Times New Roman" w:eastAsia="Times New Roman" w:hAnsi="Times New Roman" w:cs="Times New Roman"/>
                                <w:color w:val="000000"/>
                                <w:sz w:val="16"/>
                                <w:szCs w:val="16"/>
                              </w:rPr>
                              <w:t>IM por un total de 15 dosis</w:t>
                            </w:r>
                            <w:r>
                              <w:rPr>
                                <w:rFonts w:ascii="Times New Roman" w:eastAsia="Times New Roman" w:hAnsi="Times New Roman" w:cs="Times New Roman"/>
                                <w:color w:val="000000"/>
                                <w:sz w:val="16"/>
                                <w:szCs w:val="16"/>
                                <w:vertAlign w:val="superscript"/>
                              </w:rPr>
                              <w:t>48</w:t>
                            </w:r>
                          </w:p>
                        </w:tc>
                      </w:tr>
                      <w:tr w:rsidR="00924992" w14:paraId="7D4AA269" w14:textId="77777777">
                        <w:tblPrEx>
                          <w:tblCellMar>
                            <w:top w:w="0" w:type="dxa"/>
                            <w:bottom w:w="0" w:type="dxa"/>
                          </w:tblCellMar>
                        </w:tblPrEx>
                        <w:trPr>
                          <w:trHeight w:hRule="exact" w:val="245"/>
                        </w:trPr>
                        <w:tc>
                          <w:tcPr>
                            <w:tcW w:w="2342" w:type="dxa"/>
                            <w:tcBorders>
                              <w:bottom w:val="single" w:sz="4" w:space="0" w:color="auto"/>
                            </w:tcBorders>
                            <w:shd w:val="clear" w:color="auto" w:fill="FFFFFF"/>
                          </w:tcPr>
                          <w:p w14:paraId="55AF40D2" w14:textId="77777777" w:rsidR="00924992" w:rsidRDefault="00924992">
                            <w:pPr>
                              <w:pStyle w:val="Other0"/>
                              <w:spacing w:line="240" w:lineRule="auto"/>
                              <w:ind w:firstLine="0"/>
                              <w:rPr>
                                <w:sz w:val="16"/>
                                <w:szCs w:val="16"/>
                              </w:rPr>
                            </w:pPr>
                            <w:r>
                              <w:rPr>
                                <w:rFonts w:ascii="Times New Roman" w:eastAsia="Times New Roman" w:hAnsi="Times New Roman" w:cs="Times New Roman"/>
                                <w:b/>
                                <w:bCs/>
                                <w:color w:val="000000"/>
                                <w:sz w:val="16"/>
                                <w:szCs w:val="16"/>
                              </w:rPr>
                              <w:t>O</w:t>
                            </w:r>
                          </w:p>
                        </w:tc>
                        <w:tc>
                          <w:tcPr>
                            <w:tcW w:w="2933" w:type="dxa"/>
                            <w:tcBorders>
                              <w:bottom w:val="single" w:sz="4" w:space="0" w:color="auto"/>
                            </w:tcBorders>
                            <w:shd w:val="clear" w:color="auto" w:fill="FFFFFF"/>
                          </w:tcPr>
                          <w:p w14:paraId="3F569F77" w14:textId="77777777" w:rsidR="00924992" w:rsidRDefault="00924992">
                            <w:pPr>
                              <w:pStyle w:val="Other0"/>
                              <w:spacing w:line="240" w:lineRule="auto"/>
                              <w:ind w:firstLine="500"/>
                              <w:rPr>
                                <w:sz w:val="16"/>
                                <w:szCs w:val="16"/>
                              </w:rPr>
                            </w:pPr>
                            <w:r>
                              <w:rPr>
                                <w:rFonts w:ascii="Times New Roman" w:eastAsia="Times New Roman" w:hAnsi="Times New Roman" w:cs="Times New Roman"/>
                                <w:color w:val="000000"/>
                                <w:sz w:val="16"/>
                                <w:szCs w:val="16"/>
                              </w:rPr>
                              <w:t>Paromomicina</w:t>
                            </w:r>
                            <w:r>
                              <w:rPr>
                                <w:rFonts w:ascii="Times New Roman" w:eastAsia="Times New Roman" w:hAnsi="Times New Roman" w:cs="Times New Roman"/>
                                <w:color w:val="000000"/>
                                <w:sz w:val="16"/>
                                <w:szCs w:val="16"/>
                                <w:vertAlign w:val="superscript"/>
                              </w:rPr>
                              <w:t>49</w:t>
                            </w:r>
                            <w:r>
                              <w:rPr>
                                <w:rFonts w:ascii="Times New Roman" w:eastAsia="Times New Roman" w:hAnsi="Times New Roman" w:cs="Times New Roman"/>
                                <w:color w:val="000000"/>
                                <w:sz w:val="16"/>
                                <w:szCs w:val="16"/>
                              </w:rPr>
                              <w:t>*</w:t>
                            </w:r>
                          </w:p>
                        </w:tc>
                        <w:tc>
                          <w:tcPr>
                            <w:tcW w:w="3149" w:type="dxa"/>
                            <w:tcBorders>
                              <w:bottom w:val="single" w:sz="4" w:space="0" w:color="auto"/>
                            </w:tcBorders>
                            <w:shd w:val="clear" w:color="auto" w:fill="FFFFFF"/>
                          </w:tcPr>
                          <w:p w14:paraId="793076A3" w14:textId="77777777" w:rsidR="00924992" w:rsidRDefault="00924992">
                            <w:pPr>
                              <w:pStyle w:val="Other0"/>
                              <w:spacing w:line="240" w:lineRule="auto"/>
                              <w:ind w:firstLine="340"/>
                              <w:rPr>
                                <w:sz w:val="16"/>
                                <w:szCs w:val="16"/>
                              </w:rPr>
                            </w:pPr>
                            <w:r>
                              <w:rPr>
                                <w:rFonts w:ascii="Times New Roman" w:eastAsia="Times New Roman" w:hAnsi="Times New Roman" w:cs="Times New Roman"/>
                                <w:color w:val="000000"/>
                                <w:sz w:val="16"/>
                                <w:szCs w:val="16"/>
                              </w:rPr>
                              <w:t xml:space="preserve">Aplicación tópica 2 </w:t>
                            </w:r>
                            <w:r>
                              <w:rPr>
                                <w:color w:val="000000"/>
                              </w:rPr>
                              <w:t xml:space="preserve">x </w:t>
                            </w:r>
                            <w:r>
                              <w:rPr>
                                <w:rFonts w:ascii="Times New Roman" w:eastAsia="Times New Roman" w:hAnsi="Times New Roman" w:cs="Times New Roman"/>
                                <w:color w:val="000000"/>
                                <w:sz w:val="16"/>
                                <w:szCs w:val="16"/>
                              </w:rPr>
                              <w:t xml:space="preserve">día </w:t>
                            </w:r>
                            <w:r>
                              <w:rPr>
                                <w:color w:val="000000"/>
                              </w:rPr>
                              <w:t xml:space="preserve">x </w:t>
                            </w:r>
                            <w:r>
                              <w:rPr>
                                <w:rFonts w:ascii="Times New Roman" w:eastAsia="Times New Roman" w:hAnsi="Times New Roman" w:cs="Times New Roman"/>
                                <w:color w:val="000000"/>
                                <w:sz w:val="16"/>
                                <w:szCs w:val="16"/>
                              </w:rPr>
                              <w:t>10-20 días</w:t>
                            </w:r>
                          </w:p>
                        </w:tc>
                        <w:tc>
                          <w:tcPr>
                            <w:tcW w:w="2822" w:type="dxa"/>
                            <w:tcBorders>
                              <w:bottom w:val="single" w:sz="4" w:space="0" w:color="auto"/>
                            </w:tcBorders>
                            <w:shd w:val="clear" w:color="auto" w:fill="FFFFFF"/>
                          </w:tcPr>
                          <w:p w14:paraId="53444652" w14:textId="77777777" w:rsidR="00924992" w:rsidRDefault="00924992">
                            <w:pPr>
                              <w:rPr>
                                <w:sz w:val="10"/>
                                <w:szCs w:val="10"/>
                              </w:rPr>
                            </w:pPr>
                          </w:p>
                        </w:tc>
                      </w:tr>
                    </w:tbl>
                    <w:p w14:paraId="33458231" w14:textId="77777777" w:rsidR="00924992" w:rsidRDefault="00924992">
                      <w:pPr>
                        <w:spacing w:line="1" w:lineRule="exact"/>
                      </w:pPr>
                    </w:p>
                  </w:txbxContent>
                </v:textbox>
                <w10:wrap type="topAndBottom" anchorx="page"/>
              </v:shape>
            </w:pict>
          </mc:Fallback>
        </mc:AlternateContent>
      </w:r>
      <w:r>
        <w:rPr>
          <w:noProof/>
        </w:rPr>
        <mc:AlternateContent>
          <mc:Choice Requires="wps">
            <w:drawing>
              <wp:anchor distT="0" distB="0" distL="0" distR="0" simplePos="0" relativeHeight="251794432" behindDoc="0" locked="0" layoutInCell="1" allowOverlap="1" wp14:anchorId="727AAFB1" wp14:editId="67B30712">
                <wp:simplePos x="0" y="0"/>
                <wp:positionH relativeFrom="page">
                  <wp:posOffset>426720</wp:posOffset>
                </wp:positionH>
                <wp:positionV relativeFrom="paragraph">
                  <wp:posOffset>445135</wp:posOffset>
                </wp:positionV>
                <wp:extent cx="3176270" cy="402590"/>
                <wp:effectExtent l="0" t="0" r="0" b="0"/>
                <wp:wrapNone/>
                <wp:docPr id="2412" name="Shape 2412"/>
                <wp:cNvGraphicFramePr/>
                <a:graphic xmlns:a="http://schemas.openxmlformats.org/drawingml/2006/main">
                  <a:graphicData uri="http://schemas.microsoft.com/office/word/2010/wordprocessingShape">
                    <wps:wsp>
                      <wps:cNvSpPr txBox="1"/>
                      <wps:spPr>
                        <a:xfrm>
                          <a:off x="0" y="0"/>
                          <a:ext cx="3176270" cy="402590"/>
                        </a:xfrm>
                        <a:prstGeom prst="rect">
                          <a:avLst/>
                        </a:prstGeom>
                        <a:noFill/>
                      </wps:spPr>
                      <wps:txbx>
                        <w:txbxContent>
                          <w:p w14:paraId="00E6C8E9" w14:textId="77777777" w:rsidR="00924992" w:rsidRDefault="00924992">
                            <w:pPr>
                              <w:pStyle w:val="Tablecaption0"/>
                              <w:spacing w:line="254" w:lineRule="auto"/>
                              <w:ind w:left="0"/>
                              <w:jc w:val="both"/>
                              <w:rPr>
                                <w:sz w:val="16"/>
                                <w:szCs w:val="16"/>
                              </w:rPr>
                            </w:pPr>
                            <w:r>
                              <w:rPr>
                                <w:b/>
                                <w:bCs/>
                                <w:color w:val="000000"/>
                                <w:sz w:val="16"/>
                                <w:szCs w:val="16"/>
                              </w:rPr>
                              <w:t xml:space="preserve">Hidatídico, quiste, </w:t>
                            </w:r>
                            <w:r>
                              <w:rPr>
                                <w:color w:val="000000"/>
                                <w:sz w:val="16"/>
                                <w:szCs w:val="16"/>
                              </w:rPr>
                              <w:t xml:space="preserve">véase “VERMES PLANOS (TENIAS), infección” </w:t>
                            </w:r>
                            <w:r>
                              <w:rPr>
                                <w:b/>
                                <w:bCs/>
                                <w:i/>
                                <w:iCs/>
                                <w:color w:val="000000"/>
                                <w:sz w:val="17"/>
                                <w:szCs w:val="17"/>
                              </w:rPr>
                              <w:t>Hymenolepis nana,</w:t>
                            </w:r>
                            <w:r>
                              <w:rPr>
                                <w:color w:val="000000"/>
                                <w:sz w:val="16"/>
                                <w:szCs w:val="16"/>
                              </w:rPr>
                              <w:t xml:space="preserve"> véase “VERMES PLANOS (TENIAS), infección” </w:t>
                            </w:r>
                            <w:r>
                              <w:rPr>
                                <w:b/>
                                <w:bCs/>
                                <w:color w:val="000000"/>
                                <w:sz w:val="16"/>
                                <w:szCs w:val="16"/>
                              </w:rPr>
                              <w:t xml:space="preserve">ISOSPORIASIS </w:t>
                            </w:r>
                            <w:r>
                              <w:rPr>
                                <w:i/>
                                <w:iCs/>
                                <w:color w:val="000000"/>
                                <w:sz w:val="16"/>
                                <w:szCs w:val="16"/>
                              </w:rPr>
                              <w:t>(Isospora belli)</w:t>
                            </w:r>
                          </w:p>
                        </w:txbxContent>
                      </wps:txbx>
                      <wps:bodyPr lIns="0" tIns="0" rIns="0" bIns="0"/>
                    </wps:wsp>
                  </a:graphicData>
                </a:graphic>
              </wp:anchor>
            </w:drawing>
          </mc:Choice>
          <mc:Fallback>
            <w:pict>
              <v:shape w14:anchorId="727AAFB1" id="Shape 2412" o:spid="_x0000_s1089" type="#_x0000_t202" style="position:absolute;margin-left:33.6pt;margin-top:35.05pt;width:250.1pt;height:31.7pt;z-index:25179443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" filled="f" stroked="f">
                <v:textbox inset="0,0,0,0">
                  <w:txbxContent>
                    <w:p w14:paraId="00E6C8E9" w14:textId="77777777" w:rsidR="00924992" w:rsidRDefault="00924992">
                      <w:pPr>
                        <w:pStyle w:val="Tablecaption0"/>
                        <w:spacing w:line="254" w:lineRule="auto"/>
                        <w:ind w:left="0"/>
                        <w:jc w:val="both"/>
                        <w:rPr>
                          <w:sz w:val="16"/>
                          <w:szCs w:val="16"/>
                        </w:rPr>
                      </w:pPr>
                      <w:r>
                        <w:rPr>
                          <w:b/>
                          <w:bCs/>
                          <w:color w:val="000000"/>
                          <w:sz w:val="16"/>
                          <w:szCs w:val="16"/>
                        </w:rPr>
                        <w:t xml:space="preserve">Hidatídico, quiste, </w:t>
                      </w:r>
                      <w:r>
                        <w:rPr>
                          <w:color w:val="000000"/>
                          <w:sz w:val="16"/>
                          <w:szCs w:val="16"/>
                        </w:rPr>
                        <w:t xml:space="preserve">véase “VERMES PLANOS (TENIAS), infección” </w:t>
                      </w:r>
                      <w:r>
                        <w:rPr>
                          <w:b/>
                          <w:bCs/>
                          <w:i/>
                          <w:iCs/>
                          <w:color w:val="000000"/>
                          <w:sz w:val="17"/>
                          <w:szCs w:val="17"/>
                        </w:rPr>
                        <w:t>Hymenolepis nana,</w:t>
                      </w:r>
                      <w:r>
                        <w:rPr>
                          <w:color w:val="000000"/>
                          <w:sz w:val="16"/>
                          <w:szCs w:val="16"/>
                        </w:rPr>
                        <w:t xml:space="preserve"> véase “VERMES PLANOS (TENIAS), infección” </w:t>
                      </w:r>
                      <w:r>
                        <w:rPr>
                          <w:b/>
                          <w:bCs/>
                          <w:color w:val="000000"/>
                          <w:sz w:val="16"/>
                          <w:szCs w:val="16"/>
                        </w:rPr>
                        <w:t xml:space="preserve">ISOSPORIASIS </w:t>
                      </w:r>
                      <w:r>
                        <w:rPr>
                          <w:i/>
                          <w:iCs/>
                          <w:color w:val="000000"/>
                          <w:sz w:val="16"/>
                          <w:szCs w:val="16"/>
                        </w:rPr>
                        <w:t>(Isospora belli)</w:t>
                      </w:r>
                    </w:p>
                  </w:txbxContent>
                </v:textbox>
                <w10:wrap anchorx="page"/>
              </v:shape>
            </w:pict>
          </mc:Fallback>
        </mc:AlternateContent>
      </w:r>
      <w:r>
        <w:rPr>
          <w:noProof/>
        </w:rPr>
        <mc:AlternateContent>
          <mc:Choice Requires="wps">
            <w:drawing>
              <wp:anchor distT="0" distB="0" distL="0" distR="0" simplePos="0" relativeHeight="251715584" behindDoc="0" locked="0" layoutInCell="1" allowOverlap="1" wp14:anchorId="5A231B6C" wp14:editId="0FDFEEEE">
                <wp:simplePos x="0" y="0"/>
                <wp:positionH relativeFrom="page">
                  <wp:posOffset>7867015</wp:posOffset>
                </wp:positionH>
                <wp:positionV relativeFrom="paragraph">
                  <wp:posOffset>33655</wp:posOffset>
                </wp:positionV>
                <wp:extent cx="121920" cy="2880360"/>
                <wp:effectExtent l="0" t="0" r="0" b="0"/>
                <wp:wrapSquare wrapText="bothSides"/>
                <wp:docPr id="2414" name="Shape 2414"/>
                <wp:cNvGraphicFramePr/>
                <a:graphic xmlns:a="http://schemas.openxmlformats.org/drawingml/2006/main">
                  <a:graphicData uri="http://schemas.microsoft.com/office/word/2010/wordprocessingShape">
                    <wps:wsp>
                      <wps:cNvSpPr txBox="1"/>
                      <wps:spPr>
                        <a:xfrm>
                          <a:off x="0" y="0"/>
                          <a:ext cx="121920" cy="2880360"/>
                        </a:xfrm>
                        <a:prstGeom prst="rect">
                          <a:avLst/>
                        </a:prstGeom>
                        <a:noFill/>
                      </wps:spPr>
                      <wps:txbx>
                        <w:txbxContent>
                          <w:p w14:paraId="5AD82E81" w14:textId="77777777" w:rsidR="00924992" w:rsidRDefault="00924992">
                            <w:pPr>
                              <w:pStyle w:val="Bodytext80"/>
                              <w:tabs>
                                <w:tab w:val="left" w:pos="2338"/>
                              </w:tabs>
                            </w:pPr>
                            <w:r>
                              <w:rPr>
                                <w:sz w:val="16"/>
                                <w:szCs w:val="16"/>
                              </w:rPr>
                              <w:t>792</w:t>
                            </w:r>
                            <w:r>
                              <w:rPr>
                                <w:sz w:val="16"/>
                                <w:szCs w:val="16"/>
                              </w:rPr>
                              <w:tab/>
                            </w:r>
                            <w:r>
                              <w:t>FÁRMACOS ANTIPARASITARIOS</w:t>
                            </w:r>
                          </w:p>
                        </w:txbxContent>
                      </wps:txbx>
                      <wps:bodyPr vert="vert" lIns="0" tIns="0" rIns="0" bIns="0" upright="1"/>
                    </wps:wsp>
                  </a:graphicData>
                </a:graphic>
              </wp:anchor>
            </w:drawing>
          </mc:Choice>
          <mc:Fallback>
            <w:pict>
              <v:shape w14:anchorId="5A231B6C" id="Shape 2414" o:spid="_x0000_s1090" type="#_x0000_t202" style="position:absolute;margin-left:619.45pt;margin-top:2.65pt;width:9.6pt;height:226.8pt;z-index:25171558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" filled="f" stroked="f">
                <v:textbox style="layout-flow:vertical" inset="0,0,0,0">
                  <w:txbxContent>
                    <w:p w14:paraId="5AD82E81" w14:textId="77777777" w:rsidR="00924992" w:rsidRDefault="00924992">
                      <w:pPr>
                        <w:pStyle w:val="Bodytext80"/>
                        <w:tabs>
                          <w:tab w:val="left" w:pos="2338"/>
                        </w:tabs>
                      </w:pPr>
                      <w:r>
                        <w:rPr>
                          <w:sz w:val="16"/>
                          <w:szCs w:val="16"/>
                        </w:rPr>
                        <w:t>792</w:t>
                      </w:r>
                      <w:r>
                        <w:rPr>
                          <w:sz w:val="16"/>
                          <w:szCs w:val="16"/>
                        </w:rPr>
                        <w:tab/>
                      </w:r>
                      <w:r>
                        <w:t>FÁRMACOS ANTIPARASITARIOS</w:t>
                      </w:r>
                    </w:p>
                  </w:txbxContent>
                </v:textbox>
                <w10:wrap type="square" anchorx="page"/>
              </v:shape>
            </w:pict>
          </mc:Fallback>
        </mc:AlternateContent>
      </w:r>
    </w:p>
    <w:p w14:paraId="5F8130C7" w14:textId="77777777" w:rsidR="00924992" w:rsidRDefault="00924992">
      <w:pPr>
        <w:pStyle w:val="Heading31"/>
        <w:keepNext/>
        <w:keepLines/>
        <w:spacing w:after="40"/>
        <w:jc w:val="center"/>
        <w:rPr>
          <w:sz w:val="16"/>
          <w:szCs w:val="16"/>
        </w:rPr>
      </w:pPr>
      <w:bookmarkStart w:id="585" w:name="bookmark2016"/>
      <w:bookmarkStart w:id="586" w:name="bookmark2017"/>
      <w:bookmarkStart w:id="587" w:name="bookmark2018"/>
      <w:r>
        <w:rPr>
          <w:b w:val="0"/>
          <w:bCs w:val="0"/>
          <w:color w:val="000000"/>
        </w:rPr>
        <w:t xml:space="preserve">Cuadro 4-13. </w:t>
      </w:r>
      <w:r>
        <w:rPr>
          <w:color w:val="000000"/>
        </w:rPr>
        <w:t xml:space="preserve">Fármacos antiparasitarios </w:t>
      </w:r>
      <w:r>
        <w:rPr>
          <w:rFonts w:ascii="Times New Roman" w:eastAsia="Times New Roman" w:hAnsi="Times New Roman" w:cs="Times New Roman"/>
          <w:b w:val="0"/>
          <w:bCs w:val="0"/>
          <w:i/>
          <w:iCs/>
          <w:color w:val="000000"/>
          <w:w w:val="100"/>
          <w:sz w:val="16"/>
          <w:szCs w:val="16"/>
        </w:rPr>
        <w:t>continuación</w:t>
      </w:r>
      <w:bookmarkEnd w:id="585"/>
      <w:bookmarkEnd w:id="586"/>
      <w:bookmarkEnd w:id="587"/>
    </w:p>
    <w:p w14:paraId="7A3919F5" w14:textId="77777777" w:rsidR="00924992" w:rsidRDefault="00924992">
      <w:pPr>
        <w:pStyle w:val="Heading41"/>
        <w:keepNext/>
        <w:keepLines/>
        <w:pBdr>
          <w:top w:val="single" w:sz="0" w:space="0" w:color="000000"/>
          <w:left w:val="single" w:sz="0" w:space="0" w:color="000000"/>
          <w:bottom w:val="single" w:sz="0" w:space="3" w:color="000000"/>
          <w:right w:val="single" w:sz="0" w:space="0" w:color="000000"/>
        </w:pBdr>
        <w:shd w:val="clear" w:color="auto" w:fill="000000"/>
        <w:tabs>
          <w:tab w:val="left" w:pos="2827"/>
          <w:tab w:val="left" w:pos="5664"/>
          <w:tab w:val="left" w:pos="8496"/>
        </w:tabs>
        <w:sectPr w:rsidR="00924992" w:rsidSect="00924992">
          <w:pgSz w:w="13022" w:h="8501" w:orient="landscape"/>
          <w:pgMar w:top="451" w:right="691" w:bottom="1019" w:left="600" w:header="23" w:footer="3" w:gutter="0"/>
          <w:cols w:space="720"/>
          <w:noEndnote/>
          <w:docGrid w:linePitch="360"/>
          <w15:footnoteColumns w:val="1"/>
        </w:sectPr>
      </w:pPr>
      <w:bookmarkStart w:id="588" w:name="bookmark2019"/>
      <w:bookmarkStart w:id="589" w:name="bookmark2020"/>
      <w:bookmarkStart w:id="590" w:name="bookmark2021"/>
      <w:r>
        <w:rPr>
          <w:color w:val="FFFFFF"/>
        </w:rPr>
        <w:t>Infección</w:t>
      </w:r>
      <w:r>
        <w:rPr>
          <w:color w:val="FFFFFF"/>
        </w:rPr>
        <w:tab/>
        <w:t>Fármaco</w:t>
      </w:r>
      <w:r>
        <w:rPr>
          <w:color w:val="FFFFFF"/>
        </w:rPr>
        <w:tab/>
        <w:t>Dosis para adultos</w:t>
      </w:r>
      <w:r>
        <w:rPr>
          <w:color w:val="FFFFFF"/>
        </w:rPr>
        <w:tab/>
        <w:t>Dosis para niños</w:t>
      </w:r>
      <w:bookmarkEnd w:id="588"/>
      <w:bookmarkEnd w:id="589"/>
      <w:bookmarkEnd w:id="590"/>
    </w:p>
    <w:p w14:paraId="7BA5B9C5" w14:textId="77777777" w:rsidR="00924992" w:rsidRDefault="00924992">
      <w:pPr>
        <w:spacing w:line="1" w:lineRule="exact"/>
      </w:pPr>
      <w:r>
        <w:rPr>
          <w:noProof/>
        </w:rPr>
        <mc:AlternateContent>
          <mc:Choice Requires="wps">
            <w:drawing>
              <wp:anchor distT="414655" distB="1196975" distL="114300" distR="114300" simplePos="0" relativeHeight="251716608" behindDoc="0" locked="0" layoutInCell="1" allowOverlap="1" wp14:anchorId="1CDDDB22" wp14:editId="062C6373">
                <wp:simplePos x="0" y="0"/>
                <wp:positionH relativeFrom="page">
                  <wp:posOffset>429895</wp:posOffset>
                </wp:positionH>
                <wp:positionV relativeFrom="paragraph">
                  <wp:posOffset>865505</wp:posOffset>
                </wp:positionV>
                <wp:extent cx="7428230" cy="673735"/>
                <wp:effectExtent l="0" t="0" r="0" b="0"/>
                <wp:wrapTopAndBottom/>
                <wp:docPr id="2416" name="Shape 2416"/>
                <wp:cNvGraphicFramePr/>
                <a:graphic xmlns:a="http://schemas.openxmlformats.org/drawingml/2006/main">
                  <a:graphicData uri="http://schemas.microsoft.com/office/word/2010/wordprocessingShape">
                    <wps:wsp>
                      <wps:cNvSpPr txBox="1"/>
                      <wps:spPr>
                        <a:xfrm>
                          <a:off x="0" y="0"/>
                          <a:ext cx="7428230" cy="673735"/>
                        </a:xfrm>
                        <a:prstGeom prst="rect">
                          <a:avLst/>
                        </a:prstGeom>
                        <a:noFill/>
                      </wps:spPr>
                      <wps:txbx>
                        <w:txbxContent>
                          <w:tbl>
                            <w:tblPr>
                              <w:tblOverlap w:val="never"/>
                              <w:tblW w:w="0" w:type="auto"/>
                              <w:tblLayout w:type="fixed"/>
                              <w:tblCellMar>
                                <w:left w:w="10" w:type="dxa"/>
                                <w:right w:w="10" w:type="dxa"/>
                              </w:tblCellMar>
                              <w:tblLook w:val="04A0" w:firstRow="1" w:lastRow="0" w:firstColumn="1" w:lastColumn="0" w:noHBand="0" w:noVBand="1"/>
                            </w:tblPr>
                            <w:tblGrid>
                              <w:gridCol w:w="5549"/>
                              <w:gridCol w:w="6149"/>
                            </w:tblGrid>
                            <w:tr w:rsidR="00924992" w14:paraId="5D8198C5" w14:textId="77777777">
                              <w:tblPrEx>
                                <w:tblCellMar>
                                  <w:top w:w="0" w:type="dxa"/>
                                  <w:bottom w:w="0" w:type="dxa"/>
                                </w:tblCellMar>
                              </w:tblPrEx>
                              <w:trPr>
                                <w:trHeight w:hRule="exact" w:val="211"/>
                                <w:tblHeader/>
                              </w:trPr>
                              <w:tc>
                                <w:tcPr>
                                  <w:tcW w:w="5549" w:type="dxa"/>
                                  <w:shd w:val="clear" w:color="auto" w:fill="FFFFFF"/>
                                  <w:vAlign w:val="bottom"/>
                                </w:tcPr>
                                <w:p w14:paraId="7DBBDF62" w14:textId="77777777" w:rsidR="00924992" w:rsidRDefault="00924992">
                                  <w:pPr>
                                    <w:pStyle w:val="Other0"/>
                                    <w:tabs>
                                      <w:tab w:val="left" w:pos="2683"/>
                                    </w:tabs>
                                    <w:spacing w:line="240" w:lineRule="auto"/>
                                    <w:ind w:firstLine="0"/>
                                    <w:rPr>
                                      <w:sz w:val="16"/>
                                      <w:szCs w:val="16"/>
                                    </w:rPr>
                                  </w:pPr>
                                  <w:r>
                                    <w:rPr>
                                      <w:rFonts w:ascii="Times New Roman" w:eastAsia="Times New Roman" w:hAnsi="Times New Roman" w:cs="Times New Roman"/>
                                      <w:color w:val="000000"/>
                                      <w:sz w:val="16"/>
                                      <w:szCs w:val="16"/>
                                    </w:rPr>
                                    <w:t>Fármaco más indicado:</w:t>
                                  </w:r>
                                  <w:r>
                                    <w:rPr>
                                      <w:rFonts w:ascii="Times New Roman" w:eastAsia="Times New Roman" w:hAnsi="Times New Roman" w:cs="Times New Roman"/>
                                      <w:color w:val="000000"/>
                                      <w:sz w:val="16"/>
                                      <w:szCs w:val="16"/>
                                    </w:rPr>
                                    <w:tab/>
                                    <w:t>Albendazol</w:t>
                                  </w:r>
                                  <w:r>
                                    <w:rPr>
                                      <w:rFonts w:ascii="Times New Roman" w:eastAsia="Times New Roman" w:hAnsi="Times New Roman" w:cs="Times New Roman"/>
                                      <w:color w:val="000000"/>
                                      <w:sz w:val="16"/>
                                      <w:szCs w:val="16"/>
                                      <w:vertAlign w:val="superscript"/>
                                    </w:rPr>
                                    <w:t>3</w:t>
                                  </w:r>
                                  <w:r>
                                    <w:rPr>
                                      <w:rFonts w:ascii="Times New Roman" w:eastAsia="Times New Roman" w:hAnsi="Times New Roman" w:cs="Times New Roman"/>
                                      <w:color w:val="000000"/>
                                      <w:sz w:val="16"/>
                                      <w:szCs w:val="16"/>
                                    </w:rPr>
                                    <w:t xml:space="preserve"> y además fumagilina</w:t>
                                  </w:r>
                                  <w:r>
                                    <w:rPr>
                                      <w:rFonts w:ascii="Times New Roman" w:eastAsia="Times New Roman" w:hAnsi="Times New Roman" w:cs="Times New Roman"/>
                                      <w:color w:val="000000"/>
                                      <w:sz w:val="16"/>
                                      <w:szCs w:val="16"/>
                                      <w:vertAlign w:val="superscript"/>
                                    </w:rPr>
                                    <w:t xml:space="preserve">    </w:t>
                                  </w:r>
                                  <w:r>
                                    <w:rPr>
                                      <w:rFonts w:ascii="Times New Roman" w:eastAsia="Times New Roman" w:hAnsi="Times New Roman" w:cs="Times New Roman"/>
                                      <w:color w:val="000000"/>
                                      <w:sz w:val="16"/>
                                      <w:szCs w:val="16"/>
                                    </w:rPr>
                                    <w:t>*</w:t>
                                  </w:r>
                                </w:p>
                              </w:tc>
                              <w:tc>
                                <w:tcPr>
                                  <w:tcW w:w="6149" w:type="dxa"/>
                                  <w:tcBorders>
                                    <w:right w:val="single" w:sz="4" w:space="0" w:color="auto"/>
                                  </w:tcBorders>
                                  <w:shd w:val="clear" w:color="auto" w:fill="FFFFFF"/>
                                  <w:vAlign w:val="bottom"/>
                                </w:tcPr>
                                <w:p w14:paraId="2B75B3DB" w14:textId="77777777" w:rsidR="00924992" w:rsidRDefault="00924992">
                                  <w:pPr>
                                    <w:pStyle w:val="Other0"/>
                                    <w:spacing w:line="240" w:lineRule="auto"/>
                                    <w:ind w:firstLine="0"/>
                                    <w:rPr>
                                      <w:sz w:val="16"/>
                                      <w:szCs w:val="16"/>
                                    </w:rPr>
                                  </w:pPr>
                                  <w:r>
                                    <w:rPr>
                                      <w:rFonts w:ascii="Times New Roman" w:eastAsia="Times New Roman" w:hAnsi="Times New Roman" w:cs="Times New Roman"/>
                                      <w:color w:val="000000"/>
                                      <w:sz w:val="16"/>
                                      <w:szCs w:val="16"/>
                                    </w:rPr>
                                    <w:t>400 mg bid</w:t>
                                  </w:r>
                                </w:p>
                              </w:tc>
                            </w:tr>
                            <w:tr w:rsidR="00924992" w14:paraId="37B59F62" w14:textId="77777777">
                              <w:tblPrEx>
                                <w:tblCellMar>
                                  <w:top w:w="0" w:type="dxa"/>
                                  <w:bottom w:w="0" w:type="dxa"/>
                                </w:tblCellMar>
                              </w:tblPrEx>
                              <w:trPr>
                                <w:trHeight w:hRule="exact" w:val="850"/>
                              </w:trPr>
                              <w:tc>
                                <w:tcPr>
                                  <w:tcW w:w="5549" w:type="dxa"/>
                                  <w:shd w:val="clear" w:color="auto" w:fill="FFFFFF"/>
                                  <w:vAlign w:val="bottom"/>
                                </w:tcPr>
                                <w:p w14:paraId="4FCEB0F5" w14:textId="77777777" w:rsidR="00924992" w:rsidRDefault="00924992">
                                  <w:pPr>
                                    <w:pStyle w:val="Other0"/>
                                    <w:spacing w:line="240" w:lineRule="auto"/>
                                    <w:ind w:firstLine="0"/>
                                    <w:rPr>
                                      <w:sz w:val="16"/>
                                      <w:szCs w:val="16"/>
                                    </w:rPr>
                                  </w:pPr>
                                  <w:r>
                                    <w:rPr>
                                      <w:rFonts w:ascii="Times New Roman" w:eastAsia="Times New Roman" w:hAnsi="Times New Roman" w:cs="Times New Roman"/>
                                      <w:b/>
                                      <w:bCs/>
                                      <w:color w:val="000000"/>
                                      <w:sz w:val="16"/>
                                      <w:szCs w:val="16"/>
                                    </w:rPr>
                                    <w:t xml:space="preserve">Intestinal </w:t>
                                  </w:r>
                                  <w:r>
                                    <w:rPr>
                                      <w:rFonts w:ascii="Times New Roman" w:eastAsia="Times New Roman" w:hAnsi="Times New Roman" w:cs="Times New Roman"/>
                                      <w:i/>
                                      <w:iCs/>
                                      <w:color w:val="000000"/>
                                      <w:sz w:val="16"/>
                                      <w:szCs w:val="16"/>
                                    </w:rPr>
                                    <w:t>(Enterocytozoon bieneusi, Encephalitozoon [Septata] intestinalis)</w:t>
                                  </w:r>
                                </w:p>
                                <w:p w14:paraId="4767765A" w14:textId="77777777" w:rsidR="00924992" w:rsidRDefault="00924992">
                                  <w:pPr>
                                    <w:pStyle w:val="Other0"/>
                                    <w:spacing w:line="240" w:lineRule="auto"/>
                                    <w:ind w:firstLine="0"/>
                                    <w:rPr>
                                      <w:sz w:val="16"/>
                                      <w:szCs w:val="16"/>
                                    </w:rPr>
                                  </w:pPr>
                                  <w:r>
                                    <w:rPr>
                                      <w:rFonts w:ascii="Times New Roman" w:eastAsia="Times New Roman" w:hAnsi="Times New Roman" w:cs="Times New Roman"/>
                                      <w:i/>
                                      <w:iCs/>
                                      <w:color w:val="000000"/>
                                      <w:sz w:val="16"/>
                                      <w:szCs w:val="16"/>
                                    </w:rPr>
                                    <w:t>E. bieneusi?</w:t>
                                  </w:r>
                                  <w:r>
                                    <w:rPr>
                                      <w:rFonts w:ascii="Times New Roman" w:eastAsia="Times New Roman" w:hAnsi="Times New Roman" w:cs="Times New Roman"/>
                                      <w:i/>
                                      <w:iCs/>
                                      <w:color w:val="000000"/>
                                      <w:sz w:val="16"/>
                                      <w:szCs w:val="16"/>
                                      <w:vertAlign w:val="superscript"/>
                                    </w:rPr>
                                    <w:t>5</w:t>
                                  </w:r>
                                </w:p>
                                <w:p w14:paraId="6734423F" w14:textId="77777777" w:rsidR="00924992" w:rsidRDefault="00924992">
                                  <w:pPr>
                                    <w:pStyle w:val="Other0"/>
                                    <w:tabs>
                                      <w:tab w:val="left" w:pos="2731"/>
                                    </w:tabs>
                                    <w:spacing w:line="240" w:lineRule="auto"/>
                                    <w:ind w:firstLine="0"/>
                                    <w:rPr>
                                      <w:sz w:val="16"/>
                                      <w:szCs w:val="16"/>
                                    </w:rPr>
                                  </w:pPr>
                                  <w:r>
                                    <w:rPr>
                                      <w:rFonts w:ascii="Times New Roman" w:eastAsia="Times New Roman" w:hAnsi="Times New Roman" w:cs="Times New Roman"/>
                                      <w:color w:val="000000"/>
                                      <w:sz w:val="16"/>
                                      <w:szCs w:val="16"/>
                                    </w:rPr>
                                    <w:t>Fármaco más indicado:</w:t>
                                  </w:r>
                                  <w:r>
                                    <w:rPr>
                                      <w:rFonts w:ascii="Times New Roman" w:eastAsia="Times New Roman" w:hAnsi="Times New Roman" w:cs="Times New Roman"/>
                                      <w:color w:val="000000"/>
                                      <w:sz w:val="16"/>
                                      <w:szCs w:val="16"/>
                                    </w:rPr>
                                    <w:tab/>
                                    <w:t>Fumagilina*</w:t>
                                  </w:r>
                                </w:p>
                                <w:p w14:paraId="5ADE45C6" w14:textId="77777777" w:rsidR="00924992" w:rsidRDefault="00924992">
                                  <w:pPr>
                                    <w:pStyle w:val="Other0"/>
                                    <w:spacing w:line="240" w:lineRule="auto"/>
                                    <w:ind w:firstLine="0"/>
                                    <w:rPr>
                                      <w:sz w:val="16"/>
                                      <w:szCs w:val="16"/>
                                    </w:rPr>
                                  </w:pPr>
                                  <w:r>
                                    <w:rPr>
                                      <w:rFonts w:ascii="Times New Roman" w:eastAsia="Times New Roman" w:hAnsi="Times New Roman" w:cs="Times New Roman"/>
                                      <w:i/>
                                      <w:iCs/>
                                      <w:color w:val="000000"/>
                                      <w:sz w:val="16"/>
                                      <w:szCs w:val="16"/>
                                    </w:rPr>
                                    <w:t>E. intestinalis</w:t>
                                  </w:r>
                                </w:p>
                              </w:tc>
                              <w:tc>
                                <w:tcPr>
                                  <w:tcW w:w="6149" w:type="dxa"/>
                                  <w:tcBorders>
                                    <w:right w:val="single" w:sz="4" w:space="0" w:color="auto"/>
                                  </w:tcBorders>
                                  <w:shd w:val="clear" w:color="auto" w:fill="FFFFFF"/>
                                  <w:vAlign w:val="bottom"/>
                                </w:tcPr>
                                <w:p w14:paraId="1C27A36F" w14:textId="77777777" w:rsidR="00924992" w:rsidRDefault="00924992">
                                  <w:pPr>
                                    <w:pStyle w:val="Other0"/>
                                    <w:spacing w:line="240" w:lineRule="auto"/>
                                    <w:ind w:firstLine="0"/>
                                    <w:rPr>
                                      <w:sz w:val="16"/>
                                      <w:szCs w:val="16"/>
                                    </w:rPr>
                                  </w:pPr>
                                  <w:r>
                                    <w:rPr>
                                      <w:rFonts w:ascii="Times New Roman" w:eastAsia="Times New Roman" w:hAnsi="Times New Roman" w:cs="Times New Roman"/>
                                      <w:color w:val="000000"/>
                                      <w:sz w:val="16"/>
                                      <w:szCs w:val="16"/>
                                    </w:rPr>
                                    <w:t xml:space="preserve">60 mg/día PO </w:t>
                                  </w:r>
                                  <w:r>
                                    <w:rPr>
                                      <w:color w:val="000000"/>
                                    </w:rPr>
                                    <w:t xml:space="preserve">x </w:t>
                                  </w:r>
                                  <w:r>
                                    <w:rPr>
                                      <w:rFonts w:ascii="Times New Roman" w:eastAsia="Times New Roman" w:hAnsi="Times New Roman" w:cs="Times New Roman"/>
                                      <w:color w:val="000000"/>
                                      <w:sz w:val="16"/>
                                      <w:szCs w:val="16"/>
                                    </w:rPr>
                                    <w:t>14 días</w:t>
                                  </w:r>
                                </w:p>
                              </w:tc>
                            </w:tr>
                          </w:tbl>
                          <w:p w14:paraId="4DB04612" w14:textId="77777777" w:rsidR="00924992" w:rsidRDefault="00924992">
                            <w:pPr>
                              <w:spacing w:line="1" w:lineRule="exact"/>
                            </w:pPr>
                          </w:p>
                        </w:txbxContent>
                      </wps:txbx>
                      <wps:bodyPr lIns="0" tIns="0" rIns="0" bIns="0"/>
                    </wps:wsp>
                  </a:graphicData>
                </a:graphic>
              </wp:anchor>
            </w:drawing>
          </mc:Choice>
          <mc:Fallback>
            <w:pict>
              <v:shape w14:anchorId="1CDDDB22" id="Shape 2416" o:spid="_x0000_s1091" type="#_x0000_t202" style="position:absolute;margin-left:33.85pt;margin-top:68.15pt;width:584.9pt;height:53.05pt;z-index:251716608;visibility:visible;mso-wrap-style:square;mso-wrap-distance-left:9pt;mso-wrap-distance-top:32.65pt;mso-wrap-distance-right:9pt;mso-wrap-distance-bottom:94.25pt;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" filled="f" stroked="f">
                <v:textbox inset="0,0,0,0">
                  <w:txbxContent>
                    <w:tbl>
                      <w:tblPr>
                        <w:tblOverlap w:val="never"/>
                        <w:tblW w:w="0" w:type="auto"/>
                        <w:tblLayout w:type="fixed"/>
                        <w:tblCellMar>
                          <w:left w:w="10" w:type="dxa"/>
                          <w:right w:w="10" w:type="dxa"/>
                        </w:tblCellMar>
                        <w:tblLook w:val="04A0" w:firstRow="1" w:lastRow="0" w:firstColumn="1" w:lastColumn="0" w:noHBand="0" w:noVBand="1"/>
                      </w:tblPr>
                      <w:tblGrid>
                        <w:gridCol w:w="5549"/>
                        <w:gridCol w:w="6149"/>
                      </w:tblGrid>
                      <w:tr w:rsidR="00924992" w14:paraId="5D8198C5" w14:textId="77777777">
                        <w:tblPrEx>
                          <w:tblCellMar>
                            <w:top w:w="0" w:type="dxa"/>
                            <w:bottom w:w="0" w:type="dxa"/>
                          </w:tblCellMar>
                        </w:tblPrEx>
                        <w:trPr>
                          <w:trHeight w:hRule="exact" w:val="211"/>
                          <w:tblHeader/>
                        </w:trPr>
                        <w:tc>
                          <w:tcPr>
                            <w:tcW w:w="5549" w:type="dxa"/>
                            <w:shd w:val="clear" w:color="auto" w:fill="FFFFFF"/>
                            <w:vAlign w:val="bottom"/>
                          </w:tcPr>
                          <w:p w14:paraId="7DBBDF62" w14:textId="77777777" w:rsidR="00924992" w:rsidRDefault="00924992">
                            <w:pPr>
                              <w:pStyle w:val="Other0"/>
                              <w:tabs>
                                <w:tab w:val="left" w:pos="2683"/>
                              </w:tabs>
                              <w:spacing w:line="240" w:lineRule="auto"/>
                              <w:ind w:firstLine="0"/>
                              <w:rPr>
                                <w:sz w:val="16"/>
                                <w:szCs w:val="16"/>
                              </w:rPr>
                            </w:pPr>
                            <w:r>
                              <w:rPr>
                                <w:rFonts w:ascii="Times New Roman" w:eastAsia="Times New Roman" w:hAnsi="Times New Roman" w:cs="Times New Roman"/>
                                <w:color w:val="000000"/>
                                <w:sz w:val="16"/>
                                <w:szCs w:val="16"/>
                              </w:rPr>
                              <w:t>Fármaco más indicado:</w:t>
                            </w:r>
                            <w:r>
                              <w:rPr>
                                <w:rFonts w:ascii="Times New Roman" w:eastAsia="Times New Roman" w:hAnsi="Times New Roman" w:cs="Times New Roman"/>
                                <w:color w:val="000000"/>
                                <w:sz w:val="16"/>
                                <w:szCs w:val="16"/>
                              </w:rPr>
                              <w:tab/>
                              <w:t>Albendazol</w:t>
                            </w:r>
                            <w:r>
                              <w:rPr>
                                <w:rFonts w:ascii="Times New Roman" w:eastAsia="Times New Roman" w:hAnsi="Times New Roman" w:cs="Times New Roman"/>
                                <w:color w:val="000000"/>
                                <w:sz w:val="16"/>
                                <w:szCs w:val="16"/>
                                <w:vertAlign w:val="superscript"/>
                              </w:rPr>
                              <w:t>3</w:t>
                            </w:r>
                            <w:r>
                              <w:rPr>
                                <w:rFonts w:ascii="Times New Roman" w:eastAsia="Times New Roman" w:hAnsi="Times New Roman" w:cs="Times New Roman"/>
                                <w:color w:val="000000"/>
                                <w:sz w:val="16"/>
                                <w:szCs w:val="16"/>
                              </w:rPr>
                              <w:t xml:space="preserve"> y además fumagilina</w:t>
                            </w:r>
                            <w:r>
                              <w:rPr>
                                <w:rFonts w:ascii="Times New Roman" w:eastAsia="Times New Roman" w:hAnsi="Times New Roman" w:cs="Times New Roman"/>
                                <w:color w:val="000000"/>
                                <w:sz w:val="16"/>
                                <w:szCs w:val="16"/>
                                <w:vertAlign w:val="superscript"/>
                              </w:rPr>
                              <w:t xml:space="preserve">    </w:t>
                            </w:r>
                            <w:r>
                              <w:rPr>
                                <w:rFonts w:ascii="Times New Roman" w:eastAsia="Times New Roman" w:hAnsi="Times New Roman" w:cs="Times New Roman"/>
                                <w:color w:val="000000"/>
                                <w:sz w:val="16"/>
                                <w:szCs w:val="16"/>
                              </w:rPr>
                              <w:t>*</w:t>
                            </w:r>
                          </w:p>
                        </w:tc>
                        <w:tc>
                          <w:tcPr>
                            <w:tcW w:w="6149" w:type="dxa"/>
                            <w:tcBorders>
                              <w:right w:val="single" w:sz="4" w:space="0" w:color="auto"/>
                            </w:tcBorders>
                            <w:shd w:val="clear" w:color="auto" w:fill="FFFFFF"/>
                            <w:vAlign w:val="bottom"/>
                          </w:tcPr>
                          <w:p w14:paraId="2B75B3DB" w14:textId="77777777" w:rsidR="00924992" w:rsidRDefault="00924992">
                            <w:pPr>
                              <w:pStyle w:val="Other0"/>
                              <w:spacing w:line="240" w:lineRule="auto"/>
                              <w:ind w:firstLine="0"/>
                              <w:rPr>
                                <w:sz w:val="16"/>
                                <w:szCs w:val="16"/>
                              </w:rPr>
                            </w:pPr>
                            <w:r>
                              <w:rPr>
                                <w:rFonts w:ascii="Times New Roman" w:eastAsia="Times New Roman" w:hAnsi="Times New Roman" w:cs="Times New Roman"/>
                                <w:color w:val="000000"/>
                                <w:sz w:val="16"/>
                                <w:szCs w:val="16"/>
                              </w:rPr>
                              <w:t>400 mg bid</w:t>
                            </w:r>
                          </w:p>
                        </w:tc>
                      </w:tr>
                      <w:tr w:rsidR="00924992" w14:paraId="37B59F62" w14:textId="77777777">
                        <w:tblPrEx>
                          <w:tblCellMar>
                            <w:top w:w="0" w:type="dxa"/>
                            <w:bottom w:w="0" w:type="dxa"/>
                          </w:tblCellMar>
                        </w:tblPrEx>
                        <w:trPr>
                          <w:trHeight w:hRule="exact" w:val="850"/>
                        </w:trPr>
                        <w:tc>
                          <w:tcPr>
                            <w:tcW w:w="5549" w:type="dxa"/>
                            <w:shd w:val="clear" w:color="auto" w:fill="FFFFFF"/>
                            <w:vAlign w:val="bottom"/>
                          </w:tcPr>
                          <w:p w14:paraId="4FCEB0F5" w14:textId="77777777" w:rsidR="00924992" w:rsidRDefault="00924992">
                            <w:pPr>
                              <w:pStyle w:val="Other0"/>
                              <w:spacing w:line="240" w:lineRule="auto"/>
                              <w:ind w:firstLine="0"/>
                              <w:rPr>
                                <w:sz w:val="16"/>
                                <w:szCs w:val="16"/>
                              </w:rPr>
                            </w:pPr>
                            <w:r>
                              <w:rPr>
                                <w:rFonts w:ascii="Times New Roman" w:eastAsia="Times New Roman" w:hAnsi="Times New Roman" w:cs="Times New Roman"/>
                                <w:b/>
                                <w:bCs/>
                                <w:color w:val="000000"/>
                                <w:sz w:val="16"/>
                                <w:szCs w:val="16"/>
                              </w:rPr>
                              <w:t xml:space="preserve">Intestinal </w:t>
                            </w:r>
                            <w:r>
                              <w:rPr>
                                <w:rFonts w:ascii="Times New Roman" w:eastAsia="Times New Roman" w:hAnsi="Times New Roman" w:cs="Times New Roman"/>
                                <w:i/>
                                <w:iCs/>
                                <w:color w:val="000000"/>
                                <w:sz w:val="16"/>
                                <w:szCs w:val="16"/>
                              </w:rPr>
                              <w:t>(Enterocytozoon bieneusi, Encephalitozoon [Septata] intestinalis)</w:t>
                            </w:r>
                          </w:p>
                          <w:p w14:paraId="4767765A" w14:textId="77777777" w:rsidR="00924992" w:rsidRDefault="00924992">
                            <w:pPr>
                              <w:pStyle w:val="Other0"/>
                              <w:spacing w:line="240" w:lineRule="auto"/>
                              <w:ind w:firstLine="0"/>
                              <w:rPr>
                                <w:sz w:val="16"/>
                                <w:szCs w:val="16"/>
                              </w:rPr>
                            </w:pPr>
                            <w:r>
                              <w:rPr>
                                <w:rFonts w:ascii="Times New Roman" w:eastAsia="Times New Roman" w:hAnsi="Times New Roman" w:cs="Times New Roman"/>
                                <w:i/>
                                <w:iCs/>
                                <w:color w:val="000000"/>
                                <w:sz w:val="16"/>
                                <w:szCs w:val="16"/>
                              </w:rPr>
                              <w:t>E. bieneusi?</w:t>
                            </w:r>
                            <w:r>
                              <w:rPr>
                                <w:rFonts w:ascii="Times New Roman" w:eastAsia="Times New Roman" w:hAnsi="Times New Roman" w:cs="Times New Roman"/>
                                <w:i/>
                                <w:iCs/>
                                <w:color w:val="000000"/>
                                <w:sz w:val="16"/>
                                <w:szCs w:val="16"/>
                                <w:vertAlign w:val="superscript"/>
                              </w:rPr>
                              <w:t>5</w:t>
                            </w:r>
                          </w:p>
                          <w:p w14:paraId="6734423F" w14:textId="77777777" w:rsidR="00924992" w:rsidRDefault="00924992">
                            <w:pPr>
                              <w:pStyle w:val="Other0"/>
                              <w:tabs>
                                <w:tab w:val="left" w:pos="2731"/>
                              </w:tabs>
                              <w:spacing w:line="240" w:lineRule="auto"/>
                              <w:ind w:firstLine="0"/>
                              <w:rPr>
                                <w:sz w:val="16"/>
                                <w:szCs w:val="16"/>
                              </w:rPr>
                            </w:pPr>
                            <w:r>
                              <w:rPr>
                                <w:rFonts w:ascii="Times New Roman" w:eastAsia="Times New Roman" w:hAnsi="Times New Roman" w:cs="Times New Roman"/>
                                <w:color w:val="000000"/>
                                <w:sz w:val="16"/>
                                <w:szCs w:val="16"/>
                              </w:rPr>
                              <w:t>Fármaco más indicado:</w:t>
                            </w:r>
                            <w:r>
                              <w:rPr>
                                <w:rFonts w:ascii="Times New Roman" w:eastAsia="Times New Roman" w:hAnsi="Times New Roman" w:cs="Times New Roman"/>
                                <w:color w:val="000000"/>
                                <w:sz w:val="16"/>
                                <w:szCs w:val="16"/>
                              </w:rPr>
                              <w:tab/>
                              <w:t>Fumagilina*</w:t>
                            </w:r>
                          </w:p>
                          <w:p w14:paraId="5ADE45C6" w14:textId="77777777" w:rsidR="00924992" w:rsidRDefault="00924992">
                            <w:pPr>
                              <w:pStyle w:val="Other0"/>
                              <w:spacing w:line="240" w:lineRule="auto"/>
                              <w:ind w:firstLine="0"/>
                              <w:rPr>
                                <w:sz w:val="16"/>
                                <w:szCs w:val="16"/>
                              </w:rPr>
                            </w:pPr>
                            <w:r>
                              <w:rPr>
                                <w:rFonts w:ascii="Times New Roman" w:eastAsia="Times New Roman" w:hAnsi="Times New Roman" w:cs="Times New Roman"/>
                                <w:i/>
                                <w:iCs/>
                                <w:color w:val="000000"/>
                                <w:sz w:val="16"/>
                                <w:szCs w:val="16"/>
                              </w:rPr>
                              <w:t>E. intestinalis</w:t>
                            </w:r>
                          </w:p>
                        </w:tc>
                        <w:tc>
                          <w:tcPr>
                            <w:tcW w:w="6149" w:type="dxa"/>
                            <w:tcBorders>
                              <w:right w:val="single" w:sz="4" w:space="0" w:color="auto"/>
                            </w:tcBorders>
                            <w:shd w:val="clear" w:color="auto" w:fill="FFFFFF"/>
                            <w:vAlign w:val="bottom"/>
                          </w:tcPr>
                          <w:p w14:paraId="1C27A36F" w14:textId="77777777" w:rsidR="00924992" w:rsidRDefault="00924992">
                            <w:pPr>
                              <w:pStyle w:val="Other0"/>
                              <w:spacing w:line="240" w:lineRule="auto"/>
                              <w:ind w:firstLine="0"/>
                              <w:rPr>
                                <w:sz w:val="16"/>
                                <w:szCs w:val="16"/>
                              </w:rPr>
                            </w:pPr>
                            <w:r>
                              <w:rPr>
                                <w:rFonts w:ascii="Times New Roman" w:eastAsia="Times New Roman" w:hAnsi="Times New Roman" w:cs="Times New Roman"/>
                                <w:color w:val="000000"/>
                                <w:sz w:val="16"/>
                                <w:szCs w:val="16"/>
                              </w:rPr>
                              <w:t xml:space="preserve">60 mg/día PO </w:t>
                            </w:r>
                            <w:r>
                              <w:rPr>
                                <w:color w:val="000000"/>
                              </w:rPr>
                              <w:t xml:space="preserve">x </w:t>
                            </w:r>
                            <w:r>
                              <w:rPr>
                                <w:rFonts w:ascii="Times New Roman" w:eastAsia="Times New Roman" w:hAnsi="Times New Roman" w:cs="Times New Roman"/>
                                <w:color w:val="000000"/>
                                <w:sz w:val="16"/>
                                <w:szCs w:val="16"/>
                              </w:rPr>
                              <w:t>14 días</w:t>
                            </w:r>
                          </w:p>
                        </w:tc>
                      </w:tr>
                    </w:tbl>
                    <w:p w14:paraId="4DB04612" w14:textId="77777777" w:rsidR="00924992" w:rsidRDefault="00924992">
                      <w:pPr>
                        <w:spacing w:line="1" w:lineRule="exact"/>
                      </w:pPr>
                    </w:p>
                  </w:txbxContent>
                </v:textbox>
                <w10:wrap type="topAndBottom" anchorx="page"/>
              </v:shape>
            </w:pict>
          </mc:Fallback>
        </mc:AlternateContent>
      </w:r>
      <w:r>
        <w:rPr>
          <w:noProof/>
        </w:rPr>
        <mc:AlternateContent>
          <mc:Choice Requires="wps">
            <w:drawing>
              <wp:anchor distT="0" distB="0" distL="0" distR="0" simplePos="0" relativeHeight="251795456" behindDoc="0" locked="0" layoutInCell="1" allowOverlap="1" wp14:anchorId="6FEFD9D0" wp14:editId="5F83F2C0">
                <wp:simplePos x="0" y="0"/>
                <wp:positionH relativeFrom="page">
                  <wp:posOffset>433070</wp:posOffset>
                </wp:positionH>
                <wp:positionV relativeFrom="paragraph">
                  <wp:posOffset>450850</wp:posOffset>
                </wp:positionV>
                <wp:extent cx="4334510" cy="423545"/>
                <wp:effectExtent l="0" t="0" r="0" b="0"/>
                <wp:wrapNone/>
                <wp:docPr id="2418" name="Shape 2418"/>
                <wp:cNvGraphicFramePr/>
                <a:graphic xmlns:a="http://schemas.openxmlformats.org/drawingml/2006/main">
                  <a:graphicData uri="http://schemas.microsoft.com/office/word/2010/wordprocessingShape">
                    <wps:wsp>
                      <wps:cNvSpPr txBox="1"/>
                      <wps:spPr>
                        <a:xfrm>
                          <a:off x="0" y="0"/>
                          <a:ext cx="4334510" cy="423545"/>
                        </a:xfrm>
                        <a:prstGeom prst="rect">
                          <a:avLst/>
                        </a:prstGeom>
                        <a:noFill/>
                      </wps:spPr>
                      <wps:txbx>
                        <w:txbxContent>
                          <w:p w14:paraId="1D9DD5E4" w14:textId="77777777" w:rsidR="00924992" w:rsidRDefault="00924992">
                            <w:pPr>
                              <w:pStyle w:val="Tablecaption0"/>
                              <w:spacing w:line="240" w:lineRule="auto"/>
                              <w:ind w:left="0"/>
                              <w:rPr>
                                <w:sz w:val="16"/>
                                <w:szCs w:val="16"/>
                              </w:rPr>
                            </w:pPr>
                            <w:r>
                              <w:rPr>
                                <w:b/>
                                <w:bCs/>
                                <w:i/>
                                <w:iCs/>
                                <w:color w:val="000000"/>
                                <w:sz w:val="17"/>
                                <w:szCs w:val="17"/>
                              </w:rPr>
                              <w:t>Loa loa</w:t>
                            </w:r>
                            <w:r>
                              <w:rPr>
                                <w:i/>
                                <w:iCs/>
                                <w:color w:val="000000"/>
                              </w:rPr>
                              <w:t>,</w:t>
                            </w:r>
                            <w:r>
                              <w:rPr>
                                <w:color w:val="000000"/>
                                <w:sz w:val="16"/>
                                <w:szCs w:val="16"/>
                              </w:rPr>
                              <w:t xml:space="preserve"> véase “FILARIASIS”</w:t>
                            </w:r>
                          </w:p>
                          <w:p w14:paraId="4B236092" w14:textId="77777777" w:rsidR="00924992" w:rsidRDefault="00924992">
                            <w:pPr>
                              <w:pStyle w:val="Tablecaption0"/>
                              <w:spacing w:line="240" w:lineRule="auto"/>
                              <w:ind w:left="0"/>
                              <w:rPr>
                                <w:sz w:val="16"/>
                                <w:szCs w:val="16"/>
                              </w:rPr>
                            </w:pPr>
                            <w:r>
                              <w:rPr>
                                <w:b/>
                                <w:bCs/>
                                <w:color w:val="000000"/>
                                <w:sz w:val="16"/>
                                <w:szCs w:val="16"/>
                              </w:rPr>
                              <w:t>MICROSPORIDIOSIS</w:t>
                            </w:r>
                          </w:p>
                          <w:p w14:paraId="273CAB97" w14:textId="77777777" w:rsidR="00924992" w:rsidRDefault="00924992">
                            <w:pPr>
                              <w:pStyle w:val="Tablecaption0"/>
                              <w:spacing w:line="240" w:lineRule="auto"/>
                              <w:ind w:left="0"/>
                              <w:rPr>
                                <w:sz w:val="16"/>
                                <w:szCs w:val="16"/>
                              </w:rPr>
                            </w:pPr>
                            <w:r>
                              <w:rPr>
                                <w:b/>
                                <w:bCs/>
                                <w:color w:val="000000"/>
                                <w:sz w:val="16"/>
                                <w:szCs w:val="16"/>
                              </w:rPr>
                              <w:t xml:space="preserve">Ocular </w:t>
                            </w:r>
                            <w:r>
                              <w:rPr>
                                <w:i/>
                                <w:iCs/>
                                <w:color w:val="000000"/>
                                <w:sz w:val="16"/>
                                <w:szCs w:val="16"/>
                              </w:rPr>
                              <w:t>(Encephalitozoon hellem, Encephalitozoon cuniculi, Vittaforma corneae [Nosema corneum])</w:t>
                            </w:r>
                          </w:p>
                        </w:txbxContent>
                      </wps:txbx>
                      <wps:bodyPr lIns="0" tIns="0" rIns="0" bIns="0"/>
                    </wps:wsp>
                  </a:graphicData>
                </a:graphic>
              </wp:anchor>
            </w:drawing>
          </mc:Choice>
          <mc:Fallback>
            <w:pict>
              <v:shape w14:anchorId="6FEFD9D0" id="Shape 2418" o:spid="_x0000_s1092" type="#_x0000_t202" style="position:absolute;margin-left:34.1pt;margin-top:35.5pt;width:341.3pt;height:33.35pt;z-index:25179545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" filled="f" stroked="f">
                <v:textbox inset="0,0,0,0">
                  <w:txbxContent>
                    <w:p w14:paraId="1D9DD5E4" w14:textId="77777777" w:rsidR="00924992" w:rsidRDefault="00924992">
                      <w:pPr>
                        <w:pStyle w:val="Tablecaption0"/>
                        <w:spacing w:line="240" w:lineRule="auto"/>
                        <w:ind w:left="0"/>
                        <w:rPr>
                          <w:sz w:val="16"/>
                          <w:szCs w:val="16"/>
                        </w:rPr>
                      </w:pPr>
                      <w:r>
                        <w:rPr>
                          <w:b/>
                          <w:bCs/>
                          <w:i/>
                          <w:iCs/>
                          <w:color w:val="000000"/>
                          <w:sz w:val="17"/>
                          <w:szCs w:val="17"/>
                        </w:rPr>
                        <w:t>Loa loa</w:t>
                      </w:r>
                      <w:r>
                        <w:rPr>
                          <w:i/>
                          <w:iCs/>
                          <w:color w:val="000000"/>
                        </w:rPr>
                        <w:t>,</w:t>
                      </w:r>
                      <w:r>
                        <w:rPr>
                          <w:color w:val="000000"/>
                          <w:sz w:val="16"/>
                          <w:szCs w:val="16"/>
                        </w:rPr>
                        <w:t xml:space="preserve"> véase “FILARIASIS”</w:t>
                      </w:r>
                    </w:p>
                    <w:p w14:paraId="4B236092" w14:textId="77777777" w:rsidR="00924992" w:rsidRDefault="00924992">
                      <w:pPr>
                        <w:pStyle w:val="Tablecaption0"/>
                        <w:spacing w:line="240" w:lineRule="auto"/>
                        <w:ind w:left="0"/>
                        <w:rPr>
                          <w:sz w:val="16"/>
                          <w:szCs w:val="16"/>
                        </w:rPr>
                      </w:pPr>
                      <w:r>
                        <w:rPr>
                          <w:b/>
                          <w:bCs/>
                          <w:color w:val="000000"/>
                          <w:sz w:val="16"/>
                          <w:szCs w:val="16"/>
                        </w:rPr>
                        <w:t>MICROSPORIDIOSIS</w:t>
                      </w:r>
                    </w:p>
                    <w:p w14:paraId="273CAB97" w14:textId="77777777" w:rsidR="00924992" w:rsidRDefault="00924992">
                      <w:pPr>
                        <w:pStyle w:val="Tablecaption0"/>
                        <w:spacing w:line="240" w:lineRule="auto"/>
                        <w:ind w:left="0"/>
                        <w:rPr>
                          <w:sz w:val="16"/>
                          <w:szCs w:val="16"/>
                        </w:rPr>
                      </w:pPr>
                      <w:r>
                        <w:rPr>
                          <w:b/>
                          <w:bCs/>
                          <w:color w:val="000000"/>
                          <w:sz w:val="16"/>
                          <w:szCs w:val="16"/>
                        </w:rPr>
                        <w:t xml:space="preserve">Ocular </w:t>
                      </w:r>
                      <w:r>
                        <w:rPr>
                          <w:i/>
                          <w:iCs/>
                          <w:color w:val="000000"/>
                          <w:sz w:val="16"/>
                          <w:szCs w:val="16"/>
                        </w:rPr>
                        <w:t>(Encephalitozoon hellem, Encephalitozoon cuniculi, Vittaforma corneae [Nosema corneum])</w:t>
                      </w:r>
                    </w:p>
                  </w:txbxContent>
                </v:textbox>
                <w10:wrap anchorx="page"/>
              </v:shape>
            </w:pict>
          </mc:Fallback>
        </mc:AlternateContent>
      </w:r>
      <w:r>
        <w:rPr>
          <w:noProof/>
        </w:rPr>
        <mc:AlternateContent>
          <mc:Choice Requires="wps">
            <w:drawing>
              <wp:anchor distT="1390015" distB="356235" distL="114300" distR="508000" simplePos="0" relativeHeight="251717632" behindDoc="0" locked="0" layoutInCell="1" allowOverlap="1" wp14:anchorId="6404A90F" wp14:editId="21D68136">
                <wp:simplePos x="0" y="0"/>
                <wp:positionH relativeFrom="page">
                  <wp:posOffset>429895</wp:posOffset>
                </wp:positionH>
                <wp:positionV relativeFrom="paragraph">
                  <wp:posOffset>1840865</wp:posOffset>
                </wp:positionV>
                <wp:extent cx="7034530" cy="539750"/>
                <wp:effectExtent l="0" t="0" r="0" b="0"/>
                <wp:wrapTopAndBottom/>
                <wp:docPr id="2420" name="Shape 2420"/>
                <wp:cNvGraphicFramePr/>
                <a:graphic xmlns:a="http://schemas.openxmlformats.org/drawingml/2006/main">
                  <a:graphicData uri="http://schemas.microsoft.com/office/word/2010/wordprocessingShape">
                    <wps:wsp>
                      <wps:cNvSpPr txBox="1"/>
                      <wps:spPr>
                        <a:xfrm>
                          <a:off x="0" y="0"/>
                          <a:ext cx="7034530" cy="539750"/>
                        </a:xfrm>
                        <a:prstGeom prst="rect">
                          <a:avLst/>
                        </a:prstGeom>
                        <a:noFill/>
                      </wps:spPr>
                      <wps:txbx>
                        <w:txbxContent>
                          <w:tbl>
                            <w:tblPr>
                              <w:tblOverlap w:val="never"/>
                              <w:tblW w:w="0" w:type="auto"/>
                              <w:tblLayout w:type="fixed"/>
                              <w:tblCellMar>
                                <w:left w:w="10" w:type="dxa"/>
                                <w:right w:w="10" w:type="dxa"/>
                              </w:tblCellMar>
                              <w:tblLook w:val="04A0" w:firstRow="1" w:lastRow="0" w:firstColumn="1" w:lastColumn="0" w:noHBand="0" w:noVBand="1"/>
                            </w:tblPr>
                            <w:tblGrid>
                              <w:gridCol w:w="5549"/>
                              <w:gridCol w:w="5530"/>
                            </w:tblGrid>
                            <w:tr w:rsidR="00924992" w14:paraId="2936DB72" w14:textId="77777777">
                              <w:tblPrEx>
                                <w:tblCellMar>
                                  <w:top w:w="0" w:type="dxa"/>
                                  <w:bottom w:w="0" w:type="dxa"/>
                                </w:tblCellMar>
                              </w:tblPrEx>
                              <w:trPr>
                                <w:trHeight w:hRule="exact" w:val="427"/>
                                <w:tblHeader/>
                              </w:trPr>
                              <w:tc>
                                <w:tcPr>
                                  <w:tcW w:w="5549" w:type="dxa"/>
                                  <w:shd w:val="clear" w:color="auto" w:fill="FFFFFF"/>
                                  <w:vAlign w:val="bottom"/>
                                </w:tcPr>
                                <w:p w14:paraId="64F78226" w14:textId="77777777" w:rsidR="00924992" w:rsidRDefault="00924992">
                                  <w:pPr>
                                    <w:pStyle w:val="Other0"/>
                                    <w:tabs>
                                      <w:tab w:val="left" w:pos="2726"/>
                                    </w:tabs>
                                    <w:spacing w:line="240" w:lineRule="auto"/>
                                    <w:ind w:firstLine="0"/>
                                    <w:rPr>
                                      <w:sz w:val="16"/>
                                      <w:szCs w:val="16"/>
                                    </w:rPr>
                                  </w:pPr>
                                  <w:r>
                                    <w:rPr>
                                      <w:rFonts w:ascii="Times New Roman" w:eastAsia="Times New Roman" w:hAnsi="Times New Roman" w:cs="Times New Roman"/>
                                      <w:color w:val="000000"/>
                                      <w:sz w:val="16"/>
                                      <w:szCs w:val="16"/>
                                    </w:rPr>
                                    <w:t>Fármaco más indicado:</w:t>
                                  </w:r>
                                  <w:r>
                                    <w:rPr>
                                      <w:rFonts w:ascii="Times New Roman" w:eastAsia="Times New Roman" w:hAnsi="Times New Roman" w:cs="Times New Roman"/>
                                      <w:color w:val="000000"/>
                                      <w:sz w:val="16"/>
                                      <w:szCs w:val="16"/>
                                      <w:vertAlign w:val="superscript"/>
                                    </w:rPr>
                                    <w:t>52</w:t>
                                  </w:r>
                                  <w:r>
                                    <w:rPr>
                                      <w:rFonts w:ascii="Times New Roman" w:eastAsia="Times New Roman" w:hAnsi="Times New Roman" w:cs="Times New Roman"/>
                                      <w:color w:val="000000"/>
                                      <w:sz w:val="16"/>
                                      <w:szCs w:val="16"/>
                                    </w:rPr>
                                    <w:tab/>
                                    <w:t>Albendazol</w:t>
                                  </w:r>
                                  <w:r>
                                    <w:rPr>
                                      <w:rFonts w:ascii="Times New Roman" w:eastAsia="Times New Roman" w:hAnsi="Times New Roman" w:cs="Times New Roman"/>
                                      <w:color w:val="000000"/>
                                      <w:sz w:val="16"/>
                                      <w:szCs w:val="16"/>
                                      <w:vertAlign w:val="superscript"/>
                                    </w:rPr>
                                    <w:t>3</w:t>
                                  </w:r>
                                </w:p>
                                <w:p w14:paraId="0648E737" w14:textId="77777777" w:rsidR="00924992" w:rsidRDefault="00924992">
                                  <w:pPr>
                                    <w:pStyle w:val="Other0"/>
                                    <w:spacing w:line="240" w:lineRule="auto"/>
                                    <w:ind w:firstLine="0"/>
                                    <w:rPr>
                                      <w:sz w:val="16"/>
                                      <w:szCs w:val="16"/>
                                    </w:rPr>
                                  </w:pPr>
                                  <w:r>
                                    <w:rPr>
                                      <w:rFonts w:ascii="Times New Roman" w:eastAsia="Times New Roman" w:hAnsi="Times New Roman" w:cs="Times New Roman"/>
                                      <w:b/>
                                      <w:bCs/>
                                      <w:i/>
                                      <w:iCs/>
                                      <w:color w:val="000000"/>
                                      <w:sz w:val="17"/>
                                      <w:szCs w:val="17"/>
                                    </w:rPr>
                                    <w:t xml:space="preserve">MONILIFORMIS </w:t>
                                  </w:r>
                                  <w:r>
                                    <w:rPr>
                                      <w:rFonts w:ascii="Times New Roman" w:eastAsia="Times New Roman" w:hAnsi="Times New Roman" w:cs="Times New Roman"/>
                                      <w:i/>
                                      <w:iCs/>
                                      <w:color w:val="000000"/>
                                      <w:sz w:val="16"/>
                                      <w:szCs w:val="16"/>
                                    </w:rPr>
                                    <w:t>moniliformis</w:t>
                                  </w:r>
                                  <w:r>
                                    <w:rPr>
                                      <w:rFonts w:ascii="Times New Roman" w:eastAsia="Times New Roman" w:hAnsi="Times New Roman" w:cs="Times New Roman"/>
                                      <w:i/>
                                      <w:iCs/>
                                      <w:color w:val="000000"/>
                                      <w:sz w:val="15"/>
                                      <w:szCs w:val="15"/>
                                    </w:rPr>
                                    <w:t>,</w:t>
                                  </w:r>
                                  <w:r>
                                    <w:rPr>
                                      <w:rFonts w:ascii="Times New Roman" w:eastAsia="Times New Roman" w:hAnsi="Times New Roman" w:cs="Times New Roman"/>
                                      <w:color w:val="000000"/>
                                      <w:sz w:val="16"/>
                                      <w:szCs w:val="16"/>
                                    </w:rPr>
                                    <w:t xml:space="preserve"> infección</w:t>
                                  </w:r>
                                </w:p>
                              </w:tc>
                              <w:tc>
                                <w:tcPr>
                                  <w:tcW w:w="5530" w:type="dxa"/>
                                  <w:shd w:val="clear" w:color="auto" w:fill="FFFFFF"/>
                                </w:tcPr>
                                <w:p w14:paraId="35DAE2AD" w14:textId="77777777" w:rsidR="00924992" w:rsidRDefault="00924992">
                                  <w:pPr>
                                    <w:pStyle w:val="Other0"/>
                                    <w:spacing w:line="240" w:lineRule="auto"/>
                                    <w:ind w:firstLine="0"/>
                                    <w:rPr>
                                      <w:sz w:val="16"/>
                                      <w:szCs w:val="16"/>
                                    </w:rPr>
                                  </w:pPr>
                                  <w:r>
                                    <w:rPr>
                                      <w:rFonts w:ascii="Times New Roman" w:eastAsia="Times New Roman" w:hAnsi="Times New Roman" w:cs="Times New Roman"/>
                                      <w:color w:val="000000"/>
                                      <w:sz w:val="16"/>
                                      <w:szCs w:val="16"/>
                                    </w:rPr>
                                    <w:t>400 mg bid</w:t>
                                  </w:r>
                                </w:p>
                              </w:tc>
                            </w:tr>
                            <w:tr w:rsidR="00924992" w14:paraId="788DAA8D" w14:textId="77777777">
                              <w:tblPrEx>
                                <w:tblCellMar>
                                  <w:top w:w="0" w:type="dxa"/>
                                  <w:bottom w:w="0" w:type="dxa"/>
                                </w:tblCellMar>
                              </w:tblPrEx>
                              <w:trPr>
                                <w:trHeight w:hRule="exact" w:val="422"/>
                              </w:trPr>
                              <w:tc>
                                <w:tcPr>
                                  <w:tcW w:w="5549" w:type="dxa"/>
                                  <w:shd w:val="clear" w:color="auto" w:fill="FFFFFF"/>
                                </w:tcPr>
                                <w:p w14:paraId="388D5AAA" w14:textId="77777777" w:rsidR="00924992" w:rsidRDefault="00924992">
                                  <w:pPr>
                                    <w:pStyle w:val="Other0"/>
                                    <w:tabs>
                                      <w:tab w:val="left" w:pos="2736"/>
                                    </w:tabs>
                                    <w:spacing w:line="240" w:lineRule="auto"/>
                                    <w:ind w:firstLine="0"/>
                                    <w:rPr>
                                      <w:sz w:val="16"/>
                                      <w:szCs w:val="16"/>
                                    </w:rPr>
                                  </w:pPr>
                                  <w:r>
                                    <w:rPr>
                                      <w:rFonts w:ascii="Times New Roman" w:eastAsia="Times New Roman" w:hAnsi="Times New Roman" w:cs="Times New Roman"/>
                                      <w:color w:val="000000"/>
                                      <w:sz w:val="16"/>
                                      <w:szCs w:val="16"/>
                                    </w:rPr>
                                    <w:t>Fármaco más indicado:</w:t>
                                  </w:r>
                                  <w:r>
                                    <w:rPr>
                                      <w:rFonts w:ascii="Times New Roman" w:eastAsia="Times New Roman" w:hAnsi="Times New Roman" w:cs="Times New Roman"/>
                                      <w:color w:val="000000"/>
                                      <w:sz w:val="16"/>
                                      <w:szCs w:val="16"/>
                                    </w:rPr>
                                    <w:tab/>
                                    <w:t>Pamoato de pirantel</w:t>
                                  </w:r>
                                  <w:r>
                                    <w:rPr>
                                      <w:rFonts w:ascii="Times New Roman" w:eastAsia="Times New Roman" w:hAnsi="Times New Roman" w:cs="Times New Roman"/>
                                      <w:color w:val="000000"/>
                                      <w:sz w:val="16"/>
                                      <w:szCs w:val="16"/>
                                      <w:vertAlign w:val="superscript"/>
                                    </w:rPr>
                                    <w:t>3</w:t>
                                  </w:r>
                                </w:p>
                              </w:tc>
                              <w:tc>
                                <w:tcPr>
                                  <w:tcW w:w="5530" w:type="dxa"/>
                                  <w:shd w:val="clear" w:color="auto" w:fill="FFFFFF"/>
                                  <w:vAlign w:val="bottom"/>
                                </w:tcPr>
                                <w:p w14:paraId="21DBF2B8" w14:textId="77777777" w:rsidR="00924992" w:rsidRDefault="00924992">
                                  <w:pPr>
                                    <w:pStyle w:val="Other0"/>
                                    <w:tabs>
                                      <w:tab w:val="left" w:pos="2870"/>
                                    </w:tabs>
                                    <w:spacing w:line="240" w:lineRule="auto"/>
                                    <w:ind w:firstLine="0"/>
                                    <w:rPr>
                                      <w:sz w:val="16"/>
                                      <w:szCs w:val="16"/>
                                    </w:rPr>
                                  </w:pPr>
                                  <w:r>
                                    <w:rPr>
                                      <w:rFonts w:ascii="Times New Roman" w:eastAsia="Times New Roman" w:hAnsi="Times New Roman" w:cs="Times New Roman"/>
                                      <w:color w:val="000000"/>
                                      <w:sz w:val="16"/>
                                      <w:szCs w:val="16"/>
                                    </w:rPr>
                                    <w:t>11 mg/kg una vez, repetir dos veces</w:t>
                                  </w:r>
                                  <w:r>
                                    <w:rPr>
                                      <w:rFonts w:ascii="Times New Roman" w:eastAsia="Times New Roman" w:hAnsi="Times New Roman" w:cs="Times New Roman"/>
                                      <w:color w:val="000000"/>
                                      <w:sz w:val="16"/>
                                      <w:szCs w:val="16"/>
                                    </w:rPr>
                                    <w:tab/>
                                    <w:t>11 mg/kg una vez, repetir dos veces,</w:t>
                                  </w:r>
                                </w:p>
                                <w:p w14:paraId="0DFB30D9" w14:textId="77777777" w:rsidR="00924992" w:rsidRDefault="00924992">
                                  <w:pPr>
                                    <w:pStyle w:val="Other0"/>
                                    <w:tabs>
                                      <w:tab w:val="left" w:pos="3066"/>
                                    </w:tabs>
                                    <w:spacing w:line="240" w:lineRule="auto"/>
                                    <w:ind w:firstLine="200"/>
                                    <w:rPr>
                                      <w:sz w:val="16"/>
                                      <w:szCs w:val="16"/>
                                    </w:rPr>
                                  </w:pPr>
                                  <w:r>
                                    <w:rPr>
                                      <w:rFonts w:ascii="Times New Roman" w:eastAsia="Times New Roman" w:hAnsi="Times New Roman" w:cs="Times New Roman"/>
                                      <w:color w:val="000000"/>
                                      <w:sz w:val="16"/>
                                      <w:szCs w:val="16"/>
                                    </w:rPr>
                                    <w:t>con una diferencia de 2 semanas</w:t>
                                  </w:r>
                                  <w:r>
                                    <w:rPr>
                                      <w:rFonts w:ascii="Times New Roman" w:eastAsia="Times New Roman" w:hAnsi="Times New Roman" w:cs="Times New Roman"/>
                                      <w:color w:val="000000"/>
                                      <w:sz w:val="16"/>
                                      <w:szCs w:val="16"/>
                                    </w:rPr>
                                    <w:tab/>
                                    <w:t>con una diferencia de 2 semanas</w:t>
                                  </w:r>
                                </w:p>
                              </w:tc>
                            </w:tr>
                          </w:tbl>
                          <w:p w14:paraId="6DD4EC7D" w14:textId="77777777" w:rsidR="00924992" w:rsidRDefault="00924992">
                            <w:pPr>
                              <w:spacing w:line="1" w:lineRule="exact"/>
                            </w:pPr>
                          </w:p>
                        </w:txbxContent>
                      </wps:txbx>
                      <wps:bodyPr lIns="0" tIns="0" rIns="0" bIns="0"/>
                    </wps:wsp>
                  </a:graphicData>
                </a:graphic>
              </wp:anchor>
            </w:drawing>
          </mc:Choice>
          <mc:Fallback>
            <w:pict>
              <v:shape w14:anchorId="6404A90F" id="Shape 2420" o:spid="_x0000_s1093" type="#_x0000_t202" style="position:absolute;margin-left:33.85pt;margin-top:144.95pt;width:553.9pt;height:42.5pt;z-index:251717632;visibility:visible;mso-wrap-style:square;mso-wrap-distance-left:9pt;mso-wrap-distance-top:109.45pt;mso-wrap-distance-right:40pt;mso-wrap-distance-bottom:28.05pt;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" filled="f" stroked="f">
                <v:textbox inset="0,0,0,0">
                  <w:txbxContent>
                    <w:tbl>
                      <w:tblPr>
                        <w:tblOverlap w:val="never"/>
                        <w:tblW w:w="0" w:type="auto"/>
                        <w:tblLayout w:type="fixed"/>
                        <w:tblCellMar>
                          <w:left w:w="10" w:type="dxa"/>
                          <w:right w:w="10" w:type="dxa"/>
                        </w:tblCellMar>
                        <w:tblLook w:val="04A0" w:firstRow="1" w:lastRow="0" w:firstColumn="1" w:lastColumn="0" w:noHBand="0" w:noVBand="1"/>
                      </w:tblPr>
                      <w:tblGrid>
                        <w:gridCol w:w="5549"/>
                        <w:gridCol w:w="5530"/>
                      </w:tblGrid>
                      <w:tr w:rsidR="00924992" w14:paraId="2936DB72" w14:textId="77777777">
                        <w:tblPrEx>
                          <w:tblCellMar>
                            <w:top w:w="0" w:type="dxa"/>
                            <w:bottom w:w="0" w:type="dxa"/>
                          </w:tblCellMar>
                        </w:tblPrEx>
                        <w:trPr>
                          <w:trHeight w:hRule="exact" w:val="427"/>
                          <w:tblHeader/>
                        </w:trPr>
                        <w:tc>
                          <w:tcPr>
                            <w:tcW w:w="5549" w:type="dxa"/>
                            <w:shd w:val="clear" w:color="auto" w:fill="FFFFFF"/>
                            <w:vAlign w:val="bottom"/>
                          </w:tcPr>
                          <w:p w14:paraId="64F78226" w14:textId="77777777" w:rsidR="00924992" w:rsidRDefault="00924992">
                            <w:pPr>
                              <w:pStyle w:val="Other0"/>
                              <w:tabs>
                                <w:tab w:val="left" w:pos="2726"/>
                              </w:tabs>
                              <w:spacing w:line="240" w:lineRule="auto"/>
                              <w:ind w:firstLine="0"/>
                              <w:rPr>
                                <w:sz w:val="16"/>
                                <w:szCs w:val="16"/>
                              </w:rPr>
                            </w:pPr>
                            <w:r>
                              <w:rPr>
                                <w:rFonts w:ascii="Times New Roman" w:eastAsia="Times New Roman" w:hAnsi="Times New Roman" w:cs="Times New Roman"/>
                                <w:color w:val="000000"/>
                                <w:sz w:val="16"/>
                                <w:szCs w:val="16"/>
                              </w:rPr>
                              <w:t>Fármaco más indicado:</w:t>
                            </w:r>
                            <w:r>
                              <w:rPr>
                                <w:rFonts w:ascii="Times New Roman" w:eastAsia="Times New Roman" w:hAnsi="Times New Roman" w:cs="Times New Roman"/>
                                <w:color w:val="000000"/>
                                <w:sz w:val="16"/>
                                <w:szCs w:val="16"/>
                                <w:vertAlign w:val="superscript"/>
                              </w:rPr>
                              <w:t>52</w:t>
                            </w:r>
                            <w:r>
                              <w:rPr>
                                <w:rFonts w:ascii="Times New Roman" w:eastAsia="Times New Roman" w:hAnsi="Times New Roman" w:cs="Times New Roman"/>
                                <w:color w:val="000000"/>
                                <w:sz w:val="16"/>
                                <w:szCs w:val="16"/>
                              </w:rPr>
                              <w:tab/>
                              <w:t>Albendazol</w:t>
                            </w:r>
                            <w:r>
                              <w:rPr>
                                <w:rFonts w:ascii="Times New Roman" w:eastAsia="Times New Roman" w:hAnsi="Times New Roman" w:cs="Times New Roman"/>
                                <w:color w:val="000000"/>
                                <w:sz w:val="16"/>
                                <w:szCs w:val="16"/>
                                <w:vertAlign w:val="superscript"/>
                              </w:rPr>
                              <w:t>3</w:t>
                            </w:r>
                          </w:p>
                          <w:p w14:paraId="0648E737" w14:textId="77777777" w:rsidR="00924992" w:rsidRDefault="00924992">
                            <w:pPr>
                              <w:pStyle w:val="Other0"/>
                              <w:spacing w:line="240" w:lineRule="auto"/>
                              <w:ind w:firstLine="0"/>
                              <w:rPr>
                                <w:sz w:val="16"/>
                                <w:szCs w:val="16"/>
                              </w:rPr>
                            </w:pPr>
                            <w:r>
                              <w:rPr>
                                <w:rFonts w:ascii="Times New Roman" w:eastAsia="Times New Roman" w:hAnsi="Times New Roman" w:cs="Times New Roman"/>
                                <w:b/>
                                <w:bCs/>
                                <w:i/>
                                <w:iCs/>
                                <w:color w:val="000000"/>
                                <w:sz w:val="17"/>
                                <w:szCs w:val="17"/>
                              </w:rPr>
                              <w:t xml:space="preserve">MONILIFORMIS </w:t>
                            </w:r>
                            <w:r>
                              <w:rPr>
                                <w:rFonts w:ascii="Times New Roman" w:eastAsia="Times New Roman" w:hAnsi="Times New Roman" w:cs="Times New Roman"/>
                                <w:i/>
                                <w:iCs/>
                                <w:color w:val="000000"/>
                                <w:sz w:val="16"/>
                                <w:szCs w:val="16"/>
                              </w:rPr>
                              <w:t>moniliformis</w:t>
                            </w:r>
                            <w:r>
                              <w:rPr>
                                <w:rFonts w:ascii="Times New Roman" w:eastAsia="Times New Roman" w:hAnsi="Times New Roman" w:cs="Times New Roman"/>
                                <w:i/>
                                <w:iCs/>
                                <w:color w:val="000000"/>
                                <w:sz w:val="15"/>
                                <w:szCs w:val="15"/>
                              </w:rPr>
                              <w:t>,</w:t>
                            </w:r>
                            <w:r>
                              <w:rPr>
                                <w:rFonts w:ascii="Times New Roman" w:eastAsia="Times New Roman" w:hAnsi="Times New Roman" w:cs="Times New Roman"/>
                                <w:color w:val="000000"/>
                                <w:sz w:val="16"/>
                                <w:szCs w:val="16"/>
                              </w:rPr>
                              <w:t xml:space="preserve"> infección</w:t>
                            </w:r>
                          </w:p>
                        </w:tc>
                        <w:tc>
                          <w:tcPr>
                            <w:tcW w:w="5530" w:type="dxa"/>
                            <w:shd w:val="clear" w:color="auto" w:fill="FFFFFF"/>
                          </w:tcPr>
                          <w:p w14:paraId="35DAE2AD" w14:textId="77777777" w:rsidR="00924992" w:rsidRDefault="00924992">
                            <w:pPr>
                              <w:pStyle w:val="Other0"/>
                              <w:spacing w:line="240" w:lineRule="auto"/>
                              <w:ind w:firstLine="0"/>
                              <w:rPr>
                                <w:sz w:val="16"/>
                                <w:szCs w:val="16"/>
                              </w:rPr>
                            </w:pPr>
                            <w:r>
                              <w:rPr>
                                <w:rFonts w:ascii="Times New Roman" w:eastAsia="Times New Roman" w:hAnsi="Times New Roman" w:cs="Times New Roman"/>
                                <w:color w:val="000000"/>
                                <w:sz w:val="16"/>
                                <w:szCs w:val="16"/>
                              </w:rPr>
                              <w:t>400 mg bid</w:t>
                            </w:r>
                          </w:p>
                        </w:tc>
                      </w:tr>
                      <w:tr w:rsidR="00924992" w14:paraId="788DAA8D" w14:textId="77777777">
                        <w:tblPrEx>
                          <w:tblCellMar>
                            <w:top w:w="0" w:type="dxa"/>
                            <w:bottom w:w="0" w:type="dxa"/>
                          </w:tblCellMar>
                        </w:tblPrEx>
                        <w:trPr>
                          <w:trHeight w:hRule="exact" w:val="422"/>
                        </w:trPr>
                        <w:tc>
                          <w:tcPr>
                            <w:tcW w:w="5549" w:type="dxa"/>
                            <w:shd w:val="clear" w:color="auto" w:fill="FFFFFF"/>
                          </w:tcPr>
                          <w:p w14:paraId="388D5AAA" w14:textId="77777777" w:rsidR="00924992" w:rsidRDefault="00924992">
                            <w:pPr>
                              <w:pStyle w:val="Other0"/>
                              <w:tabs>
                                <w:tab w:val="left" w:pos="2736"/>
                              </w:tabs>
                              <w:spacing w:line="240" w:lineRule="auto"/>
                              <w:ind w:firstLine="0"/>
                              <w:rPr>
                                <w:sz w:val="16"/>
                                <w:szCs w:val="16"/>
                              </w:rPr>
                            </w:pPr>
                            <w:r>
                              <w:rPr>
                                <w:rFonts w:ascii="Times New Roman" w:eastAsia="Times New Roman" w:hAnsi="Times New Roman" w:cs="Times New Roman"/>
                                <w:color w:val="000000"/>
                                <w:sz w:val="16"/>
                                <w:szCs w:val="16"/>
                              </w:rPr>
                              <w:t>Fármaco más indicado:</w:t>
                            </w:r>
                            <w:r>
                              <w:rPr>
                                <w:rFonts w:ascii="Times New Roman" w:eastAsia="Times New Roman" w:hAnsi="Times New Roman" w:cs="Times New Roman"/>
                                <w:color w:val="000000"/>
                                <w:sz w:val="16"/>
                                <w:szCs w:val="16"/>
                              </w:rPr>
                              <w:tab/>
                              <w:t>Pamoato de pirantel</w:t>
                            </w:r>
                            <w:r>
                              <w:rPr>
                                <w:rFonts w:ascii="Times New Roman" w:eastAsia="Times New Roman" w:hAnsi="Times New Roman" w:cs="Times New Roman"/>
                                <w:color w:val="000000"/>
                                <w:sz w:val="16"/>
                                <w:szCs w:val="16"/>
                                <w:vertAlign w:val="superscript"/>
                              </w:rPr>
                              <w:t>3</w:t>
                            </w:r>
                          </w:p>
                        </w:tc>
                        <w:tc>
                          <w:tcPr>
                            <w:tcW w:w="5530" w:type="dxa"/>
                            <w:shd w:val="clear" w:color="auto" w:fill="FFFFFF"/>
                            <w:vAlign w:val="bottom"/>
                          </w:tcPr>
                          <w:p w14:paraId="21DBF2B8" w14:textId="77777777" w:rsidR="00924992" w:rsidRDefault="00924992">
                            <w:pPr>
                              <w:pStyle w:val="Other0"/>
                              <w:tabs>
                                <w:tab w:val="left" w:pos="2870"/>
                              </w:tabs>
                              <w:spacing w:line="240" w:lineRule="auto"/>
                              <w:ind w:firstLine="0"/>
                              <w:rPr>
                                <w:sz w:val="16"/>
                                <w:szCs w:val="16"/>
                              </w:rPr>
                            </w:pPr>
                            <w:r>
                              <w:rPr>
                                <w:rFonts w:ascii="Times New Roman" w:eastAsia="Times New Roman" w:hAnsi="Times New Roman" w:cs="Times New Roman"/>
                                <w:color w:val="000000"/>
                                <w:sz w:val="16"/>
                                <w:szCs w:val="16"/>
                              </w:rPr>
                              <w:t>11 mg/kg una vez, repetir dos veces</w:t>
                            </w:r>
                            <w:r>
                              <w:rPr>
                                <w:rFonts w:ascii="Times New Roman" w:eastAsia="Times New Roman" w:hAnsi="Times New Roman" w:cs="Times New Roman"/>
                                <w:color w:val="000000"/>
                                <w:sz w:val="16"/>
                                <w:szCs w:val="16"/>
                              </w:rPr>
                              <w:tab/>
                              <w:t>11 mg/kg una vez, repetir dos veces,</w:t>
                            </w:r>
                          </w:p>
                          <w:p w14:paraId="0DFB30D9" w14:textId="77777777" w:rsidR="00924992" w:rsidRDefault="00924992">
                            <w:pPr>
                              <w:pStyle w:val="Other0"/>
                              <w:tabs>
                                <w:tab w:val="left" w:pos="3066"/>
                              </w:tabs>
                              <w:spacing w:line="240" w:lineRule="auto"/>
                              <w:ind w:firstLine="200"/>
                              <w:rPr>
                                <w:sz w:val="16"/>
                                <w:szCs w:val="16"/>
                              </w:rPr>
                            </w:pPr>
                            <w:r>
                              <w:rPr>
                                <w:rFonts w:ascii="Times New Roman" w:eastAsia="Times New Roman" w:hAnsi="Times New Roman" w:cs="Times New Roman"/>
                                <w:color w:val="000000"/>
                                <w:sz w:val="16"/>
                                <w:szCs w:val="16"/>
                              </w:rPr>
                              <w:t>con una diferencia de 2 semanas</w:t>
                            </w:r>
                            <w:r>
                              <w:rPr>
                                <w:rFonts w:ascii="Times New Roman" w:eastAsia="Times New Roman" w:hAnsi="Times New Roman" w:cs="Times New Roman"/>
                                <w:color w:val="000000"/>
                                <w:sz w:val="16"/>
                                <w:szCs w:val="16"/>
                              </w:rPr>
                              <w:tab/>
                              <w:t>con una diferencia de 2 semanas</w:t>
                            </w:r>
                          </w:p>
                        </w:tc>
                      </w:tr>
                    </w:tbl>
                    <w:p w14:paraId="6DD4EC7D" w14:textId="77777777" w:rsidR="00924992" w:rsidRDefault="00924992">
                      <w:pPr>
                        <w:spacing w:line="1" w:lineRule="exact"/>
                      </w:pPr>
                    </w:p>
                  </w:txbxContent>
                </v:textbox>
                <w10:wrap type="topAndBottom" anchorx="page"/>
              </v:shape>
            </w:pict>
          </mc:Fallback>
        </mc:AlternateContent>
      </w:r>
      <w:r>
        <w:rPr>
          <w:noProof/>
        </w:rPr>
        <mc:AlternateContent>
          <mc:Choice Requires="wps">
            <w:drawing>
              <wp:anchor distT="0" distB="0" distL="0" distR="0" simplePos="0" relativeHeight="251796480" behindDoc="0" locked="0" layoutInCell="1" allowOverlap="1" wp14:anchorId="3D27C983" wp14:editId="3A6A78B6">
                <wp:simplePos x="0" y="0"/>
                <wp:positionH relativeFrom="page">
                  <wp:posOffset>502920</wp:posOffset>
                </wp:positionH>
                <wp:positionV relativeFrom="paragraph">
                  <wp:posOffset>1560195</wp:posOffset>
                </wp:positionV>
                <wp:extent cx="5711825" cy="289560"/>
                <wp:effectExtent l="0" t="0" r="0" b="0"/>
                <wp:wrapNone/>
                <wp:docPr id="2422" name="Shape 2422"/>
                <wp:cNvGraphicFramePr/>
                <a:graphic xmlns:a="http://schemas.openxmlformats.org/drawingml/2006/main">
                  <a:graphicData uri="http://schemas.microsoft.com/office/word/2010/wordprocessingShape">
                    <wps:wsp>
                      <wps:cNvSpPr txBox="1"/>
                      <wps:spPr>
                        <a:xfrm>
                          <a:off x="0" y="0"/>
                          <a:ext cx="5711825" cy="289560"/>
                        </a:xfrm>
                        <a:prstGeom prst="rect">
                          <a:avLst/>
                        </a:prstGeom>
                        <a:noFill/>
                      </wps:spPr>
                      <wps:txbx>
                        <w:txbxContent>
                          <w:p w14:paraId="2C7DA34D" w14:textId="77777777" w:rsidR="00924992" w:rsidRDefault="00924992">
                            <w:pPr>
                              <w:pStyle w:val="Tablecaption0"/>
                              <w:tabs>
                                <w:tab w:val="left" w:pos="2702"/>
                                <w:tab w:val="left" w:pos="5477"/>
                              </w:tabs>
                              <w:spacing w:line="240" w:lineRule="auto"/>
                              <w:ind w:left="0"/>
                              <w:rPr>
                                <w:sz w:val="16"/>
                                <w:szCs w:val="16"/>
                              </w:rPr>
                            </w:pPr>
                            <w:r>
                              <w:rPr>
                                <w:color w:val="000000"/>
                                <w:sz w:val="16"/>
                                <w:szCs w:val="16"/>
                              </w:rPr>
                              <w:t>Fármaco más indicado:</w:t>
                            </w:r>
                            <w:r>
                              <w:rPr>
                                <w:color w:val="000000"/>
                                <w:sz w:val="16"/>
                                <w:szCs w:val="16"/>
                              </w:rPr>
                              <w:tab/>
                              <w:t>Albendazol</w:t>
                            </w:r>
                            <w:r>
                              <w:rPr>
                                <w:color w:val="000000"/>
                                <w:sz w:val="16"/>
                                <w:szCs w:val="16"/>
                                <w:vertAlign w:val="superscript"/>
                              </w:rPr>
                              <w:t>3</w:t>
                            </w:r>
                            <w:r>
                              <w:rPr>
                                <w:color w:val="000000"/>
                                <w:sz w:val="16"/>
                                <w:szCs w:val="16"/>
                              </w:rPr>
                              <w:tab/>
                              <w:t xml:space="preserve">400 mg bid </w:t>
                            </w:r>
                            <w:r>
                              <w:rPr>
                                <w:rFonts w:ascii="Garamond" w:eastAsia="Garamond" w:hAnsi="Garamond" w:cs="Garamond"/>
                                <w:color w:val="000000"/>
                                <w:sz w:val="19"/>
                                <w:szCs w:val="19"/>
                              </w:rPr>
                              <w:t xml:space="preserve">x </w:t>
                            </w:r>
                            <w:r>
                              <w:rPr>
                                <w:color w:val="000000"/>
                                <w:sz w:val="16"/>
                                <w:szCs w:val="16"/>
                              </w:rPr>
                              <w:t>21 días</w:t>
                            </w:r>
                          </w:p>
                          <w:p w14:paraId="6AEE9D22" w14:textId="77777777" w:rsidR="00924992" w:rsidRDefault="00924992">
                            <w:pPr>
                              <w:pStyle w:val="Tablecaption0"/>
                              <w:spacing w:line="240" w:lineRule="auto"/>
                              <w:ind w:left="0"/>
                              <w:rPr>
                                <w:sz w:val="16"/>
                                <w:szCs w:val="16"/>
                              </w:rPr>
                            </w:pPr>
                            <w:r>
                              <w:rPr>
                                <w:b/>
                                <w:bCs/>
                                <w:color w:val="000000"/>
                                <w:sz w:val="16"/>
                                <w:szCs w:val="16"/>
                              </w:rPr>
                              <w:t xml:space="preserve">Diseminada </w:t>
                            </w:r>
                            <w:r>
                              <w:rPr>
                                <w:i/>
                                <w:iCs/>
                                <w:color w:val="000000"/>
                                <w:sz w:val="16"/>
                                <w:szCs w:val="16"/>
                              </w:rPr>
                              <w:t>(E. hellem, E. cuniculi, E. intestinalis,</w:t>
                            </w:r>
                            <w:r>
                              <w:rPr>
                                <w:color w:val="000000"/>
                                <w:sz w:val="16"/>
                                <w:szCs w:val="16"/>
                              </w:rPr>
                              <w:t xml:space="preserve"> especies de </w:t>
                            </w:r>
                            <w:r>
                              <w:rPr>
                                <w:i/>
                                <w:iCs/>
                                <w:color w:val="000000"/>
                                <w:sz w:val="16"/>
                                <w:szCs w:val="16"/>
                              </w:rPr>
                              <w:t>Pleistophora,</w:t>
                            </w:r>
                            <w:r>
                              <w:rPr>
                                <w:color w:val="000000"/>
                                <w:sz w:val="16"/>
                                <w:szCs w:val="16"/>
                              </w:rPr>
                              <w:t xml:space="preserve"> especies de </w:t>
                            </w:r>
                            <w:r>
                              <w:rPr>
                                <w:i/>
                                <w:iCs/>
                                <w:color w:val="000000"/>
                                <w:sz w:val="16"/>
                                <w:szCs w:val="16"/>
                              </w:rPr>
                              <w:t>Trachipleistophora</w:t>
                            </w:r>
                            <w:r>
                              <w:rPr>
                                <w:color w:val="000000"/>
                                <w:sz w:val="16"/>
                                <w:szCs w:val="16"/>
                              </w:rPr>
                              <w:t xml:space="preserve"> y </w:t>
                            </w:r>
                            <w:r>
                              <w:rPr>
                                <w:i/>
                                <w:iCs/>
                                <w:color w:val="000000"/>
                                <w:sz w:val="16"/>
                                <w:szCs w:val="16"/>
                              </w:rPr>
                              <w:t>Brachiola vesicularum)</w:t>
                            </w:r>
                          </w:p>
                        </w:txbxContent>
                      </wps:txbx>
                      <wps:bodyPr lIns="0" tIns="0" rIns="0" bIns="0"/>
                    </wps:wsp>
                  </a:graphicData>
                </a:graphic>
              </wp:anchor>
            </w:drawing>
          </mc:Choice>
          <mc:Fallback>
            <w:pict>
              <v:shape w14:anchorId="3D27C983" id="Shape 2422" o:spid="_x0000_s1094" type="#_x0000_t202" style="position:absolute;margin-left:39.6pt;margin-top:122.85pt;width:449.75pt;height:22.8pt;z-index:25179648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" filled="f" stroked="f">
                <v:textbox inset="0,0,0,0">
                  <w:txbxContent>
                    <w:p w14:paraId="2C7DA34D" w14:textId="77777777" w:rsidR="00924992" w:rsidRDefault="00924992">
                      <w:pPr>
                        <w:pStyle w:val="Tablecaption0"/>
                        <w:tabs>
                          <w:tab w:val="left" w:pos="2702"/>
                          <w:tab w:val="left" w:pos="5477"/>
                        </w:tabs>
                        <w:spacing w:line="240" w:lineRule="auto"/>
                        <w:ind w:left="0"/>
                        <w:rPr>
                          <w:sz w:val="16"/>
                          <w:szCs w:val="16"/>
                        </w:rPr>
                      </w:pPr>
                      <w:r>
                        <w:rPr>
                          <w:color w:val="000000"/>
                          <w:sz w:val="16"/>
                          <w:szCs w:val="16"/>
                        </w:rPr>
                        <w:t>Fármaco más indicado:</w:t>
                      </w:r>
                      <w:r>
                        <w:rPr>
                          <w:color w:val="000000"/>
                          <w:sz w:val="16"/>
                          <w:szCs w:val="16"/>
                        </w:rPr>
                        <w:tab/>
                        <w:t>Albendazol</w:t>
                      </w:r>
                      <w:r>
                        <w:rPr>
                          <w:color w:val="000000"/>
                          <w:sz w:val="16"/>
                          <w:szCs w:val="16"/>
                          <w:vertAlign w:val="superscript"/>
                        </w:rPr>
                        <w:t>3</w:t>
                      </w:r>
                      <w:r>
                        <w:rPr>
                          <w:color w:val="000000"/>
                          <w:sz w:val="16"/>
                          <w:szCs w:val="16"/>
                        </w:rPr>
                        <w:tab/>
                        <w:t xml:space="preserve">400 mg bid </w:t>
                      </w:r>
                      <w:r>
                        <w:rPr>
                          <w:rFonts w:ascii="Garamond" w:eastAsia="Garamond" w:hAnsi="Garamond" w:cs="Garamond"/>
                          <w:color w:val="000000"/>
                          <w:sz w:val="19"/>
                          <w:szCs w:val="19"/>
                        </w:rPr>
                        <w:t xml:space="preserve">x </w:t>
                      </w:r>
                      <w:r>
                        <w:rPr>
                          <w:color w:val="000000"/>
                          <w:sz w:val="16"/>
                          <w:szCs w:val="16"/>
                        </w:rPr>
                        <w:t>21 días</w:t>
                      </w:r>
                    </w:p>
                    <w:p w14:paraId="6AEE9D22" w14:textId="77777777" w:rsidR="00924992" w:rsidRDefault="00924992">
                      <w:pPr>
                        <w:pStyle w:val="Tablecaption0"/>
                        <w:spacing w:line="240" w:lineRule="auto"/>
                        <w:ind w:left="0"/>
                        <w:rPr>
                          <w:sz w:val="16"/>
                          <w:szCs w:val="16"/>
                        </w:rPr>
                      </w:pPr>
                      <w:r>
                        <w:rPr>
                          <w:b/>
                          <w:bCs/>
                          <w:color w:val="000000"/>
                          <w:sz w:val="16"/>
                          <w:szCs w:val="16"/>
                        </w:rPr>
                        <w:t xml:space="preserve">Diseminada </w:t>
                      </w:r>
                      <w:r>
                        <w:rPr>
                          <w:i/>
                          <w:iCs/>
                          <w:color w:val="000000"/>
                          <w:sz w:val="16"/>
                          <w:szCs w:val="16"/>
                        </w:rPr>
                        <w:t>(E. hellem, E. cuniculi, E. intestinalis,</w:t>
                      </w:r>
                      <w:r>
                        <w:rPr>
                          <w:color w:val="000000"/>
                          <w:sz w:val="16"/>
                          <w:szCs w:val="16"/>
                        </w:rPr>
                        <w:t xml:space="preserve"> especies de </w:t>
                      </w:r>
                      <w:r>
                        <w:rPr>
                          <w:i/>
                          <w:iCs/>
                          <w:color w:val="000000"/>
                          <w:sz w:val="16"/>
                          <w:szCs w:val="16"/>
                        </w:rPr>
                        <w:t>Pleistophora,</w:t>
                      </w:r>
                      <w:r>
                        <w:rPr>
                          <w:color w:val="000000"/>
                          <w:sz w:val="16"/>
                          <w:szCs w:val="16"/>
                        </w:rPr>
                        <w:t xml:space="preserve"> especies de </w:t>
                      </w:r>
                      <w:r>
                        <w:rPr>
                          <w:i/>
                          <w:iCs/>
                          <w:color w:val="000000"/>
                          <w:sz w:val="16"/>
                          <w:szCs w:val="16"/>
                        </w:rPr>
                        <w:t>Trachipleistophora</w:t>
                      </w:r>
                      <w:r>
                        <w:rPr>
                          <w:color w:val="000000"/>
                          <w:sz w:val="16"/>
                          <w:szCs w:val="16"/>
                        </w:rPr>
                        <w:t xml:space="preserve"> y </w:t>
                      </w:r>
                      <w:r>
                        <w:rPr>
                          <w:i/>
                          <w:iCs/>
                          <w:color w:val="000000"/>
                          <w:sz w:val="16"/>
                          <w:szCs w:val="16"/>
                        </w:rPr>
                        <w:t>Brachiola vesicularum)</w:t>
                      </w:r>
                    </w:p>
                  </w:txbxContent>
                </v:textbox>
                <w10:wrap anchorx="page"/>
              </v:shape>
            </w:pict>
          </mc:Fallback>
        </mc:AlternateContent>
      </w:r>
      <w:r>
        <w:rPr>
          <w:noProof/>
        </w:rPr>
        <mc:AlternateContent>
          <mc:Choice Requires="wps">
            <w:drawing>
              <wp:anchor distT="0" distB="0" distL="0" distR="0" simplePos="0" relativeHeight="251797504" behindDoc="0" locked="0" layoutInCell="1" allowOverlap="1" wp14:anchorId="21A5BAF5" wp14:editId="6E01FE80">
                <wp:simplePos x="0" y="0"/>
                <wp:positionH relativeFrom="page">
                  <wp:posOffset>433070</wp:posOffset>
                </wp:positionH>
                <wp:positionV relativeFrom="paragraph">
                  <wp:posOffset>2392680</wp:posOffset>
                </wp:positionV>
                <wp:extent cx="3745865" cy="280670"/>
                <wp:effectExtent l="0" t="0" r="0" b="0"/>
                <wp:wrapNone/>
                <wp:docPr id="2424" name="Shape 2424"/>
                <wp:cNvGraphicFramePr/>
                <a:graphic xmlns:a="http://schemas.openxmlformats.org/drawingml/2006/main">
                  <a:graphicData uri="http://schemas.microsoft.com/office/word/2010/wordprocessingShape">
                    <wps:wsp>
                      <wps:cNvSpPr txBox="1"/>
                      <wps:spPr>
                        <a:xfrm>
                          <a:off x="0" y="0"/>
                          <a:ext cx="3745865" cy="280670"/>
                        </a:xfrm>
                        <a:prstGeom prst="rect">
                          <a:avLst/>
                        </a:prstGeom>
                        <a:noFill/>
                      </wps:spPr>
                      <wps:txbx>
                        <w:txbxContent>
                          <w:p w14:paraId="5F2E7CDF" w14:textId="77777777" w:rsidR="00924992" w:rsidRDefault="00924992">
                            <w:pPr>
                              <w:pStyle w:val="Tablecaption0"/>
                              <w:spacing w:line="262" w:lineRule="auto"/>
                              <w:ind w:left="0"/>
                              <w:rPr>
                                <w:sz w:val="16"/>
                                <w:szCs w:val="16"/>
                              </w:rPr>
                            </w:pPr>
                            <w:r>
                              <w:rPr>
                                <w:b/>
                                <w:bCs/>
                                <w:color w:val="000000"/>
                                <w:sz w:val="16"/>
                                <w:szCs w:val="16"/>
                              </w:rPr>
                              <w:t>Naegleria, especies</w:t>
                            </w:r>
                            <w:r>
                              <w:rPr>
                                <w:color w:val="000000"/>
                                <w:sz w:val="16"/>
                                <w:szCs w:val="16"/>
                              </w:rPr>
                              <w:t xml:space="preserve">, véase “AMIBIANA PRIMARIA, MENINGOENCEFALITIS” </w:t>
                            </w:r>
                            <w:r>
                              <w:rPr>
                                <w:b/>
                                <w:bCs/>
                                <w:i/>
                                <w:iCs/>
                                <w:color w:val="000000"/>
                                <w:sz w:val="17"/>
                                <w:szCs w:val="17"/>
                              </w:rPr>
                              <w:t>Necator americanus,</w:t>
                            </w:r>
                            <w:r>
                              <w:rPr>
                                <w:color w:val="000000"/>
                                <w:sz w:val="16"/>
                                <w:szCs w:val="16"/>
                              </w:rPr>
                              <w:t xml:space="preserve"> véase “UNCINARIASIS (anquilostomiasis)”</w:t>
                            </w:r>
                          </w:p>
                        </w:txbxContent>
                      </wps:txbx>
                      <wps:bodyPr lIns="0" tIns="0" rIns="0" bIns="0"/>
                    </wps:wsp>
                  </a:graphicData>
                </a:graphic>
              </wp:anchor>
            </w:drawing>
          </mc:Choice>
          <mc:Fallback>
            <w:pict>
              <v:shape w14:anchorId="21A5BAF5" id="Shape 2424" o:spid="_x0000_s1095" type="#_x0000_t202" style="position:absolute;margin-left:34.1pt;margin-top:188.4pt;width:294.95pt;height:22.1pt;z-index:25179750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" filled="f" stroked="f">
                <v:textbox inset="0,0,0,0">
                  <w:txbxContent>
                    <w:p w14:paraId="5F2E7CDF" w14:textId="77777777" w:rsidR="00924992" w:rsidRDefault="00924992">
                      <w:pPr>
                        <w:pStyle w:val="Tablecaption0"/>
                        <w:spacing w:line="262" w:lineRule="auto"/>
                        <w:ind w:left="0"/>
                        <w:rPr>
                          <w:sz w:val="16"/>
                          <w:szCs w:val="16"/>
                        </w:rPr>
                      </w:pPr>
                      <w:r>
                        <w:rPr>
                          <w:b/>
                          <w:bCs/>
                          <w:color w:val="000000"/>
                          <w:sz w:val="16"/>
                          <w:szCs w:val="16"/>
                        </w:rPr>
                        <w:t>Naegleria, especies</w:t>
                      </w:r>
                      <w:r>
                        <w:rPr>
                          <w:color w:val="000000"/>
                          <w:sz w:val="16"/>
                          <w:szCs w:val="16"/>
                        </w:rPr>
                        <w:t xml:space="preserve">, véase “AMIBIANA PRIMARIA, MENINGOENCEFALITIS” </w:t>
                      </w:r>
                      <w:r>
                        <w:rPr>
                          <w:b/>
                          <w:bCs/>
                          <w:i/>
                          <w:iCs/>
                          <w:color w:val="000000"/>
                          <w:sz w:val="17"/>
                          <w:szCs w:val="17"/>
                        </w:rPr>
                        <w:t>Necator americanus,</w:t>
                      </w:r>
                      <w:r>
                        <w:rPr>
                          <w:color w:val="000000"/>
                          <w:sz w:val="16"/>
                          <w:szCs w:val="16"/>
                        </w:rPr>
                        <w:t xml:space="preserve"> véase “UNCINARIASIS (anquilostomiasis)”</w:t>
                      </w:r>
                    </w:p>
                  </w:txbxContent>
                </v:textbox>
                <w10:wrap anchorx="page"/>
              </v:shape>
            </w:pict>
          </mc:Fallback>
        </mc:AlternateContent>
      </w:r>
      <w:r>
        <w:rPr>
          <w:noProof/>
        </w:rPr>
        <mc:AlternateContent>
          <mc:Choice Requires="wps">
            <w:drawing>
              <wp:anchor distT="0" distB="0" distL="0" distR="0" simplePos="0" relativeHeight="251718656" behindDoc="0" locked="0" layoutInCell="1" allowOverlap="1" wp14:anchorId="5D8D68DD" wp14:editId="14FCC393">
                <wp:simplePos x="0" y="0"/>
                <wp:positionH relativeFrom="page">
                  <wp:posOffset>7867015</wp:posOffset>
                </wp:positionH>
                <wp:positionV relativeFrom="paragraph">
                  <wp:posOffset>1505585</wp:posOffset>
                </wp:positionV>
                <wp:extent cx="121920" cy="2874010"/>
                <wp:effectExtent l="0" t="0" r="0" b="0"/>
                <wp:wrapSquare wrapText="bothSides"/>
                <wp:docPr id="2426" name="Shape 2426"/>
                <wp:cNvGraphicFramePr/>
                <a:graphic xmlns:a="http://schemas.openxmlformats.org/drawingml/2006/main">
                  <a:graphicData uri="http://schemas.microsoft.com/office/word/2010/wordprocessingShape">
                    <wps:wsp>
                      <wps:cNvSpPr txBox="1"/>
                      <wps:spPr>
                        <a:xfrm>
                          <a:off x="0" y="0"/>
                          <a:ext cx="121920" cy="2874010"/>
                        </a:xfrm>
                        <a:prstGeom prst="rect">
                          <a:avLst/>
                        </a:prstGeom>
                        <a:noFill/>
                      </wps:spPr>
                      <wps:txbx>
                        <w:txbxContent>
                          <w:p w14:paraId="6B2AE0D6" w14:textId="77777777" w:rsidR="00924992" w:rsidRDefault="00924992">
                            <w:pPr>
                              <w:pStyle w:val="Bodytext80"/>
                              <w:tabs>
                                <w:tab w:val="left" w:pos="4210"/>
                              </w:tabs>
                              <w:rPr>
                                <w:sz w:val="16"/>
                                <w:szCs w:val="16"/>
                              </w:rPr>
                            </w:pPr>
                            <w:r>
                              <w:t>FÁRMACOS ANTIPARASITARIOS</w:t>
                            </w:r>
                            <w:r>
                              <w:tab/>
                            </w:r>
                            <w:r>
                              <w:rPr>
                                <w:sz w:val="16"/>
                                <w:szCs w:val="16"/>
                              </w:rPr>
                              <w:t>793</w:t>
                            </w:r>
                          </w:p>
                        </w:txbxContent>
                      </wps:txbx>
                      <wps:bodyPr vert="vert" lIns="0" tIns="0" rIns="0" bIns="0" upright="1"/>
                    </wps:wsp>
                  </a:graphicData>
                </a:graphic>
              </wp:anchor>
            </w:drawing>
          </mc:Choice>
          <mc:Fallback>
            <w:pict>
              <v:shape w14:anchorId="5D8D68DD" id="Shape 2426" o:spid="_x0000_s1096" type="#_x0000_t202" style="position:absolute;margin-left:619.45pt;margin-top:118.55pt;width:9.6pt;height:226.3pt;z-index:25171865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" filled="f" stroked="f">
                <v:textbox style="layout-flow:vertical" inset="0,0,0,0">
                  <w:txbxContent>
                    <w:p w14:paraId="6B2AE0D6" w14:textId="77777777" w:rsidR="00924992" w:rsidRDefault="00924992">
                      <w:pPr>
                        <w:pStyle w:val="Bodytext80"/>
                        <w:tabs>
                          <w:tab w:val="left" w:pos="4210"/>
                        </w:tabs>
                        <w:rPr>
                          <w:sz w:val="16"/>
                          <w:szCs w:val="16"/>
                        </w:rPr>
                      </w:pPr>
                      <w:r>
                        <w:t>FÁRMACOS ANTIPARASITARIOS</w:t>
                      </w:r>
                      <w:r>
                        <w:tab/>
                      </w:r>
                      <w:r>
                        <w:rPr>
                          <w:sz w:val="16"/>
                          <w:szCs w:val="16"/>
                        </w:rPr>
                        <w:t>793</w:t>
                      </w:r>
                    </w:p>
                  </w:txbxContent>
                </v:textbox>
                <w10:wrap type="square" anchorx="page"/>
              </v:shape>
            </w:pict>
          </mc:Fallback>
        </mc:AlternateContent>
      </w:r>
    </w:p>
    <w:p w14:paraId="1FD4BED1" w14:textId="77777777" w:rsidR="00924992" w:rsidRDefault="00924992">
      <w:pPr>
        <w:pStyle w:val="Heading31"/>
        <w:keepNext/>
        <w:keepLines/>
        <w:spacing w:after="40"/>
        <w:jc w:val="center"/>
        <w:rPr>
          <w:sz w:val="16"/>
          <w:szCs w:val="16"/>
        </w:rPr>
      </w:pPr>
      <w:bookmarkStart w:id="591" w:name="bookmark2022"/>
      <w:bookmarkStart w:id="592" w:name="bookmark2023"/>
      <w:bookmarkStart w:id="593" w:name="bookmark2024"/>
      <w:r>
        <w:rPr>
          <w:b w:val="0"/>
          <w:bCs w:val="0"/>
          <w:color w:val="000000"/>
        </w:rPr>
        <w:t xml:space="preserve">Cuadro 4-13. </w:t>
      </w:r>
      <w:r>
        <w:rPr>
          <w:color w:val="000000"/>
        </w:rPr>
        <w:t xml:space="preserve">Fármacos antiparasitarios </w:t>
      </w:r>
      <w:r>
        <w:rPr>
          <w:rFonts w:ascii="Times New Roman" w:eastAsia="Times New Roman" w:hAnsi="Times New Roman" w:cs="Times New Roman"/>
          <w:b w:val="0"/>
          <w:bCs w:val="0"/>
          <w:i/>
          <w:iCs/>
          <w:color w:val="000000"/>
          <w:w w:val="100"/>
          <w:sz w:val="16"/>
          <w:szCs w:val="16"/>
        </w:rPr>
        <w:t>continuación</w:t>
      </w:r>
      <w:bookmarkEnd w:id="591"/>
      <w:bookmarkEnd w:id="592"/>
      <w:bookmarkEnd w:id="593"/>
    </w:p>
    <w:p w14:paraId="3FA92254" w14:textId="77777777" w:rsidR="00924992" w:rsidRDefault="00924992">
      <w:pPr>
        <w:pStyle w:val="Heading41"/>
        <w:keepNext/>
        <w:keepLines/>
        <w:pBdr>
          <w:top w:val="single" w:sz="0" w:space="0" w:color="000000"/>
          <w:left w:val="single" w:sz="0" w:space="0" w:color="000000"/>
          <w:bottom w:val="single" w:sz="0" w:space="3" w:color="000000"/>
          <w:right w:val="single" w:sz="0" w:space="0" w:color="000000"/>
        </w:pBdr>
        <w:shd w:val="clear" w:color="auto" w:fill="000000"/>
        <w:tabs>
          <w:tab w:val="left" w:pos="2827"/>
          <w:tab w:val="left" w:pos="5664"/>
          <w:tab w:val="left" w:pos="8496"/>
        </w:tabs>
        <w:sectPr w:rsidR="00924992" w:rsidSect="00924992">
          <w:pgSz w:w="13022" w:h="8501" w:orient="landscape"/>
          <w:pgMar w:top="1099" w:right="648" w:bottom="294" w:left="629" w:header="671" w:footer="3" w:gutter="0"/>
          <w:cols w:space="720"/>
          <w:noEndnote/>
          <w:docGrid w:linePitch="360"/>
          <w15:footnoteColumns w:val="1"/>
        </w:sectPr>
      </w:pPr>
      <w:bookmarkStart w:id="594" w:name="bookmark2025"/>
      <w:bookmarkStart w:id="595" w:name="bookmark2026"/>
      <w:bookmarkStart w:id="596" w:name="bookmark2027"/>
      <w:r>
        <w:rPr>
          <w:color w:val="FFFFFF"/>
        </w:rPr>
        <w:t>Infección</w:t>
      </w:r>
      <w:r>
        <w:rPr>
          <w:color w:val="FFFFFF"/>
        </w:rPr>
        <w:tab/>
        <w:t>Fármaco</w:t>
      </w:r>
      <w:r>
        <w:rPr>
          <w:color w:val="FFFFFF"/>
        </w:rPr>
        <w:tab/>
        <w:t>Dosis para adultos</w:t>
      </w:r>
      <w:r>
        <w:rPr>
          <w:color w:val="FFFFFF"/>
        </w:rPr>
        <w:tab/>
        <w:t>Dosis para niños</w:t>
      </w:r>
      <w:bookmarkEnd w:id="594"/>
      <w:bookmarkEnd w:id="595"/>
      <w:bookmarkEnd w:id="596"/>
    </w:p>
    <w:p w14:paraId="5696D884" w14:textId="77777777" w:rsidR="00924992" w:rsidRDefault="00924992">
      <w:pPr>
        <w:pStyle w:val="Heading31"/>
        <w:keepNext/>
        <w:keepLines/>
        <w:framePr w:w="4618" w:h="322" w:wrap="none" w:hAnchor="page" w:x="4038" w:y="1"/>
        <w:rPr>
          <w:sz w:val="16"/>
          <w:szCs w:val="16"/>
        </w:rPr>
      </w:pPr>
      <w:bookmarkStart w:id="597" w:name="bookmark2028"/>
      <w:bookmarkStart w:id="598" w:name="bookmark2029"/>
      <w:bookmarkStart w:id="599" w:name="bookmark2030"/>
      <w:r>
        <w:rPr>
          <w:b w:val="0"/>
          <w:bCs w:val="0"/>
          <w:color w:val="000000"/>
        </w:rPr>
        <w:t xml:space="preserve">Cuadro 4-13. </w:t>
      </w:r>
      <w:r>
        <w:rPr>
          <w:color w:val="000000"/>
        </w:rPr>
        <w:t xml:space="preserve">Fármacos antiparasitarios </w:t>
      </w:r>
      <w:r>
        <w:rPr>
          <w:rFonts w:ascii="Times New Roman" w:eastAsia="Times New Roman" w:hAnsi="Times New Roman" w:cs="Times New Roman"/>
          <w:b w:val="0"/>
          <w:bCs w:val="0"/>
          <w:i/>
          <w:iCs/>
          <w:color w:val="000000"/>
          <w:w w:val="100"/>
          <w:sz w:val="16"/>
          <w:szCs w:val="16"/>
        </w:rPr>
        <w:t>continuación</w:t>
      </w:r>
      <w:bookmarkEnd w:id="597"/>
      <w:bookmarkEnd w:id="598"/>
      <w:bookmarkEnd w:id="599"/>
    </w:p>
    <w:tbl>
      <w:tblPr>
        <w:tblOverlap w:val="never"/>
        <w:tblW w:w="0" w:type="auto"/>
        <w:tblLayout w:type="fixed"/>
        <w:tblCellMar>
          <w:left w:w="10" w:type="dxa"/>
          <w:right w:w="10" w:type="dxa"/>
        </w:tblCellMar>
        <w:tblLook w:val="04A0" w:firstRow="1" w:lastRow="0" w:firstColumn="1" w:lastColumn="0" w:noHBand="0" w:noVBand="1"/>
      </w:tblPr>
      <w:tblGrid>
        <w:gridCol w:w="2040"/>
        <w:gridCol w:w="3192"/>
        <w:gridCol w:w="3144"/>
        <w:gridCol w:w="3058"/>
      </w:tblGrid>
      <w:tr w:rsidR="00924992" w14:paraId="3876585A" w14:textId="77777777">
        <w:tblPrEx>
          <w:tblCellMar>
            <w:top w:w="0" w:type="dxa"/>
            <w:bottom w:w="0" w:type="dxa"/>
          </w:tblCellMar>
        </w:tblPrEx>
        <w:trPr>
          <w:trHeight w:hRule="exact" w:val="278"/>
        </w:trPr>
        <w:tc>
          <w:tcPr>
            <w:tcW w:w="2040" w:type="dxa"/>
            <w:shd w:val="clear" w:color="auto" w:fill="000000"/>
          </w:tcPr>
          <w:p w14:paraId="73FD1E49" w14:textId="77777777" w:rsidR="00924992" w:rsidRDefault="00924992">
            <w:pPr>
              <w:pStyle w:val="Other0"/>
              <w:framePr w:w="11434" w:h="5246" w:wrap="none" w:hAnchor="page" w:x="635" w:y="371"/>
              <w:pBdr>
                <w:top w:val="single" w:sz="0" w:space="0" w:color="000000"/>
                <w:left w:val="single" w:sz="0" w:space="0" w:color="000000"/>
                <w:bottom w:val="single" w:sz="0" w:space="0" w:color="000000"/>
                <w:right w:val="single" w:sz="0" w:space="0" w:color="000000"/>
              </w:pBdr>
              <w:shd w:val="clear" w:color="auto" w:fill="000000"/>
              <w:spacing w:line="240" w:lineRule="auto"/>
              <w:ind w:firstLine="0"/>
              <w:rPr>
                <w:sz w:val="24"/>
                <w:szCs w:val="24"/>
              </w:rPr>
            </w:pPr>
            <w:r>
              <w:rPr>
                <w:rFonts w:ascii="Arial" w:eastAsia="Arial" w:hAnsi="Arial" w:cs="Arial"/>
                <w:b/>
                <w:bCs/>
                <w:color w:val="FFFFFF"/>
                <w:w w:val="70"/>
                <w:sz w:val="24"/>
                <w:szCs w:val="24"/>
              </w:rPr>
              <w:t>Infección</w:t>
            </w:r>
          </w:p>
        </w:tc>
        <w:tc>
          <w:tcPr>
            <w:tcW w:w="3192" w:type="dxa"/>
            <w:shd w:val="clear" w:color="auto" w:fill="000000"/>
          </w:tcPr>
          <w:p w14:paraId="507FCAA8" w14:textId="77777777" w:rsidR="00924992" w:rsidRDefault="00924992">
            <w:pPr>
              <w:pStyle w:val="Other0"/>
              <w:framePr w:w="11434" w:h="5246" w:wrap="none" w:hAnchor="page" w:x="635" w:y="371"/>
              <w:pBdr>
                <w:top w:val="single" w:sz="0" w:space="0" w:color="000000"/>
                <w:left w:val="single" w:sz="0" w:space="0" w:color="000000"/>
                <w:bottom w:val="single" w:sz="0" w:space="0" w:color="000000"/>
                <w:right w:val="single" w:sz="0" w:space="0" w:color="000000"/>
              </w:pBdr>
              <w:shd w:val="clear" w:color="auto" w:fill="000000"/>
              <w:spacing w:line="240" w:lineRule="auto"/>
              <w:ind w:firstLine="840"/>
              <w:rPr>
                <w:sz w:val="24"/>
                <w:szCs w:val="24"/>
              </w:rPr>
            </w:pPr>
            <w:r>
              <w:rPr>
                <w:rFonts w:ascii="Arial" w:eastAsia="Arial" w:hAnsi="Arial" w:cs="Arial"/>
                <w:b/>
                <w:bCs/>
                <w:color w:val="FFFFFF"/>
                <w:w w:val="70"/>
                <w:sz w:val="24"/>
                <w:szCs w:val="24"/>
              </w:rPr>
              <w:t>Fármaco</w:t>
            </w:r>
          </w:p>
        </w:tc>
        <w:tc>
          <w:tcPr>
            <w:tcW w:w="3144" w:type="dxa"/>
            <w:shd w:val="clear" w:color="auto" w:fill="000000"/>
          </w:tcPr>
          <w:p w14:paraId="518E7DD9" w14:textId="77777777" w:rsidR="00924992" w:rsidRDefault="00924992">
            <w:pPr>
              <w:pStyle w:val="Other0"/>
              <w:framePr w:w="11434" w:h="5246" w:wrap="none" w:hAnchor="page" w:x="635" w:y="371"/>
              <w:pBdr>
                <w:top w:val="single" w:sz="0" w:space="0" w:color="000000"/>
                <w:left w:val="single" w:sz="0" w:space="0" w:color="000000"/>
                <w:bottom w:val="single" w:sz="0" w:space="0" w:color="000000"/>
                <w:right w:val="single" w:sz="0" w:space="0" w:color="000000"/>
              </w:pBdr>
              <w:shd w:val="clear" w:color="auto" w:fill="000000"/>
              <w:spacing w:line="240" w:lineRule="auto"/>
              <w:ind w:firstLine="440"/>
              <w:rPr>
                <w:sz w:val="24"/>
                <w:szCs w:val="24"/>
              </w:rPr>
            </w:pPr>
            <w:r>
              <w:rPr>
                <w:rFonts w:ascii="Arial" w:eastAsia="Arial" w:hAnsi="Arial" w:cs="Arial"/>
                <w:b/>
                <w:bCs/>
                <w:color w:val="FFFFFF"/>
                <w:w w:val="70"/>
                <w:sz w:val="24"/>
                <w:szCs w:val="24"/>
              </w:rPr>
              <w:t>Dosis para adultos</w:t>
            </w:r>
          </w:p>
        </w:tc>
        <w:tc>
          <w:tcPr>
            <w:tcW w:w="3058" w:type="dxa"/>
            <w:shd w:val="clear" w:color="auto" w:fill="000000"/>
          </w:tcPr>
          <w:p w14:paraId="627EE078" w14:textId="77777777" w:rsidR="00924992" w:rsidRDefault="00924992">
            <w:pPr>
              <w:pStyle w:val="Other0"/>
              <w:framePr w:w="11434" w:h="5246" w:wrap="none" w:hAnchor="page" w:x="635" w:y="371"/>
              <w:pBdr>
                <w:top w:val="single" w:sz="0" w:space="0" w:color="000000"/>
                <w:left w:val="single" w:sz="0" w:space="0" w:color="000000"/>
                <w:bottom w:val="single" w:sz="0" w:space="0" w:color="000000"/>
                <w:right w:val="single" w:sz="0" w:space="0" w:color="000000"/>
              </w:pBdr>
              <w:shd w:val="clear" w:color="auto" w:fill="000000"/>
              <w:tabs>
                <w:tab w:val="left" w:pos="3007"/>
              </w:tabs>
              <w:spacing w:line="240" w:lineRule="auto"/>
              <w:ind w:firstLine="180"/>
              <w:rPr>
                <w:sz w:val="24"/>
                <w:szCs w:val="24"/>
              </w:rPr>
            </w:pPr>
            <w:r>
              <w:rPr>
                <w:rFonts w:ascii="Arial" w:eastAsia="Arial" w:hAnsi="Arial" w:cs="Arial"/>
                <w:b/>
                <w:bCs/>
                <w:color w:val="FFFFFF"/>
                <w:w w:val="70"/>
                <w:sz w:val="24"/>
                <w:szCs w:val="24"/>
              </w:rPr>
              <w:t>Dosis para niños</w:t>
            </w:r>
            <w:r>
              <w:rPr>
                <w:rFonts w:ascii="Arial" w:eastAsia="Arial" w:hAnsi="Arial" w:cs="Arial"/>
                <w:b/>
                <w:bCs/>
                <w:color w:val="FFFFFF"/>
                <w:w w:val="70"/>
                <w:sz w:val="24"/>
                <w:szCs w:val="24"/>
              </w:rPr>
              <w:tab/>
              <w:t>I</w:t>
            </w:r>
          </w:p>
        </w:tc>
      </w:tr>
      <w:tr w:rsidR="00924992" w14:paraId="267DA146" w14:textId="77777777">
        <w:tblPrEx>
          <w:tblCellMar>
            <w:top w:w="0" w:type="dxa"/>
            <w:bottom w:w="0" w:type="dxa"/>
          </w:tblCellMar>
        </w:tblPrEx>
        <w:trPr>
          <w:trHeight w:hRule="exact" w:val="250"/>
        </w:trPr>
        <w:tc>
          <w:tcPr>
            <w:tcW w:w="5232" w:type="dxa"/>
            <w:gridSpan w:val="2"/>
            <w:shd w:val="clear" w:color="auto" w:fill="FFFFFF"/>
            <w:vAlign w:val="bottom"/>
          </w:tcPr>
          <w:p w14:paraId="2F2838BB" w14:textId="77777777" w:rsidR="00924992" w:rsidRDefault="00924992">
            <w:pPr>
              <w:pStyle w:val="Other0"/>
              <w:framePr w:w="11434" w:h="5246" w:wrap="none" w:hAnchor="page" w:x="635" w:y="371"/>
              <w:spacing w:line="240" w:lineRule="auto"/>
              <w:ind w:firstLine="0"/>
              <w:rPr>
                <w:sz w:val="16"/>
                <w:szCs w:val="16"/>
              </w:rPr>
            </w:pPr>
            <w:r>
              <w:rPr>
                <w:rFonts w:ascii="Times New Roman" w:eastAsia="Times New Roman" w:hAnsi="Times New Roman" w:cs="Times New Roman"/>
                <w:b/>
                <w:bCs/>
                <w:i/>
                <w:iCs/>
                <w:color w:val="000000"/>
                <w:sz w:val="17"/>
                <w:szCs w:val="17"/>
              </w:rPr>
              <w:t xml:space="preserve">OESOPHAGOSTOMUM </w:t>
            </w:r>
            <w:r>
              <w:rPr>
                <w:rFonts w:ascii="Times New Roman" w:eastAsia="Times New Roman" w:hAnsi="Times New Roman" w:cs="Times New Roman"/>
                <w:i/>
                <w:iCs/>
                <w:color w:val="000000"/>
                <w:sz w:val="16"/>
                <w:szCs w:val="16"/>
              </w:rPr>
              <w:t>bifurcum</w:t>
            </w:r>
          </w:p>
        </w:tc>
        <w:tc>
          <w:tcPr>
            <w:tcW w:w="3144" w:type="dxa"/>
            <w:shd w:val="clear" w:color="auto" w:fill="FFFFFF"/>
          </w:tcPr>
          <w:p w14:paraId="35153514" w14:textId="77777777" w:rsidR="00924992" w:rsidRDefault="00924992">
            <w:pPr>
              <w:framePr w:w="11434" w:h="5246" w:wrap="none" w:hAnchor="page" w:x="635" w:y="371"/>
              <w:rPr>
                <w:sz w:val="10"/>
                <w:szCs w:val="10"/>
              </w:rPr>
            </w:pPr>
          </w:p>
        </w:tc>
        <w:tc>
          <w:tcPr>
            <w:tcW w:w="3058" w:type="dxa"/>
            <w:shd w:val="clear" w:color="auto" w:fill="FFFFFF"/>
          </w:tcPr>
          <w:p w14:paraId="09A1FD43" w14:textId="77777777" w:rsidR="00924992" w:rsidRDefault="00924992">
            <w:pPr>
              <w:framePr w:w="11434" w:h="5246" w:wrap="none" w:hAnchor="page" w:x="635" w:y="371"/>
              <w:rPr>
                <w:sz w:val="10"/>
                <w:szCs w:val="10"/>
              </w:rPr>
            </w:pPr>
          </w:p>
        </w:tc>
      </w:tr>
      <w:tr w:rsidR="00924992" w14:paraId="4BB54928" w14:textId="77777777">
        <w:tblPrEx>
          <w:tblCellMar>
            <w:top w:w="0" w:type="dxa"/>
            <w:bottom w:w="0" w:type="dxa"/>
          </w:tblCellMar>
        </w:tblPrEx>
        <w:trPr>
          <w:trHeight w:hRule="exact" w:val="202"/>
        </w:trPr>
        <w:tc>
          <w:tcPr>
            <w:tcW w:w="2040" w:type="dxa"/>
            <w:shd w:val="clear" w:color="auto" w:fill="FFFFFF"/>
            <w:vAlign w:val="bottom"/>
          </w:tcPr>
          <w:p w14:paraId="3CA0BB2B" w14:textId="77777777" w:rsidR="00924992" w:rsidRDefault="00924992">
            <w:pPr>
              <w:pStyle w:val="Other0"/>
              <w:framePr w:w="11434" w:h="5246" w:wrap="none" w:hAnchor="page" w:x="635" w:y="371"/>
              <w:spacing w:line="240" w:lineRule="auto"/>
              <w:ind w:firstLine="140"/>
              <w:rPr>
                <w:sz w:val="16"/>
                <w:szCs w:val="16"/>
              </w:rPr>
            </w:pPr>
            <w:r>
              <w:rPr>
                <w:rFonts w:ascii="Times New Roman" w:eastAsia="Times New Roman" w:hAnsi="Times New Roman" w:cs="Times New Roman"/>
                <w:color w:val="000000"/>
                <w:sz w:val="16"/>
                <w:szCs w:val="16"/>
              </w:rPr>
              <w:t>Fármaco más indicado:</w:t>
            </w:r>
          </w:p>
        </w:tc>
        <w:tc>
          <w:tcPr>
            <w:tcW w:w="3192" w:type="dxa"/>
            <w:shd w:val="clear" w:color="auto" w:fill="FFFFFF"/>
            <w:vAlign w:val="bottom"/>
          </w:tcPr>
          <w:p w14:paraId="7D39380F" w14:textId="77777777" w:rsidR="00924992" w:rsidRDefault="00924992">
            <w:pPr>
              <w:pStyle w:val="Other0"/>
              <w:framePr w:w="11434" w:h="5246" w:wrap="none" w:hAnchor="page" w:x="635" w:y="371"/>
              <w:spacing w:line="240" w:lineRule="auto"/>
              <w:ind w:firstLine="840"/>
              <w:rPr>
                <w:sz w:val="16"/>
                <w:szCs w:val="16"/>
              </w:rPr>
            </w:pPr>
            <w:r>
              <w:rPr>
                <w:rFonts w:ascii="Times New Roman" w:eastAsia="Times New Roman" w:hAnsi="Times New Roman" w:cs="Times New Roman"/>
                <w:color w:val="000000"/>
                <w:sz w:val="16"/>
                <w:szCs w:val="16"/>
              </w:rPr>
              <w:t>Véase pie de cuadro 53</w:t>
            </w:r>
          </w:p>
        </w:tc>
        <w:tc>
          <w:tcPr>
            <w:tcW w:w="3144" w:type="dxa"/>
            <w:shd w:val="clear" w:color="auto" w:fill="FFFFFF"/>
          </w:tcPr>
          <w:p w14:paraId="172896AE" w14:textId="77777777" w:rsidR="00924992" w:rsidRDefault="00924992">
            <w:pPr>
              <w:framePr w:w="11434" w:h="5246" w:wrap="none" w:hAnchor="page" w:x="635" w:y="371"/>
              <w:rPr>
                <w:sz w:val="10"/>
                <w:szCs w:val="10"/>
              </w:rPr>
            </w:pPr>
          </w:p>
        </w:tc>
        <w:tc>
          <w:tcPr>
            <w:tcW w:w="3058" w:type="dxa"/>
            <w:shd w:val="clear" w:color="auto" w:fill="FFFFFF"/>
          </w:tcPr>
          <w:p w14:paraId="0B29552D" w14:textId="77777777" w:rsidR="00924992" w:rsidRDefault="00924992">
            <w:pPr>
              <w:framePr w:w="11434" w:h="5246" w:wrap="none" w:hAnchor="page" w:x="635" w:y="371"/>
              <w:rPr>
                <w:sz w:val="10"/>
                <w:szCs w:val="10"/>
              </w:rPr>
            </w:pPr>
          </w:p>
        </w:tc>
      </w:tr>
      <w:tr w:rsidR="00924992" w14:paraId="7FF1BF5B" w14:textId="77777777">
        <w:tblPrEx>
          <w:tblCellMar>
            <w:top w:w="0" w:type="dxa"/>
            <w:bottom w:w="0" w:type="dxa"/>
          </w:tblCellMar>
        </w:tblPrEx>
        <w:trPr>
          <w:trHeight w:hRule="exact" w:val="197"/>
        </w:trPr>
        <w:tc>
          <w:tcPr>
            <w:tcW w:w="2040" w:type="dxa"/>
            <w:shd w:val="clear" w:color="auto" w:fill="FFFFFF"/>
            <w:vAlign w:val="bottom"/>
          </w:tcPr>
          <w:p w14:paraId="04C46B03" w14:textId="77777777" w:rsidR="00924992" w:rsidRDefault="00924992">
            <w:pPr>
              <w:pStyle w:val="Other0"/>
              <w:framePr w:w="11434" w:h="5246" w:wrap="none" w:hAnchor="page" w:x="635" w:y="371"/>
              <w:spacing w:line="240" w:lineRule="auto"/>
              <w:ind w:firstLine="0"/>
              <w:rPr>
                <w:sz w:val="16"/>
                <w:szCs w:val="16"/>
              </w:rPr>
            </w:pPr>
            <w:r>
              <w:rPr>
                <w:rFonts w:ascii="Times New Roman" w:eastAsia="Times New Roman" w:hAnsi="Times New Roman" w:cs="Times New Roman"/>
                <w:b/>
                <w:bCs/>
                <w:i/>
                <w:iCs/>
                <w:color w:val="000000"/>
                <w:sz w:val="17"/>
                <w:szCs w:val="17"/>
              </w:rPr>
              <w:t>Onchocerca volvulus,</w:t>
            </w:r>
            <w:r>
              <w:rPr>
                <w:rFonts w:ascii="Times New Roman" w:eastAsia="Times New Roman" w:hAnsi="Times New Roman" w:cs="Times New Roman"/>
                <w:color w:val="000000"/>
                <w:sz w:val="16"/>
                <w:szCs w:val="16"/>
              </w:rPr>
              <w:t xml:space="preserve"> véase</w:t>
            </w:r>
          </w:p>
        </w:tc>
        <w:tc>
          <w:tcPr>
            <w:tcW w:w="3192" w:type="dxa"/>
            <w:shd w:val="clear" w:color="auto" w:fill="FFFFFF"/>
            <w:vAlign w:val="bottom"/>
          </w:tcPr>
          <w:p w14:paraId="7E49FFA5" w14:textId="77777777" w:rsidR="00924992" w:rsidRDefault="00924992">
            <w:pPr>
              <w:pStyle w:val="Other0"/>
              <w:framePr w:w="11434" w:h="5246" w:wrap="none" w:hAnchor="page" w:x="635" w:y="371"/>
              <w:spacing w:line="240" w:lineRule="auto"/>
              <w:ind w:firstLine="0"/>
              <w:rPr>
                <w:sz w:val="16"/>
                <w:szCs w:val="16"/>
              </w:rPr>
            </w:pPr>
            <w:r>
              <w:rPr>
                <w:rFonts w:ascii="Times New Roman" w:eastAsia="Times New Roman" w:hAnsi="Times New Roman" w:cs="Times New Roman"/>
                <w:color w:val="000000"/>
                <w:sz w:val="16"/>
                <w:szCs w:val="16"/>
              </w:rPr>
              <w:t>“FILARIASIS”</w:t>
            </w:r>
          </w:p>
        </w:tc>
        <w:tc>
          <w:tcPr>
            <w:tcW w:w="3144" w:type="dxa"/>
            <w:shd w:val="clear" w:color="auto" w:fill="FFFFFF"/>
          </w:tcPr>
          <w:p w14:paraId="77E14790" w14:textId="77777777" w:rsidR="00924992" w:rsidRDefault="00924992">
            <w:pPr>
              <w:framePr w:w="11434" w:h="5246" w:wrap="none" w:hAnchor="page" w:x="635" w:y="371"/>
              <w:rPr>
                <w:sz w:val="10"/>
                <w:szCs w:val="10"/>
              </w:rPr>
            </w:pPr>
          </w:p>
        </w:tc>
        <w:tc>
          <w:tcPr>
            <w:tcW w:w="3058" w:type="dxa"/>
            <w:shd w:val="clear" w:color="auto" w:fill="FFFFFF"/>
          </w:tcPr>
          <w:p w14:paraId="18834B70" w14:textId="77777777" w:rsidR="00924992" w:rsidRDefault="00924992">
            <w:pPr>
              <w:framePr w:w="11434" w:h="5246" w:wrap="none" w:hAnchor="page" w:x="635" w:y="371"/>
              <w:rPr>
                <w:sz w:val="10"/>
                <w:szCs w:val="10"/>
              </w:rPr>
            </w:pPr>
          </w:p>
        </w:tc>
      </w:tr>
      <w:tr w:rsidR="00924992" w14:paraId="10FAD24E" w14:textId="77777777">
        <w:tblPrEx>
          <w:tblCellMar>
            <w:top w:w="0" w:type="dxa"/>
            <w:bottom w:w="0" w:type="dxa"/>
          </w:tblCellMar>
        </w:tblPrEx>
        <w:trPr>
          <w:trHeight w:hRule="exact" w:val="403"/>
        </w:trPr>
        <w:tc>
          <w:tcPr>
            <w:tcW w:w="5232" w:type="dxa"/>
            <w:gridSpan w:val="2"/>
            <w:shd w:val="clear" w:color="auto" w:fill="FFFFFF"/>
            <w:vAlign w:val="bottom"/>
          </w:tcPr>
          <w:p w14:paraId="784704AF" w14:textId="77777777" w:rsidR="00924992" w:rsidRDefault="00924992">
            <w:pPr>
              <w:pStyle w:val="Other0"/>
              <w:framePr w:w="11434" w:h="5246" w:wrap="none" w:hAnchor="page" w:x="635" w:y="371"/>
              <w:spacing w:line="254" w:lineRule="auto"/>
              <w:ind w:firstLine="0"/>
              <w:rPr>
                <w:sz w:val="16"/>
                <w:szCs w:val="16"/>
              </w:rPr>
            </w:pPr>
            <w:r>
              <w:rPr>
                <w:rFonts w:ascii="Times New Roman" w:eastAsia="Times New Roman" w:hAnsi="Times New Roman" w:cs="Times New Roman"/>
                <w:b/>
                <w:bCs/>
                <w:i/>
                <w:iCs/>
                <w:color w:val="000000"/>
                <w:sz w:val="17"/>
                <w:szCs w:val="17"/>
              </w:rPr>
              <w:t>Opisthorchis viverrini,</w:t>
            </w:r>
            <w:r>
              <w:rPr>
                <w:rFonts w:ascii="Times New Roman" w:eastAsia="Times New Roman" w:hAnsi="Times New Roman" w:cs="Times New Roman"/>
                <w:color w:val="000000"/>
                <w:sz w:val="16"/>
                <w:szCs w:val="16"/>
              </w:rPr>
              <w:t xml:space="preserve"> véase “DUELAS hermafroditas, infección” </w:t>
            </w:r>
            <w:r>
              <w:rPr>
                <w:rFonts w:ascii="Times New Roman" w:eastAsia="Times New Roman" w:hAnsi="Times New Roman" w:cs="Times New Roman"/>
                <w:b/>
                <w:bCs/>
                <w:color w:val="000000"/>
                <w:sz w:val="16"/>
                <w:szCs w:val="16"/>
              </w:rPr>
              <w:t xml:space="preserve">Oxiuros, </w:t>
            </w:r>
            <w:r>
              <w:rPr>
                <w:rFonts w:ascii="Times New Roman" w:eastAsia="Times New Roman" w:hAnsi="Times New Roman" w:cs="Times New Roman"/>
                <w:color w:val="000000"/>
                <w:sz w:val="16"/>
                <w:szCs w:val="16"/>
              </w:rPr>
              <w:t>véase “ENTEROBIUS vermicularis (oxiuros), infección”</w:t>
            </w:r>
          </w:p>
        </w:tc>
        <w:tc>
          <w:tcPr>
            <w:tcW w:w="3144" w:type="dxa"/>
            <w:shd w:val="clear" w:color="auto" w:fill="FFFFFF"/>
          </w:tcPr>
          <w:p w14:paraId="578BACE0" w14:textId="77777777" w:rsidR="00924992" w:rsidRDefault="00924992">
            <w:pPr>
              <w:framePr w:w="11434" w:h="5246" w:wrap="none" w:hAnchor="page" w:x="635" w:y="371"/>
              <w:rPr>
                <w:sz w:val="10"/>
                <w:szCs w:val="10"/>
              </w:rPr>
            </w:pPr>
          </w:p>
        </w:tc>
        <w:tc>
          <w:tcPr>
            <w:tcW w:w="3058" w:type="dxa"/>
            <w:shd w:val="clear" w:color="auto" w:fill="FFFFFF"/>
          </w:tcPr>
          <w:p w14:paraId="2473FE98" w14:textId="77777777" w:rsidR="00924992" w:rsidRDefault="00924992">
            <w:pPr>
              <w:framePr w:w="11434" w:h="5246" w:wrap="none" w:hAnchor="page" w:x="635" w:y="371"/>
              <w:rPr>
                <w:sz w:val="10"/>
                <w:szCs w:val="10"/>
              </w:rPr>
            </w:pPr>
          </w:p>
        </w:tc>
      </w:tr>
      <w:tr w:rsidR="00924992" w14:paraId="4361AEBA" w14:textId="77777777">
        <w:tblPrEx>
          <w:tblCellMar>
            <w:top w:w="0" w:type="dxa"/>
            <w:bottom w:w="0" w:type="dxa"/>
          </w:tblCellMar>
        </w:tblPrEx>
        <w:trPr>
          <w:trHeight w:hRule="exact" w:val="211"/>
        </w:trPr>
        <w:tc>
          <w:tcPr>
            <w:tcW w:w="8376" w:type="dxa"/>
            <w:gridSpan w:val="3"/>
            <w:shd w:val="clear" w:color="auto" w:fill="FFFFFF"/>
            <w:vAlign w:val="bottom"/>
          </w:tcPr>
          <w:p w14:paraId="0162BFF3" w14:textId="77777777" w:rsidR="00924992" w:rsidRDefault="00924992">
            <w:pPr>
              <w:pStyle w:val="Other0"/>
              <w:framePr w:w="11434" w:h="5246" w:wrap="none" w:hAnchor="page" w:x="635" w:y="371"/>
              <w:spacing w:line="240" w:lineRule="auto"/>
              <w:ind w:firstLine="0"/>
              <w:rPr>
                <w:sz w:val="16"/>
                <w:szCs w:val="16"/>
              </w:rPr>
            </w:pPr>
            <w:r>
              <w:rPr>
                <w:rFonts w:ascii="Times New Roman" w:eastAsia="Times New Roman" w:hAnsi="Times New Roman" w:cs="Times New Roman"/>
                <w:b/>
                <w:bCs/>
                <w:color w:val="000000"/>
                <w:sz w:val="16"/>
                <w:szCs w:val="16"/>
              </w:rPr>
              <w:t xml:space="preserve">PALUDISMO, tratamiento </w:t>
            </w:r>
            <w:r>
              <w:rPr>
                <w:rFonts w:ascii="Times New Roman" w:eastAsia="Times New Roman" w:hAnsi="Times New Roman" w:cs="Times New Roman"/>
                <w:i/>
                <w:iCs/>
                <w:color w:val="000000"/>
                <w:sz w:val="16"/>
                <w:szCs w:val="16"/>
              </w:rPr>
              <w:t>(Plasmodium falciparum, P ovale, P vivax</w:t>
            </w:r>
            <w:r>
              <w:rPr>
                <w:rFonts w:ascii="Times New Roman" w:eastAsia="Times New Roman" w:hAnsi="Times New Roman" w:cs="Times New Roman"/>
                <w:color w:val="000000"/>
                <w:sz w:val="16"/>
                <w:szCs w:val="16"/>
              </w:rPr>
              <w:t xml:space="preserve"> y </w:t>
            </w:r>
            <w:r>
              <w:rPr>
                <w:rFonts w:ascii="Times New Roman" w:eastAsia="Times New Roman" w:hAnsi="Times New Roman" w:cs="Times New Roman"/>
                <w:i/>
                <w:iCs/>
                <w:color w:val="000000"/>
                <w:sz w:val="16"/>
                <w:szCs w:val="16"/>
              </w:rPr>
              <w:t>P. malariae)</w:t>
            </w:r>
          </w:p>
        </w:tc>
        <w:tc>
          <w:tcPr>
            <w:tcW w:w="3058" w:type="dxa"/>
            <w:shd w:val="clear" w:color="auto" w:fill="FFFFFF"/>
          </w:tcPr>
          <w:p w14:paraId="446A76F0" w14:textId="77777777" w:rsidR="00924992" w:rsidRDefault="00924992">
            <w:pPr>
              <w:framePr w:w="11434" w:h="5246" w:wrap="none" w:hAnchor="page" w:x="635" w:y="371"/>
              <w:rPr>
                <w:sz w:val="10"/>
                <w:szCs w:val="10"/>
              </w:rPr>
            </w:pPr>
          </w:p>
        </w:tc>
      </w:tr>
      <w:tr w:rsidR="00924992" w14:paraId="0D9DCE52" w14:textId="77777777">
        <w:tblPrEx>
          <w:tblCellMar>
            <w:top w:w="0" w:type="dxa"/>
            <w:bottom w:w="0" w:type="dxa"/>
          </w:tblCellMar>
        </w:tblPrEx>
        <w:trPr>
          <w:trHeight w:hRule="exact" w:val="206"/>
        </w:trPr>
        <w:tc>
          <w:tcPr>
            <w:tcW w:w="2040" w:type="dxa"/>
            <w:shd w:val="clear" w:color="auto" w:fill="FFFFFF"/>
            <w:vAlign w:val="bottom"/>
          </w:tcPr>
          <w:p w14:paraId="1578FD33" w14:textId="77777777" w:rsidR="00924992" w:rsidRDefault="00924992">
            <w:pPr>
              <w:pStyle w:val="Other0"/>
              <w:framePr w:w="11434" w:h="5246" w:wrap="none" w:hAnchor="page" w:x="635" w:y="371"/>
              <w:spacing w:line="240" w:lineRule="auto"/>
              <w:ind w:firstLine="140"/>
              <w:rPr>
                <w:sz w:val="16"/>
                <w:szCs w:val="16"/>
              </w:rPr>
            </w:pPr>
            <w:r>
              <w:rPr>
                <w:rFonts w:ascii="Times New Roman" w:eastAsia="Times New Roman" w:hAnsi="Times New Roman" w:cs="Times New Roman"/>
                <w:b/>
                <w:bCs/>
                <w:i/>
                <w:iCs/>
                <w:color w:val="000000"/>
                <w:sz w:val="17"/>
                <w:szCs w:val="17"/>
              </w:rPr>
              <w:t>P. falciparum</w:t>
            </w:r>
            <w:r>
              <w:rPr>
                <w:rFonts w:ascii="Times New Roman" w:eastAsia="Times New Roman" w:hAnsi="Times New Roman" w:cs="Times New Roman"/>
                <w:b/>
                <w:bCs/>
                <w:color w:val="000000"/>
                <w:sz w:val="16"/>
                <w:szCs w:val="16"/>
              </w:rPr>
              <w:t xml:space="preserve"> resistente a</w:t>
            </w:r>
          </w:p>
        </w:tc>
        <w:tc>
          <w:tcPr>
            <w:tcW w:w="3192" w:type="dxa"/>
            <w:shd w:val="clear" w:color="auto" w:fill="FFFFFF"/>
            <w:vAlign w:val="bottom"/>
          </w:tcPr>
          <w:p w14:paraId="5D964905" w14:textId="77777777" w:rsidR="00924992" w:rsidRDefault="00924992">
            <w:pPr>
              <w:pStyle w:val="Other0"/>
              <w:framePr w:w="11434" w:h="5246" w:wrap="none" w:hAnchor="page" w:x="635" w:y="371"/>
              <w:spacing w:line="240" w:lineRule="auto"/>
              <w:ind w:firstLine="0"/>
              <w:rPr>
                <w:sz w:val="16"/>
                <w:szCs w:val="16"/>
              </w:rPr>
            </w:pPr>
            <w:r>
              <w:rPr>
                <w:rFonts w:ascii="Times New Roman" w:eastAsia="Times New Roman" w:hAnsi="Times New Roman" w:cs="Times New Roman"/>
                <w:b/>
                <w:bCs/>
                <w:color w:val="000000"/>
                <w:sz w:val="16"/>
                <w:szCs w:val="16"/>
              </w:rPr>
              <w:t>cloroquina</w:t>
            </w:r>
            <w:r>
              <w:rPr>
                <w:rFonts w:ascii="Times New Roman" w:eastAsia="Times New Roman" w:hAnsi="Times New Roman" w:cs="Times New Roman"/>
                <w:color w:val="000000"/>
                <w:sz w:val="16"/>
                <w:szCs w:val="16"/>
                <w:vertAlign w:val="superscript"/>
              </w:rPr>
              <w:t>54</w:t>
            </w:r>
          </w:p>
        </w:tc>
        <w:tc>
          <w:tcPr>
            <w:tcW w:w="3144" w:type="dxa"/>
            <w:shd w:val="clear" w:color="auto" w:fill="FFFFFF"/>
          </w:tcPr>
          <w:p w14:paraId="697C2732" w14:textId="77777777" w:rsidR="00924992" w:rsidRDefault="00924992">
            <w:pPr>
              <w:framePr w:w="11434" w:h="5246" w:wrap="none" w:hAnchor="page" w:x="635" w:y="371"/>
              <w:rPr>
                <w:sz w:val="10"/>
                <w:szCs w:val="10"/>
              </w:rPr>
            </w:pPr>
          </w:p>
        </w:tc>
        <w:tc>
          <w:tcPr>
            <w:tcW w:w="3058" w:type="dxa"/>
            <w:shd w:val="clear" w:color="auto" w:fill="FFFFFF"/>
          </w:tcPr>
          <w:p w14:paraId="5AF895F5" w14:textId="77777777" w:rsidR="00924992" w:rsidRDefault="00924992">
            <w:pPr>
              <w:framePr w:w="11434" w:h="5246" w:wrap="none" w:hAnchor="page" w:x="635" w:y="371"/>
              <w:rPr>
                <w:sz w:val="10"/>
                <w:szCs w:val="10"/>
              </w:rPr>
            </w:pPr>
          </w:p>
        </w:tc>
      </w:tr>
      <w:tr w:rsidR="00924992" w14:paraId="5C0A714F" w14:textId="77777777">
        <w:tblPrEx>
          <w:tblCellMar>
            <w:top w:w="0" w:type="dxa"/>
            <w:bottom w:w="0" w:type="dxa"/>
          </w:tblCellMar>
        </w:tblPrEx>
        <w:trPr>
          <w:trHeight w:hRule="exact" w:val="581"/>
        </w:trPr>
        <w:tc>
          <w:tcPr>
            <w:tcW w:w="2040" w:type="dxa"/>
            <w:shd w:val="clear" w:color="auto" w:fill="FFFFFF"/>
          </w:tcPr>
          <w:p w14:paraId="7A00CBFE" w14:textId="77777777" w:rsidR="00924992" w:rsidRDefault="00924992">
            <w:pPr>
              <w:pStyle w:val="Other0"/>
              <w:framePr w:w="11434" w:h="5246" w:wrap="none" w:hAnchor="page" w:x="635" w:y="371"/>
              <w:spacing w:line="240" w:lineRule="auto"/>
              <w:ind w:firstLine="140"/>
              <w:rPr>
                <w:sz w:val="16"/>
                <w:szCs w:val="16"/>
              </w:rPr>
            </w:pPr>
            <w:r>
              <w:rPr>
                <w:rFonts w:ascii="Times New Roman" w:eastAsia="Times New Roman" w:hAnsi="Times New Roman" w:cs="Times New Roman"/>
                <w:color w:val="000000"/>
                <w:sz w:val="16"/>
                <w:szCs w:val="16"/>
              </w:rPr>
              <w:t>VIA ORAL</w:t>
            </w:r>
          </w:p>
          <w:p w14:paraId="0B9ED5EC" w14:textId="77777777" w:rsidR="00924992" w:rsidRDefault="00924992">
            <w:pPr>
              <w:pStyle w:val="Other0"/>
              <w:framePr w:w="11434" w:h="5246" w:wrap="none" w:hAnchor="page" w:x="635" w:y="371"/>
              <w:spacing w:line="240" w:lineRule="auto"/>
              <w:ind w:firstLine="140"/>
              <w:rPr>
                <w:sz w:val="16"/>
                <w:szCs w:val="16"/>
              </w:rPr>
            </w:pPr>
            <w:r>
              <w:rPr>
                <w:rFonts w:ascii="Times New Roman" w:eastAsia="Times New Roman" w:hAnsi="Times New Roman" w:cs="Times New Roman"/>
                <w:color w:val="000000"/>
                <w:sz w:val="16"/>
                <w:szCs w:val="16"/>
              </w:rPr>
              <w:t>Fármacos más indicados:</w:t>
            </w:r>
          </w:p>
        </w:tc>
        <w:tc>
          <w:tcPr>
            <w:tcW w:w="3192" w:type="dxa"/>
            <w:shd w:val="clear" w:color="auto" w:fill="FFFFFF"/>
            <w:vAlign w:val="bottom"/>
          </w:tcPr>
          <w:p w14:paraId="678181F1" w14:textId="77777777" w:rsidR="00924992" w:rsidRDefault="00924992">
            <w:pPr>
              <w:pStyle w:val="Other0"/>
              <w:framePr w:w="11434" w:h="5246" w:wrap="none" w:hAnchor="page" w:x="635" w:y="371"/>
              <w:spacing w:line="264" w:lineRule="auto"/>
              <w:ind w:left="840"/>
              <w:rPr>
                <w:sz w:val="16"/>
                <w:szCs w:val="16"/>
              </w:rPr>
            </w:pPr>
            <w:r>
              <w:rPr>
                <w:rFonts w:ascii="Times New Roman" w:eastAsia="Times New Roman" w:hAnsi="Times New Roman" w:cs="Times New Roman"/>
                <w:color w:val="000000"/>
                <w:sz w:val="16"/>
                <w:szCs w:val="16"/>
              </w:rPr>
              <w:t xml:space="preserve">Sulfato de quinina </w:t>
            </w:r>
            <w:r>
              <w:rPr>
                <w:rFonts w:ascii="Times New Roman" w:eastAsia="Times New Roman" w:hAnsi="Times New Roman" w:cs="Times New Roman"/>
                <w:b/>
                <w:bCs/>
                <w:color w:val="000000"/>
                <w:sz w:val="16"/>
                <w:szCs w:val="16"/>
              </w:rPr>
              <w:t>y además</w:t>
            </w:r>
          </w:p>
        </w:tc>
        <w:tc>
          <w:tcPr>
            <w:tcW w:w="3144" w:type="dxa"/>
            <w:shd w:val="clear" w:color="auto" w:fill="FFFFFF"/>
            <w:vAlign w:val="center"/>
          </w:tcPr>
          <w:p w14:paraId="6E62F821" w14:textId="77777777" w:rsidR="00924992" w:rsidRDefault="00924992">
            <w:pPr>
              <w:pStyle w:val="Other0"/>
              <w:framePr w:w="11434" w:h="5246" w:wrap="none" w:hAnchor="page" w:x="635" w:y="371"/>
              <w:spacing w:line="240" w:lineRule="auto"/>
              <w:ind w:firstLine="440"/>
              <w:rPr>
                <w:sz w:val="16"/>
                <w:szCs w:val="16"/>
              </w:rPr>
            </w:pPr>
            <w:r>
              <w:rPr>
                <w:rFonts w:ascii="Times New Roman" w:eastAsia="Times New Roman" w:hAnsi="Times New Roman" w:cs="Times New Roman"/>
                <w:color w:val="000000"/>
                <w:sz w:val="16"/>
                <w:szCs w:val="16"/>
              </w:rPr>
              <w:t xml:space="preserve">650 mg cada 8h </w:t>
            </w:r>
            <w:r>
              <w:rPr>
                <w:rFonts w:ascii="Arial" w:eastAsia="Arial" w:hAnsi="Arial" w:cs="Arial"/>
                <w:color w:val="000000"/>
                <w:sz w:val="14"/>
                <w:szCs w:val="14"/>
              </w:rPr>
              <w:t xml:space="preserve">x </w:t>
            </w:r>
            <w:r>
              <w:rPr>
                <w:rFonts w:ascii="Times New Roman" w:eastAsia="Times New Roman" w:hAnsi="Times New Roman" w:cs="Times New Roman"/>
                <w:color w:val="000000"/>
                <w:sz w:val="16"/>
                <w:szCs w:val="16"/>
              </w:rPr>
              <w:t>3-7 días</w:t>
            </w:r>
            <w:r>
              <w:rPr>
                <w:rFonts w:ascii="Times New Roman" w:eastAsia="Times New Roman" w:hAnsi="Times New Roman" w:cs="Times New Roman"/>
                <w:color w:val="000000"/>
                <w:sz w:val="16"/>
                <w:szCs w:val="16"/>
                <w:vertAlign w:val="superscript"/>
              </w:rPr>
              <w:t>55</w:t>
            </w:r>
          </w:p>
        </w:tc>
        <w:tc>
          <w:tcPr>
            <w:tcW w:w="3058" w:type="dxa"/>
            <w:shd w:val="clear" w:color="auto" w:fill="FFFFFF"/>
            <w:vAlign w:val="center"/>
          </w:tcPr>
          <w:p w14:paraId="65D5F44F" w14:textId="77777777" w:rsidR="00924992" w:rsidRDefault="00924992">
            <w:pPr>
              <w:pStyle w:val="Other0"/>
              <w:framePr w:w="11434" w:h="5246" w:wrap="none" w:hAnchor="page" w:x="635" w:y="371"/>
              <w:spacing w:line="240" w:lineRule="auto"/>
              <w:ind w:firstLine="180"/>
              <w:rPr>
                <w:sz w:val="16"/>
                <w:szCs w:val="16"/>
              </w:rPr>
            </w:pPr>
            <w:r>
              <w:rPr>
                <w:rFonts w:ascii="Times New Roman" w:eastAsia="Times New Roman" w:hAnsi="Times New Roman" w:cs="Times New Roman"/>
                <w:color w:val="000000"/>
                <w:sz w:val="16"/>
                <w:szCs w:val="16"/>
              </w:rPr>
              <w:t>25 mg/kg/día en 3 dosis x 3-7 días</w:t>
            </w:r>
            <w:r>
              <w:rPr>
                <w:rFonts w:ascii="Times New Roman" w:eastAsia="Times New Roman" w:hAnsi="Times New Roman" w:cs="Times New Roman"/>
                <w:color w:val="000000"/>
                <w:sz w:val="16"/>
                <w:szCs w:val="16"/>
                <w:vertAlign w:val="superscript"/>
              </w:rPr>
              <w:t>55</w:t>
            </w:r>
          </w:p>
        </w:tc>
      </w:tr>
      <w:tr w:rsidR="00924992" w14:paraId="4231ECD6" w14:textId="77777777">
        <w:tblPrEx>
          <w:tblCellMar>
            <w:top w:w="0" w:type="dxa"/>
            <w:bottom w:w="0" w:type="dxa"/>
          </w:tblCellMar>
        </w:tblPrEx>
        <w:trPr>
          <w:trHeight w:hRule="exact" w:val="398"/>
        </w:trPr>
        <w:tc>
          <w:tcPr>
            <w:tcW w:w="2040" w:type="dxa"/>
            <w:shd w:val="clear" w:color="auto" w:fill="FFFFFF"/>
          </w:tcPr>
          <w:p w14:paraId="17A9D225" w14:textId="77777777" w:rsidR="00924992" w:rsidRDefault="00924992">
            <w:pPr>
              <w:framePr w:w="11434" w:h="5246" w:wrap="none" w:hAnchor="page" w:x="635" w:y="371"/>
              <w:rPr>
                <w:sz w:val="10"/>
                <w:szCs w:val="10"/>
              </w:rPr>
            </w:pPr>
          </w:p>
        </w:tc>
        <w:tc>
          <w:tcPr>
            <w:tcW w:w="3192" w:type="dxa"/>
            <w:shd w:val="clear" w:color="auto" w:fill="FFFFFF"/>
          </w:tcPr>
          <w:p w14:paraId="68EFA53D" w14:textId="77777777" w:rsidR="00924992" w:rsidRDefault="00924992">
            <w:pPr>
              <w:pStyle w:val="Other0"/>
              <w:framePr w:w="11434" w:h="5246" w:wrap="none" w:hAnchor="page" w:x="635" w:y="371"/>
              <w:spacing w:line="257" w:lineRule="auto"/>
              <w:ind w:left="840"/>
              <w:rPr>
                <w:sz w:val="16"/>
                <w:szCs w:val="16"/>
              </w:rPr>
            </w:pPr>
            <w:r>
              <w:rPr>
                <w:rFonts w:ascii="Times New Roman" w:eastAsia="Times New Roman" w:hAnsi="Times New Roman" w:cs="Times New Roman"/>
                <w:color w:val="000000"/>
                <w:sz w:val="16"/>
                <w:szCs w:val="16"/>
              </w:rPr>
              <w:t>doxiciclina</w:t>
            </w:r>
            <w:r>
              <w:rPr>
                <w:rFonts w:ascii="Times New Roman" w:eastAsia="Times New Roman" w:hAnsi="Times New Roman" w:cs="Times New Roman"/>
                <w:color w:val="000000"/>
                <w:sz w:val="16"/>
                <w:szCs w:val="16"/>
                <w:vertAlign w:val="superscript"/>
              </w:rPr>
              <w:t xml:space="preserve">3,15 </w:t>
            </w:r>
            <w:r>
              <w:rPr>
                <w:rFonts w:ascii="Times New Roman" w:eastAsia="Times New Roman" w:hAnsi="Times New Roman" w:cs="Times New Roman"/>
                <w:b/>
                <w:bCs/>
                <w:color w:val="000000"/>
                <w:sz w:val="16"/>
                <w:szCs w:val="16"/>
              </w:rPr>
              <w:t>o añadir</w:t>
            </w:r>
          </w:p>
        </w:tc>
        <w:tc>
          <w:tcPr>
            <w:tcW w:w="3144" w:type="dxa"/>
            <w:shd w:val="clear" w:color="auto" w:fill="FFFFFF"/>
          </w:tcPr>
          <w:p w14:paraId="4CA30028" w14:textId="77777777" w:rsidR="00924992" w:rsidRDefault="00924992">
            <w:pPr>
              <w:pStyle w:val="Other0"/>
              <w:framePr w:w="11434" w:h="5246" w:wrap="none" w:hAnchor="page" w:x="635" w:y="371"/>
              <w:spacing w:line="240" w:lineRule="auto"/>
              <w:ind w:firstLine="440"/>
              <w:rPr>
                <w:sz w:val="16"/>
                <w:szCs w:val="16"/>
              </w:rPr>
            </w:pPr>
            <w:r>
              <w:rPr>
                <w:rFonts w:ascii="Times New Roman" w:eastAsia="Times New Roman" w:hAnsi="Times New Roman" w:cs="Times New Roman"/>
                <w:color w:val="000000"/>
                <w:sz w:val="16"/>
                <w:szCs w:val="16"/>
              </w:rPr>
              <w:t xml:space="preserve">100 mg bid </w:t>
            </w:r>
            <w:r>
              <w:rPr>
                <w:rFonts w:ascii="Arial" w:eastAsia="Arial" w:hAnsi="Arial" w:cs="Arial"/>
                <w:color w:val="000000"/>
                <w:sz w:val="14"/>
                <w:szCs w:val="14"/>
              </w:rPr>
              <w:t xml:space="preserve">x </w:t>
            </w:r>
            <w:r>
              <w:rPr>
                <w:rFonts w:ascii="Times New Roman" w:eastAsia="Times New Roman" w:hAnsi="Times New Roman" w:cs="Times New Roman"/>
                <w:color w:val="000000"/>
                <w:sz w:val="16"/>
                <w:szCs w:val="16"/>
              </w:rPr>
              <w:t>7 días</w:t>
            </w:r>
          </w:p>
        </w:tc>
        <w:tc>
          <w:tcPr>
            <w:tcW w:w="3058" w:type="dxa"/>
            <w:shd w:val="clear" w:color="auto" w:fill="FFFFFF"/>
          </w:tcPr>
          <w:p w14:paraId="2449E70F" w14:textId="77777777" w:rsidR="00924992" w:rsidRDefault="00924992">
            <w:pPr>
              <w:pStyle w:val="Other0"/>
              <w:framePr w:w="11434" w:h="5246" w:wrap="none" w:hAnchor="page" w:x="635" w:y="371"/>
              <w:spacing w:line="240" w:lineRule="auto"/>
              <w:ind w:firstLine="180"/>
              <w:rPr>
                <w:sz w:val="16"/>
                <w:szCs w:val="16"/>
              </w:rPr>
            </w:pPr>
            <w:r>
              <w:rPr>
                <w:rFonts w:ascii="Times New Roman" w:eastAsia="Times New Roman" w:hAnsi="Times New Roman" w:cs="Times New Roman"/>
                <w:color w:val="000000"/>
                <w:sz w:val="16"/>
                <w:szCs w:val="16"/>
              </w:rPr>
              <w:t xml:space="preserve">2 mg/kg/día </w:t>
            </w:r>
            <w:r>
              <w:rPr>
                <w:rFonts w:ascii="Arial" w:eastAsia="Arial" w:hAnsi="Arial" w:cs="Arial"/>
                <w:color w:val="000000"/>
                <w:sz w:val="14"/>
                <w:szCs w:val="14"/>
              </w:rPr>
              <w:t xml:space="preserve">x </w:t>
            </w:r>
            <w:r>
              <w:rPr>
                <w:rFonts w:ascii="Times New Roman" w:eastAsia="Times New Roman" w:hAnsi="Times New Roman" w:cs="Times New Roman"/>
                <w:color w:val="000000"/>
                <w:sz w:val="16"/>
                <w:szCs w:val="16"/>
              </w:rPr>
              <w:t>7 días</w:t>
            </w:r>
          </w:p>
        </w:tc>
      </w:tr>
      <w:tr w:rsidR="00924992" w14:paraId="101477CD" w14:textId="77777777">
        <w:tblPrEx>
          <w:tblCellMar>
            <w:top w:w="0" w:type="dxa"/>
            <w:bottom w:w="0" w:type="dxa"/>
          </w:tblCellMar>
        </w:tblPrEx>
        <w:trPr>
          <w:trHeight w:hRule="exact" w:val="398"/>
        </w:trPr>
        <w:tc>
          <w:tcPr>
            <w:tcW w:w="2040" w:type="dxa"/>
            <w:shd w:val="clear" w:color="auto" w:fill="FFFFFF"/>
          </w:tcPr>
          <w:p w14:paraId="1057A509" w14:textId="77777777" w:rsidR="00924992" w:rsidRDefault="00924992">
            <w:pPr>
              <w:framePr w:w="11434" w:h="5246" w:wrap="none" w:hAnchor="page" w:x="635" w:y="371"/>
              <w:rPr>
                <w:sz w:val="10"/>
                <w:szCs w:val="10"/>
              </w:rPr>
            </w:pPr>
          </w:p>
        </w:tc>
        <w:tc>
          <w:tcPr>
            <w:tcW w:w="3192" w:type="dxa"/>
            <w:shd w:val="clear" w:color="auto" w:fill="FFFFFF"/>
          </w:tcPr>
          <w:p w14:paraId="0D631534" w14:textId="77777777" w:rsidR="00924992" w:rsidRDefault="00924992">
            <w:pPr>
              <w:pStyle w:val="Other0"/>
              <w:framePr w:w="11434" w:h="5246" w:wrap="none" w:hAnchor="page" w:x="635" w:y="371"/>
              <w:spacing w:line="264" w:lineRule="auto"/>
              <w:ind w:left="840"/>
              <w:rPr>
                <w:sz w:val="16"/>
                <w:szCs w:val="16"/>
              </w:rPr>
            </w:pPr>
            <w:r>
              <w:rPr>
                <w:rFonts w:ascii="Times New Roman" w:eastAsia="Times New Roman" w:hAnsi="Times New Roman" w:cs="Times New Roman"/>
                <w:color w:val="000000"/>
                <w:sz w:val="16"/>
                <w:szCs w:val="16"/>
              </w:rPr>
              <w:t>tetraciclina</w:t>
            </w:r>
            <w:r>
              <w:rPr>
                <w:rFonts w:ascii="Times New Roman" w:eastAsia="Times New Roman" w:hAnsi="Times New Roman" w:cs="Times New Roman"/>
                <w:color w:val="000000"/>
                <w:sz w:val="16"/>
                <w:szCs w:val="16"/>
                <w:vertAlign w:val="superscript"/>
              </w:rPr>
              <w:t xml:space="preserve">3,15 </w:t>
            </w:r>
            <w:r>
              <w:rPr>
                <w:rFonts w:ascii="Times New Roman" w:eastAsia="Times New Roman" w:hAnsi="Times New Roman" w:cs="Times New Roman"/>
                <w:b/>
                <w:bCs/>
                <w:color w:val="000000"/>
                <w:sz w:val="16"/>
                <w:szCs w:val="16"/>
              </w:rPr>
              <w:t>o añadir</w:t>
            </w:r>
          </w:p>
        </w:tc>
        <w:tc>
          <w:tcPr>
            <w:tcW w:w="3144" w:type="dxa"/>
            <w:shd w:val="clear" w:color="auto" w:fill="FFFFFF"/>
          </w:tcPr>
          <w:p w14:paraId="2D311195" w14:textId="77777777" w:rsidR="00924992" w:rsidRDefault="00924992">
            <w:pPr>
              <w:pStyle w:val="Other0"/>
              <w:framePr w:w="11434" w:h="5246" w:wrap="none" w:hAnchor="page" w:x="635" w:y="371"/>
              <w:spacing w:line="240" w:lineRule="auto"/>
              <w:ind w:firstLine="440"/>
              <w:rPr>
                <w:sz w:val="16"/>
                <w:szCs w:val="16"/>
              </w:rPr>
            </w:pPr>
            <w:r>
              <w:rPr>
                <w:rFonts w:ascii="Times New Roman" w:eastAsia="Times New Roman" w:hAnsi="Times New Roman" w:cs="Times New Roman"/>
                <w:color w:val="000000"/>
                <w:sz w:val="16"/>
                <w:szCs w:val="16"/>
              </w:rPr>
              <w:t xml:space="preserve">250 mg qid </w:t>
            </w:r>
            <w:r>
              <w:rPr>
                <w:rFonts w:ascii="Arial" w:eastAsia="Arial" w:hAnsi="Arial" w:cs="Arial"/>
                <w:color w:val="000000"/>
                <w:sz w:val="14"/>
                <w:szCs w:val="14"/>
              </w:rPr>
              <w:t xml:space="preserve">x </w:t>
            </w:r>
            <w:r>
              <w:rPr>
                <w:rFonts w:ascii="Times New Roman" w:eastAsia="Times New Roman" w:hAnsi="Times New Roman" w:cs="Times New Roman"/>
                <w:color w:val="000000"/>
                <w:sz w:val="16"/>
                <w:szCs w:val="16"/>
              </w:rPr>
              <w:t>7 días</w:t>
            </w:r>
          </w:p>
        </w:tc>
        <w:tc>
          <w:tcPr>
            <w:tcW w:w="3058" w:type="dxa"/>
            <w:shd w:val="clear" w:color="auto" w:fill="FFFFFF"/>
          </w:tcPr>
          <w:p w14:paraId="4E7C429E" w14:textId="77777777" w:rsidR="00924992" w:rsidRDefault="00924992">
            <w:pPr>
              <w:pStyle w:val="Other0"/>
              <w:framePr w:w="11434" w:h="5246" w:wrap="none" w:hAnchor="page" w:x="635" w:y="371"/>
              <w:spacing w:line="240" w:lineRule="auto"/>
              <w:ind w:firstLine="180"/>
              <w:rPr>
                <w:sz w:val="16"/>
                <w:szCs w:val="16"/>
              </w:rPr>
            </w:pPr>
            <w:r>
              <w:rPr>
                <w:rFonts w:ascii="Times New Roman" w:eastAsia="Times New Roman" w:hAnsi="Times New Roman" w:cs="Times New Roman"/>
                <w:color w:val="000000"/>
                <w:sz w:val="16"/>
                <w:szCs w:val="16"/>
              </w:rPr>
              <w:t xml:space="preserve">6.25 mg/kg qid </w:t>
            </w:r>
            <w:r>
              <w:rPr>
                <w:rFonts w:ascii="Arial" w:eastAsia="Arial" w:hAnsi="Arial" w:cs="Arial"/>
                <w:color w:val="000000"/>
                <w:sz w:val="14"/>
                <w:szCs w:val="14"/>
              </w:rPr>
              <w:t xml:space="preserve">x </w:t>
            </w:r>
            <w:r>
              <w:rPr>
                <w:rFonts w:ascii="Times New Roman" w:eastAsia="Times New Roman" w:hAnsi="Times New Roman" w:cs="Times New Roman"/>
                <w:color w:val="000000"/>
                <w:sz w:val="16"/>
                <w:szCs w:val="16"/>
              </w:rPr>
              <w:t>7 días</w:t>
            </w:r>
          </w:p>
        </w:tc>
      </w:tr>
      <w:tr w:rsidR="00924992" w14:paraId="6FAAC219" w14:textId="77777777">
        <w:tblPrEx>
          <w:tblCellMar>
            <w:top w:w="0" w:type="dxa"/>
            <w:bottom w:w="0" w:type="dxa"/>
          </w:tblCellMar>
        </w:tblPrEx>
        <w:trPr>
          <w:trHeight w:hRule="exact" w:val="206"/>
        </w:trPr>
        <w:tc>
          <w:tcPr>
            <w:tcW w:w="2040" w:type="dxa"/>
            <w:shd w:val="clear" w:color="auto" w:fill="FFFFFF"/>
          </w:tcPr>
          <w:p w14:paraId="7C44A320" w14:textId="77777777" w:rsidR="00924992" w:rsidRDefault="00924992">
            <w:pPr>
              <w:framePr w:w="11434" w:h="5246" w:wrap="none" w:hAnchor="page" w:x="635" w:y="371"/>
              <w:rPr>
                <w:sz w:val="10"/>
                <w:szCs w:val="10"/>
              </w:rPr>
            </w:pPr>
          </w:p>
        </w:tc>
        <w:tc>
          <w:tcPr>
            <w:tcW w:w="3192" w:type="dxa"/>
            <w:vMerge w:val="restart"/>
            <w:shd w:val="clear" w:color="auto" w:fill="FFFFFF"/>
          </w:tcPr>
          <w:p w14:paraId="7032F08B" w14:textId="77777777" w:rsidR="00924992" w:rsidRDefault="00924992">
            <w:pPr>
              <w:pStyle w:val="Other0"/>
              <w:framePr w:w="11434" w:h="5246" w:wrap="none" w:hAnchor="page" w:x="635" w:y="371"/>
              <w:spacing w:line="240" w:lineRule="auto"/>
              <w:ind w:left="840"/>
              <w:rPr>
                <w:sz w:val="16"/>
                <w:szCs w:val="16"/>
              </w:rPr>
            </w:pPr>
            <w:r>
              <w:rPr>
                <w:rFonts w:ascii="Times New Roman" w:eastAsia="Times New Roman" w:hAnsi="Times New Roman" w:cs="Times New Roman"/>
                <w:color w:val="000000"/>
                <w:sz w:val="16"/>
                <w:szCs w:val="16"/>
              </w:rPr>
              <w:t>pirimetamina-sulfadoxina</w:t>
            </w:r>
            <w:r>
              <w:rPr>
                <w:rFonts w:ascii="Times New Roman" w:eastAsia="Times New Roman" w:hAnsi="Times New Roman" w:cs="Times New Roman"/>
                <w:color w:val="000000"/>
                <w:sz w:val="16"/>
                <w:szCs w:val="16"/>
                <w:vertAlign w:val="superscript"/>
              </w:rPr>
              <w:t>56</w:t>
            </w:r>
          </w:p>
        </w:tc>
        <w:tc>
          <w:tcPr>
            <w:tcW w:w="3144" w:type="dxa"/>
            <w:shd w:val="clear" w:color="auto" w:fill="FFFFFF"/>
          </w:tcPr>
          <w:p w14:paraId="6D42F051" w14:textId="77777777" w:rsidR="00924992" w:rsidRDefault="00924992">
            <w:pPr>
              <w:pStyle w:val="Other0"/>
              <w:framePr w:w="11434" w:h="5246" w:wrap="none" w:hAnchor="page" w:x="635" w:y="371"/>
              <w:spacing w:line="240" w:lineRule="auto"/>
              <w:ind w:firstLine="440"/>
              <w:rPr>
                <w:sz w:val="16"/>
                <w:szCs w:val="16"/>
              </w:rPr>
            </w:pPr>
            <w:r>
              <w:rPr>
                <w:rFonts w:ascii="Times New Roman" w:eastAsia="Times New Roman" w:hAnsi="Times New Roman" w:cs="Times New Roman"/>
                <w:color w:val="000000"/>
                <w:sz w:val="16"/>
                <w:szCs w:val="16"/>
              </w:rPr>
              <w:t>3 tabletas en una toma el último día</w:t>
            </w:r>
          </w:p>
        </w:tc>
        <w:tc>
          <w:tcPr>
            <w:tcW w:w="3058" w:type="dxa"/>
            <w:shd w:val="clear" w:color="auto" w:fill="FFFFFF"/>
          </w:tcPr>
          <w:p w14:paraId="3C0A3BF4" w14:textId="77777777" w:rsidR="00924992" w:rsidRDefault="00924992">
            <w:pPr>
              <w:pStyle w:val="Other0"/>
              <w:framePr w:w="11434" w:h="5246" w:wrap="none" w:hAnchor="page" w:x="635" w:y="371"/>
              <w:spacing w:line="240" w:lineRule="auto"/>
              <w:ind w:firstLine="180"/>
              <w:rPr>
                <w:sz w:val="16"/>
                <w:szCs w:val="16"/>
              </w:rPr>
            </w:pPr>
            <w:r>
              <w:rPr>
                <w:rFonts w:ascii="Times New Roman" w:eastAsia="Times New Roman" w:hAnsi="Times New Roman" w:cs="Times New Roman"/>
                <w:color w:val="000000"/>
                <w:sz w:val="16"/>
                <w:szCs w:val="16"/>
              </w:rPr>
              <w:t xml:space="preserve">&lt;1 año: </w:t>
            </w:r>
            <w:r>
              <w:rPr>
                <w:rFonts w:ascii="Arial" w:eastAsia="Arial" w:hAnsi="Arial" w:cs="Arial"/>
                <w:i/>
                <w:iCs/>
                <w:color w:val="000000"/>
                <w:sz w:val="20"/>
                <w:szCs w:val="20"/>
              </w:rPr>
              <w:t>V</w:t>
            </w:r>
            <w:r>
              <w:rPr>
                <w:rFonts w:ascii="Times New Roman" w:eastAsia="Times New Roman" w:hAnsi="Times New Roman" w:cs="Times New Roman"/>
                <w:color w:val="000000"/>
                <w:sz w:val="16"/>
                <w:szCs w:val="16"/>
              </w:rPr>
              <w:t xml:space="preserve"> de tableta</w:t>
            </w:r>
          </w:p>
        </w:tc>
      </w:tr>
      <w:tr w:rsidR="00924992" w14:paraId="0CCEB58D" w14:textId="77777777">
        <w:tblPrEx>
          <w:tblCellMar>
            <w:top w:w="0" w:type="dxa"/>
            <w:bottom w:w="0" w:type="dxa"/>
          </w:tblCellMar>
        </w:tblPrEx>
        <w:trPr>
          <w:trHeight w:hRule="exact" w:val="202"/>
        </w:trPr>
        <w:tc>
          <w:tcPr>
            <w:tcW w:w="2040" w:type="dxa"/>
            <w:vMerge w:val="restart"/>
            <w:shd w:val="clear" w:color="auto" w:fill="FFFFFF"/>
          </w:tcPr>
          <w:p w14:paraId="04E53DB6" w14:textId="77777777" w:rsidR="00924992" w:rsidRDefault="00924992">
            <w:pPr>
              <w:framePr w:w="11434" w:h="5246" w:wrap="none" w:hAnchor="page" w:x="635" w:y="371"/>
              <w:rPr>
                <w:sz w:val="10"/>
                <w:szCs w:val="10"/>
              </w:rPr>
            </w:pPr>
          </w:p>
        </w:tc>
        <w:tc>
          <w:tcPr>
            <w:tcW w:w="3192" w:type="dxa"/>
            <w:vMerge/>
            <w:shd w:val="clear" w:color="auto" w:fill="FFFFFF"/>
          </w:tcPr>
          <w:p w14:paraId="697D0FB5" w14:textId="77777777" w:rsidR="00924992" w:rsidRDefault="00924992">
            <w:pPr>
              <w:framePr w:w="11434" w:h="5246" w:wrap="none" w:hAnchor="page" w:x="635" w:y="371"/>
            </w:pPr>
          </w:p>
        </w:tc>
        <w:tc>
          <w:tcPr>
            <w:tcW w:w="3144" w:type="dxa"/>
            <w:vMerge w:val="restart"/>
            <w:shd w:val="clear" w:color="auto" w:fill="FFFFFF"/>
          </w:tcPr>
          <w:p w14:paraId="7DD0937A" w14:textId="77777777" w:rsidR="00924992" w:rsidRDefault="00924992">
            <w:pPr>
              <w:pStyle w:val="Other0"/>
              <w:framePr w:w="11434" w:h="5246" w:wrap="none" w:hAnchor="page" w:x="635" w:y="371"/>
              <w:spacing w:line="240" w:lineRule="auto"/>
              <w:ind w:firstLine="540"/>
              <w:rPr>
                <w:sz w:val="16"/>
                <w:szCs w:val="16"/>
              </w:rPr>
            </w:pPr>
            <w:r>
              <w:rPr>
                <w:rFonts w:ascii="Times New Roman" w:eastAsia="Times New Roman" w:hAnsi="Times New Roman" w:cs="Times New Roman"/>
                <w:color w:val="000000"/>
                <w:sz w:val="16"/>
                <w:szCs w:val="16"/>
              </w:rPr>
              <w:t>de administración de quinina</w:t>
            </w:r>
          </w:p>
        </w:tc>
        <w:tc>
          <w:tcPr>
            <w:tcW w:w="3058" w:type="dxa"/>
            <w:vMerge w:val="restart"/>
            <w:shd w:val="clear" w:color="auto" w:fill="FFFFFF"/>
            <w:vAlign w:val="bottom"/>
          </w:tcPr>
          <w:p w14:paraId="45B6B1C5" w14:textId="77777777" w:rsidR="00924992" w:rsidRDefault="00924992">
            <w:pPr>
              <w:pStyle w:val="Other0"/>
              <w:framePr w:w="11434" w:h="5246" w:wrap="none" w:hAnchor="page" w:x="635" w:y="371"/>
              <w:spacing w:line="240" w:lineRule="auto"/>
              <w:ind w:left="180" w:firstLine="0"/>
              <w:rPr>
                <w:sz w:val="16"/>
                <w:szCs w:val="16"/>
              </w:rPr>
            </w:pPr>
            <w:r>
              <w:rPr>
                <w:rFonts w:ascii="Times New Roman" w:eastAsia="Times New Roman" w:hAnsi="Times New Roman" w:cs="Times New Roman"/>
                <w:color w:val="000000"/>
                <w:sz w:val="16"/>
                <w:szCs w:val="16"/>
              </w:rPr>
              <w:t xml:space="preserve">1-3 años: </w:t>
            </w:r>
            <w:r>
              <w:rPr>
                <w:rFonts w:ascii="Arial" w:eastAsia="Arial" w:hAnsi="Arial" w:cs="Arial"/>
                <w:i/>
                <w:iCs/>
                <w:color w:val="000000"/>
                <w:sz w:val="20"/>
                <w:szCs w:val="20"/>
              </w:rPr>
              <w:t>V</w:t>
            </w:r>
            <w:r>
              <w:rPr>
                <w:rFonts w:ascii="Times New Roman" w:eastAsia="Times New Roman" w:hAnsi="Times New Roman" w:cs="Times New Roman"/>
                <w:color w:val="000000"/>
                <w:sz w:val="16"/>
                <w:szCs w:val="16"/>
              </w:rPr>
              <w:t xml:space="preserve"> ableta 4-8 años: 1 tableta 9-14 años: 2 tabletas</w:t>
            </w:r>
          </w:p>
        </w:tc>
      </w:tr>
      <w:tr w:rsidR="00924992" w14:paraId="05003DC4" w14:textId="77777777">
        <w:tblPrEx>
          <w:tblCellMar>
            <w:top w:w="0" w:type="dxa"/>
            <w:bottom w:w="0" w:type="dxa"/>
          </w:tblCellMar>
        </w:tblPrEx>
        <w:trPr>
          <w:trHeight w:hRule="exact" w:val="192"/>
        </w:trPr>
        <w:tc>
          <w:tcPr>
            <w:tcW w:w="2040" w:type="dxa"/>
            <w:vMerge/>
            <w:shd w:val="clear" w:color="auto" w:fill="FFFFFF"/>
          </w:tcPr>
          <w:p w14:paraId="711793AC" w14:textId="77777777" w:rsidR="00924992" w:rsidRDefault="00924992">
            <w:pPr>
              <w:framePr w:w="11434" w:h="5246" w:wrap="none" w:hAnchor="page" w:x="635" w:y="371"/>
            </w:pPr>
          </w:p>
        </w:tc>
        <w:tc>
          <w:tcPr>
            <w:tcW w:w="3192" w:type="dxa"/>
            <w:shd w:val="clear" w:color="auto" w:fill="FFFFFF"/>
          </w:tcPr>
          <w:p w14:paraId="30892931" w14:textId="77777777" w:rsidR="00924992" w:rsidRDefault="00924992">
            <w:pPr>
              <w:framePr w:w="11434" w:h="5246" w:wrap="none" w:hAnchor="page" w:x="635" w:y="371"/>
              <w:rPr>
                <w:sz w:val="10"/>
                <w:szCs w:val="10"/>
              </w:rPr>
            </w:pPr>
          </w:p>
        </w:tc>
        <w:tc>
          <w:tcPr>
            <w:tcW w:w="3144" w:type="dxa"/>
            <w:vMerge/>
            <w:shd w:val="clear" w:color="auto" w:fill="FFFFFF"/>
          </w:tcPr>
          <w:p w14:paraId="18FE1272" w14:textId="77777777" w:rsidR="00924992" w:rsidRDefault="00924992">
            <w:pPr>
              <w:framePr w:w="11434" w:h="5246" w:wrap="none" w:hAnchor="page" w:x="635" w:y="371"/>
            </w:pPr>
          </w:p>
        </w:tc>
        <w:tc>
          <w:tcPr>
            <w:tcW w:w="3058" w:type="dxa"/>
            <w:vMerge/>
            <w:shd w:val="clear" w:color="auto" w:fill="FFFFFF"/>
            <w:vAlign w:val="bottom"/>
          </w:tcPr>
          <w:p w14:paraId="66166A7D" w14:textId="77777777" w:rsidR="00924992" w:rsidRDefault="00924992">
            <w:pPr>
              <w:framePr w:w="11434" w:h="5246" w:wrap="none" w:hAnchor="page" w:x="635" w:y="371"/>
            </w:pPr>
          </w:p>
        </w:tc>
      </w:tr>
      <w:tr w:rsidR="00924992" w14:paraId="689D3B0E" w14:textId="77777777">
        <w:tblPrEx>
          <w:tblCellMar>
            <w:top w:w="0" w:type="dxa"/>
            <w:bottom w:w="0" w:type="dxa"/>
          </w:tblCellMar>
        </w:tblPrEx>
        <w:trPr>
          <w:trHeight w:hRule="exact" w:val="197"/>
        </w:trPr>
        <w:tc>
          <w:tcPr>
            <w:tcW w:w="2040" w:type="dxa"/>
            <w:vMerge/>
            <w:shd w:val="clear" w:color="auto" w:fill="FFFFFF"/>
          </w:tcPr>
          <w:p w14:paraId="754E4172" w14:textId="77777777" w:rsidR="00924992" w:rsidRDefault="00924992">
            <w:pPr>
              <w:framePr w:w="11434" w:h="5246" w:wrap="none" w:hAnchor="page" w:x="635" w:y="371"/>
            </w:pPr>
          </w:p>
        </w:tc>
        <w:tc>
          <w:tcPr>
            <w:tcW w:w="3192" w:type="dxa"/>
            <w:shd w:val="clear" w:color="auto" w:fill="FFFFFF"/>
          </w:tcPr>
          <w:p w14:paraId="5631A9EC" w14:textId="77777777" w:rsidR="00924992" w:rsidRDefault="00924992">
            <w:pPr>
              <w:framePr w:w="11434" w:h="5246" w:wrap="none" w:hAnchor="page" w:x="635" w:y="371"/>
              <w:rPr>
                <w:sz w:val="10"/>
                <w:szCs w:val="10"/>
              </w:rPr>
            </w:pPr>
          </w:p>
        </w:tc>
        <w:tc>
          <w:tcPr>
            <w:tcW w:w="3144" w:type="dxa"/>
            <w:vMerge/>
            <w:shd w:val="clear" w:color="auto" w:fill="FFFFFF"/>
          </w:tcPr>
          <w:p w14:paraId="4A50B826" w14:textId="77777777" w:rsidR="00924992" w:rsidRDefault="00924992">
            <w:pPr>
              <w:framePr w:w="11434" w:h="5246" w:wrap="none" w:hAnchor="page" w:x="635" w:y="371"/>
            </w:pPr>
          </w:p>
        </w:tc>
        <w:tc>
          <w:tcPr>
            <w:tcW w:w="3058" w:type="dxa"/>
            <w:vMerge/>
            <w:shd w:val="clear" w:color="auto" w:fill="FFFFFF"/>
            <w:vAlign w:val="bottom"/>
          </w:tcPr>
          <w:p w14:paraId="15B5557C" w14:textId="77777777" w:rsidR="00924992" w:rsidRDefault="00924992">
            <w:pPr>
              <w:framePr w:w="11434" w:h="5246" w:wrap="none" w:hAnchor="page" w:x="635" w:y="371"/>
            </w:pPr>
          </w:p>
        </w:tc>
      </w:tr>
      <w:tr w:rsidR="00924992" w14:paraId="73CAEAAD" w14:textId="77777777">
        <w:tblPrEx>
          <w:tblCellMar>
            <w:top w:w="0" w:type="dxa"/>
            <w:bottom w:w="0" w:type="dxa"/>
          </w:tblCellMar>
        </w:tblPrEx>
        <w:trPr>
          <w:trHeight w:hRule="exact" w:val="413"/>
        </w:trPr>
        <w:tc>
          <w:tcPr>
            <w:tcW w:w="2040" w:type="dxa"/>
            <w:shd w:val="clear" w:color="auto" w:fill="FFFFFF"/>
          </w:tcPr>
          <w:p w14:paraId="72EF6D16" w14:textId="77777777" w:rsidR="00924992" w:rsidRDefault="00924992">
            <w:pPr>
              <w:framePr w:w="11434" w:h="5246" w:wrap="none" w:hAnchor="page" w:x="635" w:y="371"/>
              <w:rPr>
                <w:sz w:val="10"/>
                <w:szCs w:val="10"/>
              </w:rPr>
            </w:pPr>
          </w:p>
        </w:tc>
        <w:tc>
          <w:tcPr>
            <w:tcW w:w="3192" w:type="dxa"/>
            <w:shd w:val="clear" w:color="auto" w:fill="FFFFFF"/>
            <w:vAlign w:val="bottom"/>
          </w:tcPr>
          <w:p w14:paraId="6638DF7F" w14:textId="77777777" w:rsidR="00924992" w:rsidRDefault="00924992">
            <w:pPr>
              <w:pStyle w:val="Other0"/>
              <w:framePr w:w="11434" w:h="5246" w:wrap="none" w:hAnchor="page" w:x="635" w:y="371"/>
              <w:spacing w:line="240" w:lineRule="auto"/>
              <w:ind w:firstLine="840"/>
              <w:rPr>
                <w:sz w:val="16"/>
                <w:szCs w:val="16"/>
              </w:rPr>
            </w:pPr>
            <w:r>
              <w:rPr>
                <w:rFonts w:ascii="Times New Roman" w:eastAsia="Times New Roman" w:hAnsi="Times New Roman" w:cs="Times New Roman"/>
                <w:b/>
                <w:bCs/>
                <w:color w:val="000000"/>
                <w:sz w:val="16"/>
                <w:szCs w:val="16"/>
              </w:rPr>
              <w:t>o añadir</w:t>
            </w:r>
          </w:p>
          <w:p w14:paraId="2EE30ABE" w14:textId="77777777" w:rsidR="00924992" w:rsidRDefault="00924992">
            <w:pPr>
              <w:pStyle w:val="Other0"/>
              <w:framePr w:w="11434" w:h="5246" w:wrap="none" w:hAnchor="page" w:x="635" w:y="371"/>
              <w:spacing w:line="240" w:lineRule="auto"/>
              <w:ind w:firstLine="840"/>
              <w:rPr>
                <w:sz w:val="16"/>
                <w:szCs w:val="16"/>
              </w:rPr>
            </w:pPr>
            <w:r>
              <w:rPr>
                <w:rFonts w:ascii="Times New Roman" w:eastAsia="Times New Roman" w:hAnsi="Times New Roman" w:cs="Times New Roman"/>
                <w:color w:val="000000"/>
                <w:sz w:val="16"/>
                <w:szCs w:val="16"/>
              </w:rPr>
              <w:t>clindamicina</w:t>
            </w:r>
            <w:r>
              <w:rPr>
                <w:rFonts w:ascii="Times New Roman" w:eastAsia="Times New Roman" w:hAnsi="Times New Roman" w:cs="Times New Roman"/>
                <w:color w:val="000000"/>
                <w:sz w:val="16"/>
                <w:szCs w:val="16"/>
                <w:vertAlign w:val="superscript"/>
              </w:rPr>
              <w:t>3,57</w:t>
            </w:r>
          </w:p>
        </w:tc>
        <w:tc>
          <w:tcPr>
            <w:tcW w:w="3144" w:type="dxa"/>
            <w:shd w:val="clear" w:color="auto" w:fill="FFFFFF"/>
            <w:vAlign w:val="bottom"/>
          </w:tcPr>
          <w:p w14:paraId="571FDB50" w14:textId="77777777" w:rsidR="00924992" w:rsidRDefault="00924992">
            <w:pPr>
              <w:pStyle w:val="Other0"/>
              <w:framePr w:w="11434" w:h="5246" w:wrap="none" w:hAnchor="page" w:x="635" w:y="371"/>
              <w:spacing w:line="240" w:lineRule="auto"/>
              <w:ind w:firstLine="440"/>
              <w:rPr>
                <w:sz w:val="16"/>
                <w:szCs w:val="16"/>
              </w:rPr>
            </w:pPr>
            <w:r>
              <w:rPr>
                <w:rFonts w:ascii="Times New Roman" w:eastAsia="Times New Roman" w:hAnsi="Times New Roman" w:cs="Times New Roman"/>
                <w:color w:val="000000"/>
                <w:sz w:val="16"/>
                <w:szCs w:val="16"/>
              </w:rPr>
              <w:t xml:space="preserve">900 mg tid </w:t>
            </w:r>
            <w:r>
              <w:rPr>
                <w:rFonts w:ascii="Arial" w:eastAsia="Arial" w:hAnsi="Arial" w:cs="Arial"/>
                <w:color w:val="000000"/>
                <w:sz w:val="14"/>
                <w:szCs w:val="14"/>
              </w:rPr>
              <w:t xml:space="preserve">x </w:t>
            </w:r>
            <w:r>
              <w:rPr>
                <w:rFonts w:ascii="Times New Roman" w:eastAsia="Times New Roman" w:hAnsi="Times New Roman" w:cs="Times New Roman"/>
                <w:color w:val="000000"/>
                <w:sz w:val="16"/>
                <w:szCs w:val="16"/>
              </w:rPr>
              <w:t>5 días</w:t>
            </w:r>
          </w:p>
        </w:tc>
        <w:tc>
          <w:tcPr>
            <w:tcW w:w="3058" w:type="dxa"/>
            <w:shd w:val="clear" w:color="auto" w:fill="FFFFFF"/>
            <w:vAlign w:val="bottom"/>
          </w:tcPr>
          <w:p w14:paraId="7C2D600E" w14:textId="77777777" w:rsidR="00924992" w:rsidRDefault="00924992">
            <w:pPr>
              <w:pStyle w:val="Other0"/>
              <w:framePr w:w="11434" w:h="5246" w:wrap="none" w:hAnchor="page" w:x="635" w:y="371"/>
              <w:spacing w:line="240" w:lineRule="auto"/>
              <w:ind w:left="180" w:firstLine="0"/>
              <w:rPr>
                <w:sz w:val="16"/>
                <w:szCs w:val="16"/>
              </w:rPr>
            </w:pPr>
            <w:r>
              <w:rPr>
                <w:rFonts w:ascii="Times New Roman" w:eastAsia="Times New Roman" w:hAnsi="Times New Roman" w:cs="Times New Roman"/>
                <w:color w:val="000000"/>
                <w:sz w:val="16"/>
                <w:szCs w:val="16"/>
              </w:rPr>
              <w:t xml:space="preserve">20-40 mg/kg/día en 3 dosis </w:t>
            </w:r>
            <w:r>
              <w:rPr>
                <w:rFonts w:ascii="Arial" w:eastAsia="Arial" w:hAnsi="Arial" w:cs="Arial"/>
                <w:color w:val="000000"/>
                <w:sz w:val="14"/>
                <w:szCs w:val="14"/>
              </w:rPr>
              <w:t xml:space="preserve">x </w:t>
            </w:r>
            <w:r>
              <w:rPr>
                <w:rFonts w:ascii="Times New Roman" w:eastAsia="Times New Roman" w:hAnsi="Times New Roman" w:cs="Times New Roman"/>
                <w:color w:val="000000"/>
                <w:sz w:val="16"/>
                <w:szCs w:val="16"/>
              </w:rPr>
              <w:t>5 días</w:t>
            </w:r>
          </w:p>
        </w:tc>
      </w:tr>
      <w:tr w:rsidR="00924992" w14:paraId="2675F9B9" w14:textId="77777777">
        <w:tblPrEx>
          <w:tblCellMar>
            <w:top w:w="0" w:type="dxa"/>
            <w:bottom w:w="0" w:type="dxa"/>
          </w:tblCellMar>
        </w:tblPrEx>
        <w:trPr>
          <w:trHeight w:hRule="exact" w:val="912"/>
        </w:trPr>
        <w:tc>
          <w:tcPr>
            <w:tcW w:w="2040" w:type="dxa"/>
            <w:tcBorders>
              <w:bottom w:val="single" w:sz="4" w:space="0" w:color="auto"/>
            </w:tcBorders>
            <w:shd w:val="clear" w:color="auto" w:fill="FFFFFF"/>
          </w:tcPr>
          <w:p w14:paraId="4A99D6C6" w14:textId="77777777" w:rsidR="00924992" w:rsidRDefault="00924992">
            <w:pPr>
              <w:pStyle w:val="Other0"/>
              <w:framePr w:w="11434" w:h="5246" w:wrap="none" w:hAnchor="page" w:x="635" w:y="371"/>
              <w:spacing w:line="240" w:lineRule="auto"/>
              <w:ind w:firstLine="0"/>
              <w:rPr>
                <w:sz w:val="16"/>
                <w:szCs w:val="16"/>
              </w:rPr>
            </w:pPr>
            <w:r>
              <w:rPr>
                <w:rFonts w:ascii="Times New Roman" w:eastAsia="Times New Roman" w:hAnsi="Times New Roman" w:cs="Times New Roman"/>
                <w:b/>
                <w:bCs/>
                <w:color w:val="000000"/>
                <w:sz w:val="16"/>
                <w:szCs w:val="16"/>
              </w:rPr>
              <w:t>O</w:t>
            </w:r>
          </w:p>
        </w:tc>
        <w:tc>
          <w:tcPr>
            <w:tcW w:w="3192" w:type="dxa"/>
            <w:tcBorders>
              <w:bottom w:val="single" w:sz="4" w:space="0" w:color="auto"/>
            </w:tcBorders>
            <w:shd w:val="clear" w:color="auto" w:fill="FFFFFF"/>
          </w:tcPr>
          <w:p w14:paraId="0AD14160" w14:textId="77777777" w:rsidR="00924992" w:rsidRDefault="00924992">
            <w:pPr>
              <w:pStyle w:val="Other0"/>
              <w:framePr w:w="11434" w:h="5246" w:wrap="none" w:hAnchor="page" w:x="635" w:y="371"/>
              <w:spacing w:line="240" w:lineRule="auto"/>
              <w:ind w:firstLine="840"/>
              <w:rPr>
                <w:sz w:val="16"/>
                <w:szCs w:val="16"/>
              </w:rPr>
            </w:pPr>
            <w:r>
              <w:rPr>
                <w:rFonts w:ascii="Times New Roman" w:eastAsia="Times New Roman" w:hAnsi="Times New Roman" w:cs="Times New Roman"/>
                <w:color w:val="000000"/>
                <w:sz w:val="16"/>
                <w:szCs w:val="16"/>
              </w:rPr>
              <w:t>Atovacuona/proguanil</w:t>
            </w:r>
            <w:r>
              <w:rPr>
                <w:rFonts w:ascii="Times New Roman" w:eastAsia="Times New Roman" w:hAnsi="Times New Roman" w:cs="Times New Roman"/>
                <w:color w:val="000000"/>
                <w:sz w:val="16"/>
                <w:szCs w:val="16"/>
                <w:vertAlign w:val="superscript"/>
              </w:rPr>
              <w:t>l58</w:t>
            </w:r>
          </w:p>
        </w:tc>
        <w:tc>
          <w:tcPr>
            <w:tcW w:w="3144" w:type="dxa"/>
            <w:tcBorders>
              <w:bottom w:val="single" w:sz="4" w:space="0" w:color="auto"/>
            </w:tcBorders>
            <w:shd w:val="clear" w:color="auto" w:fill="FFFFFF"/>
          </w:tcPr>
          <w:p w14:paraId="18C5B261" w14:textId="77777777" w:rsidR="00924992" w:rsidRDefault="00924992">
            <w:pPr>
              <w:pStyle w:val="Other0"/>
              <w:framePr w:w="11434" w:h="5246" w:wrap="none" w:hAnchor="page" w:x="635" w:y="371"/>
              <w:spacing w:line="240" w:lineRule="auto"/>
              <w:ind w:firstLine="440"/>
              <w:rPr>
                <w:sz w:val="16"/>
                <w:szCs w:val="16"/>
              </w:rPr>
            </w:pPr>
            <w:r>
              <w:rPr>
                <w:rFonts w:ascii="Times New Roman" w:eastAsia="Times New Roman" w:hAnsi="Times New Roman" w:cs="Times New Roman"/>
                <w:color w:val="000000"/>
                <w:sz w:val="16"/>
                <w:szCs w:val="16"/>
              </w:rPr>
              <w:t xml:space="preserve">2 tabletas para adulto bid </w:t>
            </w:r>
            <w:r>
              <w:rPr>
                <w:rFonts w:ascii="Arial" w:eastAsia="Arial" w:hAnsi="Arial" w:cs="Arial"/>
                <w:color w:val="000000"/>
                <w:sz w:val="14"/>
                <w:szCs w:val="14"/>
              </w:rPr>
              <w:t xml:space="preserve">x </w:t>
            </w:r>
            <w:r>
              <w:rPr>
                <w:rFonts w:ascii="Times New Roman" w:eastAsia="Times New Roman" w:hAnsi="Times New Roman" w:cs="Times New Roman"/>
                <w:color w:val="000000"/>
                <w:sz w:val="16"/>
                <w:szCs w:val="16"/>
              </w:rPr>
              <w:t>3 días</w:t>
            </w:r>
          </w:p>
        </w:tc>
        <w:tc>
          <w:tcPr>
            <w:tcW w:w="3058" w:type="dxa"/>
            <w:tcBorders>
              <w:bottom w:val="single" w:sz="4" w:space="0" w:color="auto"/>
            </w:tcBorders>
            <w:shd w:val="clear" w:color="auto" w:fill="FFFFFF"/>
          </w:tcPr>
          <w:p w14:paraId="7358F70C" w14:textId="77777777" w:rsidR="00924992" w:rsidRDefault="00924992">
            <w:pPr>
              <w:pStyle w:val="Other0"/>
              <w:framePr w:w="11434" w:h="5246" w:wrap="none" w:hAnchor="page" w:x="635" w:y="371"/>
              <w:spacing w:line="259" w:lineRule="auto"/>
              <w:ind w:left="180" w:firstLine="0"/>
              <w:rPr>
                <w:sz w:val="16"/>
                <w:szCs w:val="16"/>
              </w:rPr>
            </w:pPr>
            <w:r>
              <w:rPr>
                <w:rFonts w:ascii="Times New Roman" w:eastAsia="Times New Roman" w:hAnsi="Times New Roman" w:cs="Times New Roman"/>
                <w:color w:val="000000"/>
                <w:sz w:val="16"/>
                <w:szCs w:val="16"/>
              </w:rPr>
              <w:t xml:space="preserve">11-20 kg: 1 tableta para adulto/día </w:t>
            </w:r>
            <w:r>
              <w:rPr>
                <w:rFonts w:ascii="Arial" w:eastAsia="Arial" w:hAnsi="Arial" w:cs="Arial"/>
                <w:color w:val="000000"/>
                <w:sz w:val="14"/>
                <w:szCs w:val="14"/>
              </w:rPr>
              <w:t xml:space="preserve">x </w:t>
            </w:r>
            <w:r>
              <w:rPr>
                <w:rFonts w:ascii="Times New Roman" w:eastAsia="Times New Roman" w:hAnsi="Times New Roman" w:cs="Times New Roman"/>
                <w:color w:val="000000"/>
                <w:sz w:val="16"/>
                <w:szCs w:val="16"/>
              </w:rPr>
              <w:t xml:space="preserve">3 días 21-30 kg: 2 tabletas para adulto/día </w:t>
            </w:r>
            <w:r>
              <w:rPr>
                <w:rFonts w:ascii="Arial" w:eastAsia="Arial" w:hAnsi="Arial" w:cs="Arial"/>
                <w:color w:val="000000"/>
                <w:sz w:val="14"/>
                <w:szCs w:val="14"/>
              </w:rPr>
              <w:t xml:space="preserve">x </w:t>
            </w:r>
            <w:r>
              <w:rPr>
                <w:rFonts w:ascii="Times New Roman" w:eastAsia="Times New Roman" w:hAnsi="Times New Roman" w:cs="Times New Roman"/>
                <w:color w:val="000000"/>
                <w:sz w:val="16"/>
                <w:szCs w:val="16"/>
              </w:rPr>
              <w:t>3 días</w:t>
            </w:r>
          </w:p>
          <w:p w14:paraId="370A6FF6" w14:textId="77777777" w:rsidR="00924992" w:rsidRDefault="00924992">
            <w:pPr>
              <w:pStyle w:val="Other0"/>
              <w:framePr w:w="11434" w:h="5246" w:wrap="none" w:hAnchor="page" w:x="635" w:y="371"/>
              <w:spacing w:line="259" w:lineRule="auto"/>
              <w:ind w:left="180" w:firstLine="0"/>
              <w:rPr>
                <w:sz w:val="16"/>
                <w:szCs w:val="16"/>
              </w:rPr>
            </w:pPr>
            <w:r>
              <w:rPr>
                <w:rFonts w:ascii="Times New Roman" w:eastAsia="Times New Roman" w:hAnsi="Times New Roman" w:cs="Times New Roman"/>
                <w:color w:val="000000"/>
                <w:sz w:val="16"/>
                <w:szCs w:val="16"/>
              </w:rPr>
              <w:t xml:space="preserve">31-40 kg: 3 tabletas para adulto/día </w:t>
            </w:r>
            <w:r>
              <w:rPr>
                <w:rFonts w:ascii="Arial" w:eastAsia="Arial" w:hAnsi="Arial" w:cs="Arial"/>
                <w:color w:val="000000"/>
                <w:sz w:val="14"/>
                <w:szCs w:val="14"/>
              </w:rPr>
              <w:t xml:space="preserve">x </w:t>
            </w:r>
            <w:r>
              <w:rPr>
                <w:rFonts w:ascii="Times New Roman" w:eastAsia="Times New Roman" w:hAnsi="Times New Roman" w:cs="Times New Roman"/>
                <w:color w:val="000000"/>
                <w:sz w:val="16"/>
                <w:szCs w:val="16"/>
              </w:rPr>
              <w:t xml:space="preserve">3 días &gt;40 kg: 2 tabletas para adulto bid </w:t>
            </w:r>
            <w:r>
              <w:rPr>
                <w:rFonts w:ascii="Arial" w:eastAsia="Arial" w:hAnsi="Arial" w:cs="Arial"/>
                <w:color w:val="000000"/>
                <w:sz w:val="14"/>
                <w:szCs w:val="14"/>
              </w:rPr>
              <w:t xml:space="preserve">x </w:t>
            </w:r>
            <w:r>
              <w:rPr>
                <w:rFonts w:ascii="Times New Roman" w:eastAsia="Times New Roman" w:hAnsi="Times New Roman" w:cs="Times New Roman"/>
                <w:color w:val="000000"/>
                <w:sz w:val="16"/>
                <w:szCs w:val="16"/>
              </w:rPr>
              <w:t>3 días</w:t>
            </w:r>
          </w:p>
        </w:tc>
      </w:tr>
    </w:tbl>
    <w:p w14:paraId="16FA0161" w14:textId="77777777" w:rsidR="00924992" w:rsidRDefault="00924992">
      <w:pPr>
        <w:framePr w:w="11434" w:h="5246" w:wrap="none" w:hAnchor="page" w:x="635" w:y="371"/>
        <w:spacing w:line="1" w:lineRule="exact"/>
      </w:pPr>
    </w:p>
    <w:p w14:paraId="1013B18B" w14:textId="77777777" w:rsidR="00924992" w:rsidRDefault="00924992">
      <w:pPr>
        <w:pStyle w:val="Bodytext20"/>
        <w:framePr w:w="11318" w:h="1656" w:wrap="none" w:hAnchor="page" w:x="644" w:y="5708"/>
        <w:numPr>
          <w:ilvl w:val="0"/>
          <w:numId w:val="138"/>
        </w:numPr>
        <w:tabs>
          <w:tab w:val="left" w:pos="379"/>
        </w:tabs>
        <w:spacing w:line="240" w:lineRule="auto"/>
        <w:ind w:left="380" w:hanging="380"/>
        <w:rPr>
          <w:sz w:val="15"/>
          <w:szCs w:val="15"/>
        </w:rPr>
      </w:pPr>
      <w:bookmarkStart w:id="600" w:name="bookmark2031"/>
      <w:bookmarkEnd w:id="600"/>
      <w:r>
        <w:rPr>
          <w:color w:val="000000"/>
          <w:sz w:val="15"/>
          <w:szCs w:val="15"/>
        </w:rPr>
        <w:t xml:space="preserve">Las lesiones oculares por </w:t>
      </w:r>
      <w:r>
        <w:rPr>
          <w:i/>
          <w:iCs/>
          <w:color w:val="000000"/>
          <w:sz w:val="15"/>
          <w:szCs w:val="15"/>
        </w:rPr>
        <w:t>E. hellem</w:t>
      </w:r>
      <w:r>
        <w:rPr>
          <w:color w:val="000000"/>
          <w:sz w:val="15"/>
          <w:szCs w:val="15"/>
        </w:rPr>
        <w:t xml:space="preserve"> en pacientes infectados de VIH han mejorado con gotas oftálmicas de fumagilina preparadas a partir de Fumidil-B, producto comercial (Mid-Continent Agrimarketing, Inc., Olathe, Kansas, 800-547-1392) utilizada para controlar la enfermedad por microsporidios en abejas (MC Diesenhouse, </w:t>
      </w:r>
      <w:r>
        <w:rPr>
          <w:i/>
          <w:iCs/>
          <w:color w:val="000000"/>
          <w:sz w:val="15"/>
          <w:szCs w:val="15"/>
        </w:rPr>
        <w:t xml:space="preserve">Am J Ophthalmol </w:t>
      </w:r>
      <w:r>
        <w:rPr>
          <w:color w:val="000000"/>
          <w:sz w:val="15"/>
          <w:szCs w:val="15"/>
        </w:rPr>
        <w:t xml:space="preserve">1993; 115:293). En el caso de lesiones por </w:t>
      </w:r>
      <w:r>
        <w:rPr>
          <w:i/>
          <w:iCs/>
          <w:color w:val="000000"/>
          <w:sz w:val="15"/>
          <w:szCs w:val="15"/>
        </w:rPr>
        <w:t>V. corneae</w:t>
      </w:r>
      <w:r>
        <w:rPr>
          <w:color w:val="000000"/>
          <w:sz w:val="15"/>
          <w:szCs w:val="15"/>
        </w:rPr>
        <w:t xml:space="preserve"> el tratamiento tópico por lo regular no es eficaz y a veces se necesita queratoplastia (RM Davis et al, </w:t>
      </w:r>
      <w:r>
        <w:rPr>
          <w:i/>
          <w:iCs/>
          <w:color w:val="000000"/>
          <w:sz w:val="15"/>
          <w:szCs w:val="15"/>
        </w:rPr>
        <w:t xml:space="preserve">Ophthalmology </w:t>
      </w:r>
      <w:r>
        <w:rPr>
          <w:color w:val="000000"/>
          <w:sz w:val="15"/>
          <w:szCs w:val="15"/>
        </w:rPr>
        <w:t>1990; 97:953).</w:t>
      </w:r>
    </w:p>
    <w:p w14:paraId="5E8EEA06" w14:textId="77777777" w:rsidR="00924992" w:rsidRDefault="00924992">
      <w:pPr>
        <w:pStyle w:val="Bodytext20"/>
        <w:framePr w:w="11318" w:h="1656" w:wrap="none" w:hAnchor="page" w:x="644" w:y="5708"/>
        <w:numPr>
          <w:ilvl w:val="0"/>
          <w:numId w:val="138"/>
        </w:numPr>
        <w:tabs>
          <w:tab w:val="left" w:pos="379"/>
        </w:tabs>
        <w:spacing w:line="240" w:lineRule="auto"/>
        <w:ind w:left="380" w:hanging="380"/>
        <w:rPr>
          <w:sz w:val="15"/>
          <w:szCs w:val="15"/>
        </w:rPr>
      </w:pPr>
      <w:bookmarkStart w:id="601" w:name="bookmark2032"/>
      <w:bookmarkEnd w:id="601"/>
      <w:r>
        <w:rPr>
          <w:color w:val="000000"/>
          <w:sz w:val="15"/>
          <w:szCs w:val="15"/>
        </w:rPr>
        <w:t xml:space="preserve">La fumagilina ingerible (véase pie de cuadro 50, Sanofi Recherche, Gentilly, France) ha sido eficaz para tratar </w:t>
      </w:r>
      <w:r>
        <w:rPr>
          <w:i/>
          <w:iCs/>
          <w:color w:val="000000"/>
          <w:sz w:val="15"/>
          <w:szCs w:val="15"/>
        </w:rPr>
        <w:t>E. bieneusi</w:t>
      </w:r>
      <w:r>
        <w:rPr>
          <w:color w:val="000000"/>
          <w:sz w:val="15"/>
          <w:szCs w:val="15"/>
        </w:rPr>
        <w:t xml:space="preserve"> (J-M Molina et al, </w:t>
      </w:r>
      <w:r>
        <w:rPr>
          <w:i/>
          <w:iCs/>
          <w:color w:val="000000"/>
          <w:sz w:val="15"/>
          <w:szCs w:val="15"/>
        </w:rPr>
        <w:t>AIDS2000';</w:t>
      </w:r>
      <w:r>
        <w:rPr>
          <w:color w:val="000000"/>
          <w:sz w:val="15"/>
          <w:szCs w:val="15"/>
        </w:rPr>
        <w:t xml:space="preserve"> 14:1341), pero se ha acompañado de trombocitopenia. La administración de antirretrovíricos muy activos </w:t>
      </w:r>
      <w:r>
        <w:rPr>
          <w:i/>
          <w:iCs/>
          <w:color w:val="000000"/>
          <w:sz w:val="15"/>
          <w:szCs w:val="15"/>
        </w:rPr>
        <w:t>(highly active antiretroviral therapy,</w:t>
      </w:r>
      <w:r>
        <w:rPr>
          <w:color w:val="000000"/>
          <w:sz w:val="15"/>
          <w:szCs w:val="15"/>
        </w:rPr>
        <w:t xml:space="preserve"> HAART) puede ocasionar una respuesta microbiológica y clínica en personas infectadas por VIH con diarrea por microsporidios (NA Foudraine et al, AIDS 1998; 12:35; A Carr et al, </w:t>
      </w:r>
      <w:r>
        <w:rPr>
          <w:i/>
          <w:iCs/>
          <w:color w:val="000000"/>
          <w:sz w:val="15"/>
          <w:szCs w:val="15"/>
        </w:rPr>
        <w:t>Lancet</w:t>
      </w:r>
      <w:r>
        <w:rPr>
          <w:color w:val="000000"/>
          <w:sz w:val="15"/>
          <w:szCs w:val="15"/>
        </w:rPr>
        <w:t xml:space="preserve"> 1998; 351:256). El octreótido (</w:t>
      </w:r>
      <w:r>
        <w:rPr>
          <w:i/>
          <w:iCs/>
          <w:color w:val="000000"/>
          <w:sz w:val="15"/>
          <w:szCs w:val="15"/>
        </w:rPr>
        <w:t>Sandostatin</w:t>
      </w:r>
      <w:r>
        <w:rPr>
          <w:color w:val="000000"/>
          <w:sz w:val="15"/>
          <w:szCs w:val="15"/>
        </w:rPr>
        <w:t>) ha producido alivio sintomático en algunos niños con diarrea muy copiosa.</w:t>
      </w:r>
    </w:p>
    <w:p w14:paraId="2BB4E1CA" w14:textId="77777777" w:rsidR="00924992" w:rsidRDefault="00924992">
      <w:pPr>
        <w:pStyle w:val="Bodytext20"/>
        <w:framePr w:w="11318" w:h="1656" w:wrap="none" w:hAnchor="page" w:x="644" w:y="5708"/>
        <w:numPr>
          <w:ilvl w:val="0"/>
          <w:numId w:val="138"/>
        </w:numPr>
        <w:tabs>
          <w:tab w:val="left" w:pos="360"/>
        </w:tabs>
        <w:spacing w:line="240" w:lineRule="auto"/>
        <w:rPr>
          <w:sz w:val="15"/>
          <w:szCs w:val="15"/>
        </w:rPr>
      </w:pPr>
      <w:bookmarkStart w:id="602" w:name="bookmark2033"/>
      <w:bookmarkEnd w:id="602"/>
      <w:r>
        <w:rPr>
          <w:color w:val="000000"/>
          <w:sz w:val="15"/>
          <w:szCs w:val="15"/>
        </w:rPr>
        <w:t xml:space="preserve">J-M Molina et al, </w:t>
      </w:r>
      <w:r>
        <w:rPr>
          <w:i/>
          <w:iCs/>
          <w:color w:val="000000"/>
          <w:sz w:val="15"/>
          <w:szCs w:val="15"/>
        </w:rPr>
        <w:t>J Infect Dis</w:t>
      </w:r>
      <w:r>
        <w:rPr>
          <w:color w:val="000000"/>
          <w:sz w:val="15"/>
          <w:szCs w:val="15"/>
        </w:rPr>
        <w:t xml:space="preserve"> 1995; 171:245. No existe tratamiento definido contra </w:t>
      </w:r>
      <w:r>
        <w:rPr>
          <w:i/>
          <w:iCs/>
          <w:color w:val="000000"/>
          <w:sz w:val="15"/>
          <w:szCs w:val="15"/>
        </w:rPr>
        <w:t>Pleistophora</w:t>
      </w:r>
      <w:r>
        <w:rPr>
          <w:color w:val="000000"/>
          <w:sz w:val="15"/>
          <w:szCs w:val="15"/>
        </w:rPr>
        <w:t>.</w:t>
      </w:r>
    </w:p>
    <w:p w14:paraId="5546D4A7" w14:textId="77777777" w:rsidR="00924992" w:rsidRDefault="00924992">
      <w:pPr>
        <w:pStyle w:val="Bodytext80"/>
        <w:framePr w:w="192" w:h="4536" w:hRule="exact" w:wrap="none" w:hAnchor="page" w:x="12390" w:y="236"/>
        <w:tabs>
          <w:tab w:val="left" w:pos="2338"/>
        </w:tabs>
        <w:textDirection w:val="tbRl"/>
      </w:pPr>
      <w:r>
        <w:rPr>
          <w:sz w:val="16"/>
          <w:szCs w:val="16"/>
        </w:rPr>
        <w:t>794</w:t>
      </w:r>
      <w:r>
        <w:rPr>
          <w:sz w:val="16"/>
          <w:szCs w:val="16"/>
        </w:rPr>
        <w:tab/>
      </w:r>
      <w:r>
        <w:t>FÁRMACOS ANTIPARASITARIOS</w:t>
      </w:r>
    </w:p>
    <w:p w14:paraId="1958F572" w14:textId="77777777" w:rsidR="00924992" w:rsidRDefault="00924992">
      <w:pPr>
        <w:spacing w:line="360" w:lineRule="exact"/>
      </w:pPr>
    </w:p>
    <w:p w14:paraId="04CCC3AD" w14:textId="77777777" w:rsidR="00924992" w:rsidRDefault="00924992">
      <w:pPr>
        <w:spacing w:line="360" w:lineRule="exact"/>
      </w:pPr>
    </w:p>
    <w:p w14:paraId="3E7B6C3C" w14:textId="77777777" w:rsidR="00924992" w:rsidRDefault="00924992">
      <w:pPr>
        <w:spacing w:line="360" w:lineRule="exact"/>
      </w:pPr>
    </w:p>
    <w:p w14:paraId="1FF40FF7" w14:textId="77777777" w:rsidR="00924992" w:rsidRDefault="00924992">
      <w:pPr>
        <w:spacing w:line="360" w:lineRule="exact"/>
      </w:pPr>
    </w:p>
    <w:p w14:paraId="71154C39" w14:textId="77777777" w:rsidR="00924992" w:rsidRDefault="00924992">
      <w:pPr>
        <w:spacing w:line="360" w:lineRule="exact"/>
      </w:pPr>
    </w:p>
    <w:p w14:paraId="591A0A36" w14:textId="77777777" w:rsidR="00924992" w:rsidRDefault="00924992">
      <w:pPr>
        <w:spacing w:line="360" w:lineRule="exact"/>
      </w:pPr>
    </w:p>
    <w:p w14:paraId="57069BD9" w14:textId="77777777" w:rsidR="00924992" w:rsidRDefault="00924992">
      <w:pPr>
        <w:spacing w:line="360" w:lineRule="exact"/>
      </w:pPr>
    </w:p>
    <w:p w14:paraId="3395B2B1" w14:textId="77777777" w:rsidR="00924992" w:rsidRDefault="00924992">
      <w:pPr>
        <w:spacing w:line="360" w:lineRule="exact"/>
      </w:pPr>
    </w:p>
    <w:p w14:paraId="10F5087F" w14:textId="77777777" w:rsidR="00924992" w:rsidRDefault="00924992">
      <w:pPr>
        <w:spacing w:line="360" w:lineRule="exact"/>
      </w:pPr>
    </w:p>
    <w:p w14:paraId="23539B99" w14:textId="77777777" w:rsidR="00924992" w:rsidRDefault="00924992">
      <w:pPr>
        <w:spacing w:line="360" w:lineRule="exact"/>
      </w:pPr>
    </w:p>
    <w:p w14:paraId="5984FD8B" w14:textId="77777777" w:rsidR="00924992" w:rsidRDefault="00924992">
      <w:pPr>
        <w:spacing w:line="360" w:lineRule="exact"/>
      </w:pPr>
    </w:p>
    <w:p w14:paraId="5DFFA9D7" w14:textId="77777777" w:rsidR="00924992" w:rsidRDefault="00924992">
      <w:pPr>
        <w:spacing w:line="360" w:lineRule="exact"/>
      </w:pPr>
    </w:p>
    <w:p w14:paraId="34238FF9" w14:textId="77777777" w:rsidR="00924992" w:rsidRDefault="00924992">
      <w:pPr>
        <w:spacing w:line="360" w:lineRule="exact"/>
      </w:pPr>
    </w:p>
    <w:p w14:paraId="53570864" w14:textId="77777777" w:rsidR="00924992" w:rsidRDefault="00924992">
      <w:pPr>
        <w:spacing w:line="360" w:lineRule="exact"/>
      </w:pPr>
    </w:p>
    <w:p w14:paraId="4CE9C25D" w14:textId="77777777" w:rsidR="00924992" w:rsidRDefault="00924992">
      <w:pPr>
        <w:spacing w:line="360" w:lineRule="exact"/>
      </w:pPr>
    </w:p>
    <w:p w14:paraId="3ED2420D" w14:textId="77777777" w:rsidR="00924992" w:rsidRDefault="00924992">
      <w:pPr>
        <w:spacing w:line="360" w:lineRule="exact"/>
      </w:pPr>
    </w:p>
    <w:p w14:paraId="233CC584" w14:textId="77777777" w:rsidR="00924992" w:rsidRDefault="00924992">
      <w:pPr>
        <w:spacing w:line="360" w:lineRule="exact"/>
      </w:pPr>
    </w:p>
    <w:p w14:paraId="6D7215CB" w14:textId="77777777" w:rsidR="00924992" w:rsidRDefault="00924992">
      <w:pPr>
        <w:spacing w:line="360" w:lineRule="exact"/>
      </w:pPr>
    </w:p>
    <w:p w14:paraId="4CBAF977" w14:textId="77777777" w:rsidR="00924992" w:rsidRDefault="00924992">
      <w:pPr>
        <w:spacing w:line="360" w:lineRule="exact"/>
      </w:pPr>
    </w:p>
    <w:p w14:paraId="3C0139A6" w14:textId="77777777" w:rsidR="00924992" w:rsidRDefault="00924992">
      <w:pPr>
        <w:spacing w:after="522" w:line="1" w:lineRule="exact"/>
      </w:pPr>
    </w:p>
    <w:p w14:paraId="160D72F8" w14:textId="77777777" w:rsidR="00924992" w:rsidRDefault="00924992">
      <w:pPr>
        <w:spacing w:line="1" w:lineRule="exact"/>
        <w:sectPr w:rsidR="00924992" w:rsidSect="00924992">
          <w:headerReference w:type="even" r:id="rId355"/>
          <w:headerReference w:type="default" r:id="rId356"/>
          <w:footerReference w:type="even" r:id="rId357"/>
          <w:footerReference w:type="default" r:id="rId358"/>
          <w:pgSz w:w="13022" w:h="8501" w:orient="landscape"/>
          <w:pgMar w:top="269" w:right="442" w:bottom="269" w:left="634" w:header="0" w:footer="3" w:gutter="0"/>
          <w:cols w:space="720"/>
          <w:noEndnote/>
          <w:docGrid w:linePitch="360"/>
          <w15:footnoteColumns w:val="1"/>
        </w:sectPr>
      </w:pPr>
    </w:p>
    <w:p w14:paraId="1D004985" w14:textId="77777777" w:rsidR="00924992" w:rsidRDefault="00924992">
      <w:pPr>
        <w:pStyle w:val="Heading31"/>
        <w:keepNext/>
        <w:keepLines/>
        <w:spacing w:after="60"/>
        <w:jc w:val="center"/>
        <w:rPr>
          <w:sz w:val="16"/>
          <w:szCs w:val="16"/>
        </w:rPr>
      </w:pPr>
      <w:bookmarkStart w:id="603" w:name="bookmark2034"/>
      <w:bookmarkStart w:id="604" w:name="bookmark2035"/>
      <w:bookmarkStart w:id="605" w:name="bookmark2036"/>
      <w:r>
        <w:rPr>
          <w:b w:val="0"/>
          <w:bCs w:val="0"/>
          <w:color w:val="000000"/>
        </w:rPr>
        <w:t xml:space="preserve">Cuadro 4-13. </w:t>
      </w:r>
      <w:r>
        <w:rPr>
          <w:color w:val="000000"/>
        </w:rPr>
        <w:t xml:space="preserve">Fármacos antiparasitarios </w:t>
      </w:r>
      <w:r>
        <w:rPr>
          <w:rFonts w:ascii="Times New Roman" w:eastAsia="Times New Roman" w:hAnsi="Times New Roman" w:cs="Times New Roman"/>
          <w:b w:val="0"/>
          <w:bCs w:val="0"/>
          <w:i/>
          <w:iCs/>
          <w:color w:val="000000"/>
          <w:w w:val="100"/>
          <w:sz w:val="16"/>
          <w:szCs w:val="16"/>
        </w:rPr>
        <w:t>continuación</w:t>
      </w:r>
      <w:bookmarkEnd w:id="603"/>
      <w:bookmarkEnd w:id="604"/>
      <w:bookmarkEnd w:id="605"/>
    </w:p>
    <w:tbl>
      <w:tblPr>
        <w:tblOverlap w:val="never"/>
        <w:tblW w:w="0" w:type="auto"/>
        <w:tblLayout w:type="fixed"/>
        <w:tblCellMar>
          <w:left w:w="10" w:type="dxa"/>
          <w:right w:w="10" w:type="dxa"/>
        </w:tblCellMar>
        <w:tblLook w:val="04A0" w:firstRow="1" w:lastRow="0" w:firstColumn="1" w:lastColumn="0" w:noHBand="0" w:noVBand="1"/>
      </w:tblPr>
      <w:tblGrid>
        <w:gridCol w:w="2707"/>
        <w:gridCol w:w="1877"/>
        <w:gridCol w:w="3926"/>
        <w:gridCol w:w="2923"/>
      </w:tblGrid>
      <w:tr w:rsidR="00924992" w14:paraId="7CCC3ABC" w14:textId="77777777">
        <w:tblPrEx>
          <w:tblCellMar>
            <w:top w:w="0" w:type="dxa"/>
            <w:bottom w:w="0" w:type="dxa"/>
          </w:tblCellMar>
        </w:tblPrEx>
        <w:trPr>
          <w:trHeight w:hRule="exact" w:val="274"/>
        </w:trPr>
        <w:tc>
          <w:tcPr>
            <w:tcW w:w="2707" w:type="dxa"/>
            <w:shd w:val="clear" w:color="auto" w:fill="000000"/>
            <w:vAlign w:val="bottom"/>
          </w:tcPr>
          <w:p w14:paraId="2F113A5A" w14:textId="77777777" w:rsidR="00924992" w:rsidRDefault="00924992">
            <w:pPr>
              <w:pStyle w:val="Other0"/>
              <w:framePr w:w="11434" w:h="6749" w:hSpace="514" w:wrap="notBeside" w:vAnchor="text" w:hAnchor="text" w:y="1"/>
              <w:pBdr>
                <w:top w:val="single" w:sz="0" w:space="0" w:color="000000"/>
                <w:left w:val="single" w:sz="0" w:space="0" w:color="000000"/>
                <w:bottom w:val="single" w:sz="0" w:space="0" w:color="000000"/>
                <w:right w:val="single" w:sz="0" w:space="0" w:color="000000"/>
              </w:pBdr>
              <w:shd w:val="clear" w:color="auto" w:fill="000000"/>
              <w:spacing w:line="240" w:lineRule="auto"/>
              <w:ind w:firstLine="0"/>
              <w:rPr>
                <w:sz w:val="24"/>
                <w:szCs w:val="24"/>
              </w:rPr>
            </w:pPr>
            <w:r>
              <w:rPr>
                <w:rFonts w:ascii="Arial" w:eastAsia="Arial" w:hAnsi="Arial" w:cs="Arial"/>
                <w:b/>
                <w:bCs/>
                <w:color w:val="FFFFFF"/>
                <w:w w:val="70"/>
                <w:sz w:val="24"/>
                <w:szCs w:val="24"/>
              </w:rPr>
              <w:t>Infección</w:t>
            </w:r>
          </w:p>
        </w:tc>
        <w:tc>
          <w:tcPr>
            <w:tcW w:w="1877" w:type="dxa"/>
            <w:shd w:val="clear" w:color="auto" w:fill="000000"/>
            <w:vAlign w:val="bottom"/>
          </w:tcPr>
          <w:p w14:paraId="42F849AA" w14:textId="77777777" w:rsidR="00924992" w:rsidRDefault="00924992">
            <w:pPr>
              <w:pStyle w:val="Other0"/>
              <w:framePr w:w="11434" w:h="6749" w:hSpace="514" w:wrap="notBeside" w:vAnchor="text" w:hAnchor="text" w:y="1"/>
              <w:pBdr>
                <w:top w:val="single" w:sz="0" w:space="0" w:color="000000"/>
                <w:left w:val="single" w:sz="0" w:space="0" w:color="000000"/>
                <w:bottom w:val="single" w:sz="0" w:space="0" w:color="000000"/>
                <w:right w:val="single" w:sz="0" w:space="0" w:color="000000"/>
              </w:pBdr>
              <w:shd w:val="clear" w:color="auto" w:fill="000000"/>
              <w:spacing w:line="240" w:lineRule="auto"/>
              <w:ind w:left="160"/>
              <w:rPr>
                <w:sz w:val="24"/>
                <w:szCs w:val="24"/>
              </w:rPr>
            </w:pPr>
            <w:r>
              <w:rPr>
                <w:rFonts w:ascii="Arial" w:eastAsia="Arial" w:hAnsi="Arial" w:cs="Arial"/>
                <w:b/>
                <w:bCs/>
                <w:color w:val="FFFFFF"/>
                <w:w w:val="70"/>
                <w:sz w:val="24"/>
                <w:szCs w:val="24"/>
              </w:rPr>
              <w:t>Fármaco</w:t>
            </w:r>
          </w:p>
        </w:tc>
        <w:tc>
          <w:tcPr>
            <w:tcW w:w="3926" w:type="dxa"/>
            <w:shd w:val="clear" w:color="auto" w:fill="000000"/>
            <w:vAlign w:val="bottom"/>
          </w:tcPr>
          <w:p w14:paraId="4A2ED6B9" w14:textId="77777777" w:rsidR="00924992" w:rsidRDefault="00924992">
            <w:pPr>
              <w:pStyle w:val="Other0"/>
              <w:framePr w:w="11434" w:h="6749" w:hSpace="514" w:wrap="notBeside" w:vAnchor="text" w:hAnchor="text" w:y="1"/>
              <w:pBdr>
                <w:top w:val="single" w:sz="0" w:space="0" w:color="000000"/>
                <w:left w:val="single" w:sz="0" w:space="0" w:color="000000"/>
                <w:bottom w:val="single" w:sz="0" w:space="0" w:color="000000"/>
                <w:right w:val="single" w:sz="0" w:space="0" w:color="000000"/>
              </w:pBdr>
              <w:shd w:val="clear" w:color="auto" w:fill="000000"/>
              <w:spacing w:line="240" w:lineRule="auto"/>
              <w:ind w:left="1120" w:firstLine="0"/>
              <w:jc w:val="both"/>
              <w:rPr>
                <w:sz w:val="24"/>
                <w:szCs w:val="24"/>
              </w:rPr>
            </w:pPr>
            <w:r>
              <w:rPr>
                <w:rFonts w:ascii="Arial" w:eastAsia="Arial" w:hAnsi="Arial" w:cs="Arial"/>
                <w:b/>
                <w:bCs/>
                <w:color w:val="FFFFFF"/>
                <w:w w:val="70"/>
                <w:sz w:val="24"/>
                <w:szCs w:val="24"/>
              </w:rPr>
              <w:t>Dosis para adultos</w:t>
            </w:r>
          </w:p>
        </w:tc>
        <w:tc>
          <w:tcPr>
            <w:tcW w:w="2923" w:type="dxa"/>
            <w:shd w:val="clear" w:color="auto" w:fill="000000"/>
            <w:vAlign w:val="bottom"/>
          </w:tcPr>
          <w:p w14:paraId="01F05A7E" w14:textId="77777777" w:rsidR="00924992" w:rsidRDefault="00924992">
            <w:pPr>
              <w:pStyle w:val="Other0"/>
              <w:framePr w:w="11434" w:h="6749" w:hSpace="514" w:wrap="notBeside" w:vAnchor="text" w:hAnchor="text" w:y="1"/>
              <w:pBdr>
                <w:top w:val="single" w:sz="0" w:space="0" w:color="000000"/>
                <w:left w:val="single" w:sz="0" w:space="0" w:color="000000"/>
                <w:bottom w:val="single" w:sz="0" w:space="0" w:color="000000"/>
                <w:right w:val="single" w:sz="0" w:space="0" w:color="000000"/>
              </w:pBdr>
              <w:shd w:val="clear" w:color="auto" w:fill="000000"/>
              <w:spacing w:line="240" w:lineRule="auto"/>
              <w:ind w:firstLine="0"/>
              <w:rPr>
                <w:sz w:val="24"/>
                <w:szCs w:val="24"/>
              </w:rPr>
            </w:pPr>
            <w:r>
              <w:rPr>
                <w:rFonts w:ascii="Arial" w:eastAsia="Arial" w:hAnsi="Arial" w:cs="Arial"/>
                <w:b/>
                <w:bCs/>
                <w:color w:val="FFFFFF"/>
                <w:w w:val="70"/>
                <w:sz w:val="24"/>
                <w:szCs w:val="24"/>
              </w:rPr>
              <w:t>Dosis para niños</w:t>
            </w:r>
          </w:p>
        </w:tc>
      </w:tr>
      <w:tr w:rsidR="00924992" w14:paraId="4A5D9DAA" w14:textId="77777777">
        <w:tblPrEx>
          <w:tblCellMar>
            <w:top w:w="0" w:type="dxa"/>
            <w:bottom w:w="0" w:type="dxa"/>
          </w:tblCellMar>
        </w:tblPrEx>
        <w:trPr>
          <w:trHeight w:hRule="exact" w:val="499"/>
        </w:trPr>
        <w:tc>
          <w:tcPr>
            <w:tcW w:w="2707" w:type="dxa"/>
            <w:shd w:val="clear" w:color="auto" w:fill="FFFFFF"/>
          </w:tcPr>
          <w:p w14:paraId="41F62986" w14:textId="77777777" w:rsidR="00924992" w:rsidRDefault="00924992">
            <w:pPr>
              <w:pStyle w:val="Other0"/>
              <w:framePr w:w="11434" w:h="6749" w:hSpace="514" w:wrap="notBeside" w:vAnchor="text" w:hAnchor="text" w:y="1"/>
              <w:spacing w:line="240" w:lineRule="auto"/>
              <w:ind w:firstLine="0"/>
              <w:rPr>
                <w:sz w:val="16"/>
                <w:szCs w:val="16"/>
              </w:rPr>
            </w:pPr>
            <w:r>
              <w:rPr>
                <w:rFonts w:ascii="Times New Roman" w:eastAsia="Times New Roman" w:hAnsi="Times New Roman" w:cs="Times New Roman"/>
                <w:color w:val="000000"/>
                <w:sz w:val="16"/>
                <w:szCs w:val="16"/>
              </w:rPr>
              <w:t>Fármacos alternativos:</w:t>
            </w:r>
            <w:r>
              <w:rPr>
                <w:rFonts w:ascii="Times New Roman" w:eastAsia="Times New Roman" w:hAnsi="Times New Roman" w:cs="Times New Roman"/>
                <w:color w:val="000000"/>
                <w:sz w:val="16"/>
                <w:szCs w:val="16"/>
                <w:vertAlign w:val="superscript"/>
              </w:rPr>
              <w:t>59</w:t>
            </w:r>
          </w:p>
        </w:tc>
        <w:tc>
          <w:tcPr>
            <w:tcW w:w="1877" w:type="dxa"/>
            <w:shd w:val="clear" w:color="auto" w:fill="FFFFFF"/>
          </w:tcPr>
          <w:p w14:paraId="1BA3C163" w14:textId="77777777" w:rsidR="00924992" w:rsidRDefault="00924992">
            <w:pPr>
              <w:pStyle w:val="Other0"/>
              <w:framePr w:w="11434" w:h="6749" w:hSpace="514" w:wrap="notBeside" w:vAnchor="text" w:hAnchor="text" w:y="1"/>
              <w:spacing w:line="240" w:lineRule="auto"/>
              <w:ind w:left="160"/>
              <w:rPr>
                <w:sz w:val="16"/>
                <w:szCs w:val="16"/>
              </w:rPr>
            </w:pPr>
            <w:r>
              <w:rPr>
                <w:rFonts w:ascii="Times New Roman" w:eastAsia="Times New Roman" w:hAnsi="Times New Roman" w:cs="Times New Roman"/>
                <w:color w:val="000000"/>
                <w:sz w:val="16"/>
                <w:szCs w:val="16"/>
              </w:rPr>
              <w:t>Mefloquina</w:t>
            </w:r>
            <w:r>
              <w:rPr>
                <w:rFonts w:ascii="Times New Roman" w:eastAsia="Times New Roman" w:hAnsi="Times New Roman" w:cs="Times New Roman"/>
                <w:color w:val="000000"/>
                <w:sz w:val="16"/>
                <w:szCs w:val="16"/>
                <w:vertAlign w:val="superscript"/>
              </w:rPr>
              <w:t>60,61</w:t>
            </w:r>
          </w:p>
        </w:tc>
        <w:tc>
          <w:tcPr>
            <w:tcW w:w="3926" w:type="dxa"/>
            <w:shd w:val="clear" w:color="auto" w:fill="FFFFFF"/>
          </w:tcPr>
          <w:p w14:paraId="743EC648" w14:textId="77777777" w:rsidR="00924992" w:rsidRDefault="00924992">
            <w:pPr>
              <w:pStyle w:val="Other0"/>
              <w:framePr w:w="11434" w:h="6749" w:hSpace="514" w:wrap="notBeside" w:vAnchor="text" w:hAnchor="text" w:y="1"/>
              <w:spacing w:line="240" w:lineRule="auto"/>
              <w:ind w:left="1120" w:firstLine="0"/>
              <w:jc w:val="both"/>
              <w:rPr>
                <w:sz w:val="16"/>
                <w:szCs w:val="16"/>
              </w:rPr>
            </w:pPr>
            <w:r>
              <w:rPr>
                <w:rFonts w:ascii="Times New Roman" w:eastAsia="Times New Roman" w:hAnsi="Times New Roman" w:cs="Times New Roman"/>
                <w:color w:val="000000"/>
                <w:sz w:val="16"/>
                <w:szCs w:val="16"/>
              </w:rPr>
              <w:t>750 mg seguidos de 500 mg</w:t>
            </w:r>
          </w:p>
          <w:p w14:paraId="2749B7C3" w14:textId="77777777" w:rsidR="00924992" w:rsidRDefault="00924992">
            <w:pPr>
              <w:pStyle w:val="Other0"/>
              <w:framePr w:w="11434" w:h="6749" w:hSpace="514" w:wrap="notBeside" w:vAnchor="text" w:hAnchor="text" w:y="1"/>
              <w:spacing w:line="240" w:lineRule="auto"/>
              <w:ind w:left="1220" w:firstLine="0"/>
              <w:jc w:val="both"/>
              <w:rPr>
                <w:sz w:val="16"/>
                <w:szCs w:val="16"/>
              </w:rPr>
            </w:pPr>
            <w:r>
              <w:rPr>
                <w:rFonts w:ascii="Times New Roman" w:eastAsia="Times New Roman" w:hAnsi="Times New Roman" w:cs="Times New Roman"/>
                <w:color w:val="000000"/>
                <w:sz w:val="16"/>
                <w:szCs w:val="16"/>
              </w:rPr>
              <w:t>12 h más tarde</w:t>
            </w:r>
          </w:p>
        </w:tc>
        <w:tc>
          <w:tcPr>
            <w:tcW w:w="2923" w:type="dxa"/>
            <w:shd w:val="clear" w:color="auto" w:fill="FFFFFF"/>
          </w:tcPr>
          <w:p w14:paraId="521B7434" w14:textId="77777777" w:rsidR="00924992" w:rsidRDefault="00924992">
            <w:pPr>
              <w:pStyle w:val="Other0"/>
              <w:framePr w:w="11434" w:h="6749" w:hSpace="514" w:wrap="notBeside" w:vAnchor="text" w:hAnchor="text" w:y="1"/>
              <w:spacing w:line="240" w:lineRule="auto"/>
              <w:ind w:firstLine="0"/>
              <w:rPr>
                <w:sz w:val="16"/>
                <w:szCs w:val="16"/>
              </w:rPr>
            </w:pPr>
            <w:r>
              <w:rPr>
                <w:rFonts w:ascii="Times New Roman" w:eastAsia="Times New Roman" w:hAnsi="Times New Roman" w:cs="Times New Roman"/>
                <w:color w:val="000000"/>
                <w:sz w:val="16"/>
                <w:szCs w:val="16"/>
              </w:rPr>
              <w:t>&lt;45 kg: 15 mg/kg PO seguido</w:t>
            </w:r>
          </w:p>
          <w:p w14:paraId="0245C9DC" w14:textId="77777777" w:rsidR="00924992" w:rsidRDefault="00924992">
            <w:pPr>
              <w:pStyle w:val="Other0"/>
              <w:framePr w:w="11434" w:h="6749" w:hSpace="514" w:wrap="notBeside" w:vAnchor="text" w:hAnchor="text" w:y="1"/>
              <w:spacing w:line="240" w:lineRule="auto"/>
              <w:ind w:firstLine="0"/>
              <w:rPr>
                <w:sz w:val="16"/>
                <w:szCs w:val="16"/>
              </w:rPr>
            </w:pPr>
            <w:r>
              <w:rPr>
                <w:rFonts w:ascii="Times New Roman" w:eastAsia="Times New Roman" w:hAnsi="Times New Roman" w:cs="Times New Roman"/>
                <w:color w:val="000000"/>
                <w:sz w:val="16"/>
                <w:szCs w:val="16"/>
              </w:rPr>
              <w:t>de 10 mg/kg PO 8-12 h más tarde</w:t>
            </w:r>
          </w:p>
        </w:tc>
      </w:tr>
      <w:tr w:rsidR="00924992" w14:paraId="0F9E0314" w14:textId="77777777">
        <w:tblPrEx>
          <w:tblCellMar>
            <w:top w:w="0" w:type="dxa"/>
            <w:bottom w:w="0" w:type="dxa"/>
          </w:tblCellMar>
        </w:tblPrEx>
        <w:trPr>
          <w:trHeight w:hRule="exact" w:val="514"/>
        </w:trPr>
        <w:tc>
          <w:tcPr>
            <w:tcW w:w="2707" w:type="dxa"/>
            <w:shd w:val="clear" w:color="auto" w:fill="FFFFFF"/>
          </w:tcPr>
          <w:p w14:paraId="04766B10" w14:textId="77777777" w:rsidR="00924992" w:rsidRDefault="00924992">
            <w:pPr>
              <w:framePr w:w="11434" w:h="6749" w:hSpace="514" w:wrap="notBeside" w:vAnchor="text" w:hAnchor="text" w:y="1"/>
              <w:rPr>
                <w:sz w:val="10"/>
                <w:szCs w:val="10"/>
              </w:rPr>
            </w:pPr>
          </w:p>
        </w:tc>
        <w:tc>
          <w:tcPr>
            <w:tcW w:w="1877" w:type="dxa"/>
            <w:shd w:val="clear" w:color="auto" w:fill="FFFFFF"/>
          </w:tcPr>
          <w:p w14:paraId="4DF6094C" w14:textId="77777777" w:rsidR="00924992" w:rsidRDefault="00924992">
            <w:pPr>
              <w:pStyle w:val="Other0"/>
              <w:framePr w:w="11434" w:h="6749" w:hSpace="514" w:wrap="notBeside" w:vAnchor="text" w:hAnchor="text" w:y="1"/>
              <w:spacing w:before="80" w:line="240" w:lineRule="auto"/>
              <w:ind w:left="160"/>
              <w:rPr>
                <w:sz w:val="16"/>
                <w:szCs w:val="16"/>
              </w:rPr>
            </w:pPr>
            <w:r>
              <w:rPr>
                <w:rFonts w:ascii="Times New Roman" w:eastAsia="Times New Roman" w:hAnsi="Times New Roman" w:cs="Times New Roman"/>
                <w:color w:val="000000"/>
                <w:sz w:val="16"/>
                <w:szCs w:val="16"/>
              </w:rPr>
              <w:t>Halofantrina</w:t>
            </w:r>
            <w:r>
              <w:rPr>
                <w:rFonts w:ascii="Times New Roman" w:eastAsia="Times New Roman" w:hAnsi="Times New Roman" w:cs="Times New Roman"/>
                <w:color w:val="000000"/>
                <w:sz w:val="16"/>
                <w:szCs w:val="16"/>
                <w:vertAlign w:val="superscript"/>
              </w:rPr>
              <w:t>62</w:t>
            </w:r>
            <w:r>
              <w:rPr>
                <w:rFonts w:ascii="Times New Roman" w:eastAsia="Times New Roman" w:hAnsi="Times New Roman" w:cs="Times New Roman"/>
                <w:color w:val="000000"/>
                <w:sz w:val="16"/>
                <w:szCs w:val="16"/>
              </w:rPr>
              <w:t>*</w:t>
            </w:r>
          </w:p>
        </w:tc>
        <w:tc>
          <w:tcPr>
            <w:tcW w:w="3926" w:type="dxa"/>
            <w:shd w:val="clear" w:color="auto" w:fill="FFFFFF"/>
            <w:vAlign w:val="bottom"/>
          </w:tcPr>
          <w:p w14:paraId="72CF8332" w14:textId="77777777" w:rsidR="00924992" w:rsidRDefault="00924992">
            <w:pPr>
              <w:pStyle w:val="Other0"/>
              <w:framePr w:w="11434" w:h="6749" w:hSpace="514" w:wrap="notBeside" w:vAnchor="text" w:hAnchor="text" w:y="1"/>
              <w:spacing w:line="295" w:lineRule="auto"/>
              <w:ind w:left="1220" w:hanging="100"/>
              <w:jc w:val="both"/>
              <w:rPr>
                <w:sz w:val="16"/>
                <w:szCs w:val="16"/>
              </w:rPr>
            </w:pPr>
            <w:r>
              <w:rPr>
                <w:rFonts w:ascii="Times New Roman" w:eastAsia="Times New Roman" w:hAnsi="Times New Roman" w:cs="Times New Roman"/>
                <w:color w:val="000000"/>
                <w:sz w:val="16"/>
                <w:szCs w:val="16"/>
              </w:rPr>
              <w:t>500 mg cada 6h x 3 dosis; repetir en una semana</w:t>
            </w:r>
            <w:r>
              <w:rPr>
                <w:rFonts w:ascii="Times New Roman" w:eastAsia="Times New Roman" w:hAnsi="Times New Roman" w:cs="Times New Roman"/>
                <w:color w:val="000000"/>
                <w:sz w:val="16"/>
                <w:szCs w:val="16"/>
                <w:vertAlign w:val="superscript"/>
              </w:rPr>
              <w:t>63</w:t>
            </w:r>
          </w:p>
        </w:tc>
        <w:tc>
          <w:tcPr>
            <w:tcW w:w="2923" w:type="dxa"/>
            <w:shd w:val="clear" w:color="auto" w:fill="FFFFFF"/>
            <w:vAlign w:val="bottom"/>
          </w:tcPr>
          <w:p w14:paraId="1DE90629" w14:textId="77777777" w:rsidR="00924992" w:rsidRDefault="00924992">
            <w:pPr>
              <w:pStyle w:val="Other0"/>
              <w:framePr w:w="11434" w:h="6749" w:hSpace="514" w:wrap="notBeside" w:vAnchor="text" w:hAnchor="text" w:y="1"/>
              <w:spacing w:line="295" w:lineRule="auto"/>
              <w:ind w:firstLine="0"/>
              <w:rPr>
                <w:sz w:val="16"/>
                <w:szCs w:val="16"/>
              </w:rPr>
            </w:pPr>
            <w:r>
              <w:rPr>
                <w:rFonts w:ascii="Times New Roman" w:eastAsia="Times New Roman" w:hAnsi="Times New Roman" w:cs="Times New Roman"/>
                <w:color w:val="000000"/>
                <w:sz w:val="16"/>
                <w:szCs w:val="16"/>
              </w:rPr>
              <w:t>&lt;40 kg: 8 mg/kg cada 6h x 3 dosis; repetir en una semana</w:t>
            </w:r>
            <w:r>
              <w:rPr>
                <w:rFonts w:ascii="Times New Roman" w:eastAsia="Times New Roman" w:hAnsi="Times New Roman" w:cs="Times New Roman"/>
                <w:color w:val="000000"/>
                <w:sz w:val="16"/>
                <w:szCs w:val="16"/>
                <w:vertAlign w:val="superscript"/>
              </w:rPr>
              <w:t>63</w:t>
            </w:r>
          </w:p>
        </w:tc>
      </w:tr>
      <w:tr w:rsidR="00924992" w14:paraId="7338D0B9" w14:textId="77777777">
        <w:tblPrEx>
          <w:tblCellMar>
            <w:top w:w="0" w:type="dxa"/>
            <w:bottom w:w="0" w:type="dxa"/>
          </w:tblCellMar>
        </w:tblPrEx>
        <w:trPr>
          <w:trHeight w:hRule="exact" w:val="442"/>
        </w:trPr>
        <w:tc>
          <w:tcPr>
            <w:tcW w:w="2707" w:type="dxa"/>
            <w:shd w:val="clear" w:color="auto" w:fill="FFFFFF"/>
          </w:tcPr>
          <w:p w14:paraId="3BE8C1E0" w14:textId="77777777" w:rsidR="00924992" w:rsidRDefault="00924992">
            <w:pPr>
              <w:pStyle w:val="Other0"/>
              <w:framePr w:w="11434" w:h="6749" w:hSpace="514" w:wrap="notBeside" w:vAnchor="text" w:hAnchor="text" w:y="1"/>
              <w:spacing w:line="240" w:lineRule="auto"/>
              <w:ind w:firstLine="140"/>
              <w:rPr>
                <w:sz w:val="16"/>
                <w:szCs w:val="16"/>
              </w:rPr>
            </w:pPr>
            <w:r>
              <w:rPr>
                <w:rFonts w:ascii="Times New Roman" w:eastAsia="Times New Roman" w:hAnsi="Times New Roman" w:cs="Times New Roman"/>
                <w:b/>
                <w:bCs/>
                <w:color w:val="000000"/>
                <w:sz w:val="16"/>
                <w:szCs w:val="16"/>
              </w:rPr>
              <w:t>O</w:t>
            </w:r>
          </w:p>
        </w:tc>
        <w:tc>
          <w:tcPr>
            <w:tcW w:w="1877" w:type="dxa"/>
            <w:shd w:val="clear" w:color="auto" w:fill="FFFFFF"/>
            <w:vAlign w:val="bottom"/>
          </w:tcPr>
          <w:p w14:paraId="6B627D46" w14:textId="77777777" w:rsidR="00924992" w:rsidRDefault="00924992">
            <w:pPr>
              <w:pStyle w:val="Other0"/>
              <w:framePr w:w="11434" w:h="6749" w:hSpace="514" w:wrap="notBeside" w:vAnchor="text" w:hAnchor="text" w:y="1"/>
              <w:spacing w:line="240" w:lineRule="auto"/>
              <w:ind w:left="160"/>
              <w:rPr>
                <w:sz w:val="16"/>
                <w:szCs w:val="16"/>
              </w:rPr>
            </w:pPr>
            <w:r>
              <w:rPr>
                <w:rFonts w:ascii="Times New Roman" w:eastAsia="Times New Roman" w:hAnsi="Times New Roman" w:cs="Times New Roman"/>
                <w:color w:val="000000"/>
                <w:sz w:val="16"/>
                <w:szCs w:val="16"/>
              </w:rPr>
              <w:t>Artesunato</w:t>
            </w:r>
            <w:r>
              <w:rPr>
                <w:rFonts w:ascii="Times New Roman" w:eastAsia="Times New Roman" w:hAnsi="Times New Roman" w:cs="Times New Roman"/>
                <w:color w:val="000000"/>
                <w:sz w:val="16"/>
                <w:szCs w:val="16"/>
                <w:vertAlign w:val="superscript"/>
              </w:rPr>
              <w:t>64</w:t>
            </w:r>
            <w:r>
              <w:rPr>
                <w:rFonts w:ascii="Times New Roman" w:eastAsia="Times New Roman" w:hAnsi="Times New Roman" w:cs="Times New Roman"/>
                <w:color w:val="000000"/>
                <w:sz w:val="16"/>
                <w:szCs w:val="16"/>
              </w:rPr>
              <w:t>*</w:t>
            </w:r>
          </w:p>
          <w:p w14:paraId="3C6CCA89" w14:textId="77777777" w:rsidR="00924992" w:rsidRDefault="00924992">
            <w:pPr>
              <w:pStyle w:val="Other0"/>
              <w:framePr w:w="11434" w:h="6749" w:hSpace="514" w:wrap="notBeside" w:vAnchor="text" w:hAnchor="text" w:y="1"/>
              <w:spacing w:line="240" w:lineRule="auto"/>
              <w:ind w:left="160"/>
              <w:rPr>
                <w:sz w:val="16"/>
                <w:szCs w:val="16"/>
              </w:rPr>
            </w:pPr>
            <w:r>
              <w:rPr>
                <w:rFonts w:ascii="Times New Roman" w:eastAsia="Times New Roman" w:hAnsi="Times New Roman" w:cs="Times New Roman"/>
                <w:b/>
                <w:bCs/>
                <w:color w:val="000000"/>
                <w:sz w:val="16"/>
                <w:szCs w:val="16"/>
              </w:rPr>
              <w:t>y además</w:t>
            </w:r>
          </w:p>
        </w:tc>
        <w:tc>
          <w:tcPr>
            <w:tcW w:w="3926" w:type="dxa"/>
            <w:shd w:val="clear" w:color="auto" w:fill="FFFFFF"/>
          </w:tcPr>
          <w:p w14:paraId="34A2B706" w14:textId="77777777" w:rsidR="00924992" w:rsidRDefault="00924992">
            <w:pPr>
              <w:pStyle w:val="Other0"/>
              <w:framePr w:w="11434" w:h="6749" w:hSpace="514" w:wrap="notBeside" w:vAnchor="text" w:hAnchor="text" w:y="1"/>
              <w:spacing w:line="240" w:lineRule="auto"/>
              <w:ind w:left="1120" w:firstLine="0"/>
              <w:jc w:val="both"/>
              <w:rPr>
                <w:sz w:val="16"/>
                <w:szCs w:val="16"/>
              </w:rPr>
            </w:pPr>
            <w:r>
              <w:rPr>
                <w:rFonts w:ascii="Times New Roman" w:eastAsia="Times New Roman" w:hAnsi="Times New Roman" w:cs="Times New Roman"/>
                <w:color w:val="000000"/>
                <w:sz w:val="16"/>
                <w:szCs w:val="16"/>
              </w:rPr>
              <w:t xml:space="preserve">4 mg/kg/día </w:t>
            </w:r>
            <w:r>
              <w:rPr>
                <w:color w:val="000000"/>
              </w:rPr>
              <w:t xml:space="preserve">x </w:t>
            </w:r>
            <w:r>
              <w:rPr>
                <w:rFonts w:ascii="Times New Roman" w:eastAsia="Times New Roman" w:hAnsi="Times New Roman" w:cs="Times New Roman"/>
                <w:color w:val="000000"/>
                <w:sz w:val="16"/>
                <w:szCs w:val="16"/>
              </w:rPr>
              <w:t>3 días</w:t>
            </w:r>
          </w:p>
        </w:tc>
        <w:tc>
          <w:tcPr>
            <w:tcW w:w="2923" w:type="dxa"/>
            <w:shd w:val="clear" w:color="auto" w:fill="FFFFFF"/>
          </w:tcPr>
          <w:p w14:paraId="61541F12" w14:textId="77777777" w:rsidR="00924992" w:rsidRDefault="00924992">
            <w:pPr>
              <w:framePr w:w="11434" w:h="6749" w:hSpace="514" w:wrap="notBeside" w:vAnchor="text" w:hAnchor="text" w:y="1"/>
              <w:rPr>
                <w:sz w:val="10"/>
                <w:szCs w:val="10"/>
              </w:rPr>
            </w:pPr>
          </w:p>
        </w:tc>
      </w:tr>
      <w:tr w:rsidR="00924992" w14:paraId="45B89B80" w14:textId="77777777">
        <w:tblPrEx>
          <w:tblCellMar>
            <w:top w:w="0" w:type="dxa"/>
            <w:bottom w:w="0" w:type="dxa"/>
          </w:tblCellMar>
        </w:tblPrEx>
        <w:trPr>
          <w:trHeight w:hRule="exact" w:val="442"/>
        </w:trPr>
        <w:tc>
          <w:tcPr>
            <w:tcW w:w="2707" w:type="dxa"/>
            <w:shd w:val="clear" w:color="auto" w:fill="FFFFFF"/>
          </w:tcPr>
          <w:p w14:paraId="65AC4B95" w14:textId="77777777" w:rsidR="00924992" w:rsidRDefault="00924992">
            <w:pPr>
              <w:framePr w:w="11434" w:h="6749" w:hSpace="514" w:wrap="notBeside" w:vAnchor="text" w:hAnchor="text" w:y="1"/>
              <w:rPr>
                <w:sz w:val="10"/>
                <w:szCs w:val="10"/>
              </w:rPr>
            </w:pPr>
          </w:p>
        </w:tc>
        <w:tc>
          <w:tcPr>
            <w:tcW w:w="1877" w:type="dxa"/>
            <w:shd w:val="clear" w:color="auto" w:fill="FFFFFF"/>
          </w:tcPr>
          <w:p w14:paraId="1DDC6F11" w14:textId="77777777" w:rsidR="00924992" w:rsidRDefault="00924992">
            <w:pPr>
              <w:pStyle w:val="Other0"/>
              <w:framePr w:w="11434" w:h="6749" w:hSpace="514" w:wrap="notBeside" w:vAnchor="text" w:hAnchor="text" w:y="1"/>
              <w:spacing w:line="240" w:lineRule="auto"/>
              <w:ind w:left="160"/>
              <w:rPr>
                <w:sz w:val="16"/>
                <w:szCs w:val="16"/>
              </w:rPr>
            </w:pPr>
            <w:r>
              <w:rPr>
                <w:rFonts w:ascii="Times New Roman" w:eastAsia="Times New Roman" w:hAnsi="Times New Roman" w:cs="Times New Roman"/>
                <w:color w:val="000000"/>
                <w:sz w:val="16"/>
                <w:szCs w:val="16"/>
              </w:rPr>
              <w:t>mefloquina</w:t>
            </w:r>
            <w:r>
              <w:rPr>
                <w:rFonts w:ascii="Times New Roman" w:eastAsia="Times New Roman" w:hAnsi="Times New Roman" w:cs="Times New Roman"/>
                <w:color w:val="000000"/>
                <w:sz w:val="16"/>
                <w:szCs w:val="16"/>
                <w:vertAlign w:val="superscript"/>
              </w:rPr>
              <w:t>60,61</w:t>
            </w:r>
          </w:p>
        </w:tc>
        <w:tc>
          <w:tcPr>
            <w:tcW w:w="3926" w:type="dxa"/>
            <w:shd w:val="clear" w:color="auto" w:fill="FFFFFF"/>
            <w:vAlign w:val="bottom"/>
          </w:tcPr>
          <w:p w14:paraId="2C9DB425" w14:textId="77777777" w:rsidR="00924992" w:rsidRDefault="00924992">
            <w:pPr>
              <w:pStyle w:val="Other0"/>
              <w:framePr w:w="11434" w:h="6749" w:hSpace="514" w:wrap="notBeside" w:vAnchor="text" w:hAnchor="text" w:y="1"/>
              <w:spacing w:line="240" w:lineRule="auto"/>
              <w:ind w:left="1120" w:firstLine="0"/>
              <w:jc w:val="both"/>
              <w:rPr>
                <w:sz w:val="16"/>
                <w:szCs w:val="16"/>
              </w:rPr>
            </w:pPr>
            <w:r>
              <w:rPr>
                <w:rFonts w:ascii="Times New Roman" w:eastAsia="Times New Roman" w:hAnsi="Times New Roman" w:cs="Times New Roman"/>
                <w:color w:val="000000"/>
                <w:sz w:val="16"/>
                <w:szCs w:val="16"/>
              </w:rPr>
              <w:t>750 mg seguidos de 500 mg</w:t>
            </w:r>
          </w:p>
          <w:p w14:paraId="3914C888" w14:textId="77777777" w:rsidR="00924992" w:rsidRDefault="00924992">
            <w:pPr>
              <w:pStyle w:val="Other0"/>
              <w:framePr w:w="11434" w:h="6749" w:hSpace="514" w:wrap="notBeside" w:vAnchor="text" w:hAnchor="text" w:y="1"/>
              <w:spacing w:line="240" w:lineRule="auto"/>
              <w:ind w:left="1220" w:firstLine="0"/>
              <w:jc w:val="both"/>
              <w:rPr>
                <w:sz w:val="16"/>
                <w:szCs w:val="16"/>
              </w:rPr>
            </w:pPr>
            <w:r>
              <w:rPr>
                <w:rFonts w:ascii="Times New Roman" w:eastAsia="Times New Roman" w:hAnsi="Times New Roman" w:cs="Times New Roman"/>
                <w:color w:val="000000"/>
                <w:sz w:val="16"/>
                <w:szCs w:val="16"/>
              </w:rPr>
              <w:t>12 h más tarde</w:t>
            </w:r>
          </w:p>
        </w:tc>
        <w:tc>
          <w:tcPr>
            <w:tcW w:w="2923" w:type="dxa"/>
            <w:shd w:val="clear" w:color="auto" w:fill="FFFFFF"/>
            <w:vAlign w:val="bottom"/>
          </w:tcPr>
          <w:p w14:paraId="6D5DE21E" w14:textId="77777777" w:rsidR="00924992" w:rsidRDefault="00924992">
            <w:pPr>
              <w:pStyle w:val="Other0"/>
              <w:framePr w:w="11434" w:h="6749" w:hSpace="514" w:wrap="notBeside" w:vAnchor="text" w:hAnchor="text" w:y="1"/>
              <w:spacing w:line="283" w:lineRule="auto"/>
              <w:ind w:firstLine="0"/>
              <w:rPr>
                <w:sz w:val="16"/>
                <w:szCs w:val="16"/>
              </w:rPr>
            </w:pPr>
            <w:r>
              <w:rPr>
                <w:rFonts w:ascii="Times New Roman" w:eastAsia="Times New Roman" w:hAnsi="Times New Roman" w:cs="Times New Roman"/>
                <w:color w:val="000000"/>
                <w:sz w:val="16"/>
                <w:szCs w:val="16"/>
              </w:rPr>
              <w:t>15 mg/kg seguidos 8-12 h más tarde de 10 mg/kg</w:t>
            </w:r>
          </w:p>
        </w:tc>
      </w:tr>
      <w:tr w:rsidR="00924992" w14:paraId="2AA2F97D" w14:textId="77777777">
        <w:tblPrEx>
          <w:tblCellMar>
            <w:top w:w="0" w:type="dxa"/>
            <w:bottom w:w="0" w:type="dxa"/>
          </w:tblCellMar>
        </w:tblPrEx>
        <w:trPr>
          <w:trHeight w:hRule="exact" w:val="221"/>
        </w:trPr>
        <w:tc>
          <w:tcPr>
            <w:tcW w:w="2707" w:type="dxa"/>
            <w:shd w:val="clear" w:color="auto" w:fill="FFFFFF"/>
            <w:vAlign w:val="bottom"/>
          </w:tcPr>
          <w:p w14:paraId="5632480D" w14:textId="77777777" w:rsidR="00924992" w:rsidRDefault="00924992">
            <w:pPr>
              <w:pStyle w:val="Other0"/>
              <w:framePr w:w="11434" w:h="6749" w:hSpace="514" w:wrap="notBeside" w:vAnchor="text" w:hAnchor="text" w:y="1"/>
              <w:spacing w:line="240" w:lineRule="auto"/>
              <w:ind w:firstLine="140"/>
              <w:rPr>
                <w:sz w:val="16"/>
                <w:szCs w:val="16"/>
              </w:rPr>
            </w:pPr>
            <w:r>
              <w:rPr>
                <w:rFonts w:ascii="Times New Roman" w:eastAsia="Times New Roman" w:hAnsi="Times New Roman" w:cs="Times New Roman"/>
                <w:b/>
                <w:bCs/>
                <w:i/>
                <w:iCs/>
                <w:color w:val="000000"/>
                <w:sz w:val="17"/>
                <w:szCs w:val="17"/>
              </w:rPr>
              <w:t>P vivax</w:t>
            </w:r>
            <w:r>
              <w:rPr>
                <w:rFonts w:ascii="Times New Roman" w:eastAsia="Times New Roman" w:hAnsi="Times New Roman" w:cs="Times New Roman"/>
                <w:b/>
                <w:bCs/>
                <w:color w:val="000000"/>
                <w:sz w:val="16"/>
                <w:szCs w:val="16"/>
              </w:rPr>
              <w:t xml:space="preserve"> resistente a cloroquina</w:t>
            </w:r>
            <w:r>
              <w:rPr>
                <w:rFonts w:ascii="Times New Roman" w:eastAsia="Times New Roman" w:hAnsi="Times New Roman" w:cs="Times New Roman"/>
                <w:color w:val="000000"/>
                <w:sz w:val="16"/>
                <w:szCs w:val="16"/>
                <w:vertAlign w:val="superscript"/>
              </w:rPr>
              <w:t>65</w:t>
            </w:r>
          </w:p>
        </w:tc>
        <w:tc>
          <w:tcPr>
            <w:tcW w:w="8726" w:type="dxa"/>
            <w:gridSpan w:val="3"/>
            <w:shd w:val="clear" w:color="auto" w:fill="FFFFFF"/>
          </w:tcPr>
          <w:p w14:paraId="620310A8" w14:textId="77777777" w:rsidR="00924992" w:rsidRDefault="00924992">
            <w:pPr>
              <w:framePr w:w="11434" w:h="6749" w:hSpace="514" w:wrap="notBeside" w:vAnchor="text" w:hAnchor="text" w:y="1"/>
              <w:rPr>
                <w:sz w:val="10"/>
                <w:szCs w:val="10"/>
              </w:rPr>
            </w:pPr>
          </w:p>
        </w:tc>
      </w:tr>
      <w:tr w:rsidR="00924992" w14:paraId="3F07643B" w14:textId="77777777">
        <w:tblPrEx>
          <w:tblCellMar>
            <w:top w:w="0" w:type="dxa"/>
            <w:bottom w:w="0" w:type="dxa"/>
          </w:tblCellMar>
        </w:tblPrEx>
        <w:trPr>
          <w:trHeight w:hRule="exact" w:val="437"/>
        </w:trPr>
        <w:tc>
          <w:tcPr>
            <w:tcW w:w="2707" w:type="dxa"/>
            <w:shd w:val="clear" w:color="auto" w:fill="FFFFFF"/>
          </w:tcPr>
          <w:p w14:paraId="4949FEEF" w14:textId="77777777" w:rsidR="00924992" w:rsidRDefault="00924992">
            <w:pPr>
              <w:pStyle w:val="Other0"/>
              <w:framePr w:w="11434" w:h="6749" w:hSpace="514" w:wrap="notBeside" w:vAnchor="text" w:hAnchor="text" w:y="1"/>
              <w:spacing w:line="240" w:lineRule="auto"/>
              <w:ind w:firstLine="140"/>
              <w:rPr>
                <w:sz w:val="16"/>
                <w:szCs w:val="16"/>
              </w:rPr>
            </w:pPr>
            <w:r>
              <w:rPr>
                <w:rFonts w:ascii="Times New Roman" w:eastAsia="Times New Roman" w:hAnsi="Times New Roman" w:cs="Times New Roman"/>
                <w:color w:val="000000"/>
                <w:sz w:val="16"/>
                <w:szCs w:val="16"/>
              </w:rPr>
              <w:t>Fármaco más indicado:</w:t>
            </w:r>
          </w:p>
        </w:tc>
        <w:tc>
          <w:tcPr>
            <w:tcW w:w="1877" w:type="dxa"/>
            <w:shd w:val="clear" w:color="auto" w:fill="FFFFFF"/>
            <w:vAlign w:val="bottom"/>
          </w:tcPr>
          <w:p w14:paraId="36C5FE73" w14:textId="77777777" w:rsidR="00924992" w:rsidRDefault="00924992">
            <w:pPr>
              <w:pStyle w:val="Other0"/>
              <w:framePr w:w="11434" w:h="6749" w:hSpace="514" w:wrap="notBeside" w:vAnchor="text" w:hAnchor="text" w:y="1"/>
              <w:spacing w:line="283" w:lineRule="auto"/>
              <w:ind w:left="160"/>
              <w:rPr>
                <w:sz w:val="16"/>
                <w:szCs w:val="16"/>
              </w:rPr>
            </w:pPr>
            <w:r>
              <w:rPr>
                <w:rFonts w:ascii="Times New Roman" w:eastAsia="Times New Roman" w:hAnsi="Times New Roman" w:cs="Times New Roman"/>
                <w:color w:val="000000"/>
                <w:sz w:val="16"/>
                <w:szCs w:val="16"/>
              </w:rPr>
              <w:t xml:space="preserve">Sulfato de quinina </w:t>
            </w:r>
            <w:r>
              <w:rPr>
                <w:rFonts w:ascii="Times New Roman" w:eastAsia="Times New Roman" w:hAnsi="Times New Roman" w:cs="Times New Roman"/>
                <w:b/>
                <w:bCs/>
                <w:color w:val="000000"/>
                <w:sz w:val="16"/>
                <w:szCs w:val="16"/>
              </w:rPr>
              <w:t>y además</w:t>
            </w:r>
          </w:p>
        </w:tc>
        <w:tc>
          <w:tcPr>
            <w:tcW w:w="3926" w:type="dxa"/>
            <w:shd w:val="clear" w:color="auto" w:fill="FFFFFF"/>
          </w:tcPr>
          <w:p w14:paraId="64BF63A2" w14:textId="77777777" w:rsidR="00924992" w:rsidRDefault="00924992">
            <w:pPr>
              <w:pStyle w:val="Other0"/>
              <w:framePr w:w="11434" w:h="6749" w:hSpace="514" w:wrap="notBeside" w:vAnchor="text" w:hAnchor="text" w:y="1"/>
              <w:spacing w:line="240" w:lineRule="auto"/>
              <w:ind w:left="1120" w:firstLine="0"/>
              <w:jc w:val="both"/>
              <w:rPr>
                <w:sz w:val="16"/>
                <w:szCs w:val="16"/>
              </w:rPr>
            </w:pPr>
            <w:r>
              <w:rPr>
                <w:rFonts w:ascii="Times New Roman" w:eastAsia="Times New Roman" w:hAnsi="Times New Roman" w:cs="Times New Roman"/>
                <w:color w:val="000000"/>
                <w:sz w:val="16"/>
                <w:szCs w:val="16"/>
              </w:rPr>
              <w:t xml:space="preserve">650 mg cada 8h </w:t>
            </w:r>
            <w:r>
              <w:rPr>
                <w:color w:val="000000"/>
              </w:rPr>
              <w:t xml:space="preserve">x </w:t>
            </w:r>
            <w:r>
              <w:rPr>
                <w:rFonts w:ascii="Times New Roman" w:eastAsia="Times New Roman" w:hAnsi="Times New Roman" w:cs="Times New Roman"/>
                <w:color w:val="000000"/>
                <w:sz w:val="16"/>
                <w:szCs w:val="16"/>
              </w:rPr>
              <w:t>3-7 días</w:t>
            </w:r>
            <w:r>
              <w:rPr>
                <w:rFonts w:ascii="Times New Roman" w:eastAsia="Times New Roman" w:hAnsi="Times New Roman" w:cs="Times New Roman"/>
                <w:color w:val="000000"/>
                <w:sz w:val="16"/>
                <w:szCs w:val="16"/>
                <w:vertAlign w:val="superscript"/>
              </w:rPr>
              <w:t>55</w:t>
            </w:r>
          </w:p>
        </w:tc>
        <w:tc>
          <w:tcPr>
            <w:tcW w:w="2923" w:type="dxa"/>
            <w:shd w:val="clear" w:color="auto" w:fill="FFFFFF"/>
          </w:tcPr>
          <w:p w14:paraId="1D5E203C" w14:textId="77777777" w:rsidR="00924992" w:rsidRDefault="00924992">
            <w:pPr>
              <w:pStyle w:val="Other0"/>
              <w:framePr w:w="11434" w:h="6749" w:hSpace="514" w:wrap="notBeside" w:vAnchor="text" w:hAnchor="text" w:y="1"/>
              <w:spacing w:line="240" w:lineRule="auto"/>
              <w:ind w:firstLine="0"/>
              <w:rPr>
                <w:sz w:val="16"/>
                <w:szCs w:val="16"/>
              </w:rPr>
            </w:pPr>
            <w:r>
              <w:rPr>
                <w:rFonts w:ascii="Times New Roman" w:eastAsia="Times New Roman" w:hAnsi="Times New Roman" w:cs="Times New Roman"/>
                <w:color w:val="000000"/>
                <w:sz w:val="16"/>
                <w:szCs w:val="16"/>
              </w:rPr>
              <w:t xml:space="preserve">25 mg/kg/día en 3 dosis </w:t>
            </w:r>
            <w:r>
              <w:rPr>
                <w:color w:val="000000"/>
              </w:rPr>
              <w:t xml:space="preserve">x </w:t>
            </w:r>
            <w:r>
              <w:rPr>
                <w:rFonts w:ascii="Times New Roman" w:eastAsia="Times New Roman" w:hAnsi="Times New Roman" w:cs="Times New Roman"/>
                <w:color w:val="000000"/>
                <w:sz w:val="16"/>
                <w:szCs w:val="16"/>
              </w:rPr>
              <w:t>3-7 días</w:t>
            </w:r>
            <w:r>
              <w:rPr>
                <w:rFonts w:ascii="Times New Roman" w:eastAsia="Times New Roman" w:hAnsi="Times New Roman" w:cs="Times New Roman"/>
                <w:color w:val="000000"/>
                <w:sz w:val="16"/>
                <w:szCs w:val="16"/>
                <w:vertAlign w:val="superscript"/>
              </w:rPr>
              <w:t>55</w:t>
            </w:r>
          </w:p>
        </w:tc>
      </w:tr>
      <w:tr w:rsidR="00924992" w14:paraId="2775BA24" w14:textId="77777777">
        <w:tblPrEx>
          <w:tblCellMar>
            <w:top w:w="0" w:type="dxa"/>
            <w:bottom w:w="0" w:type="dxa"/>
          </w:tblCellMar>
        </w:tblPrEx>
        <w:trPr>
          <w:trHeight w:hRule="exact" w:val="230"/>
        </w:trPr>
        <w:tc>
          <w:tcPr>
            <w:tcW w:w="2707" w:type="dxa"/>
            <w:shd w:val="clear" w:color="auto" w:fill="FFFFFF"/>
          </w:tcPr>
          <w:p w14:paraId="199CFB62" w14:textId="77777777" w:rsidR="00924992" w:rsidRDefault="00924992">
            <w:pPr>
              <w:framePr w:w="11434" w:h="6749" w:hSpace="514" w:wrap="notBeside" w:vAnchor="text" w:hAnchor="text" w:y="1"/>
              <w:rPr>
                <w:sz w:val="10"/>
                <w:szCs w:val="10"/>
              </w:rPr>
            </w:pPr>
          </w:p>
        </w:tc>
        <w:tc>
          <w:tcPr>
            <w:tcW w:w="1877" w:type="dxa"/>
            <w:shd w:val="clear" w:color="auto" w:fill="FFFFFF"/>
            <w:vAlign w:val="bottom"/>
          </w:tcPr>
          <w:p w14:paraId="3664B12C" w14:textId="77777777" w:rsidR="00924992" w:rsidRDefault="00924992">
            <w:pPr>
              <w:pStyle w:val="Other0"/>
              <w:framePr w:w="11434" w:h="6749" w:hSpace="514" w:wrap="notBeside" w:vAnchor="text" w:hAnchor="text" w:y="1"/>
              <w:spacing w:line="240" w:lineRule="auto"/>
              <w:ind w:left="160"/>
              <w:rPr>
                <w:sz w:val="16"/>
                <w:szCs w:val="16"/>
              </w:rPr>
            </w:pPr>
            <w:r>
              <w:rPr>
                <w:rFonts w:ascii="Times New Roman" w:eastAsia="Times New Roman" w:hAnsi="Times New Roman" w:cs="Times New Roman"/>
                <w:color w:val="000000"/>
                <w:sz w:val="16"/>
                <w:szCs w:val="16"/>
              </w:rPr>
              <w:t>doxiciclina</w:t>
            </w:r>
            <w:r>
              <w:rPr>
                <w:rFonts w:ascii="Times New Roman" w:eastAsia="Times New Roman" w:hAnsi="Times New Roman" w:cs="Times New Roman"/>
                <w:color w:val="000000"/>
                <w:sz w:val="16"/>
                <w:szCs w:val="16"/>
                <w:vertAlign w:val="superscript"/>
              </w:rPr>
              <w:t>3,15</w:t>
            </w:r>
          </w:p>
        </w:tc>
        <w:tc>
          <w:tcPr>
            <w:tcW w:w="3926" w:type="dxa"/>
            <w:shd w:val="clear" w:color="auto" w:fill="FFFFFF"/>
            <w:vAlign w:val="bottom"/>
          </w:tcPr>
          <w:p w14:paraId="4FEDC544" w14:textId="77777777" w:rsidR="00924992" w:rsidRDefault="00924992">
            <w:pPr>
              <w:pStyle w:val="Other0"/>
              <w:framePr w:w="11434" w:h="6749" w:hSpace="514" w:wrap="notBeside" w:vAnchor="text" w:hAnchor="text" w:y="1"/>
              <w:spacing w:line="240" w:lineRule="auto"/>
              <w:ind w:left="1120" w:firstLine="0"/>
              <w:jc w:val="both"/>
              <w:rPr>
                <w:sz w:val="16"/>
                <w:szCs w:val="16"/>
              </w:rPr>
            </w:pPr>
            <w:r>
              <w:rPr>
                <w:rFonts w:ascii="Times New Roman" w:eastAsia="Times New Roman" w:hAnsi="Times New Roman" w:cs="Times New Roman"/>
                <w:color w:val="000000"/>
                <w:sz w:val="16"/>
                <w:szCs w:val="16"/>
              </w:rPr>
              <w:t xml:space="preserve">100 mg bid </w:t>
            </w:r>
            <w:r>
              <w:rPr>
                <w:color w:val="000000"/>
              </w:rPr>
              <w:t xml:space="preserve">x </w:t>
            </w:r>
            <w:r>
              <w:rPr>
                <w:rFonts w:ascii="Times New Roman" w:eastAsia="Times New Roman" w:hAnsi="Times New Roman" w:cs="Times New Roman"/>
                <w:color w:val="000000"/>
                <w:sz w:val="16"/>
                <w:szCs w:val="16"/>
              </w:rPr>
              <w:t>7 días</w:t>
            </w:r>
          </w:p>
        </w:tc>
        <w:tc>
          <w:tcPr>
            <w:tcW w:w="2923" w:type="dxa"/>
            <w:shd w:val="clear" w:color="auto" w:fill="FFFFFF"/>
            <w:vAlign w:val="bottom"/>
          </w:tcPr>
          <w:p w14:paraId="6FB5AB33" w14:textId="77777777" w:rsidR="00924992" w:rsidRDefault="00924992">
            <w:pPr>
              <w:pStyle w:val="Other0"/>
              <w:framePr w:w="11434" w:h="6749" w:hSpace="514" w:wrap="notBeside" w:vAnchor="text" w:hAnchor="text" w:y="1"/>
              <w:spacing w:line="240" w:lineRule="auto"/>
              <w:ind w:firstLine="0"/>
              <w:rPr>
                <w:sz w:val="16"/>
                <w:szCs w:val="16"/>
              </w:rPr>
            </w:pPr>
            <w:r>
              <w:rPr>
                <w:rFonts w:ascii="Times New Roman" w:eastAsia="Times New Roman" w:hAnsi="Times New Roman" w:cs="Times New Roman"/>
                <w:color w:val="000000"/>
                <w:sz w:val="16"/>
                <w:szCs w:val="16"/>
              </w:rPr>
              <w:t xml:space="preserve">2 mg/kg/día </w:t>
            </w:r>
            <w:r>
              <w:rPr>
                <w:color w:val="000000"/>
              </w:rPr>
              <w:t xml:space="preserve">x </w:t>
            </w:r>
            <w:r>
              <w:rPr>
                <w:rFonts w:ascii="Times New Roman" w:eastAsia="Times New Roman" w:hAnsi="Times New Roman" w:cs="Times New Roman"/>
                <w:color w:val="000000"/>
                <w:sz w:val="16"/>
                <w:szCs w:val="16"/>
              </w:rPr>
              <w:t>7 días</w:t>
            </w:r>
          </w:p>
        </w:tc>
      </w:tr>
      <w:tr w:rsidR="00924992" w14:paraId="38B8E079" w14:textId="77777777">
        <w:tblPrEx>
          <w:tblCellMar>
            <w:top w:w="0" w:type="dxa"/>
            <w:bottom w:w="0" w:type="dxa"/>
          </w:tblCellMar>
        </w:tblPrEx>
        <w:trPr>
          <w:trHeight w:hRule="exact" w:val="437"/>
        </w:trPr>
        <w:tc>
          <w:tcPr>
            <w:tcW w:w="2707" w:type="dxa"/>
            <w:shd w:val="clear" w:color="auto" w:fill="FFFFFF"/>
          </w:tcPr>
          <w:p w14:paraId="6A72BF3B" w14:textId="77777777" w:rsidR="00924992" w:rsidRDefault="00924992">
            <w:pPr>
              <w:pStyle w:val="Other0"/>
              <w:framePr w:w="11434" w:h="6749" w:hSpace="514" w:wrap="notBeside" w:vAnchor="text" w:hAnchor="text" w:y="1"/>
              <w:spacing w:line="240" w:lineRule="auto"/>
              <w:ind w:firstLine="140"/>
              <w:rPr>
                <w:sz w:val="16"/>
                <w:szCs w:val="16"/>
              </w:rPr>
            </w:pPr>
            <w:r>
              <w:rPr>
                <w:rFonts w:ascii="Times New Roman" w:eastAsia="Times New Roman" w:hAnsi="Times New Roman" w:cs="Times New Roman"/>
                <w:b/>
                <w:bCs/>
                <w:color w:val="000000"/>
                <w:sz w:val="16"/>
                <w:szCs w:val="16"/>
              </w:rPr>
              <w:t>O</w:t>
            </w:r>
          </w:p>
        </w:tc>
        <w:tc>
          <w:tcPr>
            <w:tcW w:w="1877" w:type="dxa"/>
            <w:shd w:val="clear" w:color="auto" w:fill="FFFFFF"/>
          </w:tcPr>
          <w:p w14:paraId="4F1F3790" w14:textId="77777777" w:rsidR="00924992" w:rsidRDefault="00924992">
            <w:pPr>
              <w:pStyle w:val="Other0"/>
              <w:framePr w:w="11434" w:h="6749" w:hSpace="514" w:wrap="notBeside" w:vAnchor="text" w:hAnchor="text" w:y="1"/>
              <w:spacing w:line="240" w:lineRule="auto"/>
              <w:ind w:left="160"/>
              <w:rPr>
                <w:sz w:val="16"/>
                <w:szCs w:val="16"/>
              </w:rPr>
            </w:pPr>
            <w:r>
              <w:rPr>
                <w:rFonts w:ascii="Times New Roman" w:eastAsia="Times New Roman" w:hAnsi="Times New Roman" w:cs="Times New Roman"/>
                <w:color w:val="000000"/>
                <w:sz w:val="16"/>
                <w:szCs w:val="16"/>
              </w:rPr>
              <w:t>Mefloquina</w:t>
            </w:r>
            <w:r>
              <w:rPr>
                <w:rFonts w:ascii="Times New Roman" w:eastAsia="Times New Roman" w:hAnsi="Times New Roman" w:cs="Times New Roman"/>
                <w:color w:val="000000"/>
                <w:sz w:val="16"/>
                <w:szCs w:val="16"/>
                <w:vertAlign w:val="superscript"/>
              </w:rPr>
              <w:t>60,61</w:t>
            </w:r>
          </w:p>
        </w:tc>
        <w:tc>
          <w:tcPr>
            <w:tcW w:w="3926" w:type="dxa"/>
            <w:shd w:val="clear" w:color="auto" w:fill="FFFFFF"/>
            <w:vAlign w:val="bottom"/>
          </w:tcPr>
          <w:p w14:paraId="7BA37630" w14:textId="77777777" w:rsidR="00924992" w:rsidRDefault="00924992">
            <w:pPr>
              <w:pStyle w:val="Other0"/>
              <w:framePr w:w="11434" w:h="6749" w:hSpace="514" w:wrap="notBeside" w:vAnchor="text" w:hAnchor="text" w:y="1"/>
              <w:spacing w:line="283" w:lineRule="auto"/>
              <w:ind w:left="1220" w:hanging="100"/>
              <w:jc w:val="both"/>
              <w:rPr>
                <w:sz w:val="16"/>
                <w:szCs w:val="16"/>
              </w:rPr>
            </w:pPr>
            <w:r>
              <w:rPr>
                <w:rFonts w:ascii="Times New Roman" w:eastAsia="Times New Roman" w:hAnsi="Times New Roman" w:cs="Times New Roman"/>
                <w:color w:val="000000"/>
                <w:sz w:val="16"/>
                <w:szCs w:val="16"/>
              </w:rPr>
              <w:t>750 mg seguido de 500 mg 12 h más tarde</w:t>
            </w:r>
          </w:p>
        </w:tc>
        <w:tc>
          <w:tcPr>
            <w:tcW w:w="2923" w:type="dxa"/>
            <w:shd w:val="clear" w:color="auto" w:fill="FFFFFF"/>
            <w:vAlign w:val="bottom"/>
          </w:tcPr>
          <w:p w14:paraId="48F9F856" w14:textId="77777777" w:rsidR="00924992" w:rsidRDefault="00924992">
            <w:pPr>
              <w:pStyle w:val="Other0"/>
              <w:framePr w:w="11434" w:h="6749" w:hSpace="514" w:wrap="notBeside" w:vAnchor="text" w:hAnchor="text" w:y="1"/>
              <w:spacing w:line="283" w:lineRule="auto"/>
              <w:ind w:firstLine="0"/>
              <w:rPr>
                <w:sz w:val="16"/>
                <w:szCs w:val="16"/>
              </w:rPr>
            </w:pPr>
            <w:r>
              <w:rPr>
                <w:rFonts w:ascii="Times New Roman" w:eastAsia="Times New Roman" w:hAnsi="Times New Roman" w:cs="Times New Roman"/>
                <w:color w:val="000000"/>
                <w:sz w:val="16"/>
                <w:szCs w:val="16"/>
              </w:rPr>
              <w:t>15 mg seguidos 8-12 h más tarde de 10 mg/kg</w:t>
            </w:r>
          </w:p>
        </w:tc>
      </w:tr>
      <w:tr w:rsidR="00924992" w14:paraId="0E0B4032" w14:textId="77777777">
        <w:tblPrEx>
          <w:tblCellMar>
            <w:top w:w="0" w:type="dxa"/>
            <w:bottom w:w="0" w:type="dxa"/>
          </w:tblCellMar>
        </w:tblPrEx>
        <w:trPr>
          <w:trHeight w:hRule="exact" w:val="1306"/>
        </w:trPr>
        <w:tc>
          <w:tcPr>
            <w:tcW w:w="2707" w:type="dxa"/>
            <w:shd w:val="clear" w:color="auto" w:fill="FFFFFF"/>
          </w:tcPr>
          <w:p w14:paraId="278844A5" w14:textId="77777777" w:rsidR="00924992" w:rsidRDefault="00924992">
            <w:pPr>
              <w:pStyle w:val="Other0"/>
              <w:framePr w:w="11434" w:h="6749" w:hSpace="514" w:wrap="notBeside" w:vAnchor="text" w:hAnchor="text" w:y="1"/>
              <w:spacing w:line="240" w:lineRule="auto"/>
              <w:ind w:firstLine="140"/>
              <w:rPr>
                <w:sz w:val="16"/>
                <w:szCs w:val="16"/>
              </w:rPr>
            </w:pPr>
            <w:r>
              <w:rPr>
                <w:rFonts w:ascii="Times New Roman" w:eastAsia="Times New Roman" w:hAnsi="Times New Roman" w:cs="Times New Roman"/>
                <w:color w:val="000000"/>
                <w:sz w:val="16"/>
                <w:szCs w:val="16"/>
              </w:rPr>
              <w:t>Fármacos alternativos:</w:t>
            </w:r>
          </w:p>
        </w:tc>
        <w:tc>
          <w:tcPr>
            <w:tcW w:w="1877" w:type="dxa"/>
            <w:shd w:val="clear" w:color="auto" w:fill="FFFFFF"/>
          </w:tcPr>
          <w:p w14:paraId="31BE3ABE" w14:textId="77777777" w:rsidR="00924992" w:rsidRDefault="00924992">
            <w:pPr>
              <w:pStyle w:val="Other0"/>
              <w:framePr w:w="11434" w:h="6749" w:hSpace="514" w:wrap="notBeside" w:vAnchor="text" w:hAnchor="text" w:y="1"/>
              <w:spacing w:line="288" w:lineRule="auto"/>
              <w:ind w:firstLine="160"/>
              <w:rPr>
                <w:sz w:val="16"/>
                <w:szCs w:val="16"/>
              </w:rPr>
            </w:pPr>
            <w:r>
              <w:rPr>
                <w:rFonts w:ascii="Times New Roman" w:eastAsia="Times New Roman" w:hAnsi="Times New Roman" w:cs="Times New Roman"/>
                <w:color w:val="000000"/>
                <w:sz w:val="16"/>
                <w:szCs w:val="16"/>
              </w:rPr>
              <w:t>Halofantrina</w:t>
            </w:r>
            <w:r>
              <w:rPr>
                <w:rFonts w:ascii="Times New Roman" w:eastAsia="Times New Roman" w:hAnsi="Times New Roman" w:cs="Times New Roman"/>
                <w:color w:val="000000"/>
                <w:sz w:val="16"/>
                <w:szCs w:val="16"/>
                <w:vertAlign w:val="superscript"/>
              </w:rPr>
              <w:t>62,66</w:t>
            </w:r>
            <w:r>
              <w:rPr>
                <w:rFonts w:ascii="Times New Roman" w:eastAsia="Times New Roman" w:hAnsi="Times New Roman" w:cs="Times New Roman"/>
                <w:color w:val="000000"/>
                <w:sz w:val="16"/>
                <w:szCs w:val="16"/>
              </w:rPr>
              <w:t>*</w:t>
            </w:r>
          </w:p>
          <w:p w14:paraId="69E06BD4" w14:textId="77777777" w:rsidR="00924992" w:rsidRDefault="00924992">
            <w:pPr>
              <w:pStyle w:val="Other0"/>
              <w:framePr w:w="11434" w:h="6749" w:hSpace="514" w:wrap="notBeside" w:vAnchor="text" w:hAnchor="text" w:y="1"/>
              <w:spacing w:after="200" w:line="288" w:lineRule="auto"/>
              <w:ind w:firstLine="160"/>
              <w:rPr>
                <w:sz w:val="16"/>
                <w:szCs w:val="16"/>
              </w:rPr>
            </w:pPr>
            <w:r>
              <w:rPr>
                <w:rFonts w:ascii="Times New Roman" w:eastAsia="Times New Roman" w:hAnsi="Times New Roman" w:cs="Times New Roman"/>
                <w:color w:val="000000"/>
                <w:sz w:val="16"/>
                <w:szCs w:val="16"/>
              </w:rPr>
              <w:t>Cloroquina</w:t>
            </w:r>
          </w:p>
          <w:p w14:paraId="619597EE" w14:textId="77777777" w:rsidR="00924992" w:rsidRDefault="00924992">
            <w:pPr>
              <w:pStyle w:val="Other0"/>
              <w:framePr w:w="11434" w:h="6749" w:hSpace="514" w:wrap="notBeside" w:vAnchor="text" w:hAnchor="text" w:y="1"/>
              <w:spacing w:line="288" w:lineRule="auto"/>
              <w:ind w:left="160"/>
              <w:rPr>
                <w:sz w:val="16"/>
                <w:szCs w:val="16"/>
              </w:rPr>
            </w:pPr>
            <w:r>
              <w:rPr>
                <w:rFonts w:ascii="Times New Roman" w:eastAsia="Times New Roman" w:hAnsi="Times New Roman" w:cs="Times New Roman"/>
                <w:b/>
                <w:bCs/>
                <w:color w:val="000000"/>
                <w:sz w:val="16"/>
                <w:szCs w:val="16"/>
              </w:rPr>
              <w:t xml:space="preserve">y además </w:t>
            </w:r>
            <w:r>
              <w:rPr>
                <w:rFonts w:ascii="Times New Roman" w:eastAsia="Times New Roman" w:hAnsi="Times New Roman" w:cs="Times New Roman"/>
                <w:color w:val="000000"/>
                <w:sz w:val="16"/>
                <w:szCs w:val="16"/>
              </w:rPr>
              <w:t>primaquina</w:t>
            </w:r>
            <w:r>
              <w:rPr>
                <w:rFonts w:ascii="Times New Roman" w:eastAsia="Times New Roman" w:hAnsi="Times New Roman" w:cs="Times New Roman"/>
                <w:color w:val="000000"/>
                <w:sz w:val="16"/>
                <w:szCs w:val="16"/>
                <w:vertAlign w:val="superscript"/>
              </w:rPr>
              <w:t>67</w:t>
            </w:r>
          </w:p>
        </w:tc>
        <w:tc>
          <w:tcPr>
            <w:tcW w:w="3926" w:type="dxa"/>
            <w:shd w:val="clear" w:color="auto" w:fill="FFFFFF"/>
          </w:tcPr>
          <w:p w14:paraId="42F25F3A" w14:textId="77777777" w:rsidR="00924992" w:rsidRDefault="00924992">
            <w:pPr>
              <w:pStyle w:val="Other0"/>
              <w:framePr w:w="11434" w:h="6749" w:hSpace="514" w:wrap="notBeside" w:vAnchor="text" w:hAnchor="text" w:y="1"/>
              <w:spacing w:line="240" w:lineRule="auto"/>
              <w:ind w:left="1120" w:firstLine="0"/>
              <w:jc w:val="both"/>
              <w:rPr>
                <w:sz w:val="16"/>
                <w:szCs w:val="16"/>
              </w:rPr>
            </w:pPr>
            <w:r>
              <w:rPr>
                <w:rFonts w:ascii="Times New Roman" w:eastAsia="Times New Roman" w:hAnsi="Times New Roman" w:cs="Times New Roman"/>
                <w:color w:val="000000"/>
                <w:sz w:val="16"/>
                <w:szCs w:val="16"/>
              </w:rPr>
              <w:t xml:space="preserve">500 mg cada 6 h </w:t>
            </w:r>
            <w:r>
              <w:rPr>
                <w:color w:val="000000"/>
              </w:rPr>
              <w:t xml:space="preserve">x </w:t>
            </w:r>
            <w:r>
              <w:rPr>
                <w:rFonts w:ascii="Times New Roman" w:eastAsia="Times New Roman" w:hAnsi="Times New Roman" w:cs="Times New Roman"/>
                <w:color w:val="000000"/>
                <w:sz w:val="16"/>
                <w:szCs w:val="16"/>
              </w:rPr>
              <w:t>3 dosis</w:t>
            </w:r>
          </w:p>
          <w:p w14:paraId="673BFEC6" w14:textId="77777777" w:rsidR="00924992" w:rsidRDefault="00924992">
            <w:pPr>
              <w:pStyle w:val="Other0"/>
              <w:framePr w:w="11434" w:h="6749" w:hSpace="514" w:wrap="notBeside" w:vAnchor="text" w:hAnchor="text" w:y="1"/>
              <w:spacing w:after="200" w:line="283" w:lineRule="auto"/>
              <w:ind w:left="1220" w:hanging="100"/>
              <w:jc w:val="both"/>
              <w:rPr>
                <w:sz w:val="16"/>
                <w:szCs w:val="16"/>
              </w:rPr>
            </w:pPr>
            <w:r>
              <w:rPr>
                <w:rFonts w:ascii="Times New Roman" w:eastAsia="Times New Roman" w:hAnsi="Times New Roman" w:cs="Times New Roman"/>
                <w:color w:val="000000"/>
                <w:sz w:val="16"/>
                <w:szCs w:val="16"/>
              </w:rPr>
              <w:t>25 mg de fármaco base/kg en 3 dosis en 48 h</w:t>
            </w:r>
          </w:p>
          <w:p w14:paraId="03A9CF72" w14:textId="77777777" w:rsidR="00924992" w:rsidRDefault="00924992">
            <w:pPr>
              <w:pStyle w:val="Other0"/>
              <w:framePr w:w="11434" w:h="6749" w:hSpace="514" w:wrap="notBeside" w:vAnchor="text" w:hAnchor="text" w:y="1"/>
              <w:spacing w:after="100" w:line="283" w:lineRule="auto"/>
              <w:ind w:left="1220" w:hanging="100"/>
              <w:jc w:val="both"/>
              <w:rPr>
                <w:sz w:val="16"/>
                <w:szCs w:val="16"/>
              </w:rPr>
            </w:pPr>
            <w:r>
              <w:rPr>
                <w:rFonts w:ascii="Times New Roman" w:eastAsia="Times New Roman" w:hAnsi="Times New Roman" w:cs="Times New Roman"/>
                <w:color w:val="000000"/>
                <w:sz w:val="16"/>
                <w:szCs w:val="16"/>
              </w:rPr>
              <w:t>2.5 mg de fármaco base/kg en 3 dosis en 48 h</w:t>
            </w:r>
          </w:p>
        </w:tc>
        <w:tc>
          <w:tcPr>
            <w:tcW w:w="2923" w:type="dxa"/>
            <w:shd w:val="clear" w:color="auto" w:fill="FFFFFF"/>
          </w:tcPr>
          <w:p w14:paraId="2487EFE7" w14:textId="77777777" w:rsidR="00924992" w:rsidRDefault="00924992">
            <w:pPr>
              <w:pStyle w:val="Other0"/>
              <w:framePr w:w="11434" w:h="6749" w:hSpace="514" w:wrap="notBeside" w:vAnchor="text" w:hAnchor="text" w:y="1"/>
              <w:spacing w:line="240" w:lineRule="auto"/>
              <w:ind w:firstLine="0"/>
              <w:rPr>
                <w:sz w:val="16"/>
                <w:szCs w:val="16"/>
              </w:rPr>
            </w:pPr>
            <w:r>
              <w:rPr>
                <w:rFonts w:ascii="Times New Roman" w:eastAsia="Times New Roman" w:hAnsi="Times New Roman" w:cs="Times New Roman"/>
                <w:color w:val="000000"/>
                <w:sz w:val="16"/>
                <w:szCs w:val="16"/>
              </w:rPr>
              <w:t xml:space="preserve">8 mg/kg cada 6 h </w:t>
            </w:r>
            <w:r>
              <w:rPr>
                <w:color w:val="000000"/>
              </w:rPr>
              <w:t xml:space="preserve">x </w:t>
            </w:r>
            <w:r>
              <w:rPr>
                <w:rFonts w:ascii="Times New Roman" w:eastAsia="Times New Roman" w:hAnsi="Times New Roman" w:cs="Times New Roman"/>
                <w:color w:val="000000"/>
                <w:sz w:val="16"/>
                <w:szCs w:val="16"/>
              </w:rPr>
              <w:t>3 dosis</w:t>
            </w:r>
          </w:p>
        </w:tc>
      </w:tr>
      <w:tr w:rsidR="00924992" w14:paraId="5A3FC8CC" w14:textId="77777777">
        <w:tblPrEx>
          <w:tblCellMar>
            <w:top w:w="0" w:type="dxa"/>
            <w:bottom w:w="0" w:type="dxa"/>
          </w:tblCellMar>
        </w:tblPrEx>
        <w:trPr>
          <w:trHeight w:hRule="exact" w:val="240"/>
        </w:trPr>
        <w:tc>
          <w:tcPr>
            <w:tcW w:w="2707" w:type="dxa"/>
            <w:shd w:val="clear" w:color="auto" w:fill="FFFFFF"/>
            <w:vAlign w:val="bottom"/>
          </w:tcPr>
          <w:p w14:paraId="60AA7862" w14:textId="77777777" w:rsidR="00924992" w:rsidRDefault="00924992">
            <w:pPr>
              <w:pStyle w:val="Other0"/>
              <w:framePr w:w="11434" w:h="6749" w:hSpace="514" w:wrap="notBeside" w:vAnchor="text" w:hAnchor="text" w:y="1"/>
              <w:spacing w:line="240" w:lineRule="auto"/>
              <w:ind w:firstLine="140"/>
              <w:rPr>
                <w:sz w:val="17"/>
                <w:szCs w:val="17"/>
              </w:rPr>
            </w:pPr>
            <w:r>
              <w:rPr>
                <w:rFonts w:ascii="Times New Roman" w:eastAsia="Times New Roman" w:hAnsi="Times New Roman" w:cs="Times New Roman"/>
                <w:b/>
                <w:bCs/>
                <w:color w:val="000000"/>
                <w:sz w:val="16"/>
                <w:szCs w:val="16"/>
              </w:rPr>
              <w:t xml:space="preserve">Todas las especies de </w:t>
            </w:r>
            <w:r>
              <w:rPr>
                <w:rFonts w:ascii="Times New Roman" w:eastAsia="Times New Roman" w:hAnsi="Times New Roman" w:cs="Times New Roman"/>
                <w:b/>
                <w:bCs/>
                <w:i/>
                <w:iCs/>
                <w:color w:val="000000"/>
                <w:sz w:val="17"/>
                <w:szCs w:val="17"/>
              </w:rPr>
              <w:t>Plasmodium</w:t>
            </w:r>
          </w:p>
        </w:tc>
        <w:tc>
          <w:tcPr>
            <w:tcW w:w="1877" w:type="dxa"/>
            <w:shd w:val="clear" w:color="auto" w:fill="FFFFFF"/>
            <w:vAlign w:val="bottom"/>
          </w:tcPr>
          <w:p w14:paraId="06D9269D" w14:textId="77777777" w:rsidR="00924992" w:rsidRDefault="00924992">
            <w:pPr>
              <w:pStyle w:val="Other0"/>
              <w:framePr w:w="11434" w:h="6749" w:hSpace="514" w:wrap="notBeside" w:vAnchor="text" w:hAnchor="text" w:y="1"/>
              <w:spacing w:line="240" w:lineRule="auto"/>
              <w:ind w:firstLine="0"/>
              <w:rPr>
                <w:sz w:val="16"/>
                <w:szCs w:val="16"/>
              </w:rPr>
            </w:pPr>
            <w:r>
              <w:rPr>
                <w:rFonts w:ascii="Times New Roman" w:eastAsia="Times New Roman" w:hAnsi="Times New Roman" w:cs="Times New Roman"/>
                <w:b/>
                <w:bCs/>
                <w:color w:val="000000"/>
                <w:sz w:val="16"/>
                <w:szCs w:val="16"/>
              </w:rPr>
              <w:t xml:space="preserve">excepto </w:t>
            </w:r>
            <w:r>
              <w:rPr>
                <w:rFonts w:ascii="Times New Roman" w:eastAsia="Times New Roman" w:hAnsi="Times New Roman" w:cs="Times New Roman"/>
                <w:b/>
                <w:bCs/>
                <w:i/>
                <w:iCs/>
                <w:color w:val="000000"/>
                <w:sz w:val="17"/>
                <w:szCs w:val="17"/>
              </w:rPr>
              <w:t>P falciparum^'</w:t>
            </w:r>
            <w:r>
              <w:rPr>
                <w:rFonts w:ascii="Times New Roman" w:eastAsia="Times New Roman" w:hAnsi="Times New Roman" w:cs="Times New Roman"/>
                <w:b/>
                <w:bCs/>
                <w:color w:val="000000"/>
                <w:sz w:val="16"/>
                <w:szCs w:val="16"/>
              </w:rPr>
              <w:t xml:space="preserve"> y</w:t>
            </w:r>
          </w:p>
        </w:tc>
        <w:tc>
          <w:tcPr>
            <w:tcW w:w="3926" w:type="dxa"/>
            <w:shd w:val="clear" w:color="auto" w:fill="FFFFFF"/>
            <w:vAlign w:val="bottom"/>
          </w:tcPr>
          <w:p w14:paraId="53AB14CC" w14:textId="77777777" w:rsidR="00924992" w:rsidRDefault="00924992">
            <w:pPr>
              <w:pStyle w:val="Other0"/>
              <w:framePr w:w="11434" w:h="6749" w:hSpace="514" w:wrap="notBeside" w:vAnchor="text" w:hAnchor="text" w:y="1"/>
              <w:spacing w:line="240" w:lineRule="auto"/>
              <w:ind w:firstLine="0"/>
              <w:jc w:val="both"/>
              <w:rPr>
                <w:sz w:val="16"/>
                <w:szCs w:val="16"/>
              </w:rPr>
            </w:pPr>
            <w:r>
              <w:rPr>
                <w:rFonts w:ascii="Times New Roman" w:eastAsia="Times New Roman" w:hAnsi="Times New Roman" w:cs="Times New Roman"/>
                <w:i/>
                <w:iCs/>
                <w:color w:val="000000"/>
                <w:sz w:val="16"/>
                <w:szCs w:val="16"/>
              </w:rPr>
              <w:t>P</w:t>
            </w:r>
            <w:r>
              <w:rPr>
                <w:rFonts w:ascii="Times New Roman" w:eastAsia="Times New Roman" w:hAnsi="Times New Roman" w:cs="Times New Roman"/>
                <w:b/>
                <w:bCs/>
                <w:i/>
                <w:iCs/>
                <w:color w:val="000000"/>
                <w:sz w:val="17"/>
                <w:szCs w:val="17"/>
              </w:rPr>
              <w:t>. vivax</w:t>
            </w:r>
            <w:r>
              <w:rPr>
                <w:rFonts w:ascii="Times New Roman" w:eastAsia="Times New Roman" w:hAnsi="Times New Roman" w:cs="Times New Roman"/>
                <w:b/>
                <w:bCs/>
                <w:color w:val="000000"/>
                <w:sz w:val="16"/>
                <w:szCs w:val="16"/>
              </w:rPr>
              <w:t xml:space="preserve"> resistentes a cloroquina</w:t>
            </w:r>
            <w:r>
              <w:rPr>
                <w:rFonts w:ascii="Times New Roman" w:eastAsia="Times New Roman" w:hAnsi="Times New Roman" w:cs="Times New Roman"/>
                <w:b/>
                <w:bCs/>
                <w:color w:val="000000"/>
                <w:sz w:val="16"/>
                <w:szCs w:val="16"/>
                <w:vertAlign w:val="superscript"/>
              </w:rPr>
              <w:t>65</w:t>
            </w:r>
          </w:p>
        </w:tc>
        <w:tc>
          <w:tcPr>
            <w:tcW w:w="2923" w:type="dxa"/>
            <w:shd w:val="clear" w:color="auto" w:fill="FFFFFF"/>
          </w:tcPr>
          <w:p w14:paraId="6549C60D" w14:textId="77777777" w:rsidR="00924992" w:rsidRDefault="00924992">
            <w:pPr>
              <w:framePr w:w="11434" w:h="6749" w:hSpace="514" w:wrap="notBeside" w:vAnchor="text" w:hAnchor="text" w:y="1"/>
              <w:rPr>
                <w:sz w:val="10"/>
                <w:szCs w:val="10"/>
              </w:rPr>
            </w:pPr>
          </w:p>
        </w:tc>
      </w:tr>
      <w:tr w:rsidR="00924992" w14:paraId="5A7FE6F0" w14:textId="77777777">
        <w:tblPrEx>
          <w:tblCellMar>
            <w:top w:w="0" w:type="dxa"/>
            <w:bottom w:w="0" w:type="dxa"/>
          </w:tblCellMar>
        </w:tblPrEx>
        <w:trPr>
          <w:trHeight w:hRule="exact" w:val="202"/>
        </w:trPr>
        <w:tc>
          <w:tcPr>
            <w:tcW w:w="2707" w:type="dxa"/>
            <w:shd w:val="clear" w:color="auto" w:fill="FFFFFF"/>
          </w:tcPr>
          <w:p w14:paraId="5C071F69" w14:textId="77777777" w:rsidR="00924992" w:rsidRDefault="00924992">
            <w:pPr>
              <w:pStyle w:val="Other0"/>
              <w:framePr w:w="11434" w:h="6749" w:hSpace="514" w:wrap="notBeside" w:vAnchor="text" w:hAnchor="text" w:y="1"/>
              <w:spacing w:line="240" w:lineRule="auto"/>
              <w:ind w:firstLine="140"/>
              <w:rPr>
                <w:sz w:val="16"/>
                <w:szCs w:val="16"/>
              </w:rPr>
            </w:pPr>
            <w:r>
              <w:rPr>
                <w:rFonts w:ascii="Times New Roman" w:eastAsia="Times New Roman" w:hAnsi="Times New Roman" w:cs="Times New Roman"/>
                <w:color w:val="000000"/>
                <w:sz w:val="16"/>
                <w:szCs w:val="16"/>
              </w:rPr>
              <w:t>VIA ORAL</w:t>
            </w:r>
          </w:p>
        </w:tc>
        <w:tc>
          <w:tcPr>
            <w:tcW w:w="8726" w:type="dxa"/>
            <w:gridSpan w:val="3"/>
            <w:shd w:val="clear" w:color="auto" w:fill="FFFFFF"/>
          </w:tcPr>
          <w:p w14:paraId="184CEF2A" w14:textId="77777777" w:rsidR="00924992" w:rsidRDefault="00924992">
            <w:pPr>
              <w:framePr w:w="11434" w:h="6749" w:hSpace="514" w:wrap="notBeside" w:vAnchor="text" w:hAnchor="text" w:y="1"/>
              <w:rPr>
                <w:sz w:val="10"/>
                <w:szCs w:val="10"/>
              </w:rPr>
            </w:pPr>
          </w:p>
        </w:tc>
      </w:tr>
      <w:tr w:rsidR="00924992" w14:paraId="3353AF64" w14:textId="77777777">
        <w:tblPrEx>
          <w:tblCellMar>
            <w:top w:w="0" w:type="dxa"/>
            <w:bottom w:w="0" w:type="dxa"/>
          </w:tblCellMar>
        </w:tblPrEx>
        <w:trPr>
          <w:trHeight w:hRule="exact" w:val="1171"/>
        </w:trPr>
        <w:tc>
          <w:tcPr>
            <w:tcW w:w="2707" w:type="dxa"/>
            <w:shd w:val="clear" w:color="auto" w:fill="FFFFFF"/>
          </w:tcPr>
          <w:p w14:paraId="77CB665E" w14:textId="77777777" w:rsidR="00924992" w:rsidRDefault="00924992">
            <w:pPr>
              <w:pStyle w:val="Other0"/>
              <w:framePr w:w="11434" w:h="6749" w:hSpace="514" w:wrap="notBeside" w:vAnchor="text" w:hAnchor="text" w:y="1"/>
              <w:spacing w:line="240" w:lineRule="auto"/>
              <w:ind w:firstLine="140"/>
              <w:rPr>
                <w:sz w:val="16"/>
                <w:szCs w:val="16"/>
              </w:rPr>
            </w:pPr>
            <w:r>
              <w:rPr>
                <w:rFonts w:ascii="Times New Roman" w:eastAsia="Times New Roman" w:hAnsi="Times New Roman" w:cs="Times New Roman"/>
                <w:color w:val="000000"/>
                <w:sz w:val="16"/>
                <w:szCs w:val="16"/>
              </w:rPr>
              <w:t>Fármaco más indicado:</w:t>
            </w:r>
          </w:p>
        </w:tc>
        <w:tc>
          <w:tcPr>
            <w:tcW w:w="1877" w:type="dxa"/>
            <w:shd w:val="clear" w:color="auto" w:fill="FFFFFF"/>
          </w:tcPr>
          <w:p w14:paraId="5123148A" w14:textId="77777777" w:rsidR="00924992" w:rsidRDefault="00924992">
            <w:pPr>
              <w:pStyle w:val="Other0"/>
              <w:framePr w:w="11434" w:h="6749" w:hSpace="514" w:wrap="notBeside" w:vAnchor="text" w:hAnchor="text" w:y="1"/>
              <w:spacing w:line="240" w:lineRule="auto"/>
              <w:ind w:firstLine="160"/>
              <w:rPr>
                <w:sz w:val="16"/>
                <w:szCs w:val="16"/>
              </w:rPr>
            </w:pPr>
            <w:r>
              <w:rPr>
                <w:rFonts w:ascii="Times New Roman" w:eastAsia="Times New Roman" w:hAnsi="Times New Roman" w:cs="Times New Roman"/>
                <w:color w:val="000000"/>
                <w:sz w:val="16"/>
                <w:szCs w:val="16"/>
              </w:rPr>
              <w:t>Fosfato de cloroquina</w:t>
            </w:r>
            <w:r>
              <w:rPr>
                <w:rFonts w:ascii="Times New Roman" w:eastAsia="Times New Roman" w:hAnsi="Times New Roman" w:cs="Times New Roman"/>
                <w:color w:val="000000"/>
                <w:sz w:val="16"/>
                <w:szCs w:val="16"/>
                <w:vertAlign w:val="superscript"/>
              </w:rPr>
              <w:t>68</w:t>
            </w:r>
          </w:p>
        </w:tc>
        <w:tc>
          <w:tcPr>
            <w:tcW w:w="3926" w:type="dxa"/>
            <w:shd w:val="clear" w:color="auto" w:fill="FFFFFF"/>
          </w:tcPr>
          <w:p w14:paraId="49D7DDA8" w14:textId="77777777" w:rsidR="00924992" w:rsidRDefault="00924992">
            <w:pPr>
              <w:pStyle w:val="Other0"/>
              <w:framePr w:w="11434" w:h="6749" w:hSpace="514" w:wrap="notBeside" w:vAnchor="text" w:hAnchor="text" w:y="1"/>
              <w:spacing w:line="283" w:lineRule="auto"/>
              <w:ind w:left="1220" w:hanging="100"/>
              <w:jc w:val="both"/>
              <w:rPr>
                <w:sz w:val="16"/>
                <w:szCs w:val="16"/>
              </w:rPr>
            </w:pPr>
            <w:r>
              <w:rPr>
                <w:rFonts w:ascii="Times New Roman" w:eastAsia="Times New Roman" w:hAnsi="Times New Roman" w:cs="Times New Roman"/>
                <w:color w:val="000000"/>
                <w:sz w:val="16"/>
                <w:szCs w:val="16"/>
              </w:rPr>
              <w:t>1 g (600 mg de fármaco base) para seguir con 500 mg (300 mg de fármaco base) 6 h más tarde, y seguir con 500 mg (300 mg de fármaco base) a las 24 y 48 h</w:t>
            </w:r>
          </w:p>
        </w:tc>
        <w:tc>
          <w:tcPr>
            <w:tcW w:w="2923" w:type="dxa"/>
            <w:shd w:val="clear" w:color="auto" w:fill="FFFFFF"/>
          </w:tcPr>
          <w:p w14:paraId="795F429B" w14:textId="77777777" w:rsidR="00924992" w:rsidRDefault="00924992">
            <w:pPr>
              <w:pStyle w:val="Other0"/>
              <w:framePr w:w="11434" w:h="6749" w:hSpace="514" w:wrap="notBeside" w:vAnchor="text" w:hAnchor="text" w:y="1"/>
              <w:spacing w:line="283" w:lineRule="auto"/>
              <w:ind w:firstLine="0"/>
              <w:rPr>
                <w:sz w:val="16"/>
                <w:szCs w:val="16"/>
              </w:rPr>
            </w:pPr>
            <w:r>
              <w:rPr>
                <w:rFonts w:ascii="Times New Roman" w:eastAsia="Times New Roman" w:hAnsi="Times New Roman" w:cs="Times New Roman"/>
                <w:color w:val="000000"/>
                <w:sz w:val="16"/>
                <w:szCs w:val="16"/>
              </w:rPr>
              <w:t>10 mg de fármaco base/kg</w:t>
            </w:r>
          </w:p>
          <w:p w14:paraId="568B2693" w14:textId="77777777" w:rsidR="00924992" w:rsidRDefault="00924992">
            <w:pPr>
              <w:pStyle w:val="Other0"/>
              <w:framePr w:w="11434" w:h="6749" w:hSpace="514" w:wrap="notBeside" w:vAnchor="text" w:hAnchor="text" w:y="1"/>
              <w:spacing w:line="283" w:lineRule="auto"/>
              <w:ind w:firstLine="140"/>
              <w:rPr>
                <w:sz w:val="16"/>
                <w:szCs w:val="16"/>
              </w:rPr>
            </w:pPr>
            <w:r>
              <w:rPr>
                <w:rFonts w:ascii="Times New Roman" w:eastAsia="Times New Roman" w:hAnsi="Times New Roman" w:cs="Times New Roman"/>
                <w:color w:val="000000"/>
                <w:sz w:val="16"/>
                <w:szCs w:val="16"/>
              </w:rPr>
              <w:t>(máx. 600 mg de fármaco base), para seguir con 5 mg de fármaco base/kg 6 h más tarde y seguir con 5 mg de fármaco base/kg a las 24 y 48 h</w:t>
            </w:r>
          </w:p>
        </w:tc>
      </w:tr>
      <w:tr w:rsidR="00924992" w14:paraId="166AB838" w14:textId="77777777">
        <w:tblPrEx>
          <w:tblCellMar>
            <w:top w:w="0" w:type="dxa"/>
            <w:bottom w:w="0" w:type="dxa"/>
          </w:tblCellMar>
        </w:tblPrEx>
        <w:trPr>
          <w:trHeight w:hRule="exact" w:val="336"/>
        </w:trPr>
        <w:tc>
          <w:tcPr>
            <w:tcW w:w="8510" w:type="dxa"/>
            <w:gridSpan w:val="3"/>
            <w:tcBorders>
              <w:top w:val="single" w:sz="4" w:space="0" w:color="auto"/>
            </w:tcBorders>
            <w:shd w:val="clear" w:color="auto" w:fill="FFFFFF"/>
            <w:vAlign w:val="bottom"/>
          </w:tcPr>
          <w:p w14:paraId="2C7C6EF0" w14:textId="77777777" w:rsidR="00924992" w:rsidRDefault="00924992">
            <w:pPr>
              <w:pStyle w:val="Other0"/>
              <w:framePr w:w="11434" w:h="6749" w:hSpace="514" w:wrap="notBeside" w:vAnchor="text" w:hAnchor="text" w:y="1"/>
              <w:spacing w:line="240" w:lineRule="auto"/>
              <w:ind w:firstLine="0"/>
              <w:rPr>
                <w:sz w:val="15"/>
                <w:szCs w:val="15"/>
              </w:rPr>
            </w:pPr>
            <w:r>
              <w:rPr>
                <w:rFonts w:ascii="Times New Roman" w:eastAsia="Times New Roman" w:hAnsi="Times New Roman" w:cs="Times New Roman"/>
                <w:color w:val="000000"/>
                <w:sz w:val="15"/>
                <w:szCs w:val="15"/>
              </w:rPr>
              <w:t xml:space="preserve">53. El albendazol o el pamoato de pirantel pueden ser eficaces (HP Krepel et al, </w:t>
            </w:r>
            <w:r>
              <w:rPr>
                <w:rFonts w:ascii="Times New Roman" w:eastAsia="Times New Roman" w:hAnsi="Times New Roman" w:cs="Times New Roman"/>
                <w:i/>
                <w:iCs/>
                <w:color w:val="000000"/>
                <w:sz w:val="15"/>
                <w:szCs w:val="15"/>
              </w:rPr>
              <w:t>Trans R Soc Trop MedHyg</w:t>
            </w:r>
            <w:r>
              <w:rPr>
                <w:rFonts w:ascii="Times New Roman" w:eastAsia="Times New Roman" w:hAnsi="Times New Roman" w:cs="Times New Roman"/>
                <w:color w:val="000000"/>
                <w:sz w:val="15"/>
                <w:szCs w:val="15"/>
              </w:rPr>
              <w:t xml:space="preserve"> 1993; 87:87).</w:t>
            </w:r>
          </w:p>
        </w:tc>
        <w:tc>
          <w:tcPr>
            <w:tcW w:w="2923" w:type="dxa"/>
            <w:tcBorders>
              <w:top w:val="single" w:sz="4" w:space="0" w:color="auto"/>
            </w:tcBorders>
            <w:shd w:val="clear" w:color="auto" w:fill="FFFFFF"/>
            <w:vAlign w:val="bottom"/>
          </w:tcPr>
          <w:p w14:paraId="3CB8BE56" w14:textId="77777777" w:rsidR="00924992" w:rsidRDefault="00924992">
            <w:pPr>
              <w:pStyle w:val="Other0"/>
              <w:framePr w:w="11434" w:h="6749" w:hSpace="514" w:wrap="notBeside" w:vAnchor="text" w:hAnchor="text" w:y="1"/>
              <w:spacing w:line="240" w:lineRule="auto"/>
              <w:ind w:firstLine="0"/>
              <w:jc w:val="right"/>
              <w:rPr>
                <w:sz w:val="16"/>
                <w:szCs w:val="16"/>
              </w:rPr>
            </w:pPr>
            <w:r>
              <w:rPr>
                <w:rFonts w:ascii="Times New Roman" w:eastAsia="Times New Roman" w:hAnsi="Times New Roman" w:cs="Times New Roman"/>
                <w:i/>
                <w:iCs/>
                <w:color w:val="000000"/>
                <w:sz w:val="16"/>
                <w:szCs w:val="16"/>
              </w:rPr>
              <w:t>continúa</w:t>
            </w:r>
          </w:p>
        </w:tc>
      </w:tr>
    </w:tbl>
    <w:p w14:paraId="172A010E" w14:textId="77777777" w:rsidR="00924992" w:rsidRDefault="00924992">
      <w:pPr>
        <w:pStyle w:val="Tablecaption0"/>
        <w:framePr w:w="192" w:h="4526" w:hRule="exact" w:hSpace="11755" w:wrap="notBeside" w:vAnchor="text" w:hAnchor="text" w:x="11756" w:y="2161"/>
        <w:tabs>
          <w:tab w:val="left" w:pos="4210"/>
        </w:tabs>
        <w:spacing w:line="240" w:lineRule="auto"/>
        <w:ind w:left="0"/>
        <w:textDirection w:val="tbRl"/>
        <w:rPr>
          <w:sz w:val="16"/>
          <w:szCs w:val="16"/>
        </w:rPr>
      </w:pPr>
      <w:r>
        <w:rPr>
          <w:rFonts w:ascii="Arial" w:eastAsia="Arial" w:hAnsi="Arial" w:cs="Arial"/>
          <w:sz w:val="14"/>
          <w:szCs w:val="14"/>
        </w:rPr>
        <w:t>FÁRMACOS ANTIPARASITARIOS</w:t>
      </w:r>
      <w:r>
        <w:rPr>
          <w:rFonts w:ascii="Arial" w:eastAsia="Arial" w:hAnsi="Arial" w:cs="Arial"/>
          <w:sz w:val="14"/>
          <w:szCs w:val="14"/>
        </w:rPr>
        <w:tab/>
      </w:r>
      <w:r>
        <w:rPr>
          <w:rFonts w:ascii="Arial" w:eastAsia="Arial" w:hAnsi="Arial" w:cs="Arial"/>
          <w:sz w:val="16"/>
          <w:szCs w:val="16"/>
        </w:rPr>
        <w:t>795</w:t>
      </w:r>
    </w:p>
    <w:p w14:paraId="41773F37" w14:textId="77777777" w:rsidR="00924992" w:rsidRDefault="00924992">
      <w:pPr>
        <w:spacing w:line="1" w:lineRule="exact"/>
        <w:sectPr w:rsidR="00924992" w:rsidSect="00924992">
          <w:pgSz w:w="13022" w:h="8501" w:orient="landscape"/>
          <w:pgMar w:top="936" w:right="442" w:bottom="242" w:left="634" w:header="0" w:footer="3" w:gutter="0"/>
          <w:cols w:space="720"/>
          <w:noEndnote/>
          <w:docGrid w:linePitch="360"/>
          <w15:footnoteColumns w:val="1"/>
        </w:sectPr>
      </w:pPr>
    </w:p>
    <w:p w14:paraId="16C1059D" w14:textId="77777777" w:rsidR="00924992" w:rsidRDefault="00924992">
      <w:pPr>
        <w:pStyle w:val="Heading31"/>
        <w:keepNext/>
        <w:keepLines/>
        <w:framePr w:w="4618" w:h="322" w:wrap="none" w:hAnchor="page" w:x="4043" w:y="1"/>
        <w:rPr>
          <w:sz w:val="16"/>
          <w:szCs w:val="16"/>
        </w:rPr>
      </w:pPr>
      <w:bookmarkStart w:id="606" w:name="bookmark2037"/>
      <w:bookmarkStart w:id="607" w:name="bookmark2038"/>
      <w:bookmarkStart w:id="608" w:name="bookmark2039"/>
      <w:r>
        <w:rPr>
          <w:b w:val="0"/>
          <w:bCs w:val="0"/>
          <w:color w:val="000000"/>
        </w:rPr>
        <w:t xml:space="preserve">Cuadro 4-13. </w:t>
      </w:r>
      <w:r>
        <w:rPr>
          <w:color w:val="000000"/>
        </w:rPr>
        <w:t xml:space="preserve">Fármacos antiparasitarios </w:t>
      </w:r>
      <w:r>
        <w:rPr>
          <w:rFonts w:ascii="Times New Roman" w:eastAsia="Times New Roman" w:hAnsi="Times New Roman" w:cs="Times New Roman"/>
          <w:b w:val="0"/>
          <w:bCs w:val="0"/>
          <w:i/>
          <w:iCs/>
          <w:color w:val="000000"/>
          <w:w w:val="100"/>
          <w:sz w:val="16"/>
          <w:szCs w:val="16"/>
        </w:rPr>
        <w:t>continuación</w:t>
      </w:r>
      <w:bookmarkEnd w:id="606"/>
      <w:bookmarkEnd w:id="607"/>
      <w:bookmarkEnd w:id="608"/>
    </w:p>
    <w:tbl>
      <w:tblPr>
        <w:tblOverlap w:val="never"/>
        <w:tblW w:w="0" w:type="auto"/>
        <w:tblLayout w:type="fixed"/>
        <w:tblCellMar>
          <w:left w:w="10" w:type="dxa"/>
          <w:right w:w="10" w:type="dxa"/>
        </w:tblCellMar>
        <w:tblLook w:val="04A0" w:firstRow="1" w:lastRow="0" w:firstColumn="1" w:lastColumn="0" w:noHBand="0" w:noVBand="1"/>
      </w:tblPr>
      <w:tblGrid>
        <w:gridCol w:w="2851"/>
        <w:gridCol w:w="2338"/>
        <w:gridCol w:w="3278"/>
        <w:gridCol w:w="2966"/>
      </w:tblGrid>
      <w:tr w:rsidR="00924992" w14:paraId="2C780406" w14:textId="77777777">
        <w:tblPrEx>
          <w:tblCellMar>
            <w:top w:w="0" w:type="dxa"/>
            <w:bottom w:w="0" w:type="dxa"/>
          </w:tblCellMar>
        </w:tblPrEx>
        <w:trPr>
          <w:trHeight w:hRule="exact" w:val="274"/>
        </w:trPr>
        <w:tc>
          <w:tcPr>
            <w:tcW w:w="2851" w:type="dxa"/>
            <w:shd w:val="clear" w:color="auto" w:fill="000000"/>
            <w:vAlign w:val="bottom"/>
          </w:tcPr>
          <w:p w14:paraId="06010958" w14:textId="77777777" w:rsidR="00924992" w:rsidRDefault="00924992">
            <w:pPr>
              <w:pStyle w:val="Other0"/>
              <w:framePr w:w="11434" w:h="4786" w:wrap="none" w:hAnchor="page" w:x="639" w:y="375"/>
              <w:pBdr>
                <w:top w:val="single" w:sz="0" w:space="0" w:color="000000"/>
                <w:left w:val="single" w:sz="0" w:space="0" w:color="000000"/>
                <w:bottom w:val="single" w:sz="0" w:space="0" w:color="000000"/>
                <w:right w:val="single" w:sz="0" w:space="0" w:color="000000"/>
              </w:pBdr>
              <w:shd w:val="clear" w:color="auto" w:fill="000000"/>
              <w:spacing w:line="240" w:lineRule="auto"/>
              <w:ind w:firstLine="0"/>
              <w:rPr>
                <w:sz w:val="24"/>
                <w:szCs w:val="24"/>
              </w:rPr>
            </w:pPr>
            <w:r>
              <w:rPr>
                <w:rFonts w:ascii="Arial" w:eastAsia="Arial" w:hAnsi="Arial" w:cs="Arial"/>
                <w:b/>
                <w:bCs/>
                <w:color w:val="FFFFFF"/>
                <w:w w:val="70"/>
                <w:sz w:val="24"/>
                <w:szCs w:val="24"/>
              </w:rPr>
              <w:t>Infección</w:t>
            </w:r>
          </w:p>
        </w:tc>
        <w:tc>
          <w:tcPr>
            <w:tcW w:w="2338" w:type="dxa"/>
            <w:shd w:val="clear" w:color="auto" w:fill="000000"/>
            <w:vAlign w:val="bottom"/>
          </w:tcPr>
          <w:p w14:paraId="70D01602" w14:textId="77777777" w:rsidR="00924992" w:rsidRDefault="00924992">
            <w:pPr>
              <w:pStyle w:val="Other0"/>
              <w:framePr w:w="11434" w:h="4786" w:wrap="none" w:hAnchor="page" w:x="639" w:y="375"/>
              <w:pBdr>
                <w:top w:val="single" w:sz="0" w:space="0" w:color="000000"/>
                <w:left w:val="single" w:sz="0" w:space="0" w:color="000000"/>
                <w:bottom w:val="single" w:sz="0" w:space="0" w:color="000000"/>
                <w:right w:val="single" w:sz="0" w:space="0" w:color="000000"/>
              </w:pBdr>
              <w:shd w:val="clear" w:color="auto" w:fill="000000"/>
              <w:spacing w:line="240" w:lineRule="auto"/>
              <w:ind w:firstLine="0"/>
              <w:rPr>
                <w:sz w:val="24"/>
                <w:szCs w:val="24"/>
              </w:rPr>
            </w:pPr>
            <w:r>
              <w:rPr>
                <w:rFonts w:ascii="Arial" w:eastAsia="Arial" w:hAnsi="Arial" w:cs="Arial"/>
                <w:b/>
                <w:bCs/>
                <w:color w:val="FFFFFF"/>
                <w:w w:val="70"/>
                <w:sz w:val="24"/>
                <w:szCs w:val="24"/>
              </w:rPr>
              <w:t>Fármaco</w:t>
            </w:r>
          </w:p>
        </w:tc>
        <w:tc>
          <w:tcPr>
            <w:tcW w:w="3278" w:type="dxa"/>
            <w:shd w:val="clear" w:color="auto" w:fill="000000"/>
            <w:vAlign w:val="bottom"/>
          </w:tcPr>
          <w:p w14:paraId="79E94EE6" w14:textId="77777777" w:rsidR="00924992" w:rsidRDefault="00924992">
            <w:pPr>
              <w:pStyle w:val="Other0"/>
              <w:framePr w:w="11434" w:h="4786" w:wrap="none" w:hAnchor="page" w:x="639" w:y="375"/>
              <w:pBdr>
                <w:top w:val="single" w:sz="0" w:space="0" w:color="000000"/>
                <w:left w:val="single" w:sz="0" w:space="0" w:color="000000"/>
                <w:bottom w:val="single" w:sz="0" w:space="0" w:color="000000"/>
                <w:right w:val="single" w:sz="0" w:space="0" w:color="000000"/>
              </w:pBdr>
              <w:shd w:val="clear" w:color="auto" w:fill="000000"/>
              <w:spacing w:line="240" w:lineRule="auto"/>
              <w:ind w:firstLine="480"/>
              <w:rPr>
                <w:sz w:val="24"/>
                <w:szCs w:val="24"/>
              </w:rPr>
            </w:pPr>
            <w:r>
              <w:rPr>
                <w:rFonts w:ascii="Arial" w:eastAsia="Arial" w:hAnsi="Arial" w:cs="Arial"/>
                <w:b/>
                <w:bCs/>
                <w:color w:val="FFFFFF"/>
                <w:w w:val="70"/>
                <w:sz w:val="24"/>
                <w:szCs w:val="24"/>
              </w:rPr>
              <w:t>Dosis para adultos</w:t>
            </w:r>
          </w:p>
        </w:tc>
        <w:tc>
          <w:tcPr>
            <w:tcW w:w="2966" w:type="dxa"/>
            <w:shd w:val="clear" w:color="auto" w:fill="000000"/>
            <w:vAlign w:val="bottom"/>
          </w:tcPr>
          <w:p w14:paraId="0684B748" w14:textId="77777777" w:rsidR="00924992" w:rsidRDefault="00924992">
            <w:pPr>
              <w:pStyle w:val="Other0"/>
              <w:framePr w:w="11434" w:h="4786" w:wrap="none" w:hAnchor="page" w:x="639" w:y="375"/>
              <w:pBdr>
                <w:top w:val="single" w:sz="0" w:space="0" w:color="000000"/>
                <w:left w:val="single" w:sz="0" w:space="0" w:color="000000"/>
                <w:bottom w:val="single" w:sz="0" w:space="0" w:color="000000"/>
                <w:right w:val="single" w:sz="0" w:space="0" w:color="000000"/>
              </w:pBdr>
              <w:shd w:val="clear" w:color="auto" w:fill="000000"/>
              <w:spacing w:line="240" w:lineRule="auto"/>
              <w:ind w:firstLine="0"/>
              <w:rPr>
                <w:sz w:val="24"/>
                <w:szCs w:val="24"/>
              </w:rPr>
            </w:pPr>
            <w:r>
              <w:rPr>
                <w:rFonts w:ascii="Arial" w:eastAsia="Arial" w:hAnsi="Arial" w:cs="Arial"/>
                <w:b/>
                <w:bCs/>
                <w:color w:val="FFFFFF"/>
                <w:w w:val="70"/>
                <w:sz w:val="24"/>
                <w:szCs w:val="24"/>
              </w:rPr>
              <w:t>Dosis para niños</w:t>
            </w:r>
          </w:p>
        </w:tc>
      </w:tr>
      <w:tr w:rsidR="00924992" w14:paraId="24C14394" w14:textId="77777777">
        <w:tblPrEx>
          <w:tblCellMar>
            <w:top w:w="0" w:type="dxa"/>
            <w:bottom w:w="0" w:type="dxa"/>
          </w:tblCellMar>
        </w:tblPrEx>
        <w:trPr>
          <w:trHeight w:hRule="exact" w:val="1795"/>
        </w:trPr>
        <w:tc>
          <w:tcPr>
            <w:tcW w:w="2851" w:type="dxa"/>
            <w:shd w:val="clear" w:color="auto" w:fill="FFFFFF"/>
          </w:tcPr>
          <w:p w14:paraId="133F1CDE" w14:textId="77777777" w:rsidR="00924992" w:rsidRDefault="00924992">
            <w:pPr>
              <w:pStyle w:val="Other0"/>
              <w:framePr w:w="11434" w:h="4786" w:wrap="none" w:hAnchor="page" w:x="639" w:y="375"/>
              <w:spacing w:line="240" w:lineRule="auto"/>
              <w:ind w:firstLine="140"/>
              <w:rPr>
                <w:sz w:val="17"/>
                <w:szCs w:val="17"/>
              </w:rPr>
            </w:pPr>
            <w:r>
              <w:rPr>
                <w:rFonts w:ascii="Times New Roman" w:eastAsia="Times New Roman" w:hAnsi="Times New Roman" w:cs="Times New Roman"/>
                <w:b/>
                <w:bCs/>
                <w:color w:val="000000"/>
                <w:sz w:val="16"/>
                <w:szCs w:val="16"/>
              </w:rPr>
              <w:t xml:space="preserve">Todos los </w:t>
            </w:r>
            <w:r>
              <w:rPr>
                <w:rFonts w:ascii="Times New Roman" w:eastAsia="Times New Roman" w:hAnsi="Times New Roman" w:cs="Times New Roman"/>
                <w:b/>
                <w:bCs/>
                <w:i/>
                <w:iCs/>
                <w:color w:val="000000"/>
                <w:sz w:val="17"/>
                <w:szCs w:val="17"/>
              </w:rPr>
              <w:t>Plasmodium</w:t>
            </w:r>
          </w:p>
          <w:p w14:paraId="77433D72" w14:textId="77777777" w:rsidR="00924992" w:rsidRDefault="00924992">
            <w:pPr>
              <w:pStyle w:val="Other0"/>
              <w:framePr w:w="11434" w:h="4786" w:wrap="none" w:hAnchor="page" w:x="639" w:y="375"/>
              <w:spacing w:line="240" w:lineRule="auto"/>
              <w:ind w:firstLine="140"/>
              <w:rPr>
                <w:sz w:val="16"/>
                <w:szCs w:val="16"/>
              </w:rPr>
            </w:pPr>
            <w:r>
              <w:rPr>
                <w:rFonts w:ascii="Times New Roman" w:eastAsia="Times New Roman" w:hAnsi="Times New Roman" w:cs="Times New Roman"/>
                <w:color w:val="000000"/>
                <w:sz w:val="16"/>
                <w:szCs w:val="16"/>
              </w:rPr>
              <w:t>VIA PARENTERAL</w:t>
            </w:r>
          </w:p>
          <w:p w14:paraId="69994595" w14:textId="77777777" w:rsidR="00924992" w:rsidRDefault="00924992">
            <w:pPr>
              <w:pStyle w:val="Other0"/>
              <w:framePr w:w="11434" w:h="4786" w:wrap="none" w:hAnchor="page" w:x="639" w:y="375"/>
              <w:spacing w:line="240" w:lineRule="auto"/>
              <w:ind w:firstLine="140"/>
              <w:rPr>
                <w:sz w:val="16"/>
                <w:szCs w:val="16"/>
              </w:rPr>
            </w:pPr>
            <w:r>
              <w:rPr>
                <w:rFonts w:ascii="Times New Roman" w:eastAsia="Times New Roman" w:hAnsi="Times New Roman" w:cs="Times New Roman"/>
                <w:color w:val="000000"/>
                <w:sz w:val="16"/>
                <w:szCs w:val="16"/>
              </w:rPr>
              <w:t>Fármaco más indicado:</w:t>
            </w:r>
            <w:r>
              <w:rPr>
                <w:rFonts w:ascii="Times New Roman" w:eastAsia="Times New Roman" w:hAnsi="Times New Roman" w:cs="Times New Roman"/>
                <w:color w:val="000000"/>
                <w:sz w:val="16"/>
                <w:szCs w:val="16"/>
                <w:vertAlign w:val="superscript"/>
              </w:rPr>
              <w:t>69</w:t>
            </w:r>
          </w:p>
        </w:tc>
        <w:tc>
          <w:tcPr>
            <w:tcW w:w="2338" w:type="dxa"/>
            <w:shd w:val="clear" w:color="auto" w:fill="FFFFFF"/>
          </w:tcPr>
          <w:p w14:paraId="380F590B" w14:textId="77777777" w:rsidR="00924992" w:rsidRDefault="00924992">
            <w:pPr>
              <w:pStyle w:val="Other0"/>
              <w:framePr w:w="11434" w:h="4786" w:wrap="none" w:hAnchor="page" w:x="639" w:y="375"/>
              <w:spacing w:before="500" w:line="240" w:lineRule="auto"/>
              <w:ind w:firstLine="0"/>
              <w:rPr>
                <w:sz w:val="16"/>
                <w:szCs w:val="16"/>
              </w:rPr>
            </w:pPr>
            <w:r>
              <w:rPr>
                <w:rFonts w:ascii="Times New Roman" w:eastAsia="Times New Roman" w:hAnsi="Times New Roman" w:cs="Times New Roman"/>
                <w:color w:val="000000"/>
                <w:sz w:val="16"/>
                <w:szCs w:val="16"/>
              </w:rPr>
              <w:t>Gluconato de quinidina</w:t>
            </w:r>
            <w:r>
              <w:rPr>
                <w:rFonts w:ascii="Times New Roman" w:eastAsia="Times New Roman" w:hAnsi="Times New Roman" w:cs="Times New Roman"/>
                <w:color w:val="000000"/>
                <w:sz w:val="16"/>
                <w:szCs w:val="16"/>
                <w:vertAlign w:val="superscript"/>
              </w:rPr>
              <w:t>70</w:t>
            </w:r>
          </w:p>
        </w:tc>
        <w:tc>
          <w:tcPr>
            <w:tcW w:w="3278" w:type="dxa"/>
            <w:shd w:val="clear" w:color="auto" w:fill="FFFFFF"/>
            <w:vAlign w:val="bottom"/>
          </w:tcPr>
          <w:p w14:paraId="3FD7D4C3" w14:textId="77777777" w:rsidR="00924992" w:rsidRDefault="00924992">
            <w:pPr>
              <w:pStyle w:val="Other0"/>
              <w:framePr w:w="11434" w:h="4786" w:wrap="none" w:hAnchor="page" w:x="639" w:y="375"/>
              <w:spacing w:line="283" w:lineRule="auto"/>
              <w:ind w:firstLine="480"/>
              <w:rPr>
                <w:sz w:val="16"/>
                <w:szCs w:val="16"/>
              </w:rPr>
            </w:pPr>
            <w:r>
              <w:rPr>
                <w:rFonts w:ascii="Times New Roman" w:eastAsia="Times New Roman" w:hAnsi="Times New Roman" w:cs="Times New Roman"/>
                <w:color w:val="000000"/>
                <w:sz w:val="16"/>
                <w:szCs w:val="16"/>
              </w:rPr>
              <w:t>10 mg/kg como dosis inicial</w:t>
            </w:r>
          </w:p>
          <w:p w14:paraId="560A078B" w14:textId="77777777" w:rsidR="00924992" w:rsidRDefault="00924992">
            <w:pPr>
              <w:pStyle w:val="Other0"/>
              <w:framePr w:w="11434" w:h="4786" w:wrap="none" w:hAnchor="page" w:x="639" w:y="375"/>
              <w:spacing w:line="283" w:lineRule="auto"/>
              <w:ind w:left="580" w:firstLine="0"/>
              <w:rPr>
                <w:sz w:val="16"/>
                <w:szCs w:val="16"/>
              </w:rPr>
            </w:pPr>
            <w:r>
              <w:rPr>
                <w:rFonts w:ascii="Times New Roman" w:eastAsia="Times New Roman" w:hAnsi="Times New Roman" w:cs="Times New Roman"/>
                <w:color w:val="000000"/>
                <w:sz w:val="16"/>
                <w:szCs w:val="16"/>
              </w:rPr>
              <w:t>(máx. 600 mg) en solución salina en goteo lento durante 1 o 2 h seguida de goteo continuo a razón de 0.02 mg/ kg/min hasta que se pueda comenzar la administración oral</w:t>
            </w:r>
          </w:p>
        </w:tc>
        <w:tc>
          <w:tcPr>
            <w:tcW w:w="2966" w:type="dxa"/>
            <w:shd w:val="clear" w:color="auto" w:fill="FFFFFF"/>
          </w:tcPr>
          <w:p w14:paraId="59D03D01" w14:textId="77777777" w:rsidR="00924992" w:rsidRDefault="00924992">
            <w:pPr>
              <w:pStyle w:val="Other0"/>
              <w:framePr w:w="11434" w:h="4786" w:wrap="none" w:hAnchor="page" w:x="639" w:y="375"/>
              <w:spacing w:before="500" w:line="240" w:lineRule="auto"/>
              <w:ind w:firstLine="0"/>
              <w:rPr>
                <w:sz w:val="16"/>
                <w:szCs w:val="16"/>
              </w:rPr>
            </w:pPr>
            <w:r>
              <w:rPr>
                <w:rFonts w:ascii="Times New Roman" w:eastAsia="Times New Roman" w:hAnsi="Times New Roman" w:cs="Times New Roman"/>
                <w:color w:val="000000"/>
                <w:sz w:val="16"/>
                <w:szCs w:val="16"/>
              </w:rPr>
              <w:t>Igual que la dosis para adultos</w:t>
            </w:r>
          </w:p>
        </w:tc>
      </w:tr>
      <w:tr w:rsidR="00924992" w14:paraId="00654937" w14:textId="77777777">
        <w:tblPrEx>
          <w:tblCellMar>
            <w:top w:w="0" w:type="dxa"/>
            <w:bottom w:w="0" w:type="dxa"/>
          </w:tblCellMar>
        </w:tblPrEx>
        <w:trPr>
          <w:trHeight w:hRule="exact" w:val="235"/>
        </w:trPr>
        <w:tc>
          <w:tcPr>
            <w:tcW w:w="2851" w:type="dxa"/>
            <w:shd w:val="clear" w:color="auto" w:fill="FFFFFF"/>
            <w:vAlign w:val="bottom"/>
          </w:tcPr>
          <w:p w14:paraId="254A540B" w14:textId="77777777" w:rsidR="00924992" w:rsidRDefault="00924992">
            <w:pPr>
              <w:pStyle w:val="Other0"/>
              <w:framePr w:w="11434" w:h="4786" w:wrap="none" w:hAnchor="page" w:x="639" w:y="375"/>
              <w:spacing w:line="240" w:lineRule="auto"/>
              <w:ind w:firstLine="140"/>
              <w:rPr>
                <w:sz w:val="16"/>
                <w:szCs w:val="16"/>
              </w:rPr>
            </w:pPr>
            <w:r>
              <w:rPr>
                <w:rFonts w:ascii="Times New Roman" w:eastAsia="Times New Roman" w:hAnsi="Times New Roman" w:cs="Times New Roman"/>
                <w:b/>
                <w:bCs/>
                <w:color w:val="000000"/>
                <w:sz w:val="16"/>
                <w:szCs w:val="16"/>
              </w:rPr>
              <w:t>O</w:t>
            </w:r>
          </w:p>
        </w:tc>
        <w:tc>
          <w:tcPr>
            <w:tcW w:w="2338" w:type="dxa"/>
            <w:shd w:val="clear" w:color="auto" w:fill="FFFFFF"/>
            <w:vAlign w:val="bottom"/>
          </w:tcPr>
          <w:p w14:paraId="2F86E437" w14:textId="77777777" w:rsidR="00924992" w:rsidRDefault="00924992">
            <w:pPr>
              <w:pStyle w:val="Other0"/>
              <w:framePr w:w="11434" w:h="4786" w:wrap="none" w:hAnchor="page" w:x="639" w:y="375"/>
              <w:spacing w:line="240" w:lineRule="auto"/>
              <w:ind w:firstLine="0"/>
              <w:rPr>
                <w:sz w:val="16"/>
                <w:szCs w:val="16"/>
              </w:rPr>
            </w:pPr>
            <w:r>
              <w:rPr>
                <w:rFonts w:ascii="Times New Roman" w:eastAsia="Times New Roman" w:hAnsi="Times New Roman" w:cs="Times New Roman"/>
                <w:color w:val="000000"/>
                <w:sz w:val="16"/>
                <w:szCs w:val="16"/>
              </w:rPr>
              <w:t>Clorhidrato de quinina</w:t>
            </w:r>
            <w:r>
              <w:rPr>
                <w:rFonts w:ascii="Times New Roman" w:eastAsia="Times New Roman" w:hAnsi="Times New Roman" w:cs="Times New Roman"/>
                <w:color w:val="000000"/>
                <w:sz w:val="16"/>
                <w:szCs w:val="16"/>
                <w:vertAlign w:val="superscript"/>
              </w:rPr>
              <w:t>70</w:t>
            </w:r>
          </w:p>
        </w:tc>
        <w:tc>
          <w:tcPr>
            <w:tcW w:w="3278" w:type="dxa"/>
            <w:shd w:val="clear" w:color="auto" w:fill="FFFFFF"/>
            <w:vAlign w:val="bottom"/>
          </w:tcPr>
          <w:p w14:paraId="64EDF0FD" w14:textId="77777777" w:rsidR="00924992" w:rsidRDefault="00924992">
            <w:pPr>
              <w:pStyle w:val="Other0"/>
              <w:framePr w:w="11434" w:h="4786" w:wrap="none" w:hAnchor="page" w:x="639" w:y="375"/>
              <w:spacing w:line="240" w:lineRule="auto"/>
              <w:ind w:firstLine="480"/>
              <w:rPr>
                <w:sz w:val="16"/>
                <w:szCs w:val="16"/>
              </w:rPr>
            </w:pPr>
            <w:r>
              <w:rPr>
                <w:rFonts w:ascii="Times New Roman" w:eastAsia="Times New Roman" w:hAnsi="Times New Roman" w:cs="Times New Roman"/>
                <w:color w:val="000000"/>
                <w:sz w:val="16"/>
                <w:szCs w:val="16"/>
              </w:rPr>
              <w:t>20 mg/kg como dosis inicial IV en</w:t>
            </w:r>
          </w:p>
        </w:tc>
        <w:tc>
          <w:tcPr>
            <w:tcW w:w="2966" w:type="dxa"/>
            <w:shd w:val="clear" w:color="auto" w:fill="FFFFFF"/>
            <w:vAlign w:val="bottom"/>
          </w:tcPr>
          <w:p w14:paraId="1743000A" w14:textId="77777777" w:rsidR="00924992" w:rsidRDefault="00924992">
            <w:pPr>
              <w:pStyle w:val="Other0"/>
              <w:framePr w:w="11434" w:h="4786" w:wrap="none" w:hAnchor="page" w:x="639" w:y="375"/>
              <w:spacing w:line="240" w:lineRule="auto"/>
              <w:ind w:firstLine="0"/>
              <w:rPr>
                <w:sz w:val="16"/>
                <w:szCs w:val="16"/>
              </w:rPr>
            </w:pPr>
            <w:r>
              <w:rPr>
                <w:rFonts w:ascii="Times New Roman" w:eastAsia="Times New Roman" w:hAnsi="Times New Roman" w:cs="Times New Roman"/>
                <w:color w:val="000000"/>
                <w:sz w:val="16"/>
                <w:szCs w:val="16"/>
              </w:rPr>
              <w:t>Igual que la dosis para adultos</w:t>
            </w:r>
          </w:p>
        </w:tc>
      </w:tr>
      <w:tr w:rsidR="00924992" w14:paraId="1AED5A7B" w14:textId="77777777">
        <w:tblPrEx>
          <w:tblCellMar>
            <w:top w:w="0" w:type="dxa"/>
            <w:bottom w:w="0" w:type="dxa"/>
          </w:tblCellMar>
        </w:tblPrEx>
        <w:trPr>
          <w:trHeight w:hRule="exact" w:val="1066"/>
        </w:trPr>
        <w:tc>
          <w:tcPr>
            <w:tcW w:w="2851" w:type="dxa"/>
            <w:shd w:val="clear" w:color="auto" w:fill="FFFFFF"/>
          </w:tcPr>
          <w:p w14:paraId="48B684B1" w14:textId="77777777" w:rsidR="00924992" w:rsidRDefault="00924992">
            <w:pPr>
              <w:framePr w:w="11434" w:h="4786" w:wrap="none" w:hAnchor="page" w:x="639" w:y="375"/>
              <w:rPr>
                <w:sz w:val="10"/>
                <w:szCs w:val="10"/>
              </w:rPr>
            </w:pPr>
          </w:p>
        </w:tc>
        <w:tc>
          <w:tcPr>
            <w:tcW w:w="2338" w:type="dxa"/>
            <w:shd w:val="clear" w:color="auto" w:fill="FFFFFF"/>
          </w:tcPr>
          <w:p w14:paraId="1D0D5F9C" w14:textId="77777777" w:rsidR="00924992" w:rsidRDefault="00924992">
            <w:pPr>
              <w:framePr w:w="11434" w:h="4786" w:wrap="none" w:hAnchor="page" w:x="639" w:y="375"/>
              <w:rPr>
                <w:sz w:val="10"/>
                <w:szCs w:val="10"/>
              </w:rPr>
            </w:pPr>
          </w:p>
        </w:tc>
        <w:tc>
          <w:tcPr>
            <w:tcW w:w="3278" w:type="dxa"/>
            <w:shd w:val="clear" w:color="auto" w:fill="FFFFFF"/>
          </w:tcPr>
          <w:p w14:paraId="2519955A" w14:textId="77777777" w:rsidR="00924992" w:rsidRDefault="00924992">
            <w:pPr>
              <w:pStyle w:val="Other0"/>
              <w:framePr w:w="11434" w:h="4786" w:wrap="none" w:hAnchor="page" w:x="639" w:y="375"/>
              <w:spacing w:line="283" w:lineRule="auto"/>
              <w:ind w:left="580" w:firstLine="0"/>
              <w:rPr>
                <w:sz w:val="16"/>
                <w:szCs w:val="16"/>
              </w:rPr>
            </w:pPr>
            <w:r>
              <w:rPr>
                <w:rFonts w:ascii="Times New Roman" w:eastAsia="Times New Roman" w:hAnsi="Times New Roman" w:cs="Times New Roman"/>
                <w:color w:val="000000"/>
                <w:sz w:val="16"/>
                <w:szCs w:val="16"/>
              </w:rPr>
              <w:t>solución glucosada al 5% en un lapso de 4 h, seguido de 10 mg/kg en un lapso de 2 a 4 h cada 8h (máx.</w:t>
            </w:r>
          </w:p>
          <w:p w14:paraId="61836194" w14:textId="77777777" w:rsidR="00924992" w:rsidRDefault="00924992">
            <w:pPr>
              <w:pStyle w:val="Other0"/>
              <w:framePr w:w="11434" w:h="4786" w:wrap="none" w:hAnchor="page" w:x="639" w:y="375"/>
              <w:spacing w:line="283" w:lineRule="auto"/>
              <w:ind w:left="580" w:firstLine="0"/>
              <w:rPr>
                <w:sz w:val="16"/>
                <w:szCs w:val="16"/>
              </w:rPr>
            </w:pPr>
            <w:r>
              <w:rPr>
                <w:rFonts w:ascii="Times New Roman" w:eastAsia="Times New Roman" w:hAnsi="Times New Roman" w:cs="Times New Roman"/>
                <w:color w:val="000000"/>
                <w:sz w:val="16"/>
                <w:szCs w:val="16"/>
              </w:rPr>
              <w:t>1 800 mg/día) hasta que se pueda comenzar la administración oral</w:t>
            </w:r>
          </w:p>
        </w:tc>
        <w:tc>
          <w:tcPr>
            <w:tcW w:w="2966" w:type="dxa"/>
            <w:shd w:val="clear" w:color="auto" w:fill="FFFFFF"/>
          </w:tcPr>
          <w:p w14:paraId="08435A56" w14:textId="77777777" w:rsidR="00924992" w:rsidRDefault="00924992">
            <w:pPr>
              <w:framePr w:w="11434" w:h="4786" w:wrap="none" w:hAnchor="page" w:x="639" w:y="375"/>
              <w:rPr>
                <w:sz w:val="10"/>
                <w:szCs w:val="10"/>
              </w:rPr>
            </w:pPr>
          </w:p>
        </w:tc>
      </w:tr>
      <w:tr w:rsidR="00924992" w14:paraId="382B582D" w14:textId="77777777">
        <w:tblPrEx>
          <w:tblCellMar>
            <w:top w:w="0" w:type="dxa"/>
            <w:bottom w:w="0" w:type="dxa"/>
          </w:tblCellMar>
        </w:tblPrEx>
        <w:trPr>
          <w:trHeight w:hRule="exact" w:val="235"/>
        </w:trPr>
        <w:tc>
          <w:tcPr>
            <w:tcW w:w="2851" w:type="dxa"/>
            <w:shd w:val="clear" w:color="auto" w:fill="FFFFFF"/>
            <w:vAlign w:val="bottom"/>
          </w:tcPr>
          <w:p w14:paraId="1EB4CDDE" w14:textId="77777777" w:rsidR="00924992" w:rsidRDefault="00924992">
            <w:pPr>
              <w:pStyle w:val="Other0"/>
              <w:framePr w:w="11434" w:h="4786" w:wrap="none" w:hAnchor="page" w:x="639" w:y="375"/>
              <w:spacing w:line="240" w:lineRule="auto"/>
              <w:ind w:firstLine="140"/>
              <w:rPr>
                <w:sz w:val="16"/>
                <w:szCs w:val="16"/>
              </w:rPr>
            </w:pPr>
            <w:r>
              <w:rPr>
                <w:rFonts w:ascii="Times New Roman" w:eastAsia="Times New Roman" w:hAnsi="Times New Roman" w:cs="Times New Roman"/>
                <w:color w:val="000000"/>
                <w:sz w:val="16"/>
                <w:szCs w:val="16"/>
              </w:rPr>
              <w:t>Fármaco alternativo:</w:t>
            </w:r>
          </w:p>
        </w:tc>
        <w:tc>
          <w:tcPr>
            <w:tcW w:w="2338" w:type="dxa"/>
            <w:shd w:val="clear" w:color="auto" w:fill="FFFFFF"/>
            <w:vAlign w:val="bottom"/>
          </w:tcPr>
          <w:p w14:paraId="194A856F" w14:textId="77777777" w:rsidR="00924992" w:rsidRDefault="00924992">
            <w:pPr>
              <w:pStyle w:val="Other0"/>
              <w:framePr w:w="11434" w:h="4786" w:wrap="none" w:hAnchor="page" w:x="639" w:y="375"/>
              <w:spacing w:line="240" w:lineRule="auto"/>
              <w:ind w:firstLine="0"/>
              <w:rPr>
                <w:sz w:val="16"/>
                <w:szCs w:val="16"/>
              </w:rPr>
            </w:pPr>
            <w:r>
              <w:rPr>
                <w:rFonts w:ascii="Times New Roman" w:eastAsia="Times New Roman" w:hAnsi="Times New Roman" w:cs="Times New Roman"/>
                <w:color w:val="000000"/>
                <w:sz w:val="16"/>
                <w:szCs w:val="16"/>
              </w:rPr>
              <w:t>Artemeter</w:t>
            </w:r>
            <w:r>
              <w:rPr>
                <w:rFonts w:ascii="Times New Roman" w:eastAsia="Times New Roman" w:hAnsi="Times New Roman" w:cs="Times New Roman"/>
                <w:color w:val="000000"/>
                <w:sz w:val="16"/>
                <w:szCs w:val="16"/>
                <w:vertAlign w:val="superscript"/>
              </w:rPr>
              <w:t>71</w:t>
            </w:r>
            <w:r>
              <w:rPr>
                <w:rFonts w:ascii="Times New Roman" w:eastAsia="Times New Roman" w:hAnsi="Times New Roman" w:cs="Times New Roman"/>
                <w:color w:val="000000"/>
                <w:sz w:val="16"/>
                <w:szCs w:val="16"/>
              </w:rPr>
              <w:t>*</w:t>
            </w:r>
          </w:p>
        </w:tc>
        <w:tc>
          <w:tcPr>
            <w:tcW w:w="3278" w:type="dxa"/>
            <w:shd w:val="clear" w:color="auto" w:fill="FFFFFF"/>
            <w:vAlign w:val="bottom"/>
          </w:tcPr>
          <w:p w14:paraId="5AEDA740" w14:textId="77777777" w:rsidR="00924992" w:rsidRDefault="00924992">
            <w:pPr>
              <w:pStyle w:val="Other0"/>
              <w:framePr w:w="11434" w:h="4786" w:wrap="none" w:hAnchor="page" w:x="639" w:y="375"/>
              <w:spacing w:line="240" w:lineRule="auto"/>
              <w:ind w:firstLine="480"/>
              <w:rPr>
                <w:sz w:val="16"/>
                <w:szCs w:val="16"/>
              </w:rPr>
            </w:pPr>
            <w:r>
              <w:rPr>
                <w:rFonts w:ascii="Times New Roman" w:eastAsia="Times New Roman" w:hAnsi="Times New Roman" w:cs="Times New Roman"/>
                <w:color w:val="000000"/>
                <w:sz w:val="16"/>
                <w:szCs w:val="16"/>
              </w:rPr>
              <w:t>3.2 mg/kg IM para seguir con 1.6</w:t>
            </w:r>
          </w:p>
        </w:tc>
        <w:tc>
          <w:tcPr>
            <w:tcW w:w="2966" w:type="dxa"/>
            <w:shd w:val="clear" w:color="auto" w:fill="FFFFFF"/>
            <w:vAlign w:val="bottom"/>
          </w:tcPr>
          <w:p w14:paraId="6A36175E" w14:textId="77777777" w:rsidR="00924992" w:rsidRDefault="00924992">
            <w:pPr>
              <w:pStyle w:val="Other0"/>
              <w:framePr w:w="11434" w:h="4786" w:wrap="none" w:hAnchor="page" w:x="639" w:y="375"/>
              <w:spacing w:line="240" w:lineRule="auto"/>
              <w:ind w:firstLine="0"/>
              <w:rPr>
                <w:sz w:val="16"/>
                <w:szCs w:val="16"/>
              </w:rPr>
            </w:pPr>
            <w:r>
              <w:rPr>
                <w:rFonts w:ascii="Times New Roman" w:eastAsia="Times New Roman" w:hAnsi="Times New Roman" w:cs="Times New Roman"/>
                <w:color w:val="000000"/>
                <w:sz w:val="16"/>
                <w:szCs w:val="16"/>
              </w:rPr>
              <w:t>Igual que la dosis para adultos</w:t>
            </w:r>
          </w:p>
        </w:tc>
      </w:tr>
      <w:tr w:rsidR="00924992" w14:paraId="120C96A8" w14:textId="77777777">
        <w:tblPrEx>
          <w:tblCellMar>
            <w:top w:w="0" w:type="dxa"/>
            <w:bottom w:w="0" w:type="dxa"/>
          </w:tblCellMar>
        </w:tblPrEx>
        <w:trPr>
          <w:trHeight w:hRule="exact" w:val="206"/>
        </w:trPr>
        <w:tc>
          <w:tcPr>
            <w:tcW w:w="2851" w:type="dxa"/>
            <w:shd w:val="clear" w:color="auto" w:fill="FFFFFF"/>
          </w:tcPr>
          <w:p w14:paraId="71E286D1" w14:textId="77777777" w:rsidR="00924992" w:rsidRDefault="00924992">
            <w:pPr>
              <w:framePr w:w="11434" w:h="4786" w:wrap="none" w:hAnchor="page" w:x="639" w:y="375"/>
              <w:rPr>
                <w:sz w:val="10"/>
                <w:szCs w:val="10"/>
              </w:rPr>
            </w:pPr>
          </w:p>
        </w:tc>
        <w:tc>
          <w:tcPr>
            <w:tcW w:w="2338" w:type="dxa"/>
            <w:shd w:val="clear" w:color="auto" w:fill="FFFFFF"/>
          </w:tcPr>
          <w:p w14:paraId="1A5B0347" w14:textId="77777777" w:rsidR="00924992" w:rsidRDefault="00924992">
            <w:pPr>
              <w:framePr w:w="11434" w:h="4786" w:wrap="none" w:hAnchor="page" w:x="639" w:y="375"/>
              <w:rPr>
                <w:sz w:val="10"/>
                <w:szCs w:val="10"/>
              </w:rPr>
            </w:pPr>
          </w:p>
        </w:tc>
        <w:tc>
          <w:tcPr>
            <w:tcW w:w="3278" w:type="dxa"/>
            <w:shd w:val="clear" w:color="auto" w:fill="FFFFFF"/>
            <w:vAlign w:val="bottom"/>
          </w:tcPr>
          <w:p w14:paraId="30997E4E" w14:textId="77777777" w:rsidR="00924992" w:rsidRDefault="00924992">
            <w:pPr>
              <w:pStyle w:val="Other0"/>
              <w:framePr w:w="11434" w:h="4786" w:wrap="none" w:hAnchor="page" w:x="639" w:y="375"/>
              <w:spacing w:line="240" w:lineRule="auto"/>
              <w:ind w:firstLine="580"/>
              <w:rPr>
                <w:sz w:val="16"/>
                <w:szCs w:val="16"/>
              </w:rPr>
            </w:pPr>
            <w:r>
              <w:rPr>
                <w:rFonts w:ascii="Times New Roman" w:eastAsia="Times New Roman" w:hAnsi="Times New Roman" w:cs="Times New Roman"/>
                <w:color w:val="000000"/>
                <w:sz w:val="16"/>
                <w:szCs w:val="16"/>
              </w:rPr>
              <w:t xml:space="preserve">mg/kg diariamente </w:t>
            </w:r>
            <w:r>
              <w:rPr>
                <w:color w:val="000000"/>
              </w:rPr>
              <w:t xml:space="preserve">x </w:t>
            </w:r>
            <w:r>
              <w:rPr>
                <w:rFonts w:ascii="Times New Roman" w:eastAsia="Times New Roman" w:hAnsi="Times New Roman" w:cs="Times New Roman"/>
                <w:color w:val="000000"/>
                <w:sz w:val="16"/>
                <w:szCs w:val="16"/>
              </w:rPr>
              <w:t>5-7 días</w:t>
            </w:r>
          </w:p>
        </w:tc>
        <w:tc>
          <w:tcPr>
            <w:tcW w:w="2966" w:type="dxa"/>
            <w:shd w:val="clear" w:color="auto" w:fill="FFFFFF"/>
          </w:tcPr>
          <w:p w14:paraId="0B8F4311" w14:textId="77777777" w:rsidR="00924992" w:rsidRDefault="00924992">
            <w:pPr>
              <w:framePr w:w="11434" w:h="4786" w:wrap="none" w:hAnchor="page" w:x="639" w:y="375"/>
              <w:rPr>
                <w:sz w:val="10"/>
                <w:szCs w:val="10"/>
              </w:rPr>
            </w:pPr>
          </w:p>
        </w:tc>
      </w:tr>
      <w:tr w:rsidR="00924992" w14:paraId="1E28119D" w14:textId="77777777">
        <w:tblPrEx>
          <w:tblCellMar>
            <w:top w:w="0" w:type="dxa"/>
            <w:bottom w:w="0" w:type="dxa"/>
          </w:tblCellMar>
        </w:tblPrEx>
        <w:trPr>
          <w:trHeight w:hRule="exact" w:val="211"/>
        </w:trPr>
        <w:tc>
          <w:tcPr>
            <w:tcW w:w="2851" w:type="dxa"/>
            <w:shd w:val="clear" w:color="auto" w:fill="FFFFFF"/>
            <w:vAlign w:val="bottom"/>
          </w:tcPr>
          <w:p w14:paraId="07FC5658" w14:textId="77777777" w:rsidR="00924992" w:rsidRDefault="00924992">
            <w:pPr>
              <w:pStyle w:val="Other0"/>
              <w:framePr w:w="11434" w:h="4786" w:wrap="none" w:hAnchor="page" w:x="639" w:y="375"/>
              <w:spacing w:line="240" w:lineRule="auto"/>
              <w:ind w:firstLine="140"/>
              <w:rPr>
                <w:sz w:val="17"/>
                <w:szCs w:val="17"/>
              </w:rPr>
            </w:pPr>
            <w:r>
              <w:rPr>
                <w:rFonts w:ascii="Times New Roman" w:eastAsia="Times New Roman" w:hAnsi="Times New Roman" w:cs="Times New Roman"/>
                <w:b/>
                <w:bCs/>
                <w:color w:val="000000"/>
                <w:sz w:val="16"/>
                <w:szCs w:val="16"/>
              </w:rPr>
              <w:t xml:space="preserve">Prevención de recaídas: sólo </w:t>
            </w:r>
            <w:r>
              <w:rPr>
                <w:rFonts w:ascii="Times New Roman" w:eastAsia="Times New Roman" w:hAnsi="Times New Roman" w:cs="Times New Roman"/>
                <w:b/>
                <w:bCs/>
                <w:i/>
                <w:iCs/>
                <w:color w:val="000000"/>
                <w:sz w:val="17"/>
                <w:szCs w:val="17"/>
              </w:rPr>
              <w:t>P. vivax</w:t>
            </w:r>
          </w:p>
        </w:tc>
        <w:tc>
          <w:tcPr>
            <w:tcW w:w="2338" w:type="dxa"/>
            <w:shd w:val="clear" w:color="auto" w:fill="FFFFFF"/>
            <w:vAlign w:val="bottom"/>
          </w:tcPr>
          <w:p w14:paraId="768920FE" w14:textId="77777777" w:rsidR="00924992" w:rsidRDefault="00924992">
            <w:pPr>
              <w:pStyle w:val="Other0"/>
              <w:framePr w:w="11434" w:h="4786" w:wrap="none" w:hAnchor="page" w:x="639" w:y="375"/>
              <w:spacing w:line="240" w:lineRule="auto"/>
              <w:ind w:firstLine="0"/>
              <w:rPr>
                <w:sz w:val="17"/>
                <w:szCs w:val="17"/>
              </w:rPr>
            </w:pPr>
            <w:r>
              <w:rPr>
                <w:rFonts w:ascii="Times New Roman" w:eastAsia="Times New Roman" w:hAnsi="Times New Roman" w:cs="Times New Roman"/>
                <w:b/>
                <w:bCs/>
                <w:color w:val="000000"/>
                <w:sz w:val="16"/>
                <w:szCs w:val="16"/>
              </w:rPr>
              <w:t xml:space="preserve">• y </w:t>
            </w:r>
            <w:r>
              <w:rPr>
                <w:rFonts w:ascii="Times New Roman" w:eastAsia="Times New Roman" w:hAnsi="Times New Roman" w:cs="Times New Roman"/>
                <w:b/>
                <w:bCs/>
                <w:i/>
                <w:iCs/>
                <w:color w:val="000000"/>
                <w:sz w:val="17"/>
                <w:szCs w:val="17"/>
              </w:rPr>
              <w:t>P. ovale</w:t>
            </w:r>
          </w:p>
        </w:tc>
        <w:tc>
          <w:tcPr>
            <w:tcW w:w="3278" w:type="dxa"/>
            <w:shd w:val="clear" w:color="auto" w:fill="FFFFFF"/>
          </w:tcPr>
          <w:p w14:paraId="05C3A4DE" w14:textId="77777777" w:rsidR="00924992" w:rsidRDefault="00924992">
            <w:pPr>
              <w:framePr w:w="11434" w:h="4786" w:wrap="none" w:hAnchor="page" w:x="639" w:y="375"/>
              <w:rPr>
                <w:sz w:val="10"/>
                <w:szCs w:val="10"/>
              </w:rPr>
            </w:pPr>
          </w:p>
        </w:tc>
        <w:tc>
          <w:tcPr>
            <w:tcW w:w="2966" w:type="dxa"/>
            <w:shd w:val="clear" w:color="auto" w:fill="FFFFFF"/>
          </w:tcPr>
          <w:p w14:paraId="3D987E0A" w14:textId="77777777" w:rsidR="00924992" w:rsidRDefault="00924992">
            <w:pPr>
              <w:framePr w:w="11434" w:h="4786" w:wrap="none" w:hAnchor="page" w:x="639" w:y="375"/>
              <w:rPr>
                <w:sz w:val="10"/>
                <w:szCs w:val="10"/>
              </w:rPr>
            </w:pPr>
          </w:p>
        </w:tc>
      </w:tr>
      <w:tr w:rsidR="00924992" w14:paraId="0E6812A2" w14:textId="77777777">
        <w:tblPrEx>
          <w:tblCellMar>
            <w:top w:w="0" w:type="dxa"/>
            <w:bottom w:w="0" w:type="dxa"/>
          </w:tblCellMar>
        </w:tblPrEx>
        <w:trPr>
          <w:trHeight w:hRule="exact" w:val="240"/>
        </w:trPr>
        <w:tc>
          <w:tcPr>
            <w:tcW w:w="2851" w:type="dxa"/>
            <w:shd w:val="clear" w:color="auto" w:fill="FFFFFF"/>
            <w:vAlign w:val="bottom"/>
          </w:tcPr>
          <w:p w14:paraId="02386E8F" w14:textId="77777777" w:rsidR="00924992" w:rsidRDefault="00924992">
            <w:pPr>
              <w:pStyle w:val="Other0"/>
              <w:framePr w:w="11434" w:h="4786" w:wrap="none" w:hAnchor="page" w:x="639" w:y="375"/>
              <w:spacing w:line="240" w:lineRule="auto"/>
              <w:ind w:firstLine="140"/>
              <w:rPr>
                <w:sz w:val="16"/>
                <w:szCs w:val="16"/>
              </w:rPr>
            </w:pPr>
            <w:r>
              <w:rPr>
                <w:rFonts w:ascii="Times New Roman" w:eastAsia="Times New Roman" w:hAnsi="Times New Roman" w:cs="Times New Roman"/>
                <w:color w:val="000000"/>
                <w:sz w:val="16"/>
                <w:szCs w:val="16"/>
              </w:rPr>
              <w:t>Fármaco más indicado:</w:t>
            </w:r>
          </w:p>
        </w:tc>
        <w:tc>
          <w:tcPr>
            <w:tcW w:w="2338" w:type="dxa"/>
            <w:shd w:val="clear" w:color="auto" w:fill="FFFFFF"/>
            <w:vAlign w:val="bottom"/>
          </w:tcPr>
          <w:p w14:paraId="49F6121B" w14:textId="77777777" w:rsidR="00924992" w:rsidRDefault="00924992">
            <w:pPr>
              <w:pStyle w:val="Other0"/>
              <w:framePr w:w="11434" w:h="4786" w:wrap="none" w:hAnchor="page" w:x="639" w:y="375"/>
              <w:spacing w:line="240" w:lineRule="auto"/>
              <w:ind w:firstLine="0"/>
              <w:rPr>
                <w:sz w:val="16"/>
                <w:szCs w:val="16"/>
              </w:rPr>
            </w:pPr>
            <w:r>
              <w:rPr>
                <w:rFonts w:ascii="Times New Roman" w:eastAsia="Times New Roman" w:hAnsi="Times New Roman" w:cs="Times New Roman"/>
                <w:color w:val="000000"/>
                <w:sz w:val="16"/>
                <w:szCs w:val="16"/>
              </w:rPr>
              <w:t>Fosfato de primaquina</w:t>
            </w:r>
            <w:r>
              <w:rPr>
                <w:rFonts w:ascii="Times New Roman" w:eastAsia="Times New Roman" w:hAnsi="Times New Roman" w:cs="Times New Roman"/>
                <w:color w:val="000000"/>
                <w:sz w:val="16"/>
                <w:szCs w:val="16"/>
                <w:vertAlign w:val="superscript"/>
              </w:rPr>
              <w:t>67,72</w:t>
            </w:r>
          </w:p>
        </w:tc>
        <w:tc>
          <w:tcPr>
            <w:tcW w:w="3278" w:type="dxa"/>
            <w:shd w:val="clear" w:color="auto" w:fill="FFFFFF"/>
            <w:vAlign w:val="bottom"/>
          </w:tcPr>
          <w:p w14:paraId="00216B75" w14:textId="77777777" w:rsidR="00924992" w:rsidRDefault="00924992">
            <w:pPr>
              <w:pStyle w:val="Other0"/>
              <w:framePr w:w="11434" w:h="4786" w:wrap="none" w:hAnchor="page" w:x="639" w:y="375"/>
              <w:spacing w:line="240" w:lineRule="auto"/>
              <w:ind w:firstLine="480"/>
              <w:rPr>
                <w:sz w:val="16"/>
                <w:szCs w:val="16"/>
              </w:rPr>
            </w:pPr>
            <w:r>
              <w:rPr>
                <w:rFonts w:ascii="Times New Roman" w:eastAsia="Times New Roman" w:hAnsi="Times New Roman" w:cs="Times New Roman"/>
                <w:color w:val="000000"/>
                <w:sz w:val="16"/>
                <w:szCs w:val="16"/>
              </w:rPr>
              <w:t>26.3 mg (15 mg de fármaco base)/</w:t>
            </w:r>
          </w:p>
        </w:tc>
        <w:tc>
          <w:tcPr>
            <w:tcW w:w="2966" w:type="dxa"/>
            <w:shd w:val="clear" w:color="auto" w:fill="FFFFFF"/>
            <w:vAlign w:val="bottom"/>
          </w:tcPr>
          <w:p w14:paraId="1D242339" w14:textId="77777777" w:rsidR="00924992" w:rsidRDefault="00924992">
            <w:pPr>
              <w:pStyle w:val="Other0"/>
              <w:framePr w:w="11434" w:h="4786" w:wrap="none" w:hAnchor="page" w:x="639" w:y="375"/>
              <w:spacing w:line="240" w:lineRule="auto"/>
              <w:ind w:firstLine="0"/>
              <w:rPr>
                <w:sz w:val="16"/>
                <w:szCs w:val="16"/>
              </w:rPr>
            </w:pPr>
            <w:r>
              <w:rPr>
                <w:rFonts w:ascii="Times New Roman" w:eastAsia="Times New Roman" w:hAnsi="Times New Roman" w:cs="Times New Roman"/>
                <w:color w:val="000000"/>
                <w:sz w:val="16"/>
                <w:szCs w:val="16"/>
              </w:rPr>
              <w:t>0.3 mg del fármaco base/kg/día</w:t>
            </w:r>
          </w:p>
        </w:tc>
      </w:tr>
      <w:tr w:rsidR="00924992" w14:paraId="3E38B298" w14:textId="77777777">
        <w:tblPrEx>
          <w:tblCellMar>
            <w:top w:w="0" w:type="dxa"/>
            <w:bottom w:w="0" w:type="dxa"/>
          </w:tblCellMar>
        </w:tblPrEx>
        <w:trPr>
          <w:trHeight w:hRule="exact" w:val="523"/>
        </w:trPr>
        <w:tc>
          <w:tcPr>
            <w:tcW w:w="2851" w:type="dxa"/>
            <w:tcBorders>
              <w:bottom w:val="single" w:sz="4" w:space="0" w:color="auto"/>
            </w:tcBorders>
            <w:shd w:val="clear" w:color="auto" w:fill="FFFFFF"/>
          </w:tcPr>
          <w:p w14:paraId="499F994F" w14:textId="77777777" w:rsidR="00924992" w:rsidRDefault="00924992">
            <w:pPr>
              <w:framePr w:w="11434" w:h="4786" w:wrap="none" w:hAnchor="page" w:x="639" w:y="375"/>
              <w:rPr>
                <w:sz w:val="10"/>
                <w:szCs w:val="10"/>
              </w:rPr>
            </w:pPr>
          </w:p>
        </w:tc>
        <w:tc>
          <w:tcPr>
            <w:tcW w:w="2338" w:type="dxa"/>
            <w:tcBorders>
              <w:bottom w:val="single" w:sz="4" w:space="0" w:color="auto"/>
            </w:tcBorders>
            <w:shd w:val="clear" w:color="auto" w:fill="FFFFFF"/>
          </w:tcPr>
          <w:p w14:paraId="0AC937FB" w14:textId="77777777" w:rsidR="00924992" w:rsidRDefault="00924992">
            <w:pPr>
              <w:framePr w:w="11434" w:h="4786" w:wrap="none" w:hAnchor="page" w:x="639" w:y="375"/>
              <w:rPr>
                <w:sz w:val="10"/>
                <w:szCs w:val="10"/>
              </w:rPr>
            </w:pPr>
          </w:p>
        </w:tc>
        <w:tc>
          <w:tcPr>
            <w:tcW w:w="3278" w:type="dxa"/>
            <w:tcBorders>
              <w:bottom w:val="single" w:sz="4" w:space="0" w:color="auto"/>
            </w:tcBorders>
            <w:shd w:val="clear" w:color="auto" w:fill="FFFFFF"/>
          </w:tcPr>
          <w:p w14:paraId="64754836" w14:textId="77777777" w:rsidR="00924992" w:rsidRDefault="00924992">
            <w:pPr>
              <w:pStyle w:val="Other0"/>
              <w:framePr w:w="11434" w:h="4786" w:wrap="none" w:hAnchor="page" w:x="639" w:y="375"/>
              <w:spacing w:line="262" w:lineRule="auto"/>
              <w:ind w:left="580" w:firstLine="0"/>
              <w:rPr>
                <w:sz w:val="16"/>
                <w:szCs w:val="16"/>
              </w:rPr>
            </w:pPr>
            <w:r>
              <w:rPr>
                <w:rFonts w:ascii="Times New Roman" w:eastAsia="Times New Roman" w:hAnsi="Times New Roman" w:cs="Times New Roman"/>
                <w:color w:val="000000"/>
                <w:sz w:val="16"/>
                <w:szCs w:val="16"/>
              </w:rPr>
              <w:t xml:space="preserve">día </w:t>
            </w:r>
            <w:r>
              <w:rPr>
                <w:color w:val="000000"/>
              </w:rPr>
              <w:t xml:space="preserve">x </w:t>
            </w:r>
            <w:r>
              <w:rPr>
                <w:rFonts w:ascii="Times New Roman" w:eastAsia="Times New Roman" w:hAnsi="Times New Roman" w:cs="Times New Roman"/>
                <w:color w:val="000000"/>
                <w:sz w:val="16"/>
                <w:szCs w:val="16"/>
              </w:rPr>
              <w:t xml:space="preserve">14 días o 79 mg (45 mg de fármaco base)/semana </w:t>
            </w:r>
            <w:r>
              <w:rPr>
                <w:color w:val="000000"/>
              </w:rPr>
              <w:t xml:space="preserve">x </w:t>
            </w:r>
            <w:r>
              <w:rPr>
                <w:rFonts w:ascii="Times New Roman" w:eastAsia="Times New Roman" w:hAnsi="Times New Roman" w:cs="Times New Roman"/>
                <w:color w:val="000000"/>
                <w:sz w:val="16"/>
                <w:szCs w:val="16"/>
              </w:rPr>
              <w:t>8 semanas</w:t>
            </w:r>
          </w:p>
        </w:tc>
        <w:tc>
          <w:tcPr>
            <w:tcW w:w="2966" w:type="dxa"/>
            <w:tcBorders>
              <w:bottom w:val="single" w:sz="4" w:space="0" w:color="auto"/>
            </w:tcBorders>
            <w:shd w:val="clear" w:color="auto" w:fill="FFFFFF"/>
          </w:tcPr>
          <w:p w14:paraId="02602A05" w14:textId="77777777" w:rsidR="00924992" w:rsidRDefault="00924992">
            <w:pPr>
              <w:pStyle w:val="Other0"/>
              <w:framePr w:w="11434" w:h="4786" w:wrap="none" w:hAnchor="page" w:x="639" w:y="375"/>
              <w:spacing w:line="240" w:lineRule="auto"/>
              <w:ind w:firstLine="0"/>
              <w:rPr>
                <w:sz w:val="16"/>
                <w:szCs w:val="16"/>
              </w:rPr>
            </w:pPr>
            <w:r>
              <w:rPr>
                <w:color w:val="000000"/>
              </w:rPr>
              <w:t xml:space="preserve">x </w:t>
            </w:r>
            <w:r>
              <w:rPr>
                <w:rFonts w:ascii="Times New Roman" w:eastAsia="Times New Roman" w:hAnsi="Times New Roman" w:cs="Times New Roman"/>
                <w:color w:val="000000"/>
                <w:sz w:val="16"/>
                <w:szCs w:val="16"/>
              </w:rPr>
              <w:t>14 días</w:t>
            </w:r>
          </w:p>
        </w:tc>
      </w:tr>
    </w:tbl>
    <w:p w14:paraId="20285494" w14:textId="77777777" w:rsidR="00924992" w:rsidRDefault="00924992">
      <w:pPr>
        <w:framePr w:w="11434" w:h="4786" w:wrap="none" w:hAnchor="page" w:x="639" w:y="375"/>
        <w:spacing w:line="1" w:lineRule="exact"/>
      </w:pPr>
    </w:p>
    <w:p w14:paraId="464176B3" w14:textId="77777777" w:rsidR="00924992" w:rsidRDefault="00924992">
      <w:pPr>
        <w:pStyle w:val="Bodytext20"/>
        <w:framePr w:w="11333" w:h="1541" w:wrap="none" w:hAnchor="page" w:x="654" w:y="5281"/>
        <w:numPr>
          <w:ilvl w:val="0"/>
          <w:numId w:val="139"/>
        </w:numPr>
        <w:tabs>
          <w:tab w:val="left" w:pos="370"/>
        </w:tabs>
        <w:ind w:left="380" w:hanging="380"/>
        <w:jc w:val="both"/>
      </w:pPr>
      <w:bookmarkStart w:id="609" w:name="bookmark2040"/>
      <w:bookmarkEnd w:id="609"/>
      <w:r>
        <w:rPr>
          <w:color w:val="000000"/>
        </w:rPr>
        <w:t xml:space="preserve">En todas las zonas palúdicas aparecen especies de </w:t>
      </w:r>
      <w:r>
        <w:rPr>
          <w:i/>
          <w:iCs/>
          <w:color w:val="000000"/>
        </w:rPr>
        <w:t>P. falciparum</w:t>
      </w:r>
      <w:r>
        <w:rPr>
          <w:color w:val="000000"/>
        </w:rPr>
        <w:t xml:space="preserve"> resistentes a cloroquina, excepto en la zona centroamericana al occidente de la zona del Canal de Panamá, México, Haití, República Dominicana y gran parte del Oriente Cercano (se han señalado especies de plasmodio resistentes a cloroquina en Yemen, Omán, Arabia Saudita e Irán).</w:t>
      </w:r>
    </w:p>
    <w:p w14:paraId="58738F10" w14:textId="77777777" w:rsidR="00924992" w:rsidRDefault="00924992">
      <w:pPr>
        <w:pStyle w:val="Bodytext20"/>
        <w:framePr w:w="11333" w:h="1541" w:wrap="none" w:hAnchor="page" w:x="654" w:y="5281"/>
        <w:numPr>
          <w:ilvl w:val="0"/>
          <w:numId w:val="139"/>
        </w:numPr>
        <w:tabs>
          <w:tab w:val="left" w:pos="370"/>
        </w:tabs>
        <w:jc w:val="both"/>
      </w:pPr>
      <w:bookmarkStart w:id="610" w:name="bookmark2041"/>
      <w:bookmarkEnd w:id="610"/>
      <w:r>
        <w:rPr>
          <w:color w:val="000000"/>
        </w:rPr>
        <w:t>En el sudeste asiático ha aumentado la resistencia relativa a la quinina y es necesario continuar el tratamiento durante siete días.</w:t>
      </w:r>
    </w:p>
    <w:p w14:paraId="64443113" w14:textId="77777777" w:rsidR="00924992" w:rsidRDefault="00924992">
      <w:pPr>
        <w:pStyle w:val="Bodytext20"/>
        <w:framePr w:w="11333" w:h="1541" w:wrap="none" w:hAnchor="page" w:x="654" w:y="5281"/>
        <w:numPr>
          <w:ilvl w:val="0"/>
          <w:numId w:val="139"/>
        </w:numPr>
        <w:tabs>
          <w:tab w:val="left" w:pos="374"/>
        </w:tabs>
        <w:ind w:left="380" w:hanging="380"/>
      </w:pPr>
      <w:bookmarkStart w:id="611" w:name="bookmark2042"/>
      <w:bookmarkEnd w:id="611"/>
      <w:r>
        <w:rPr>
          <w:color w:val="000000"/>
        </w:rPr>
        <w:t>Las tabletas de Fansidar contienen 25 mg de pirimetamina y 500 mg de sulfadoxina. Se ha informado de casos de resistencia a la pirimetamina-sulfadoxina en el sudeste asiático, la cuenca amazónica, países subsaharianos, Bangladesh y Oceanía.</w:t>
      </w:r>
    </w:p>
    <w:p w14:paraId="271BA50F" w14:textId="77777777" w:rsidR="00924992" w:rsidRDefault="00924992">
      <w:pPr>
        <w:pStyle w:val="Bodytext20"/>
        <w:framePr w:w="11333" w:h="1541" w:wrap="none" w:hAnchor="page" w:x="654" w:y="5281"/>
        <w:numPr>
          <w:ilvl w:val="0"/>
          <w:numId w:val="139"/>
        </w:numPr>
        <w:tabs>
          <w:tab w:val="left" w:pos="374"/>
        </w:tabs>
        <w:jc w:val="both"/>
      </w:pPr>
      <w:bookmarkStart w:id="612" w:name="bookmark2043"/>
      <w:bookmarkEnd w:id="612"/>
      <w:r>
        <w:rPr>
          <w:color w:val="000000"/>
        </w:rPr>
        <w:t>Para usar en el embarazo.</w:t>
      </w:r>
    </w:p>
    <w:p w14:paraId="6A97ED4A" w14:textId="77777777" w:rsidR="00924992" w:rsidRDefault="00924992">
      <w:pPr>
        <w:pStyle w:val="Bodytext80"/>
        <w:framePr w:w="192" w:h="4536" w:hRule="exact" w:wrap="none" w:hAnchor="page" w:x="12390" w:y="39"/>
        <w:tabs>
          <w:tab w:val="left" w:pos="2338"/>
        </w:tabs>
        <w:textDirection w:val="tbRl"/>
      </w:pPr>
      <w:r>
        <w:rPr>
          <w:sz w:val="16"/>
          <w:szCs w:val="16"/>
        </w:rPr>
        <w:t>796</w:t>
      </w:r>
      <w:r>
        <w:rPr>
          <w:sz w:val="16"/>
          <w:szCs w:val="16"/>
        </w:rPr>
        <w:tab/>
      </w:r>
      <w:r>
        <w:t>FÁRMACOS ANTIPARASITARIOS</w:t>
      </w:r>
    </w:p>
    <w:p w14:paraId="61771C9A" w14:textId="77777777" w:rsidR="00924992" w:rsidRDefault="00924992">
      <w:pPr>
        <w:spacing w:line="360" w:lineRule="exact"/>
      </w:pPr>
    </w:p>
    <w:p w14:paraId="31912F4A" w14:textId="77777777" w:rsidR="00924992" w:rsidRDefault="00924992">
      <w:pPr>
        <w:spacing w:line="360" w:lineRule="exact"/>
      </w:pPr>
    </w:p>
    <w:p w14:paraId="29D00094" w14:textId="77777777" w:rsidR="00924992" w:rsidRDefault="00924992">
      <w:pPr>
        <w:spacing w:line="360" w:lineRule="exact"/>
      </w:pPr>
    </w:p>
    <w:p w14:paraId="2BB2E750" w14:textId="77777777" w:rsidR="00924992" w:rsidRDefault="00924992">
      <w:pPr>
        <w:spacing w:line="360" w:lineRule="exact"/>
      </w:pPr>
    </w:p>
    <w:p w14:paraId="0960AEB9" w14:textId="77777777" w:rsidR="00924992" w:rsidRDefault="00924992">
      <w:pPr>
        <w:spacing w:line="360" w:lineRule="exact"/>
      </w:pPr>
    </w:p>
    <w:p w14:paraId="5D1BADB2" w14:textId="77777777" w:rsidR="00924992" w:rsidRDefault="00924992">
      <w:pPr>
        <w:spacing w:line="360" w:lineRule="exact"/>
      </w:pPr>
    </w:p>
    <w:p w14:paraId="09E3723D" w14:textId="77777777" w:rsidR="00924992" w:rsidRDefault="00924992">
      <w:pPr>
        <w:spacing w:line="360" w:lineRule="exact"/>
      </w:pPr>
    </w:p>
    <w:p w14:paraId="75A24933" w14:textId="77777777" w:rsidR="00924992" w:rsidRDefault="00924992">
      <w:pPr>
        <w:spacing w:line="360" w:lineRule="exact"/>
      </w:pPr>
    </w:p>
    <w:p w14:paraId="6DDF2ED3" w14:textId="77777777" w:rsidR="00924992" w:rsidRDefault="00924992">
      <w:pPr>
        <w:spacing w:line="360" w:lineRule="exact"/>
      </w:pPr>
    </w:p>
    <w:p w14:paraId="261433E3" w14:textId="77777777" w:rsidR="00924992" w:rsidRDefault="00924992">
      <w:pPr>
        <w:spacing w:line="360" w:lineRule="exact"/>
      </w:pPr>
    </w:p>
    <w:p w14:paraId="70176035" w14:textId="77777777" w:rsidR="00924992" w:rsidRDefault="00924992">
      <w:pPr>
        <w:spacing w:line="360" w:lineRule="exact"/>
      </w:pPr>
    </w:p>
    <w:p w14:paraId="4BD2BBCD" w14:textId="77777777" w:rsidR="00924992" w:rsidRDefault="00924992">
      <w:pPr>
        <w:spacing w:line="360" w:lineRule="exact"/>
      </w:pPr>
    </w:p>
    <w:p w14:paraId="6E7B8CB3" w14:textId="77777777" w:rsidR="00924992" w:rsidRDefault="00924992">
      <w:pPr>
        <w:spacing w:line="360" w:lineRule="exact"/>
      </w:pPr>
    </w:p>
    <w:p w14:paraId="14D19814" w14:textId="77777777" w:rsidR="00924992" w:rsidRDefault="00924992">
      <w:pPr>
        <w:spacing w:line="360" w:lineRule="exact"/>
      </w:pPr>
    </w:p>
    <w:p w14:paraId="47C40438" w14:textId="77777777" w:rsidR="00924992" w:rsidRDefault="00924992">
      <w:pPr>
        <w:spacing w:line="360" w:lineRule="exact"/>
      </w:pPr>
    </w:p>
    <w:p w14:paraId="45E2A0B9" w14:textId="77777777" w:rsidR="00924992" w:rsidRDefault="00924992">
      <w:pPr>
        <w:spacing w:line="360" w:lineRule="exact"/>
      </w:pPr>
    </w:p>
    <w:p w14:paraId="223CC4E2" w14:textId="77777777" w:rsidR="00924992" w:rsidRDefault="00924992">
      <w:pPr>
        <w:spacing w:line="360" w:lineRule="exact"/>
      </w:pPr>
    </w:p>
    <w:p w14:paraId="1059C641" w14:textId="77777777" w:rsidR="00924992" w:rsidRDefault="00924992">
      <w:pPr>
        <w:spacing w:after="700" w:line="1" w:lineRule="exact"/>
      </w:pPr>
    </w:p>
    <w:p w14:paraId="5F176F46" w14:textId="77777777" w:rsidR="00924992" w:rsidRDefault="00924992">
      <w:pPr>
        <w:spacing w:line="1" w:lineRule="exact"/>
        <w:sectPr w:rsidR="00924992" w:rsidSect="00924992">
          <w:headerReference w:type="even" r:id="rId359"/>
          <w:headerReference w:type="default" r:id="rId360"/>
          <w:footerReference w:type="even" r:id="rId361"/>
          <w:footerReference w:type="default" r:id="rId362"/>
          <w:pgSz w:w="13022" w:h="8501" w:orient="landscape"/>
          <w:pgMar w:top="466" w:right="441" w:bottom="995" w:left="638" w:header="38" w:footer="3" w:gutter="0"/>
          <w:cols w:space="720"/>
          <w:noEndnote/>
          <w:docGrid w:linePitch="360"/>
          <w15:footnoteColumns w:val="1"/>
        </w:sectPr>
      </w:pPr>
    </w:p>
    <w:p w14:paraId="2114AB18" w14:textId="77777777" w:rsidR="00924992" w:rsidRDefault="00924992">
      <w:pPr>
        <w:pStyle w:val="Heading31"/>
        <w:keepNext/>
        <w:keepLines/>
        <w:spacing w:after="60"/>
        <w:jc w:val="center"/>
        <w:rPr>
          <w:sz w:val="16"/>
          <w:szCs w:val="16"/>
        </w:rPr>
      </w:pPr>
      <w:bookmarkStart w:id="613" w:name="bookmark2044"/>
      <w:bookmarkStart w:id="614" w:name="bookmark2045"/>
      <w:bookmarkStart w:id="615" w:name="bookmark2046"/>
      <w:r>
        <w:rPr>
          <w:b w:val="0"/>
          <w:bCs w:val="0"/>
          <w:color w:val="000000"/>
        </w:rPr>
        <w:t xml:space="preserve">Cuadro 4-13. </w:t>
      </w:r>
      <w:r>
        <w:rPr>
          <w:color w:val="000000"/>
        </w:rPr>
        <w:t xml:space="preserve">Fármacos antiparasitarios </w:t>
      </w:r>
      <w:r>
        <w:rPr>
          <w:rFonts w:ascii="Times New Roman" w:eastAsia="Times New Roman" w:hAnsi="Times New Roman" w:cs="Times New Roman"/>
          <w:b w:val="0"/>
          <w:bCs w:val="0"/>
          <w:i/>
          <w:iCs/>
          <w:color w:val="000000"/>
          <w:w w:val="100"/>
          <w:sz w:val="16"/>
          <w:szCs w:val="16"/>
        </w:rPr>
        <w:t>continuación</w:t>
      </w:r>
      <w:bookmarkEnd w:id="613"/>
      <w:bookmarkEnd w:id="614"/>
      <w:bookmarkEnd w:id="615"/>
    </w:p>
    <w:tbl>
      <w:tblPr>
        <w:tblOverlap w:val="never"/>
        <w:tblW w:w="0" w:type="auto"/>
        <w:tblLayout w:type="fixed"/>
        <w:tblCellMar>
          <w:left w:w="10" w:type="dxa"/>
          <w:right w:w="10" w:type="dxa"/>
        </w:tblCellMar>
        <w:tblLook w:val="04A0" w:firstRow="1" w:lastRow="0" w:firstColumn="1" w:lastColumn="0" w:noHBand="0" w:noVBand="1"/>
      </w:tblPr>
      <w:tblGrid>
        <w:gridCol w:w="2438"/>
        <w:gridCol w:w="2736"/>
        <w:gridCol w:w="3235"/>
        <w:gridCol w:w="3024"/>
      </w:tblGrid>
      <w:tr w:rsidR="00924992" w14:paraId="06D322DC" w14:textId="77777777">
        <w:tblPrEx>
          <w:tblCellMar>
            <w:top w:w="0" w:type="dxa"/>
            <w:bottom w:w="0" w:type="dxa"/>
          </w:tblCellMar>
        </w:tblPrEx>
        <w:trPr>
          <w:trHeight w:hRule="exact" w:val="278"/>
        </w:trPr>
        <w:tc>
          <w:tcPr>
            <w:tcW w:w="2438" w:type="dxa"/>
            <w:shd w:val="clear" w:color="auto" w:fill="000000"/>
          </w:tcPr>
          <w:p w14:paraId="30F48951" w14:textId="77777777" w:rsidR="00924992" w:rsidRDefault="00924992">
            <w:pPr>
              <w:pStyle w:val="Other0"/>
              <w:framePr w:w="11434" w:h="5760" w:hSpace="514" w:vSpace="821" w:wrap="notBeside" w:vAnchor="text" w:hAnchor="text" w:y="1"/>
              <w:pBdr>
                <w:top w:val="single" w:sz="0" w:space="0" w:color="000000"/>
                <w:left w:val="single" w:sz="0" w:space="0" w:color="000000"/>
                <w:bottom w:val="single" w:sz="0" w:space="0" w:color="000000"/>
                <w:right w:val="single" w:sz="0" w:space="0" w:color="000000"/>
              </w:pBdr>
              <w:shd w:val="clear" w:color="auto" w:fill="000000"/>
              <w:spacing w:line="240" w:lineRule="auto"/>
              <w:ind w:firstLine="0"/>
              <w:rPr>
                <w:sz w:val="24"/>
                <w:szCs w:val="24"/>
              </w:rPr>
            </w:pPr>
            <w:r>
              <w:rPr>
                <w:rFonts w:ascii="Arial" w:eastAsia="Arial" w:hAnsi="Arial" w:cs="Arial"/>
                <w:b/>
                <w:bCs/>
                <w:color w:val="FFFFFF"/>
                <w:w w:val="70"/>
                <w:sz w:val="24"/>
                <w:szCs w:val="24"/>
              </w:rPr>
              <w:t>Infección</w:t>
            </w:r>
          </w:p>
        </w:tc>
        <w:tc>
          <w:tcPr>
            <w:tcW w:w="2736" w:type="dxa"/>
            <w:shd w:val="clear" w:color="auto" w:fill="000000"/>
          </w:tcPr>
          <w:p w14:paraId="3044BAD9" w14:textId="77777777" w:rsidR="00924992" w:rsidRDefault="00924992">
            <w:pPr>
              <w:pStyle w:val="Other0"/>
              <w:framePr w:w="11434" w:h="5760" w:hSpace="514" w:vSpace="821" w:wrap="notBeside" w:vAnchor="text" w:hAnchor="text" w:y="1"/>
              <w:pBdr>
                <w:top w:val="single" w:sz="0" w:space="0" w:color="000000"/>
                <w:left w:val="single" w:sz="0" w:space="0" w:color="000000"/>
                <w:bottom w:val="single" w:sz="0" w:space="0" w:color="000000"/>
                <w:right w:val="single" w:sz="0" w:space="0" w:color="000000"/>
              </w:pBdr>
              <w:shd w:val="clear" w:color="auto" w:fill="000000"/>
              <w:spacing w:line="240" w:lineRule="auto"/>
              <w:ind w:firstLine="440"/>
              <w:rPr>
                <w:sz w:val="24"/>
                <w:szCs w:val="24"/>
              </w:rPr>
            </w:pPr>
            <w:r>
              <w:rPr>
                <w:rFonts w:ascii="Arial" w:eastAsia="Arial" w:hAnsi="Arial" w:cs="Arial"/>
                <w:b/>
                <w:bCs/>
                <w:color w:val="FFFFFF"/>
                <w:w w:val="70"/>
                <w:sz w:val="24"/>
                <w:szCs w:val="24"/>
              </w:rPr>
              <w:t>Fármaco</w:t>
            </w:r>
          </w:p>
        </w:tc>
        <w:tc>
          <w:tcPr>
            <w:tcW w:w="3235" w:type="dxa"/>
            <w:shd w:val="clear" w:color="auto" w:fill="000000"/>
          </w:tcPr>
          <w:p w14:paraId="57C0E92D" w14:textId="77777777" w:rsidR="00924992" w:rsidRDefault="00924992">
            <w:pPr>
              <w:pStyle w:val="Other0"/>
              <w:framePr w:w="11434" w:h="5760" w:hSpace="514" w:vSpace="821" w:wrap="notBeside" w:vAnchor="text" w:hAnchor="text" w:y="1"/>
              <w:pBdr>
                <w:top w:val="single" w:sz="0" w:space="0" w:color="000000"/>
                <w:left w:val="single" w:sz="0" w:space="0" w:color="000000"/>
                <w:bottom w:val="single" w:sz="0" w:space="0" w:color="000000"/>
                <w:right w:val="single" w:sz="0" w:space="0" w:color="000000"/>
              </w:pBdr>
              <w:shd w:val="clear" w:color="auto" w:fill="000000"/>
              <w:spacing w:line="240" w:lineRule="auto"/>
              <w:ind w:firstLine="500"/>
              <w:rPr>
                <w:sz w:val="24"/>
                <w:szCs w:val="24"/>
              </w:rPr>
            </w:pPr>
            <w:r>
              <w:rPr>
                <w:rFonts w:ascii="Arial" w:eastAsia="Arial" w:hAnsi="Arial" w:cs="Arial"/>
                <w:b/>
                <w:bCs/>
                <w:color w:val="FFFFFF"/>
                <w:w w:val="70"/>
                <w:sz w:val="24"/>
                <w:szCs w:val="24"/>
              </w:rPr>
              <w:t>Dosis para adultos</w:t>
            </w:r>
          </w:p>
        </w:tc>
        <w:tc>
          <w:tcPr>
            <w:tcW w:w="3024" w:type="dxa"/>
            <w:shd w:val="clear" w:color="auto" w:fill="000000"/>
          </w:tcPr>
          <w:p w14:paraId="1EBE5517" w14:textId="77777777" w:rsidR="00924992" w:rsidRDefault="00924992">
            <w:pPr>
              <w:pStyle w:val="Other0"/>
              <w:framePr w:w="11434" w:h="5760" w:hSpace="514" w:vSpace="821" w:wrap="notBeside" w:vAnchor="text" w:hAnchor="text" w:y="1"/>
              <w:pBdr>
                <w:top w:val="single" w:sz="0" w:space="0" w:color="000000"/>
                <w:left w:val="single" w:sz="0" w:space="0" w:color="000000"/>
                <w:bottom w:val="single" w:sz="0" w:space="0" w:color="000000"/>
                <w:right w:val="single" w:sz="0" w:space="0" w:color="000000"/>
              </w:pBdr>
              <w:shd w:val="clear" w:color="auto" w:fill="000000"/>
              <w:tabs>
                <w:tab w:val="left" w:pos="2967"/>
              </w:tabs>
              <w:spacing w:line="240" w:lineRule="auto"/>
              <w:ind w:firstLine="140"/>
              <w:rPr>
                <w:sz w:val="24"/>
                <w:szCs w:val="24"/>
              </w:rPr>
            </w:pPr>
            <w:r>
              <w:rPr>
                <w:rFonts w:ascii="Arial" w:eastAsia="Arial" w:hAnsi="Arial" w:cs="Arial"/>
                <w:b/>
                <w:bCs/>
                <w:color w:val="FFFFFF"/>
                <w:w w:val="70"/>
                <w:sz w:val="24"/>
                <w:szCs w:val="24"/>
              </w:rPr>
              <w:t>Dosis para niños</w:t>
            </w:r>
            <w:r>
              <w:rPr>
                <w:rFonts w:ascii="Arial" w:eastAsia="Arial" w:hAnsi="Arial" w:cs="Arial"/>
                <w:b/>
                <w:bCs/>
                <w:color w:val="FFFFFF"/>
                <w:w w:val="70"/>
                <w:sz w:val="24"/>
                <w:szCs w:val="24"/>
              </w:rPr>
              <w:tab/>
              <w:t>I</w:t>
            </w:r>
          </w:p>
        </w:tc>
      </w:tr>
      <w:tr w:rsidR="00924992" w14:paraId="152FDD19" w14:textId="77777777">
        <w:tblPrEx>
          <w:tblCellMar>
            <w:top w:w="0" w:type="dxa"/>
            <w:bottom w:w="0" w:type="dxa"/>
          </w:tblCellMar>
        </w:tblPrEx>
        <w:trPr>
          <w:trHeight w:hRule="exact" w:val="293"/>
        </w:trPr>
        <w:tc>
          <w:tcPr>
            <w:tcW w:w="2438" w:type="dxa"/>
            <w:shd w:val="clear" w:color="auto" w:fill="FFFFFF"/>
            <w:vAlign w:val="bottom"/>
          </w:tcPr>
          <w:p w14:paraId="6CECFAAE" w14:textId="77777777" w:rsidR="00924992" w:rsidRDefault="00924992">
            <w:pPr>
              <w:pStyle w:val="Other0"/>
              <w:framePr w:w="11434" w:h="5760" w:hSpace="514" w:vSpace="821" w:wrap="notBeside" w:vAnchor="text" w:hAnchor="text" w:y="1"/>
              <w:spacing w:line="240" w:lineRule="auto"/>
              <w:ind w:firstLine="160"/>
              <w:rPr>
                <w:sz w:val="16"/>
                <w:szCs w:val="16"/>
              </w:rPr>
            </w:pPr>
            <w:r>
              <w:rPr>
                <w:rFonts w:ascii="Times New Roman" w:eastAsia="Times New Roman" w:hAnsi="Times New Roman" w:cs="Times New Roman"/>
                <w:b/>
                <w:bCs/>
                <w:color w:val="000000"/>
                <w:sz w:val="16"/>
                <w:szCs w:val="16"/>
              </w:rPr>
              <w:t>Áreas con parásitos sensibles a</w:t>
            </w:r>
          </w:p>
        </w:tc>
        <w:tc>
          <w:tcPr>
            <w:tcW w:w="2736" w:type="dxa"/>
            <w:shd w:val="clear" w:color="auto" w:fill="FFFFFF"/>
            <w:vAlign w:val="bottom"/>
          </w:tcPr>
          <w:p w14:paraId="5A59DE38" w14:textId="77777777" w:rsidR="00924992" w:rsidRDefault="00924992">
            <w:pPr>
              <w:pStyle w:val="Other0"/>
              <w:framePr w:w="11434" w:h="5760" w:hSpace="514" w:vSpace="821" w:wrap="notBeside" w:vAnchor="text" w:hAnchor="text" w:y="1"/>
              <w:spacing w:line="240" w:lineRule="auto"/>
              <w:ind w:firstLine="0"/>
              <w:rPr>
                <w:sz w:val="16"/>
                <w:szCs w:val="16"/>
              </w:rPr>
            </w:pPr>
            <w:r>
              <w:rPr>
                <w:rFonts w:ascii="Times New Roman" w:eastAsia="Times New Roman" w:hAnsi="Times New Roman" w:cs="Times New Roman"/>
                <w:b/>
                <w:bCs/>
                <w:color w:val="000000"/>
                <w:sz w:val="16"/>
                <w:szCs w:val="16"/>
              </w:rPr>
              <w:t>la cloroquina</w:t>
            </w:r>
            <w:r>
              <w:rPr>
                <w:rFonts w:ascii="Times New Roman" w:eastAsia="Times New Roman" w:hAnsi="Times New Roman" w:cs="Times New Roman"/>
                <w:b/>
                <w:bCs/>
                <w:color w:val="000000"/>
                <w:sz w:val="16"/>
                <w:szCs w:val="16"/>
                <w:vertAlign w:val="superscript"/>
              </w:rPr>
              <w:t>54</w:t>
            </w:r>
          </w:p>
        </w:tc>
        <w:tc>
          <w:tcPr>
            <w:tcW w:w="3235" w:type="dxa"/>
            <w:shd w:val="clear" w:color="auto" w:fill="FFFFFF"/>
          </w:tcPr>
          <w:p w14:paraId="44AEF1AB" w14:textId="77777777" w:rsidR="00924992" w:rsidRDefault="00924992">
            <w:pPr>
              <w:framePr w:w="11434" w:h="5760" w:hSpace="514" w:vSpace="821" w:wrap="notBeside" w:vAnchor="text" w:hAnchor="text" w:y="1"/>
              <w:rPr>
                <w:sz w:val="10"/>
                <w:szCs w:val="10"/>
              </w:rPr>
            </w:pPr>
          </w:p>
        </w:tc>
        <w:tc>
          <w:tcPr>
            <w:tcW w:w="3024" w:type="dxa"/>
            <w:shd w:val="clear" w:color="auto" w:fill="FFFFFF"/>
          </w:tcPr>
          <w:p w14:paraId="067A1979" w14:textId="77777777" w:rsidR="00924992" w:rsidRDefault="00924992">
            <w:pPr>
              <w:framePr w:w="11434" w:h="5760" w:hSpace="514" w:vSpace="821" w:wrap="notBeside" w:vAnchor="text" w:hAnchor="text" w:y="1"/>
              <w:rPr>
                <w:sz w:val="10"/>
                <w:szCs w:val="10"/>
              </w:rPr>
            </w:pPr>
          </w:p>
        </w:tc>
      </w:tr>
      <w:tr w:rsidR="00924992" w14:paraId="5A38FC6B" w14:textId="77777777">
        <w:tblPrEx>
          <w:tblCellMar>
            <w:top w:w="0" w:type="dxa"/>
            <w:bottom w:w="0" w:type="dxa"/>
          </w:tblCellMar>
        </w:tblPrEx>
        <w:trPr>
          <w:trHeight w:hRule="exact" w:val="221"/>
        </w:trPr>
        <w:tc>
          <w:tcPr>
            <w:tcW w:w="2438" w:type="dxa"/>
            <w:shd w:val="clear" w:color="auto" w:fill="FFFFFF"/>
            <w:vAlign w:val="bottom"/>
          </w:tcPr>
          <w:p w14:paraId="6841CD04" w14:textId="77777777" w:rsidR="00924992" w:rsidRDefault="00924992">
            <w:pPr>
              <w:pStyle w:val="Other0"/>
              <w:framePr w:w="11434" w:h="5760" w:hSpace="514" w:vSpace="821" w:wrap="notBeside" w:vAnchor="text" w:hAnchor="text" w:y="1"/>
              <w:spacing w:line="240" w:lineRule="auto"/>
              <w:ind w:firstLine="160"/>
              <w:rPr>
                <w:sz w:val="16"/>
                <w:szCs w:val="16"/>
              </w:rPr>
            </w:pPr>
            <w:r>
              <w:rPr>
                <w:rFonts w:ascii="Times New Roman" w:eastAsia="Times New Roman" w:hAnsi="Times New Roman" w:cs="Times New Roman"/>
                <w:color w:val="000000"/>
                <w:sz w:val="16"/>
                <w:szCs w:val="16"/>
              </w:rPr>
              <w:t>Fármaco más indicado:</w:t>
            </w:r>
          </w:p>
        </w:tc>
        <w:tc>
          <w:tcPr>
            <w:tcW w:w="2736" w:type="dxa"/>
            <w:shd w:val="clear" w:color="auto" w:fill="FFFFFF"/>
            <w:vAlign w:val="bottom"/>
          </w:tcPr>
          <w:p w14:paraId="3F62F07D" w14:textId="77777777" w:rsidR="00924992" w:rsidRDefault="00924992">
            <w:pPr>
              <w:pStyle w:val="Other0"/>
              <w:framePr w:w="11434" w:h="5760" w:hSpace="514" w:vSpace="821" w:wrap="notBeside" w:vAnchor="text" w:hAnchor="text" w:y="1"/>
              <w:spacing w:line="240" w:lineRule="auto"/>
              <w:ind w:firstLine="440"/>
              <w:rPr>
                <w:sz w:val="16"/>
                <w:szCs w:val="16"/>
              </w:rPr>
            </w:pPr>
            <w:r>
              <w:rPr>
                <w:rFonts w:ascii="Times New Roman" w:eastAsia="Times New Roman" w:hAnsi="Times New Roman" w:cs="Times New Roman"/>
                <w:color w:val="000000"/>
                <w:sz w:val="16"/>
                <w:szCs w:val="16"/>
              </w:rPr>
              <w:t>Fosfato de cloroquina</w:t>
            </w:r>
            <w:r>
              <w:rPr>
                <w:rFonts w:ascii="Times New Roman" w:eastAsia="Times New Roman" w:hAnsi="Times New Roman" w:cs="Times New Roman"/>
                <w:color w:val="000000"/>
                <w:sz w:val="16"/>
                <w:szCs w:val="16"/>
                <w:vertAlign w:val="superscript"/>
              </w:rPr>
              <w:t>74,75</w:t>
            </w:r>
          </w:p>
        </w:tc>
        <w:tc>
          <w:tcPr>
            <w:tcW w:w="3235" w:type="dxa"/>
            <w:shd w:val="clear" w:color="auto" w:fill="FFFFFF"/>
            <w:vAlign w:val="bottom"/>
          </w:tcPr>
          <w:p w14:paraId="51B0C3AD" w14:textId="77777777" w:rsidR="00924992" w:rsidRDefault="00924992">
            <w:pPr>
              <w:pStyle w:val="Other0"/>
              <w:framePr w:w="11434" w:h="5760" w:hSpace="514" w:vSpace="821" w:wrap="notBeside" w:vAnchor="text" w:hAnchor="text" w:y="1"/>
              <w:spacing w:line="240" w:lineRule="auto"/>
              <w:ind w:firstLine="500"/>
              <w:rPr>
                <w:sz w:val="16"/>
                <w:szCs w:val="16"/>
              </w:rPr>
            </w:pPr>
            <w:r>
              <w:rPr>
                <w:rFonts w:ascii="Times New Roman" w:eastAsia="Times New Roman" w:hAnsi="Times New Roman" w:cs="Times New Roman"/>
                <w:color w:val="000000"/>
                <w:sz w:val="16"/>
                <w:szCs w:val="16"/>
              </w:rPr>
              <w:t>500 mg (300 mg de fármaco base),</w:t>
            </w:r>
          </w:p>
        </w:tc>
        <w:tc>
          <w:tcPr>
            <w:tcW w:w="3024" w:type="dxa"/>
            <w:shd w:val="clear" w:color="auto" w:fill="FFFFFF"/>
            <w:vAlign w:val="bottom"/>
          </w:tcPr>
          <w:p w14:paraId="054F9CA4" w14:textId="77777777" w:rsidR="00924992" w:rsidRDefault="00924992">
            <w:pPr>
              <w:pStyle w:val="Other0"/>
              <w:framePr w:w="11434" w:h="5760" w:hSpace="514" w:vSpace="821" w:wrap="notBeside" w:vAnchor="text" w:hAnchor="text" w:y="1"/>
              <w:spacing w:line="240" w:lineRule="auto"/>
              <w:ind w:firstLine="140"/>
              <w:rPr>
                <w:sz w:val="16"/>
                <w:szCs w:val="16"/>
              </w:rPr>
            </w:pPr>
            <w:r>
              <w:rPr>
                <w:rFonts w:ascii="Times New Roman" w:eastAsia="Times New Roman" w:hAnsi="Times New Roman" w:cs="Times New Roman"/>
                <w:color w:val="000000"/>
                <w:sz w:val="16"/>
                <w:szCs w:val="16"/>
              </w:rPr>
              <w:t>5 mg/kg de fármaco base una</w:t>
            </w:r>
          </w:p>
        </w:tc>
      </w:tr>
      <w:tr w:rsidR="00924992" w14:paraId="5205EC45" w14:textId="77777777">
        <w:tblPrEx>
          <w:tblCellMar>
            <w:top w:w="0" w:type="dxa"/>
            <w:bottom w:w="0" w:type="dxa"/>
          </w:tblCellMar>
        </w:tblPrEx>
        <w:trPr>
          <w:trHeight w:hRule="exact" w:val="432"/>
        </w:trPr>
        <w:tc>
          <w:tcPr>
            <w:tcW w:w="2438" w:type="dxa"/>
            <w:shd w:val="clear" w:color="auto" w:fill="FFFFFF"/>
          </w:tcPr>
          <w:p w14:paraId="57388197" w14:textId="77777777" w:rsidR="00924992" w:rsidRDefault="00924992">
            <w:pPr>
              <w:framePr w:w="11434" w:h="5760" w:hSpace="514" w:vSpace="821" w:wrap="notBeside" w:vAnchor="text" w:hAnchor="text" w:y="1"/>
              <w:rPr>
                <w:sz w:val="10"/>
                <w:szCs w:val="10"/>
              </w:rPr>
            </w:pPr>
          </w:p>
        </w:tc>
        <w:tc>
          <w:tcPr>
            <w:tcW w:w="2736" w:type="dxa"/>
            <w:shd w:val="clear" w:color="auto" w:fill="FFFFFF"/>
          </w:tcPr>
          <w:p w14:paraId="2DD06D33" w14:textId="77777777" w:rsidR="00924992" w:rsidRDefault="00924992">
            <w:pPr>
              <w:framePr w:w="11434" w:h="5760" w:hSpace="514" w:vSpace="821" w:wrap="notBeside" w:vAnchor="text" w:hAnchor="text" w:y="1"/>
              <w:rPr>
                <w:sz w:val="10"/>
                <w:szCs w:val="10"/>
              </w:rPr>
            </w:pPr>
          </w:p>
        </w:tc>
        <w:tc>
          <w:tcPr>
            <w:tcW w:w="3235" w:type="dxa"/>
            <w:shd w:val="clear" w:color="auto" w:fill="FFFFFF"/>
          </w:tcPr>
          <w:p w14:paraId="2FFA1438" w14:textId="77777777" w:rsidR="00924992" w:rsidRDefault="00924992">
            <w:pPr>
              <w:pStyle w:val="Other0"/>
              <w:framePr w:w="11434" w:h="5760" w:hSpace="514" w:vSpace="821" w:wrap="notBeside" w:vAnchor="text" w:hAnchor="text" w:y="1"/>
              <w:spacing w:line="240" w:lineRule="auto"/>
              <w:ind w:firstLine="600"/>
              <w:rPr>
                <w:sz w:val="16"/>
                <w:szCs w:val="16"/>
              </w:rPr>
            </w:pPr>
            <w:r>
              <w:rPr>
                <w:rFonts w:ascii="Times New Roman" w:eastAsia="Times New Roman" w:hAnsi="Times New Roman" w:cs="Times New Roman"/>
                <w:color w:val="000000"/>
                <w:sz w:val="16"/>
                <w:szCs w:val="16"/>
              </w:rPr>
              <w:t>una vez/semana</w:t>
            </w:r>
            <w:r>
              <w:rPr>
                <w:rFonts w:ascii="Times New Roman" w:eastAsia="Times New Roman" w:hAnsi="Times New Roman" w:cs="Times New Roman"/>
                <w:color w:val="000000"/>
                <w:sz w:val="16"/>
                <w:szCs w:val="16"/>
                <w:vertAlign w:val="superscript"/>
              </w:rPr>
              <w:t>76</w:t>
            </w:r>
          </w:p>
        </w:tc>
        <w:tc>
          <w:tcPr>
            <w:tcW w:w="3024" w:type="dxa"/>
            <w:shd w:val="clear" w:color="auto" w:fill="FFFFFF"/>
            <w:vAlign w:val="bottom"/>
          </w:tcPr>
          <w:p w14:paraId="27E68841" w14:textId="77777777" w:rsidR="00924992" w:rsidRDefault="00924992">
            <w:pPr>
              <w:pStyle w:val="Other0"/>
              <w:framePr w:w="11434" w:h="5760" w:hSpace="514" w:vSpace="821" w:wrap="notBeside" w:vAnchor="text" w:hAnchor="text" w:y="1"/>
              <w:spacing w:line="288" w:lineRule="auto"/>
              <w:ind w:left="240" w:firstLine="0"/>
              <w:rPr>
                <w:sz w:val="16"/>
                <w:szCs w:val="16"/>
              </w:rPr>
            </w:pPr>
            <w:r>
              <w:rPr>
                <w:rFonts w:ascii="Times New Roman" w:eastAsia="Times New Roman" w:hAnsi="Times New Roman" w:cs="Times New Roman"/>
                <w:color w:val="000000"/>
                <w:sz w:val="16"/>
                <w:szCs w:val="16"/>
              </w:rPr>
              <w:t>vez/semana, hasta alcanzar la dosis de adultos de 300 mg de fármaco base</w:t>
            </w:r>
            <w:r>
              <w:rPr>
                <w:rFonts w:ascii="Times New Roman" w:eastAsia="Times New Roman" w:hAnsi="Times New Roman" w:cs="Times New Roman"/>
                <w:color w:val="000000"/>
                <w:sz w:val="16"/>
                <w:szCs w:val="16"/>
                <w:vertAlign w:val="superscript"/>
              </w:rPr>
              <w:t>76</w:t>
            </w:r>
          </w:p>
        </w:tc>
      </w:tr>
      <w:tr w:rsidR="00924992" w14:paraId="53E8769C" w14:textId="77777777">
        <w:tblPrEx>
          <w:tblCellMar>
            <w:top w:w="0" w:type="dxa"/>
            <w:bottom w:w="0" w:type="dxa"/>
          </w:tblCellMar>
        </w:tblPrEx>
        <w:trPr>
          <w:trHeight w:hRule="exact" w:val="1565"/>
        </w:trPr>
        <w:tc>
          <w:tcPr>
            <w:tcW w:w="2438" w:type="dxa"/>
            <w:shd w:val="clear" w:color="auto" w:fill="FFFFFF"/>
          </w:tcPr>
          <w:p w14:paraId="4845F7EB" w14:textId="77777777" w:rsidR="00924992" w:rsidRDefault="00924992">
            <w:pPr>
              <w:pStyle w:val="Other0"/>
              <w:framePr w:w="11434" w:h="5760" w:hSpace="514" w:vSpace="821" w:wrap="notBeside" w:vAnchor="text" w:hAnchor="text" w:y="1"/>
              <w:spacing w:line="295" w:lineRule="auto"/>
              <w:ind w:left="160" w:firstLine="0"/>
              <w:rPr>
                <w:sz w:val="16"/>
                <w:szCs w:val="16"/>
              </w:rPr>
            </w:pPr>
            <w:r>
              <w:rPr>
                <w:rFonts w:ascii="Times New Roman" w:eastAsia="Times New Roman" w:hAnsi="Times New Roman" w:cs="Times New Roman"/>
                <w:b/>
                <w:bCs/>
                <w:color w:val="000000"/>
                <w:sz w:val="16"/>
                <w:szCs w:val="16"/>
              </w:rPr>
              <w:t>Áreas con parásitos resistentes a la cloroquina</w:t>
            </w:r>
            <w:r>
              <w:rPr>
                <w:rFonts w:ascii="Times New Roman" w:eastAsia="Times New Roman" w:hAnsi="Times New Roman" w:cs="Times New Roman"/>
                <w:b/>
                <w:bCs/>
                <w:color w:val="000000"/>
                <w:sz w:val="16"/>
                <w:szCs w:val="16"/>
                <w:vertAlign w:val="superscript"/>
              </w:rPr>
              <w:t>54</w:t>
            </w:r>
          </w:p>
          <w:p w14:paraId="3F44DEF1" w14:textId="77777777" w:rsidR="00924992" w:rsidRDefault="00924992">
            <w:pPr>
              <w:pStyle w:val="Other0"/>
              <w:framePr w:w="11434" w:h="5760" w:hSpace="514" w:vSpace="821" w:wrap="notBeside" w:vAnchor="text" w:hAnchor="text" w:y="1"/>
              <w:spacing w:line="295" w:lineRule="auto"/>
              <w:ind w:firstLine="160"/>
              <w:rPr>
                <w:sz w:val="16"/>
                <w:szCs w:val="16"/>
              </w:rPr>
            </w:pPr>
            <w:r>
              <w:rPr>
                <w:rFonts w:ascii="Times New Roman" w:eastAsia="Times New Roman" w:hAnsi="Times New Roman" w:cs="Times New Roman"/>
                <w:color w:val="000000"/>
                <w:sz w:val="16"/>
                <w:szCs w:val="16"/>
              </w:rPr>
              <w:t>Fármaco más indicado:</w:t>
            </w:r>
          </w:p>
        </w:tc>
        <w:tc>
          <w:tcPr>
            <w:tcW w:w="2736" w:type="dxa"/>
            <w:shd w:val="clear" w:color="auto" w:fill="FFFFFF"/>
            <w:vAlign w:val="center"/>
          </w:tcPr>
          <w:p w14:paraId="5029A4F5" w14:textId="77777777" w:rsidR="00924992" w:rsidRDefault="00924992">
            <w:pPr>
              <w:pStyle w:val="Other0"/>
              <w:framePr w:w="11434" w:h="5760" w:hSpace="514" w:vSpace="821" w:wrap="notBeside" w:vAnchor="text" w:hAnchor="text" w:y="1"/>
              <w:spacing w:line="240" w:lineRule="auto"/>
              <w:ind w:firstLine="440"/>
              <w:rPr>
                <w:sz w:val="16"/>
                <w:szCs w:val="16"/>
              </w:rPr>
            </w:pPr>
            <w:r>
              <w:rPr>
                <w:rFonts w:ascii="Times New Roman" w:eastAsia="Times New Roman" w:hAnsi="Times New Roman" w:cs="Times New Roman"/>
                <w:color w:val="000000"/>
                <w:sz w:val="16"/>
                <w:szCs w:val="16"/>
              </w:rPr>
              <w:t>Mefloquina</w:t>
            </w:r>
            <w:r>
              <w:rPr>
                <w:rFonts w:ascii="Times New Roman" w:eastAsia="Times New Roman" w:hAnsi="Times New Roman" w:cs="Times New Roman"/>
                <w:color w:val="000000"/>
                <w:sz w:val="16"/>
                <w:szCs w:val="16"/>
                <w:vertAlign w:val="superscript"/>
              </w:rPr>
              <w:t>61</w:t>
            </w:r>
            <w:r>
              <w:rPr>
                <w:rFonts w:ascii="Times New Roman" w:eastAsia="Times New Roman" w:hAnsi="Times New Roman" w:cs="Times New Roman"/>
                <w:color w:val="000000"/>
                <w:sz w:val="10"/>
                <w:szCs w:val="10"/>
              </w:rPr>
              <w:t>'</w:t>
            </w:r>
            <w:r>
              <w:rPr>
                <w:rFonts w:ascii="Times New Roman" w:eastAsia="Times New Roman" w:hAnsi="Times New Roman" w:cs="Times New Roman"/>
                <w:color w:val="000000"/>
                <w:sz w:val="16"/>
                <w:szCs w:val="16"/>
                <w:vertAlign w:val="superscript"/>
              </w:rPr>
              <w:t>75,77</w:t>
            </w:r>
          </w:p>
        </w:tc>
        <w:tc>
          <w:tcPr>
            <w:tcW w:w="3235" w:type="dxa"/>
            <w:shd w:val="clear" w:color="auto" w:fill="FFFFFF"/>
            <w:vAlign w:val="center"/>
          </w:tcPr>
          <w:p w14:paraId="68AA29F0" w14:textId="77777777" w:rsidR="00924992" w:rsidRDefault="00924992">
            <w:pPr>
              <w:pStyle w:val="Other0"/>
              <w:framePr w:w="11434" w:h="5760" w:hSpace="514" w:vSpace="821" w:wrap="notBeside" w:vAnchor="text" w:hAnchor="text" w:y="1"/>
              <w:spacing w:line="240" w:lineRule="auto"/>
              <w:ind w:firstLine="500"/>
              <w:rPr>
                <w:sz w:val="16"/>
                <w:szCs w:val="16"/>
              </w:rPr>
            </w:pPr>
            <w:r>
              <w:rPr>
                <w:rFonts w:ascii="Times New Roman" w:eastAsia="Times New Roman" w:hAnsi="Times New Roman" w:cs="Times New Roman"/>
                <w:color w:val="000000"/>
                <w:sz w:val="16"/>
                <w:szCs w:val="16"/>
              </w:rPr>
              <w:t>250 mg una vez/semana</w:t>
            </w:r>
            <w:r>
              <w:rPr>
                <w:rFonts w:ascii="Times New Roman" w:eastAsia="Times New Roman" w:hAnsi="Times New Roman" w:cs="Times New Roman"/>
                <w:color w:val="000000"/>
                <w:sz w:val="16"/>
                <w:szCs w:val="16"/>
                <w:vertAlign w:val="superscript"/>
              </w:rPr>
              <w:t>76</w:t>
            </w:r>
          </w:p>
        </w:tc>
        <w:tc>
          <w:tcPr>
            <w:tcW w:w="3024" w:type="dxa"/>
            <w:shd w:val="clear" w:color="auto" w:fill="FFFFFF"/>
            <w:vAlign w:val="bottom"/>
          </w:tcPr>
          <w:p w14:paraId="6317BB58" w14:textId="77777777" w:rsidR="00924992" w:rsidRDefault="00924992">
            <w:pPr>
              <w:pStyle w:val="Other0"/>
              <w:framePr w:w="11434" w:h="5760" w:hSpace="514" w:vSpace="821" w:wrap="notBeside" w:vAnchor="text" w:hAnchor="text" w:y="1"/>
              <w:spacing w:line="295" w:lineRule="auto"/>
              <w:ind w:firstLine="140"/>
              <w:rPr>
                <w:sz w:val="16"/>
                <w:szCs w:val="16"/>
              </w:rPr>
            </w:pPr>
            <w:r>
              <w:rPr>
                <w:rFonts w:ascii="Times New Roman" w:eastAsia="Times New Roman" w:hAnsi="Times New Roman" w:cs="Times New Roman"/>
                <w:color w:val="000000"/>
                <w:sz w:val="16"/>
                <w:szCs w:val="16"/>
              </w:rPr>
              <w:t>&lt;15 kg: 5 mg/kg</w:t>
            </w:r>
            <w:r>
              <w:rPr>
                <w:rFonts w:ascii="Times New Roman" w:eastAsia="Times New Roman" w:hAnsi="Times New Roman" w:cs="Times New Roman"/>
                <w:color w:val="000000"/>
                <w:sz w:val="16"/>
                <w:szCs w:val="16"/>
                <w:vertAlign w:val="superscript"/>
              </w:rPr>
              <w:t>76</w:t>
            </w:r>
          </w:p>
          <w:p w14:paraId="207B1309" w14:textId="77777777" w:rsidR="00924992" w:rsidRDefault="00924992">
            <w:pPr>
              <w:pStyle w:val="Other0"/>
              <w:framePr w:w="11434" w:h="5760" w:hSpace="514" w:vSpace="821" w:wrap="notBeside" w:vAnchor="text" w:hAnchor="text" w:y="1"/>
              <w:tabs>
                <w:tab w:val="left" w:pos="1014"/>
              </w:tabs>
              <w:spacing w:line="295" w:lineRule="auto"/>
              <w:ind w:firstLine="140"/>
              <w:rPr>
                <w:sz w:val="16"/>
                <w:szCs w:val="16"/>
              </w:rPr>
            </w:pPr>
            <w:r>
              <w:rPr>
                <w:rFonts w:ascii="Times New Roman" w:eastAsia="Times New Roman" w:hAnsi="Times New Roman" w:cs="Times New Roman"/>
                <w:color w:val="000000"/>
                <w:sz w:val="16"/>
                <w:szCs w:val="16"/>
              </w:rPr>
              <w:t>15-19 kg:</w:t>
            </w:r>
            <w:r>
              <w:rPr>
                <w:rFonts w:ascii="Times New Roman" w:eastAsia="Times New Roman" w:hAnsi="Times New Roman" w:cs="Times New Roman"/>
                <w:color w:val="000000"/>
                <w:sz w:val="16"/>
                <w:szCs w:val="16"/>
              </w:rPr>
              <w:tab/>
              <w:t>de tableta</w:t>
            </w:r>
            <w:r>
              <w:rPr>
                <w:rFonts w:ascii="Times New Roman" w:eastAsia="Times New Roman" w:hAnsi="Times New Roman" w:cs="Times New Roman"/>
                <w:color w:val="000000"/>
                <w:sz w:val="16"/>
                <w:szCs w:val="16"/>
                <w:vertAlign w:val="superscript"/>
              </w:rPr>
              <w:t>76</w:t>
            </w:r>
          </w:p>
          <w:p w14:paraId="2C96019C" w14:textId="77777777" w:rsidR="00924992" w:rsidRDefault="00924992">
            <w:pPr>
              <w:pStyle w:val="Other0"/>
              <w:framePr w:w="11434" w:h="5760" w:hSpace="514" w:vSpace="821" w:wrap="notBeside" w:vAnchor="text" w:hAnchor="text" w:y="1"/>
              <w:tabs>
                <w:tab w:val="left" w:pos="1023"/>
              </w:tabs>
              <w:spacing w:line="295" w:lineRule="auto"/>
              <w:ind w:firstLine="140"/>
              <w:rPr>
                <w:sz w:val="16"/>
                <w:szCs w:val="16"/>
              </w:rPr>
            </w:pPr>
            <w:r>
              <w:rPr>
                <w:rFonts w:ascii="Times New Roman" w:eastAsia="Times New Roman" w:hAnsi="Times New Roman" w:cs="Times New Roman"/>
                <w:color w:val="000000"/>
                <w:sz w:val="16"/>
                <w:szCs w:val="16"/>
              </w:rPr>
              <w:t>20-30 kg:</w:t>
            </w:r>
            <w:r>
              <w:rPr>
                <w:rFonts w:ascii="Times New Roman" w:eastAsia="Times New Roman" w:hAnsi="Times New Roman" w:cs="Times New Roman"/>
                <w:color w:val="000000"/>
                <w:sz w:val="16"/>
                <w:szCs w:val="16"/>
              </w:rPr>
              <w:tab/>
              <w:t>tableta</w:t>
            </w:r>
            <w:r>
              <w:rPr>
                <w:rFonts w:ascii="Times New Roman" w:eastAsia="Times New Roman" w:hAnsi="Times New Roman" w:cs="Times New Roman"/>
                <w:color w:val="000000"/>
                <w:sz w:val="16"/>
                <w:szCs w:val="16"/>
                <w:vertAlign w:val="superscript"/>
              </w:rPr>
              <w:t>76</w:t>
            </w:r>
          </w:p>
          <w:p w14:paraId="11C88023" w14:textId="77777777" w:rsidR="00924992" w:rsidRDefault="00924992">
            <w:pPr>
              <w:pStyle w:val="Other0"/>
              <w:framePr w:w="11434" w:h="5760" w:hSpace="514" w:vSpace="821" w:wrap="notBeside" w:vAnchor="text" w:hAnchor="text" w:y="1"/>
              <w:spacing w:line="295" w:lineRule="auto"/>
              <w:ind w:left="140" w:firstLine="0"/>
              <w:rPr>
                <w:sz w:val="16"/>
                <w:szCs w:val="16"/>
              </w:rPr>
            </w:pPr>
            <w:r>
              <w:rPr>
                <w:rFonts w:ascii="Times New Roman" w:eastAsia="Times New Roman" w:hAnsi="Times New Roman" w:cs="Times New Roman"/>
                <w:color w:val="000000"/>
                <w:sz w:val="16"/>
                <w:szCs w:val="16"/>
              </w:rPr>
              <w:t xml:space="preserve">31-45 kg: </w:t>
            </w:r>
            <w:r>
              <w:rPr>
                <w:rFonts w:ascii="Arial" w:eastAsia="Arial" w:hAnsi="Arial" w:cs="Arial"/>
                <w:i/>
                <w:iCs/>
                <w:color w:val="000000"/>
                <w:sz w:val="20"/>
                <w:szCs w:val="20"/>
                <w:vertAlign w:val="superscript"/>
              </w:rPr>
              <w:t>3</w:t>
            </w:r>
            <w:r>
              <w:rPr>
                <w:rFonts w:ascii="Arial" w:eastAsia="Arial" w:hAnsi="Arial" w:cs="Arial"/>
                <w:i/>
                <w:iCs/>
                <w:color w:val="000000"/>
                <w:sz w:val="20"/>
                <w:szCs w:val="20"/>
              </w:rPr>
              <w:t>A</w:t>
            </w:r>
            <w:r>
              <w:rPr>
                <w:rFonts w:ascii="Times New Roman" w:eastAsia="Times New Roman" w:hAnsi="Times New Roman" w:cs="Times New Roman"/>
                <w:color w:val="000000"/>
                <w:sz w:val="16"/>
                <w:szCs w:val="16"/>
              </w:rPr>
              <w:t xml:space="preserve"> de tableta</w:t>
            </w:r>
            <w:r>
              <w:rPr>
                <w:rFonts w:ascii="Times New Roman" w:eastAsia="Times New Roman" w:hAnsi="Times New Roman" w:cs="Times New Roman"/>
                <w:color w:val="000000"/>
                <w:sz w:val="16"/>
                <w:szCs w:val="16"/>
                <w:vertAlign w:val="superscript"/>
              </w:rPr>
              <w:t xml:space="preserve">76 </w:t>
            </w:r>
            <w:r>
              <w:rPr>
                <w:rFonts w:ascii="Times New Roman" w:eastAsia="Times New Roman" w:hAnsi="Times New Roman" w:cs="Times New Roman"/>
                <w:color w:val="000000"/>
                <w:sz w:val="16"/>
                <w:szCs w:val="16"/>
              </w:rPr>
              <w:t>&gt;45 kg: 1 tableta</w:t>
            </w:r>
            <w:r>
              <w:rPr>
                <w:rFonts w:ascii="Times New Roman" w:eastAsia="Times New Roman" w:hAnsi="Times New Roman" w:cs="Times New Roman"/>
                <w:color w:val="000000"/>
                <w:sz w:val="16"/>
                <w:szCs w:val="16"/>
                <w:vertAlign w:val="superscript"/>
              </w:rPr>
              <w:t>76</w:t>
            </w:r>
          </w:p>
        </w:tc>
      </w:tr>
      <w:tr w:rsidR="00924992" w14:paraId="7D4913D8" w14:textId="77777777">
        <w:tblPrEx>
          <w:tblCellMar>
            <w:top w:w="0" w:type="dxa"/>
            <w:bottom w:w="0" w:type="dxa"/>
          </w:tblCellMar>
        </w:tblPrEx>
        <w:trPr>
          <w:trHeight w:hRule="exact" w:val="221"/>
        </w:trPr>
        <w:tc>
          <w:tcPr>
            <w:tcW w:w="2438" w:type="dxa"/>
            <w:shd w:val="clear" w:color="auto" w:fill="FFFFFF"/>
            <w:vAlign w:val="bottom"/>
          </w:tcPr>
          <w:p w14:paraId="181B2BD8" w14:textId="77777777" w:rsidR="00924992" w:rsidRDefault="00924992">
            <w:pPr>
              <w:pStyle w:val="Other0"/>
              <w:framePr w:w="11434" w:h="5760" w:hSpace="514" w:vSpace="821" w:wrap="notBeside" w:vAnchor="text" w:hAnchor="text" w:y="1"/>
              <w:spacing w:line="240" w:lineRule="auto"/>
              <w:ind w:firstLine="160"/>
              <w:rPr>
                <w:sz w:val="16"/>
                <w:szCs w:val="16"/>
              </w:rPr>
            </w:pPr>
            <w:r>
              <w:rPr>
                <w:rFonts w:ascii="Times New Roman" w:eastAsia="Times New Roman" w:hAnsi="Times New Roman" w:cs="Times New Roman"/>
                <w:b/>
                <w:bCs/>
                <w:color w:val="000000"/>
                <w:sz w:val="16"/>
                <w:szCs w:val="16"/>
              </w:rPr>
              <w:t>O</w:t>
            </w:r>
          </w:p>
        </w:tc>
        <w:tc>
          <w:tcPr>
            <w:tcW w:w="2736" w:type="dxa"/>
            <w:shd w:val="clear" w:color="auto" w:fill="FFFFFF"/>
            <w:vAlign w:val="bottom"/>
          </w:tcPr>
          <w:p w14:paraId="656DC9E5" w14:textId="77777777" w:rsidR="00924992" w:rsidRDefault="00924992">
            <w:pPr>
              <w:pStyle w:val="Other0"/>
              <w:framePr w:w="11434" w:h="5760" w:hSpace="514" w:vSpace="821" w:wrap="notBeside" w:vAnchor="text" w:hAnchor="text" w:y="1"/>
              <w:spacing w:line="240" w:lineRule="auto"/>
              <w:ind w:firstLine="440"/>
              <w:rPr>
                <w:sz w:val="16"/>
                <w:szCs w:val="16"/>
              </w:rPr>
            </w:pPr>
            <w:r>
              <w:rPr>
                <w:rFonts w:ascii="Times New Roman" w:eastAsia="Times New Roman" w:hAnsi="Times New Roman" w:cs="Times New Roman"/>
                <w:color w:val="000000"/>
                <w:sz w:val="16"/>
                <w:szCs w:val="16"/>
              </w:rPr>
              <w:t>Doxiciclina</w:t>
            </w:r>
            <w:r>
              <w:rPr>
                <w:rFonts w:ascii="Times New Roman" w:eastAsia="Times New Roman" w:hAnsi="Times New Roman" w:cs="Times New Roman"/>
                <w:color w:val="000000"/>
                <w:sz w:val="16"/>
                <w:szCs w:val="16"/>
                <w:vertAlign w:val="superscript"/>
              </w:rPr>
              <w:t>3,75</w:t>
            </w:r>
          </w:p>
        </w:tc>
        <w:tc>
          <w:tcPr>
            <w:tcW w:w="3235" w:type="dxa"/>
            <w:shd w:val="clear" w:color="auto" w:fill="FFFFFF"/>
            <w:vAlign w:val="bottom"/>
          </w:tcPr>
          <w:p w14:paraId="3FE73A85" w14:textId="77777777" w:rsidR="00924992" w:rsidRDefault="00924992">
            <w:pPr>
              <w:pStyle w:val="Other0"/>
              <w:framePr w:w="11434" w:h="5760" w:hSpace="514" w:vSpace="821" w:wrap="notBeside" w:vAnchor="text" w:hAnchor="text" w:y="1"/>
              <w:spacing w:line="240" w:lineRule="auto"/>
              <w:ind w:firstLine="500"/>
              <w:rPr>
                <w:sz w:val="16"/>
                <w:szCs w:val="16"/>
              </w:rPr>
            </w:pPr>
            <w:r>
              <w:rPr>
                <w:rFonts w:ascii="Times New Roman" w:eastAsia="Times New Roman" w:hAnsi="Times New Roman" w:cs="Times New Roman"/>
                <w:color w:val="000000"/>
                <w:sz w:val="16"/>
                <w:szCs w:val="16"/>
              </w:rPr>
              <w:t>100 mg diariamente</w:t>
            </w:r>
            <w:r>
              <w:rPr>
                <w:rFonts w:ascii="Times New Roman" w:eastAsia="Times New Roman" w:hAnsi="Times New Roman" w:cs="Times New Roman"/>
                <w:color w:val="000000"/>
                <w:sz w:val="16"/>
                <w:szCs w:val="16"/>
                <w:vertAlign w:val="superscript"/>
              </w:rPr>
              <w:t>78</w:t>
            </w:r>
          </w:p>
        </w:tc>
        <w:tc>
          <w:tcPr>
            <w:tcW w:w="3024" w:type="dxa"/>
            <w:shd w:val="clear" w:color="auto" w:fill="FFFFFF"/>
            <w:vAlign w:val="bottom"/>
          </w:tcPr>
          <w:p w14:paraId="24BCE279" w14:textId="77777777" w:rsidR="00924992" w:rsidRDefault="00924992">
            <w:pPr>
              <w:pStyle w:val="Other0"/>
              <w:framePr w:w="11434" w:h="5760" w:hSpace="514" w:vSpace="821" w:wrap="notBeside" w:vAnchor="text" w:hAnchor="text" w:y="1"/>
              <w:spacing w:line="240" w:lineRule="auto"/>
              <w:ind w:left="140" w:firstLine="0"/>
              <w:rPr>
                <w:sz w:val="16"/>
                <w:szCs w:val="16"/>
              </w:rPr>
            </w:pPr>
            <w:r>
              <w:rPr>
                <w:rFonts w:ascii="Times New Roman" w:eastAsia="Times New Roman" w:hAnsi="Times New Roman" w:cs="Times New Roman"/>
                <w:color w:val="000000"/>
                <w:sz w:val="16"/>
                <w:szCs w:val="16"/>
              </w:rPr>
              <w:t>2 mg/kg/día hasta 100 mg/día</w:t>
            </w:r>
            <w:r>
              <w:rPr>
                <w:rFonts w:ascii="Times New Roman" w:eastAsia="Times New Roman" w:hAnsi="Times New Roman" w:cs="Times New Roman"/>
                <w:color w:val="000000"/>
                <w:sz w:val="16"/>
                <w:szCs w:val="16"/>
                <w:vertAlign w:val="superscript"/>
              </w:rPr>
              <w:t>78</w:t>
            </w:r>
          </w:p>
        </w:tc>
      </w:tr>
      <w:tr w:rsidR="00924992" w14:paraId="36929130" w14:textId="77777777">
        <w:tblPrEx>
          <w:tblCellMar>
            <w:top w:w="0" w:type="dxa"/>
            <w:bottom w:w="0" w:type="dxa"/>
          </w:tblCellMar>
        </w:tblPrEx>
        <w:trPr>
          <w:trHeight w:hRule="exact" w:val="240"/>
        </w:trPr>
        <w:tc>
          <w:tcPr>
            <w:tcW w:w="2438" w:type="dxa"/>
            <w:shd w:val="clear" w:color="auto" w:fill="FFFFFF"/>
            <w:vAlign w:val="bottom"/>
          </w:tcPr>
          <w:p w14:paraId="778B4824" w14:textId="77777777" w:rsidR="00924992" w:rsidRDefault="00924992">
            <w:pPr>
              <w:pStyle w:val="Other0"/>
              <w:framePr w:w="11434" w:h="5760" w:hSpace="514" w:vSpace="821" w:wrap="notBeside" w:vAnchor="text" w:hAnchor="text" w:y="1"/>
              <w:spacing w:line="240" w:lineRule="auto"/>
              <w:ind w:firstLine="160"/>
              <w:rPr>
                <w:sz w:val="16"/>
                <w:szCs w:val="16"/>
              </w:rPr>
            </w:pPr>
            <w:r>
              <w:rPr>
                <w:rFonts w:ascii="Times New Roman" w:eastAsia="Times New Roman" w:hAnsi="Times New Roman" w:cs="Times New Roman"/>
                <w:b/>
                <w:bCs/>
                <w:color w:val="000000"/>
                <w:sz w:val="16"/>
                <w:szCs w:val="16"/>
              </w:rPr>
              <w:t>O</w:t>
            </w:r>
          </w:p>
        </w:tc>
        <w:tc>
          <w:tcPr>
            <w:tcW w:w="2736" w:type="dxa"/>
            <w:shd w:val="clear" w:color="auto" w:fill="FFFFFF"/>
            <w:vAlign w:val="bottom"/>
          </w:tcPr>
          <w:p w14:paraId="355B84E4" w14:textId="77777777" w:rsidR="00924992" w:rsidRDefault="00924992">
            <w:pPr>
              <w:pStyle w:val="Other0"/>
              <w:framePr w:w="11434" w:h="5760" w:hSpace="514" w:vSpace="821" w:wrap="notBeside" w:vAnchor="text" w:hAnchor="text" w:y="1"/>
              <w:spacing w:line="240" w:lineRule="auto"/>
              <w:ind w:firstLine="440"/>
              <w:rPr>
                <w:sz w:val="16"/>
                <w:szCs w:val="16"/>
              </w:rPr>
            </w:pPr>
            <w:r>
              <w:rPr>
                <w:rFonts w:ascii="Times New Roman" w:eastAsia="Times New Roman" w:hAnsi="Times New Roman" w:cs="Times New Roman"/>
                <w:color w:val="000000"/>
                <w:sz w:val="16"/>
                <w:szCs w:val="16"/>
              </w:rPr>
              <w:t>Atovacuona/proguanil</w:t>
            </w:r>
            <w:r>
              <w:rPr>
                <w:rFonts w:ascii="Times New Roman" w:eastAsia="Times New Roman" w:hAnsi="Times New Roman" w:cs="Times New Roman"/>
                <w:color w:val="000000"/>
                <w:sz w:val="16"/>
                <w:szCs w:val="16"/>
                <w:vertAlign w:val="superscript"/>
              </w:rPr>
              <w:t>58,75</w:t>
            </w:r>
          </w:p>
        </w:tc>
        <w:tc>
          <w:tcPr>
            <w:tcW w:w="3235" w:type="dxa"/>
            <w:shd w:val="clear" w:color="auto" w:fill="FFFFFF"/>
            <w:vAlign w:val="bottom"/>
          </w:tcPr>
          <w:p w14:paraId="1305E364" w14:textId="77777777" w:rsidR="00924992" w:rsidRDefault="00924992">
            <w:pPr>
              <w:pStyle w:val="Other0"/>
              <w:framePr w:w="11434" w:h="5760" w:hSpace="514" w:vSpace="821" w:wrap="notBeside" w:vAnchor="text" w:hAnchor="text" w:y="1"/>
              <w:spacing w:line="240" w:lineRule="auto"/>
              <w:ind w:firstLine="500"/>
              <w:rPr>
                <w:sz w:val="16"/>
                <w:szCs w:val="16"/>
              </w:rPr>
            </w:pPr>
            <w:r>
              <w:rPr>
                <w:rFonts w:ascii="Times New Roman" w:eastAsia="Times New Roman" w:hAnsi="Times New Roman" w:cs="Times New Roman"/>
                <w:color w:val="000000"/>
                <w:sz w:val="16"/>
                <w:szCs w:val="16"/>
              </w:rPr>
              <w:t>250 mg/100 mg (1 tableta para adulto)</w:t>
            </w:r>
          </w:p>
        </w:tc>
        <w:tc>
          <w:tcPr>
            <w:tcW w:w="3024" w:type="dxa"/>
            <w:shd w:val="clear" w:color="auto" w:fill="FFFFFF"/>
            <w:vAlign w:val="bottom"/>
          </w:tcPr>
          <w:p w14:paraId="63F12E85" w14:textId="77777777" w:rsidR="00924992" w:rsidRDefault="00924992">
            <w:pPr>
              <w:pStyle w:val="Other0"/>
              <w:framePr w:w="11434" w:h="5760" w:hSpace="514" w:vSpace="821" w:wrap="notBeside" w:vAnchor="text" w:hAnchor="text" w:y="1"/>
              <w:spacing w:line="240" w:lineRule="auto"/>
              <w:ind w:left="140" w:firstLine="0"/>
              <w:rPr>
                <w:sz w:val="16"/>
                <w:szCs w:val="16"/>
              </w:rPr>
            </w:pPr>
            <w:r>
              <w:rPr>
                <w:rFonts w:ascii="Times New Roman" w:eastAsia="Times New Roman" w:hAnsi="Times New Roman" w:cs="Times New Roman"/>
                <w:color w:val="000000"/>
                <w:sz w:val="16"/>
                <w:szCs w:val="16"/>
              </w:rPr>
              <w:t>11-20 kg: 62.5 mg/25 mg</w:t>
            </w:r>
            <w:r>
              <w:rPr>
                <w:rFonts w:ascii="Times New Roman" w:eastAsia="Times New Roman" w:hAnsi="Times New Roman" w:cs="Times New Roman"/>
                <w:color w:val="000000"/>
                <w:sz w:val="16"/>
                <w:szCs w:val="16"/>
                <w:vertAlign w:val="superscript"/>
              </w:rPr>
              <w:t>58,79</w:t>
            </w:r>
          </w:p>
        </w:tc>
      </w:tr>
      <w:tr w:rsidR="00924992" w14:paraId="10036142" w14:textId="77777777">
        <w:tblPrEx>
          <w:tblCellMar>
            <w:top w:w="0" w:type="dxa"/>
            <w:bottom w:w="0" w:type="dxa"/>
          </w:tblCellMar>
        </w:tblPrEx>
        <w:trPr>
          <w:trHeight w:hRule="exact" w:val="672"/>
        </w:trPr>
        <w:tc>
          <w:tcPr>
            <w:tcW w:w="2438" w:type="dxa"/>
            <w:shd w:val="clear" w:color="auto" w:fill="FFFFFF"/>
          </w:tcPr>
          <w:p w14:paraId="2FD8B55B" w14:textId="77777777" w:rsidR="00924992" w:rsidRDefault="00924992">
            <w:pPr>
              <w:framePr w:w="11434" w:h="5760" w:hSpace="514" w:vSpace="821" w:wrap="notBeside" w:vAnchor="text" w:hAnchor="text" w:y="1"/>
              <w:rPr>
                <w:sz w:val="10"/>
                <w:szCs w:val="10"/>
              </w:rPr>
            </w:pPr>
          </w:p>
        </w:tc>
        <w:tc>
          <w:tcPr>
            <w:tcW w:w="2736" w:type="dxa"/>
            <w:shd w:val="clear" w:color="auto" w:fill="FFFFFF"/>
          </w:tcPr>
          <w:p w14:paraId="27B23283" w14:textId="77777777" w:rsidR="00924992" w:rsidRDefault="00924992">
            <w:pPr>
              <w:framePr w:w="11434" w:h="5760" w:hSpace="514" w:vSpace="821" w:wrap="notBeside" w:vAnchor="text" w:hAnchor="text" w:y="1"/>
              <w:rPr>
                <w:sz w:val="10"/>
                <w:szCs w:val="10"/>
              </w:rPr>
            </w:pPr>
          </w:p>
        </w:tc>
        <w:tc>
          <w:tcPr>
            <w:tcW w:w="3235" w:type="dxa"/>
            <w:shd w:val="clear" w:color="auto" w:fill="FFFFFF"/>
          </w:tcPr>
          <w:p w14:paraId="7A4885E1" w14:textId="77777777" w:rsidR="00924992" w:rsidRDefault="00924992">
            <w:pPr>
              <w:pStyle w:val="Other0"/>
              <w:framePr w:w="11434" w:h="5760" w:hSpace="514" w:vSpace="821" w:wrap="notBeside" w:vAnchor="text" w:hAnchor="text" w:y="1"/>
              <w:spacing w:line="240" w:lineRule="auto"/>
              <w:ind w:firstLine="600"/>
              <w:rPr>
                <w:sz w:val="16"/>
                <w:szCs w:val="16"/>
              </w:rPr>
            </w:pPr>
            <w:r>
              <w:rPr>
                <w:rFonts w:ascii="Times New Roman" w:eastAsia="Times New Roman" w:hAnsi="Times New Roman" w:cs="Times New Roman"/>
                <w:color w:val="000000"/>
                <w:sz w:val="16"/>
                <w:szCs w:val="16"/>
              </w:rPr>
              <w:t>diariamente</w:t>
            </w:r>
            <w:r>
              <w:rPr>
                <w:rFonts w:ascii="Times New Roman" w:eastAsia="Times New Roman" w:hAnsi="Times New Roman" w:cs="Times New Roman"/>
                <w:color w:val="000000"/>
                <w:sz w:val="16"/>
                <w:szCs w:val="16"/>
                <w:vertAlign w:val="superscript"/>
              </w:rPr>
              <w:t>79</w:t>
            </w:r>
          </w:p>
        </w:tc>
        <w:tc>
          <w:tcPr>
            <w:tcW w:w="3024" w:type="dxa"/>
            <w:shd w:val="clear" w:color="auto" w:fill="FFFFFF"/>
            <w:vAlign w:val="bottom"/>
          </w:tcPr>
          <w:p w14:paraId="4B451514" w14:textId="77777777" w:rsidR="00924992" w:rsidRDefault="00924992">
            <w:pPr>
              <w:pStyle w:val="Other0"/>
              <w:framePr w:w="11434" w:h="5760" w:hSpace="514" w:vSpace="821" w:wrap="notBeside" w:vAnchor="text" w:hAnchor="text" w:y="1"/>
              <w:spacing w:line="288" w:lineRule="auto"/>
              <w:ind w:left="140" w:firstLine="0"/>
              <w:rPr>
                <w:sz w:val="16"/>
                <w:szCs w:val="16"/>
              </w:rPr>
            </w:pPr>
            <w:r>
              <w:rPr>
                <w:rFonts w:ascii="Times New Roman" w:eastAsia="Times New Roman" w:hAnsi="Times New Roman" w:cs="Times New Roman"/>
                <w:color w:val="000000"/>
                <w:sz w:val="16"/>
                <w:szCs w:val="16"/>
              </w:rPr>
              <w:t>21-30 kg: 125 mg/50 mg</w:t>
            </w:r>
            <w:r>
              <w:rPr>
                <w:rFonts w:ascii="Times New Roman" w:eastAsia="Times New Roman" w:hAnsi="Times New Roman" w:cs="Times New Roman"/>
                <w:color w:val="000000"/>
                <w:sz w:val="16"/>
                <w:szCs w:val="16"/>
                <w:vertAlign w:val="superscript"/>
              </w:rPr>
              <w:t>5879</w:t>
            </w:r>
          </w:p>
          <w:p w14:paraId="34468259" w14:textId="77777777" w:rsidR="00924992" w:rsidRDefault="00924992">
            <w:pPr>
              <w:pStyle w:val="Other0"/>
              <w:framePr w:w="11434" w:h="5760" w:hSpace="514" w:vSpace="821" w:wrap="notBeside" w:vAnchor="text" w:hAnchor="text" w:y="1"/>
              <w:spacing w:line="288" w:lineRule="auto"/>
              <w:ind w:left="140" w:firstLine="0"/>
              <w:rPr>
                <w:sz w:val="16"/>
                <w:szCs w:val="16"/>
              </w:rPr>
            </w:pPr>
            <w:r>
              <w:rPr>
                <w:rFonts w:ascii="Times New Roman" w:eastAsia="Times New Roman" w:hAnsi="Times New Roman" w:cs="Times New Roman"/>
                <w:color w:val="000000"/>
                <w:sz w:val="16"/>
                <w:szCs w:val="16"/>
              </w:rPr>
              <w:t>31-40 kg: 187.5 mg/75 mg</w:t>
            </w:r>
            <w:r>
              <w:rPr>
                <w:rFonts w:ascii="Times New Roman" w:eastAsia="Times New Roman" w:hAnsi="Times New Roman" w:cs="Times New Roman"/>
                <w:color w:val="000000"/>
                <w:sz w:val="16"/>
                <w:szCs w:val="16"/>
                <w:vertAlign w:val="superscript"/>
              </w:rPr>
              <w:t>58</w:t>
            </w:r>
            <w:r>
              <w:rPr>
                <w:rFonts w:ascii="Times New Roman" w:eastAsia="Times New Roman" w:hAnsi="Times New Roman" w:cs="Times New Roman"/>
                <w:color w:val="000000"/>
                <w:sz w:val="10"/>
                <w:szCs w:val="10"/>
              </w:rPr>
              <w:t>,</w:t>
            </w:r>
            <w:r>
              <w:rPr>
                <w:rFonts w:ascii="Times New Roman" w:eastAsia="Times New Roman" w:hAnsi="Times New Roman" w:cs="Times New Roman"/>
                <w:color w:val="000000"/>
                <w:sz w:val="16"/>
                <w:szCs w:val="16"/>
                <w:vertAlign w:val="superscript"/>
              </w:rPr>
              <w:t xml:space="preserve">79 </w:t>
            </w:r>
            <w:r>
              <w:rPr>
                <w:rFonts w:ascii="Times New Roman" w:eastAsia="Times New Roman" w:hAnsi="Times New Roman" w:cs="Times New Roman"/>
                <w:color w:val="000000"/>
                <w:sz w:val="16"/>
                <w:szCs w:val="16"/>
              </w:rPr>
              <w:t>&gt;40 kg: 250 mg/100 mg</w:t>
            </w:r>
            <w:r>
              <w:rPr>
                <w:rFonts w:ascii="Times New Roman" w:eastAsia="Times New Roman" w:hAnsi="Times New Roman" w:cs="Times New Roman"/>
                <w:color w:val="000000"/>
                <w:sz w:val="16"/>
                <w:szCs w:val="16"/>
                <w:vertAlign w:val="superscript"/>
              </w:rPr>
              <w:t>5879</w:t>
            </w:r>
          </w:p>
        </w:tc>
      </w:tr>
      <w:tr w:rsidR="00924992" w14:paraId="3D6949A8" w14:textId="77777777">
        <w:tblPrEx>
          <w:tblCellMar>
            <w:top w:w="0" w:type="dxa"/>
            <w:bottom w:w="0" w:type="dxa"/>
          </w:tblCellMar>
        </w:tblPrEx>
        <w:trPr>
          <w:trHeight w:hRule="exact" w:val="206"/>
        </w:trPr>
        <w:tc>
          <w:tcPr>
            <w:tcW w:w="2438" w:type="dxa"/>
            <w:shd w:val="clear" w:color="auto" w:fill="FFFFFF"/>
            <w:vAlign w:val="bottom"/>
          </w:tcPr>
          <w:p w14:paraId="6CB6DB0B" w14:textId="77777777" w:rsidR="00924992" w:rsidRDefault="00924992">
            <w:pPr>
              <w:pStyle w:val="Other0"/>
              <w:framePr w:w="11434" w:h="5760" w:hSpace="514" w:vSpace="821" w:wrap="notBeside" w:vAnchor="text" w:hAnchor="text" w:y="1"/>
              <w:spacing w:line="240" w:lineRule="auto"/>
              <w:ind w:firstLine="160"/>
              <w:rPr>
                <w:sz w:val="16"/>
                <w:szCs w:val="16"/>
              </w:rPr>
            </w:pPr>
            <w:r>
              <w:rPr>
                <w:rFonts w:ascii="Times New Roman" w:eastAsia="Times New Roman" w:hAnsi="Times New Roman" w:cs="Times New Roman"/>
                <w:color w:val="000000"/>
                <w:sz w:val="16"/>
                <w:szCs w:val="16"/>
              </w:rPr>
              <w:t>Fármaco alternativo:</w:t>
            </w:r>
          </w:p>
        </w:tc>
        <w:tc>
          <w:tcPr>
            <w:tcW w:w="2736" w:type="dxa"/>
            <w:shd w:val="clear" w:color="auto" w:fill="FFFFFF"/>
            <w:vAlign w:val="bottom"/>
          </w:tcPr>
          <w:p w14:paraId="3DFE2C6F" w14:textId="77777777" w:rsidR="00924992" w:rsidRDefault="00924992">
            <w:pPr>
              <w:pStyle w:val="Other0"/>
              <w:framePr w:w="11434" w:h="5760" w:hSpace="514" w:vSpace="821" w:wrap="notBeside" w:vAnchor="text" w:hAnchor="text" w:y="1"/>
              <w:spacing w:line="240" w:lineRule="auto"/>
              <w:ind w:firstLine="440"/>
              <w:rPr>
                <w:sz w:val="16"/>
                <w:szCs w:val="16"/>
              </w:rPr>
            </w:pPr>
            <w:r>
              <w:rPr>
                <w:rFonts w:ascii="Times New Roman" w:eastAsia="Times New Roman" w:hAnsi="Times New Roman" w:cs="Times New Roman"/>
                <w:color w:val="000000"/>
                <w:sz w:val="16"/>
                <w:szCs w:val="16"/>
              </w:rPr>
              <w:t>Prinaquina</w:t>
            </w:r>
            <w:r>
              <w:rPr>
                <w:rFonts w:ascii="Times New Roman" w:eastAsia="Times New Roman" w:hAnsi="Times New Roman" w:cs="Times New Roman"/>
                <w:color w:val="000000"/>
                <w:sz w:val="16"/>
                <w:szCs w:val="16"/>
                <w:vertAlign w:val="superscript"/>
              </w:rPr>
              <w:t>3,67,80</w:t>
            </w:r>
          </w:p>
        </w:tc>
        <w:tc>
          <w:tcPr>
            <w:tcW w:w="3235" w:type="dxa"/>
            <w:shd w:val="clear" w:color="auto" w:fill="FFFFFF"/>
            <w:vAlign w:val="bottom"/>
          </w:tcPr>
          <w:p w14:paraId="5AFB667B" w14:textId="77777777" w:rsidR="00924992" w:rsidRDefault="00924992">
            <w:pPr>
              <w:pStyle w:val="Other0"/>
              <w:framePr w:w="11434" w:h="5760" w:hSpace="514" w:vSpace="821" w:wrap="notBeside" w:vAnchor="text" w:hAnchor="text" w:y="1"/>
              <w:spacing w:line="240" w:lineRule="auto"/>
              <w:ind w:firstLine="500"/>
              <w:rPr>
                <w:sz w:val="16"/>
                <w:szCs w:val="16"/>
              </w:rPr>
            </w:pPr>
            <w:r>
              <w:rPr>
                <w:rFonts w:ascii="Times New Roman" w:eastAsia="Times New Roman" w:hAnsi="Times New Roman" w:cs="Times New Roman"/>
                <w:color w:val="000000"/>
                <w:sz w:val="16"/>
                <w:szCs w:val="16"/>
              </w:rPr>
              <w:t>30 mg base diario</w:t>
            </w:r>
          </w:p>
        </w:tc>
        <w:tc>
          <w:tcPr>
            <w:tcW w:w="3024" w:type="dxa"/>
            <w:shd w:val="clear" w:color="auto" w:fill="FFFFFF"/>
            <w:vAlign w:val="bottom"/>
          </w:tcPr>
          <w:p w14:paraId="79975373" w14:textId="77777777" w:rsidR="00924992" w:rsidRDefault="00924992">
            <w:pPr>
              <w:pStyle w:val="Other0"/>
              <w:framePr w:w="11434" w:h="5760" w:hSpace="514" w:vSpace="821" w:wrap="notBeside" w:vAnchor="text" w:hAnchor="text" w:y="1"/>
              <w:spacing w:line="240" w:lineRule="auto"/>
              <w:ind w:left="140" w:firstLine="0"/>
              <w:rPr>
                <w:sz w:val="16"/>
                <w:szCs w:val="16"/>
              </w:rPr>
            </w:pPr>
            <w:r>
              <w:rPr>
                <w:rFonts w:ascii="Times New Roman" w:eastAsia="Times New Roman" w:hAnsi="Times New Roman" w:cs="Times New Roman"/>
                <w:color w:val="000000"/>
                <w:sz w:val="16"/>
                <w:szCs w:val="16"/>
              </w:rPr>
              <w:t>0.5 mg/kg base diario</w:t>
            </w:r>
          </w:p>
        </w:tc>
      </w:tr>
      <w:tr w:rsidR="00924992" w14:paraId="0DD38360" w14:textId="77777777">
        <w:tblPrEx>
          <w:tblCellMar>
            <w:top w:w="0" w:type="dxa"/>
            <w:bottom w:w="0" w:type="dxa"/>
          </w:tblCellMar>
        </w:tblPrEx>
        <w:trPr>
          <w:trHeight w:hRule="exact" w:val="226"/>
        </w:trPr>
        <w:tc>
          <w:tcPr>
            <w:tcW w:w="2438" w:type="dxa"/>
            <w:shd w:val="clear" w:color="auto" w:fill="FFFFFF"/>
          </w:tcPr>
          <w:p w14:paraId="0B3B74A5" w14:textId="77777777" w:rsidR="00924992" w:rsidRDefault="00924992">
            <w:pPr>
              <w:framePr w:w="11434" w:h="5760" w:hSpace="514" w:vSpace="821" w:wrap="notBeside" w:vAnchor="text" w:hAnchor="text" w:y="1"/>
              <w:rPr>
                <w:sz w:val="10"/>
                <w:szCs w:val="10"/>
              </w:rPr>
            </w:pPr>
          </w:p>
        </w:tc>
        <w:tc>
          <w:tcPr>
            <w:tcW w:w="2736" w:type="dxa"/>
            <w:shd w:val="clear" w:color="auto" w:fill="FFFFFF"/>
            <w:vAlign w:val="bottom"/>
          </w:tcPr>
          <w:p w14:paraId="02F6A3C7" w14:textId="77777777" w:rsidR="00924992" w:rsidRDefault="00924992">
            <w:pPr>
              <w:pStyle w:val="Other0"/>
              <w:framePr w:w="11434" w:h="5760" w:hSpace="514" w:vSpace="821" w:wrap="notBeside" w:vAnchor="text" w:hAnchor="text" w:y="1"/>
              <w:spacing w:line="240" w:lineRule="auto"/>
              <w:ind w:firstLine="440"/>
              <w:rPr>
                <w:sz w:val="16"/>
                <w:szCs w:val="16"/>
              </w:rPr>
            </w:pPr>
            <w:r>
              <w:rPr>
                <w:rFonts w:ascii="Times New Roman" w:eastAsia="Times New Roman" w:hAnsi="Times New Roman" w:cs="Times New Roman"/>
                <w:color w:val="000000"/>
                <w:sz w:val="16"/>
                <w:szCs w:val="16"/>
              </w:rPr>
              <w:t>Fosfato de cloroquina</w:t>
            </w:r>
          </w:p>
        </w:tc>
        <w:tc>
          <w:tcPr>
            <w:tcW w:w="3235" w:type="dxa"/>
            <w:shd w:val="clear" w:color="auto" w:fill="FFFFFF"/>
            <w:vAlign w:val="bottom"/>
          </w:tcPr>
          <w:p w14:paraId="4AF5C7DC" w14:textId="77777777" w:rsidR="00924992" w:rsidRDefault="00924992">
            <w:pPr>
              <w:pStyle w:val="Other0"/>
              <w:framePr w:w="11434" w:h="5760" w:hSpace="514" w:vSpace="821" w:wrap="notBeside" w:vAnchor="text" w:hAnchor="text" w:y="1"/>
              <w:spacing w:line="240" w:lineRule="auto"/>
              <w:ind w:firstLine="500"/>
              <w:rPr>
                <w:sz w:val="16"/>
                <w:szCs w:val="16"/>
              </w:rPr>
            </w:pPr>
            <w:r>
              <w:rPr>
                <w:rFonts w:ascii="Times New Roman" w:eastAsia="Times New Roman" w:hAnsi="Times New Roman" w:cs="Times New Roman"/>
                <w:color w:val="000000"/>
                <w:sz w:val="16"/>
                <w:szCs w:val="16"/>
              </w:rPr>
              <w:t>500 mg (300 mg del fármaco base)</w:t>
            </w:r>
          </w:p>
        </w:tc>
        <w:tc>
          <w:tcPr>
            <w:tcW w:w="3024" w:type="dxa"/>
            <w:shd w:val="clear" w:color="auto" w:fill="FFFFFF"/>
            <w:vAlign w:val="bottom"/>
          </w:tcPr>
          <w:p w14:paraId="52011019" w14:textId="77777777" w:rsidR="00924992" w:rsidRDefault="00924992">
            <w:pPr>
              <w:pStyle w:val="Other0"/>
              <w:framePr w:w="11434" w:h="5760" w:hSpace="514" w:vSpace="821" w:wrap="notBeside" w:vAnchor="text" w:hAnchor="text" w:y="1"/>
              <w:spacing w:line="240" w:lineRule="auto"/>
              <w:ind w:left="140" w:firstLine="0"/>
              <w:rPr>
                <w:sz w:val="16"/>
                <w:szCs w:val="16"/>
              </w:rPr>
            </w:pPr>
            <w:r>
              <w:rPr>
                <w:rFonts w:ascii="Times New Roman" w:eastAsia="Times New Roman" w:hAnsi="Times New Roman" w:cs="Times New Roman"/>
                <w:color w:val="000000"/>
                <w:sz w:val="16"/>
                <w:szCs w:val="16"/>
              </w:rPr>
              <w:t>5 mg/kg de fármaco base una vez/</w:t>
            </w:r>
          </w:p>
        </w:tc>
      </w:tr>
      <w:tr w:rsidR="00924992" w14:paraId="7C8BA976" w14:textId="77777777">
        <w:tblPrEx>
          <w:tblCellMar>
            <w:top w:w="0" w:type="dxa"/>
            <w:bottom w:w="0" w:type="dxa"/>
          </w:tblCellMar>
        </w:tblPrEx>
        <w:trPr>
          <w:trHeight w:hRule="exact" w:val="226"/>
        </w:trPr>
        <w:tc>
          <w:tcPr>
            <w:tcW w:w="2438" w:type="dxa"/>
            <w:shd w:val="clear" w:color="auto" w:fill="FFFFFF"/>
          </w:tcPr>
          <w:p w14:paraId="0663A9C2" w14:textId="77777777" w:rsidR="00924992" w:rsidRDefault="00924992">
            <w:pPr>
              <w:framePr w:w="11434" w:h="5760" w:hSpace="514" w:vSpace="821" w:wrap="notBeside" w:vAnchor="text" w:hAnchor="text" w:y="1"/>
              <w:rPr>
                <w:sz w:val="10"/>
                <w:szCs w:val="10"/>
              </w:rPr>
            </w:pPr>
          </w:p>
        </w:tc>
        <w:tc>
          <w:tcPr>
            <w:tcW w:w="2736" w:type="dxa"/>
            <w:shd w:val="clear" w:color="auto" w:fill="FFFFFF"/>
          </w:tcPr>
          <w:p w14:paraId="38742D93" w14:textId="77777777" w:rsidR="00924992" w:rsidRDefault="00924992">
            <w:pPr>
              <w:pStyle w:val="Other0"/>
              <w:framePr w:w="11434" w:h="5760" w:hSpace="514" w:vSpace="821" w:wrap="notBeside" w:vAnchor="text" w:hAnchor="text" w:y="1"/>
              <w:spacing w:line="240" w:lineRule="auto"/>
              <w:ind w:firstLine="440"/>
              <w:rPr>
                <w:sz w:val="16"/>
                <w:szCs w:val="16"/>
              </w:rPr>
            </w:pPr>
            <w:r>
              <w:rPr>
                <w:rFonts w:ascii="Times New Roman" w:eastAsia="Times New Roman" w:hAnsi="Times New Roman" w:cs="Times New Roman"/>
                <w:color w:val="000000"/>
                <w:sz w:val="16"/>
                <w:szCs w:val="16"/>
              </w:rPr>
              <w:t>y además proguanil</w:t>
            </w:r>
            <w:r>
              <w:rPr>
                <w:rFonts w:ascii="Times New Roman" w:eastAsia="Times New Roman" w:hAnsi="Times New Roman" w:cs="Times New Roman"/>
                <w:color w:val="000000"/>
                <w:sz w:val="16"/>
                <w:szCs w:val="16"/>
                <w:vertAlign w:val="superscript"/>
              </w:rPr>
              <w:t>81</w:t>
            </w:r>
          </w:p>
        </w:tc>
        <w:tc>
          <w:tcPr>
            <w:tcW w:w="3235" w:type="dxa"/>
            <w:shd w:val="clear" w:color="auto" w:fill="FFFFFF"/>
          </w:tcPr>
          <w:p w14:paraId="5C053FC9" w14:textId="77777777" w:rsidR="00924992" w:rsidRDefault="00924992">
            <w:pPr>
              <w:pStyle w:val="Other0"/>
              <w:framePr w:w="11434" w:h="5760" w:hSpace="514" w:vSpace="821" w:wrap="notBeside" w:vAnchor="text" w:hAnchor="text" w:y="1"/>
              <w:spacing w:line="240" w:lineRule="auto"/>
              <w:ind w:firstLine="500"/>
              <w:rPr>
                <w:sz w:val="16"/>
                <w:szCs w:val="16"/>
              </w:rPr>
            </w:pPr>
            <w:r>
              <w:rPr>
                <w:rFonts w:ascii="Times New Roman" w:eastAsia="Times New Roman" w:hAnsi="Times New Roman" w:cs="Times New Roman"/>
                <w:color w:val="000000"/>
                <w:sz w:val="16"/>
                <w:szCs w:val="16"/>
              </w:rPr>
              <w:t>200 mg una vez/día</w:t>
            </w:r>
          </w:p>
        </w:tc>
        <w:tc>
          <w:tcPr>
            <w:tcW w:w="3024" w:type="dxa"/>
            <w:shd w:val="clear" w:color="auto" w:fill="FFFFFF"/>
          </w:tcPr>
          <w:p w14:paraId="506CE4A0" w14:textId="77777777" w:rsidR="00924992" w:rsidRDefault="00924992">
            <w:pPr>
              <w:pStyle w:val="Other0"/>
              <w:framePr w:w="11434" w:h="5760" w:hSpace="514" w:vSpace="821" w:wrap="notBeside" w:vAnchor="text" w:hAnchor="text" w:y="1"/>
              <w:spacing w:line="240" w:lineRule="auto"/>
              <w:ind w:firstLine="240"/>
              <w:rPr>
                <w:sz w:val="16"/>
                <w:szCs w:val="16"/>
              </w:rPr>
            </w:pPr>
            <w:r>
              <w:rPr>
                <w:rFonts w:ascii="Times New Roman" w:eastAsia="Times New Roman" w:hAnsi="Times New Roman" w:cs="Times New Roman"/>
                <w:color w:val="000000"/>
                <w:sz w:val="16"/>
                <w:szCs w:val="16"/>
              </w:rPr>
              <w:t>una vez/semana</w:t>
            </w:r>
            <w:r>
              <w:rPr>
                <w:rFonts w:ascii="Times New Roman" w:eastAsia="Times New Roman" w:hAnsi="Times New Roman" w:cs="Times New Roman"/>
                <w:color w:val="000000"/>
                <w:sz w:val="16"/>
                <w:szCs w:val="16"/>
                <w:vertAlign w:val="superscript"/>
              </w:rPr>
              <w:t>76</w:t>
            </w:r>
          </w:p>
        </w:tc>
      </w:tr>
      <w:tr w:rsidR="00924992" w14:paraId="53966A23" w14:textId="77777777">
        <w:tblPrEx>
          <w:tblCellMar>
            <w:top w:w="0" w:type="dxa"/>
            <w:bottom w:w="0" w:type="dxa"/>
          </w:tblCellMar>
        </w:tblPrEx>
        <w:trPr>
          <w:trHeight w:hRule="exact" w:val="1181"/>
        </w:trPr>
        <w:tc>
          <w:tcPr>
            <w:tcW w:w="2438" w:type="dxa"/>
            <w:tcBorders>
              <w:bottom w:val="single" w:sz="4" w:space="0" w:color="auto"/>
            </w:tcBorders>
            <w:shd w:val="clear" w:color="auto" w:fill="FFFFFF"/>
          </w:tcPr>
          <w:p w14:paraId="14F0FDD2" w14:textId="77777777" w:rsidR="00924992" w:rsidRDefault="00924992">
            <w:pPr>
              <w:framePr w:w="11434" w:h="5760" w:hSpace="514" w:vSpace="821" w:wrap="notBeside" w:vAnchor="text" w:hAnchor="text" w:y="1"/>
              <w:rPr>
                <w:sz w:val="10"/>
                <w:szCs w:val="10"/>
              </w:rPr>
            </w:pPr>
          </w:p>
        </w:tc>
        <w:tc>
          <w:tcPr>
            <w:tcW w:w="2736" w:type="dxa"/>
            <w:tcBorders>
              <w:bottom w:val="single" w:sz="4" w:space="0" w:color="auto"/>
            </w:tcBorders>
            <w:shd w:val="clear" w:color="auto" w:fill="FFFFFF"/>
          </w:tcPr>
          <w:p w14:paraId="7C460EC4" w14:textId="77777777" w:rsidR="00924992" w:rsidRDefault="00924992">
            <w:pPr>
              <w:framePr w:w="11434" w:h="5760" w:hSpace="514" w:vSpace="821" w:wrap="notBeside" w:vAnchor="text" w:hAnchor="text" w:y="1"/>
              <w:rPr>
                <w:sz w:val="10"/>
                <w:szCs w:val="10"/>
              </w:rPr>
            </w:pPr>
          </w:p>
        </w:tc>
        <w:tc>
          <w:tcPr>
            <w:tcW w:w="3235" w:type="dxa"/>
            <w:tcBorders>
              <w:bottom w:val="single" w:sz="4" w:space="0" w:color="auto"/>
            </w:tcBorders>
            <w:shd w:val="clear" w:color="auto" w:fill="FFFFFF"/>
          </w:tcPr>
          <w:p w14:paraId="26B17F39" w14:textId="77777777" w:rsidR="00924992" w:rsidRDefault="00924992">
            <w:pPr>
              <w:framePr w:w="11434" w:h="5760" w:hSpace="514" w:vSpace="821" w:wrap="notBeside" w:vAnchor="text" w:hAnchor="text" w:y="1"/>
              <w:rPr>
                <w:sz w:val="10"/>
                <w:szCs w:val="10"/>
              </w:rPr>
            </w:pPr>
          </w:p>
        </w:tc>
        <w:tc>
          <w:tcPr>
            <w:tcW w:w="3024" w:type="dxa"/>
            <w:tcBorders>
              <w:bottom w:val="single" w:sz="4" w:space="0" w:color="auto"/>
            </w:tcBorders>
            <w:shd w:val="clear" w:color="auto" w:fill="FFFFFF"/>
          </w:tcPr>
          <w:p w14:paraId="026A77AA" w14:textId="77777777" w:rsidR="00924992" w:rsidRDefault="00924992">
            <w:pPr>
              <w:pStyle w:val="Other0"/>
              <w:framePr w:w="11434" w:h="5760" w:hSpace="514" w:vSpace="821" w:wrap="notBeside" w:vAnchor="text" w:hAnchor="text" w:y="1"/>
              <w:spacing w:line="283" w:lineRule="auto"/>
              <w:ind w:left="140" w:firstLine="100"/>
              <w:rPr>
                <w:sz w:val="16"/>
                <w:szCs w:val="16"/>
              </w:rPr>
            </w:pPr>
            <w:r>
              <w:rPr>
                <w:rFonts w:ascii="Times New Roman" w:eastAsia="Times New Roman" w:hAnsi="Times New Roman" w:cs="Times New Roman"/>
                <w:color w:val="000000"/>
                <w:sz w:val="16"/>
                <w:szCs w:val="16"/>
              </w:rPr>
              <w:t>adulto de 300 mg del fármaco base</w:t>
            </w:r>
            <w:r>
              <w:rPr>
                <w:rFonts w:ascii="Times New Roman" w:eastAsia="Times New Roman" w:hAnsi="Times New Roman" w:cs="Times New Roman"/>
                <w:color w:val="000000"/>
                <w:sz w:val="16"/>
                <w:szCs w:val="16"/>
                <w:vertAlign w:val="superscript"/>
              </w:rPr>
              <w:t xml:space="preserve">76 </w:t>
            </w:r>
            <w:r>
              <w:rPr>
                <w:rFonts w:ascii="Times New Roman" w:eastAsia="Times New Roman" w:hAnsi="Times New Roman" w:cs="Times New Roman"/>
                <w:color w:val="000000"/>
                <w:sz w:val="16"/>
                <w:szCs w:val="16"/>
              </w:rPr>
              <w:t>&lt;2 años: 50 mg una vez/día</w:t>
            </w:r>
          </w:p>
          <w:p w14:paraId="497D72F3" w14:textId="77777777" w:rsidR="00924992" w:rsidRDefault="00924992">
            <w:pPr>
              <w:pStyle w:val="Other0"/>
              <w:framePr w:w="11434" w:h="5760" w:hSpace="514" w:vSpace="821" w:wrap="notBeside" w:vAnchor="text" w:hAnchor="text" w:y="1"/>
              <w:spacing w:line="283" w:lineRule="auto"/>
              <w:ind w:firstLine="140"/>
              <w:rPr>
                <w:sz w:val="16"/>
                <w:szCs w:val="16"/>
              </w:rPr>
            </w:pPr>
            <w:r>
              <w:rPr>
                <w:rFonts w:ascii="Times New Roman" w:eastAsia="Times New Roman" w:hAnsi="Times New Roman" w:cs="Times New Roman"/>
                <w:color w:val="000000"/>
                <w:sz w:val="16"/>
                <w:szCs w:val="16"/>
              </w:rPr>
              <w:t>2-6 años: 100 mg una vez/día</w:t>
            </w:r>
          </w:p>
          <w:p w14:paraId="6CAFA4FA" w14:textId="77777777" w:rsidR="00924992" w:rsidRDefault="00924992">
            <w:pPr>
              <w:pStyle w:val="Other0"/>
              <w:framePr w:w="11434" w:h="5760" w:hSpace="514" w:vSpace="821" w:wrap="notBeside" w:vAnchor="text" w:hAnchor="text" w:y="1"/>
              <w:spacing w:line="283" w:lineRule="auto"/>
              <w:ind w:firstLine="140"/>
              <w:rPr>
                <w:sz w:val="16"/>
                <w:szCs w:val="16"/>
              </w:rPr>
            </w:pPr>
            <w:r>
              <w:rPr>
                <w:rFonts w:ascii="Times New Roman" w:eastAsia="Times New Roman" w:hAnsi="Times New Roman" w:cs="Times New Roman"/>
                <w:color w:val="000000"/>
                <w:sz w:val="16"/>
                <w:szCs w:val="16"/>
              </w:rPr>
              <w:t>7-10 años: 150 mg una vez/día</w:t>
            </w:r>
          </w:p>
          <w:p w14:paraId="2958ED5A" w14:textId="77777777" w:rsidR="00924992" w:rsidRDefault="00924992">
            <w:pPr>
              <w:pStyle w:val="Other0"/>
              <w:framePr w:w="11434" w:h="5760" w:hSpace="514" w:vSpace="821" w:wrap="notBeside" w:vAnchor="text" w:hAnchor="text" w:y="1"/>
              <w:spacing w:line="283" w:lineRule="auto"/>
              <w:ind w:firstLine="140"/>
              <w:rPr>
                <w:sz w:val="16"/>
                <w:szCs w:val="16"/>
              </w:rPr>
            </w:pPr>
            <w:r>
              <w:rPr>
                <w:rFonts w:ascii="Times New Roman" w:eastAsia="Times New Roman" w:hAnsi="Times New Roman" w:cs="Times New Roman"/>
                <w:color w:val="000000"/>
                <w:sz w:val="16"/>
                <w:szCs w:val="16"/>
              </w:rPr>
              <w:t>&gt;10 años: 200 mg una vez/día</w:t>
            </w:r>
          </w:p>
        </w:tc>
      </w:tr>
    </w:tbl>
    <w:p w14:paraId="4C72B5C1" w14:textId="77777777" w:rsidR="00924992" w:rsidRDefault="00924992">
      <w:pPr>
        <w:pStyle w:val="Tablecaption0"/>
        <w:framePr w:w="11419" w:h="725" w:hSpace="528" w:wrap="notBeside" w:vAnchor="text" w:hAnchor="text" w:x="20" w:y="5857"/>
        <w:spacing w:line="240" w:lineRule="auto"/>
        <w:ind w:left="380" w:hanging="380"/>
        <w:jc w:val="both"/>
      </w:pPr>
      <w:r>
        <w:rPr>
          <w:color w:val="000000"/>
        </w:rPr>
        <w:t xml:space="preserve">58. En Estados Unidos se puede obtener combinaciones de atovacuona y proguanil en tabletas con dosis fijas: tabletas para adultos (200 mg de atovacuona/100 mg de proguanil, </w:t>
      </w:r>
      <w:r>
        <w:rPr>
          <w:i/>
          <w:iCs/>
          <w:color w:val="000000"/>
        </w:rPr>
        <w:t>Malarone)</w:t>
      </w:r>
      <w:r>
        <w:rPr>
          <w:color w:val="000000"/>
        </w:rPr>
        <w:t xml:space="preserve"> y tabletas para niños (62.5 mg de atovacuona/25 mg de proguanil, </w:t>
      </w:r>
      <w:r>
        <w:rPr>
          <w:i/>
          <w:iCs/>
          <w:color w:val="000000"/>
        </w:rPr>
        <w:t>MalaronePediatric).</w:t>
      </w:r>
      <w:r>
        <w:rPr>
          <w:color w:val="000000"/>
        </w:rPr>
        <w:t xml:space="preserve"> Para mejorar la absorción es importante ingerirla en término de 45 min de haber consumido alimentos (S Looareesuwan et al, </w:t>
      </w:r>
      <w:r>
        <w:rPr>
          <w:i/>
          <w:iCs/>
          <w:color w:val="000000"/>
        </w:rPr>
        <w:t>Am J Trop Med Hyg</w:t>
      </w:r>
      <w:r>
        <w:rPr>
          <w:color w:val="000000"/>
        </w:rPr>
        <w:t xml:space="preserve"> 1999; 60:533). A pesar de que se ha aprobado su uso una sola vez al día, para aplacar las náuseas y los vómitos, por lo común se fracciona la dosis en dos mitades.</w:t>
      </w:r>
    </w:p>
    <w:p w14:paraId="67B37C4F" w14:textId="77777777" w:rsidR="00924992" w:rsidRDefault="00924992">
      <w:pPr>
        <w:pStyle w:val="Tablecaption0"/>
        <w:framePr w:w="192" w:h="4526" w:hRule="exact" w:hSpace="11755" w:wrap="notBeside" w:vAnchor="text" w:hAnchor="text" w:x="11756" w:y="2003"/>
        <w:tabs>
          <w:tab w:val="left" w:pos="4210"/>
        </w:tabs>
        <w:spacing w:line="240" w:lineRule="auto"/>
        <w:ind w:left="0"/>
        <w:textDirection w:val="tbRl"/>
        <w:rPr>
          <w:sz w:val="16"/>
          <w:szCs w:val="16"/>
        </w:rPr>
      </w:pPr>
      <w:r>
        <w:rPr>
          <w:rFonts w:ascii="Arial" w:eastAsia="Arial" w:hAnsi="Arial" w:cs="Arial"/>
          <w:sz w:val="14"/>
          <w:szCs w:val="14"/>
        </w:rPr>
        <w:t>FÁRMACOS ANTIPARASITARIOS</w:t>
      </w:r>
      <w:r>
        <w:rPr>
          <w:rFonts w:ascii="Arial" w:eastAsia="Arial" w:hAnsi="Arial" w:cs="Arial"/>
          <w:sz w:val="14"/>
          <w:szCs w:val="14"/>
        </w:rPr>
        <w:tab/>
      </w:r>
      <w:r>
        <w:rPr>
          <w:rFonts w:ascii="Arial" w:eastAsia="Arial" w:hAnsi="Arial" w:cs="Arial"/>
          <w:sz w:val="16"/>
          <w:szCs w:val="16"/>
        </w:rPr>
        <w:t>797</w:t>
      </w:r>
    </w:p>
    <w:p w14:paraId="6BB4E2AD" w14:textId="77777777" w:rsidR="00924992" w:rsidRDefault="00924992">
      <w:pPr>
        <w:spacing w:line="1" w:lineRule="exact"/>
        <w:sectPr w:rsidR="00924992" w:rsidSect="00924992">
          <w:pgSz w:w="13022" w:h="8501" w:orient="landscape"/>
          <w:pgMar w:top="1099" w:right="442" w:bottom="251" w:left="634" w:header="671" w:footer="3" w:gutter="0"/>
          <w:cols w:space="720"/>
          <w:noEndnote/>
          <w:docGrid w:linePitch="360"/>
          <w15:footnoteColumns w:val="1"/>
        </w:sectPr>
      </w:pPr>
    </w:p>
    <w:p w14:paraId="1568E9FB" w14:textId="77777777" w:rsidR="00924992" w:rsidRDefault="00924992">
      <w:pPr>
        <w:spacing w:line="1" w:lineRule="exact"/>
      </w:pPr>
      <w:r>
        <w:rPr>
          <w:noProof/>
        </w:rPr>
        <mc:AlternateContent>
          <mc:Choice Requires="wps">
            <w:drawing>
              <wp:anchor distT="0" distB="0" distL="114300" distR="114300" simplePos="0" relativeHeight="251719680" behindDoc="0" locked="0" layoutInCell="1" allowOverlap="1" wp14:anchorId="3FE79759" wp14:editId="32A60CF8">
                <wp:simplePos x="0" y="0"/>
                <wp:positionH relativeFrom="page">
                  <wp:posOffset>7867015</wp:posOffset>
                </wp:positionH>
                <wp:positionV relativeFrom="paragraph">
                  <wp:posOffset>21590</wp:posOffset>
                </wp:positionV>
                <wp:extent cx="121920" cy="2880360"/>
                <wp:effectExtent l="0" t="0" r="0" b="0"/>
                <wp:wrapSquare wrapText="bothSides"/>
                <wp:docPr id="2432" name="Shape 2432"/>
                <wp:cNvGraphicFramePr/>
                <a:graphic xmlns:a="http://schemas.openxmlformats.org/drawingml/2006/main">
                  <a:graphicData uri="http://schemas.microsoft.com/office/word/2010/wordprocessingShape">
                    <wps:wsp>
                      <wps:cNvSpPr txBox="1"/>
                      <wps:spPr>
                        <a:xfrm>
                          <a:off x="0" y="0"/>
                          <a:ext cx="121920" cy="2880360"/>
                        </a:xfrm>
                        <a:prstGeom prst="rect">
                          <a:avLst/>
                        </a:prstGeom>
                        <a:noFill/>
                      </wps:spPr>
                      <wps:txbx>
                        <w:txbxContent>
                          <w:p w14:paraId="171D42DE" w14:textId="77777777" w:rsidR="00924992" w:rsidRDefault="00924992">
                            <w:pPr>
                              <w:pStyle w:val="Bodytext80"/>
                              <w:tabs>
                                <w:tab w:val="left" w:pos="2338"/>
                              </w:tabs>
                            </w:pPr>
                            <w:r>
                              <w:rPr>
                                <w:sz w:val="16"/>
                                <w:szCs w:val="16"/>
                              </w:rPr>
                              <w:t>798</w:t>
                            </w:r>
                            <w:r>
                              <w:rPr>
                                <w:sz w:val="16"/>
                                <w:szCs w:val="16"/>
                              </w:rPr>
                              <w:tab/>
                            </w:r>
                            <w:r>
                              <w:t>FÁRMACOS ANTIPARASITARIOS</w:t>
                            </w:r>
                          </w:p>
                        </w:txbxContent>
                      </wps:txbx>
                      <wps:bodyPr vert="vert" lIns="0" tIns="0" rIns="0" bIns="0" upright="1"/>
                    </wps:wsp>
                  </a:graphicData>
                </a:graphic>
              </wp:anchor>
            </w:drawing>
          </mc:Choice>
          <mc:Fallback>
            <w:pict>
              <v:shape w14:anchorId="3FE79759" id="Shape 2432" o:spid="_x0000_s1097" type="#_x0000_t202" style="position:absolute;margin-left:619.45pt;margin-top:1.7pt;width:9.6pt;height:226.8pt;z-index:251719680;visibility:visible;mso-wrap-style:square;mso-wrap-distance-left:9pt;mso-wrap-distance-top:0;mso-wrap-distance-right:9pt;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" filled="f" stroked="f">
                <v:textbox style="layout-flow:vertical" inset="0,0,0,0">
                  <w:txbxContent>
                    <w:p w14:paraId="171D42DE" w14:textId="77777777" w:rsidR="00924992" w:rsidRDefault="00924992">
                      <w:pPr>
                        <w:pStyle w:val="Bodytext80"/>
                        <w:tabs>
                          <w:tab w:val="left" w:pos="2338"/>
                        </w:tabs>
                      </w:pPr>
                      <w:r>
                        <w:rPr>
                          <w:sz w:val="16"/>
                          <w:szCs w:val="16"/>
                        </w:rPr>
                        <w:t>798</w:t>
                      </w:r>
                      <w:r>
                        <w:rPr>
                          <w:sz w:val="16"/>
                          <w:szCs w:val="16"/>
                        </w:rPr>
                        <w:tab/>
                      </w:r>
                      <w:r>
                        <w:t>FÁRMACOS ANTIPARASITARIOS</w:t>
                      </w:r>
                    </w:p>
                  </w:txbxContent>
                </v:textbox>
                <w10:wrap type="square" anchorx="page"/>
              </v:shape>
            </w:pict>
          </mc:Fallback>
        </mc:AlternateContent>
      </w:r>
      <w:r>
        <w:rPr>
          <w:noProof/>
        </w:rPr>
        <mc:AlternateContent>
          <mc:Choice Requires="wps">
            <w:drawing>
              <wp:anchor distT="0" distB="0" distL="114300" distR="114300" simplePos="0" relativeHeight="251720704" behindDoc="0" locked="0" layoutInCell="1" allowOverlap="1" wp14:anchorId="274C658E" wp14:editId="38E0BBCC">
                <wp:simplePos x="0" y="0"/>
                <wp:positionH relativeFrom="page">
                  <wp:posOffset>402590</wp:posOffset>
                </wp:positionH>
                <wp:positionV relativeFrom="paragraph">
                  <wp:posOffset>234950</wp:posOffset>
                </wp:positionV>
                <wp:extent cx="7068185" cy="1801495"/>
                <wp:effectExtent l="0" t="0" r="0" b="0"/>
                <wp:wrapTopAndBottom/>
                <wp:docPr id="2434" name="Shape 2434"/>
                <wp:cNvGraphicFramePr/>
                <a:graphic xmlns:a="http://schemas.openxmlformats.org/drawingml/2006/main">
                  <a:graphicData uri="http://schemas.microsoft.com/office/word/2010/wordprocessingShape">
                    <wps:wsp>
                      <wps:cNvSpPr txBox="1"/>
                      <wps:spPr>
                        <a:xfrm>
                          <a:off x="0" y="0"/>
                          <a:ext cx="7068185" cy="1801495"/>
                        </a:xfrm>
                        <a:prstGeom prst="rect">
                          <a:avLst/>
                        </a:prstGeom>
                        <a:noFill/>
                      </wps:spPr>
                      <wps:txbx>
                        <w:txbxContent>
                          <w:tbl>
                            <w:tblPr>
                              <w:tblOverlap w:val="never"/>
                              <w:tblW w:w="0" w:type="auto"/>
                              <w:tblLayout w:type="fixed"/>
                              <w:tblCellMar>
                                <w:left w:w="10" w:type="dxa"/>
                                <w:right w:w="10" w:type="dxa"/>
                              </w:tblCellMar>
                              <w:tblLook w:val="04A0" w:firstRow="1" w:lastRow="0" w:firstColumn="1" w:lastColumn="0" w:noHBand="0" w:noVBand="1"/>
                            </w:tblPr>
                            <w:tblGrid>
                              <w:gridCol w:w="1867"/>
                              <w:gridCol w:w="3379"/>
                              <w:gridCol w:w="3178"/>
                              <w:gridCol w:w="2707"/>
                            </w:tblGrid>
                            <w:tr w:rsidR="00924992" w14:paraId="563D07A4" w14:textId="77777777">
                              <w:tblPrEx>
                                <w:tblCellMar>
                                  <w:top w:w="0" w:type="dxa"/>
                                  <w:bottom w:w="0" w:type="dxa"/>
                                </w:tblCellMar>
                              </w:tblPrEx>
                              <w:trPr>
                                <w:trHeight w:hRule="exact" w:val="278"/>
                                <w:tblHeader/>
                              </w:trPr>
                              <w:tc>
                                <w:tcPr>
                                  <w:tcW w:w="1867" w:type="dxa"/>
                                  <w:shd w:val="clear" w:color="auto" w:fill="000000"/>
                                  <w:vAlign w:val="bottom"/>
                                </w:tcPr>
                                <w:p w14:paraId="4DEB08E8" w14:textId="77777777" w:rsidR="00924992" w:rsidRDefault="00924992">
                                  <w:pPr>
                                    <w:pStyle w:val="Other0"/>
                                    <w:pBdr>
                                      <w:top w:val="single" w:sz="0" w:space="0" w:color="000000"/>
                                      <w:left w:val="single" w:sz="0" w:space="0" w:color="000000"/>
                                      <w:bottom w:val="single" w:sz="0" w:space="0" w:color="000000"/>
                                      <w:right w:val="single" w:sz="0" w:space="0" w:color="000000"/>
                                    </w:pBdr>
                                    <w:shd w:val="clear" w:color="auto" w:fill="000000"/>
                                    <w:spacing w:line="240" w:lineRule="auto"/>
                                    <w:ind w:firstLine="0"/>
                                    <w:rPr>
                                      <w:sz w:val="24"/>
                                      <w:szCs w:val="24"/>
                                    </w:rPr>
                                  </w:pPr>
                                  <w:r>
                                    <w:rPr>
                                      <w:rFonts w:ascii="Arial" w:eastAsia="Arial" w:hAnsi="Arial" w:cs="Arial"/>
                                      <w:b/>
                                      <w:bCs/>
                                      <w:color w:val="FFFFFF"/>
                                      <w:w w:val="70"/>
                                      <w:sz w:val="24"/>
                                      <w:szCs w:val="24"/>
                                    </w:rPr>
                                    <w:t>Infección</w:t>
                                  </w:r>
                                </w:p>
                              </w:tc>
                              <w:tc>
                                <w:tcPr>
                                  <w:tcW w:w="3379" w:type="dxa"/>
                                  <w:shd w:val="clear" w:color="auto" w:fill="000000"/>
                                  <w:vAlign w:val="bottom"/>
                                </w:tcPr>
                                <w:p w14:paraId="4CC17C4E" w14:textId="77777777" w:rsidR="00924992" w:rsidRDefault="00924992">
                                  <w:pPr>
                                    <w:pStyle w:val="Other0"/>
                                    <w:pBdr>
                                      <w:top w:val="single" w:sz="0" w:space="0" w:color="000000"/>
                                      <w:left w:val="single" w:sz="0" w:space="0" w:color="000000"/>
                                      <w:bottom w:val="single" w:sz="0" w:space="0" w:color="000000"/>
                                      <w:right w:val="single" w:sz="0" w:space="0" w:color="000000"/>
                                    </w:pBdr>
                                    <w:shd w:val="clear" w:color="auto" w:fill="000000"/>
                                    <w:spacing w:line="240" w:lineRule="auto"/>
                                    <w:ind w:left="1020" w:firstLine="0"/>
                                    <w:rPr>
                                      <w:sz w:val="24"/>
                                      <w:szCs w:val="24"/>
                                    </w:rPr>
                                  </w:pPr>
                                  <w:r>
                                    <w:rPr>
                                      <w:rFonts w:ascii="Arial" w:eastAsia="Arial" w:hAnsi="Arial" w:cs="Arial"/>
                                      <w:b/>
                                      <w:bCs/>
                                      <w:color w:val="FFFFFF"/>
                                      <w:w w:val="70"/>
                                      <w:sz w:val="24"/>
                                      <w:szCs w:val="24"/>
                                    </w:rPr>
                                    <w:t>Fármaco</w:t>
                                  </w:r>
                                </w:p>
                              </w:tc>
                              <w:tc>
                                <w:tcPr>
                                  <w:tcW w:w="3178" w:type="dxa"/>
                                  <w:shd w:val="clear" w:color="auto" w:fill="000000"/>
                                  <w:vAlign w:val="bottom"/>
                                </w:tcPr>
                                <w:p w14:paraId="35CA95E0" w14:textId="77777777" w:rsidR="00924992" w:rsidRDefault="00924992">
                                  <w:pPr>
                                    <w:pStyle w:val="Other0"/>
                                    <w:pBdr>
                                      <w:top w:val="single" w:sz="0" w:space="0" w:color="000000"/>
                                      <w:left w:val="single" w:sz="0" w:space="0" w:color="000000"/>
                                      <w:bottom w:val="single" w:sz="0" w:space="0" w:color="000000"/>
                                      <w:right w:val="single" w:sz="0" w:space="0" w:color="000000"/>
                                    </w:pBdr>
                                    <w:shd w:val="clear" w:color="auto" w:fill="000000"/>
                                    <w:spacing w:line="240" w:lineRule="auto"/>
                                    <w:ind w:firstLine="460"/>
                                    <w:rPr>
                                      <w:sz w:val="24"/>
                                      <w:szCs w:val="24"/>
                                    </w:rPr>
                                  </w:pPr>
                                  <w:r>
                                    <w:rPr>
                                      <w:rFonts w:ascii="Arial" w:eastAsia="Arial" w:hAnsi="Arial" w:cs="Arial"/>
                                      <w:b/>
                                      <w:bCs/>
                                      <w:color w:val="FFFFFF"/>
                                      <w:w w:val="70"/>
                                      <w:sz w:val="24"/>
                                      <w:szCs w:val="24"/>
                                    </w:rPr>
                                    <w:t>Dosis para adultos</w:t>
                                  </w:r>
                                </w:p>
                              </w:tc>
                              <w:tc>
                                <w:tcPr>
                                  <w:tcW w:w="2707" w:type="dxa"/>
                                  <w:shd w:val="clear" w:color="auto" w:fill="000000"/>
                                  <w:vAlign w:val="bottom"/>
                                </w:tcPr>
                                <w:p w14:paraId="37E48E8A" w14:textId="77777777" w:rsidR="00924992" w:rsidRDefault="00924992">
                                  <w:pPr>
                                    <w:pStyle w:val="Other0"/>
                                    <w:pBdr>
                                      <w:top w:val="single" w:sz="0" w:space="0" w:color="000000"/>
                                      <w:left w:val="single" w:sz="0" w:space="0" w:color="000000"/>
                                      <w:bottom w:val="single" w:sz="0" w:space="0" w:color="000000"/>
                                      <w:right w:val="single" w:sz="0" w:space="0" w:color="000000"/>
                                    </w:pBdr>
                                    <w:shd w:val="clear" w:color="auto" w:fill="000000"/>
                                    <w:spacing w:line="240" w:lineRule="auto"/>
                                    <w:ind w:firstLine="0"/>
                                    <w:rPr>
                                      <w:sz w:val="24"/>
                                      <w:szCs w:val="24"/>
                                    </w:rPr>
                                  </w:pPr>
                                  <w:r>
                                    <w:rPr>
                                      <w:rFonts w:ascii="Arial" w:eastAsia="Arial" w:hAnsi="Arial" w:cs="Arial"/>
                                      <w:b/>
                                      <w:bCs/>
                                      <w:color w:val="FFFFFF"/>
                                      <w:w w:val="70"/>
                                      <w:sz w:val="24"/>
                                      <w:szCs w:val="24"/>
                                    </w:rPr>
                                    <w:t>Dosis para niños</w:t>
                                  </w:r>
                                </w:p>
                              </w:tc>
                            </w:tr>
                            <w:tr w:rsidR="00924992" w14:paraId="01A41380" w14:textId="77777777">
                              <w:tblPrEx>
                                <w:tblCellMar>
                                  <w:top w:w="0" w:type="dxa"/>
                                  <w:bottom w:w="0" w:type="dxa"/>
                                </w:tblCellMar>
                              </w:tblPrEx>
                              <w:trPr>
                                <w:trHeight w:hRule="exact" w:val="1699"/>
                              </w:trPr>
                              <w:tc>
                                <w:tcPr>
                                  <w:tcW w:w="1867" w:type="dxa"/>
                                  <w:shd w:val="clear" w:color="auto" w:fill="FFFFFF"/>
                                </w:tcPr>
                                <w:p w14:paraId="7E5B11AA" w14:textId="77777777" w:rsidR="00924992" w:rsidRDefault="00924992">
                                  <w:pPr>
                                    <w:pStyle w:val="Other0"/>
                                    <w:spacing w:line="240" w:lineRule="auto"/>
                                    <w:ind w:firstLine="0"/>
                                    <w:rPr>
                                      <w:sz w:val="15"/>
                                      <w:szCs w:val="15"/>
                                    </w:rPr>
                                  </w:pPr>
                                  <w:r>
                                    <w:rPr>
                                      <w:rFonts w:ascii="Times New Roman" w:eastAsia="Times New Roman" w:hAnsi="Times New Roman" w:cs="Times New Roman"/>
                                      <w:b/>
                                      <w:bCs/>
                                      <w:color w:val="000000"/>
                                      <w:sz w:val="15"/>
                                      <w:szCs w:val="15"/>
                                    </w:rPr>
                                    <w:t>Tratamiento</w:t>
                                  </w:r>
                                </w:p>
                              </w:tc>
                              <w:tc>
                                <w:tcPr>
                                  <w:tcW w:w="3379" w:type="dxa"/>
                                  <w:shd w:val="clear" w:color="auto" w:fill="FFFFFF"/>
                                </w:tcPr>
                                <w:p w14:paraId="06C1A6F7" w14:textId="77777777" w:rsidR="00924992" w:rsidRDefault="00924992">
                                  <w:pPr>
                                    <w:pStyle w:val="Other0"/>
                                    <w:spacing w:line="240" w:lineRule="auto"/>
                                    <w:ind w:left="1020" w:firstLine="0"/>
                                    <w:rPr>
                                      <w:sz w:val="8"/>
                                      <w:szCs w:val="8"/>
                                    </w:rPr>
                                  </w:pPr>
                                  <w:r>
                                    <w:rPr>
                                      <w:rFonts w:ascii="Times New Roman" w:eastAsia="Times New Roman" w:hAnsi="Times New Roman" w:cs="Times New Roman"/>
                                      <w:color w:val="000000"/>
                                      <w:sz w:val="15"/>
                                      <w:szCs w:val="15"/>
                                    </w:rPr>
                                    <w:t>Atovacuona/proguanil</w:t>
                                  </w:r>
                                  <w:r>
                                    <w:rPr>
                                      <w:rFonts w:ascii="Times New Roman" w:eastAsia="Times New Roman" w:hAnsi="Times New Roman" w:cs="Times New Roman"/>
                                      <w:color w:val="000000"/>
                                      <w:sz w:val="8"/>
                                      <w:szCs w:val="8"/>
                                      <w:vertAlign w:val="superscript"/>
                                    </w:rPr>
                                    <w:t>58</w:t>
                                  </w:r>
                                </w:p>
                              </w:tc>
                              <w:tc>
                                <w:tcPr>
                                  <w:tcW w:w="3178" w:type="dxa"/>
                                  <w:shd w:val="clear" w:color="auto" w:fill="FFFFFF"/>
                                </w:tcPr>
                                <w:p w14:paraId="4E2EFD1D" w14:textId="77777777" w:rsidR="00924992" w:rsidRDefault="00924992">
                                  <w:pPr>
                                    <w:pStyle w:val="Other0"/>
                                    <w:spacing w:line="240" w:lineRule="auto"/>
                                    <w:ind w:firstLine="460"/>
                                    <w:rPr>
                                      <w:sz w:val="8"/>
                                      <w:szCs w:val="8"/>
                                    </w:rPr>
                                  </w:pPr>
                                  <w:r>
                                    <w:rPr>
                                      <w:rFonts w:ascii="Times New Roman" w:eastAsia="Times New Roman" w:hAnsi="Times New Roman" w:cs="Times New Roman"/>
                                      <w:color w:val="000000"/>
                                      <w:sz w:val="15"/>
                                      <w:szCs w:val="15"/>
                                    </w:rPr>
                                    <w:t xml:space="preserve">En adultos a tabletas bid </w:t>
                                  </w:r>
                                  <w:r>
                                    <w:rPr>
                                      <w:rFonts w:ascii="Arial" w:eastAsia="Arial" w:hAnsi="Arial" w:cs="Arial"/>
                                      <w:color w:val="000000"/>
                                      <w:sz w:val="14"/>
                                      <w:szCs w:val="14"/>
                                    </w:rPr>
                                    <w:t xml:space="preserve">x </w:t>
                                  </w:r>
                                  <w:r>
                                    <w:rPr>
                                      <w:rFonts w:ascii="Times New Roman" w:eastAsia="Times New Roman" w:hAnsi="Times New Roman" w:cs="Times New Roman"/>
                                      <w:color w:val="000000"/>
                                      <w:sz w:val="15"/>
                                      <w:szCs w:val="15"/>
                                    </w:rPr>
                                    <w:t>3d</w:t>
                                  </w:r>
                                  <w:r>
                                    <w:rPr>
                                      <w:rFonts w:ascii="Times New Roman" w:eastAsia="Times New Roman" w:hAnsi="Times New Roman" w:cs="Times New Roman"/>
                                      <w:color w:val="000000"/>
                                      <w:sz w:val="8"/>
                                      <w:szCs w:val="8"/>
                                      <w:vertAlign w:val="superscript"/>
                                    </w:rPr>
                                    <w:t>79</w:t>
                                  </w:r>
                                </w:p>
                              </w:tc>
                              <w:tc>
                                <w:tcPr>
                                  <w:tcW w:w="2707" w:type="dxa"/>
                                  <w:shd w:val="clear" w:color="auto" w:fill="FFFFFF"/>
                                  <w:vAlign w:val="bottom"/>
                                </w:tcPr>
                                <w:p w14:paraId="7BB121E4" w14:textId="77777777" w:rsidR="00924992" w:rsidRDefault="00924992">
                                  <w:pPr>
                                    <w:pStyle w:val="Other0"/>
                                    <w:spacing w:line="240" w:lineRule="auto"/>
                                    <w:ind w:firstLine="0"/>
                                    <w:rPr>
                                      <w:sz w:val="14"/>
                                      <w:szCs w:val="14"/>
                                    </w:rPr>
                                  </w:pPr>
                                  <w:r>
                                    <w:rPr>
                                      <w:rFonts w:ascii="Times New Roman" w:eastAsia="Times New Roman" w:hAnsi="Times New Roman" w:cs="Times New Roman"/>
                                      <w:color w:val="000000"/>
                                      <w:sz w:val="15"/>
                                      <w:szCs w:val="15"/>
                                    </w:rPr>
                                    <w:t xml:space="preserve">11-20 kg: una tableta para adulto/día </w:t>
                                  </w:r>
                                  <w:r>
                                    <w:rPr>
                                      <w:rFonts w:ascii="Arial" w:eastAsia="Arial" w:hAnsi="Arial" w:cs="Arial"/>
                                      <w:color w:val="000000"/>
                                      <w:sz w:val="14"/>
                                      <w:szCs w:val="14"/>
                                    </w:rPr>
                                    <w:t>x</w:t>
                                  </w:r>
                                </w:p>
                                <w:p w14:paraId="556E184B" w14:textId="77777777" w:rsidR="00924992" w:rsidRDefault="00924992">
                                  <w:pPr>
                                    <w:pStyle w:val="Other0"/>
                                    <w:spacing w:line="240" w:lineRule="auto"/>
                                    <w:ind w:firstLine="220"/>
                                    <w:rPr>
                                      <w:sz w:val="8"/>
                                      <w:szCs w:val="8"/>
                                    </w:rPr>
                                  </w:pPr>
                                  <w:r>
                                    <w:rPr>
                                      <w:rFonts w:ascii="Times New Roman" w:eastAsia="Times New Roman" w:hAnsi="Times New Roman" w:cs="Times New Roman"/>
                                      <w:color w:val="000000"/>
                                      <w:sz w:val="15"/>
                                      <w:szCs w:val="15"/>
                                    </w:rPr>
                                    <w:t>3 días</w:t>
                                  </w:r>
                                  <w:r>
                                    <w:rPr>
                                      <w:rFonts w:ascii="Times New Roman" w:eastAsia="Times New Roman" w:hAnsi="Times New Roman" w:cs="Times New Roman"/>
                                      <w:color w:val="000000"/>
                                      <w:sz w:val="8"/>
                                      <w:szCs w:val="8"/>
                                      <w:vertAlign w:val="superscript"/>
                                    </w:rPr>
                                    <w:t>79</w:t>
                                  </w:r>
                                </w:p>
                                <w:p w14:paraId="7BA6E7CF" w14:textId="77777777" w:rsidR="00924992" w:rsidRDefault="00924992">
                                  <w:pPr>
                                    <w:pStyle w:val="Other0"/>
                                    <w:spacing w:line="295" w:lineRule="auto"/>
                                    <w:ind w:firstLine="0"/>
                                    <w:rPr>
                                      <w:sz w:val="16"/>
                                      <w:szCs w:val="16"/>
                                    </w:rPr>
                                  </w:pPr>
                                  <w:r>
                                    <w:rPr>
                                      <w:rFonts w:ascii="Times New Roman" w:eastAsia="Times New Roman" w:hAnsi="Times New Roman" w:cs="Times New Roman"/>
                                      <w:color w:val="000000"/>
                                      <w:sz w:val="16"/>
                                      <w:szCs w:val="16"/>
                                    </w:rPr>
                                    <w:t>21-30 kg: 2 tabletas para adulto/día</w:t>
                                  </w:r>
                                </w:p>
                                <w:p w14:paraId="4D17E5FC" w14:textId="77777777" w:rsidR="00924992" w:rsidRDefault="00924992">
                                  <w:pPr>
                                    <w:pStyle w:val="Other0"/>
                                    <w:spacing w:line="336" w:lineRule="auto"/>
                                    <w:ind w:firstLine="220"/>
                                    <w:rPr>
                                      <w:sz w:val="16"/>
                                      <w:szCs w:val="16"/>
                                    </w:rPr>
                                  </w:pPr>
                                  <w:r>
                                    <w:rPr>
                                      <w:rFonts w:ascii="Arial" w:eastAsia="Arial" w:hAnsi="Arial" w:cs="Arial"/>
                                      <w:color w:val="000000"/>
                                      <w:sz w:val="14"/>
                                      <w:szCs w:val="14"/>
                                    </w:rPr>
                                    <w:t xml:space="preserve">x </w:t>
                                  </w:r>
                                  <w:r>
                                    <w:rPr>
                                      <w:rFonts w:ascii="Times New Roman" w:eastAsia="Times New Roman" w:hAnsi="Times New Roman" w:cs="Times New Roman"/>
                                      <w:color w:val="000000"/>
                                      <w:sz w:val="16"/>
                                      <w:szCs w:val="16"/>
                                    </w:rPr>
                                    <w:t>3 días</w:t>
                                  </w:r>
                                  <w:r>
                                    <w:rPr>
                                      <w:rFonts w:ascii="Times New Roman" w:eastAsia="Times New Roman" w:hAnsi="Times New Roman" w:cs="Times New Roman"/>
                                      <w:color w:val="000000"/>
                                      <w:sz w:val="16"/>
                                      <w:szCs w:val="16"/>
                                      <w:vertAlign w:val="superscript"/>
                                    </w:rPr>
                                    <w:t>79</w:t>
                                  </w:r>
                                </w:p>
                                <w:p w14:paraId="28DEE311" w14:textId="77777777" w:rsidR="00924992" w:rsidRDefault="00924992">
                                  <w:pPr>
                                    <w:pStyle w:val="Other0"/>
                                    <w:spacing w:line="314" w:lineRule="auto"/>
                                    <w:ind w:left="220" w:hanging="220"/>
                                    <w:rPr>
                                      <w:sz w:val="16"/>
                                      <w:szCs w:val="16"/>
                                    </w:rPr>
                                  </w:pPr>
                                  <w:r>
                                    <w:rPr>
                                      <w:rFonts w:ascii="Times New Roman" w:eastAsia="Times New Roman" w:hAnsi="Times New Roman" w:cs="Times New Roman"/>
                                      <w:color w:val="000000"/>
                                      <w:sz w:val="16"/>
                                      <w:szCs w:val="16"/>
                                    </w:rPr>
                                    <w:t xml:space="preserve">31-40 kg: 3 tabletas para adulto/día </w:t>
                                  </w:r>
                                  <w:r>
                                    <w:rPr>
                                      <w:rFonts w:ascii="Arial" w:eastAsia="Arial" w:hAnsi="Arial" w:cs="Arial"/>
                                      <w:color w:val="000000"/>
                                      <w:sz w:val="14"/>
                                      <w:szCs w:val="14"/>
                                    </w:rPr>
                                    <w:t xml:space="preserve">x </w:t>
                                  </w:r>
                                  <w:r>
                                    <w:rPr>
                                      <w:rFonts w:ascii="Times New Roman" w:eastAsia="Times New Roman" w:hAnsi="Times New Roman" w:cs="Times New Roman"/>
                                      <w:color w:val="000000"/>
                                      <w:sz w:val="16"/>
                                      <w:szCs w:val="16"/>
                                    </w:rPr>
                                    <w:t>3 días</w:t>
                                  </w:r>
                                  <w:r>
                                    <w:rPr>
                                      <w:rFonts w:ascii="Times New Roman" w:eastAsia="Times New Roman" w:hAnsi="Times New Roman" w:cs="Times New Roman"/>
                                      <w:color w:val="000000"/>
                                      <w:sz w:val="16"/>
                                      <w:szCs w:val="16"/>
                                      <w:vertAlign w:val="superscript"/>
                                    </w:rPr>
                                    <w:t>79</w:t>
                                  </w:r>
                                </w:p>
                                <w:p w14:paraId="09B9D9F2" w14:textId="77777777" w:rsidR="00924992" w:rsidRDefault="00924992">
                                  <w:pPr>
                                    <w:pStyle w:val="Other0"/>
                                    <w:spacing w:line="295" w:lineRule="auto"/>
                                    <w:ind w:firstLine="0"/>
                                    <w:rPr>
                                      <w:sz w:val="16"/>
                                      <w:szCs w:val="16"/>
                                    </w:rPr>
                                  </w:pPr>
                                  <w:r>
                                    <w:rPr>
                                      <w:rFonts w:ascii="Times New Roman" w:eastAsia="Times New Roman" w:hAnsi="Times New Roman" w:cs="Times New Roman"/>
                                      <w:color w:val="000000"/>
                                      <w:sz w:val="16"/>
                                      <w:szCs w:val="16"/>
                                    </w:rPr>
                                    <w:t>&gt;40 kg: 2 tabletas para adulto bid</w:t>
                                  </w:r>
                                </w:p>
                                <w:p w14:paraId="39EAD96E" w14:textId="77777777" w:rsidR="00924992" w:rsidRDefault="00924992">
                                  <w:pPr>
                                    <w:pStyle w:val="Other0"/>
                                    <w:spacing w:line="336" w:lineRule="auto"/>
                                    <w:ind w:firstLine="220"/>
                                    <w:rPr>
                                      <w:sz w:val="16"/>
                                      <w:szCs w:val="16"/>
                                    </w:rPr>
                                  </w:pPr>
                                  <w:r>
                                    <w:rPr>
                                      <w:rFonts w:ascii="Arial" w:eastAsia="Arial" w:hAnsi="Arial" w:cs="Arial"/>
                                      <w:color w:val="000000"/>
                                      <w:sz w:val="14"/>
                                      <w:szCs w:val="14"/>
                                    </w:rPr>
                                    <w:t xml:space="preserve">x </w:t>
                                  </w:r>
                                  <w:r>
                                    <w:rPr>
                                      <w:rFonts w:ascii="Times New Roman" w:eastAsia="Times New Roman" w:hAnsi="Times New Roman" w:cs="Times New Roman"/>
                                      <w:color w:val="000000"/>
                                      <w:sz w:val="16"/>
                                      <w:szCs w:val="16"/>
                                    </w:rPr>
                                    <w:t>3 días</w:t>
                                  </w:r>
                                  <w:r>
                                    <w:rPr>
                                      <w:rFonts w:ascii="Times New Roman" w:eastAsia="Times New Roman" w:hAnsi="Times New Roman" w:cs="Times New Roman"/>
                                      <w:color w:val="000000"/>
                                      <w:sz w:val="16"/>
                                      <w:szCs w:val="16"/>
                                      <w:vertAlign w:val="superscript"/>
                                    </w:rPr>
                                    <w:t>79</w:t>
                                  </w:r>
                                </w:p>
                              </w:tc>
                            </w:tr>
                            <w:tr w:rsidR="00924992" w14:paraId="411AC70A" w14:textId="77777777">
                              <w:tblPrEx>
                                <w:tblCellMar>
                                  <w:top w:w="0" w:type="dxa"/>
                                  <w:bottom w:w="0" w:type="dxa"/>
                                </w:tblCellMar>
                              </w:tblPrEx>
                              <w:trPr>
                                <w:trHeight w:hRule="exact" w:val="859"/>
                              </w:trPr>
                              <w:tc>
                                <w:tcPr>
                                  <w:tcW w:w="1867" w:type="dxa"/>
                                  <w:shd w:val="clear" w:color="auto" w:fill="FFFFFF"/>
                                </w:tcPr>
                                <w:p w14:paraId="0E8CD45E" w14:textId="77777777" w:rsidR="00924992" w:rsidRDefault="00924992">
                                  <w:pPr>
                                    <w:pStyle w:val="Other0"/>
                                    <w:spacing w:line="240" w:lineRule="auto"/>
                                    <w:ind w:firstLine="0"/>
                                    <w:rPr>
                                      <w:sz w:val="16"/>
                                      <w:szCs w:val="16"/>
                                    </w:rPr>
                                  </w:pPr>
                                  <w:r>
                                    <w:rPr>
                                      <w:rFonts w:ascii="Times New Roman" w:eastAsia="Times New Roman" w:hAnsi="Times New Roman" w:cs="Times New Roman"/>
                                      <w:b/>
                                      <w:bCs/>
                                      <w:color w:val="000000"/>
                                      <w:sz w:val="16"/>
                                      <w:szCs w:val="16"/>
                                    </w:rPr>
                                    <w:t>O</w:t>
                                  </w:r>
                                </w:p>
                              </w:tc>
                              <w:tc>
                                <w:tcPr>
                                  <w:tcW w:w="3379" w:type="dxa"/>
                                  <w:shd w:val="clear" w:color="auto" w:fill="FFFFFF"/>
                                </w:tcPr>
                                <w:p w14:paraId="4BBBDCD6" w14:textId="77777777" w:rsidR="00924992" w:rsidRDefault="00924992">
                                  <w:pPr>
                                    <w:pStyle w:val="Other0"/>
                                    <w:spacing w:line="240" w:lineRule="auto"/>
                                    <w:ind w:left="1020" w:firstLine="0"/>
                                    <w:rPr>
                                      <w:sz w:val="16"/>
                                      <w:szCs w:val="16"/>
                                    </w:rPr>
                                  </w:pPr>
                                  <w:r>
                                    <w:rPr>
                                      <w:rFonts w:ascii="Times New Roman" w:eastAsia="Times New Roman" w:hAnsi="Times New Roman" w:cs="Times New Roman"/>
                                      <w:color w:val="000000"/>
                                      <w:sz w:val="16"/>
                                      <w:szCs w:val="16"/>
                                    </w:rPr>
                                    <w:t>Pirimetamina-sulfadoxina</w:t>
                                  </w:r>
                                  <w:r>
                                    <w:rPr>
                                      <w:rFonts w:ascii="Times New Roman" w:eastAsia="Times New Roman" w:hAnsi="Times New Roman" w:cs="Times New Roman"/>
                                      <w:color w:val="000000"/>
                                      <w:sz w:val="16"/>
                                      <w:szCs w:val="16"/>
                                      <w:vertAlign w:val="superscript"/>
                                    </w:rPr>
                                    <w:t>56</w:t>
                                  </w:r>
                                </w:p>
                              </w:tc>
                              <w:tc>
                                <w:tcPr>
                                  <w:tcW w:w="5885" w:type="dxa"/>
                                  <w:gridSpan w:val="2"/>
                                  <w:shd w:val="clear" w:color="auto" w:fill="FFFFFF"/>
                                  <w:vAlign w:val="bottom"/>
                                </w:tcPr>
                                <w:p w14:paraId="0113D60D" w14:textId="77777777" w:rsidR="00924992" w:rsidRDefault="00924992">
                                  <w:pPr>
                                    <w:pStyle w:val="Other0"/>
                                    <w:tabs>
                                      <w:tab w:val="left" w:pos="2851"/>
                                    </w:tabs>
                                    <w:spacing w:line="283" w:lineRule="auto"/>
                                    <w:ind w:firstLine="0"/>
                                    <w:jc w:val="center"/>
                                    <w:rPr>
                                      <w:sz w:val="16"/>
                                      <w:szCs w:val="16"/>
                                    </w:rPr>
                                  </w:pPr>
                                  <w:r>
                                    <w:rPr>
                                      <w:rFonts w:ascii="Times New Roman" w:eastAsia="Times New Roman" w:hAnsi="Times New Roman" w:cs="Times New Roman"/>
                                      <w:color w:val="000000"/>
                                      <w:sz w:val="16"/>
                                      <w:szCs w:val="16"/>
                                    </w:rPr>
                                    <w:t>Llevar una sola dosis (3 tabletas) para &lt;1 año: de tableta autotratamiento de enfermedades</w:t>
                                  </w:r>
                                  <w:r>
                                    <w:rPr>
                                      <w:rFonts w:ascii="Times New Roman" w:eastAsia="Times New Roman" w:hAnsi="Times New Roman" w:cs="Times New Roman"/>
                                      <w:color w:val="000000"/>
                                      <w:sz w:val="16"/>
                                      <w:szCs w:val="16"/>
                                    </w:rPr>
                                    <w:tab/>
                                    <w:t>1-3 años: tableta</w:t>
                                  </w:r>
                                </w:p>
                                <w:p w14:paraId="7107537D" w14:textId="77777777" w:rsidR="00924992" w:rsidRDefault="00924992">
                                  <w:pPr>
                                    <w:pStyle w:val="Other0"/>
                                    <w:tabs>
                                      <w:tab w:val="left" w:pos="3295"/>
                                    </w:tabs>
                                    <w:spacing w:line="283" w:lineRule="auto"/>
                                    <w:ind w:left="540"/>
                                    <w:jc w:val="both"/>
                                    <w:rPr>
                                      <w:sz w:val="16"/>
                                      <w:szCs w:val="16"/>
                                    </w:rPr>
                                  </w:pPr>
                                  <w:r>
                                    <w:rPr>
                                      <w:rFonts w:ascii="Times New Roman" w:eastAsia="Times New Roman" w:hAnsi="Times New Roman" w:cs="Times New Roman"/>
                                      <w:color w:val="000000"/>
                                      <w:sz w:val="16"/>
                                      <w:szCs w:val="16"/>
                                    </w:rPr>
                                    <w:t>febriles si no se dispone inmediatamente 4-8 años: 1 tableta de atención médica</w:t>
                                  </w:r>
                                  <w:r>
                                    <w:rPr>
                                      <w:rFonts w:ascii="Times New Roman" w:eastAsia="Times New Roman" w:hAnsi="Times New Roman" w:cs="Times New Roman"/>
                                      <w:color w:val="000000"/>
                                      <w:sz w:val="16"/>
                                      <w:szCs w:val="16"/>
                                    </w:rPr>
                                    <w:tab/>
                                    <w:t>9-14 años: 2 tabletas</w:t>
                                  </w:r>
                                </w:p>
                              </w:tc>
                            </w:tr>
                          </w:tbl>
                          <w:p w14:paraId="3B52ADEA" w14:textId="77777777" w:rsidR="00924992" w:rsidRDefault="00924992">
                            <w:pPr>
                              <w:spacing w:line="1" w:lineRule="exact"/>
                            </w:pPr>
                          </w:p>
                        </w:txbxContent>
                      </wps:txbx>
                      <wps:bodyPr lIns="0" tIns="0" rIns="0" bIns="0"/>
                    </wps:wsp>
                  </a:graphicData>
                </a:graphic>
              </wp:anchor>
            </w:drawing>
          </mc:Choice>
          <mc:Fallback>
            <w:pict>
              <v:shape w14:anchorId="274C658E" id="Shape 2434" o:spid="_x0000_s1098" type="#_x0000_t202" style="position:absolute;margin-left:31.7pt;margin-top:18.5pt;width:556.55pt;height:141.85pt;z-index:251720704;visibility:visible;mso-wrap-style:square;mso-wrap-distance-left:9pt;mso-wrap-distance-top:0;mso-wrap-distance-right:9pt;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" filled="f" stroked="f">
                <v:textbox inset="0,0,0,0">
                  <w:txbxContent>
                    <w:tbl>
                      <w:tblPr>
                        <w:tblOverlap w:val="never"/>
                        <w:tblW w:w="0" w:type="auto"/>
                        <w:tblLayout w:type="fixed"/>
                        <w:tblCellMar>
                          <w:left w:w="10" w:type="dxa"/>
                          <w:right w:w="10" w:type="dxa"/>
                        </w:tblCellMar>
                        <w:tblLook w:val="04A0" w:firstRow="1" w:lastRow="0" w:firstColumn="1" w:lastColumn="0" w:noHBand="0" w:noVBand="1"/>
                      </w:tblPr>
                      <w:tblGrid>
                        <w:gridCol w:w="1867"/>
                        <w:gridCol w:w="3379"/>
                        <w:gridCol w:w="3178"/>
                        <w:gridCol w:w="2707"/>
                      </w:tblGrid>
                      <w:tr w:rsidR="00924992" w14:paraId="563D07A4" w14:textId="77777777">
                        <w:tblPrEx>
                          <w:tblCellMar>
                            <w:top w:w="0" w:type="dxa"/>
                            <w:bottom w:w="0" w:type="dxa"/>
                          </w:tblCellMar>
                        </w:tblPrEx>
                        <w:trPr>
                          <w:trHeight w:hRule="exact" w:val="278"/>
                          <w:tblHeader/>
                        </w:trPr>
                        <w:tc>
                          <w:tcPr>
                            <w:tcW w:w="1867" w:type="dxa"/>
                            <w:shd w:val="clear" w:color="auto" w:fill="000000"/>
                            <w:vAlign w:val="bottom"/>
                          </w:tcPr>
                          <w:p w14:paraId="4DEB08E8" w14:textId="77777777" w:rsidR="00924992" w:rsidRDefault="00924992">
                            <w:pPr>
                              <w:pStyle w:val="Other0"/>
                              <w:pBdr>
                                <w:top w:val="single" w:sz="0" w:space="0" w:color="000000"/>
                                <w:left w:val="single" w:sz="0" w:space="0" w:color="000000"/>
                                <w:bottom w:val="single" w:sz="0" w:space="0" w:color="000000"/>
                                <w:right w:val="single" w:sz="0" w:space="0" w:color="000000"/>
                              </w:pBdr>
                              <w:shd w:val="clear" w:color="auto" w:fill="000000"/>
                              <w:spacing w:line="240" w:lineRule="auto"/>
                              <w:ind w:firstLine="0"/>
                              <w:rPr>
                                <w:sz w:val="24"/>
                                <w:szCs w:val="24"/>
                              </w:rPr>
                            </w:pPr>
                            <w:r>
                              <w:rPr>
                                <w:rFonts w:ascii="Arial" w:eastAsia="Arial" w:hAnsi="Arial" w:cs="Arial"/>
                                <w:b/>
                                <w:bCs/>
                                <w:color w:val="FFFFFF"/>
                                <w:w w:val="70"/>
                                <w:sz w:val="24"/>
                                <w:szCs w:val="24"/>
                              </w:rPr>
                              <w:t>Infección</w:t>
                            </w:r>
                          </w:p>
                        </w:tc>
                        <w:tc>
                          <w:tcPr>
                            <w:tcW w:w="3379" w:type="dxa"/>
                            <w:shd w:val="clear" w:color="auto" w:fill="000000"/>
                            <w:vAlign w:val="bottom"/>
                          </w:tcPr>
                          <w:p w14:paraId="4CC17C4E" w14:textId="77777777" w:rsidR="00924992" w:rsidRDefault="00924992">
                            <w:pPr>
                              <w:pStyle w:val="Other0"/>
                              <w:pBdr>
                                <w:top w:val="single" w:sz="0" w:space="0" w:color="000000"/>
                                <w:left w:val="single" w:sz="0" w:space="0" w:color="000000"/>
                                <w:bottom w:val="single" w:sz="0" w:space="0" w:color="000000"/>
                                <w:right w:val="single" w:sz="0" w:space="0" w:color="000000"/>
                              </w:pBdr>
                              <w:shd w:val="clear" w:color="auto" w:fill="000000"/>
                              <w:spacing w:line="240" w:lineRule="auto"/>
                              <w:ind w:left="1020" w:firstLine="0"/>
                              <w:rPr>
                                <w:sz w:val="24"/>
                                <w:szCs w:val="24"/>
                              </w:rPr>
                            </w:pPr>
                            <w:r>
                              <w:rPr>
                                <w:rFonts w:ascii="Arial" w:eastAsia="Arial" w:hAnsi="Arial" w:cs="Arial"/>
                                <w:b/>
                                <w:bCs/>
                                <w:color w:val="FFFFFF"/>
                                <w:w w:val="70"/>
                                <w:sz w:val="24"/>
                                <w:szCs w:val="24"/>
                              </w:rPr>
                              <w:t>Fármaco</w:t>
                            </w:r>
                          </w:p>
                        </w:tc>
                        <w:tc>
                          <w:tcPr>
                            <w:tcW w:w="3178" w:type="dxa"/>
                            <w:shd w:val="clear" w:color="auto" w:fill="000000"/>
                            <w:vAlign w:val="bottom"/>
                          </w:tcPr>
                          <w:p w14:paraId="35CA95E0" w14:textId="77777777" w:rsidR="00924992" w:rsidRDefault="00924992">
                            <w:pPr>
                              <w:pStyle w:val="Other0"/>
                              <w:pBdr>
                                <w:top w:val="single" w:sz="0" w:space="0" w:color="000000"/>
                                <w:left w:val="single" w:sz="0" w:space="0" w:color="000000"/>
                                <w:bottom w:val="single" w:sz="0" w:space="0" w:color="000000"/>
                                <w:right w:val="single" w:sz="0" w:space="0" w:color="000000"/>
                              </w:pBdr>
                              <w:shd w:val="clear" w:color="auto" w:fill="000000"/>
                              <w:spacing w:line="240" w:lineRule="auto"/>
                              <w:ind w:firstLine="460"/>
                              <w:rPr>
                                <w:sz w:val="24"/>
                                <w:szCs w:val="24"/>
                              </w:rPr>
                            </w:pPr>
                            <w:r>
                              <w:rPr>
                                <w:rFonts w:ascii="Arial" w:eastAsia="Arial" w:hAnsi="Arial" w:cs="Arial"/>
                                <w:b/>
                                <w:bCs/>
                                <w:color w:val="FFFFFF"/>
                                <w:w w:val="70"/>
                                <w:sz w:val="24"/>
                                <w:szCs w:val="24"/>
                              </w:rPr>
                              <w:t>Dosis para adultos</w:t>
                            </w:r>
                          </w:p>
                        </w:tc>
                        <w:tc>
                          <w:tcPr>
                            <w:tcW w:w="2707" w:type="dxa"/>
                            <w:shd w:val="clear" w:color="auto" w:fill="000000"/>
                            <w:vAlign w:val="bottom"/>
                          </w:tcPr>
                          <w:p w14:paraId="37E48E8A" w14:textId="77777777" w:rsidR="00924992" w:rsidRDefault="00924992">
                            <w:pPr>
                              <w:pStyle w:val="Other0"/>
                              <w:pBdr>
                                <w:top w:val="single" w:sz="0" w:space="0" w:color="000000"/>
                                <w:left w:val="single" w:sz="0" w:space="0" w:color="000000"/>
                                <w:bottom w:val="single" w:sz="0" w:space="0" w:color="000000"/>
                                <w:right w:val="single" w:sz="0" w:space="0" w:color="000000"/>
                              </w:pBdr>
                              <w:shd w:val="clear" w:color="auto" w:fill="000000"/>
                              <w:spacing w:line="240" w:lineRule="auto"/>
                              <w:ind w:firstLine="0"/>
                              <w:rPr>
                                <w:sz w:val="24"/>
                                <w:szCs w:val="24"/>
                              </w:rPr>
                            </w:pPr>
                            <w:r>
                              <w:rPr>
                                <w:rFonts w:ascii="Arial" w:eastAsia="Arial" w:hAnsi="Arial" w:cs="Arial"/>
                                <w:b/>
                                <w:bCs/>
                                <w:color w:val="FFFFFF"/>
                                <w:w w:val="70"/>
                                <w:sz w:val="24"/>
                                <w:szCs w:val="24"/>
                              </w:rPr>
                              <w:t>Dosis para niños</w:t>
                            </w:r>
                          </w:p>
                        </w:tc>
                      </w:tr>
                      <w:tr w:rsidR="00924992" w14:paraId="01A41380" w14:textId="77777777">
                        <w:tblPrEx>
                          <w:tblCellMar>
                            <w:top w:w="0" w:type="dxa"/>
                            <w:bottom w:w="0" w:type="dxa"/>
                          </w:tblCellMar>
                        </w:tblPrEx>
                        <w:trPr>
                          <w:trHeight w:hRule="exact" w:val="1699"/>
                        </w:trPr>
                        <w:tc>
                          <w:tcPr>
                            <w:tcW w:w="1867" w:type="dxa"/>
                            <w:shd w:val="clear" w:color="auto" w:fill="FFFFFF"/>
                          </w:tcPr>
                          <w:p w14:paraId="7E5B11AA" w14:textId="77777777" w:rsidR="00924992" w:rsidRDefault="00924992">
                            <w:pPr>
                              <w:pStyle w:val="Other0"/>
                              <w:spacing w:line="240" w:lineRule="auto"/>
                              <w:ind w:firstLine="0"/>
                              <w:rPr>
                                <w:sz w:val="15"/>
                                <w:szCs w:val="15"/>
                              </w:rPr>
                            </w:pPr>
                            <w:r>
                              <w:rPr>
                                <w:rFonts w:ascii="Times New Roman" w:eastAsia="Times New Roman" w:hAnsi="Times New Roman" w:cs="Times New Roman"/>
                                <w:b/>
                                <w:bCs/>
                                <w:color w:val="000000"/>
                                <w:sz w:val="15"/>
                                <w:szCs w:val="15"/>
                              </w:rPr>
                              <w:t>Tratamiento</w:t>
                            </w:r>
                          </w:p>
                        </w:tc>
                        <w:tc>
                          <w:tcPr>
                            <w:tcW w:w="3379" w:type="dxa"/>
                            <w:shd w:val="clear" w:color="auto" w:fill="FFFFFF"/>
                          </w:tcPr>
                          <w:p w14:paraId="06C1A6F7" w14:textId="77777777" w:rsidR="00924992" w:rsidRDefault="00924992">
                            <w:pPr>
                              <w:pStyle w:val="Other0"/>
                              <w:spacing w:line="240" w:lineRule="auto"/>
                              <w:ind w:left="1020" w:firstLine="0"/>
                              <w:rPr>
                                <w:sz w:val="8"/>
                                <w:szCs w:val="8"/>
                              </w:rPr>
                            </w:pPr>
                            <w:r>
                              <w:rPr>
                                <w:rFonts w:ascii="Times New Roman" w:eastAsia="Times New Roman" w:hAnsi="Times New Roman" w:cs="Times New Roman"/>
                                <w:color w:val="000000"/>
                                <w:sz w:val="15"/>
                                <w:szCs w:val="15"/>
                              </w:rPr>
                              <w:t>Atovacuona/proguanil</w:t>
                            </w:r>
                            <w:r>
                              <w:rPr>
                                <w:rFonts w:ascii="Times New Roman" w:eastAsia="Times New Roman" w:hAnsi="Times New Roman" w:cs="Times New Roman"/>
                                <w:color w:val="000000"/>
                                <w:sz w:val="8"/>
                                <w:szCs w:val="8"/>
                                <w:vertAlign w:val="superscript"/>
                              </w:rPr>
                              <w:t>58</w:t>
                            </w:r>
                          </w:p>
                        </w:tc>
                        <w:tc>
                          <w:tcPr>
                            <w:tcW w:w="3178" w:type="dxa"/>
                            <w:shd w:val="clear" w:color="auto" w:fill="FFFFFF"/>
                          </w:tcPr>
                          <w:p w14:paraId="4E2EFD1D" w14:textId="77777777" w:rsidR="00924992" w:rsidRDefault="00924992">
                            <w:pPr>
                              <w:pStyle w:val="Other0"/>
                              <w:spacing w:line="240" w:lineRule="auto"/>
                              <w:ind w:firstLine="460"/>
                              <w:rPr>
                                <w:sz w:val="8"/>
                                <w:szCs w:val="8"/>
                              </w:rPr>
                            </w:pPr>
                            <w:r>
                              <w:rPr>
                                <w:rFonts w:ascii="Times New Roman" w:eastAsia="Times New Roman" w:hAnsi="Times New Roman" w:cs="Times New Roman"/>
                                <w:color w:val="000000"/>
                                <w:sz w:val="15"/>
                                <w:szCs w:val="15"/>
                              </w:rPr>
                              <w:t xml:space="preserve">En adultos a tabletas bid </w:t>
                            </w:r>
                            <w:r>
                              <w:rPr>
                                <w:rFonts w:ascii="Arial" w:eastAsia="Arial" w:hAnsi="Arial" w:cs="Arial"/>
                                <w:color w:val="000000"/>
                                <w:sz w:val="14"/>
                                <w:szCs w:val="14"/>
                              </w:rPr>
                              <w:t xml:space="preserve">x </w:t>
                            </w:r>
                            <w:r>
                              <w:rPr>
                                <w:rFonts w:ascii="Times New Roman" w:eastAsia="Times New Roman" w:hAnsi="Times New Roman" w:cs="Times New Roman"/>
                                <w:color w:val="000000"/>
                                <w:sz w:val="15"/>
                                <w:szCs w:val="15"/>
                              </w:rPr>
                              <w:t>3d</w:t>
                            </w:r>
                            <w:r>
                              <w:rPr>
                                <w:rFonts w:ascii="Times New Roman" w:eastAsia="Times New Roman" w:hAnsi="Times New Roman" w:cs="Times New Roman"/>
                                <w:color w:val="000000"/>
                                <w:sz w:val="8"/>
                                <w:szCs w:val="8"/>
                                <w:vertAlign w:val="superscript"/>
                              </w:rPr>
                              <w:t>79</w:t>
                            </w:r>
                          </w:p>
                        </w:tc>
                        <w:tc>
                          <w:tcPr>
                            <w:tcW w:w="2707" w:type="dxa"/>
                            <w:shd w:val="clear" w:color="auto" w:fill="FFFFFF"/>
                            <w:vAlign w:val="bottom"/>
                          </w:tcPr>
                          <w:p w14:paraId="7BB121E4" w14:textId="77777777" w:rsidR="00924992" w:rsidRDefault="00924992">
                            <w:pPr>
                              <w:pStyle w:val="Other0"/>
                              <w:spacing w:line="240" w:lineRule="auto"/>
                              <w:ind w:firstLine="0"/>
                              <w:rPr>
                                <w:sz w:val="14"/>
                                <w:szCs w:val="14"/>
                              </w:rPr>
                            </w:pPr>
                            <w:r>
                              <w:rPr>
                                <w:rFonts w:ascii="Times New Roman" w:eastAsia="Times New Roman" w:hAnsi="Times New Roman" w:cs="Times New Roman"/>
                                <w:color w:val="000000"/>
                                <w:sz w:val="15"/>
                                <w:szCs w:val="15"/>
                              </w:rPr>
                              <w:t xml:space="preserve">11-20 kg: una tableta para adulto/día </w:t>
                            </w:r>
                            <w:r>
                              <w:rPr>
                                <w:rFonts w:ascii="Arial" w:eastAsia="Arial" w:hAnsi="Arial" w:cs="Arial"/>
                                <w:color w:val="000000"/>
                                <w:sz w:val="14"/>
                                <w:szCs w:val="14"/>
                              </w:rPr>
                              <w:t>x</w:t>
                            </w:r>
                          </w:p>
                          <w:p w14:paraId="556E184B" w14:textId="77777777" w:rsidR="00924992" w:rsidRDefault="00924992">
                            <w:pPr>
                              <w:pStyle w:val="Other0"/>
                              <w:spacing w:line="240" w:lineRule="auto"/>
                              <w:ind w:firstLine="220"/>
                              <w:rPr>
                                <w:sz w:val="8"/>
                                <w:szCs w:val="8"/>
                              </w:rPr>
                            </w:pPr>
                            <w:r>
                              <w:rPr>
                                <w:rFonts w:ascii="Times New Roman" w:eastAsia="Times New Roman" w:hAnsi="Times New Roman" w:cs="Times New Roman"/>
                                <w:color w:val="000000"/>
                                <w:sz w:val="15"/>
                                <w:szCs w:val="15"/>
                              </w:rPr>
                              <w:t>3 días</w:t>
                            </w:r>
                            <w:r>
                              <w:rPr>
                                <w:rFonts w:ascii="Times New Roman" w:eastAsia="Times New Roman" w:hAnsi="Times New Roman" w:cs="Times New Roman"/>
                                <w:color w:val="000000"/>
                                <w:sz w:val="8"/>
                                <w:szCs w:val="8"/>
                                <w:vertAlign w:val="superscript"/>
                              </w:rPr>
                              <w:t>79</w:t>
                            </w:r>
                          </w:p>
                          <w:p w14:paraId="7BA6E7CF" w14:textId="77777777" w:rsidR="00924992" w:rsidRDefault="00924992">
                            <w:pPr>
                              <w:pStyle w:val="Other0"/>
                              <w:spacing w:line="295" w:lineRule="auto"/>
                              <w:ind w:firstLine="0"/>
                              <w:rPr>
                                <w:sz w:val="16"/>
                                <w:szCs w:val="16"/>
                              </w:rPr>
                            </w:pPr>
                            <w:r>
                              <w:rPr>
                                <w:rFonts w:ascii="Times New Roman" w:eastAsia="Times New Roman" w:hAnsi="Times New Roman" w:cs="Times New Roman"/>
                                <w:color w:val="000000"/>
                                <w:sz w:val="16"/>
                                <w:szCs w:val="16"/>
                              </w:rPr>
                              <w:t>21-30 kg: 2 tabletas para adulto/día</w:t>
                            </w:r>
                          </w:p>
                          <w:p w14:paraId="4D17E5FC" w14:textId="77777777" w:rsidR="00924992" w:rsidRDefault="00924992">
                            <w:pPr>
                              <w:pStyle w:val="Other0"/>
                              <w:spacing w:line="336" w:lineRule="auto"/>
                              <w:ind w:firstLine="220"/>
                              <w:rPr>
                                <w:sz w:val="16"/>
                                <w:szCs w:val="16"/>
                              </w:rPr>
                            </w:pPr>
                            <w:r>
                              <w:rPr>
                                <w:rFonts w:ascii="Arial" w:eastAsia="Arial" w:hAnsi="Arial" w:cs="Arial"/>
                                <w:color w:val="000000"/>
                                <w:sz w:val="14"/>
                                <w:szCs w:val="14"/>
                              </w:rPr>
                              <w:t xml:space="preserve">x </w:t>
                            </w:r>
                            <w:r>
                              <w:rPr>
                                <w:rFonts w:ascii="Times New Roman" w:eastAsia="Times New Roman" w:hAnsi="Times New Roman" w:cs="Times New Roman"/>
                                <w:color w:val="000000"/>
                                <w:sz w:val="16"/>
                                <w:szCs w:val="16"/>
                              </w:rPr>
                              <w:t>3 días</w:t>
                            </w:r>
                            <w:r>
                              <w:rPr>
                                <w:rFonts w:ascii="Times New Roman" w:eastAsia="Times New Roman" w:hAnsi="Times New Roman" w:cs="Times New Roman"/>
                                <w:color w:val="000000"/>
                                <w:sz w:val="16"/>
                                <w:szCs w:val="16"/>
                                <w:vertAlign w:val="superscript"/>
                              </w:rPr>
                              <w:t>79</w:t>
                            </w:r>
                          </w:p>
                          <w:p w14:paraId="28DEE311" w14:textId="77777777" w:rsidR="00924992" w:rsidRDefault="00924992">
                            <w:pPr>
                              <w:pStyle w:val="Other0"/>
                              <w:spacing w:line="314" w:lineRule="auto"/>
                              <w:ind w:left="220" w:hanging="220"/>
                              <w:rPr>
                                <w:sz w:val="16"/>
                                <w:szCs w:val="16"/>
                              </w:rPr>
                            </w:pPr>
                            <w:r>
                              <w:rPr>
                                <w:rFonts w:ascii="Times New Roman" w:eastAsia="Times New Roman" w:hAnsi="Times New Roman" w:cs="Times New Roman"/>
                                <w:color w:val="000000"/>
                                <w:sz w:val="16"/>
                                <w:szCs w:val="16"/>
                              </w:rPr>
                              <w:t xml:space="preserve">31-40 kg: 3 tabletas para adulto/día </w:t>
                            </w:r>
                            <w:r>
                              <w:rPr>
                                <w:rFonts w:ascii="Arial" w:eastAsia="Arial" w:hAnsi="Arial" w:cs="Arial"/>
                                <w:color w:val="000000"/>
                                <w:sz w:val="14"/>
                                <w:szCs w:val="14"/>
                              </w:rPr>
                              <w:t xml:space="preserve">x </w:t>
                            </w:r>
                            <w:r>
                              <w:rPr>
                                <w:rFonts w:ascii="Times New Roman" w:eastAsia="Times New Roman" w:hAnsi="Times New Roman" w:cs="Times New Roman"/>
                                <w:color w:val="000000"/>
                                <w:sz w:val="16"/>
                                <w:szCs w:val="16"/>
                              </w:rPr>
                              <w:t>3 días</w:t>
                            </w:r>
                            <w:r>
                              <w:rPr>
                                <w:rFonts w:ascii="Times New Roman" w:eastAsia="Times New Roman" w:hAnsi="Times New Roman" w:cs="Times New Roman"/>
                                <w:color w:val="000000"/>
                                <w:sz w:val="16"/>
                                <w:szCs w:val="16"/>
                                <w:vertAlign w:val="superscript"/>
                              </w:rPr>
                              <w:t>79</w:t>
                            </w:r>
                          </w:p>
                          <w:p w14:paraId="09B9D9F2" w14:textId="77777777" w:rsidR="00924992" w:rsidRDefault="00924992">
                            <w:pPr>
                              <w:pStyle w:val="Other0"/>
                              <w:spacing w:line="295" w:lineRule="auto"/>
                              <w:ind w:firstLine="0"/>
                              <w:rPr>
                                <w:sz w:val="16"/>
                                <w:szCs w:val="16"/>
                              </w:rPr>
                            </w:pPr>
                            <w:r>
                              <w:rPr>
                                <w:rFonts w:ascii="Times New Roman" w:eastAsia="Times New Roman" w:hAnsi="Times New Roman" w:cs="Times New Roman"/>
                                <w:color w:val="000000"/>
                                <w:sz w:val="16"/>
                                <w:szCs w:val="16"/>
                              </w:rPr>
                              <w:t>&gt;40 kg: 2 tabletas para adulto bid</w:t>
                            </w:r>
                          </w:p>
                          <w:p w14:paraId="39EAD96E" w14:textId="77777777" w:rsidR="00924992" w:rsidRDefault="00924992">
                            <w:pPr>
                              <w:pStyle w:val="Other0"/>
                              <w:spacing w:line="336" w:lineRule="auto"/>
                              <w:ind w:firstLine="220"/>
                              <w:rPr>
                                <w:sz w:val="16"/>
                                <w:szCs w:val="16"/>
                              </w:rPr>
                            </w:pPr>
                            <w:r>
                              <w:rPr>
                                <w:rFonts w:ascii="Arial" w:eastAsia="Arial" w:hAnsi="Arial" w:cs="Arial"/>
                                <w:color w:val="000000"/>
                                <w:sz w:val="14"/>
                                <w:szCs w:val="14"/>
                              </w:rPr>
                              <w:t xml:space="preserve">x </w:t>
                            </w:r>
                            <w:r>
                              <w:rPr>
                                <w:rFonts w:ascii="Times New Roman" w:eastAsia="Times New Roman" w:hAnsi="Times New Roman" w:cs="Times New Roman"/>
                                <w:color w:val="000000"/>
                                <w:sz w:val="16"/>
                                <w:szCs w:val="16"/>
                              </w:rPr>
                              <w:t>3 días</w:t>
                            </w:r>
                            <w:r>
                              <w:rPr>
                                <w:rFonts w:ascii="Times New Roman" w:eastAsia="Times New Roman" w:hAnsi="Times New Roman" w:cs="Times New Roman"/>
                                <w:color w:val="000000"/>
                                <w:sz w:val="16"/>
                                <w:szCs w:val="16"/>
                                <w:vertAlign w:val="superscript"/>
                              </w:rPr>
                              <w:t>79</w:t>
                            </w:r>
                          </w:p>
                        </w:tc>
                      </w:tr>
                      <w:tr w:rsidR="00924992" w14:paraId="411AC70A" w14:textId="77777777">
                        <w:tblPrEx>
                          <w:tblCellMar>
                            <w:top w:w="0" w:type="dxa"/>
                            <w:bottom w:w="0" w:type="dxa"/>
                          </w:tblCellMar>
                        </w:tblPrEx>
                        <w:trPr>
                          <w:trHeight w:hRule="exact" w:val="859"/>
                        </w:trPr>
                        <w:tc>
                          <w:tcPr>
                            <w:tcW w:w="1867" w:type="dxa"/>
                            <w:shd w:val="clear" w:color="auto" w:fill="FFFFFF"/>
                          </w:tcPr>
                          <w:p w14:paraId="0E8CD45E" w14:textId="77777777" w:rsidR="00924992" w:rsidRDefault="00924992">
                            <w:pPr>
                              <w:pStyle w:val="Other0"/>
                              <w:spacing w:line="240" w:lineRule="auto"/>
                              <w:ind w:firstLine="0"/>
                              <w:rPr>
                                <w:sz w:val="16"/>
                                <w:szCs w:val="16"/>
                              </w:rPr>
                            </w:pPr>
                            <w:r>
                              <w:rPr>
                                <w:rFonts w:ascii="Times New Roman" w:eastAsia="Times New Roman" w:hAnsi="Times New Roman" w:cs="Times New Roman"/>
                                <w:b/>
                                <w:bCs/>
                                <w:color w:val="000000"/>
                                <w:sz w:val="16"/>
                                <w:szCs w:val="16"/>
                              </w:rPr>
                              <w:t>O</w:t>
                            </w:r>
                          </w:p>
                        </w:tc>
                        <w:tc>
                          <w:tcPr>
                            <w:tcW w:w="3379" w:type="dxa"/>
                            <w:shd w:val="clear" w:color="auto" w:fill="FFFFFF"/>
                          </w:tcPr>
                          <w:p w14:paraId="4BBBDCD6" w14:textId="77777777" w:rsidR="00924992" w:rsidRDefault="00924992">
                            <w:pPr>
                              <w:pStyle w:val="Other0"/>
                              <w:spacing w:line="240" w:lineRule="auto"/>
                              <w:ind w:left="1020" w:firstLine="0"/>
                              <w:rPr>
                                <w:sz w:val="16"/>
                                <w:szCs w:val="16"/>
                              </w:rPr>
                            </w:pPr>
                            <w:r>
                              <w:rPr>
                                <w:rFonts w:ascii="Times New Roman" w:eastAsia="Times New Roman" w:hAnsi="Times New Roman" w:cs="Times New Roman"/>
                                <w:color w:val="000000"/>
                                <w:sz w:val="16"/>
                                <w:szCs w:val="16"/>
                              </w:rPr>
                              <w:t>Pirimetamina-sulfadoxina</w:t>
                            </w:r>
                            <w:r>
                              <w:rPr>
                                <w:rFonts w:ascii="Times New Roman" w:eastAsia="Times New Roman" w:hAnsi="Times New Roman" w:cs="Times New Roman"/>
                                <w:color w:val="000000"/>
                                <w:sz w:val="16"/>
                                <w:szCs w:val="16"/>
                                <w:vertAlign w:val="superscript"/>
                              </w:rPr>
                              <w:t>56</w:t>
                            </w:r>
                          </w:p>
                        </w:tc>
                        <w:tc>
                          <w:tcPr>
                            <w:tcW w:w="5885" w:type="dxa"/>
                            <w:gridSpan w:val="2"/>
                            <w:shd w:val="clear" w:color="auto" w:fill="FFFFFF"/>
                            <w:vAlign w:val="bottom"/>
                          </w:tcPr>
                          <w:p w14:paraId="0113D60D" w14:textId="77777777" w:rsidR="00924992" w:rsidRDefault="00924992">
                            <w:pPr>
                              <w:pStyle w:val="Other0"/>
                              <w:tabs>
                                <w:tab w:val="left" w:pos="2851"/>
                              </w:tabs>
                              <w:spacing w:line="283" w:lineRule="auto"/>
                              <w:ind w:firstLine="0"/>
                              <w:jc w:val="center"/>
                              <w:rPr>
                                <w:sz w:val="16"/>
                                <w:szCs w:val="16"/>
                              </w:rPr>
                            </w:pPr>
                            <w:r>
                              <w:rPr>
                                <w:rFonts w:ascii="Times New Roman" w:eastAsia="Times New Roman" w:hAnsi="Times New Roman" w:cs="Times New Roman"/>
                                <w:color w:val="000000"/>
                                <w:sz w:val="16"/>
                                <w:szCs w:val="16"/>
                              </w:rPr>
                              <w:t>Llevar una sola dosis (3 tabletas) para &lt;1 año: de tableta autotratamiento de enfermedades</w:t>
                            </w:r>
                            <w:r>
                              <w:rPr>
                                <w:rFonts w:ascii="Times New Roman" w:eastAsia="Times New Roman" w:hAnsi="Times New Roman" w:cs="Times New Roman"/>
                                <w:color w:val="000000"/>
                                <w:sz w:val="16"/>
                                <w:szCs w:val="16"/>
                              </w:rPr>
                              <w:tab/>
                              <w:t>1-3 años: tableta</w:t>
                            </w:r>
                          </w:p>
                          <w:p w14:paraId="7107537D" w14:textId="77777777" w:rsidR="00924992" w:rsidRDefault="00924992">
                            <w:pPr>
                              <w:pStyle w:val="Other0"/>
                              <w:tabs>
                                <w:tab w:val="left" w:pos="3295"/>
                              </w:tabs>
                              <w:spacing w:line="283" w:lineRule="auto"/>
                              <w:ind w:left="540"/>
                              <w:jc w:val="both"/>
                              <w:rPr>
                                <w:sz w:val="16"/>
                                <w:szCs w:val="16"/>
                              </w:rPr>
                            </w:pPr>
                            <w:r>
                              <w:rPr>
                                <w:rFonts w:ascii="Times New Roman" w:eastAsia="Times New Roman" w:hAnsi="Times New Roman" w:cs="Times New Roman"/>
                                <w:color w:val="000000"/>
                                <w:sz w:val="16"/>
                                <w:szCs w:val="16"/>
                              </w:rPr>
                              <w:t>febriles si no se dispone inmediatamente 4-8 años: 1 tableta de atención médica</w:t>
                            </w:r>
                            <w:r>
                              <w:rPr>
                                <w:rFonts w:ascii="Times New Roman" w:eastAsia="Times New Roman" w:hAnsi="Times New Roman" w:cs="Times New Roman"/>
                                <w:color w:val="000000"/>
                                <w:sz w:val="16"/>
                                <w:szCs w:val="16"/>
                              </w:rPr>
                              <w:tab/>
                              <w:t>9-14 años: 2 tabletas</w:t>
                            </w:r>
                          </w:p>
                        </w:tc>
                      </w:tr>
                    </w:tbl>
                    <w:p w14:paraId="3B52ADEA" w14:textId="77777777" w:rsidR="00924992" w:rsidRDefault="00924992">
                      <w:pPr>
                        <w:spacing w:line="1" w:lineRule="exact"/>
                      </w:pPr>
                    </w:p>
                  </w:txbxContent>
                </v:textbox>
                <w10:wrap type="topAndBottom" anchorx="page"/>
              </v:shape>
            </w:pict>
          </mc:Fallback>
        </mc:AlternateContent>
      </w:r>
      <w:r>
        <w:rPr>
          <w:noProof/>
        </w:rPr>
        <mc:AlternateContent>
          <mc:Choice Requires="wps">
            <w:drawing>
              <wp:anchor distT="399415" distB="0" distL="114300" distR="114300" simplePos="0" relativeHeight="251721728" behindDoc="0" locked="0" layoutInCell="1" allowOverlap="1" wp14:anchorId="20915854" wp14:editId="02F6527B">
                <wp:simplePos x="0" y="0"/>
                <wp:positionH relativeFrom="page">
                  <wp:posOffset>426720</wp:posOffset>
                </wp:positionH>
                <wp:positionV relativeFrom="paragraph">
                  <wp:posOffset>2557145</wp:posOffset>
                </wp:positionV>
                <wp:extent cx="7214870" cy="636905"/>
                <wp:effectExtent l="0" t="0" r="0" b="0"/>
                <wp:wrapTopAndBottom/>
                <wp:docPr id="2436" name="Shape 2436"/>
                <wp:cNvGraphicFramePr/>
                <a:graphic xmlns:a="http://schemas.openxmlformats.org/drawingml/2006/main">
                  <a:graphicData uri="http://schemas.microsoft.com/office/word/2010/wordprocessingShape">
                    <wps:wsp>
                      <wps:cNvSpPr txBox="1"/>
                      <wps:spPr>
                        <a:xfrm>
                          <a:off x="0" y="0"/>
                          <a:ext cx="7214870" cy="636905"/>
                        </a:xfrm>
                        <a:prstGeom prst="rect">
                          <a:avLst/>
                        </a:prstGeom>
                        <a:noFill/>
                      </wps:spPr>
                      <wps:txbx>
                        <w:txbxContent>
                          <w:tbl>
                            <w:tblPr>
                              <w:tblOverlap w:val="never"/>
                              <w:tblW w:w="0" w:type="auto"/>
                              <w:tblLayout w:type="fixed"/>
                              <w:tblCellMar>
                                <w:left w:w="10" w:type="dxa"/>
                                <w:right w:w="10" w:type="dxa"/>
                              </w:tblCellMar>
                              <w:tblLook w:val="04A0" w:firstRow="1" w:lastRow="0" w:firstColumn="1" w:lastColumn="0" w:noHBand="0" w:noVBand="1"/>
                            </w:tblPr>
                            <w:tblGrid>
                              <w:gridCol w:w="1853"/>
                              <w:gridCol w:w="9509"/>
                            </w:tblGrid>
                            <w:tr w:rsidR="00924992" w14:paraId="35C624D9" w14:textId="77777777">
                              <w:tblPrEx>
                                <w:tblCellMar>
                                  <w:top w:w="0" w:type="dxa"/>
                                  <w:bottom w:w="0" w:type="dxa"/>
                                </w:tblCellMar>
                              </w:tblPrEx>
                              <w:trPr>
                                <w:trHeight w:hRule="exact" w:val="216"/>
                                <w:tblHeader/>
                              </w:trPr>
                              <w:tc>
                                <w:tcPr>
                                  <w:tcW w:w="1853" w:type="dxa"/>
                                  <w:shd w:val="clear" w:color="auto" w:fill="FFFFFF"/>
                                </w:tcPr>
                                <w:p w14:paraId="4714231A" w14:textId="77777777" w:rsidR="00924992" w:rsidRDefault="00924992">
                                  <w:pPr>
                                    <w:pStyle w:val="Other0"/>
                                    <w:spacing w:line="240" w:lineRule="auto"/>
                                    <w:ind w:firstLine="0"/>
                                    <w:rPr>
                                      <w:sz w:val="16"/>
                                      <w:szCs w:val="16"/>
                                    </w:rPr>
                                  </w:pPr>
                                  <w:r>
                                    <w:rPr>
                                      <w:rFonts w:ascii="Times New Roman" w:eastAsia="Times New Roman" w:hAnsi="Times New Roman" w:cs="Times New Roman"/>
                                      <w:color w:val="000000"/>
                                      <w:sz w:val="16"/>
                                      <w:szCs w:val="16"/>
                                    </w:rPr>
                                    <w:t>Fármaco más indicado:</w:t>
                                  </w:r>
                                </w:p>
                              </w:tc>
                              <w:tc>
                                <w:tcPr>
                                  <w:tcW w:w="9509" w:type="dxa"/>
                                  <w:shd w:val="clear" w:color="auto" w:fill="FFFFFF"/>
                                </w:tcPr>
                                <w:p w14:paraId="6A937396" w14:textId="77777777" w:rsidR="00924992" w:rsidRDefault="00924992">
                                  <w:pPr>
                                    <w:pStyle w:val="Other0"/>
                                    <w:tabs>
                                      <w:tab w:val="left" w:pos="3745"/>
                                      <w:tab w:val="left" w:pos="6630"/>
                                    </w:tabs>
                                    <w:spacing w:line="240" w:lineRule="auto"/>
                                    <w:ind w:firstLine="980"/>
                                    <w:rPr>
                                      <w:sz w:val="16"/>
                                      <w:szCs w:val="16"/>
                                    </w:rPr>
                                  </w:pPr>
                                  <w:r>
                                    <w:rPr>
                                      <w:rFonts w:ascii="Times New Roman" w:eastAsia="Times New Roman" w:hAnsi="Times New Roman" w:cs="Times New Roman"/>
                                      <w:color w:val="000000"/>
                                      <w:sz w:val="16"/>
                                      <w:szCs w:val="16"/>
                                    </w:rPr>
                                    <w:t>Permetrina al 1%</w:t>
                                  </w:r>
                                  <w:r>
                                    <w:rPr>
                                      <w:rFonts w:ascii="Times New Roman" w:eastAsia="Times New Roman" w:hAnsi="Times New Roman" w:cs="Times New Roman"/>
                                      <w:color w:val="000000"/>
                                      <w:sz w:val="16"/>
                                      <w:szCs w:val="16"/>
                                      <w:vertAlign w:val="superscript"/>
                                    </w:rPr>
                                    <w:t>83</w:t>
                                  </w:r>
                                  <w:r>
                                    <w:rPr>
                                      <w:rFonts w:ascii="Times New Roman" w:eastAsia="Times New Roman" w:hAnsi="Times New Roman" w:cs="Times New Roman"/>
                                      <w:color w:val="000000"/>
                                      <w:sz w:val="16"/>
                                      <w:szCs w:val="16"/>
                                    </w:rPr>
                                    <w:tab/>
                                    <w:t>Aplicación tópica</w:t>
                                  </w:r>
                                  <w:r>
                                    <w:rPr>
                                      <w:rFonts w:ascii="Times New Roman" w:eastAsia="Times New Roman" w:hAnsi="Times New Roman" w:cs="Times New Roman"/>
                                      <w:color w:val="000000"/>
                                      <w:sz w:val="16"/>
                                      <w:szCs w:val="16"/>
                                    </w:rPr>
                                    <w:tab/>
                                    <w:t>Aplicación tópica</w:t>
                                  </w:r>
                                </w:p>
                              </w:tc>
                            </w:tr>
                            <w:tr w:rsidR="00924992" w14:paraId="3556DFD1" w14:textId="77777777">
                              <w:tblPrEx>
                                <w:tblCellMar>
                                  <w:top w:w="0" w:type="dxa"/>
                                  <w:bottom w:w="0" w:type="dxa"/>
                                </w:tblCellMar>
                              </w:tblPrEx>
                              <w:trPr>
                                <w:trHeight w:hRule="exact" w:val="422"/>
                              </w:trPr>
                              <w:tc>
                                <w:tcPr>
                                  <w:tcW w:w="1853" w:type="dxa"/>
                                  <w:shd w:val="clear" w:color="auto" w:fill="FFFFFF"/>
                                </w:tcPr>
                                <w:p w14:paraId="0D806D21" w14:textId="77777777" w:rsidR="00924992" w:rsidRDefault="00924992">
                                  <w:pPr>
                                    <w:pStyle w:val="Other0"/>
                                    <w:spacing w:line="240" w:lineRule="auto"/>
                                    <w:ind w:firstLine="0"/>
                                    <w:rPr>
                                      <w:sz w:val="16"/>
                                      <w:szCs w:val="16"/>
                                    </w:rPr>
                                  </w:pPr>
                                  <w:r>
                                    <w:rPr>
                                      <w:rFonts w:ascii="Times New Roman" w:eastAsia="Times New Roman" w:hAnsi="Times New Roman" w:cs="Times New Roman"/>
                                      <w:b/>
                                      <w:bCs/>
                                      <w:color w:val="000000"/>
                                      <w:sz w:val="16"/>
                                      <w:szCs w:val="16"/>
                                    </w:rPr>
                                    <w:t>O</w:t>
                                  </w:r>
                                </w:p>
                                <w:p w14:paraId="12E74BBB" w14:textId="77777777" w:rsidR="00924992" w:rsidRDefault="00924992">
                                  <w:pPr>
                                    <w:pStyle w:val="Other0"/>
                                    <w:spacing w:line="240" w:lineRule="auto"/>
                                    <w:ind w:firstLine="0"/>
                                    <w:rPr>
                                      <w:sz w:val="16"/>
                                      <w:szCs w:val="16"/>
                                    </w:rPr>
                                  </w:pPr>
                                  <w:r>
                                    <w:rPr>
                                      <w:rFonts w:ascii="Times New Roman" w:eastAsia="Times New Roman" w:hAnsi="Times New Roman" w:cs="Times New Roman"/>
                                      <w:color w:val="000000"/>
                                      <w:sz w:val="16"/>
                                      <w:szCs w:val="16"/>
                                    </w:rPr>
                                    <w:t>Fármacos alternativos:</w:t>
                                  </w:r>
                                </w:p>
                              </w:tc>
                              <w:tc>
                                <w:tcPr>
                                  <w:tcW w:w="9509" w:type="dxa"/>
                                  <w:shd w:val="clear" w:color="auto" w:fill="FFFFFF"/>
                                </w:tcPr>
                                <w:p w14:paraId="4E50F603" w14:textId="77777777" w:rsidR="00924992" w:rsidRDefault="00924992">
                                  <w:pPr>
                                    <w:pStyle w:val="Other0"/>
                                    <w:tabs>
                                      <w:tab w:val="left" w:pos="3788"/>
                                      <w:tab w:val="left" w:pos="6615"/>
                                    </w:tabs>
                                    <w:spacing w:line="240" w:lineRule="auto"/>
                                    <w:ind w:firstLine="980"/>
                                    <w:rPr>
                                      <w:sz w:val="16"/>
                                      <w:szCs w:val="16"/>
                                    </w:rPr>
                                  </w:pPr>
                                  <w:r>
                                    <w:rPr>
                                      <w:rFonts w:ascii="Times New Roman" w:eastAsia="Times New Roman" w:hAnsi="Times New Roman" w:cs="Times New Roman"/>
                                      <w:color w:val="000000"/>
                                      <w:sz w:val="16"/>
                                      <w:szCs w:val="16"/>
                                    </w:rPr>
                                    <w:t>Malatión al 0.5%</w:t>
                                  </w:r>
                                  <w:r>
                                    <w:rPr>
                                      <w:rFonts w:ascii="Times New Roman" w:eastAsia="Times New Roman" w:hAnsi="Times New Roman" w:cs="Times New Roman"/>
                                      <w:color w:val="000000"/>
                                      <w:sz w:val="16"/>
                                      <w:szCs w:val="16"/>
                                      <w:vertAlign w:val="superscript"/>
                                    </w:rPr>
                                    <w:t>84</w:t>
                                  </w:r>
                                  <w:r>
                                    <w:rPr>
                                      <w:rFonts w:ascii="Times New Roman" w:eastAsia="Times New Roman" w:hAnsi="Times New Roman" w:cs="Times New Roman"/>
                                      <w:color w:val="000000"/>
                                      <w:sz w:val="16"/>
                                      <w:szCs w:val="16"/>
                                    </w:rPr>
                                    <w:tab/>
                                    <w:t>Aplicación tópica</w:t>
                                  </w:r>
                                  <w:r>
                                    <w:rPr>
                                      <w:rFonts w:ascii="Times New Roman" w:eastAsia="Times New Roman" w:hAnsi="Times New Roman" w:cs="Times New Roman"/>
                                      <w:color w:val="000000"/>
                                      <w:sz w:val="16"/>
                                      <w:szCs w:val="16"/>
                                    </w:rPr>
                                    <w:tab/>
                                    <w:t>Aplicación tópica</w:t>
                                  </w:r>
                                </w:p>
                                <w:p w14:paraId="12FAA9F5" w14:textId="77777777" w:rsidR="00924992" w:rsidRDefault="00924992">
                                  <w:pPr>
                                    <w:pStyle w:val="Other0"/>
                                    <w:tabs>
                                      <w:tab w:val="left" w:pos="6610"/>
                                    </w:tabs>
                                    <w:spacing w:line="240" w:lineRule="auto"/>
                                    <w:ind w:firstLine="980"/>
                                    <w:rPr>
                                      <w:sz w:val="16"/>
                                      <w:szCs w:val="16"/>
                                    </w:rPr>
                                  </w:pPr>
                                  <w:r>
                                    <w:rPr>
                                      <w:rFonts w:ascii="Times New Roman" w:eastAsia="Times New Roman" w:hAnsi="Times New Roman" w:cs="Times New Roman"/>
                                      <w:color w:val="000000"/>
                                      <w:sz w:val="16"/>
                                      <w:szCs w:val="16"/>
                                    </w:rPr>
                                    <w:t>Piretrinas con butóxido de piperonilo</w:t>
                                  </w:r>
                                  <w:r>
                                    <w:rPr>
                                      <w:rFonts w:ascii="Times New Roman" w:eastAsia="Times New Roman" w:hAnsi="Times New Roman" w:cs="Times New Roman"/>
                                      <w:color w:val="000000"/>
                                      <w:sz w:val="16"/>
                                      <w:szCs w:val="16"/>
                                      <w:vertAlign w:val="superscript"/>
                                    </w:rPr>
                                    <w:t>83</w:t>
                                  </w:r>
                                  <w:r>
                                    <w:rPr>
                                      <w:rFonts w:ascii="Times New Roman" w:eastAsia="Times New Roman" w:hAnsi="Times New Roman" w:cs="Times New Roman"/>
                                      <w:color w:val="000000"/>
                                      <w:sz w:val="16"/>
                                      <w:szCs w:val="16"/>
                                    </w:rPr>
                                    <w:t xml:space="preserve"> Aplicación tópica</w:t>
                                  </w:r>
                                  <w:r>
                                    <w:rPr>
                                      <w:rFonts w:ascii="Times New Roman" w:eastAsia="Times New Roman" w:hAnsi="Times New Roman" w:cs="Times New Roman"/>
                                      <w:color w:val="000000"/>
                                      <w:sz w:val="16"/>
                                      <w:szCs w:val="16"/>
                                    </w:rPr>
                                    <w:tab/>
                                    <w:t>Aplicación tópica</w:t>
                                  </w:r>
                                </w:p>
                              </w:tc>
                            </w:tr>
                            <w:tr w:rsidR="00924992" w14:paraId="4854AD35" w14:textId="77777777">
                              <w:tblPrEx>
                                <w:tblCellMar>
                                  <w:top w:w="0" w:type="dxa"/>
                                  <w:bottom w:w="0" w:type="dxa"/>
                                </w:tblCellMar>
                              </w:tblPrEx>
                              <w:trPr>
                                <w:trHeight w:hRule="exact" w:val="365"/>
                              </w:trPr>
                              <w:tc>
                                <w:tcPr>
                                  <w:tcW w:w="1853" w:type="dxa"/>
                                  <w:tcBorders>
                                    <w:bottom w:val="single" w:sz="4" w:space="0" w:color="auto"/>
                                  </w:tcBorders>
                                  <w:shd w:val="clear" w:color="auto" w:fill="FFFFFF"/>
                                </w:tcPr>
                                <w:p w14:paraId="60D51729" w14:textId="77777777" w:rsidR="00924992" w:rsidRDefault="00924992">
                                  <w:pPr>
                                    <w:pStyle w:val="Other0"/>
                                    <w:spacing w:line="240" w:lineRule="auto"/>
                                    <w:ind w:firstLine="0"/>
                                    <w:rPr>
                                      <w:sz w:val="16"/>
                                      <w:szCs w:val="16"/>
                                    </w:rPr>
                                  </w:pPr>
                                  <w:r>
                                    <w:rPr>
                                      <w:rFonts w:ascii="Times New Roman" w:eastAsia="Times New Roman" w:hAnsi="Times New Roman" w:cs="Times New Roman"/>
                                      <w:b/>
                                      <w:bCs/>
                                      <w:color w:val="000000"/>
                                      <w:sz w:val="16"/>
                                      <w:szCs w:val="16"/>
                                    </w:rPr>
                                    <w:t>O</w:t>
                                  </w:r>
                                </w:p>
                              </w:tc>
                              <w:tc>
                                <w:tcPr>
                                  <w:tcW w:w="9509" w:type="dxa"/>
                                  <w:tcBorders>
                                    <w:bottom w:val="single" w:sz="4" w:space="0" w:color="auto"/>
                                  </w:tcBorders>
                                  <w:shd w:val="clear" w:color="auto" w:fill="FFFFFF"/>
                                </w:tcPr>
                                <w:p w14:paraId="69E66F9C" w14:textId="77777777" w:rsidR="00924992" w:rsidRDefault="00924992">
                                  <w:pPr>
                                    <w:pStyle w:val="Other0"/>
                                    <w:tabs>
                                      <w:tab w:val="left" w:pos="3750"/>
                                      <w:tab w:val="left" w:pos="6644"/>
                                    </w:tabs>
                                    <w:spacing w:line="240" w:lineRule="auto"/>
                                    <w:ind w:firstLine="980"/>
                                    <w:rPr>
                                      <w:sz w:val="16"/>
                                      <w:szCs w:val="16"/>
                                    </w:rPr>
                                  </w:pPr>
                                  <w:r>
                                    <w:rPr>
                                      <w:rFonts w:ascii="Times New Roman" w:eastAsia="Times New Roman" w:hAnsi="Times New Roman" w:cs="Times New Roman"/>
                                      <w:color w:val="000000"/>
                                      <w:sz w:val="16"/>
                                      <w:szCs w:val="16"/>
                                    </w:rPr>
                                    <w:t>Ivermectina</w:t>
                                  </w:r>
                                  <w:r>
                                    <w:rPr>
                                      <w:rFonts w:ascii="Times New Roman" w:eastAsia="Times New Roman" w:hAnsi="Times New Roman" w:cs="Times New Roman"/>
                                      <w:color w:val="000000"/>
                                      <w:sz w:val="16"/>
                                      <w:szCs w:val="16"/>
                                      <w:vertAlign w:val="superscript"/>
                                    </w:rPr>
                                    <w:t>3,85</w:t>
                                  </w:r>
                                  <w:r>
                                    <w:rPr>
                                      <w:rFonts w:ascii="Times New Roman" w:eastAsia="Times New Roman" w:hAnsi="Times New Roman" w:cs="Times New Roman"/>
                                      <w:color w:val="000000"/>
                                      <w:sz w:val="16"/>
                                      <w:szCs w:val="16"/>
                                    </w:rPr>
                                    <w:tab/>
                                    <w:t>200 pg/kg una vez</w:t>
                                  </w:r>
                                  <w:r>
                                    <w:rPr>
                                      <w:rFonts w:ascii="Times New Roman" w:eastAsia="Times New Roman" w:hAnsi="Times New Roman" w:cs="Times New Roman"/>
                                      <w:color w:val="000000"/>
                                      <w:sz w:val="16"/>
                                      <w:szCs w:val="16"/>
                                    </w:rPr>
                                    <w:tab/>
                                    <w:t>200 pg/kg una vez</w:t>
                                  </w:r>
                                </w:p>
                              </w:tc>
                            </w:tr>
                          </w:tbl>
                          <w:p w14:paraId="7385958E" w14:textId="77777777" w:rsidR="00924992" w:rsidRDefault="00924992">
                            <w:pPr>
                              <w:spacing w:line="1" w:lineRule="exact"/>
                            </w:pPr>
                          </w:p>
                        </w:txbxContent>
                      </wps:txbx>
                      <wps:bodyPr lIns="0" tIns="0" rIns="0" bIns="0"/>
                    </wps:wsp>
                  </a:graphicData>
                </a:graphic>
              </wp:anchor>
            </w:drawing>
          </mc:Choice>
          <mc:Fallback>
            <w:pict>
              <v:shape w14:anchorId="20915854" id="Shape 2436" o:spid="_x0000_s1099" type="#_x0000_t202" style="position:absolute;margin-left:33.6pt;margin-top:201.35pt;width:568.1pt;height:50.15pt;z-index:251721728;visibility:visible;mso-wrap-style:square;mso-wrap-distance-left:9pt;mso-wrap-distance-top:31.45pt;mso-wrap-distance-right:9pt;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" filled="f" stroked="f">
                <v:textbox inset="0,0,0,0">
                  <w:txbxContent>
                    <w:tbl>
                      <w:tblPr>
                        <w:tblOverlap w:val="never"/>
                        <w:tblW w:w="0" w:type="auto"/>
                        <w:tblLayout w:type="fixed"/>
                        <w:tblCellMar>
                          <w:left w:w="10" w:type="dxa"/>
                          <w:right w:w="10" w:type="dxa"/>
                        </w:tblCellMar>
                        <w:tblLook w:val="04A0" w:firstRow="1" w:lastRow="0" w:firstColumn="1" w:lastColumn="0" w:noHBand="0" w:noVBand="1"/>
                      </w:tblPr>
                      <w:tblGrid>
                        <w:gridCol w:w="1853"/>
                        <w:gridCol w:w="9509"/>
                      </w:tblGrid>
                      <w:tr w:rsidR="00924992" w14:paraId="35C624D9" w14:textId="77777777">
                        <w:tblPrEx>
                          <w:tblCellMar>
                            <w:top w:w="0" w:type="dxa"/>
                            <w:bottom w:w="0" w:type="dxa"/>
                          </w:tblCellMar>
                        </w:tblPrEx>
                        <w:trPr>
                          <w:trHeight w:hRule="exact" w:val="216"/>
                          <w:tblHeader/>
                        </w:trPr>
                        <w:tc>
                          <w:tcPr>
                            <w:tcW w:w="1853" w:type="dxa"/>
                            <w:shd w:val="clear" w:color="auto" w:fill="FFFFFF"/>
                          </w:tcPr>
                          <w:p w14:paraId="4714231A" w14:textId="77777777" w:rsidR="00924992" w:rsidRDefault="00924992">
                            <w:pPr>
                              <w:pStyle w:val="Other0"/>
                              <w:spacing w:line="240" w:lineRule="auto"/>
                              <w:ind w:firstLine="0"/>
                              <w:rPr>
                                <w:sz w:val="16"/>
                                <w:szCs w:val="16"/>
                              </w:rPr>
                            </w:pPr>
                            <w:r>
                              <w:rPr>
                                <w:rFonts w:ascii="Times New Roman" w:eastAsia="Times New Roman" w:hAnsi="Times New Roman" w:cs="Times New Roman"/>
                                <w:color w:val="000000"/>
                                <w:sz w:val="16"/>
                                <w:szCs w:val="16"/>
                              </w:rPr>
                              <w:t>Fármaco más indicado:</w:t>
                            </w:r>
                          </w:p>
                        </w:tc>
                        <w:tc>
                          <w:tcPr>
                            <w:tcW w:w="9509" w:type="dxa"/>
                            <w:shd w:val="clear" w:color="auto" w:fill="FFFFFF"/>
                          </w:tcPr>
                          <w:p w14:paraId="6A937396" w14:textId="77777777" w:rsidR="00924992" w:rsidRDefault="00924992">
                            <w:pPr>
                              <w:pStyle w:val="Other0"/>
                              <w:tabs>
                                <w:tab w:val="left" w:pos="3745"/>
                                <w:tab w:val="left" w:pos="6630"/>
                              </w:tabs>
                              <w:spacing w:line="240" w:lineRule="auto"/>
                              <w:ind w:firstLine="980"/>
                              <w:rPr>
                                <w:sz w:val="16"/>
                                <w:szCs w:val="16"/>
                              </w:rPr>
                            </w:pPr>
                            <w:r>
                              <w:rPr>
                                <w:rFonts w:ascii="Times New Roman" w:eastAsia="Times New Roman" w:hAnsi="Times New Roman" w:cs="Times New Roman"/>
                                <w:color w:val="000000"/>
                                <w:sz w:val="16"/>
                                <w:szCs w:val="16"/>
                              </w:rPr>
                              <w:t>Permetrina al 1%</w:t>
                            </w:r>
                            <w:r>
                              <w:rPr>
                                <w:rFonts w:ascii="Times New Roman" w:eastAsia="Times New Roman" w:hAnsi="Times New Roman" w:cs="Times New Roman"/>
                                <w:color w:val="000000"/>
                                <w:sz w:val="16"/>
                                <w:szCs w:val="16"/>
                                <w:vertAlign w:val="superscript"/>
                              </w:rPr>
                              <w:t>83</w:t>
                            </w:r>
                            <w:r>
                              <w:rPr>
                                <w:rFonts w:ascii="Times New Roman" w:eastAsia="Times New Roman" w:hAnsi="Times New Roman" w:cs="Times New Roman"/>
                                <w:color w:val="000000"/>
                                <w:sz w:val="16"/>
                                <w:szCs w:val="16"/>
                              </w:rPr>
                              <w:tab/>
                              <w:t>Aplicación tópica</w:t>
                            </w:r>
                            <w:r>
                              <w:rPr>
                                <w:rFonts w:ascii="Times New Roman" w:eastAsia="Times New Roman" w:hAnsi="Times New Roman" w:cs="Times New Roman"/>
                                <w:color w:val="000000"/>
                                <w:sz w:val="16"/>
                                <w:szCs w:val="16"/>
                              </w:rPr>
                              <w:tab/>
                              <w:t>Aplicación tópica</w:t>
                            </w:r>
                          </w:p>
                        </w:tc>
                      </w:tr>
                      <w:tr w:rsidR="00924992" w14:paraId="3556DFD1" w14:textId="77777777">
                        <w:tblPrEx>
                          <w:tblCellMar>
                            <w:top w:w="0" w:type="dxa"/>
                            <w:bottom w:w="0" w:type="dxa"/>
                          </w:tblCellMar>
                        </w:tblPrEx>
                        <w:trPr>
                          <w:trHeight w:hRule="exact" w:val="422"/>
                        </w:trPr>
                        <w:tc>
                          <w:tcPr>
                            <w:tcW w:w="1853" w:type="dxa"/>
                            <w:shd w:val="clear" w:color="auto" w:fill="FFFFFF"/>
                          </w:tcPr>
                          <w:p w14:paraId="0D806D21" w14:textId="77777777" w:rsidR="00924992" w:rsidRDefault="00924992">
                            <w:pPr>
                              <w:pStyle w:val="Other0"/>
                              <w:spacing w:line="240" w:lineRule="auto"/>
                              <w:ind w:firstLine="0"/>
                              <w:rPr>
                                <w:sz w:val="16"/>
                                <w:szCs w:val="16"/>
                              </w:rPr>
                            </w:pPr>
                            <w:r>
                              <w:rPr>
                                <w:rFonts w:ascii="Times New Roman" w:eastAsia="Times New Roman" w:hAnsi="Times New Roman" w:cs="Times New Roman"/>
                                <w:b/>
                                <w:bCs/>
                                <w:color w:val="000000"/>
                                <w:sz w:val="16"/>
                                <w:szCs w:val="16"/>
                              </w:rPr>
                              <w:t>O</w:t>
                            </w:r>
                          </w:p>
                          <w:p w14:paraId="12E74BBB" w14:textId="77777777" w:rsidR="00924992" w:rsidRDefault="00924992">
                            <w:pPr>
                              <w:pStyle w:val="Other0"/>
                              <w:spacing w:line="240" w:lineRule="auto"/>
                              <w:ind w:firstLine="0"/>
                              <w:rPr>
                                <w:sz w:val="16"/>
                                <w:szCs w:val="16"/>
                              </w:rPr>
                            </w:pPr>
                            <w:r>
                              <w:rPr>
                                <w:rFonts w:ascii="Times New Roman" w:eastAsia="Times New Roman" w:hAnsi="Times New Roman" w:cs="Times New Roman"/>
                                <w:color w:val="000000"/>
                                <w:sz w:val="16"/>
                                <w:szCs w:val="16"/>
                              </w:rPr>
                              <w:t>Fármacos alternativos:</w:t>
                            </w:r>
                          </w:p>
                        </w:tc>
                        <w:tc>
                          <w:tcPr>
                            <w:tcW w:w="9509" w:type="dxa"/>
                            <w:shd w:val="clear" w:color="auto" w:fill="FFFFFF"/>
                          </w:tcPr>
                          <w:p w14:paraId="4E50F603" w14:textId="77777777" w:rsidR="00924992" w:rsidRDefault="00924992">
                            <w:pPr>
                              <w:pStyle w:val="Other0"/>
                              <w:tabs>
                                <w:tab w:val="left" w:pos="3788"/>
                                <w:tab w:val="left" w:pos="6615"/>
                              </w:tabs>
                              <w:spacing w:line="240" w:lineRule="auto"/>
                              <w:ind w:firstLine="980"/>
                              <w:rPr>
                                <w:sz w:val="16"/>
                                <w:szCs w:val="16"/>
                              </w:rPr>
                            </w:pPr>
                            <w:r>
                              <w:rPr>
                                <w:rFonts w:ascii="Times New Roman" w:eastAsia="Times New Roman" w:hAnsi="Times New Roman" w:cs="Times New Roman"/>
                                <w:color w:val="000000"/>
                                <w:sz w:val="16"/>
                                <w:szCs w:val="16"/>
                              </w:rPr>
                              <w:t>Malatión al 0.5%</w:t>
                            </w:r>
                            <w:r>
                              <w:rPr>
                                <w:rFonts w:ascii="Times New Roman" w:eastAsia="Times New Roman" w:hAnsi="Times New Roman" w:cs="Times New Roman"/>
                                <w:color w:val="000000"/>
                                <w:sz w:val="16"/>
                                <w:szCs w:val="16"/>
                                <w:vertAlign w:val="superscript"/>
                              </w:rPr>
                              <w:t>84</w:t>
                            </w:r>
                            <w:r>
                              <w:rPr>
                                <w:rFonts w:ascii="Times New Roman" w:eastAsia="Times New Roman" w:hAnsi="Times New Roman" w:cs="Times New Roman"/>
                                <w:color w:val="000000"/>
                                <w:sz w:val="16"/>
                                <w:szCs w:val="16"/>
                              </w:rPr>
                              <w:tab/>
                              <w:t>Aplicación tópica</w:t>
                            </w:r>
                            <w:r>
                              <w:rPr>
                                <w:rFonts w:ascii="Times New Roman" w:eastAsia="Times New Roman" w:hAnsi="Times New Roman" w:cs="Times New Roman"/>
                                <w:color w:val="000000"/>
                                <w:sz w:val="16"/>
                                <w:szCs w:val="16"/>
                              </w:rPr>
                              <w:tab/>
                              <w:t>Aplicación tópica</w:t>
                            </w:r>
                          </w:p>
                          <w:p w14:paraId="12FAA9F5" w14:textId="77777777" w:rsidR="00924992" w:rsidRDefault="00924992">
                            <w:pPr>
                              <w:pStyle w:val="Other0"/>
                              <w:tabs>
                                <w:tab w:val="left" w:pos="6610"/>
                              </w:tabs>
                              <w:spacing w:line="240" w:lineRule="auto"/>
                              <w:ind w:firstLine="980"/>
                              <w:rPr>
                                <w:sz w:val="16"/>
                                <w:szCs w:val="16"/>
                              </w:rPr>
                            </w:pPr>
                            <w:r>
                              <w:rPr>
                                <w:rFonts w:ascii="Times New Roman" w:eastAsia="Times New Roman" w:hAnsi="Times New Roman" w:cs="Times New Roman"/>
                                <w:color w:val="000000"/>
                                <w:sz w:val="16"/>
                                <w:szCs w:val="16"/>
                              </w:rPr>
                              <w:t>Piretrinas con butóxido de piperonilo</w:t>
                            </w:r>
                            <w:r>
                              <w:rPr>
                                <w:rFonts w:ascii="Times New Roman" w:eastAsia="Times New Roman" w:hAnsi="Times New Roman" w:cs="Times New Roman"/>
                                <w:color w:val="000000"/>
                                <w:sz w:val="16"/>
                                <w:szCs w:val="16"/>
                                <w:vertAlign w:val="superscript"/>
                              </w:rPr>
                              <w:t>83</w:t>
                            </w:r>
                            <w:r>
                              <w:rPr>
                                <w:rFonts w:ascii="Times New Roman" w:eastAsia="Times New Roman" w:hAnsi="Times New Roman" w:cs="Times New Roman"/>
                                <w:color w:val="000000"/>
                                <w:sz w:val="16"/>
                                <w:szCs w:val="16"/>
                              </w:rPr>
                              <w:t xml:space="preserve"> Aplicación tópica</w:t>
                            </w:r>
                            <w:r>
                              <w:rPr>
                                <w:rFonts w:ascii="Times New Roman" w:eastAsia="Times New Roman" w:hAnsi="Times New Roman" w:cs="Times New Roman"/>
                                <w:color w:val="000000"/>
                                <w:sz w:val="16"/>
                                <w:szCs w:val="16"/>
                              </w:rPr>
                              <w:tab/>
                              <w:t>Aplicación tópica</w:t>
                            </w:r>
                          </w:p>
                        </w:tc>
                      </w:tr>
                      <w:tr w:rsidR="00924992" w14:paraId="4854AD35" w14:textId="77777777">
                        <w:tblPrEx>
                          <w:tblCellMar>
                            <w:top w:w="0" w:type="dxa"/>
                            <w:bottom w:w="0" w:type="dxa"/>
                          </w:tblCellMar>
                        </w:tblPrEx>
                        <w:trPr>
                          <w:trHeight w:hRule="exact" w:val="365"/>
                        </w:trPr>
                        <w:tc>
                          <w:tcPr>
                            <w:tcW w:w="1853" w:type="dxa"/>
                            <w:tcBorders>
                              <w:bottom w:val="single" w:sz="4" w:space="0" w:color="auto"/>
                            </w:tcBorders>
                            <w:shd w:val="clear" w:color="auto" w:fill="FFFFFF"/>
                          </w:tcPr>
                          <w:p w14:paraId="60D51729" w14:textId="77777777" w:rsidR="00924992" w:rsidRDefault="00924992">
                            <w:pPr>
                              <w:pStyle w:val="Other0"/>
                              <w:spacing w:line="240" w:lineRule="auto"/>
                              <w:ind w:firstLine="0"/>
                              <w:rPr>
                                <w:sz w:val="16"/>
                                <w:szCs w:val="16"/>
                              </w:rPr>
                            </w:pPr>
                            <w:r>
                              <w:rPr>
                                <w:rFonts w:ascii="Times New Roman" w:eastAsia="Times New Roman" w:hAnsi="Times New Roman" w:cs="Times New Roman"/>
                                <w:b/>
                                <w:bCs/>
                                <w:color w:val="000000"/>
                                <w:sz w:val="16"/>
                                <w:szCs w:val="16"/>
                              </w:rPr>
                              <w:t>O</w:t>
                            </w:r>
                          </w:p>
                        </w:tc>
                        <w:tc>
                          <w:tcPr>
                            <w:tcW w:w="9509" w:type="dxa"/>
                            <w:tcBorders>
                              <w:bottom w:val="single" w:sz="4" w:space="0" w:color="auto"/>
                            </w:tcBorders>
                            <w:shd w:val="clear" w:color="auto" w:fill="FFFFFF"/>
                          </w:tcPr>
                          <w:p w14:paraId="69E66F9C" w14:textId="77777777" w:rsidR="00924992" w:rsidRDefault="00924992">
                            <w:pPr>
                              <w:pStyle w:val="Other0"/>
                              <w:tabs>
                                <w:tab w:val="left" w:pos="3750"/>
                                <w:tab w:val="left" w:pos="6644"/>
                              </w:tabs>
                              <w:spacing w:line="240" w:lineRule="auto"/>
                              <w:ind w:firstLine="980"/>
                              <w:rPr>
                                <w:sz w:val="16"/>
                                <w:szCs w:val="16"/>
                              </w:rPr>
                            </w:pPr>
                            <w:r>
                              <w:rPr>
                                <w:rFonts w:ascii="Times New Roman" w:eastAsia="Times New Roman" w:hAnsi="Times New Roman" w:cs="Times New Roman"/>
                                <w:color w:val="000000"/>
                                <w:sz w:val="16"/>
                                <w:szCs w:val="16"/>
                              </w:rPr>
                              <w:t>Ivermectina</w:t>
                            </w:r>
                            <w:r>
                              <w:rPr>
                                <w:rFonts w:ascii="Times New Roman" w:eastAsia="Times New Roman" w:hAnsi="Times New Roman" w:cs="Times New Roman"/>
                                <w:color w:val="000000"/>
                                <w:sz w:val="16"/>
                                <w:szCs w:val="16"/>
                                <w:vertAlign w:val="superscript"/>
                              </w:rPr>
                              <w:t>3,85</w:t>
                            </w:r>
                            <w:r>
                              <w:rPr>
                                <w:rFonts w:ascii="Times New Roman" w:eastAsia="Times New Roman" w:hAnsi="Times New Roman" w:cs="Times New Roman"/>
                                <w:color w:val="000000"/>
                                <w:sz w:val="16"/>
                                <w:szCs w:val="16"/>
                              </w:rPr>
                              <w:tab/>
                              <w:t>200 pg/kg una vez</w:t>
                            </w:r>
                            <w:r>
                              <w:rPr>
                                <w:rFonts w:ascii="Times New Roman" w:eastAsia="Times New Roman" w:hAnsi="Times New Roman" w:cs="Times New Roman"/>
                                <w:color w:val="000000"/>
                                <w:sz w:val="16"/>
                                <w:szCs w:val="16"/>
                              </w:rPr>
                              <w:tab/>
                              <w:t>200 pg/kg una vez</w:t>
                            </w:r>
                          </w:p>
                        </w:tc>
                      </w:tr>
                    </w:tbl>
                    <w:p w14:paraId="7385958E" w14:textId="77777777" w:rsidR="00924992" w:rsidRDefault="00924992">
                      <w:pPr>
                        <w:spacing w:line="1" w:lineRule="exact"/>
                      </w:pPr>
                    </w:p>
                  </w:txbxContent>
                </v:textbox>
                <w10:wrap type="topAndBottom" anchorx="page"/>
              </v:shape>
            </w:pict>
          </mc:Fallback>
        </mc:AlternateContent>
      </w:r>
      <w:r>
        <w:rPr>
          <w:noProof/>
        </w:rPr>
        <mc:AlternateContent>
          <mc:Choice Requires="wps">
            <w:drawing>
              <wp:anchor distT="0" distB="0" distL="0" distR="0" simplePos="0" relativeHeight="251798528" behindDoc="0" locked="0" layoutInCell="1" allowOverlap="1" wp14:anchorId="3EC6E27E" wp14:editId="6EEBE340">
                <wp:simplePos x="0" y="0"/>
                <wp:positionH relativeFrom="page">
                  <wp:posOffset>426720</wp:posOffset>
                </wp:positionH>
                <wp:positionV relativeFrom="paragraph">
                  <wp:posOffset>2157730</wp:posOffset>
                </wp:positionV>
                <wp:extent cx="3749040" cy="414655"/>
                <wp:effectExtent l="0" t="0" r="0" b="0"/>
                <wp:wrapNone/>
                <wp:docPr id="2438" name="Shape 2438"/>
                <wp:cNvGraphicFramePr/>
                <a:graphic xmlns:a="http://schemas.openxmlformats.org/drawingml/2006/main">
                  <a:graphicData uri="http://schemas.microsoft.com/office/word/2010/wordprocessingShape">
                    <wps:wsp>
                      <wps:cNvSpPr txBox="1"/>
                      <wps:spPr>
                        <a:xfrm>
                          <a:off x="0" y="0"/>
                          <a:ext cx="3749040" cy="414655"/>
                        </a:xfrm>
                        <a:prstGeom prst="rect">
                          <a:avLst/>
                        </a:prstGeom>
                        <a:noFill/>
                      </wps:spPr>
                      <wps:txbx>
                        <w:txbxContent>
                          <w:p w14:paraId="0873DCEF" w14:textId="77777777" w:rsidR="00924992" w:rsidRDefault="00924992">
                            <w:pPr>
                              <w:pStyle w:val="Tablecaption0"/>
                              <w:spacing w:line="240" w:lineRule="auto"/>
                              <w:ind w:left="0"/>
                              <w:rPr>
                                <w:sz w:val="16"/>
                                <w:szCs w:val="16"/>
                              </w:rPr>
                            </w:pPr>
                            <w:r>
                              <w:rPr>
                                <w:b/>
                                <w:bCs/>
                                <w:i/>
                                <w:iCs/>
                                <w:color w:val="000000"/>
                                <w:sz w:val="17"/>
                                <w:szCs w:val="17"/>
                              </w:rPr>
                              <w:t>Paragonimus westermani,</w:t>
                            </w:r>
                            <w:r>
                              <w:rPr>
                                <w:color w:val="000000"/>
                                <w:sz w:val="16"/>
                                <w:szCs w:val="16"/>
                              </w:rPr>
                              <w:t xml:space="preserve"> véase “DUELAS hermafroditas, infección”</w:t>
                            </w:r>
                          </w:p>
                          <w:p w14:paraId="5FEF68BB" w14:textId="77777777" w:rsidR="00924992" w:rsidRDefault="00924992">
                            <w:pPr>
                              <w:pStyle w:val="Tablecaption0"/>
                              <w:spacing w:line="240" w:lineRule="auto"/>
                              <w:ind w:left="0"/>
                              <w:rPr>
                                <w:sz w:val="16"/>
                                <w:szCs w:val="16"/>
                              </w:rPr>
                            </w:pPr>
                            <w:r>
                              <w:rPr>
                                <w:b/>
                                <w:bCs/>
                                <w:i/>
                                <w:iCs/>
                                <w:color w:val="000000"/>
                                <w:sz w:val="17"/>
                                <w:szCs w:val="17"/>
                              </w:rPr>
                              <w:t>Pediculus capitis, humanus, Phthiruspubis,</w:t>
                            </w:r>
                            <w:r>
                              <w:rPr>
                                <w:color w:val="000000"/>
                                <w:sz w:val="16"/>
                                <w:szCs w:val="16"/>
                              </w:rPr>
                              <w:t xml:space="preserve"> véase “PIOJOS, infestación”</w:t>
                            </w:r>
                          </w:p>
                          <w:p w14:paraId="7E91B8B4" w14:textId="77777777" w:rsidR="00924992" w:rsidRDefault="00924992">
                            <w:pPr>
                              <w:pStyle w:val="Tablecaption0"/>
                              <w:spacing w:line="240" w:lineRule="auto"/>
                              <w:ind w:left="0"/>
                              <w:rPr>
                                <w:sz w:val="16"/>
                                <w:szCs w:val="16"/>
                              </w:rPr>
                            </w:pPr>
                            <w:r>
                              <w:rPr>
                                <w:b/>
                                <w:bCs/>
                                <w:color w:val="000000"/>
                                <w:sz w:val="16"/>
                                <w:szCs w:val="16"/>
                              </w:rPr>
                              <w:t>PIOJOS</w:t>
                            </w:r>
                            <w:r>
                              <w:rPr>
                                <w:color w:val="000000"/>
                                <w:sz w:val="16"/>
                                <w:szCs w:val="16"/>
                              </w:rPr>
                              <w:t xml:space="preserve">, infestación </w:t>
                            </w:r>
                            <w:r>
                              <w:rPr>
                                <w:i/>
                                <w:iCs/>
                                <w:color w:val="000000"/>
                                <w:sz w:val="16"/>
                                <w:szCs w:val="16"/>
                              </w:rPr>
                              <w:t>(</w:t>
                            </w:r>
                            <w:r>
                              <w:rPr>
                                <w:color w:val="000000"/>
                                <w:sz w:val="16"/>
                                <w:szCs w:val="16"/>
                              </w:rPr>
                              <w:t xml:space="preserve">pediculosis por </w:t>
                            </w:r>
                            <w:r>
                              <w:rPr>
                                <w:i/>
                                <w:iCs/>
                                <w:color w:val="000000"/>
                                <w:sz w:val="16"/>
                                <w:szCs w:val="16"/>
                              </w:rPr>
                              <w:t>Pediculus humanus, P capitis, Phthiruspubis)</w:t>
                            </w:r>
                            <w:r>
                              <w:rPr>
                                <w:i/>
                                <w:iCs/>
                                <w:color w:val="000000"/>
                                <w:sz w:val="16"/>
                                <w:szCs w:val="16"/>
                                <w:vertAlign w:val="superscript"/>
                              </w:rPr>
                              <w:t>1</w:t>
                            </w:r>
                          </w:p>
                        </w:txbxContent>
                      </wps:txbx>
                      <wps:bodyPr lIns="0" tIns="0" rIns="0" bIns="0"/>
                    </wps:wsp>
                  </a:graphicData>
                </a:graphic>
              </wp:anchor>
            </w:drawing>
          </mc:Choice>
          <mc:Fallback>
            <w:pict>
              <v:shape w14:anchorId="3EC6E27E" id="Shape 2438" o:spid="_x0000_s1100" type="#_x0000_t202" style="position:absolute;margin-left:33.6pt;margin-top:169.9pt;width:295.2pt;height:32.65pt;z-index:25179852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" filled="f" stroked="f">
                <v:textbox inset="0,0,0,0">
                  <w:txbxContent>
                    <w:p w14:paraId="0873DCEF" w14:textId="77777777" w:rsidR="00924992" w:rsidRDefault="00924992">
                      <w:pPr>
                        <w:pStyle w:val="Tablecaption0"/>
                        <w:spacing w:line="240" w:lineRule="auto"/>
                        <w:ind w:left="0"/>
                        <w:rPr>
                          <w:sz w:val="16"/>
                          <w:szCs w:val="16"/>
                        </w:rPr>
                      </w:pPr>
                      <w:r>
                        <w:rPr>
                          <w:b/>
                          <w:bCs/>
                          <w:i/>
                          <w:iCs/>
                          <w:color w:val="000000"/>
                          <w:sz w:val="17"/>
                          <w:szCs w:val="17"/>
                        </w:rPr>
                        <w:t>Paragonimus westermani,</w:t>
                      </w:r>
                      <w:r>
                        <w:rPr>
                          <w:color w:val="000000"/>
                          <w:sz w:val="16"/>
                          <w:szCs w:val="16"/>
                        </w:rPr>
                        <w:t xml:space="preserve"> véase “DUELAS hermafroditas, infección”</w:t>
                      </w:r>
                    </w:p>
                    <w:p w14:paraId="5FEF68BB" w14:textId="77777777" w:rsidR="00924992" w:rsidRDefault="00924992">
                      <w:pPr>
                        <w:pStyle w:val="Tablecaption0"/>
                        <w:spacing w:line="240" w:lineRule="auto"/>
                        <w:ind w:left="0"/>
                        <w:rPr>
                          <w:sz w:val="16"/>
                          <w:szCs w:val="16"/>
                        </w:rPr>
                      </w:pPr>
                      <w:r>
                        <w:rPr>
                          <w:b/>
                          <w:bCs/>
                          <w:i/>
                          <w:iCs/>
                          <w:color w:val="000000"/>
                          <w:sz w:val="17"/>
                          <w:szCs w:val="17"/>
                        </w:rPr>
                        <w:t>Pediculus capitis, humanus, Phthiruspubis,</w:t>
                      </w:r>
                      <w:r>
                        <w:rPr>
                          <w:color w:val="000000"/>
                          <w:sz w:val="16"/>
                          <w:szCs w:val="16"/>
                        </w:rPr>
                        <w:t xml:space="preserve"> véase “PIOJOS, infestación”</w:t>
                      </w:r>
                    </w:p>
                    <w:p w14:paraId="7E91B8B4" w14:textId="77777777" w:rsidR="00924992" w:rsidRDefault="00924992">
                      <w:pPr>
                        <w:pStyle w:val="Tablecaption0"/>
                        <w:spacing w:line="240" w:lineRule="auto"/>
                        <w:ind w:left="0"/>
                        <w:rPr>
                          <w:sz w:val="16"/>
                          <w:szCs w:val="16"/>
                        </w:rPr>
                      </w:pPr>
                      <w:r>
                        <w:rPr>
                          <w:b/>
                          <w:bCs/>
                          <w:color w:val="000000"/>
                          <w:sz w:val="16"/>
                          <w:szCs w:val="16"/>
                        </w:rPr>
                        <w:t>PIOJOS</w:t>
                      </w:r>
                      <w:r>
                        <w:rPr>
                          <w:color w:val="000000"/>
                          <w:sz w:val="16"/>
                          <w:szCs w:val="16"/>
                        </w:rPr>
                        <w:t xml:space="preserve">, infestación </w:t>
                      </w:r>
                      <w:r>
                        <w:rPr>
                          <w:i/>
                          <w:iCs/>
                          <w:color w:val="000000"/>
                          <w:sz w:val="16"/>
                          <w:szCs w:val="16"/>
                        </w:rPr>
                        <w:t>(</w:t>
                      </w:r>
                      <w:r>
                        <w:rPr>
                          <w:color w:val="000000"/>
                          <w:sz w:val="16"/>
                          <w:szCs w:val="16"/>
                        </w:rPr>
                        <w:t xml:space="preserve">pediculosis por </w:t>
                      </w:r>
                      <w:r>
                        <w:rPr>
                          <w:i/>
                          <w:iCs/>
                          <w:color w:val="000000"/>
                          <w:sz w:val="16"/>
                          <w:szCs w:val="16"/>
                        </w:rPr>
                        <w:t>Pediculus humanus, P capitis, Phthiruspubis)</w:t>
                      </w:r>
                      <w:r>
                        <w:rPr>
                          <w:i/>
                          <w:iCs/>
                          <w:color w:val="000000"/>
                          <w:sz w:val="16"/>
                          <w:szCs w:val="16"/>
                          <w:vertAlign w:val="superscript"/>
                        </w:rPr>
                        <w:t>1</w:t>
                      </w:r>
                    </w:p>
                  </w:txbxContent>
                </v:textbox>
                <w10:wrap anchorx="page"/>
              </v:shape>
            </w:pict>
          </mc:Fallback>
        </mc:AlternateContent>
      </w:r>
    </w:p>
    <w:p w14:paraId="74E501A5" w14:textId="77777777" w:rsidR="00924992" w:rsidRDefault="00924992">
      <w:pPr>
        <w:pStyle w:val="Heading31"/>
        <w:keepNext/>
        <w:keepLines/>
        <w:jc w:val="center"/>
        <w:rPr>
          <w:sz w:val="16"/>
          <w:szCs w:val="16"/>
        </w:rPr>
        <w:sectPr w:rsidR="00924992" w:rsidSect="00924992">
          <w:pgSz w:w="13022" w:h="8501" w:orient="landscape"/>
          <w:pgMar w:top="470" w:right="442" w:bottom="961" w:left="634" w:header="42" w:footer="3" w:gutter="0"/>
          <w:cols w:space="720"/>
          <w:noEndnote/>
          <w:docGrid w:linePitch="360"/>
          <w15:footnoteColumns w:val="1"/>
        </w:sectPr>
      </w:pPr>
      <w:bookmarkStart w:id="616" w:name="bookmark2047"/>
      <w:bookmarkStart w:id="617" w:name="bookmark2048"/>
      <w:bookmarkStart w:id="618" w:name="bookmark2049"/>
      <w:r>
        <w:rPr>
          <w:b w:val="0"/>
          <w:bCs w:val="0"/>
          <w:color w:val="000000"/>
        </w:rPr>
        <w:t xml:space="preserve">Cuadro 4-13. </w:t>
      </w:r>
      <w:r>
        <w:rPr>
          <w:color w:val="000000"/>
        </w:rPr>
        <w:t xml:space="preserve">Fármacos antiparasitarios </w:t>
      </w:r>
      <w:r>
        <w:rPr>
          <w:rFonts w:ascii="Times New Roman" w:eastAsia="Times New Roman" w:hAnsi="Times New Roman" w:cs="Times New Roman"/>
          <w:b w:val="0"/>
          <w:bCs w:val="0"/>
          <w:i/>
          <w:iCs/>
          <w:color w:val="000000"/>
          <w:w w:val="100"/>
          <w:sz w:val="16"/>
          <w:szCs w:val="16"/>
        </w:rPr>
        <w:t>continuación</w:t>
      </w:r>
      <w:bookmarkEnd w:id="616"/>
      <w:bookmarkEnd w:id="617"/>
      <w:bookmarkEnd w:id="618"/>
      <w:r>
        <w:rPr>
          <w:rFonts w:ascii="Times New Roman" w:eastAsia="Times New Roman" w:hAnsi="Times New Roman" w:cs="Times New Roman"/>
          <w:b w:val="0"/>
          <w:bCs w:val="0"/>
          <w:i/>
          <w:iCs/>
          <w:color w:val="000000"/>
          <w:w w:val="100"/>
          <w:sz w:val="16"/>
          <w:szCs w:val="16"/>
        </w:rPr>
        <w:t xml:space="preserve"> </w:t>
      </w:r>
      <w:r>
        <w:rPr>
          <w:rFonts w:ascii="Times New Roman" w:eastAsia="Times New Roman" w:hAnsi="Times New Roman" w:cs="Times New Roman"/>
          <w:b w:val="0"/>
          <w:bCs w:val="0"/>
          <w:i/>
          <w:iCs/>
          <w:color w:val="000000"/>
          <w:w w:val="100"/>
          <w:sz w:val="16"/>
          <w:szCs w:val="16"/>
          <w:vertAlign w:val="superscript"/>
        </w:rPr>
        <w:footnoteReference w:id="45"/>
      </w:r>
      <w:r>
        <w:rPr>
          <w:rFonts w:ascii="Times New Roman" w:eastAsia="Times New Roman" w:hAnsi="Times New Roman" w:cs="Times New Roman"/>
          <w:b w:val="0"/>
          <w:bCs w:val="0"/>
          <w:i/>
          <w:iCs/>
          <w:color w:val="000000"/>
          <w:w w:val="100"/>
          <w:sz w:val="16"/>
          <w:szCs w:val="16"/>
          <w:vertAlign w:val="superscript"/>
        </w:rPr>
        <w:t xml:space="preserve"> </w:t>
      </w:r>
      <w:r>
        <w:rPr>
          <w:rFonts w:ascii="Times New Roman" w:eastAsia="Times New Roman" w:hAnsi="Times New Roman" w:cs="Times New Roman"/>
          <w:b w:val="0"/>
          <w:bCs w:val="0"/>
          <w:i/>
          <w:iCs/>
          <w:color w:val="000000"/>
          <w:w w:val="100"/>
          <w:sz w:val="16"/>
          <w:szCs w:val="16"/>
          <w:vertAlign w:val="superscript"/>
        </w:rPr>
        <w:footnoteReference w:id="46"/>
      </w:r>
      <w:r>
        <w:rPr>
          <w:rFonts w:ascii="Times New Roman" w:eastAsia="Times New Roman" w:hAnsi="Times New Roman" w:cs="Times New Roman"/>
          <w:b w:val="0"/>
          <w:bCs w:val="0"/>
          <w:i/>
          <w:iCs/>
          <w:color w:val="000000"/>
          <w:w w:val="100"/>
          <w:sz w:val="16"/>
          <w:szCs w:val="16"/>
          <w:vertAlign w:val="superscript"/>
        </w:rPr>
        <w:t xml:space="preserve"> </w:t>
      </w:r>
      <w:r>
        <w:rPr>
          <w:rFonts w:ascii="Times New Roman" w:eastAsia="Times New Roman" w:hAnsi="Times New Roman" w:cs="Times New Roman"/>
          <w:b w:val="0"/>
          <w:bCs w:val="0"/>
          <w:i/>
          <w:iCs/>
          <w:color w:val="000000"/>
          <w:w w:val="100"/>
          <w:sz w:val="16"/>
          <w:szCs w:val="16"/>
          <w:vertAlign w:val="superscript"/>
        </w:rPr>
        <w:footnoteReference w:id="47"/>
      </w:r>
    </w:p>
    <w:p w14:paraId="107D1161" w14:textId="77777777" w:rsidR="00924992" w:rsidRDefault="00924992">
      <w:pPr>
        <w:pStyle w:val="Heading31"/>
        <w:keepNext/>
        <w:keepLines/>
        <w:framePr w:w="4618" w:h="322" w:wrap="none" w:hAnchor="page" w:x="4038" w:y="1"/>
        <w:rPr>
          <w:sz w:val="16"/>
          <w:szCs w:val="16"/>
        </w:rPr>
      </w:pPr>
      <w:bookmarkStart w:id="619" w:name="bookmark2050"/>
      <w:bookmarkStart w:id="620" w:name="bookmark2051"/>
      <w:bookmarkStart w:id="621" w:name="bookmark2052"/>
      <w:r>
        <w:rPr>
          <w:b w:val="0"/>
          <w:bCs w:val="0"/>
          <w:color w:val="000000"/>
        </w:rPr>
        <w:t xml:space="preserve">Cuadro 4-13. </w:t>
      </w:r>
      <w:r>
        <w:rPr>
          <w:color w:val="000000"/>
        </w:rPr>
        <w:t xml:space="preserve">Fármacos antiparasitarios </w:t>
      </w:r>
      <w:r>
        <w:rPr>
          <w:rFonts w:ascii="Times New Roman" w:eastAsia="Times New Roman" w:hAnsi="Times New Roman" w:cs="Times New Roman"/>
          <w:b w:val="0"/>
          <w:bCs w:val="0"/>
          <w:i/>
          <w:iCs/>
          <w:color w:val="000000"/>
          <w:w w:val="100"/>
          <w:sz w:val="16"/>
          <w:szCs w:val="16"/>
        </w:rPr>
        <w:t>continuación</w:t>
      </w:r>
      <w:bookmarkEnd w:id="619"/>
      <w:bookmarkEnd w:id="620"/>
      <w:bookmarkEnd w:id="621"/>
    </w:p>
    <w:tbl>
      <w:tblPr>
        <w:tblOverlap w:val="never"/>
        <w:tblW w:w="0" w:type="auto"/>
        <w:tblLayout w:type="fixed"/>
        <w:tblCellMar>
          <w:left w:w="10" w:type="dxa"/>
          <w:right w:w="10" w:type="dxa"/>
        </w:tblCellMar>
        <w:tblLook w:val="04A0" w:firstRow="1" w:lastRow="0" w:firstColumn="1" w:lastColumn="0" w:noHBand="0" w:noVBand="1"/>
      </w:tblPr>
      <w:tblGrid>
        <w:gridCol w:w="2731"/>
        <w:gridCol w:w="2544"/>
        <w:gridCol w:w="3221"/>
        <w:gridCol w:w="2938"/>
      </w:tblGrid>
      <w:tr w:rsidR="00924992" w14:paraId="64D1FD12" w14:textId="77777777">
        <w:tblPrEx>
          <w:tblCellMar>
            <w:top w:w="0" w:type="dxa"/>
            <w:bottom w:w="0" w:type="dxa"/>
          </w:tblCellMar>
        </w:tblPrEx>
        <w:trPr>
          <w:trHeight w:hRule="exact" w:val="274"/>
        </w:trPr>
        <w:tc>
          <w:tcPr>
            <w:tcW w:w="2731" w:type="dxa"/>
            <w:shd w:val="clear" w:color="auto" w:fill="000000"/>
            <w:vAlign w:val="bottom"/>
          </w:tcPr>
          <w:p w14:paraId="29106239" w14:textId="77777777" w:rsidR="00924992" w:rsidRDefault="00924992">
            <w:pPr>
              <w:pStyle w:val="Other0"/>
              <w:framePr w:w="11434" w:h="5362" w:vSpace="1421" w:wrap="none" w:hAnchor="page" w:x="635" w:y="375"/>
              <w:pBdr>
                <w:top w:val="single" w:sz="0" w:space="0" w:color="000000"/>
                <w:left w:val="single" w:sz="0" w:space="0" w:color="000000"/>
                <w:bottom w:val="single" w:sz="0" w:space="0" w:color="000000"/>
                <w:right w:val="single" w:sz="0" w:space="0" w:color="000000"/>
              </w:pBdr>
              <w:shd w:val="clear" w:color="auto" w:fill="000000"/>
              <w:spacing w:line="240" w:lineRule="auto"/>
              <w:ind w:firstLine="0"/>
              <w:rPr>
                <w:sz w:val="24"/>
                <w:szCs w:val="24"/>
              </w:rPr>
            </w:pPr>
            <w:r>
              <w:rPr>
                <w:rFonts w:ascii="Arial" w:eastAsia="Arial" w:hAnsi="Arial" w:cs="Arial"/>
                <w:b/>
                <w:bCs/>
                <w:color w:val="FFFFFF"/>
                <w:w w:val="70"/>
                <w:sz w:val="24"/>
                <w:szCs w:val="24"/>
              </w:rPr>
              <w:t>Infección</w:t>
            </w:r>
          </w:p>
        </w:tc>
        <w:tc>
          <w:tcPr>
            <w:tcW w:w="2544" w:type="dxa"/>
            <w:shd w:val="clear" w:color="auto" w:fill="000000"/>
            <w:vAlign w:val="bottom"/>
          </w:tcPr>
          <w:p w14:paraId="7494F015" w14:textId="77777777" w:rsidR="00924992" w:rsidRDefault="00924992">
            <w:pPr>
              <w:pStyle w:val="Other0"/>
              <w:framePr w:w="11434" w:h="5362" w:vSpace="1421" w:wrap="none" w:hAnchor="page" w:x="635" w:y="375"/>
              <w:pBdr>
                <w:top w:val="single" w:sz="0" w:space="0" w:color="000000"/>
                <w:left w:val="single" w:sz="0" w:space="0" w:color="000000"/>
                <w:bottom w:val="single" w:sz="0" w:space="0" w:color="000000"/>
                <w:right w:val="single" w:sz="0" w:space="0" w:color="000000"/>
              </w:pBdr>
              <w:shd w:val="clear" w:color="auto" w:fill="000000"/>
              <w:spacing w:line="240" w:lineRule="auto"/>
              <w:ind w:firstLine="140"/>
              <w:rPr>
                <w:sz w:val="24"/>
                <w:szCs w:val="24"/>
              </w:rPr>
            </w:pPr>
            <w:r>
              <w:rPr>
                <w:rFonts w:ascii="Arial" w:eastAsia="Arial" w:hAnsi="Arial" w:cs="Arial"/>
                <w:b/>
                <w:bCs/>
                <w:color w:val="FFFFFF"/>
                <w:w w:val="70"/>
                <w:sz w:val="24"/>
                <w:szCs w:val="24"/>
              </w:rPr>
              <w:t>Fármaco</w:t>
            </w:r>
          </w:p>
        </w:tc>
        <w:tc>
          <w:tcPr>
            <w:tcW w:w="3221" w:type="dxa"/>
            <w:shd w:val="clear" w:color="auto" w:fill="000000"/>
            <w:vAlign w:val="bottom"/>
          </w:tcPr>
          <w:p w14:paraId="10CB4B7F" w14:textId="77777777" w:rsidR="00924992" w:rsidRDefault="00924992">
            <w:pPr>
              <w:pStyle w:val="Other0"/>
              <w:framePr w:w="11434" w:h="5362" w:vSpace="1421" w:wrap="none" w:hAnchor="page" w:x="635" w:y="375"/>
              <w:pBdr>
                <w:top w:val="single" w:sz="0" w:space="0" w:color="000000"/>
                <w:left w:val="single" w:sz="0" w:space="0" w:color="000000"/>
                <w:bottom w:val="single" w:sz="0" w:space="0" w:color="000000"/>
                <w:right w:val="single" w:sz="0" w:space="0" w:color="000000"/>
              </w:pBdr>
              <w:shd w:val="clear" w:color="auto" w:fill="000000"/>
              <w:spacing w:line="240" w:lineRule="auto"/>
              <w:ind w:firstLine="400"/>
              <w:rPr>
                <w:sz w:val="24"/>
                <w:szCs w:val="24"/>
              </w:rPr>
            </w:pPr>
            <w:r>
              <w:rPr>
                <w:rFonts w:ascii="Arial" w:eastAsia="Arial" w:hAnsi="Arial" w:cs="Arial"/>
                <w:b/>
                <w:bCs/>
                <w:color w:val="FFFFFF"/>
                <w:w w:val="70"/>
                <w:sz w:val="24"/>
                <w:szCs w:val="24"/>
              </w:rPr>
              <w:t>Dosis para adultos</w:t>
            </w:r>
          </w:p>
        </w:tc>
        <w:tc>
          <w:tcPr>
            <w:tcW w:w="2938" w:type="dxa"/>
            <w:shd w:val="clear" w:color="auto" w:fill="000000"/>
            <w:vAlign w:val="bottom"/>
          </w:tcPr>
          <w:p w14:paraId="621BEFF9" w14:textId="77777777" w:rsidR="00924992" w:rsidRDefault="00924992">
            <w:pPr>
              <w:pStyle w:val="Other0"/>
              <w:framePr w:w="11434" w:h="5362" w:vSpace="1421" w:wrap="none" w:hAnchor="page" w:x="635" w:y="375"/>
              <w:pBdr>
                <w:top w:val="single" w:sz="0" w:space="0" w:color="000000"/>
                <w:left w:val="single" w:sz="0" w:space="0" w:color="000000"/>
                <w:bottom w:val="single" w:sz="0" w:space="0" w:color="000000"/>
                <w:right w:val="single" w:sz="0" w:space="0" w:color="000000"/>
              </w:pBdr>
              <w:shd w:val="clear" w:color="auto" w:fill="000000"/>
              <w:spacing w:line="240" w:lineRule="auto"/>
              <w:ind w:firstLine="0"/>
              <w:rPr>
                <w:sz w:val="24"/>
                <w:szCs w:val="24"/>
              </w:rPr>
            </w:pPr>
            <w:r>
              <w:rPr>
                <w:rFonts w:ascii="Arial" w:eastAsia="Arial" w:hAnsi="Arial" w:cs="Arial"/>
                <w:b/>
                <w:bCs/>
                <w:color w:val="FFFFFF"/>
                <w:w w:val="70"/>
                <w:sz w:val="24"/>
                <w:szCs w:val="24"/>
              </w:rPr>
              <w:t>Dosis para niños</w:t>
            </w:r>
          </w:p>
        </w:tc>
      </w:tr>
      <w:tr w:rsidR="00924992" w14:paraId="59604434" w14:textId="77777777">
        <w:tblPrEx>
          <w:tblCellMar>
            <w:top w:w="0" w:type="dxa"/>
            <w:bottom w:w="0" w:type="dxa"/>
          </w:tblCellMar>
        </w:tblPrEx>
        <w:trPr>
          <w:trHeight w:hRule="exact" w:val="490"/>
        </w:trPr>
        <w:tc>
          <w:tcPr>
            <w:tcW w:w="2731" w:type="dxa"/>
            <w:shd w:val="clear" w:color="auto" w:fill="FFFFFF"/>
            <w:vAlign w:val="bottom"/>
          </w:tcPr>
          <w:p w14:paraId="66E67EAB" w14:textId="77777777" w:rsidR="00924992" w:rsidRDefault="00924992">
            <w:pPr>
              <w:pStyle w:val="Other0"/>
              <w:framePr w:w="11434" w:h="5362" w:vSpace="1421" w:wrap="none" w:hAnchor="page" w:x="635" w:y="375"/>
              <w:ind w:left="160" w:hanging="160"/>
              <w:rPr>
                <w:sz w:val="16"/>
                <w:szCs w:val="16"/>
              </w:rPr>
            </w:pPr>
            <w:r>
              <w:rPr>
                <w:rFonts w:ascii="Times New Roman" w:eastAsia="Times New Roman" w:hAnsi="Times New Roman" w:cs="Times New Roman"/>
                <w:b/>
                <w:bCs/>
                <w:i/>
                <w:iCs/>
                <w:color w:val="000000"/>
                <w:sz w:val="17"/>
                <w:szCs w:val="17"/>
              </w:rPr>
              <w:t xml:space="preserve">PNEUMOCYSTIS </w:t>
            </w:r>
            <w:r>
              <w:rPr>
                <w:rFonts w:ascii="Times New Roman" w:eastAsia="Times New Roman" w:hAnsi="Times New Roman" w:cs="Times New Roman"/>
                <w:i/>
                <w:iCs/>
                <w:color w:val="000000"/>
                <w:sz w:val="16"/>
                <w:szCs w:val="16"/>
              </w:rPr>
              <w:t>carimi,</w:t>
            </w:r>
            <w:r>
              <w:rPr>
                <w:rFonts w:ascii="Times New Roman" w:eastAsia="Times New Roman" w:hAnsi="Times New Roman" w:cs="Times New Roman"/>
                <w:color w:val="000000"/>
                <w:sz w:val="16"/>
                <w:szCs w:val="16"/>
              </w:rPr>
              <w:t xml:space="preserve"> neumonía Fármaco más indicado:</w:t>
            </w:r>
          </w:p>
        </w:tc>
        <w:tc>
          <w:tcPr>
            <w:tcW w:w="2544" w:type="dxa"/>
            <w:shd w:val="clear" w:color="auto" w:fill="FFFFFF"/>
            <w:vAlign w:val="bottom"/>
          </w:tcPr>
          <w:p w14:paraId="33964BE0" w14:textId="77777777" w:rsidR="00924992" w:rsidRDefault="00924992">
            <w:pPr>
              <w:pStyle w:val="Other0"/>
              <w:framePr w:w="11434" w:h="5362" w:vSpace="1421" w:wrap="none" w:hAnchor="page" w:x="635" w:y="375"/>
              <w:spacing w:line="240" w:lineRule="auto"/>
              <w:ind w:firstLine="0"/>
              <w:rPr>
                <w:sz w:val="16"/>
                <w:szCs w:val="16"/>
              </w:rPr>
            </w:pPr>
            <w:r>
              <w:rPr>
                <w:rFonts w:ascii="Times New Roman" w:eastAsia="Times New Roman" w:hAnsi="Times New Roman" w:cs="Times New Roman"/>
                <w:color w:val="000000"/>
                <w:sz w:val="16"/>
                <w:szCs w:val="16"/>
              </w:rPr>
              <w:t>(PCP)</w:t>
            </w:r>
            <w:r>
              <w:rPr>
                <w:rFonts w:ascii="Times New Roman" w:eastAsia="Times New Roman" w:hAnsi="Times New Roman" w:cs="Times New Roman"/>
                <w:color w:val="000000"/>
                <w:sz w:val="16"/>
                <w:szCs w:val="16"/>
                <w:vertAlign w:val="superscript"/>
              </w:rPr>
              <w:t>86</w:t>
            </w:r>
          </w:p>
          <w:p w14:paraId="27E99D7A" w14:textId="77777777" w:rsidR="00924992" w:rsidRDefault="00924992">
            <w:pPr>
              <w:pStyle w:val="Other0"/>
              <w:framePr w:w="11434" w:h="5362" w:vSpace="1421" w:wrap="none" w:hAnchor="page" w:x="635" w:y="375"/>
              <w:spacing w:line="240" w:lineRule="auto"/>
              <w:ind w:firstLine="140"/>
              <w:rPr>
                <w:sz w:val="16"/>
                <w:szCs w:val="16"/>
              </w:rPr>
            </w:pPr>
            <w:r>
              <w:rPr>
                <w:rFonts w:ascii="Times New Roman" w:eastAsia="Times New Roman" w:hAnsi="Times New Roman" w:cs="Times New Roman"/>
                <w:color w:val="000000"/>
                <w:sz w:val="16"/>
                <w:szCs w:val="16"/>
              </w:rPr>
              <w:t>Trimetoprim-sulfametoxazol</w:t>
            </w:r>
          </w:p>
        </w:tc>
        <w:tc>
          <w:tcPr>
            <w:tcW w:w="3221" w:type="dxa"/>
            <w:shd w:val="clear" w:color="auto" w:fill="FFFFFF"/>
            <w:vAlign w:val="bottom"/>
          </w:tcPr>
          <w:p w14:paraId="484B27A3" w14:textId="77777777" w:rsidR="00924992" w:rsidRDefault="00924992">
            <w:pPr>
              <w:pStyle w:val="Other0"/>
              <w:framePr w:w="11434" w:h="5362" w:vSpace="1421" w:wrap="none" w:hAnchor="page" w:x="635" w:y="375"/>
              <w:spacing w:line="240" w:lineRule="auto"/>
              <w:ind w:firstLine="400"/>
              <w:rPr>
                <w:sz w:val="16"/>
                <w:szCs w:val="16"/>
              </w:rPr>
            </w:pPr>
            <w:r>
              <w:rPr>
                <w:rFonts w:ascii="Times New Roman" w:eastAsia="Times New Roman" w:hAnsi="Times New Roman" w:cs="Times New Roman"/>
                <w:color w:val="000000"/>
                <w:sz w:val="16"/>
                <w:szCs w:val="16"/>
              </w:rPr>
              <w:t>TMP 15 mg/kg/día, SMX 75 mg/kg/</w:t>
            </w:r>
          </w:p>
        </w:tc>
        <w:tc>
          <w:tcPr>
            <w:tcW w:w="2938" w:type="dxa"/>
            <w:shd w:val="clear" w:color="auto" w:fill="FFFFFF"/>
            <w:vAlign w:val="bottom"/>
          </w:tcPr>
          <w:p w14:paraId="063C7BA6" w14:textId="77777777" w:rsidR="00924992" w:rsidRDefault="00924992">
            <w:pPr>
              <w:pStyle w:val="Other0"/>
              <w:framePr w:w="11434" w:h="5362" w:vSpace="1421" w:wrap="none" w:hAnchor="page" w:x="635" w:y="375"/>
              <w:spacing w:line="240" w:lineRule="auto"/>
              <w:ind w:firstLine="0"/>
              <w:rPr>
                <w:sz w:val="16"/>
                <w:szCs w:val="16"/>
              </w:rPr>
            </w:pPr>
            <w:r>
              <w:rPr>
                <w:rFonts w:ascii="Times New Roman" w:eastAsia="Times New Roman" w:hAnsi="Times New Roman" w:cs="Times New Roman"/>
                <w:color w:val="000000"/>
                <w:sz w:val="16"/>
                <w:szCs w:val="16"/>
              </w:rPr>
              <w:t>Igual que la dosis para adulto</w:t>
            </w:r>
          </w:p>
        </w:tc>
      </w:tr>
      <w:tr w:rsidR="00924992" w14:paraId="532DEF72" w14:textId="77777777">
        <w:tblPrEx>
          <w:tblCellMar>
            <w:top w:w="0" w:type="dxa"/>
            <w:bottom w:w="0" w:type="dxa"/>
          </w:tblCellMar>
        </w:tblPrEx>
        <w:trPr>
          <w:trHeight w:hRule="exact" w:val="619"/>
        </w:trPr>
        <w:tc>
          <w:tcPr>
            <w:tcW w:w="2731" w:type="dxa"/>
            <w:shd w:val="clear" w:color="auto" w:fill="FFFFFF"/>
            <w:vAlign w:val="bottom"/>
          </w:tcPr>
          <w:p w14:paraId="5D2561DF" w14:textId="77777777" w:rsidR="00924992" w:rsidRDefault="00924992">
            <w:pPr>
              <w:pStyle w:val="Other0"/>
              <w:framePr w:w="11434" w:h="5362" w:vSpace="1421" w:wrap="none" w:hAnchor="page" w:x="635" w:y="375"/>
              <w:spacing w:line="240" w:lineRule="auto"/>
              <w:ind w:firstLine="160"/>
              <w:rPr>
                <w:sz w:val="16"/>
                <w:szCs w:val="16"/>
              </w:rPr>
            </w:pPr>
            <w:r>
              <w:rPr>
                <w:rFonts w:ascii="Times New Roman" w:eastAsia="Times New Roman" w:hAnsi="Times New Roman" w:cs="Times New Roman"/>
                <w:color w:val="000000"/>
                <w:sz w:val="16"/>
                <w:szCs w:val="16"/>
              </w:rPr>
              <w:t>Fármacos alternativos:</w:t>
            </w:r>
          </w:p>
        </w:tc>
        <w:tc>
          <w:tcPr>
            <w:tcW w:w="2544" w:type="dxa"/>
            <w:shd w:val="clear" w:color="auto" w:fill="FFFFFF"/>
            <w:vAlign w:val="bottom"/>
          </w:tcPr>
          <w:p w14:paraId="7E287FD3" w14:textId="77777777" w:rsidR="00924992" w:rsidRDefault="00924992">
            <w:pPr>
              <w:pStyle w:val="Other0"/>
              <w:framePr w:w="11434" w:h="5362" w:vSpace="1421" w:wrap="none" w:hAnchor="page" w:x="635" w:y="375"/>
              <w:spacing w:line="240" w:lineRule="auto"/>
              <w:ind w:firstLine="140"/>
              <w:rPr>
                <w:sz w:val="16"/>
                <w:szCs w:val="16"/>
              </w:rPr>
            </w:pPr>
            <w:r>
              <w:rPr>
                <w:rFonts w:ascii="Times New Roman" w:eastAsia="Times New Roman" w:hAnsi="Times New Roman" w:cs="Times New Roman"/>
                <w:color w:val="000000"/>
                <w:sz w:val="16"/>
                <w:szCs w:val="16"/>
              </w:rPr>
              <w:t>Primaquina</w:t>
            </w:r>
            <w:r>
              <w:rPr>
                <w:rFonts w:ascii="Times New Roman" w:eastAsia="Times New Roman" w:hAnsi="Times New Roman" w:cs="Times New Roman"/>
                <w:color w:val="000000"/>
                <w:sz w:val="16"/>
                <w:szCs w:val="16"/>
                <w:vertAlign w:val="superscript"/>
              </w:rPr>
              <w:t>3,67</w:t>
            </w:r>
          </w:p>
        </w:tc>
        <w:tc>
          <w:tcPr>
            <w:tcW w:w="3221" w:type="dxa"/>
            <w:shd w:val="clear" w:color="auto" w:fill="FFFFFF"/>
            <w:vAlign w:val="bottom"/>
          </w:tcPr>
          <w:p w14:paraId="72BCBD5B" w14:textId="77777777" w:rsidR="00924992" w:rsidRDefault="00924992">
            <w:pPr>
              <w:pStyle w:val="Other0"/>
              <w:framePr w:w="11434" w:h="5362" w:vSpace="1421" w:wrap="none" w:hAnchor="page" w:x="635" w:y="375"/>
              <w:spacing w:line="240" w:lineRule="auto"/>
              <w:ind w:firstLine="500"/>
            </w:pPr>
            <w:r>
              <w:rPr>
                <w:rFonts w:ascii="Times New Roman" w:eastAsia="Times New Roman" w:hAnsi="Times New Roman" w:cs="Times New Roman"/>
                <w:color w:val="000000"/>
                <w:sz w:val="16"/>
                <w:szCs w:val="16"/>
              </w:rPr>
              <w:t xml:space="preserve">día, oral o IV en 3 o 4 dosis </w:t>
            </w:r>
            <w:r>
              <w:rPr>
                <w:color w:val="000000"/>
              </w:rPr>
              <w:t>x</w:t>
            </w:r>
          </w:p>
          <w:p w14:paraId="4DB94810" w14:textId="77777777" w:rsidR="00924992" w:rsidRDefault="00924992">
            <w:pPr>
              <w:pStyle w:val="Other0"/>
              <w:framePr w:w="11434" w:h="5362" w:vSpace="1421" w:wrap="none" w:hAnchor="page" w:x="635" w:y="375"/>
              <w:spacing w:line="240" w:lineRule="auto"/>
              <w:ind w:firstLine="500"/>
              <w:rPr>
                <w:sz w:val="16"/>
                <w:szCs w:val="16"/>
              </w:rPr>
            </w:pPr>
            <w:r>
              <w:rPr>
                <w:rFonts w:ascii="Times New Roman" w:eastAsia="Times New Roman" w:hAnsi="Times New Roman" w:cs="Times New Roman"/>
                <w:color w:val="000000"/>
                <w:sz w:val="16"/>
                <w:szCs w:val="16"/>
              </w:rPr>
              <w:t>14-21 días</w:t>
            </w:r>
          </w:p>
          <w:p w14:paraId="580E7F54" w14:textId="77777777" w:rsidR="00924992" w:rsidRDefault="00924992">
            <w:pPr>
              <w:pStyle w:val="Other0"/>
              <w:framePr w:w="11434" w:h="5362" w:vSpace="1421" w:wrap="none" w:hAnchor="page" w:x="635" w:y="375"/>
              <w:spacing w:line="240" w:lineRule="auto"/>
              <w:ind w:firstLine="400"/>
              <w:jc w:val="both"/>
              <w:rPr>
                <w:sz w:val="16"/>
                <w:szCs w:val="16"/>
              </w:rPr>
            </w:pPr>
            <w:r>
              <w:rPr>
                <w:rFonts w:ascii="Times New Roman" w:eastAsia="Times New Roman" w:hAnsi="Times New Roman" w:cs="Times New Roman"/>
                <w:color w:val="000000"/>
                <w:sz w:val="16"/>
                <w:szCs w:val="16"/>
              </w:rPr>
              <w:t>30 mg de fármaco base PO diariamente</w:t>
            </w:r>
          </w:p>
        </w:tc>
        <w:tc>
          <w:tcPr>
            <w:tcW w:w="2938" w:type="dxa"/>
            <w:shd w:val="clear" w:color="auto" w:fill="FFFFFF"/>
          </w:tcPr>
          <w:p w14:paraId="3F379A79" w14:textId="77777777" w:rsidR="00924992" w:rsidRDefault="00924992">
            <w:pPr>
              <w:framePr w:w="11434" w:h="5362" w:vSpace="1421" w:wrap="none" w:hAnchor="page" w:x="635" w:y="375"/>
              <w:rPr>
                <w:sz w:val="10"/>
                <w:szCs w:val="10"/>
              </w:rPr>
            </w:pPr>
          </w:p>
        </w:tc>
      </w:tr>
      <w:tr w:rsidR="00924992" w14:paraId="27D65859" w14:textId="77777777">
        <w:tblPrEx>
          <w:tblCellMar>
            <w:top w:w="0" w:type="dxa"/>
            <w:bottom w:w="0" w:type="dxa"/>
          </w:tblCellMar>
        </w:tblPrEx>
        <w:trPr>
          <w:trHeight w:hRule="exact" w:val="418"/>
        </w:trPr>
        <w:tc>
          <w:tcPr>
            <w:tcW w:w="2731" w:type="dxa"/>
            <w:shd w:val="clear" w:color="auto" w:fill="FFFFFF"/>
            <w:vAlign w:val="bottom"/>
          </w:tcPr>
          <w:p w14:paraId="2447B9F0" w14:textId="77777777" w:rsidR="00924992" w:rsidRDefault="00924992">
            <w:pPr>
              <w:pStyle w:val="Other0"/>
              <w:framePr w:w="11434" w:h="5362" w:vSpace="1421" w:wrap="none" w:hAnchor="page" w:x="635" w:y="375"/>
              <w:spacing w:line="240" w:lineRule="auto"/>
              <w:ind w:firstLine="160"/>
              <w:rPr>
                <w:sz w:val="16"/>
                <w:szCs w:val="16"/>
              </w:rPr>
            </w:pPr>
            <w:r>
              <w:rPr>
                <w:rFonts w:ascii="Times New Roman" w:eastAsia="Times New Roman" w:hAnsi="Times New Roman" w:cs="Times New Roman"/>
                <w:b/>
                <w:bCs/>
                <w:color w:val="000000"/>
                <w:sz w:val="16"/>
                <w:szCs w:val="16"/>
              </w:rPr>
              <w:t>O</w:t>
            </w:r>
          </w:p>
        </w:tc>
        <w:tc>
          <w:tcPr>
            <w:tcW w:w="2544" w:type="dxa"/>
            <w:shd w:val="clear" w:color="auto" w:fill="FFFFFF"/>
            <w:vAlign w:val="bottom"/>
          </w:tcPr>
          <w:p w14:paraId="6EB4F7A3" w14:textId="77777777" w:rsidR="00924992" w:rsidRDefault="00924992">
            <w:pPr>
              <w:pStyle w:val="Other0"/>
              <w:framePr w:w="11434" w:h="5362" w:vSpace="1421" w:wrap="none" w:hAnchor="page" w:x="635" w:y="375"/>
              <w:spacing w:line="240" w:lineRule="auto"/>
              <w:ind w:firstLine="140"/>
              <w:rPr>
                <w:sz w:val="16"/>
                <w:szCs w:val="16"/>
              </w:rPr>
            </w:pPr>
            <w:r>
              <w:rPr>
                <w:rFonts w:ascii="Times New Roman" w:eastAsia="Times New Roman" w:hAnsi="Times New Roman" w:cs="Times New Roman"/>
                <w:b/>
                <w:bCs/>
                <w:color w:val="000000"/>
                <w:sz w:val="16"/>
                <w:szCs w:val="16"/>
              </w:rPr>
              <w:t xml:space="preserve">y además </w:t>
            </w:r>
            <w:r>
              <w:rPr>
                <w:rFonts w:ascii="Times New Roman" w:eastAsia="Times New Roman" w:hAnsi="Times New Roman" w:cs="Times New Roman"/>
                <w:color w:val="000000"/>
                <w:sz w:val="16"/>
                <w:szCs w:val="16"/>
              </w:rPr>
              <w:t>clindamicina</w:t>
            </w:r>
            <w:r>
              <w:rPr>
                <w:rFonts w:ascii="Times New Roman" w:eastAsia="Times New Roman" w:hAnsi="Times New Roman" w:cs="Times New Roman"/>
                <w:color w:val="000000"/>
                <w:sz w:val="16"/>
                <w:szCs w:val="16"/>
                <w:vertAlign w:val="superscript"/>
              </w:rPr>
              <w:t>3</w:t>
            </w:r>
          </w:p>
        </w:tc>
        <w:tc>
          <w:tcPr>
            <w:tcW w:w="3221" w:type="dxa"/>
            <w:shd w:val="clear" w:color="auto" w:fill="FFFFFF"/>
            <w:vAlign w:val="bottom"/>
          </w:tcPr>
          <w:p w14:paraId="2F8D250C" w14:textId="77777777" w:rsidR="00924992" w:rsidRDefault="00924992">
            <w:pPr>
              <w:pStyle w:val="Other0"/>
              <w:framePr w:w="11434" w:h="5362" w:vSpace="1421" w:wrap="none" w:hAnchor="page" w:x="635" w:y="375"/>
              <w:spacing w:line="240" w:lineRule="auto"/>
              <w:ind w:firstLine="500"/>
              <w:rPr>
                <w:sz w:val="16"/>
                <w:szCs w:val="16"/>
              </w:rPr>
            </w:pPr>
            <w:r>
              <w:rPr>
                <w:color w:val="000000"/>
              </w:rPr>
              <w:t xml:space="preserve">x </w:t>
            </w:r>
            <w:r>
              <w:rPr>
                <w:rFonts w:ascii="Times New Roman" w:eastAsia="Times New Roman" w:hAnsi="Times New Roman" w:cs="Times New Roman"/>
                <w:color w:val="000000"/>
                <w:sz w:val="16"/>
                <w:szCs w:val="16"/>
              </w:rPr>
              <w:t>21 días</w:t>
            </w:r>
          </w:p>
          <w:p w14:paraId="54D30883" w14:textId="77777777" w:rsidR="00924992" w:rsidRDefault="00924992">
            <w:pPr>
              <w:pStyle w:val="Other0"/>
              <w:framePr w:w="11434" w:h="5362" w:vSpace="1421" w:wrap="none" w:hAnchor="page" w:x="635" w:y="375"/>
              <w:spacing w:line="240" w:lineRule="auto"/>
              <w:ind w:firstLine="400"/>
              <w:rPr>
                <w:sz w:val="16"/>
                <w:szCs w:val="16"/>
              </w:rPr>
            </w:pPr>
            <w:r>
              <w:rPr>
                <w:rFonts w:ascii="Times New Roman" w:eastAsia="Times New Roman" w:hAnsi="Times New Roman" w:cs="Times New Roman"/>
                <w:color w:val="000000"/>
                <w:sz w:val="16"/>
                <w:szCs w:val="16"/>
              </w:rPr>
              <w:t xml:space="preserve">600 mg IV cada 6h </w:t>
            </w:r>
            <w:r>
              <w:rPr>
                <w:color w:val="000000"/>
              </w:rPr>
              <w:t xml:space="preserve">x </w:t>
            </w:r>
            <w:r>
              <w:rPr>
                <w:rFonts w:ascii="Times New Roman" w:eastAsia="Times New Roman" w:hAnsi="Times New Roman" w:cs="Times New Roman"/>
                <w:color w:val="000000"/>
                <w:sz w:val="16"/>
                <w:szCs w:val="16"/>
              </w:rPr>
              <w:t>21 días o</w:t>
            </w:r>
          </w:p>
        </w:tc>
        <w:tc>
          <w:tcPr>
            <w:tcW w:w="2938" w:type="dxa"/>
            <w:shd w:val="clear" w:color="auto" w:fill="FFFFFF"/>
          </w:tcPr>
          <w:p w14:paraId="3EFA6A8C" w14:textId="77777777" w:rsidR="00924992" w:rsidRDefault="00924992">
            <w:pPr>
              <w:framePr w:w="11434" w:h="5362" w:vSpace="1421" w:wrap="none" w:hAnchor="page" w:x="635" w:y="375"/>
              <w:rPr>
                <w:sz w:val="10"/>
                <w:szCs w:val="10"/>
              </w:rPr>
            </w:pPr>
          </w:p>
        </w:tc>
      </w:tr>
      <w:tr w:rsidR="00924992" w14:paraId="3E3512B3" w14:textId="77777777">
        <w:tblPrEx>
          <w:tblCellMar>
            <w:top w:w="0" w:type="dxa"/>
            <w:bottom w:w="0" w:type="dxa"/>
          </w:tblCellMar>
        </w:tblPrEx>
        <w:trPr>
          <w:trHeight w:hRule="exact" w:val="634"/>
        </w:trPr>
        <w:tc>
          <w:tcPr>
            <w:tcW w:w="2731" w:type="dxa"/>
            <w:shd w:val="clear" w:color="auto" w:fill="FFFFFF"/>
            <w:vAlign w:val="bottom"/>
          </w:tcPr>
          <w:p w14:paraId="65081FDA" w14:textId="77777777" w:rsidR="00924992" w:rsidRDefault="00924992">
            <w:pPr>
              <w:pStyle w:val="Other0"/>
              <w:framePr w:w="11434" w:h="5362" w:vSpace="1421" w:wrap="none" w:hAnchor="page" w:x="635" w:y="375"/>
              <w:spacing w:line="240" w:lineRule="auto"/>
              <w:ind w:firstLine="160"/>
              <w:rPr>
                <w:sz w:val="16"/>
                <w:szCs w:val="16"/>
              </w:rPr>
            </w:pPr>
            <w:r>
              <w:rPr>
                <w:rFonts w:ascii="Times New Roman" w:eastAsia="Times New Roman" w:hAnsi="Times New Roman" w:cs="Times New Roman"/>
                <w:b/>
                <w:bCs/>
                <w:color w:val="000000"/>
                <w:sz w:val="16"/>
                <w:szCs w:val="16"/>
              </w:rPr>
              <w:t>O</w:t>
            </w:r>
          </w:p>
        </w:tc>
        <w:tc>
          <w:tcPr>
            <w:tcW w:w="2544" w:type="dxa"/>
            <w:shd w:val="clear" w:color="auto" w:fill="FFFFFF"/>
            <w:vAlign w:val="bottom"/>
          </w:tcPr>
          <w:p w14:paraId="03BAE004" w14:textId="77777777" w:rsidR="00924992" w:rsidRDefault="00924992">
            <w:pPr>
              <w:pStyle w:val="Other0"/>
              <w:framePr w:w="11434" w:h="5362" w:vSpace="1421" w:wrap="none" w:hAnchor="page" w:x="635" w:y="375"/>
              <w:spacing w:line="240" w:lineRule="auto"/>
              <w:ind w:firstLine="140"/>
              <w:rPr>
                <w:sz w:val="16"/>
                <w:szCs w:val="16"/>
              </w:rPr>
            </w:pPr>
            <w:r>
              <w:rPr>
                <w:rFonts w:ascii="Times New Roman" w:eastAsia="Times New Roman" w:hAnsi="Times New Roman" w:cs="Times New Roman"/>
                <w:color w:val="000000"/>
                <w:sz w:val="16"/>
                <w:szCs w:val="16"/>
              </w:rPr>
              <w:t>Trimetoprim</w:t>
            </w:r>
            <w:r>
              <w:rPr>
                <w:rFonts w:ascii="Times New Roman" w:eastAsia="Times New Roman" w:hAnsi="Times New Roman" w:cs="Times New Roman"/>
                <w:color w:val="000000"/>
                <w:sz w:val="16"/>
                <w:szCs w:val="16"/>
                <w:vertAlign w:val="superscript"/>
              </w:rPr>
              <w:t>3</w:t>
            </w:r>
          </w:p>
          <w:p w14:paraId="3330A98F" w14:textId="77777777" w:rsidR="00924992" w:rsidRDefault="00924992">
            <w:pPr>
              <w:pStyle w:val="Other0"/>
              <w:framePr w:w="11434" w:h="5362" w:vSpace="1421" w:wrap="none" w:hAnchor="page" w:x="635" w:y="375"/>
              <w:spacing w:line="240" w:lineRule="auto"/>
              <w:ind w:firstLine="260"/>
              <w:rPr>
                <w:sz w:val="16"/>
                <w:szCs w:val="16"/>
              </w:rPr>
            </w:pPr>
            <w:r>
              <w:rPr>
                <w:rFonts w:ascii="Times New Roman" w:eastAsia="Times New Roman" w:hAnsi="Times New Roman" w:cs="Times New Roman"/>
                <w:b/>
                <w:bCs/>
                <w:color w:val="000000"/>
                <w:sz w:val="16"/>
                <w:szCs w:val="16"/>
              </w:rPr>
              <w:t xml:space="preserve">y además </w:t>
            </w:r>
            <w:r>
              <w:rPr>
                <w:rFonts w:ascii="Times New Roman" w:eastAsia="Times New Roman" w:hAnsi="Times New Roman" w:cs="Times New Roman"/>
                <w:color w:val="000000"/>
                <w:sz w:val="16"/>
                <w:szCs w:val="16"/>
              </w:rPr>
              <w:t>dapsona</w:t>
            </w:r>
            <w:r>
              <w:rPr>
                <w:rFonts w:ascii="Times New Roman" w:eastAsia="Times New Roman" w:hAnsi="Times New Roman" w:cs="Times New Roman"/>
                <w:color w:val="000000"/>
                <w:sz w:val="16"/>
                <w:szCs w:val="16"/>
                <w:vertAlign w:val="superscript"/>
              </w:rPr>
              <w:t>3</w:t>
            </w:r>
          </w:p>
        </w:tc>
        <w:tc>
          <w:tcPr>
            <w:tcW w:w="3221" w:type="dxa"/>
            <w:shd w:val="clear" w:color="auto" w:fill="FFFFFF"/>
            <w:vAlign w:val="bottom"/>
          </w:tcPr>
          <w:p w14:paraId="6CE59DF3" w14:textId="77777777" w:rsidR="00924992" w:rsidRDefault="00924992">
            <w:pPr>
              <w:pStyle w:val="Other0"/>
              <w:framePr w:w="11434" w:h="5362" w:vSpace="1421" w:wrap="none" w:hAnchor="page" w:x="635" w:y="375"/>
              <w:spacing w:line="240" w:lineRule="auto"/>
              <w:ind w:firstLine="500"/>
              <w:rPr>
                <w:sz w:val="16"/>
                <w:szCs w:val="16"/>
              </w:rPr>
            </w:pPr>
            <w:r>
              <w:rPr>
                <w:rFonts w:ascii="Times New Roman" w:eastAsia="Times New Roman" w:hAnsi="Times New Roman" w:cs="Times New Roman"/>
                <w:color w:val="000000"/>
                <w:sz w:val="16"/>
                <w:szCs w:val="16"/>
              </w:rPr>
              <w:t xml:space="preserve">300-450 mg PO cada 6 h </w:t>
            </w:r>
            <w:r>
              <w:rPr>
                <w:color w:val="000000"/>
              </w:rPr>
              <w:t xml:space="preserve">x </w:t>
            </w:r>
            <w:r>
              <w:rPr>
                <w:rFonts w:ascii="Times New Roman" w:eastAsia="Times New Roman" w:hAnsi="Times New Roman" w:cs="Times New Roman"/>
                <w:color w:val="000000"/>
                <w:sz w:val="16"/>
                <w:szCs w:val="16"/>
              </w:rPr>
              <w:t>21 días</w:t>
            </w:r>
          </w:p>
          <w:p w14:paraId="3FE96CA9" w14:textId="77777777" w:rsidR="00924992" w:rsidRDefault="00924992">
            <w:pPr>
              <w:pStyle w:val="Other0"/>
              <w:framePr w:w="11434" w:h="5362" w:vSpace="1421" w:wrap="none" w:hAnchor="page" w:x="635" w:y="375"/>
              <w:spacing w:line="240" w:lineRule="auto"/>
              <w:ind w:firstLine="400"/>
              <w:rPr>
                <w:sz w:val="16"/>
                <w:szCs w:val="16"/>
              </w:rPr>
            </w:pPr>
            <w:r>
              <w:rPr>
                <w:rFonts w:ascii="Times New Roman" w:eastAsia="Times New Roman" w:hAnsi="Times New Roman" w:cs="Times New Roman"/>
                <w:color w:val="000000"/>
                <w:sz w:val="16"/>
                <w:szCs w:val="16"/>
              </w:rPr>
              <w:t xml:space="preserve">5 mg/kg PO tid </w:t>
            </w:r>
            <w:r>
              <w:rPr>
                <w:color w:val="000000"/>
              </w:rPr>
              <w:t xml:space="preserve">x </w:t>
            </w:r>
            <w:r>
              <w:rPr>
                <w:rFonts w:ascii="Times New Roman" w:eastAsia="Times New Roman" w:hAnsi="Times New Roman" w:cs="Times New Roman"/>
                <w:color w:val="000000"/>
                <w:sz w:val="16"/>
                <w:szCs w:val="16"/>
              </w:rPr>
              <w:t>21 días</w:t>
            </w:r>
          </w:p>
          <w:p w14:paraId="78FA731F" w14:textId="77777777" w:rsidR="00924992" w:rsidRDefault="00924992">
            <w:pPr>
              <w:pStyle w:val="Other0"/>
              <w:framePr w:w="11434" w:h="5362" w:vSpace="1421" w:wrap="none" w:hAnchor="page" w:x="635" w:y="375"/>
              <w:spacing w:line="240" w:lineRule="auto"/>
              <w:ind w:firstLine="400"/>
              <w:rPr>
                <w:sz w:val="16"/>
                <w:szCs w:val="16"/>
              </w:rPr>
            </w:pPr>
            <w:r>
              <w:rPr>
                <w:rFonts w:ascii="Times New Roman" w:eastAsia="Times New Roman" w:hAnsi="Times New Roman" w:cs="Times New Roman"/>
                <w:color w:val="000000"/>
                <w:sz w:val="16"/>
                <w:szCs w:val="16"/>
              </w:rPr>
              <w:t xml:space="preserve">100 mg PO diariamente </w:t>
            </w:r>
            <w:r>
              <w:rPr>
                <w:color w:val="000000"/>
              </w:rPr>
              <w:t xml:space="preserve">x </w:t>
            </w:r>
            <w:r>
              <w:rPr>
                <w:rFonts w:ascii="Times New Roman" w:eastAsia="Times New Roman" w:hAnsi="Times New Roman" w:cs="Times New Roman"/>
                <w:color w:val="000000"/>
                <w:sz w:val="16"/>
                <w:szCs w:val="16"/>
              </w:rPr>
              <w:t>21 días</w:t>
            </w:r>
          </w:p>
        </w:tc>
        <w:tc>
          <w:tcPr>
            <w:tcW w:w="2938" w:type="dxa"/>
            <w:shd w:val="clear" w:color="auto" w:fill="FFFFFF"/>
          </w:tcPr>
          <w:p w14:paraId="3B1F6366" w14:textId="77777777" w:rsidR="00924992" w:rsidRDefault="00924992">
            <w:pPr>
              <w:framePr w:w="11434" w:h="5362" w:vSpace="1421" w:wrap="none" w:hAnchor="page" w:x="635" w:y="375"/>
              <w:rPr>
                <w:sz w:val="10"/>
                <w:szCs w:val="10"/>
              </w:rPr>
            </w:pPr>
          </w:p>
        </w:tc>
      </w:tr>
      <w:tr w:rsidR="00924992" w14:paraId="0BD602FE" w14:textId="77777777">
        <w:tblPrEx>
          <w:tblCellMar>
            <w:top w:w="0" w:type="dxa"/>
            <w:bottom w:w="0" w:type="dxa"/>
          </w:tblCellMar>
        </w:tblPrEx>
        <w:trPr>
          <w:trHeight w:hRule="exact" w:val="216"/>
        </w:trPr>
        <w:tc>
          <w:tcPr>
            <w:tcW w:w="2731" w:type="dxa"/>
            <w:shd w:val="clear" w:color="auto" w:fill="FFFFFF"/>
          </w:tcPr>
          <w:p w14:paraId="151B4448" w14:textId="77777777" w:rsidR="00924992" w:rsidRDefault="00924992">
            <w:pPr>
              <w:framePr w:w="11434" w:h="5362" w:vSpace="1421" w:wrap="none" w:hAnchor="page" w:x="635" w:y="375"/>
              <w:rPr>
                <w:sz w:val="10"/>
                <w:szCs w:val="10"/>
              </w:rPr>
            </w:pPr>
          </w:p>
        </w:tc>
        <w:tc>
          <w:tcPr>
            <w:tcW w:w="2544" w:type="dxa"/>
            <w:shd w:val="clear" w:color="auto" w:fill="FFFFFF"/>
            <w:vAlign w:val="bottom"/>
          </w:tcPr>
          <w:p w14:paraId="52173D2C" w14:textId="77777777" w:rsidR="00924992" w:rsidRDefault="00924992">
            <w:pPr>
              <w:pStyle w:val="Other0"/>
              <w:framePr w:w="11434" w:h="5362" w:vSpace="1421" w:wrap="none" w:hAnchor="page" w:x="635" w:y="375"/>
              <w:spacing w:line="240" w:lineRule="auto"/>
              <w:ind w:firstLine="140"/>
              <w:rPr>
                <w:sz w:val="16"/>
                <w:szCs w:val="16"/>
              </w:rPr>
            </w:pPr>
            <w:r>
              <w:rPr>
                <w:rFonts w:ascii="Times New Roman" w:eastAsia="Times New Roman" w:hAnsi="Times New Roman" w:cs="Times New Roman"/>
                <w:color w:val="000000"/>
                <w:sz w:val="16"/>
                <w:szCs w:val="16"/>
              </w:rPr>
              <w:t>Pentamidina</w:t>
            </w:r>
          </w:p>
        </w:tc>
        <w:tc>
          <w:tcPr>
            <w:tcW w:w="3221" w:type="dxa"/>
            <w:shd w:val="clear" w:color="auto" w:fill="FFFFFF"/>
            <w:vAlign w:val="bottom"/>
          </w:tcPr>
          <w:p w14:paraId="6092919B" w14:textId="77777777" w:rsidR="00924992" w:rsidRDefault="00924992">
            <w:pPr>
              <w:pStyle w:val="Other0"/>
              <w:framePr w:w="11434" w:h="5362" w:vSpace="1421" w:wrap="none" w:hAnchor="page" w:x="635" w:y="375"/>
              <w:spacing w:line="240" w:lineRule="auto"/>
              <w:ind w:firstLine="400"/>
              <w:rPr>
                <w:sz w:val="16"/>
                <w:szCs w:val="16"/>
              </w:rPr>
            </w:pPr>
            <w:r>
              <w:rPr>
                <w:rFonts w:ascii="Times New Roman" w:eastAsia="Times New Roman" w:hAnsi="Times New Roman" w:cs="Times New Roman"/>
                <w:color w:val="000000"/>
                <w:sz w:val="16"/>
                <w:szCs w:val="16"/>
              </w:rPr>
              <w:t xml:space="preserve">3-4 mg/kg IV diariamente </w:t>
            </w:r>
            <w:r>
              <w:rPr>
                <w:color w:val="000000"/>
              </w:rPr>
              <w:t xml:space="preserve">x </w:t>
            </w:r>
            <w:r>
              <w:rPr>
                <w:rFonts w:ascii="Times New Roman" w:eastAsia="Times New Roman" w:hAnsi="Times New Roman" w:cs="Times New Roman"/>
                <w:color w:val="000000"/>
                <w:sz w:val="16"/>
                <w:szCs w:val="16"/>
              </w:rPr>
              <w:t>14-21 días</w:t>
            </w:r>
          </w:p>
        </w:tc>
        <w:tc>
          <w:tcPr>
            <w:tcW w:w="2938" w:type="dxa"/>
            <w:shd w:val="clear" w:color="auto" w:fill="FFFFFF"/>
            <w:vAlign w:val="bottom"/>
          </w:tcPr>
          <w:p w14:paraId="71E8D23B" w14:textId="77777777" w:rsidR="00924992" w:rsidRDefault="00924992">
            <w:pPr>
              <w:pStyle w:val="Other0"/>
              <w:framePr w:w="11434" w:h="5362" w:vSpace="1421" w:wrap="none" w:hAnchor="page" w:x="635" w:y="375"/>
              <w:spacing w:line="240" w:lineRule="auto"/>
              <w:ind w:firstLine="0"/>
              <w:rPr>
                <w:sz w:val="16"/>
                <w:szCs w:val="16"/>
              </w:rPr>
            </w:pPr>
            <w:r>
              <w:rPr>
                <w:rFonts w:ascii="Times New Roman" w:eastAsia="Times New Roman" w:hAnsi="Times New Roman" w:cs="Times New Roman"/>
                <w:color w:val="000000"/>
                <w:sz w:val="16"/>
                <w:szCs w:val="16"/>
              </w:rPr>
              <w:t>Igual que la dosis para adulto</w:t>
            </w:r>
          </w:p>
        </w:tc>
      </w:tr>
      <w:tr w:rsidR="00924992" w14:paraId="2476AA79" w14:textId="77777777">
        <w:tblPrEx>
          <w:tblCellMar>
            <w:top w:w="0" w:type="dxa"/>
            <w:bottom w:w="0" w:type="dxa"/>
          </w:tblCellMar>
        </w:tblPrEx>
        <w:trPr>
          <w:trHeight w:hRule="exact" w:val="605"/>
        </w:trPr>
        <w:tc>
          <w:tcPr>
            <w:tcW w:w="2731" w:type="dxa"/>
            <w:shd w:val="clear" w:color="auto" w:fill="FFFFFF"/>
            <w:vAlign w:val="bottom"/>
          </w:tcPr>
          <w:p w14:paraId="2C3D90EF" w14:textId="77777777" w:rsidR="00924992" w:rsidRDefault="00924992">
            <w:pPr>
              <w:pStyle w:val="Other0"/>
              <w:framePr w:w="11434" w:h="5362" w:vSpace="1421" w:wrap="none" w:hAnchor="page" w:x="635" w:y="375"/>
              <w:spacing w:line="240" w:lineRule="auto"/>
              <w:ind w:firstLine="160"/>
              <w:rPr>
                <w:sz w:val="16"/>
                <w:szCs w:val="16"/>
              </w:rPr>
            </w:pPr>
            <w:r>
              <w:rPr>
                <w:rFonts w:ascii="Times New Roman" w:eastAsia="Times New Roman" w:hAnsi="Times New Roman" w:cs="Times New Roman"/>
                <w:b/>
                <w:bCs/>
                <w:color w:val="000000"/>
                <w:sz w:val="16"/>
                <w:szCs w:val="16"/>
              </w:rPr>
              <w:t>Profilaxia primara y secundaria</w:t>
            </w:r>
            <w:r>
              <w:rPr>
                <w:rFonts w:ascii="Times New Roman" w:eastAsia="Times New Roman" w:hAnsi="Times New Roman" w:cs="Times New Roman"/>
                <w:color w:val="000000"/>
                <w:sz w:val="16"/>
                <w:szCs w:val="16"/>
                <w:vertAlign w:val="superscript"/>
              </w:rPr>
              <w:t>87</w:t>
            </w:r>
          </w:p>
          <w:p w14:paraId="50EDDF50" w14:textId="77777777" w:rsidR="00924992" w:rsidRDefault="00924992">
            <w:pPr>
              <w:pStyle w:val="Other0"/>
              <w:framePr w:w="11434" w:h="5362" w:vSpace="1421" w:wrap="none" w:hAnchor="page" w:x="635" w:y="375"/>
              <w:spacing w:line="240" w:lineRule="auto"/>
              <w:ind w:firstLine="160"/>
              <w:rPr>
                <w:sz w:val="16"/>
                <w:szCs w:val="16"/>
              </w:rPr>
            </w:pPr>
            <w:r>
              <w:rPr>
                <w:rFonts w:ascii="Times New Roman" w:eastAsia="Times New Roman" w:hAnsi="Times New Roman" w:cs="Times New Roman"/>
                <w:color w:val="000000"/>
                <w:sz w:val="16"/>
                <w:szCs w:val="16"/>
              </w:rPr>
              <w:t>Fármaco más indicado:</w:t>
            </w:r>
          </w:p>
        </w:tc>
        <w:tc>
          <w:tcPr>
            <w:tcW w:w="2544" w:type="dxa"/>
            <w:shd w:val="clear" w:color="auto" w:fill="FFFFFF"/>
            <w:vAlign w:val="bottom"/>
          </w:tcPr>
          <w:p w14:paraId="509CECA2" w14:textId="77777777" w:rsidR="00924992" w:rsidRDefault="00924992">
            <w:pPr>
              <w:pStyle w:val="Other0"/>
              <w:framePr w:w="11434" w:h="5362" w:vSpace="1421" w:wrap="none" w:hAnchor="page" w:x="635" w:y="375"/>
              <w:spacing w:after="200" w:line="240" w:lineRule="auto"/>
              <w:ind w:firstLine="140"/>
              <w:rPr>
                <w:sz w:val="16"/>
                <w:szCs w:val="16"/>
              </w:rPr>
            </w:pPr>
            <w:r>
              <w:rPr>
                <w:rFonts w:ascii="Times New Roman" w:eastAsia="Times New Roman" w:hAnsi="Times New Roman" w:cs="Times New Roman"/>
                <w:color w:val="000000"/>
                <w:sz w:val="16"/>
                <w:szCs w:val="16"/>
              </w:rPr>
              <w:t>Atovacuona</w:t>
            </w:r>
          </w:p>
          <w:p w14:paraId="2F2EE442" w14:textId="77777777" w:rsidR="00924992" w:rsidRDefault="00924992">
            <w:pPr>
              <w:pStyle w:val="Other0"/>
              <w:framePr w:w="11434" w:h="5362" w:vSpace="1421" w:wrap="none" w:hAnchor="page" w:x="635" w:y="375"/>
              <w:spacing w:line="240" w:lineRule="auto"/>
              <w:ind w:firstLine="140"/>
              <w:rPr>
                <w:sz w:val="16"/>
                <w:szCs w:val="16"/>
              </w:rPr>
            </w:pPr>
            <w:r>
              <w:rPr>
                <w:rFonts w:ascii="Times New Roman" w:eastAsia="Times New Roman" w:hAnsi="Times New Roman" w:cs="Times New Roman"/>
                <w:color w:val="000000"/>
                <w:sz w:val="16"/>
                <w:szCs w:val="16"/>
              </w:rPr>
              <w:t>Trimetoprim-sulfametoxazol</w:t>
            </w:r>
          </w:p>
        </w:tc>
        <w:tc>
          <w:tcPr>
            <w:tcW w:w="3221" w:type="dxa"/>
            <w:shd w:val="clear" w:color="auto" w:fill="FFFFFF"/>
            <w:vAlign w:val="bottom"/>
          </w:tcPr>
          <w:p w14:paraId="34F796E9" w14:textId="77777777" w:rsidR="00924992" w:rsidRDefault="00924992">
            <w:pPr>
              <w:pStyle w:val="Other0"/>
              <w:framePr w:w="11434" w:h="5362" w:vSpace="1421" w:wrap="none" w:hAnchor="page" w:x="635" w:y="375"/>
              <w:spacing w:after="180" w:line="240" w:lineRule="auto"/>
              <w:ind w:firstLine="400"/>
              <w:rPr>
                <w:sz w:val="16"/>
                <w:szCs w:val="16"/>
              </w:rPr>
            </w:pPr>
            <w:r>
              <w:rPr>
                <w:rFonts w:ascii="Times New Roman" w:eastAsia="Times New Roman" w:hAnsi="Times New Roman" w:cs="Times New Roman"/>
                <w:color w:val="000000"/>
                <w:sz w:val="16"/>
                <w:szCs w:val="16"/>
              </w:rPr>
              <w:t xml:space="preserve">750 mg bid PO </w:t>
            </w:r>
            <w:r>
              <w:rPr>
                <w:color w:val="000000"/>
              </w:rPr>
              <w:t xml:space="preserve">x </w:t>
            </w:r>
            <w:r>
              <w:rPr>
                <w:rFonts w:ascii="Times New Roman" w:eastAsia="Times New Roman" w:hAnsi="Times New Roman" w:cs="Times New Roman"/>
                <w:color w:val="000000"/>
                <w:sz w:val="16"/>
                <w:szCs w:val="16"/>
              </w:rPr>
              <w:t>21 días</w:t>
            </w:r>
          </w:p>
          <w:p w14:paraId="196547CE" w14:textId="77777777" w:rsidR="00924992" w:rsidRDefault="00924992">
            <w:pPr>
              <w:pStyle w:val="Other0"/>
              <w:framePr w:w="11434" w:h="5362" w:vSpace="1421" w:wrap="none" w:hAnchor="page" w:x="635" w:y="375"/>
              <w:spacing w:line="240" w:lineRule="auto"/>
              <w:ind w:firstLine="400"/>
              <w:rPr>
                <w:sz w:val="16"/>
                <w:szCs w:val="16"/>
              </w:rPr>
            </w:pPr>
            <w:r>
              <w:rPr>
                <w:rFonts w:ascii="Times New Roman" w:eastAsia="Times New Roman" w:hAnsi="Times New Roman" w:cs="Times New Roman"/>
                <w:color w:val="000000"/>
                <w:sz w:val="16"/>
                <w:szCs w:val="16"/>
              </w:rPr>
              <w:t>1 tableta (dosis única o doble)</w:t>
            </w:r>
          </w:p>
        </w:tc>
        <w:tc>
          <w:tcPr>
            <w:tcW w:w="2938" w:type="dxa"/>
            <w:shd w:val="clear" w:color="auto" w:fill="FFFFFF"/>
            <w:vAlign w:val="bottom"/>
          </w:tcPr>
          <w:p w14:paraId="5D807789" w14:textId="77777777" w:rsidR="00924992" w:rsidRDefault="00924992">
            <w:pPr>
              <w:pStyle w:val="Other0"/>
              <w:framePr w:w="11434" w:h="5362" w:vSpace="1421" w:wrap="none" w:hAnchor="page" w:x="635" w:y="375"/>
              <w:spacing w:line="240" w:lineRule="auto"/>
              <w:ind w:firstLine="0"/>
              <w:rPr>
                <w:sz w:val="16"/>
                <w:szCs w:val="16"/>
              </w:rPr>
            </w:pPr>
            <w:r>
              <w:rPr>
                <w:rFonts w:ascii="Times New Roman" w:eastAsia="Times New Roman" w:hAnsi="Times New Roman" w:cs="Times New Roman"/>
                <w:color w:val="000000"/>
                <w:sz w:val="16"/>
                <w:szCs w:val="16"/>
              </w:rPr>
              <w:t>TMP 150 mg/m</w:t>
            </w:r>
            <w:r>
              <w:rPr>
                <w:rFonts w:ascii="Times New Roman" w:eastAsia="Times New Roman" w:hAnsi="Times New Roman" w:cs="Times New Roman"/>
                <w:color w:val="000000"/>
                <w:sz w:val="16"/>
                <w:szCs w:val="16"/>
                <w:vertAlign w:val="superscript"/>
              </w:rPr>
              <w:t>2</w:t>
            </w:r>
            <w:r>
              <w:rPr>
                <w:rFonts w:ascii="Times New Roman" w:eastAsia="Times New Roman" w:hAnsi="Times New Roman" w:cs="Times New Roman"/>
                <w:color w:val="000000"/>
                <w:sz w:val="16"/>
                <w:szCs w:val="16"/>
              </w:rPr>
              <w:t>, SMX 750 mg/m</w:t>
            </w:r>
            <w:r>
              <w:rPr>
                <w:rFonts w:ascii="Times New Roman" w:eastAsia="Times New Roman" w:hAnsi="Times New Roman" w:cs="Times New Roman"/>
                <w:color w:val="000000"/>
                <w:sz w:val="16"/>
                <w:szCs w:val="16"/>
                <w:vertAlign w:val="superscript"/>
              </w:rPr>
              <w:t>2</w:t>
            </w:r>
          </w:p>
        </w:tc>
      </w:tr>
      <w:tr w:rsidR="00924992" w14:paraId="6421A3A5" w14:textId="77777777">
        <w:tblPrEx>
          <w:tblCellMar>
            <w:top w:w="0" w:type="dxa"/>
            <w:bottom w:w="0" w:type="dxa"/>
          </w:tblCellMar>
        </w:tblPrEx>
        <w:trPr>
          <w:trHeight w:hRule="exact" w:val="600"/>
        </w:trPr>
        <w:tc>
          <w:tcPr>
            <w:tcW w:w="2731" w:type="dxa"/>
            <w:shd w:val="clear" w:color="auto" w:fill="FFFFFF"/>
            <w:vAlign w:val="bottom"/>
          </w:tcPr>
          <w:p w14:paraId="7776A66A" w14:textId="77777777" w:rsidR="00924992" w:rsidRDefault="00924992">
            <w:pPr>
              <w:pStyle w:val="Other0"/>
              <w:framePr w:w="11434" w:h="5362" w:vSpace="1421" w:wrap="none" w:hAnchor="page" w:x="635" w:y="375"/>
              <w:spacing w:line="240" w:lineRule="auto"/>
              <w:ind w:firstLine="160"/>
              <w:rPr>
                <w:sz w:val="16"/>
                <w:szCs w:val="16"/>
              </w:rPr>
            </w:pPr>
            <w:r>
              <w:rPr>
                <w:rFonts w:ascii="Times New Roman" w:eastAsia="Times New Roman" w:hAnsi="Times New Roman" w:cs="Times New Roman"/>
                <w:color w:val="000000"/>
                <w:sz w:val="16"/>
                <w:szCs w:val="16"/>
              </w:rPr>
              <w:t>Fármacos alternativos:</w:t>
            </w:r>
            <w:r>
              <w:rPr>
                <w:rFonts w:ascii="Times New Roman" w:eastAsia="Times New Roman" w:hAnsi="Times New Roman" w:cs="Times New Roman"/>
                <w:color w:val="000000"/>
                <w:sz w:val="16"/>
                <w:szCs w:val="16"/>
                <w:vertAlign w:val="superscript"/>
              </w:rPr>
              <w:t>88</w:t>
            </w:r>
          </w:p>
        </w:tc>
        <w:tc>
          <w:tcPr>
            <w:tcW w:w="2544" w:type="dxa"/>
            <w:shd w:val="clear" w:color="auto" w:fill="FFFFFF"/>
            <w:vAlign w:val="bottom"/>
          </w:tcPr>
          <w:p w14:paraId="1DDB3522" w14:textId="77777777" w:rsidR="00924992" w:rsidRDefault="00924992">
            <w:pPr>
              <w:pStyle w:val="Other0"/>
              <w:framePr w:w="11434" w:h="5362" w:vSpace="1421" w:wrap="none" w:hAnchor="page" w:x="635" w:y="375"/>
              <w:spacing w:line="240" w:lineRule="auto"/>
              <w:ind w:firstLine="140"/>
              <w:rPr>
                <w:sz w:val="16"/>
                <w:szCs w:val="16"/>
              </w:rPr>
            </w:pPr>
            <w:r>
              <w:rPr>
                <w:rFonts w:ascii="Times New Roman" w:eastAsia="Times New Roman" w:hAnsi="Times New Roman" w:cs="Times New Roman"/>
                <w:color w:val="000000"/>
                <w:sz w:val="16"/>
                <w:szCs w:val="16"/>
              </w:rPr>
              <w:t>Dapsona</w:t>
            </w:r>
            <w:r>
              <w:rPr>
                <w:rFonts w:ascii="Times New Roman" w:eastAsia="Times New Roman" w:hAnsi="Times New Roman" w:cs="Times New Roman"/>
                <w:color w:val="000000"/>
                <w:sz w:val="16"/>
                <w:szCs w:val="16"/>
                <w:vertAlign w:val="superscript"/>
              </w:rPr>
              <w:t>3</w:t>
            </w:r>
          </w:p>
        </w:tc>
        <w:tc>
          <w:tcPr>
            <w:tcW w:w="3221" w:type="dxa"/>
            <w:shd w:val="clear" w:color="auto" w:fill="FFFFFF"/>
            <w:vAlign w:val="bottom"/>
          </w:tcPr>
          <w:p w14:paraId="7D92204E" w14:textId="77777777" w:rsidR="00924992" w:rsidRDefault="00924992">
            <w:pPr>
              <w:pStyle w:val="Other0"/>
              <w:framePr w:w="11434" w:h="5362" w:vSpace="1421" w:wrap="none" w:hAnchor="page" w:x="635" w:y="375"/>
              <w:spacing w:after="200" w:line="240" w:lineRule="auto"/>
              <w:ind w:firstLine="500"/>
              <w:rPr>
                <w:sz w:val="16"/>
                <w:szCs w:val="16"/>
              </w:rPr>
            </w:pPr>
            <w:r>
              <w:rPr>
                <w:rFonts w:ascii="Times New Roman" w:eastAsia="Times New Roman" w:hAnsi="Times New Roman" w:cs="Times New Roman"/>
                <w:color w:val="000000"/>
                <w:sz w:val="16"/>
                <w:szCs w:val="16"/>
              </w:rPr>
              <w:t>diariamente</w:t>
            </w:r>
          </w:p>
          <w:p w14:paraId="69EE510F" w14:textId="77777777" w:rsidR="00924992" w:rsidRDefault="00924992">
            <w:pPr>
              <w:pStyle w:val="Other0"/>
              <w:framePr w:w="11434" w:h="5362" w:vSpace="1421" w:wrap="none" w:hAnchor="page" w:x="635" w:y="375"/>
              <w:spacing w:line="240" w:lineRule="auto"/>
              <w:ind w:firstLine="400"/>
              <w:rPr>
                <w:sz w:val="16"/>
                <w:szCs w:val="16"/>
              </w:rPr>
            </w:pPr>
            <w:r>
              <w:rPr>
                <w:rFonts w:ascii="Times New Roman" w:eastAsia="Times New Roman" w:hAnsi="Times New Roman" w:cs="Times New Roman"/>
                <w:color w:val="000000"/>
                <w:sz w:val="16"/>
                <w:szCs w:val="16"/>
              </w:rPr>
              <w:t>50 mg bid o 100 mg diariamente</w:t>
            </w:r>
          </w:p>
        </w:tc>
        <w:tc>
          <w:tcPr>
            <w:tcW w:w="2938" w:type="dxa"/>
            <w:shd w:val="clear" w:color="auto" w:fill="FFFFFF"/>
            <w:vAlign w:val="bottom"/>
          </w:tcPr>
          <w:p w14:paraId="76A8AF0C" w14:textId="77777777" w:rsidR="00924992" w:rsidRDefault="00924992">
            <w:pPr>
              <w:pStyle w:val="Other0"/>
              <w:framePr w:w="11434" w:h="5362" w:vSpace="1421" w:wrap="none" w:hAnchor="page" w:x="635" w:y="375"/>
              <w:spacing w:line="257" w:lineRule="auto"/>
              <w:ind w:left="140" w:firstLine="0"/>
              <w:rPr>
                <w:sz w:val="16"/>
                <w:szCs w:val="16"/>
              </w:rPr>
            </w:pPr>
            <w:r>
              <w:rPr>
                <w:rFonts w:ascii="Times New Roman" w:eastAsia="Times New Roman" w:hAnsi="Times New Roman" w:cs="Times New Roman"/>
                <w:color w:val="000000"/>
                <w:sz w:val="16"/>
                <w:szCs w:val="16"/>
              </w:rPr>
              <w:t>en 2 dosis en 3 días consecutivos por semana</w:t>
            </w:r>
          </w:p>
          <w:p w14:paraId="40505034" w14:textId="77777777" w:rsidR="00924992" w:rsidRDefault="00924992">
            <w:pPr>
              <w:pStyle w:val="Other0"/>
              <w:framePr w:w="11434" w:h="5362" w:vSpace="1421" w:wrap="none" w:hAnchor="page" w:x="635" w:y="375"/>
              <w:spacing w:line="257" w:lineRule="auto"/>
              <w:ind w:firstLine="0"/>
              <w:rPr>
                <w:sz w:val="16"/>
                <w:szCs w:val="16"/>
              </w:rPr>
            </w:pPr>
            <w:r>
              <w:rPr>
                <w:rFonts w:ascii="Times New Roman" w:eastAsia="Times New Roman" w:hAnsi="Times New Roman" w:cs="Times New Roman"/>
                <w:color w:val="000000"/>
                <w:sz w:val="16"/>
                <w:szCs w:val="16"/>
              </w:rPr>
              <w:t>2 mg/kg (máx. 100 mg) diariamente</w:t>
            </w:r>
          </w:p>
        </w:tc>
      </w:tr>
      <w:tr w:rsidR="00924992" w14:paraId="16966D5A" w14:textId="77777777">
        <w:tblPrEx>
          <w:tblCellMar>
            <w:top w:w="0" w:type="dxa"/>
            <w:bottom w:w="0" w:type="dxa"/>
          </w:tblCellMar>
        </w:tblPrEx>
        <w:trPr>
          <w:trHeight w:hRule="exact" w:val="427"/>
        </w:trPr>
        <w:tc>
          <w:tcPr>
            <w:tcW w:w="2731" w:type="dxa"/>
            <w:shd w:val="clear" w:color="auto" w:fill="FFFFFF"/>
            <w:vAlign w:val="bottom"/>
          </w:tcPr>
          <w:p w14:paraId="798FD917" w14:textId="77777777" w:rsidR="00924992" w:rsidRDefault="00924992">
            <w:pPr>
              <w:pStyle w:val="Other0"/>
              <w:framePr w:w="11434" w:h="5362" w:vSpace="1421" w:wrap="none" w:hAnchor="page" w:x="635" w:y="375"/>
              <w:spacing w:line="240" w:lineRule="auto"/>
              <w:ind w:firstLine="160"/>
              <w:rPr>
                <w:sz w:val="16"/>
                <w:szCs w:val="16"/>
              </w:rPr>
            </w:pPr>
            <w:r>
              <w:rPr>
                <w:rFonts w:ascii="Times New Roman" w:eastAsia="Times New Roman" w:hAnsi="Times New Roman" w:cs="Times New Roman"/>
                <w:b/>
                <w:bCs/>
                <w:color w:val="000000"/>
                <w:sz w:val="16"/>
                <w:szCs w:val="16"/>
              </w:rPr>
              <w:t>O</w:t>
            </w:r>
          </w:p>
        </w:tc>
        <w:tc>
          <w:tcPr>
            <w:tcW w:w="2544" w:type="dxa"/>
            <w:shd w:val="clear" w:color="auto" w:fill="FFFFFF"/>
            <w:vAlign w:val="bottom"/>
          </w:tcPr>
          <w:p w14:paraId="1E8833A1" w14:textId="77777777" w:rsidR="00924992" w:rsidRDefault="00924992">
            <w:pPr>
              <w:pStyle w:val="Other0"/>
              <w:framePr w:w="11434" w:h="5362" w:vSpace="1421" w:wrap="none" w:hAnchor="page" w:x="635" w:y="375"/>
              <w:spacing w:line="240" w:lineRule="auto"/>
              <w:ind w:firstLine="140"/>
              <w:rPr>
                <w:sz w:val="16"/>
                <w:szCs w:val="16"/>
              </w:rPr>
            </w:pPr>
            <w:r>
              <w:rPr>
                <w:rFonts w:ascii="Times New Roman" w:eastAsia="Times New Roman" w:hAnsi="Times New Roman" w:cs="Times New Roman"/>
                <w:color w:val="000000"/>
                <w:sz w:val="16"/>
                <w:szCs w:val="16"/>
              </w:rPr>
              <w:t>Dapsona</w:t>
            </w:r>
            <w:r>
              <w:rPr>
                <w:rFonts w:ascii="Times New Roman" w:eastAsia="Times New Roman" w:hAnsi="Times New Roman" w:cs="Times New Roman"/>
                <w:color w:val="000000"/>
                <w:sz w:val="16"/>
                <w:szCs w:val="16"/>
                <w:vertAlign w:val="superscript"/>
              </w:rPr>
              <w:t>3</w:t>
            </w:r>
          </w:p>
        </w:tc>
        <w:tc>
          <w:tcPr>
            <w:tcW w:w="3221" w:type="dxa"/>
            <w:shd w:val="clear" w:color="auto" w:fill="FFFFFF"/>
            <w:vAlign w:val="bottom"/>
          </w:tcPr>
          <w:p w14:paraId="6A316D18" w14:textId="77777777" w:rsidR="00924992" w:rsidRDefault="00924992">
            <w:pPr>
              <w:pStyle w:val="Other0"/>
              <w:framePr w:w="11434" w:h="5362" w:vSpace="1421" w:wrap="none" w:hAnchor="page" w:x="635" w:y="375"/>
              <w:spacing w:line="240" w:lineRule="auto"/>
              <w:ind w:firstLine="400"/>
              <w:rPr>
                <w:sz w:val="16"/>
                <w:szCs w:val="16"/>
              </w:rPr>
            </w:pPr>
            <w:r>
              <w:rPr>
                <w:rFonts w:ascii="Times New Roman" w:eastAsia="Times New Roman" w:hAnsi="Times New Roman" w:cs="Times New Roman"/>
                <w:color w:val="000000"/>
                <w:sz w:val="16"/>
                <w:szCs w:val="16"/>
              </w:rPr>
              <w:t>50 mg diariamente o 200 mg cada</w:t>
            </w:r>
          </w:p>
        </w:tc>
        <w:tc>
          <w:tcPr>
            <w:tcW w:w="2938" w:type="dxa"/>
            <w:shd w:val="clear" w:color="auto" w:fill="FFFFFF"/>
          </w:tcPr>
          <w:p w14:paraId="0533281C" w14:textId="77777777" w:rsidR="00924992" w:rsidRDefault="00924992">
            <w:pPr>
              <w:pStyle w:val="Other0"/>
              <w:framePr w:w="11434" w:h="5362" w:vSpace="1421" w:wrap="none" w:hAnchor="page" w:x="635" w:y="375"/>
              <w:spacing w:line="240" w:lineRule="auto"/>
              <w:ind w:firstLine="140"/>
              <w:rPr>
                <w:sz w:val="16"/>
                <w:szCs w:val="16"/>
              </w:rPr>
            </w:pPr>
            <w:r>
              <w:rPr>
                <w:rFonts w:ascii="Times New Roman" w:eastAsia="Times New Roman" w:hAnsi="Times New Roman" w:cs="Times New Roman"/>
                <w:color w:val="000000"/>
                <w:sz w:val="16"/>
                <w:szCs w:val="16"/>
              </w:rPr>
              <w:t>o 4 mg/kg (máx. 200 mg cada semana)</w:t>
            </w:r>
          </w:p>
        </w:tc>
      </w:tr>
      <w:tr w:rsidR="00924992" w14:paraId="5CDEB254" w14:textId="77777777">
        <w:tblPrEx>
          <w:tblCellMar>
            <w:top w:w="0" w:type="dxa"/>
            <w:bottom w:w="0" w:type="dxa"/>
          </w:tblCellMar>
        </w:tblPrEx>
        <w:trPr>
          <w:trHeight w:hRule="exact" w:val="566"/>
        </w:trPr>
        <w:tc>
          <w:tcPr>
            <w:tcW w:w="2731" w:type="dxa"/>
            <w:shd w:val="clear" w:color="auto" w:fill="FFFFFF"/>
            <w:vAlign w:val="bottom"/>
          </w:tcPr>
          <w:p w14:paraId="23EDCB7F" w14:textId="77777777" w:rsidR="00924992" w:rsidRDefault="00924992">
            <w:pPr>
              <w:pStyle w:val="Other0"/>
              <w:framePr w:w="11434" w:h="5362" w:vSpace="1421" w:wrap="none" w:hAnchor="page" w:x="635" w:y="375"/>
              <w:spacing w:line="240" w:lineRule="auto"/>
              <w:ind w:firstLine="160"/>
              <w:rPr>
                <w:sz w:val="16"/>
                <w:szCs w:val="16"/>
              </w:rPr>
            </w:pPr>
            <w:r>
              <w:rPr>
                <w:rFonts w:ascii="Times New Roman" w:eastAsia="Times New Roman" w:hAnsi="Times New Roman" w:cs="Times New Roman"/>
                <w:b/>
                <w:bCs/>
                <w:color w:val="000000"/>
                <w:sz w:val="16"/>
                <w:szCs w:val="16"/>
              </w:rPr>
              <w:t>O</w:t>
            </w:r>
          </w:p>
        </w:tc>
        <w:tc>
          <w:tcPr>
            <w:tcW w:w="2544" w:type="dxa"/>
            <w:shd w:val="clear" w:color="auto" w:fill="FFFFFF"/>
            <w:vAlign w:val="bottom"/>
          </w:tcPr>
          <w:p w14:paraId="74A48AA5" w14:textId="77777777" w:rsidR="00924992" w:rsidRDefault="00924992">
            <w:pPr>
              <w:pStyle w:val="Other0"/>
              <w:framePr w:w="11434" w:h="5362" w:vSpace="1421" w:wrap="none" w:hAnchor="page" w:x="635" w:y="375"/>
              <w:spacing w:line="257" w:lineRule="auto"/>
              <w:ind w:left="140"/>
              <w:rPr>
                <w:sz w:val="16"/>
                <w:szCs w:val="16"/>
              </w:rPr>
            </w:pPr>
            <w:r>
              <w:rPr>
                <w:rFonts w:ascii="Times New Roman" w:eastAsia="Times New Roman" w:hAnsi="Times New Roman" w:cs="Times New Roman"/>
                <w:b/>
                <w:bCs/>
                <w:color w:val="000000"/>
                <w:sz w:val="16"/>
                <w:szCs w:val="16"/>
              </w:rPr>
              <w:t xml:space="preserve">y además </w:t>
            </w:r>
            <w:r>
              <w:rPr>
                <w:rFonts w:ascii="Times New Roman" w:eastAsia="Times New Roman" w:hAnsi="Times New Roman" w:cs="Times New Roman"/>
                <w:color w:val="000000"/>
                <w:sz w:val="16"/>
                <w:szCs w:val="16"/>
              </w:rPr>
              <w:t>pirimetamina</w:t>
            </w:r>
            <w:r>
              <w:rPr>
                <w:rFonts w:ascii="Times New Roman" w:eastAsia="Times New Roman" w:hAnsi="Times New Roman" w:cs="Times New Roman"/>
                <w:color w:val="000000"/>
                <w:sz w:val="16"/>
                <w:szCs w:val="16"/>
                <w:vertAlign w:val="superscript"/>
              </w:rPr>
              <w:t xml:space="preserve">89 </w:t>
            </w:r>
            <w:r>
              <w:rPr>
                <w:rFonts w:ascii="Times New Roman" w:eastAsia="Times New Roman" w:hAnsi="Times New Roman" w:cs="Times New Roman"/>
                <w:color w:val="000000"/>
                <w:sz w:val="16"/>
                <w:szCs w:val="16"/>
              </w:rPr>
              <w:t>Pentamidina en aerosol</w:t>
            </w:r>
          </w:p>
        </w:tc>
        <w:tc>
          <w:tcPr>
            <w:tcW w:w="3221" w:type="dxa"/>
            <w:shd w:val="clear" w:color="auto" w:fill="FFFFFF"/>
            <w:vAlign w:val="bottom"/>
          </w:tcPr>
          <w:p w14:paraId="6767CF07" w14:textId="77777777" w:rsidR="00924992" w:rsidRDefault="00924992">
            <w:pPr>
              <w:pStyle w:val="Other0"/>
              <w:framePr w:w="11434" w:h="5362" w:vSpace="1421" w:wrap="none" w:hAnchor="page" w:x="635" w:y="375"/>
              <w:spacing w:after="40" w:line="240" w:lineRule="auto"/>
              <w:ind w:firstLine="500"/>
              <w:rPr>
                <w:sz w:val="16"/>
                <w:szCs w:val="16"/>
              </w:rPr>
            </w:pPr>
            <w:r>
              <w:rPr>
                <w:rFonts w:ascii="Times New Roman" w:eastAsia="Times New Roman" w:hAnsi="Times New Roman" w:cs="Times New Roman"/>
                <w:color w:val="000000"/>
                <w:sz w:val="16"/>
                <w:szCs w:val="16"/>
              </w:rPr>
              <w:t>semana</w:t>
            </w:r>
          </w:p>
          <w:p w14:paraId="147E3FC0" w14:textId="77777777" w:rsidR="00924992" w:rsidRDefault="00924992">
            <w:pPr>
              <w:pStyle w:val="Other0"/>
              <w:framePr w:w="11434" w:h="5362" w:vSpace="1421" w:wrap="none" w:hAnchor="page" w:x="635" w:y="375"/>
              <w:spacing w:line="240" w:lineRule="auto"/>
              <w:ind w:firstLine="400"/>
              <w:rPr>
                <w:sz w:val="16"/>
                <w:szCs w:val="16"/>
              </w:rPr>
            </w:pPr>
            <w:r>
              <w:rPr>
                <w:rFonts w:ascii="Times New Roman" w:eastAsia="Times New Roman" w:hAnsi="Times New Roman" w:cs="Times New Roman"/>
                <w:color w:val="000000"/>
                <w:sz w:val="16"/>
                <w:szCs w:val="16"/>
              </w:rPr>
              <w:t>50 o 75 mg cada semana</w:t>
            </w:r>
          </w:p>
          <w:p w14:paraId="4A60540F" w14:textId="77777777" w:rsidR="00924992" w:rsidRDefault="00924992">
            <w:pPr>
              <w:pStyle w:val="Other0"/>
              <w:framePr w:w="11434" w:h="5362" w:vSpace="1421" w:wrap="none" w:hAnchor="page" w:x="635" w:y="375"/>
              <w:spacing w:line="240" w:lineRule="auto"/>
              <w:ind w:firstLine="400"/>
              <w:rPr>
                <w:sz w:val="16"/>
                <w:szCs w:val="16"/>
              </w:rPr>
            </w:pPr>
            <w:r>
              <w:rPr>
                <w:rFonts w:ascii="Times New Roman" w:eastAsia="Times New Roman" w:hAnsi="Times New Roman" w:cs="Times New Roman"/>
                <w:color w:val="000000"/>
                <w:sz w:val="16"/>
                <w:szCs w:val="16"/>
              </w:rPr>
              <w:t>300 mg inhalados cada mes por medio</w:t>
            </w:r>
          </w:p>
        </w:tc>
        <w:tc>
          <w:tcPr>
            <w:tcW w:w="2938" w:type="dxa"/>
            <w:vMerge w:val="restart"/>
            <w:shd w:val="clear" w:color="auto" w:fill="FFFFFF"/>
            <w:vAlign w:val="center"/>
          </w:tcPr>
          <w:p w14:paraId="6C859CD6" w14:textId="77777777" w:rsidR="00924992" w:rsidRDefault="00924992">
            <w:pPr>
              <w:pStyle w:val="Other0"/>
              <w:framePr w:w="11434" w:h="5362" w:vSpace="1421" w:wrap="none" w:hAnchor="page" w:x="635" w:y="375"/>
              <w:spacing w:line="240" w:lineRule="auto"/>
              <w:ind w:firstLine="0"/>
              <w:rPr>
                <w:sz w:val="16"/>
                <w:szCs w:val="16"/>
              </w:rPr>
            </w:pPr>
            <w:r>
              <w:rPr>
                <w:rFonts w:ascii="Times New Roman" w:eastAsia="Times New Roman" w:hAnsi="Times New Roman" w:cs="Times New Roman"/>
                <w:color w:val="000000"/>
                <w:sz w:val="20"/>
                <w:szCs w:val="20"/>
              </w:rPr>
              <w:t>&gt;</w:t>
            </w:r>
            <w:r>
              <w:rPr>
                <w:rFonts w:ascii="Times New Roman" w:eastAsia="Times New Roman" w:hAnsi="Times New Roman" w:cs="Times New Roman"/>
                <w:color w:val="000000"/>
                <w:sz w:val="16"/>
                <w:szCs w:val="16"/>
              </w:rPr>
              <w:t>5 años: igual que la dosis para adulto</w:t>
            </w:r>
          </w:p>
        </w:tc>
      </w:tr>
      <w:tr w:rsidR="00924992" w14:paraId="21A1038C" w14:textId="77777777">
        <w:tblPrEx>
          <w:tblCellMar>
            <w:top w:w="0" w:type="dxa"/>
            <w:bottom w:w="0" w:type="dxa"/>
          </w:tblCellMar>
        </w:tblPrEx>
        <w:trPr>
          <w:trHeight w:hRule="exact" w:val="514"/>
        </w:trPr>
        <w:tc>
          <w:tcPr>
            <w:tcW w:w="2731" w:type="dxa"/>
            <w:tcBorders>
              <w:bottom w:val="single" w:sz="4" w:space="0" w:color="auto"/>
            </w:tcBorders>
            <w:shd w:val="clear" w:color="auto" w:fill="FFFFFF"/>
            <w:vAlign w:val="center"/>
          </w:tcPr>
          <w:p w14:paraId="666C32A1" w14:textId="77777777" w:rsidR="00924992" w:rsidRDefault="00924992">
            <w:pPr>
              <w:pStyle w:val="Other0"/>
              <w:framePr w:w="11434" w:h="5362" w:vSpace="1421" w:wrap="none" w:hAnchor="page" w:x="635" w:y="375"/>
              <w:spacing w:line="240" w:lineRule="auto"/>
              <w:ind w:firstLine="160"/>
              <w:rPr>
                <w:sz w:val="16"/>
                <w:szCs w:val="16"/>
              </w:rPr>
            </w:pPr>
            <w:r>
              <w:rPr>
                <w:rFonts w:ascii="Times New Roman" w:eastAsia="Times New Roman" w:hAnsi="Times New Roman" w:cs="Times New Roman"/>
                <w:b/>
                <w:bCs/>
                <w:color w:val="000000"/>
                <w:sz w:val="16"/>
                <w:szCs w:val="16"/>
              </w:rPr>
              <w:t>O</w:t>
            </w:r>
          </w:p>
        </w:tc>
        <w:tc>
          <w:tcPr>
            <w:tcW w:w="2544" w:type="dxa"/>
            <w:tcBorders>
              <w:bottom w:val="single" w:sz="4" w:space="0" w:color="auto"/>
            </w:tcBorders>
            <w:shd w:val="clear" w:color="auto" w:fill="FFFFFF"/>
            <w:vAlign w:val="center"/>
          </w:tcPr>
          <w:p w14:paraId="5FDF3CD4" w14:textId="77777777" w:rsidR="00924992" w:rsidRDefault="00924992">
            <w:pPr>
              <w:pStyle w:val="Other0"/>
              <w:framePr w:w="11434" w:h="5362" w:vSpace="1421" w:wrap="none" w:hAnchor="page" w:x="635" w:y="375"/>
              <w:spacing w:line="240" w:lineRule="auto"/>
              <w:ind w:firstLine="140"/>
              <w:rPr>
                <w:sz w:val="16"/>
                <w:szCs w:val="16"/>
              </w:rPr>
            </w:pPr>
            <w:r>
              <w:rPr>
                <w:rFonts w:ascii="Times New Roman" w:eastAsia="Times New Roman" w:hAnsi="Times New Roman" w:cs="Times New Roman"/>
                <w:color w:val="000000"/>
                <w:sz w:val="16"/>
                <w:szCs w:val="16"/>
              </w:rPr>
              <w:t>Atovacuona</w:t>
            </w:r>
            <w:r>
              <w:rPr>
                <w:rFonts w:ascii="Times New Roman" w:eastAsia="Times New Roman" w:hAnsi="Times New Roman" w:cs="Times New Roman"/>
                <w:color w:val="000000"/>
                <w:sz w:val="16"/>
                <w:szCs w:val="16"/>
                <w:vertAlign w:val="superscript"/>
              </w:rPr>
              <w:t>3</w:t>
            </w:r>
          </w:p>
        </w:tc>
        <w:tc>
          <w:tcPr>
            <w:tcW w:w="3221" w:type="dxa"/>
            <w:tcBorders>
              <w:bottom w:val="single" w:sz="4" w:space="0" w:color="auto"/>
            </w:tcBorders>
            <w:shd w:val="clear" w:color="auto" w:fill="FFFFFF"/>
          </w:tcPr>
          <w:p w14:paraId="122D71E7" w14:textId="77777777" w:rsidR="00924992" w:rsidRDefault="00924992">
            <w:pPr>
              <w:pStyle w:val="Other0"/>
              <w:framePr w:w="11434" w:h="5362" w:vSpace="1421" w:wrap="none" w:hAnchor="page" w:x="635" w:y="375"/>
              <w:spacing w:line="264" w:lineRule="auto"/>
              <w:ind w:left="400" w:firstLine="100"/>
              <w:rPr>
                <w:sz w:val="16"/>
                <w:szCs w:val="16"/>
              </w:rPr>
            </w:pPr>
            <w:r>
              <w:rPr>
                <w:rFonts w:ascii="Times New Roman" w:eastAsia="Times New Roman" w:hAnsi="Times New Roman" w:cs="Times New Roman"/>
                <w:color w:val="000000"/>
                <w:sz w:val="16"/>
                <w:szCs w:val="16"/>
              </w:rPr>
              <w:t xml:space="preserve">del nebulizador </w:t>
            </w:r>
            <w:r>
              <w:rPr>
                <w:rFonts w:ascii="Times New Roman" w:eastAsia="Times New Roman" w:hAnsi="Times New Roman" w:cs="Times New Roman"/>
                <w:i/>
                <w:iCs/>
                <w:color w:val="000000"/>
                <w:sz w:val="16"/>
                <w:szCs w:val="16"/>
              </w:rPr>
              <w:t xml:space="preserve">Respirgard II </w:t>
            </w:r>
            <w:r>
              <w:rPr>
                <w:rFonts w:ascii="Times New Roman" w:eastAsia="Times New Roman" w:hAnsi="Times New Roman" w:cs="Times New Roman"/>
                <w:color w:val="000000"/>
                <w:sz w:val="16"/>
                <w:szCs w:val="16"/>
              </w:rPr>
              <w:t>1 500 mg al día</w:t>
            </w:r>
          </w:p>
        </w:tc>
        <w:tc>
          <w:tcPr>
            <w:tcW w:w="2938" w:type="dxa"/>
            <w:vMerge/>
            <w:tcBorders>
              <w:bottom w:val="single" w:sz="4" w:space="0" w:color="auto"/>
            </w:tcBorders>
            <w:shd w:val="clear" w:color="auto" w:fill="FFFFFF"/>
            <w:vAlign w:val="center"/>
          </w:tcPr>
          <w:p w14:paraId="74775912" w14:textId="77777777" w:rsidR="00924992" w:rsidRDefault="00924992">
            <w:pPr>
              <w:framePr w:w="11434" w:h="5362" w:vSpace="1421" w:wrap="none" w:hAnchor="page" w:x="635" w:y="375"/>
            </w:pPr>
          </w:p>
        </w:tc>
      </w:tr>
    </w:tbl>
    <w:p w14:paraId="3911DD03" w14:textId="77777777" w:rsidR="00924992" w:rsidRDefault="00924992">
      <w:pPr>
        <w:framePr w:w="11434" w:h="5362" w:vSpace="1421" w:wrap="none" w:hAnchor="page" w:x="635" w:y="375"/>
        <w:spacing w:line="1" w:lineRule="exact"/>
      </w:pPr>
    </w:p>
    <w:p w14:paraId="7D589D0B" w14:textId="77777777" w:rsidR="00924992" w:rsidRDefault="00924992">
      <w:pPr>
        <w:pStyle w:val="Tablecaption0"/>
        <w:framePr w:w="11410" w:h="1339" w:wrap="none" w:hAnchor="page" w:x="654" w:y="5818"/>
        <w:numPr>
          <w:ilvl w:val="0"/>
          <w:numId w:val="140"/>
        </w:numPr>
        <w:tabs>
          <w:tab w:val="left" w:pos="370"/>
        </w:tabs>
        <w:spacing w:line="240" w:lineRule="auto"/>
        <w:ind w:left="380" w:hanging="380"/>
      </w:pPr>
      <w:r>
        <w:rPr>
          <w:color w:val="000000"/>
        </w:rPr>
        <w:t xml:space="preserve">El fármaco puede ser eficaz en el paludismo por </w:t>
      </w:r>
      <w:r>
        <w:rPr>
          <w:i/>
          <w:iCs/>
          <w:color w:val="000000"/>
        </w:rPr>
        <w:t>P falciparum</w:t>
      </w:r>
      <w:r>
        <w:rPr>
          <w:color w:val="000000"/>
        </w:rPr>
        <w:t xml:space="preserve"> resistente a múltiples fármacos, pero se han señalado ineficacia terapéutica y resistencia al medicamento y éste ha originado alargamiento de los intervalos PR y QTc y arritmias letales. No debe usarse en personas con defectos de conducción cardiaca o con otros fármacos que pudieran alterar el intervalo QT como quinina, quinidina y mefloquina. Se recomienda la vigilancia cardiaca y electrocardiográfica. Surge el problema de variabilidad de la absorción; la halofantrina no debe ingerirse 1 h antes de ingerir alimentos o 2 h después de haberlo hecho porque los alimentos intensifican su absorción. Tampoco deben usarla las embarazadas.</w:t>
      </w:r>
    </w:p>
    <w:p w14:paraId="4B8DB0D9" w14:textId="77777777" w:rsidR="00924992" w:rsidRDefault="00924992">
      <w:pPr>
        <w:pStyle w:val="Tablecaption0"/>
        <w:framePr w:w="11410" w:h="1339" w:wrap="none" w:hAnchor="page" w:x="654" w:y="5818"/>
        <w:numPr>
          <w:ilvl w:val="0"/>
          <w:numId w:val="140"/>
        </w:numPr>
        <w:tabs>
          <w:tab w:val="left" w:pos="370"/>
        </w:tabs>
        <w:spacing w:line="240" w:lineRule="auto"/>
        <w:ind w:left="0"/>
      </w:pPr>
      <w:r>
        <w:rPr>
          <w:color w:val="000000"/>
        </w:rPr>
        <w:t xml:space="preserve">Se puede utilizar una dosis de 250 mg para repetir el tratamiento en infecciones leves o moderadas (JE Touze et al, </w:t>
      </w:r>
      <w:r>
        <w:rPr>
          <w:i/>
          <w:iCs/>
          <w:color w:val="000000"/>
        </w:rPr>
        <w:t>Lancet</w:t>
      </w:r>
      <w:r>
        <w:rPr>
          <w:color w:val="000000"/>
        </w:rPr>
        <w:t xml:space="preserve"> 1997; 349:255).</w:t>
      </w:r>
    </w:p>
    <w:p w14:paraId="15C6466F" w14:textId="77777777" w:rsidR="00924992" w:rsidRDefault="00924992">
      <w:pPr>
        <w:pStyle w:val="Tablecaption0"/>
        <w:framePr w:w="11410" w:h="1339" w:wrap="none" w:hAnchor="page" w:x="654" w:y="5818"/>
        <w:numPr>
          <w:ilvl w:val="0"/>
          <w:numId w:val="140"/>
        </w:numPr>
        <w:tabs>
          <w:tab w:val="left" w:pos="370"/>
          <w:tab w:val="left" w:pos="10704"/>
        </w:tabs>
        <w:spacing w:line="240" w:lineRule="auto"/>
        <w:ind w:left="0"/>
        <w:rPr>
          <w:sz w:val="16"/>
          <w:szCs w:val="16"/>
        </w:rPr>
      </w:pPr>
      <w:r>
        <w:rPr>
          <w:color w:val="000000"/>
        </w:rPr>
        <w:t xml:space="preserve">K Na-Bangchang, </w:t>
      </w:r>
      <w:r>
        <w:rPr>
          <w:i/>
          <w:iCs/>
          <w:color w:val="000000"/>
        </w:rPr>
        <w:t>Trop Med Int Health</w:t>
      </w:r>
      <w:r>
        <w:rPr>
          <w:color w:val="000000"/>
        </w:rPr>
        <w:t xml:space="preserve"> 1999; 4:602.</w:t>
      </w:r>
      <w:r>
        <w:rPr>
          <w:color w:val="000000"/>
        </w:rPr>
        <w:tab/>
      </w:r>
      <w:r>
        <w:rPr>
          <w:i/>
          <w:iCs/>
          <w:color w:val="000000"/>
          <w:sz w:val="16"/>
          <w:szCs w:val="16"/>
        </w:rPr>
        <w:t>continúa</w:t>
      </w:r>
    </w:p>
    <w:p w14:paraId="7288BC61" w14:textId="77777777" w:rsidR="00924992" w:rsidRDefault="00924992">
      <w:pPr>
        <w:pStyle w:val="Bodytext80"/>
        <w:framePr w:w="192" w:h="4526" w:hRule="exact" w:wrap="none" w:hAnchor="page" w:x="12390" w:y="2521"/>
        <w:tabs>
          <w:tab w:val="left" w:pos="4210"/>
        </w:tabs>
        <w:textDirection w:val="tbRl"/>
        <w:rPr>
          <w:sz w:val="16"/>
          <w:szCs w:val="16"/>
        </w:rPr>
      </w:pPr>
      <w:r>
        <w:t>FÁRMACOS ANTIPARASITARIOS</w:t>
      </w:r>
      <w:r>
        <w:tab/>
      </w:r>
      <w:r>
        <w:rPr>
          <w:sz w:val="16"/>
          <w:szCs w:val="16"/>
        </w:rPr>
        <w:t>799</w:t>
      </w:r>
    </w:p>
    <w:p w14:paraId="02AFCDF4" w14:textId="77777777" w:rsidR="00924992" w:rsidRDefault="00924992">
      <w:pPr>
        <w:spacing w:line="360" w:lineRule="exact"/>
      </w:pPr>
    </w:p>
    <w:p w14:paraId="2D7CAEBB" w14:textId="77777777" w:rsidR="00924992" w:rsidRDefault="00924992">
      <w:pPr>
        <w:spacing w:line="360" w:lineRule="exact"/>
      </w:pPr>
    </w:p>
    <w:p w14:paraId="23481268" w14:textId="77777777" w:rsidR="00924992" w:rsidRDefault="00924992">
      <w:pPr>
        <w:spacing w:line="360" w:lineRule="exact"/>
      </w:pPr>
    </w:p>
    <w:p w14:paraId="1EF6DB6D" w14:textId="77777777" w:rsidR="00924992" w:rsidRDefault="00924992">
      <w:pPr>
        <w:spacing w:line="360" w:lineRule="exact"/>
      </w:pPr>
    </w:p>
    <w:p w14:paraId="7F4CAE8C" w14:textId="77777777" w:rsidR="00924992" w:rsidRDefault="00924992">
      <w:pPr>
        <w:spacing w:line="360" w:lineRule="exact"/>
      </w:pPr>
    </w:p>
    <w:p w14:paraId="3BD13BC7" w14:textId="77777777" w:rsidR="00924992" w:rsidRDefault="00924992">
      <w:pPr>
        <w:spacing w:line="360" w:lineRule="exact"/>
      </w:pPr>
    </w:p>
    <w:p w14:paraId="64EF1223" w14:textId="77777777" w:rsidR="00924992" w:rsidRDefault="00924992">
      <w:pPr>
        <w:spacing w:line="360" w:lineRule="exact"/>
      </w:pPr>
    </w:p>
    <w:p w14:paraId="4297C88B" w14:textId="77777777" w:rsidR="00924992" w:rsidRDefault="00924992">
      <w:pPr>
        <w:spacing w:line="360" w:lineRule="exact"/>
      </w:pPr>
    </w:p>
    <w:p w14:paraId="53F551B0" w14:textId="77777777" w:rsidR="00924992" w:rsidRDefault="00924992">
      <w:pPr>
        <w:spacing w:line="360" w:lineRule="exact"/>
      </w:pPr>
    </w:p>
    <w:p w14:paraId="054BBAF0" w14:textId="77777777" w:rsidR="00924992" w:rsidRDefault="00924992">
      <w:pPr>
        <w:spacing w:line="360" w:lineRule="exact"/>
      </w:pPr>
    </w:p>
    <w:p w14:paraId="454F2F2D" w14:textId="77777777" w:rsidR="00924992" w:rsidRDefault="00924992">
      <w:pPr>
        <w:spacing w:line="360" w:lineRule="exact"/>
      </w:pPr>
    </w:p>
    <w:p w14:paraId="09D1AEB6" w14:textId="77777777" w:rsidR="00924992" w:rsidRDefault="00924992">
      <w:pPr>
        <w:spacing w:line="360" w:lineRule="exact"/>
      </w:pPr>
    </w:p>
    <w:p w14:paraId="4C283C08" w14:textId="77777777" w:rsidR="00924992" w:rsidRDefault="00924992">
      <w:pPr>
        <w:spacing w:line="360" w:lineRule="exact"/>
      </w:pPr>
    </w:p>
    <w:p w14:paraId="3E93D66C" w14:textId="77777777" w:rsidR="00924992" w:rsidRDefault="00924992">
      <w:pPr>
        <w:spacing w:line="360" w:lineRule="exact"/>
      </w:pPr>
    </w:p>
    <w:p w14:paraId="4895CD11" w14:textId="77777777" w:rsidR="00924992" w:rsidRDefault="00924992">
      <w:pPr>
        <w:spacing w:line="360" w:lineRule="exact"/>
      </w:pPr>
    </w:p>
    <w:p w14:paraId="35E8EB3B" w14:textId="77777777" w:rsidR="00924992" w:rsidRDefault="00924992">
      <w:pPr>
        <w:spacing w:line="360" w:lineRule="exact"/>
      </w:pPr>
    </w:p>
    <w:p w14:paraId="4394F90C" w14:textId="77777777" w:rsidR="00924992" w:rsidRDefault="00924992">
      <w:pPr>
        <w:spacing w:line="360" w:lineRule="exact"/>
      </w:pPr>
    </w:p>
    <w:p w14:paraId="45230731" w14:textId="77777777" w:rsidR="00924992" w:rsidRDefault="00924992">
      <w:pPr>
        <w:spacing w:line="360" w:lineRule="exact"/>
      </w:pPr>
    </w:p>
    <w:p w14:paraId="6BD7C7BA" w14:textId="77777777" w:rsidR="00924992" w:rsidRDefault="00924992">
      <w:pPr>
        <w:spacing w:after="676" w:line="1" w:lineRule="exact"/>
      </w:pPr>
    </w:p>
    <w:p w14:paraId="50161E1C" w14:textId="77777777" w:rsidR="00924992" w:rsidRDefault="00924992">
      <w:pPr>
        <w:spacing w:line="1" w:lineRule="exact"/>
        <w:sectPr w:rsidR="00924992" w:rsidSect="00924992">
          <w:headerReference w:type="even" r:id="rId363"/>
          <w:headerReference w:type="default" r:id="rId364"/>
          <w:footerReference w:type="even" r:id="rId365"/>
          <w:footerReference w:type="default" r:id="rId366"/>
          <w:pgSz w:w="13022" w:h="8501" w:orient="landscape"/>
          <w:pgMar w:top="950" w:right="442" w:bottom="193" w:left="634" w:header="522" w:footer="3" w:gutter="0"/>
          <w:cols w:space="720"/>
          <w:noEndnote/>
          <w:docGrid w:linePitch="360"/>
          <w15:footnoteColumns w:val="1"/>
        </w:sectPr>
      </w:pPr>
    </w:p>
    <w:p w14:paraId="7B8DF59B" w14:textId="77777777" w:rsidR="00924992" w:rsidRDefault="00924992">
      <w:pPr>
        <w:pStyle w:val="Heading41"/>
        <w:keepNext/>
        <w:keepLines/>
        <w:framePr w:w="778" w:h="298" w:wrap="none" w:hAnchor="page" w:x="673" w:y="347"/>
        <w:pBdr>
          <w:top w:val="single" w:sz="0" w:space="0" w:color="000000"/>
          <w:left w:val="single" w:sz="0" w:space="0" w:color="000000"/>
          <w:bottom w:val="single" w:sz="0" w:space="0" w:color="000000"/>
          <w:right w:val="single" w:sz="0" w:space="0" w:color="000000"/>
        </w:pBdr>
        <w:shd w:val="clear" w:color="auto" w:fill="000000"/>
      </w:pPr>
      <w:bookmarkStart w:id="622" w:name="bookmark2053"/>
      <w:bookmarkStart w:id="623" w:name="bookmark2054"/>
      <w:bookmarkStart w:id="624" w:name="bookmark2055"/>
      <w:r>
        <w:rPr>
          <w:color w:val="FFFFFF"/>
        </w:rPr>
        <w:t>Infección</w:t>
      </w:r>
      <w:bookmarkEnd w:id="622"/>
      <w:bookmarkEnd w:id="623"/>
      <w:bookmarkEnd w:id="624"/>
    </w:p>
    <w:p w14:paraId="1014288F" w14:textId="77777777" w:rsidR="00924992" w:rsidRDefault="00924992">
      <w:pPr>
        <w:pStyle w:val="Heading31"/>
        <w:keepNext/>
        <w:keepLines/>
        <w:framePr w:w="4618" w:h="322" w:wrap="none" w:hAnchor="page" w:x="4038" w:y="1"/>
        <w:rPr>
          <w:sz w:val="16"/>
          <w:szCs w:val="16"/>
        </w:rPr>
      </w:pPr>
      <w:bookmarkStart w:id="625" w:name="bookmark2056"/>
      <w:bookmarkStart w:id="626" w:name="bookmark2057"/>
      <w:bookmarkStart w:id="627" w:name="bookmark2058"/>
      <w:r>
        <w:rPr>
          <w:b w:val="0"/>
          <w:bCs w:val="0"/>
          <w:color w:val="000000"/>
        </w:rPr>
        <w:t xml:space="preserve">Cuadro 4-13. </w:t>
      </w:r>
      <w:r>
        <w:rPr>
          <w:color w:val="000000"/>
        </w:rPr>
        <w:t xml:space="preserve">Fármacos antiparasitarios </w:t>
      </w:r>
      <w:r>
        <w:rPr>
          <w:rFonts w:ascii="Times New Roman" w:eastAsia="Times New Roman" w:hAnsi="Times New Roman" w:cs="Times New Roman"/>
          <w:b w:val="0"/>
          <w:bCs w:val="0"/>
          <w:i/>
          <w:iCs/>
          <w:color w:val="000000"/>
          <w:w w:val="100"/>
          <w:sz w:val="16"/>
          <w:szCs w:val="16"/>
        </w:rPr>
        <w:t>continuación</w:t>
      </w:r>
      <w:bookmarkEnd w:id="625"/>
      <w:bookmarkEnd w:id="626"/>
      <w:bookmarkEnd w:id="627"/>
    </w:p>
    <w:p w14:paraId="7064A321" w14:textId="77777777" w:rsidR="00924992" w:rsidRDefault="00924992">
      <w:pPr>
        <w:pStyle w:val="Heading41"/>
        <w:keepNext/>
        <w:keepLines/>
        <w:framePr w:w="749" w:h="298" w:wrap="none" w:hAnchor="page" w:x="3505" w:y="351"/>
        <w:pBdr>
          <w:top w:val="single" w:sz="0" w:space="0" w:color="000000"/>
          <w:left w:val="single" w:sz="0" w:space="0" w:color="000000"/>
          <w:bottom w:val="single" w:sz="0" w:space="0" w:color="000000"/>
          <w:right w:val="single" w:sz="0" w:space="0" w:color="000000"/>
        </w:pBdr>
        <w:shd w:val="clear" w:color="auto" w:fill="000000"/>
        <w:jc w:val="center"/>
      </w:pPr>
      <w:bookmarkStart w:id="628" w:name="bookmark2059"/>
      <w:bookmarkStart w:id="629" w:name="bookmark2060"/>
      <w:bookmarkStart w:id="630" w:name="bookmark2061"/>
      <w:r>
        <w:rPr>
          <w:color w:val="FFFFFF"/>
        </w:rPr>
        <w:t>Fármaco</w:t>
      </w:r>
      <w:bookmarkEnd w:id="628"/>
      <w:bookmarkEnd w:id="629"/>
      <w:bookmarkEnd w:id="630"/>
    </w:p>
    <w:p w14:paraId="5FD31722" w14:textId="77777777" w:rsidR="00924992" w:rsidRDefault="00924992">
      <w:pPr>
        <w:pStyle w:val="Heading41"/>
        <w:keepNext/>
        <w:keepLines/>
        <w:framePr w:w="1565" w:h="298" w:wrap="none" w:hAnchor="page" w:x="6342" w:y="351"/>
        <w:pBdr>
          <w:top w:val="single" w:sz="0" w:space="0" w:color="000000"/>
          <w:left w:val="single" w:sz="0" w:space="0" w:color="000000"/>
          <w:bottom w:val="single" w:sz="0" w:space="0" w:color="000000"/>
          <w:right w:val="single" w:sz="0" w:space="0" w:color="000000"/>
        </w:pBdr>
        <w:shd w:val="clear" w:color="auto" w:fill="000000"/>
        <w:jc w:val="center"/>
      </w:pPr>
      <w:bookmarkStart w:id="631" w:name="bookmark2062"/>
      <w:bookmarkStart w:id="632" w:name="bookmark2063"/>
      <w:bookmarkStart w:id="633" w:name="bookmark2064"/>
      <w:r>
        <w:rPr>
          <w:color w:val="FFFFFF"/>
        </w:rPr>
        <w:t>Dosis para adultos</w:t>
      </w:r>
      <w:bookmarkEnd w:id="631"/>
      <w:bookmarkEnd w:id="632"/>
      <w:bookmarkEnd w:id="633"/>
    </w:p>
    <w:p w14:paraId="402B4DCA" w14:textId="77777777" w:rsidR="00924992" w:rsidRDefault="00924992">
      <w:pPr>
        <w:pStyle w:val="Heading41"/>
        <w:keepNext/>
        <w:keepLines/>
        <w:framePr w:w="1411" w:h="298" w:wrap="none" w:hAnchor="page" w:x="9174" w:y="351"/>
        <w:pBdr>
          <w:top w:val="single" w:sz="0" w:space="0" w:color="000000"/>
          <w:left w:val="single" w:sz="0" w:space="0" w:color="000000"/>
          <w:bottom w:val="single" w:sz="0" w:space="0" w:color="000000"/>
          <w:right w:val="single" w:sz="0" w:space="0" w:color="000000"/>
        </w:pBdr>
        <w:shd w:val="clear" w:color="auto" w:fill="000000"/>
        <w:jc w:val="right"/>
      </w:pPr>
      <w:bookmarkStart w:id="634" w:name="bookmark2065"/>
      <w:bookmarkStart w:id="635" w:name="bookmark2066"/>
      <w:bookmarkStart w:id="636" w:name="bookmark2067"/>
      <w:r>
        <w:rPr>
          <w:color w:val="FFFFFF"/>
        </w:rPr>
        <w:t>Dosis para niños</w:t>
      </w:r>
      <w:bookmarkEnd w:id="634"/>
      <w:bookmarkEnd w:id="635"/>
      <w:bookmarkEnd w:id="636"/>
    </w:p>
    <w:tbl>
      <w:tblPr>
        <w:tblOverlap w:val="never"/>
        <w:tblW w:w="0" w:type="auto"/>
        <w:tblLayout w:type="fixed"/>
        <w:tblCellMar>
          <w:left w:w="10" w:type="dxa"/>
          <w:right w:w="10" w:type="dxa"/>
        </w:tblCellMar>
        <w:tblLook w:val="04A0" w:firstRow="1" w:lastRow="0" w:firstColumn="1" w:lastColumn="0" w:noHBand="0" w:noVBand="1"/>
      </w:tblPr>
      <w:tblGrid>
        <w:gridCol w:w="1896"/>
        <w:gridCol w:w="3077"/>
        <w:gridCol w:w="3451"/>
        <w:gridCol w:w="2933"/>
      </w:tblGrid>
      <w:tr w:rsidR="00924992" w14:paraId="3DA27EB2" w14:textId="77777777">
        <w:tblPrEx>
          <w:tblCellMar>
            <w:top w:w="0" w:type="dxa"/>
            <w:bottom w:w="0" w:type="dxa"/>
          </w:tblCellMar>
        </w:tblPrEx>
        <w:trPr>
          <w:trHeight w:hRule="exact" w:val="394"/>
        </w:trPr>
        <w:tc>
          <w:tcPr>
            <w:tcW w:w="1896" w:type="dxa"/>
            <w:shd w:val="clear" w:color="auto" w:fill="FFFFFF"/>
          </w:tcPr>
          <w:p w14:paraId="58542170" w14:textId="77777777" w:rsidR="00924992" w:rsidRDefault="00924992">
            <w:pPr>
              <w:pStyle w:val="Other0"/>
              <w:framePr w:w="11357" w:h="3715" w:hSpace="19" w:vSpace="984" w:wrap="none" w:hAnchor="page" w:x="673" w:y="1681"/>
              <w:spacing w:line="240" w:lineRule="auto"/>
              <w:ind w:firstLine="0"/>
              <w:rPr>
                <w:sz w:val="16"/>
                <w:szCs w:val="16"/>
              </w:rPr>
            </w:pPr>
            <w:r>
              <w:rPr>
                <w:rFonts w:ascii="Times New Roman" w:eastAsia="Times New Roman" w:hAnsi="Times New Roman" w:cs="Times New Roman"/>
                <w:color w:val="000000"/>
                <w:sz w:val="16"/>
                <w:szCs w:val="16"/>
              </w:rPr>
              <w:t>Fármaco más indicado:</w:t>
            </w:r>
            <w:r>
              <w:rPr>
                <w:rFonts w:ascii="Times New Roman" w:eastAsia="Times New Roman" w:hAnsi="Times New Roman" w:cs="Times New Roman"/>
                <w:color w:val="000000"/>
                <w:sz w:val="16"/>
                <w:szCs w:val="16"/>
                <w:vertAlign w:val="superscript"/>
              </w:rPr>
              <w:t>91</w:t>
            </w:r>
          </w:p>
        </w:tc>
        <w:tc>
          <w:tcPr>
            <w:tcW w:w="3077" w:type="dxa"/>
            <w:shd w:val="clear" w:color="auto" w:fill="FFFFFF"/>
          </w:tcPr>
          <w:p w14:paraId="2E93A479" w14:textId="77777777" w:rsidR="00924992" w:rsidRDefault="00924992">
            <w:pPr>
              <w:pStyle w:val="Other0"/>
              <w:framePr w:w="11357" w:h="3715" w:hSpace="19" w:vSpace="984" w:wrap="none" w:hAnchor="page" w:x="673" w:y="1681"/>
              <w:spacing w:line="240" w:lineRule="auto"/>
              <w:ind w:firstLine="960"/>
              <w:rPr>
                <w:sz w:val="16"/>
                <w:szCs w:val="16"/>
              </w:rPr>
            </w:pPr>
            <w:r>
              <w:rPr>
                <w:rFonts w:ascii="Times New Roman" w:eastAsia="Times New Roman" w:hAnsi="Times New Roman" w:cs="Times New Roman"/>
                <w:color w:val="000000"/>
                <w:sz w:val="16"/>
                <w:szCs w:val="16"/>
              </w:rPr>
              <w:t>Pirimetamina</w:t>
            </w:r>
            <w:r>
              <w:rPr>
                <w:rFonts w:ascii="Times New Roman" w:eastAsia="Times New Roman" w:hAnsi="Times New Roman" w:cs="Times New Roman"/>
                <w:color w:val="000000"/>
                <w:sz w:val="16"/>
                <w:szCs w:val="16"/>
                <w:vertAlign w:val="superscript"/>
              </w:rPr>
              <w:t>92</w:t>
            </w:r>
          </w:p>
        </w:tc>
        <w:tc>
          <w:tcPr>
            <w:tcW w:w="3451" w:type="dxa"/>
            <w:shd w:val="clear" w:color="auto" w:fill="FFFFFF"/>
          </w:tcPr>
          <w:p w14:paraId="7119872D" w14:textId="77777777" w:rsidR="00924992" w:rsidRDefault="00924992">
            <w:pPr>
              <w:pStyle w:val="Other0"/>
              <w:framePr w:w="11357" w:h="3715" w:hSpace="19" w:vSpace="984" w:wrap="none" w:hAnchor="page" w:x="673" w:y="1681"/>
              <w:spacing w:line="240" w:lineRule="auto"/>
              <w:ind w:firstLine="660"/>
              <w:rPr>
                <w:sz w:val="16"/>
                <w:szCs w:val="16"/>
              </w:rPr>
            </w:pPr>
            <w:r>
              <w:rPr>
                <w:rFonts w:ascii="Times New Roman" w:eastAsia="Times New Roman" w:hAnsi="Times New Roman" w:cs="Times New Roman"/>
                <w:color w:val="000000"/>
                <w:sz w:val="16"/>
                <w:szCs w:val="16"/>
              </w:rPr>
              <w:t xml:space="preserve">25-100 mg/día </w:t>
            </w:r>
            <w:r>
              <w:rPr>
                <w:color w:val="000000"/>
              </w:rPr>
              <w:t xml:space="preserve">x </w:t>
            </w:r>
            <w:r>
              <w:rPr>
                <w:rFonts w:ascii="Times New Roman" w:eastAsia="Times New Roman" w:hAnsi="Times New Roman" w:cs="Times New Roman"/>
                <w:color w:val="000000"/>
                <w:sz w:val="16"/>
                <w:szCs w:val="16"/>
              </w:rPr>
              <w:t>3-4 semanas</w:t>
            </w:r>
          </w:p>
        </w:tc>
        <w:tc>
          <w:tcPr>
            <w:tcW w:w="2933" w:type="dxa"/>
            <w:shd w:val="clear" w:color="auto" w:fill="FFFFFF"/>
          </w:tcPr>
          <w:p w14:paraId="7B63C5A7" w14:textId="77777777" w:rsidR="00924992" w:rsidRDefault="00924992">
            <w:pPr>
              <w:pStyle w:val="Other0"/>
              <w:framePr w:w="11357" w:h="3715" w:hSpace="19" w:vSpace="984" w:wrap="none" w:hAnchor="page" w:x="673" w:y="1681"/>
              <w:spacing w:line="240" w:lineRule="auto"/>
              <w:ind w:left="180" w:hanging="180"/>
              <w:rPr>
                <w:sz w:val="16"/>
                <w:szCs w:val="16"/>
              </w:rPr>
            </w:pPr>
            <w:r>
              <w:rPr>
                <w:rFonts w:ascii="Times New Roman" w:eastAsia="Times New Roman" w:hAnsi="Times New Roman" w:cs="Times New Roman"/>
                <w:color w:val="000000"/>
                <w:sz w:val="16"/>
                <w:szCs w:val="16"/>
              </w:rPr>
              <w:t xml:space="preserve">2 mg/kg/día </w:t>
            </w:r>
            <w:r>
              <w:rPr>
                <w:color w:val="000000"/>
              </w:rPr>
              <w:t xml:space="preserve">x </w:t>
            </w:r>
            <w:r>
              <w:rPr>
                <w:rFonts w:ascii="Times New Roman" w:eastAsia="Times New Roman" w:hAnsi="Times New Roman" w:cs="Times New Roman"/>
                <w:color w:val="000000"/>
                <w:sz w:val="16"/>
                <w:szCs w:val="16"/>
              </w:rPr>
              <w:t>3 días, (máx. 25 mg/día) x 4 semanas</w:t>
            </w:r>
            <w:r>
              <w:rPr>
                <w:rFonts w:ascii="Times New Roman" w:eastAsia="Times New Roman" w:hAnsi="Times New Roman" w:cs="Times New Roman"/>
                <w:color w:val="000000"/>
                <w:sz w:val="16"/>
                <w:szCs w:val="16"/>
                <w:vertAlign w:val="superscript"/>
              </w:rPr>
              <w:t>93</w:t>
            </w:r>
          </w:p>
        </w:tc>
      </w:tr>
      <w:tr w:rsidR="00924992" w14:paraId="2D655943" w14:textId="77777777">
        <w:tblPrEx>
          <w:tblCellMar>
            <w:top w:w="0" w:type="dxa"/>
            <w:bottom w:w="0" w:type="dxa"/>
          </w:tblCellMar>
        </w:tblPrEx>
        <w:trPr>
          <w:trHeight w:hRule="exact" w:val="408"/>
        </w:trPr>
        <w:tc>
          <w:tcPr>
            <w:tcW w:w="1896" w:type="dxa"/>
            <w:shd w:val="clear" w:color="auto" w:fill="FFFFFF"/>
          </w:tcPr>
          <w:p w14:paraId="1DE34337" w14:textId="77777777" w:rsidR="00924992" w:rsidRDefault="00924992">
            <w:pPr>
              <w:framePr w:w="11357" w:h="3715" w:hSpace="19" w:vSpace="984" w:wrap="none" w:hAnchor="page" w:x="673" w:y="1681"/>
              <w:rPr>
                <w:sz w:val="10"/>
                <w:szCs w:val="10"/>
              </w:rPr>
            </w:pPr>
          </w:p>
        </w:tc>
        <w:tc>
          <w:tcPr>
            <w:tcW w:w="3077" w:type="dxa"/>
            <w:shd w:val="clear" w:color="auto" w:fill="FFFFFF"/>
            <w:vAlign w:val="bottom"/>
          </w:tcPr>
          <w:p w14:paraId="32965293" w14:textId="77777777" w:rsidR="00924992" w:rsidRDefault="00924992">
            <w:pPr>
              <w:pStyle w:val="Other0"/>
              <w:framePr w:w="11357" w:h="3715" w:hSpace="19" w:vSpace="984" w:wrap="none" w:hAnchor="page" w:x="673" w:y="1681"/>
              <w:spacing w:line="264" w:lineRule="auto"/>
              <w:ind w:left="960" w:firstLine="0"/>
              <w:rPr>
                <w:sz w:val="16"/>
                <w:szCs w:val="16"/>
              </w:rPr>
            </w:pPr>
            <w:r>
              <w:rPr>
                <w:rFonts w:ascii="Times New Roman" w:eastAsia="Times New Roman" w:hAnsi="Times New Roman" w:cs="Times New Roman"/>
                <w:b/>
                <w:bCs/>
                <w:color w:val="000000"/>
                <w:sz w:val="16"/>
                <w:szCs w:val="16"/>
              </w:rPr>
              <w:t xml:space="preserve">y además </w:t>
            </w:r>
            <w:r>
              <w:rPr>
                <w:rFonts w:ascii="Times New Roman" w:eastAsia="Times New Roman" w:hAnsi="Times New Roman" w:cs="Times New Roman"/>
                <w:color w:val="000000"/>
                <w:sz w:val="16"/>
                <w:szCs w:val="16"/>
              </w:rPr>
              <w:t>sulfadiazina</w:t>
            </w:r>
          </w:p>
        </w:tc>
        <w:tc>
          <w:tcPr>
            <w:tcW w:w="3451" w:type="dxa"/>
            <w:shd w:val="clear" w:color="auto" w:fill="FFFFFF"/>
            <w:vAlign w:val="bottom"/>
          </w:tcPr>
          <w:p w14:paraId="4BEA90B7" w14:textId="77777777" w:rsidR="00924992" w:rsidRDefault="00924992">
            <w:pPr>
              <w:pStyle w:val="Other0"/>
              <w:framePr w:w="11357" w:h="3715" w:hSpace="19" w:vSpace="984" w:wrap="none" w:hAnchor="page" w:x="673" w:y="1681"/>
              <w:spacing w:line="240" w:lineRule="auto"/>
              <w:ind w:firstLine="660"/>
              <w:rPr>
                <w:sz w:val="16"/>
                <w:szCs w:val="16"/>
              </w:rPr>
            </w:pPr>
            <w:r>
              <w:rPr>
                <w:rFonts w:ascii="Times New Roman" w:eastAsia="Times New Roman" w:hAnsi="Times New Roman" w:cs="Times New Roman"/>
                <w:color w:val="000000"/>
                <w:sz w:val="16"/>
                <w:szCs w:val="16"/>
              </w:rPr>
              <w:t xml:space="preserve">1-1.5 g qid </w:t>
            </w:r>
            <w:r>
              <w:rPr>
                <w:color w:val="000000"/>
              </w:rPr>
              <w:t xml:space="preserve">x </w:t>
            </w:r>
            <w:r>
              <w:rPr>
                <w:rFonts w:ascii="Times New Roman" w:eastAsia="Times New Roman" w:hAnsi="Times New Roman" w:cs="Times New Roman"/>
                <w:color w:val="000000"/>
                <w:sz w:val="16"/>
                <w:szCs w:val="16"/>
              </w:rPr>
              <w:t>3-4 semanas</w:t>
            </w:r>
          </w:p>
        </w:tc>
        <w:tc>
          <w:tcPr>
            <w:tcW w:w="2933" w:type="dxa"/>
            <w:shd w:val="clear" w:color="auto" w:fill="FFFFFF"/>
            <w:vAlign w:val="bottom"/>
          </w:tcPr>
          <w:p w14:paraId="00BEA8FB" w14:textId="77777777" w:rsidR="00924992" w:rsidRDefault="00924992">
            <w:pPr>
              <w:pStyle w:val="Other0"/>
              <w:framePr w:w="11357" w:h="3715" w:hSpace="19" w:vSpace="984" w:wrap="none" w:hAnchor="page" w:x="673" w:y="1681"/>
              <w:spacing w:line="240" w:lineRule="auto"/>
              <w:ind w:firstLine="0"/>
              <w:rPr>
                <w:sz w:val="16"/>
                <w:szCs w:val="16"/>
              </w:rPr>
            </w:pPr>
            <w:r>
              <w:rPr>
                <w:rFonts w:ascii="Times New Roman" w:eastAsia="Times New Roman" w:hAnsi="Times New Roman" w:cs="Times New Roman"/>
                <w:color w:val="000000"/>
                <w:sz w:val="16"/>
                <w:szCs w:val="16"/>
              </w:rPr>
              <w:t xml:space="preserve">100-200 mg/kg/día </w:t>
            </w:r>
            <w:r>
              <w:rPr>
                <w:color w:val="000000"/>
              </w:rPr>
              <w:t xml:space="preserve">x </w:t>
            </w:r>
            <w:r>
              <w:rPr>
                <w:rFonts w:ascii="Times New Roman" w:eastAsia="Times New Roman" w:hAnsi="Times New Roman" w:cs="Times New Roman"/>
                <w:color w:val="000000"/>
                <w:sz w:val="16"/>
                <w:szCs w:val="16"/>
              </w:rPr>
              <w:t>3-4 semanas</w:t>
            </w:r>
          </w:p>
        </w:tc>
      </w:tr>
      <w:tr w:rsidR="00924992" w14:paraId="7A9D53D6" w14:textId="77777777">
        <w:tblPrEx>
          <w:tblCellMar>
            <w:top w:w="0" w:type="dxa"/>
            <w:bottom w:w="0" w:type="dxa"/>
          </w:tblCellMar>
        </w:tblPrEx>
        <w:trPr>
          <w:trHeight w:hRule="exact" w:val="192"/>
        </w:trPr>
        <w:tc>
          <w:tcPr>
            <w:tcW w:w="1896" w:type="dxa"/>
            <w:shd w:val="clear" w:color="auto" w:fill="FFFFFF"/>
            <w:vAlign w:val="bottom"/>
          </w:tcPr>
          <w:p w14:paraId="241E1C09" w14:textId="77777777" w:rsidR="00924992" w:rsidRDefault="00924992">
            <w:pPr>
              <w:pStyle w:val="Other0"/>
              <w:framePr w:w="11357" w:h="3715" w:hSpace="19" w:vSpace="984" w:wrap="none" w:hAnchor="page" w:x="673" w:y="1681"/>
              <w:spacing w:line="240" w:lineRule="auto"/>
              <w:ind w:firstLine="0"/>
              <w:rPr>
                <w:sz w:val="16"/>
                <w:szCs w:val="16"/>
              </w:rPr>
            </w:pPr>
            <w:r>
              <w:rPr>
                <w:rFonts w:ascii="Times New Roman" w:eastAsia="Times New Roman" w:hAnsi="Times New Roman" w:cs="Times New Roman"/>
                <w:color w:val="000000"/>
                <w:sz w:val="16"/>
                <w:szCs w:val="16"/>
              </w:rPr>
              <w:t>Fármaco alternativo:</w:t>
            </w:r>
            <w:r>
              <w:rPr>
                <w:rFonts w:ascii="Times New Roman" w:eastAsia="Times New Roman" w:hAnsi="Times New Roman" w:cs="Times New Roman"/>
                <w:color w:val="000000"/>
                <w:sz w:val="16"/>
                <w:szCs w:val="16"/>
                <w:vertAlign w:val="superscript"/>
              </w:rPr>
              <w:t>94</w:t>
            </w:r>
          </w:p>
        </w:tc>
        <w:tc>
          <w:tcPr>
            <w:tcW w:w="3077" w:type="dxa"/>
            <w:shd w:val="clear" w:color="auto" w:fill="FFFFFF"/>
            <w:vAlign w:val="bottom"/>
          </w:tcPr>
          <w:p w14:paraId="32264931" w14:textId="77777777" w:rsidR="00924992" w:rsidRDefault="00924992">
            <w:pPr>
              <w:pStyle w:val="Other0"/>
              <w:framePr w:w="11357" w:h="3715" w:hSpace="19" w:vSpace="984" w:wrap="none" w:hAnchor="page" w:x="673" w:y="1681"/>
              <w:spacing w:line="240" w:lineRule="auto"/>
              <w:ind w:left="960" w:firstLine="0"/>
              <w:rPr>
                <w:sz w:val="16"/>
                <w:szCs w:val="16"/>
              </w:rPr>
            </w:pPr>
            <w:r>
              <w:rPr>
                <w:rFonts w:ascii="Times New Roman" w:eastAsia="Times New Roman" w:hAnsi="Times New Roman" w:cs="Times New Roman"/>
                <w:color w:val="000000"/>
                <w:sz w:val="16"/>
                <w:szCs w:val="16"/>
              </w:rPr>
              <w:t>Espiramicina*</w:t>
            </w:r>
          </w:p>
        </w:tc>
        <w:tc>
          <w:tcPr>
            <w:tcW w:w="3451" w:type="dxa"/>
            <w:vMerge w:val="restart"/>
            <w:shd w:val="clear" w:color="auto" w:fill="FFFFFF"/>
          </w:tcPr>
          <w:p w14:paraId="01D2BCAD" w14:textId="77777777" w:rsidR="00924992" w:rsidRDefault="00924992">
            <w:pPr>
              <w:pStyle w:val="Other0"/>
              <w:framePr w:w="11357" w:h="3715" w:hSpace="19" w:vSpace="984" w:wrap="none" w:hAnchor="page" w:x="673" w:y="1681"/>
              <w:spacing w:line="240" w:lineRule="auto"/>
              <w:ind w:firstLine="660"/>
              <w:rPr>
                <w:sz w:val="16"/>
                <w:szCs w:val="16"/>
              </w:rPr>
            </w:pPr>
            <w:r>
              <w:rPr>
                <w:rFonts w:ascii="Times New Roman" w:eastAsia="Times New Roman" w:hAnsi="Times New Roman" w:cs="Times New Roman"/>
                <w:color w:val="000000"/>
                <w:sz w:val="16"/>
                <w:szCs w:val="16"/>
              </w:rPr>
              <w:t xml:space="preserve">3-4 g/día </w:t>
            </w:r>
            <w:r>
              <w:rPr>
                <w:color w:val="000000"/>
              </w:rPr>
              <w:t xml:space="preserve">x </w:t>
            </w:r>
            <w:r>
              <w:rPr>
                <w:rFonts w:ascii="Times New Roman" w:eastAsia="Times New Roman" w:hAnsi="Times New Roman" w:cs="Times New Roman"/>
                <w:color w:val="000000"/>
                <w:sz w:val="16"/>
                <w:szCs w:val="16"/>
              </w:rPr>
              <w:t>3-4 semanas</w:t>
            </w:r>
          </w:p>
        </w:tc>
        <w:tc>
          <w:tcPr>
            <w:tcW w:w="2933" w:type="dxa"/>
            <w:vMerge w:val="restart"/>
            <w:shd w:val="clear" w:color="auto" w:fill="FFFFFF"/>
          </w:tcPr>
          <w:p w14:paraId="0C9CE8D8" w14:textId="77777777" w:rsidR="00924992" w:rsidRDefault="00924992">
            <w:pPr>
              <w:pStyle w:val="Other0"/>
              <w:framePr w:w="11357" w:h="3715" w:hSpace="19" w:vSpace="984" w:wrap="none" w:hAnchor="page" w:x="673" w:y="1681"/>
              <w:spacing w:line="240" w:lineRule="auto"/>
              <w:ind w:firstLine="0"/>
              <w:rPr>
                <w:sz w:val="16"/>
                <w:szCs w:val="16"/>
              </w:rPr>
            </w:pPr>
            <w:r>
              <w:rPr>
                <w:rFonts w:ascii="Times New Roman" w:eastAsia="Times New Roman" w:hAnsi="Times New Roman" w:cs="Times New Roman"/>
                <w:color w:val="000000"/>
                <w:sz w:val="16"/>
                <w:szCs w:val="16"/>
              </w:rPr>
              <w:t xml:space="preserve">50-100 mg/kg/día </w:t>
            </w:r>
            <w:r>
              <w:rPr>
                <w:color w:val="000000"/>
              </w:rPr>
              <w:t xml:space="preserve">x </w:t>
            </w:r>
            <w:r>
              <w:rPr>
                <w:rFonts w:ascii="Times New Roman" w:eastAsia="Times New Roman" w:hAnsi="Times New Roman" w:cs="Times New Roman"/>
                <w:color w:val="000000"/>
                <w:sz w:val="16"/>
                <w:szCs w:val="16"/>
              </w:rPr>
              <w:t>3-4 semanas</w:t>
            </w:r>
          </w:p>
        </w:tc>
      </w:tr>
      <w:tr w:rsidR="00924992" w14:paraId="5B3468B7" w14:textId="77777777">
        <w:tblPrEx>
          <w:tblCellMar>
            <w:top w:w="0" w:type="dxa"/>
            <w:bottom w:w="0" w:type="dxa"/>
          </w:tblCellMar>
        </w:tblPrEx>
        <w:trPr>
          <w:trHeight w:hRule="exact" w:val="187"/>
        </w:trPr>
        <w:tc>
          <w:tcPr>
            <w:tcW w:w="1896" w:type="dxa"/>
            <w:shd w:val="clear" w:color="auto" w:fill="FFFFFF"/>
          </w:tcPr>
          <w:p w14:paraId="00A63C20" w14:textId="77777777" w:rsidR="00924992" w:rsidRDefault="00924992">
            <w:pPr>
              <w:pStyle w:val="Other0"/>
              <w:framePr w:w="11357" w:h="3715" w:hSpace="19" w:vSpace="984" w:wrap="none" w:hAnchor="page" w:x="673" w:y="1681"/>
              <w:spacing w:line="240" w:lineRule="auto"/>
              <w:ind w:firstLine="0"/>
              <w:rPr>
                <w:sz w:val="16"/>
                <w:szCs w:val="16"/>
              </w:rPr>
            </w:pPr>
            <w:r>
              <w:rPr>
                <w:rFonts w:ascii="Times New Roman" w:eastAsia="Times New Roman" w:hAnsi="Times New Roman" w:cs="Times New Roman"/>
                <w:b/>
                <w:bCs/>
                <w:color w:val="000000"/>
                <w:sz w:val="16"/>
                <w:szCs w:val="16"/>
              </w:rPr>
              <w:t xml:space="preserve">Tricocefaliasis, </w:t>
            </w:r>
            <w:r>
              <w:rPr>
                <w:rFonts w:ascii="Times New Roman" w:eastAsia="Times New Roman" w:hAnsi="Times New Roman" w:cs="Times New Roman"/>
                <w:color w:val="000000"/>
                <w:sz w:val="16"/>
                <w:szCs w:val="16"/>
              </w:rPr>
              <w:t>&lt;69&gt;Véase</w:t>
            </w:r>
          </w:p>
        </w:tc>
        <w:tc>
          <w:tcPr>
            <w:tcW w:w="3077" w:type="dxa"/>
            <w:shd w:val="clear" w:color="auto" w:fill="FFFFFF"/>
          </w:tcPr>
          <w:p w14:paraId="045D3C1E" w14:textId="77777777" w:rsidR="00924992" w:rsidRDefault="00924992">
            <w:pPr>
              <w:pStyle w:val="Other0"/>
              <w:framePr w:w="11357" w:h="3715" w:hSpace="19" w:vSpace="984" w:wrap="none" w:hAnchor="page" w:x="673" w:y="1681"/>
              <w:spacing w:line="240" w:lineRule="auto"/>
              <w:ind w:firstLine="0"/>
              <w:rPr>
                <w:sz w:val="16"/>
                <w:szCs w:val="16"/>
              </w:rPr>
            </w:pPr>
            <w:r>
              <w:rPr>
                <w:rFonts w:ascii="Times New Roman" w:eastAsia="Times New Roman" w:hAnsi="Times New Roman" w:cs="Times New Roman"/>
                <w:color w:val="000000"/>
                <w:sz w:val="16"/>
                <w:szCs w:val="16"/>
              </w:rPr>
              <w:t>“TRICURIASIS”</w:t>
            </w:r>
          </w:p>
        </w:tc>
        <w:tc>
          <w:tcPr>
            <w:tcW w:w="3451" w:type="dxa"/>
            <w:vMerge/>
            <w:shd w:val="clear" w:color="auto" w:fill="FFFFFF"/>
          </w:tcPr>
          <w:p w14:paraId="07D80FFD" w14:textId="77777777" w:rsidR="00924992" w:rsidRDefault="00924992">
            <w:pPr>
              <w:framePr w:w="11357" w:h="3715" w:hSpace="19" w:vSpace="984" w:wrap="none" w:hAnchor="page" w:x="673" w:y="1681"/>
            </w:pPr>
          </w:p>
        </w:tc>
        <w:tc>
          <w:tcPr>
            <w:tcW w:w="2933" w:type="dxa"/>
            <w:vMerge/>
            <w:shd w:val="clear" w:color="auto" w:fill="FFFFFF"/>
          </w:tcPr>
          <w:p w14:paraId="06EA07A8" w14:textId="77777777" w:rsidR="00924992" w:rsidRDefault="00924992">
            <w:pPr>
              <w:framePr w:w="11357" w:h="3715" w:hSpace="19" w:vSpace="984" w:wrap="none" w:hAnchor="page" w:x="673" w:y="1681"/>
            </w:pPr>
          </w:p>
        </w:tc>
      </w:tr>
      <w:tr w:rsidR="00924992" w14:paraId="734BA5CE" w14:textId="77777777">
        <w:tblPrEx>
          <w:tblCellMar>
            <w:top w:w="0" w:type="dxa"/>
            <w:bottom w:w="0" w:type="dxa"/>
          </w:tblCellMar>
        </w:tblPrEx>
        <w:trPr>
          <w:trHeight w:hRule="exact" w:val="221"/>
        </w:trPr>
        <w:tc>
          <w:tcPr>
            <w:tcW w:w="4973" w:type="dxa"/>
            <w:gridSpan w:val="2"/>
            <w:shd w:val="clear" w:color="auto" w:fill="FFFFFF"/>
          </w:tcPr>
          <w:p w14:paraId="04A218B8" w14:textId="77777777" w:rsidR="00924992" w:rsidRDefault="00924992">
            <w:pPr>
              <w:pStyle w:val="Other0"/>
              <w:framePr w:w="11357" w:h="3715" w:hSpace="19" w:vSpace="984" w:wrap="none" w:hAnchor="page" w:x="673" w:y="1681"/>
              <w:spacing w:line="240" w:lineRule="auto"/>
              <w:ind w:firstLine="0"/>
              <w:rPr>
                <w:sz w:val="16"/>
                <w:szCs w:val="16"/>
              </w:rPr>
            </w:pPr>
            <w:r>
              <w:rPr>
                <w:rFonts w:ascii="Times New Roman" w:eastAsia="Times New Roman" w:hAnsi="Times New Roman" w:cs="Times New Roman"/>
                <w:b/>
                <w:bCs/>
                <w:color w:val="000000"/>
                <w:sz w:val="16"/>
                <w:szCs w:val="16"/>
              </w:rPr>
              <w:t>TRICOESTRONGILIASIS</w:t>
            </w:r>
          </w:p>
        </w:tc>
        <w:tc>
          <w:tcPr>
            <w:tcW w:w="3451" w:type="dxa"/>
            <w:shd w:val="clear" w:color="auto" w:fill="FFFFFF"/>
          </w:tcPr>
          <w:p w14:paraId="599B0789" w14:textId="77777777" w:rsidR="00924992" w:rsidRDefault="00924992">
            <w:pPr>
              <w:framePr w:w="11357" w:h="3715" w:hSpace="19" w:vSpace="984" w:wrap="none" w:hAnchor="page" w:x="673" w:y="1681"/>
              <w:rPr>
                <w:sz w:val="10"/>
                <w:szCs w:val="10"/>
              </w:rPr>
            </w:pPr>
          </w:p>
        </w:tc>
        <w:tc>
          <w:tcPr>
            <w:tcW w:w="2933" w:type="dxa"/>
            <w:shd w:val="clear" w:color="auto" w:fill="FFFFFF"/>
          </w:tcPr>
          <w:p w14:paraId="2B7CF18E" w14:textId="77777777" w:rsidR="00924992" w:rsidRDefault="00924992">
            <w:pPr>
              <w:framePr w:w="11357" w:h="3715" w:hSpace="19" w:vSpace="984" w:wrap="none" w:hAnchor="page" w:x="673" w:y="1681"/>
              <w:rPr>
                <w:sz w:val="10"/>
                <w:szCs w:val="10"/>
              </w:rPr>
            </w:pPr>
          </w:p>
        </w:tc>
      </w:tr>
      <w:tr w:rsidR="00924992" w14:paraId="66FC7D9E" w14:textId="77777777">
        <w:tblPrEx>
          <w:tblCellMar>
            <w:top w:w="0" w:type="dxa"/>
            <w:bottom w:w="0" w:type="dxa"/>
          </w:tblCellMar>
        </w:tblPrEx>
        <w:trPr>
          <w:trHeight w:hRule="exact" w:val="451"/>
        </w:trPr>
        <w:tc>
          <w:tcPr>
            <w:tcW w:w="1896" w:type="dxa"/>
            <w:shd w:val="clear" w:color="auto" w:fill="FFFFFF"/>
          </w:tcPr>
          <w:p w14:paraId="3824CC25" w14:textId="77777777" w:rsidR="00924992" w:rsidRDefault="00924992">
            <w:pPr>
              <w:pStyle w:val="Other0"/>
              <w:framePr w:w="11357" w:h="3715" w:hSpace="19" w:vSpace="984" w:wrap="none" w:hAnchor="page" w:x="673" w:y="1681"/>
              <w:spacing w:line="240" w:lineRule="auto"/>
              <w:ind w:firstLine="0"/>
              <w:rPr>
                <w:sz w:val="16"/>
                <w:szCs w:val="16"/>
              </w:rPr>
            </w:pPr>
            <w:r>
              <w:rPr>
                <w:rFonts w:ascii="Times New Roman" w:eastAsia="Times New Roman" w:hAnsi="Times New Roman" w:cs="Times New Roman"/>
                <w:color w:val="000000"/>
                <w:sz w:val="16"/>
                <w:szCs w:val="16"/>
              </w:rPr>
              <w:t>Fármaco más indicado:</w:t>
            </w:r>
          </w:p>
        </w:tc>
        <w:tc>
          <w:tcPr>
            <w:tcW w:w="3077" w:type="dxa"/>
            <w:shd w:val="clear" w:color="auto" w:fill="FFFFFF"/>
          </w:tcPr>
          <w:p w14:paraId="76B8681A" w14:textId="77777777" w:rsidR="00924992" w:rsidRDefault="00924992">
            <w:pPr>
              <w:pStyle w:val="Other0"/>
              <w:framePr w:w="11357" w:h="3715" w:hSpace="19" w:vSpace="984" w:wrap="none" w:hAnchor="page" w:x="673" w:y="1681"/>
              <w:spacing w:line="240" w:lineRule="auto"/>
              <w:ind w:firstLine="960"/>
              <w:rPr>
                <w:sz w:val="16"/>
                <w:szCs w:val="16"/>
              </w:rPr>
            </w:pPr>
            <w:r>
              <w:rPr>
                <w:rFonts w:ascii="Times New Roman" w:eastAsia="Times New Roman" w:hAnsi="Times New Roman" w:cs="Times New Roman"/>
                <w:color w:val="000000"/>
                <w:sz w:val="16"/>
                <w:szCs w:val="16"/>
              </w:rPr>
              <w:t>Pamoato de pirantel</w:t>
            </w:r>
            <w:r>
              <w:rPr>
                <w:rFonts w:ascii="Times New Roman" w:eastAsia="Times New Roman" w:hAnsi="Times New Roman" w:cs="Times New Roman"/>
                <w:color w:val="000000"/>
                <w:sz w:val="16"/>
                <w:szCs w:val="16"/>
                <w:vertAlign w:val="superscript"/>
              </w:rPr>
              <w:t>3</w:t>
            </w:r>
          </w:p>
        </w:tc>
        <w:tc>
          <w:tcPr>
            <w:tcW w:w="3451" w:type="dxa"/>
            <w:shd w:val="clear" w:color="auto" w:fill="FFFFFF"/>
            <w:vAlign w:val="bottom"/>
          </w:tcPr>
          <w:p w14:paraId="1B7EA449" w14:textId="77777777" w:rsidR="00924992" w:rsidRDefault="00924992">
            <w:pPr>
              <w:pStyle w:val="Other0"/>
              <w:framePr w:w="11357" w:h="3715" w:hSpace="19" w:vSpace="984" w:wrap="none" w:hAnchor="page" w:x="673" w:y="1681"/>
              <w:spacing w:line="283" w:lineRule="auto"/>
              <w:ind w:left="660" w:firstLine="0"/>
              <w:rPr>
                <w:sz w:val="16"/>
                <w:szCs w:val="16"/>
              </w:rPr>
            </w:pPr>
            <w:r>
              <w:rPr>
                <w:rFonts w:ascii="Times New Roman" w:eastAsia="Times New Roman" w:hAnsi="Times New Roman" w:cs="Times New Roman"/>
                <w:color w:val="000000"/>
                <w:sz w:val="16"/>
                <w:szCs w:val="16"/>
              </w:rPr>
              <w:t>11 mg/kg de fármaco base una vez (máx. 1 g)</w:t>
            </w:r>
          </w:p>
        </w:tc>
        <w:tc>
          <w:tcPr>
            <w:tcW w:w="2933" w:type="dxa"/>
            <w:shd w:val="clear" w:color="auto" w:fill="FFFFFF"/>
          </w:tcPr>
          <w:p w14:paraId="64713B4A" w14:textId="77777777" w:rsidR="00924992" w:rsidRDefault="00924992">
            <w:pPr>
              <w:pStyle w:val="Other0"/>
              <w:framePr w:w="11357" w:h="3715" w:hSpace="19" w:vSpace="984" w:wrap="none" w:hAnchor="page" w:x="673" w:y="1681"/>
              <w:spacing w:line="240" w:lineRule="auto"/>
              <w:ind w:firstLine="0"/>
              <w:rPr>
                <w:sz w:val="16"/>
                <w:szCs w:val="16"/>
              </w:rPr>
            </w:pPr>
            <w:r>
              <w:rPr>
                <w:rFonts w:ascii="Times New Roman" w:eastAsia="Times New Roman" w:hAnsi="Times New Roman" w:cs="Times New Roman"/>
                <w:color w:val="000000"/>
                <w:sz w:val="16"/>
                <w:szCs w:val="16"/>
              </w:rPr>
              <w:t>11 mg/kg una vez (máx. 1 g)</w:t>
            </w:r>
          </w:p>
        </w:tc>
      </w:tr>
      <w:tr w:rsidR="00924992" w14:paraId="6B6F96D0" w14:textId="77777777">
        <w:tblPrEx>
          <w:tblCellMar>
            <w:top w:w="0" w:type="dxa"/>
            <w:bottom w:w="0" w:type="dxa"/>
          </w:tblCellMar>
        </w:tblPrEx>
        <w:trPr>
          <w:trHeight w:hRule="exact" w:val="211"/>
        </w:trPr>
        <w:tc>
          <w:tcPr>
            <w:tcW w:w="1896" w:type="dxa"/>
            <w:shd w:val="clear" w:color="auto" w:fill="FFFFFF"/>
            <w:vAlign w:val="bottom"/>
          </w:tcPr>
          <w:p w14:paraId="7F6BFA46" w14:textId="77777777" w:rsidR="00924992" w:rsidRDefault="00924992">
            <w:pPr>
              <w:pStyle w:val="Other0"/>
              <w:framePr w:w="11357" w:h="3715" w:hSpace="19" w:vSpace="984" w:wrap="none" w:hAnchor="page" w:x="673" w:y="1681"/>
              <w:spacing w:line="240" w:lineRule="auto"/>
              <w:ind w:firstLine="0"/>
              <w:rPr>
                <w:sz w:val="16"/>
                <w:szCs w:val="16"/>
              </w:rPr>
            </w:pPr>
            <w:r>
              <w:rPr>
                <w:rFonts w:ascii="Times New Roman" w:eastAsia="Times New Roman" w:hAnsi="Times New Roman" w:cs="Times New Roman"/>
                <w:color w:val="000000"/>
                <w:sz w:val="16"/>
                <w:szCs w:val="16"/>
              </w:rPr>
              <w:t>Fármaco alternativo:</w:t>
            </w:r>
          </w:p>
        </w:tc>
        <w:tc>
          <w:tcPr>
            <w:tcW w:w="3077" w:type="dxa"/>
            <w:shd w:val="clear" w:color="auto" w:fill="FFFFFF"/>
            <w:vAlign w:val="bottom"/>
          </w:tcPr>
          <w:p w14:paraId="6C6D5480" w14:textId="77777777" w:rsidR="00924992" w:rsidRDefault="00924992">
            <w:pPr>
              <w:pStyle w:val="Other0"/>
              <w:framePr w:w="11357" w:h="3715" w:hSpace="19" w:vSpace="984" w:wrap="none" w:hAnchor="page" w:x="673" w:y="1681"/>
              <w:spacing w:line="240" w:lineRule="auto"/>
              <w:ind w:firstLine="960"/>
              <w:rPr>
                <w:sz w:val="16"/>
                <w:szCs w:val="16"/>
              </w:rPr>
            </w:pPr>
            <w:r>
              <w:rPr>
                <w:rFonts w:ascii="Times New Roman" w:eastAsia="Times New Roman" w:hAnsi="Times New Roman" w:cs="Times New Roman"/>
                <w:color w:val="000000"/>
                <w:sz w:val="16"/>
                <w:szCs w:val="16"/>
              </w:rPr>
              <w:t>Mebendazol</w:t>
            </w:r>
            <w:r>
              <w:rPr>
                <w:rFonts w:ascii="Times New Roman" w:eastAsia="Times New Roman" w:hAnsi="Times New Roman" w:cs="Times New Roman"/>
                <w:color w:val="000000"/>
                <w:sz w:val="16"/>
                <w:szCs w:val="16"/>
                <w:vertAlign w:val="superscript"/>
              </w:rPr>
              <w:t>3</w:t>
            </w:r>
          </w:p>
        </w:tc>
        <w:tc>
          <w:tcPr>
            <w:tcW w:w="3451" w:type="dxa"/>
            <w:shd w:val="clear" w:color="auto" w:fill="FFFFFF"/>
            <w:vAlign w:val="bottom"/>
          </w:tcPr>
          <w:p w14:paraId="394FA31E" w14:textId="77777777" w:rsidR="00924992" w:rsidRDefault="00924992">
            <w:pPr>
              <w:pStyle w:val="Other0"/>
              <w:framePr w:w="11357" w:h="3715" w:hSpace="19" w:vSpace="984" w:wrap="none" w:hAnchor="page" w:x="673" w:y="1681"/>
              <w:spacing w:line="240" w:lineRule="auto"/>
              <w:ind w:left="660" w:firstLine="0"/>
              <w:rPr>
                <w:sz w:val="16"/>
                <w:szCs w:val="16"/>
              </w:rPr>
            </w:pPr>
            <w:r>
              <w:rPr>
                <w:rFonts w:ascii="Times New Roman" w:eastAsia="Times New Roman" w:hAnsi="Times New Roman" w:cs="Times New Roman"/>
                <w:color w:val="000000"/>
                <w:sz w:val="16"/>
                <w:szCs w:val="16"/>
              </w:rPr>
              <w:t xml:space="preserve">100 mg bid </w:t>
            </w:r>
            <w:r>
              <w:rPr>
                <w:color w:val="000000"/>
              </w:rPr>
              <w:t xml:space="preserve">x </w:t>
            </w:r>
            <w:r>
              <w:rPr>
                <w:rFonts w:ascii="Times New Roman" w:eastAsia="Times New Roman" w:hAnsi="Times New Roman" w:cs="Times New Roman"/>
                <w:color w:val="000000"/>
                <w:sz w:val="16"/>
                <w:szCs w:val="16"/>
              </w:rPr>
              <w:t>3 días</w:t>
            </w:r>
          </w:p>
        </w:tc>
        <w:tc>
          <w:tcPr>
            <w:tcW w:w="2933" w:type="dxa"/>
            <w:shd w:val="clear" w:color="auto" w:fill="FFFFFF"/>
            <w:vAlign w:val="bottom"/>
          </w:tcPr>
          <w:p w14:paraId="3F31900A" w14:textId="77777777" w:rsidR="00924992" w:rsidRDefault="00924992">
            <w:pPr>
              <w:pStyle w:val="Other0"/>
              <w:framePr w:w="11357" w:h="3715" w:hSpace="19" w:vSpace="984" w:wrap="none" w:hAnchor="page" w:x="673" w:y="1681"/>
              <w:spacing w:line="240" w:lineRule="auto"/>
              <w:ind w:firstLine="0"/>
              <w:rPr>
                <w:sz w:val="16"/>
                <w:szCs w:val="16"/>
              </w:rPr>
            </w:pPr>
            <w:r>
              <w:rPr>
                <w:rFonts w:ascii="Times New Roman" w:eastAsia="Times New Roman" w:hAnsi="Times New Roman" w:cs="Times New Roman"/>
                <w:color w:val="000000"/>
                <w:sz w:val="16"/>
                <w:szCs w:val="16"/>
              </w:rPr>
              <w:t xml:space="preserve">100 mg bid </w:t>
            </w:r>
            <w:r>
              <w:rPr>
                <w:color w:val="000000"/>
              </w:rPr>
              <w:t xml:space="preserve">x </w:t>
            </w:r>
            <w:r>
              <w:rPr>
                <w:rFonts w:ascii="Times New Roman" w:eastAsia="Times New Roman" w:hAnsi="Times New Roman" w:cs="Times New Roman"/>
                <w:color w:val="000000"/>
                <w:sz w:val="16"/>
                <w:szCs w:val="16"/>
              </w:rPr>
              <w:t>3 días</w:t>
            </w:r>
          </w:p>
        </w:tc>
      </w:tr>
      <w:tr w:rsidR="00924992" w14:paraId="5543F286" w14:textId="77777777">
        <w:tblPrEx>
          <w:tblCellMar>
            <w:top w:w="0" w:type="dxa"/>
            <w:bottom w:w="0" w:type="dxa"/>
          </w:tblCellMar>
        </w:tblPrEx>
        <w:trPr>
          <w:trHeight w:hRule="exact" w:val="226"/>
        </w:trPr>
        <w:tc>
          <w:tcPr>
            <w:tcW w:w="1896" w:type="dxa"/>
            <w:shd w:val="clear" w:color="auto" w:fill="FFFFFF"/>
            <w:vAlign w:val="bottom"/>
          </w:tcPr>
          <w:p w14:paraId="32F998D5" w14:textId="77777777" w:rsidR="00924992" w:rsidRDefault="00924992">
            <w:pPr>
              <w:pStyle w:val="Other0"/>
              <w:framePr w:w="11357" w:h="3715" w:hSpace="19" w:vSpace="984" w:wrap="none" w:hAnchor="page" w:x="673" w:y="1681"/>
              <w:spacing w:line="240" w:lineRule="auto"/>
              <w:ind w:firstLine="0"/>
              <w:rPr>
                <w:sz w:val="16"/>
                <w:szCs w:val="16"/>
              </w:rPr>
            </w:pPr>
            <w:r>
              <w:rPr>
                <w:rFonts w:ascii="Times New Roman" w:eastAsia="Times New Roman" w:hAnsi="Times New Roman" w:cs="Times New Roman"/>
                <w:b/>
                <w:bCs/>
                <w:color w:val="000000"/>
                <w:sz w:val="16"/>
                <w:szCs w:val="16"/>
              </w:rPr>
              <w:t>O</w:t>
            </w:r>
          </w:p>
        </w:tc>
        <w:tc>
          <w:tcPr>
            <w:tcW w:w="3077" w:type="dxa"/>
            <w:shd w:val="clear" w:color="auto" w:fill="FFFFFF"/>
            <w:vAlign w:val="bottom"/>
          </w:tcPr>
          <w:p w14:paraId="2C68F32E" w14:textId="77777777" w:rsidR="00924992" w:rsidRDefault="00924992">
            <w:pPr>
              <w:pStyle w:val="Other0"/>
              <w:framePr w:w="11357" w:h="3715" w:hSpace="19" w:vSpace="984" w:wrap="none" w:hAnchor="page" w:x="673" w:y="1681"/>
              <w:spacing w:line="240" w:lineRule="auto"/>
              <w:ind w:firstLine="960"/>
              <w:rPr>
                <w:sz w:val="16"/>
                <w:szCs w:val="16"/>
              </w:rPr>
            </w:pPr>
            <w:r>
              <w:rPr>
                <w:rFonts w:ascii="Times New Roman" w:eastAsia="Times New Roman" w:hAnsi="Times New Roman" w:cs="Times New Roman"/>
                <w:color w:val="000000"/>
                <w:sz w:val="16"/>
                <w:szCs w:val="16"/>
              </w:rPr>
              <w:t>Albendazol</w:t>
            </w:r>
            <w:r>
              <w:rPr>
                <w:rFonts w:ascii="Times New Roman" w:eastAsia="Times New Roman" w:hAnsi="Times New Roman" w:cs="Times New Roman"/>
                <w:color w:val="000000"/>
                <w:sz w:val="16"/>
                <w:szCs w:val="16"/>
                <w:vertAlign w:val="superscript"/>
              </w:rPr>
              <w:t>3</w:t>
            </w:r>
          </w:p>
        </w:tc>
        <w:tc>
          <w:tcPr>
            <w:tcW w:w="3451" w:type="dxa"/>
            <w:shd w:val="clear" w:color="auto" w:fill="FFFFFF"/>
            <w:vAlign w:val="bottom"/>
          </w:tcPr>
          <w:p w14:paraId="5145F058" w14:textId="77777777" w:rsidR="00924992" w:rsidRDefault="00924992">
            <w:pPr>
              <w:pStyle w:val="Other0"/>
              <w:framePr w:w="11357" w:h="3715" w:hSpace="19" w:vSpace="984" w:wrap="none" w:hAnchor="page" w:x="673" w:y="1681"/>
              <w:spacing w:line="240" w:lineRule="auto"/>
              <w:ind w:left="660" w:firstLine="0"/>
              <w:rPr>
                <w:sz w:val="16"/>
                <w:szCs w:val="16"/>
              </w:rPr>
            </w:pPr>
            <w:r>
              <w:rPr>
                <w:rFonts w:ascii="Times New Roman" w:eastAsia="Times New Roman" w:hAnsi="Times New Roman" w:cs="Times New Roman"/>
                <w:color w:val="000000"/>
                <w:sz w:val="16"/>
                <w:szCs w:val="16"/>
              </w:rPr>
              <w:t>400 mg una vez</w:t>
            </w:r>
          </w:p>
        </w:tc>
        <w:tc>
          <w:tcPr>
            <w:tcW w:w="2933" w:type="dxa"/>
            <w:shd w:val="clear" w:color="auto" w:fill="FFFFFF"/>
            <w:vAlign w:val="bottom"/>
          </w:tcPr>
          <w:p w14:paraId="0322487F" w14:textId="77777777" w:rsidR="00924992" w:rsidRDefault="00924992">
            <w:pPr>
              <w:pStyle w:val="Other0"/>
              <w:framePr w:w="11357" w:h="3715" w:hSpace="19" w:vSpace="984" w:wrap="none" w:hAnchor="page" w:x="673" w:y="1681"/>
              <w:spacing w:line="240" w:lineRule="auto"/>
              <w:ind w:firstLine="0"/>
              <w:rPr>
                <w:sz w:val="16"/>
                <w:szCs w:val="16"/>
              </w:rPr>
            </w:pPr>
            <w:r>
              <w:rPr>
                <w:rFonts w:ascii="Times New Roman" w:eastAsia="Times New Roman" w:hAnsi="Times New Roman" w:cs="Times New Roman"/>
                <w:color w:val="000000"/>
                <w:sz w:val="16"/>
                <w:szCs w:val="16"/>
              </w:rPr>
              <w:t>400 mg una vez</w:t>
            </w:r>
          </w:p>
        </w:tc>
      </w:tr>
      <w:tr w:rsidR="00924992" w14:paraId="6CEDB3BD" w14:textId="77777777">
        <w:tblPrEx>
          <w:tblCellMar>
            <w:top w:w="0" w:type="dxa"/>
            <w:bottom w:w="0" w:type="dxa"/>
          </w:tblCellMar>
        </w:tblPrEx>
        <w:trPr>
          <w:trHeight w:hRule="exact" w:val="230"/>
        </w:trPr>
        <w:tc>
          <w:tcPr>
            <w:tcW w:w="4973" w:type="dxa"/>
            <w:gridSpan w:val="2"/>
            <w:shd w:val="clear" w:color="auto" w:fill="FFFFFF"/>
            <w:vAlign w:val="bottom"/>
          </w:tcPr>
          <w:p w14:paraId="2ABBD5FA" w14:textId="77777777" w:rsidR="00924992" w:rsidRDefault="00924992">
            <w:pPr>
              <w:pStyle w:val="Other0"/>
              <w:framePr w:w="11357" w:h="3715" w:hSpace="19" w:vSpace="984" w:wrap="none" w:hAnchor="page" w:x="673" w:y="1681"/>
              <w:spacing w:line="240" w:lineRule="auto"/>
              <w:ind w:firstLine="0"/>
              <w:rPr>
                <w:sz w:val="16"/>
                <w:szCs w:val="16"/>
              </w:rPr>
            </w:pPr>
            <w:r>
              <w:rPr>
                <w:rFonts w:ascii="Times New Roman" w:eastAsia="Times New Roman" w:hAnsi="Times New Roman" w:cs="Times New Roman"/>
                <w:b/>
                <w:bCs/>
                <w:color w:val="000000"/>
                <w:sz w:val="16"/>
                <w:szCs w:val="16"/>
              </w:rPr>
              <w:t xml:space="preserve">TRICOMONIASIS </w:t>
            </w:r>
            <w:r>
              <w:rPr>
                <w:rFonts w:ascii="Times New Roman" w:eastAsia="Times New Roman" w:hAnsi="Times New Roman" w:cs="Times New Roman"/>
                <w:i/>
                <w:iCs/>
                <w:color w:val="000000"/>
                <w:sz w:val="16"/>
                <w:szCs w:val="16"/>
              </w:rPr>
              <w:t>(Trichomonas vaginalis)</w:t>
            </w:r>
          </w:p>
        </w:tc>
        <w:tc>
          <w:tcPr>
            <w:tcW w:w="3451" w:type="dxa"/>
            <w:shd w:val="clear" w:color="auto" w:fill="FFFFFF"/>
          </w:tcPr>
          <w:p w14:paraId="030C9364" w14:textId="77777777" w:rsidR="00924992" w:rsidRDefault="00924992">
            <w:pPr>
              <w:framePr w:w="11357" w:h="3715" w:hSpace="19" w:vSpace="984" w:wrap="none" w:hAnchor="page" w:x="673" w:y="1681"/>
              <w:rPr>
                <w:sz w:val="10"/>
                <w:szCs w:val="10"/>
              </w:rPr>
            </w:pPr>
          </w:p>
        </w:tc>
        <w:tc>
          <w:tcPr>
            <w:tcW w:w="2933" w:type="dxa"/>
            <w:shd w:val="clear" w:color="auto" w:fill="FFFFFF"/>
          </w:tcPr>
          <w:p w14:paraId="147F2651" w14:textId="77777777" w:rsidR="00924992" w:rsidRDefault="00924992">
            <w:pPr>
              <w:framePr w:w="11357" w:h="3715" w:hSpace="19" w:vSpace="984" w:wrap="none" w:hAnchor="page" w:x="673" w:y="1681"/>
              <w:rPr>
                <w:sz w:val="10"/>
                <w:szCs w:val="10"/>
              </w:rPr>
            </w:pPr>
          </w:p>
        </w:tc>
      </w:tr>
      <w:tr w:rsidR="00924992" w14:paraId="5A0602B6" w14:textId="77777777">
        <w:tblPrEx>
          <w:tblCellMar>
            <w:top w:w="0" w:type="dxa"/>
            <w:bottom w:w="0" w:type="dxa"/>
          </w:tblCellMar>
        </w:tblPrEx>
        <w:trPr>
          <w:trHeight w:hRule="exact" w:val="211"/>
        </w:trPr>
        <w:tc>
          <w:tcPr>
            <w:tcW w:w="1896" w:type="dxa"/>
            <w:shd w:val="clear" w:color="auto" w:fill="FFFFFF"/>
            <w:vAlign w:val="bottom"/>
          </w:tcPr>
          <w:p w14:paraId="761540FC" w14:textId="77777777" w:rsidR="00924992" w:rsidRDefault="00924992">
            <w:pPr>
              <w:pStyle w:val="Other0"/>
              <w:framePr w:w="11357" w:h="3715" w:hSpace="19" w:vSpace="984" w:wrap="none" w:hAnchor="page" w:x="673" w:y="1681"/>
              <w:spacing w:line="240" w:lineRule="auto"/>
              <w:ind w:firstLine="0"/>
              <w:rPr>
                <w:sz w:val="16"/>
                <w:szCs w:val="16"/>
              </w:rPr>
            </w:pPr>
            <w:r>
              <w:rPr>
                <w:rFonts w:ascii="Times New Roman" w:eastAsia="Times New Roman" w:hAnsi="Times New Roman" w:cs="Times New Roman"/>
                <w:color w:val="000000"/>
                <w:sz w:val="16"/>
                <w:szCs w:val="16"/>
              </w:rPr>
              <w:t>Fármaco más indicado:</w:t>
            </w:r>
            <w:r>
              <w:rPr>
                <w:rFonts w:ascii="Times New Roman" w:eastAsia="Times New Roman" w:hAnsi="Times New Roman" w:cs="Times New Roman"/>
                <w:color w:val="000000"/>
                <w:sz w:val="16"/>
                <w:szCs w:val="16"/>
                <w:vertAlign w:val="superscript"/>
              </w:rPr>
              <w:t>95</w:t>
            </w:r>
          </w:p>
        </w:tc>
        <w:tc>
          <w:tcPr>
            <w:tcW w:w="3077" w:type="dxa"/>
            <w:shd w:val="clear" w:color="auto" w:fill="FFFFFF"/>
            <w:vAlign w:val="bottom"/>
          </w:tcPr>
          <w:p w14:paraId="286AEFF8" w14:textId="77777777" w:rsidR="00924992" w:rsidRDefault="00924992">
            <w:pPr>
              <w:pStyle w:val="Other0"/>
              <w:framePr w:w="11357" w:h="3715" w:hSpace="19" w:vSpace="984" w:wrap="none" w:hAnchor="page" w:x="673" w:y="1681"/>
              <w:spacing w:line="240" w:lineRule="auto"/>
              <w:ind w:firstLine="960"/>
              <w:rPr>
                <w:sz w:val="16"/>
                <w:szCs w:val="16"/>
              </w:rPr>
            </w:pPr>
            <w:r>
              <w:rPr>
                <w:rFonts w:ascii="Times New Roman" w:eastAsia="Times New Roman" w:hAnsi="Times New Roman" w:cs="Times New Roman"/>
                <w:color w:val="000000"/>
                <w:sz w:val="16"/>
                <w:szCs w:val="16"/>
              </w:rPr>
              <w:t>Metronidazol</w:t>
            </w:r>
          </w:p>
        </w:tc>
        <w:tc>
          <w:tcPr>
            <w:tcW w:w="3451" w:type="dxa"/>
            <w:shd w:val="clear" w:color="auto" w:fill="FFFFFF"/>
            <w:vAlign w:val="bottom"/>
          </w:tcPr>
          <w:p w14:paraId="2984D0A4" w14:textId="77777777" w:rsidR="00924992" w:rsidRDefault="00924992">
            <w:pPr>
              <w:pStyle w:val="Other0"/>
              <w:framePr w:w="11357" w:h="3715" w:hSpace="19" w:vSpace="984" w:wrap="none" w:hAnchor="page" w:x="673" w:y="1681"/>
              <w:spacing w:line="240" w:lineRule="auto"/>
              <w:ind w:firstLine="660"/>
              <w:rPr>
                <w:sz w:val="16"/>
                <w:szCs w:val="16"/>
              </w:rPr>
            </w:pPr>
            <w:r>
              <w:rPr>
                <w:rFonts w:ascii="Times New Roman" w:eastAsia="Times New Roman" w:hAnsi="Times New Roman" w:cs="Times New Roman"/>
                <w:color w:val="000000"/>
                <w:sz w:val="16"/>
                <w:szCs w:val="16"/>
              </w:rPr>
              <w:t xml:space="preserve">2 g una vez o 500 mg bid </w:t>
            </w:r>
            <w:r>
              <w:rPr>
                <w:color w:val="000000"/>
              </w:rPr>
              <w:t xml:space="preserve">x </w:t>
            </w:r>
            <w:r>
              <w:rPr>
                <w:rFonts w:ascii="Times New Roman" w:eastAsia="Times New Roman" w:hAnsi="Times New Roman" w:cs="Times New Roman"/>
                <w:color w:val="000000"/>
                <w:sz w:val="16"/>
                <w:szCs w:val="16"/>
              </w:rPr>
              <w:t>7 días</w:t>
            </w:r>
          </w:p>
        </w:tc>
        <w:tc>
          <w:tcPr>
            <w:tcW w:w="2933" w:type="dxa"/>
            <w:shd w:val="clear" w:color="auto" w:fill="FFFFFF"/>
            <w:vAlign w:val="bottom"/>
          </w:tcPr>
          <w:p w14:paraId="6744EB5B" w14:textId="77777777" w:rsidR="00924992" w:rsidRDefault="00924992">
            <w:pPr>
              <w:pStyle w:val="Other0"/>
              <w:framePr w:w="11357" w:h="3715" w:hSpace="19" w:vSpace="984" w:wrap="none" w:hAnchor="page" w:x="673" w:y="1681"/>
              <w:spacing w:line="240" w:lineRule="auto"/>
              <w:ind w:firstLine="0"/>
              <w:rPr>
                <w:sz w:val="16"/>
                <w:szCs w:val="16"/>
              </w:rPr>
            </w:pPr>
            <w:r>
              <w:rPr>
                <w:rFonts w:ascii="Times New Roman" w:eastAsia="Times New Roman" w:hAnsi="Times New Roman" w:cs="Times New Roman"/>
                <w:color w:val="000000"/>
                <w:sz w:val="16"/>
                <w:szCs w:val="16"/>
              </w:rPr>
              <w:t xml:space="preserve">15 mg/kg/día oral en 3 dosis </w:t>
            </w:r>
            <w:r>
              <w:rPr>
                <w:color w:val="000000"/>
              </w:rPr>
              <w:t xml:space="preserve">x </w:t>
            </w:r>
            <w:r>
              <w:rPr>
                <w:rFonts w:ascii="Times New Roman" w:eastAsia="Times New Roman" w:hAnsi="Times New Roman" w:cs="Times New Roman"/>
                <w:color w:val="000000"/>
                <w:sz w:val="16"/>
                <w:szCs w:val="16"/>
              </w:rPr>
              <w:t>7 días</w:t>
            </w:r>
          </w:p>
        </w:tc>
      </w:tr>
      <w:tr w:rsidR="00924992" w14:paraId="5D84D278" w14:textId="77777777">
        <w:tblPrEx>
          <w:tblCellMar>
            <w:top w:w="0" w:type="dxa"/>
            <w:bottom w:w="0" w:type="dxa"/>
          </w:tblCellMar>
        </w:tblPrEx>
        <w:trPr>
          <w:trHeight w:hRule="exact" w:val="230"/>
        </w:trPr>
        <w:tc>
          <w:tcPr>
            <w:tcW w:w="1896" w:type="dxa"/>
            <w:shd w:val="clear" w:color="auto" w:fill="FFFFFF"/>
            <w:vAlign w:val="bottom"/>
          </w:tcPr>
          <w:p w14:paraId="33A2D53D" w14:textId="77777777" w:rsidR="00924992" w:rsidRDefault="00924992">
            <w:pPr>
              <w:pStyle w:val="Other0"/>
              <w:framePr w:w="11357" w:h="3715" w:hSpace="19" w:vSpace="984" w:wrap="none" w:hAnchor="page" w:x="673" w:y="1681"/>
              <w:spacing w:line="240" w:lineRule="auto"/>
              <w:ind w:firstLine="0"/>
              <w:rPr>
                <w:sz w:val="16"/>
                <w:szCs w:val="16"/>
              </w:rPr>
            </w:pPr>
            <w:r>
              <w:rPr>
                <w:rFonts w:ascii="Times New Roman" w:eastAsia="Times New Roman" w:hAnsi="Times New Roman" w:cs="Times New Roman"/>
                <w:b/>
                <w:bCs/>
                <w:color w:val="000000"/>
                <w:sz w:val="16"/>
                <w:szCs w:val="16"/>
              </w:rPr>
              <w:t>O</w:t>
            </w:r>
          </w:p>
        </w:tc>
        <w:tc>
          <w:tcPr>
            <w:tcW w:w="3077" w:type="dxa"/>
            <w:shd w:val="clear" w:color="auto" w:fill="FFFFFF"/>
            <w:vAlign w:val="bottom"/>
          </w:tcPr>
          <w:p w14:paraId="08DB45D4" w14:textId="77777777" w:rsidR="00924992" w:rsidRDefault="00924992">
            <w:pPr>
              <w:pStyle w:val="Other0"/>
              <w:framePr w:w="11357" w:h="3715" w:hSpace="19" w:vSpace="984" w:wrap="none" w:hAnchor="page" w:x="673" w:y="1681"/>
              <w:spacing w:line="240" w:lineRule="auto"/>
              <w:ind w:firstLine="960"/>
              <w:rPr>
                <w:sz w:val="16"/>
                <w:szCs w:val="16"/>
              </w:rPr>
            </w:pPr>
            <w:r>
              <w:rPr>
                <w:rFonts w:ascii="Times New Roman" w:eastAsia="Times New Roman" w:hAnsi="Times New Roman" w:cs="Times New Roman"/>
                <w:color w:val="000000"/>
                <w:sz w:val="16"/>
                <w:szCs w:val="16"/>
              </w:rPr>
              <w:t>Tinidazol</w:t>
            </w:r>
            <w:r>
              <w:rPr>
                <w:rFonts w:ascii="Times New Roman" w:eastAsia="Times New Roman" w:hAnsi="Times New Roman" w:cs="Times New Roman"/>
                <w:color w:val="000000"/>
                <w:sz w:val="16"/>
                <w:szCs w:val="16"/>
                <w:vertAlign w:val="superscript"/>
              </w:rPr>
              <w:t>10</w:t>
            </w:r>
          </w:p>
        </w:tc>
        <w:tc>
          <w:tcPr>
            <w:tcW w:w="3451" w:type="dxa"/>
            <w:shd w:val="clear" w:color="auto" w:fill="FFFFFF"/>
            <w:vAlign w:val="bottom"/>
          </w:tcPr>
          <w:p w14:paraId="5F128020" w14:textId="77777777" w:rsidR="00924992" w:rsidRDefault="00924992">
            <w:pPr>
              <w:pStyle w:val="Other0"/>
              <w:framePr w:w="11357" w:h="3715" w:hSpace="19" w:vSpace="984" w:wrap="none" w:hAnchor="page" w:x="673" w:y="1681"/>
              <w:spacing w:line="240" w:lineRule="auto"/>
              <w:ind w:firstLine="660"/>
              <w:rPr>
                <w:sz w:val="16"/>
                <w:szCs w:val="16"/>
              </w:rPr>
            </w:pPr>
            <w:r>
              <w:rPr>
                <w:rFonts w:ascii="Times New Roman" w:eastAsia="Times New Roman" w:hAnsi="Times New Roman" w:cs="Times New Roman"/>
                <w:color w:val="000000"/>
                <w:sz w:val="16"/>
                <w:szCs w:val="16"/>
              </w:rPr>
              <w:t>2 g una vez o 500 mg bid</w:t>
            </w:r>
          </w:p>
        </w:tc>
        <w:tc>
          <w:tcPr>
            <w:tcW w:w="2933" w:type="dxa"/>
            <w:shd w:val="clear" w:color="auto" w:fill="FFFFFF"/>
            <w:vAlign w:val="bottom"/>
          </w:tcPr>
          <w:p w14:paraId="63CA289C" w14:textId="77777777" w:rsidR="00924992" w:rsidRDefault="00924992">
            <w:pPr>
              <w:pStyle w:val="Other0"/>
              <w:framePr w:w="11357" w:h="3715" w:hSpace="19" w:vSpace="984" w:wrap="none" w:hAnchor="page" w:x="673" w:y="1681"/>
              <w:spacing w:line="240" w:lineRule="auto"/>
              <w:ind w:firstLine="0"/>
              <w:rPr>
                <w:sz w:val="16"/>
                <w:szCs w:val="16"/>
              </w:rPr>
            </w:pPr>
            <w:r>
              <w:rPr>
                <w:rFonts w:ascii="Times New Roman" w:eastAsia="Times New Roman" w:hAnsi="Times New Roman" w:cs="Times New Roman"/>
                <w:color w:val="000000"/>
                <w:sz w:val="16"/>
                <w:szCs w:val="16"/>
              </w:rPr>
              <w:t>50 mg/kg una vez (máx. 2 g)</w:t>
            </w:r>
          </w:p>
        </w:tc>
      </w:tr>
      <w:tr w:rsidR="00924992" w14:paraId="41AD023E" w14:textId="77777777">
        <w:tblPrEx>
          <w:tblCellMar>
            <w:top w:w="0" w:type="dxa"/>
            <w:bottom w:w="0" w:type="dxa"/>
          </w:tblCellMar>
        </w:tblPrEx>
        <w:trPr>
          <w:trHeight w:hRule="exact" w:val="211"/>
        </w:trPr>
        <w:tc>
          <w:tcPr>
            <w:tcW w:w="4973" w:type="dxa"/>
            <w:gridSpan w:val="2"/>
            <w:shd w:val="clear" w:color="auto" w:fill="FFFFFF"/>
            <w:vAlign w:val="bottom"/>
          </w:tcPr>
          <w:p w14:paraId="4B8B31B7" w14:textId="77777777" w:rsidR="00924992" w:rsidRDefault="00924992">
            <w:pPr>
              <w:pStyle w:val="Other0"/>
              <w:framePr w:w="11357" w:h="3715" w:hSpace="19" w:vSpace="984" w:wrap="none" w:hAnchor="page" w:x="673" w:y="1681"/>
              <w:spacing w:line="240" w:lineRule="auto"/>
              <w:ind w:firstLine="0"/>
              <w:rPr>
                <w:sz w:val="16"/>
                <w:szCs w:val="16"/>
              </w:rPr>
            </w:pPr>
            <w:r>
              <w:rPr>
                <w:rFonts w:ascii="Times New Roman" w:eastAsia="Times New Roman" w:hAnsi="Times New Roman" w:cs="Times New Roman"/>
                <w:b/>
                <w:bCs/>
                <w:color w:val="000000"/>
                <w:sz w:val="16"/>
                <w:szCs w:val="16"/>
              </w:rPr>
              <w:t xml:space="preserve">TRICURIASIS </w:t>
            </w:r>
            <w:r>
              <w:rPr>
                <w:rFonts w:ascii="Times New Roman" w:eastAsia="Times New Roman" w:hAnsi="Times New Roman" w:cs="Times New Roman"/>
                <w:i/>
                <w:iCs/>
                <w:color w:val="000000"/>
                <w:sz w:val="16"/>
                <w:szCs w:val="16"/>
              </w:rPr>
              <w:t>(Trichuris trichiura,</w:t>
            </w:r>
            <w:r>
              <w:rPr>
                <w:rFonts w:ascii="Times New Roman" w:eastAsia="Times New Roman" w:hAnsi="Times New Roman" w:cs="Times New Roman"/>
                <w:color w:val="000000"/>
                <w:sz w:val="16"/>
                <w:szCs w:val="16"/>
              </w:rPr>
              <w:t xml:space="preserve"> tricocéfalos</w:t>
            </w:r>
            <w:r>
              <w:rPr>
                <w:rFonts w:ascii="Times New Roman" w:eastAsia="Times New Roman" w:hAnsi="Times New Roman" w:cs="Times New Roman"/>
                <w:i/>
                <w:iCs/>
                <w:color w:val="000000"/>
                <w:sz w:val="16"/>
                <w:szCs w:val="16"/>
              </w:rPr>
              <w:t>)</w:t>
            </w:r>
          </w:p>
        </w:tc>
        <w:tc>
          <w:tcPr>
            <w:tcW w:w="3451" w:type="dxa"/>
            <w:shd w:val="clear" w:color="auto" w:fill="FFFFFF"/>
          </w:tcPr>
          <w:p w14:paraId="35FF1771" w14:textId="77777777" w:rsidR="00924992" w:rsidRDefault="00924992">
            <w:pPr>
              <w:framePr w:w="11357" w:h="3715" w:hSpace="19" w:vSpace="984" w:wrap="none" w:hAnchor="page" w:x="673" w:y="1681"/>
              <w:rPr>
                <w:sz w:val="10"/>
                <w:szCs w:val="10"/>
              </w:rPr>
            </w:pPr>
          </w:p>
        </w:tc>
        <w:tc>
          <w:tcPr>
            <w:tcW w:w="2933" w:type="dxa"/>
            <w:shd w:val="clear" w:color="auto" w:fill="FFFFFF"/>
          </w:tcPr>
          <w:p w14:paraId="16331B5A" w14:textId="77777777" w:rsidR="00924992" w:rsidRDefault="00924992">
            <w:pPr>
              <w:framePr w:w="11357" w:h="3715" w:hSpace="19" w:vSpace="984" w:wrap="none" w:hAnchor="page" w:x="673" w:y="1681"/>
              <w:rPr>
                <w:sz w:val="10"/>
                <w:szCs w:val="10"/>
              </w:rPr>
            </w:pPr>
          </w:p>
        </w:tc>
      </w:tr>
      <w:tr w:rsidR="00924992" w14:paraId="6A3137E7" w14:textId="77777777">
        <w:tblPrEx>
          <w:tblCellMar>
            <w:top w:w="0" w:type="dxa"/>
            <w:bottom w:w="0" w:type="dxa"/>
          </w:tblCellMar>
        </w:tblPrEx>
        <w:trPr>
          <w:trHeight w:hRule="exact" w:val="216"/>
        </w:trPr>
        <w:tc>
          <w:tcPr>
            <w:tcW w:w="1896" w:type="dxa"/>
            <w:shd w:val="clear" w:color="auto" w:fill="FFFFFF"/>
            <w:vAlign w:val="bottom"/>
          </w:tcPr>
          <w:p w14:paraId="253BE75B" w14:textId="77777777" w:rsidR="00924992" w:rsidRDefault="00924992">
            <w:pPr>
              <w:pStyle w:val="Other0"/>
              <w:framePr w:w="11357" w:h="3715" w:hSpace="19" w:vSpace="984" w:wrap="none" w:hAnchor="page" w:x="673" w:y="1681"/>
              <w:spacing w:line="240" w:lineRule="auto"/>
              <w:ind w:firstLine="0"/>
              <w:rPr>
                <w:sz w:val="16"/>
                <w:szCs w:val="16"/>
              </w:rPr>
            </w:pPr>
            <w:r>
              <w:rPr>
                <w:rFonts w:ascii="Times New Roman" w:eastAsia="Times New Roman" w:hAnsi="Times New Roman" w:cs="Times New Roman"/>
                <w:color w:val="000000"/>
                <w:sz w:val="16"/>
                <w:szCs w:val="16"/>
              </w:rPr>
              <w:t>Fármaco más indicado:</w:t>
            </w:r>
          </w:p>
        </w:tc>
        <w:tc>
          <w:tcPr>
            <w:tcW w:w="3077" w:type="dxa"/>
            <w:shd w:val="clear" w:color="auto" w:fill="FFFFFF"/>
            <w:vAlign w:val="bottom"/>
          </w:tcPr>
          <w:p w14:paraId="062757F1" w14:textId="77777777" w:rsidR="00924992" w:rsidRDefault="00924992">
            <w:pPr>
              <w:pStyle w:val="Other0"/>
              <w:framePr w:w="11357" w:h="3715" w:hSpace="19" w:vSpace="984" w:wrap="none" w:hAnchor="page" w:x="673" w:y="1681"/>
              <w:spacing w:line="240" w:lineRule="auto"/>
              <w:ind w:firstLine="960"/>
              <w:rPr>
                <w:sz w:val="16"/>
                <w:szCs w:val="16"/>
              </w:rPr>
            </w:pPr>
            <w:r>
              <w:rPr>
                <w:rFonts w:ascii="Times New Roman" w:eastAsia="Times New Roman" w:hAnsi="Times New Roman" w:cs="Times New Roman"/>
                <w:color w:val="000000"/>
                <w:sz w:val="16"/>
                <w:szCs w:val="16"/>
              </w:rPr>
              <w:t>Mebendazol</w:t>
            </w:r>
          </w:p>
        </w:tc>
        <w:tc>
          <w:tcPr>
            <w:tcW w:w="3451" w:type="dxa"/>
            <w:shd w:val="clear" w:color="auto" w:fill="FFFFFF"/>
            <w:vAlign w:val="bottom"/>
          </w:tcPr>
          <w:p w14:paraId="2E656FC6" w14:textId="77777777" w:rsidR="00924992" w:rsidRDefault="00924992">
            <w:pPr>
              <w:pStyle w:val="Other0"/>
              <w:framePr w:w="11357" w:h="3715" w:hSpace="19" w:vSpace="984" w:wrap="none" w:hAnchor="page" w:x="673" w:y="1681"/>
              <w:spacing w:line="240" w:lineRule="auto"/>
              <w:ind w:firstLine="660"/>
              <w:rPr>
                <w:sz w:val="16"/>
                <w:szCs w:val="16"/>
              </w:rPr>
            </w:pPr>
            <w:r>
              <w:rPr>
                <w:rFonts w:ascii="Times New Roman" w:eastAsia="Times New Roman" w:hAnsi="Times New Roman" w:cs="Times New Roman"/>
                <w:color w:val="000000"/>
                <w:sz w:val="16"/>
                <w:szCs w:val="16"/>
              </w:rPr>
              <w:t xml:space="preserve">100 mg bid </w:t>
            </w:r>
            <w:r>
              <w:rPr>
                <w:color w:val="000000"/>
              </w:rPr>
              <w:t xml:space="preserve">x </w:t>
            </w:r>
            <w:r>
              <w:rPr>
                <w:rFonts w:ascii="Times New Roman" w:eastAsia="Times New Roman" w:hAnsi="Times New Roman" w:cs="Times New Roman"/>
                <w:color w:val="000000"/>
                <w:sz w:val="16"/>
                <w:szCs w:val="16"/>
              </w:rPr>
              <w:t>3 días o 500 mg una vez</w:t>
            </w:r>
          </w:p>
        </w:tc>
        <w:tc>
          <w:tcPr>
            <w:tcW w:w="2933" w:type="dxa"/>
            <w:shd w:val="clear" w:color="auto" w:fill="FFFFFF"/>
            <w:vAlign w:val="bottom"/>
          </w:tcPr>
          <w:p w14:paraId="047DD3C1" w14:textId="77777777" w:rsidR="00924992" w:rsidRDefault="00924992">
            <w:pPr>
              <w:pStyle w:val="Other0"/>
              <w:framePr w:w="11357" w:h="3715" w:hSpace="19" w:vSpace="984" w:wrap="none" w:hAnchor="page" w:x="673" w:y="1681"/>
              <w:spacing w:line="240" w:lineRule="auto"/>
              <w:ind w:firstLine="0"/>
              <w:rPr>
                <w:sz w:val="16"/>
                <w:szCs w:val="16"/>
              </w:rPr>
            </w:pPr>
            <w:r>
              <w:rPr>
                <w:rFonts w:ascii="Times New Roman" w:eastAsia="Times New Roman" w:hAnsi="Times New Roman" w:cs="Times New Roman"/>
                <w:color w:val="000000"/>
                <w:sz w:val="16"/>
                <w:szCs w:val="16"/>
              </w:rPr>
              <w:t xml:space="preserve">100 mg bid </w:t>
            </w:r>
            <w:r>
              <w:rPr>
                <w:color w:val="000000"/>
              </w:rPr>
              <w:t xml:space="preserve">x </w:t>
            </w:r>
            <w:r>
              <w:rPr>
                <w:rFonts w:ascii="Times New Roman" w:eastAsia="Times New Roman" w:hAnsi="Times New Roman" w:cs="Times New Roman"/>
                <w:color w:val="000000"/>
                <w:sz w:val="16"/>
                <w:szCs w:val="16"/>
              </w:rPr>
              <w:t>3 días o 500 mg una vez</w:t>
            </w:r>
          </w:p>
        </w:tc>
      </w:tr>
      <w:tr w:rsidR="00924992" w14:paraId="2E6E6307" w14:textId="77777777">
        <w:tblPrEx>
          <w:tblCellMar>
            <w:top w:w="0" w:type="dxa"/>
            <w:bottom w:w="0" w:type="dxa"/>
          </w:tblCellMar>
        </w:tblPrEx>
        <w:trPr>
          <w:trHeight w:hRule="exact" w:val="326"/>
        </w:trPr>
        <w:tc>
          <w:tcPr>
            <w:tcW w:w="1896" w:type="dxa"/>
            <w:tcBorders>
              <w:bottom w:val="single" w:sz="4" w:space="0" w:color="auto"/>
            </w:tcBorders>
            <w:shd w:val="clear" w:color="auto" w:fill="FFFFFF"/>
          </w:tcPr>
          <w:p w14:paraId="7D3A79DF" w14:textId="77777777" w:rsidR="00924992" w:rsidRDefault="00924992">
            <w:pPr>
              <w:pStyle w:val="Other0"/>
              <w:framePr w:w="11357" w:h="3715" w:hSpace="19" w:vSpace="984" w:wrap="none" w:hAnchor="page" w:x="673" w:y="1681"/>
              <w:spacing w:line="240" w:lineRule="auto"/>
              <w:ind w:firstLine="0"/>
              <w:rPr>
                <w:sz w:val="16"/>
                <w:szCs w:val="16"/>
              </w:rPr>
            </w:pPr>
            <w:r>
              <w:rPr>
                <w:rFonts w:ascii="Times New Roman" w:eastAsia="Times New Roman" w:hAnsi="Times New Roman" w:cs="Times New Roman"/>
                <w:color w:val="000000"/>
                <w:sz w:val="16"/>
                <w:szCs w:val="16"/>
              </w:rPr>
              <w:t>Fármaco alternativo:</w:t>
            </w:r>
          </w:p>
        </w:tc>
        <w:tc>
          <w:tcPr>
            <w:tcW w:w="3077" w:type="dxa"/>
            <w:tcBorders>
              <w:bottom w:val="single" w:sz="4" w:space="0" w:color="auto"/>
            </w:tcBorders>
            <w:shd w:val="clear" w:color="auto" w:fill="FFFFFF"/>
          </w:tcPr>
          <w:p w14:paraId="476261DD" w14:textId="77777777" w:rsidR="00924992" w:rsidRDefault="00924992">
            <w:pPr>
              <w:pStyle w:val="Other0"/>
              <w:framePr w:w="11357" w:h="3715" w:hSpace="19" w:vSpace="984" w:wrap="none" w:hAnchor="page" w:x="673" w:y="1681"/>
              <w:spacing w:line="240" w:lineRule="auto"/>
              <w:ind w:firstLine="960"/>
              <w:rPr>
                <w:sz w:val="16"/>
                <w:szCs w:val="16"/>
              </w:rPr>
            </w:pPr>
            <w:r>
              <w:rPr>
                <w:rFonts w:ascii="Times New Roman" w:eastAsia="Times New Roman" w:hAnsi="Times New Roman" w:cs="Times New Roman"/>
                <w:color w:val="000000"/>
                <w:sz w:val="16"/>
                <w:szCs w:val="16"/>
              </w:rPr>
              <w:t>Albendazol</w:t>
            </w:r>
            <w:r>
              <w:rPr>
                <w:rFonts w:ascii="Times New Roman" w:eastAsia="Times New Roman" w:hAnsi="Times New Roman" w:cs="Times New Roman"/>
                <w:color w:val="000000"/>
                <w:sz w:val="16"/>
                <w:szCs w:val="16"/>
                <w:vertAlign w:val="superscript"/>
              </w:rPr>
              <w:t>3</w:t>
            </w:r>
          </w:p>
        </w:tc>
        <w:tc>
          <w:tcPr>
            <w:tcW w:w="3451" w:type="dxa"/>
            <w:tcBorders>
              <w:bottom w:val="single" w:sz="4" w:space="0" w:color="auto"/>
            </w:tcBorders>
            <w:shd w:val="clear" w:color="auto" w:fill="FFFFFF"/>
          </w:tcPr>
          <w:p w14:paraId="24512CE2" w14:textId="77777777" w:rsidR="00924992" w:rsidRDefault="00924992">
            <w:pPr>
              <w:pStyle w:val="Other0"/>
              <w:framePr w:w="11357" w:h="3715" w:hSpace="19" w:vSpace="984" w:wrap="none" w:hAnchor="page" w:x="673" w:y="1681"/>
              <w:spacing w:line="240" w:lineRule="auto"/>
              <w:ind w:firstLine="660"/>
              <w:rPr>
                <w:sz w:val="16"/>
                <w:szCs w:val="16"/>
              </w:rPr>
            </w:pPr>
            <w:r>
              <w:rPr>
                <w:rFonts w:ascii="Times New Roman" w:eastAsia="Times New Roman" w:hAnsi="Times New Roman" w:cs="Times New Roman"/>
                <w:color w:val="000000"/>
                <w:sz w:val="16"/>
                <w:szCs w:val="16"/>
              </w:rPr>
              <w:t xml:space="preserve">400 mg </w:t>
            </w:r>
            <w:r>
              <w:rPr>
                <w:color w:val="000000"/>
              </w:rPr>
              <w:t xml:space="preserve">x </w:t>
            </w:r>
            <w:r>
              <w:rPr>
                <w:rFonts w:ascii="Times New Roman" w:eastAsia="Times New Roman" w:hAnsi="Times New Roman" w:cs="Times New Roman"/>
                <w:color w:val="000000"/>
                <w:sz w:val="16"/>
                <w:szCs w:val="16"/>
              </w:rPr>
              <w:t>3 días</w:t>
            </w:r>
          </w:p>
        </w:tc>
        <w:tc>
          <w:tcPr>
            <w:tcW w:w="2933" w:type="dxa"/>
            <w:tcBorders>
              <w:bottom w:val="single" w:sz="4" w:space="0" w:color="auto"/>
            </w:tcBorders>
            <w:shd w:val="clear" w:color="auto" w:fill="FFFFFF"/>
          </w:tcPr>
          <w:p w14:paraId="5933AC85" w14:textId="77777777" w:rsidR="00924992" w:rsidRDefault="00924992">
            <w:pPr>
              <w:pStyle w:val="Other0"/>
              <w:framePr w:w="11357" w:h="3715" w:hSpace="19" w:vSpace="984" w:wrap="none" w:hAnchor="page" w:x="673" w:y="1681"/>
              <w:spacing w:line="240" w:lineRule="auto"/>
              <w:ind w:firstLine="0"/>
              <w:rPr>
                <w:sz w:val="16"/>
                <w:szCs w:val="16"/>
              </w:rPr>
            </w:pPr>
            <w:r>
              <w:rPr>
                <w:rFonts w:ascii="Times New Roman" w:eastAsia="Times New Roman" w:hAnsi="Times New Roman" w:cs="Times New Roman"/>
                <w:color w:val="000000"/>
                <w:sz w:val="16"/>
                <w:szCs w:val="16"/>
              </w:rPr>
              <w:t xml:space="preserve">400 mg </w:t>
            </w:r>
            <w:r>
              <w:rPr>
                <w:color w:val="000000"/>
              </w:rPr>
              <w:t xml:space="preserve">x </w:t>
            </w:r>
            <w:r>
              <w:rPr>
                <w:rFonts w:ascii="Times New Roman" w:eastAsia="Times New Roman" w:hAnsi="Times New Roman" w:cs="Times New Roman"/>
                <w:color w:val="000000"/>
                <w:sz w:val="16"/>
                <w:szCs w:val="16"/>
              </w:rPr>
              <w:t>3 días</w:t>
            </w:r>
          </w:p>
        </w:tc>
      </w:tr>
    </w:tbl>
    <w:p w14:paraId="5BD9CEEB" w14:textId="77777777" w:rsidR="00924992" w:rsidRDefault="00924992">
      <w:pPr>
        <w:framePr w:w="11357" w:h="3715" w:hSpace="19" w:vSpace="984" w:wrap="none" w:hAnchor="page" w:x="673" w:y="1681"/>
        <w:spacing w:line="1" w:lineRule="exact"/>
      </w:pPr>
    </w:p>
    <w:p w14:paraId="4DE4033C" w14:textId="77777777" w:rsidR="00924992" w:rsidRDefault="00924992">
      <w:pPr>
        <w:pStyle w:val="Tablecaption0"/>
        <w:framePr w:w="5976" w:h="1018" w:wrap="none" w:hAnchor="page" w:x="678" w:y="697"/>
        <w:spacing w:line="288" w:lineRule="auto"/>
        <w:ind w:left="0"/>
      </w:pPr>
      <w:r>
        <w:rPr>
          <w:b/>
          <w:bCs/>
          <w:color w:val="000000"/>
        </w:rPr>
        <w:t xml:space="preserve">Reondos, vermes, </w:t>
      </w:r>
      <w:r>
        <w:rPr>
          <w:color w:val="000000"/>
        </w:rPr>
        <w:t>véase “ASCARIASIS”</w:t>
      </w:r>
    </w:p>
    <w:p w14:paraId="3F5CE3EC" w14:textId="77777777" w:rsidR="00924992" w:rsidRDefault="00924992">
      <w:pPr>
        <w:pStyle w:val="Tablecaption0"/>
        <w:framePr w:w="5976" w:h="1018" w:wrap="none" w:hAnchor="page" w:x="678" w:y="697"/>
        <w:spacing w:line="262" w:lineRule="auto"/>
        <w:ind w:left="0"/>
        <w:rPr>
          <w:sz w:val="16"/>
          <w:szCs w:val="16"/>
        </w:rPr>
      </w:pPr>
      <w:r>
        <w:rPr>
          <w:b/>
          <w:bCs/>
          <w:i/>
          <w:iCs/>
          <w:color w:val="000000"/>
          <w:sz w:val="17"/>
          <w:szCs w:val="17"/>
        </w:rPr>
        <w:t>Sappinia Diploidea,</w:t>
      </w:r>
      <w:r>
        <w:rPr>
          <w:color w:val="000000"/>
          <w:sz w:val="16"/>
          <w:szCs w:val="16"/>
        </w:rPr>
        <w:t xml:space="preserve"> véase “AMIBIANA PRIMARIA, MENINGOENCEFALITIS” </w:t>
      </w:r>
      <w:r>
        <w:rPr>
          <w:b/>
          <w:bCs/>
          <w:color w:val="000000"/>
          <w:sz w:val="16"/>
          <w:szCs w:val="16"/>
        </w:rPr>
        <w:t>Sueño, enfermedad</w:t>
      </w:r>
      <w:r>
        <w:rPr>
          <w:color w:val="000000"/>
          <w:sz w:val="16"/>
          <w:szCs w:val="16"/>
        </w:rPr>
        <w:t>, véase “TRIPANOSOMIASIS”</w:t>
      </w:r>
    </w:p>
    <w:p w14:paraId="69A0A761" w14:textId="77777777" w:rsidR="00924992" w:rsidRDefault="00924992">
      <w:pPr>
        <w:pStyle w:val="Tablecaption0"/>
        <w:framePr w:w="5976" w:h="1018" w:wrap="none" w:hAnchor="page" w:x="678" w:y="697"/>
        <w:spacing w:line="269" w:lineRule="auto"/>
        <w:ind w:left="0"/>
        <w:rPr>
          <w:sz w:val="16"/>
          <w:szCs w:val="16"/>
        </w:rPr>
      </w:pPr>
      <w:r>
        <w:rPr>
          <w:b/>
          <w:bCs/>
          <w:color w:val="000000"/>
          <w:sz w:val="16"/>
          <w:szCs w:val="16"/>
        </w:rPr>
        <w:t xml:space="preserve">Toxocariasis, </w:t>
      </w:r>
      <w:r>
        <w:rPr>
          <w:color w:val="000000"/>
          <w:sz w:val="16"/>
          <w:szCs w:val="16"/>
        </w:rPr>
        <w:t>véase “VISCERAL, LARVA MIGRANS”</w:t>
      </w:r>
    </w:p>
    <w:p w14:paraId="53421B7D" w14:textId="77777777" w:rsidR="00924992" w:rsidRDefault="00924992">
      <w:pPr>
        <w:pStyle w:val="Tablecaption0"/>
        <w:framePr w:w="5976" w:h="1018" w:wrap="none" w:hAnchor="page" w:x="678" w:y="697"/>
        <w:spacing w:line="269" w:lineRule="auto"/>
        <w:ind w:left="0"/>
        <w:rPr>
          <w:sz w:val="16"/>
          <w:szCs w:val="16"/>
        </w:rPr>
      </w:pPr>
      <w:r>
        <w:rPr>
          <w:b/>
          <w:bCs/>
          <w:color w:val="000000"/>
          <w:sz w:val="16"/>
          <w:szCs w:val="16"/>
        </w:rPr>
        <w:t xml:space="preserve">TOXOPLASMOSIS </w:t>
      </w:r>
      <w:r>
        <w:rPr>
          <w:i/>
          <w:iCs/>
          <w:color w:val="000000"/>
          <w:sz w:val="16"/>
          <w:szCs w:val="16"/>
        </w:rPr>
        <w:t>(Toxoplasma gondii)</w:t>
      </w:r>
      <w:r>
        <w:rPr>
          <w:i/>
          <w:iCs/>
          <w:color w:val="000000"/>
          <w:sz w:val="16"/>
          <w:szCs w:val="16"/>
          <w:vertAlign w:val="superscript"/>
        </w:rPr>
        <w:t>90</w:t>
      </w:r>
    </w:p>
    <w:p w14:paraId="2A256FCA" w14:textId="77777777" w:rsidR="00924992" w:rsidRDefault="00924992">
      <w:pPr>
        <w:pStyle w:val="Tablecaption0"/>
        <w:framePr w:w="11246" w:h="1560" w:wrap="none" w:hAnchor="page" w:x="654" w:y="5511"/>
        <w:numPr>
          <w:ilvl w:val="0"/>
          <w:numId w:val="141"/>
        </w:numPr>
        <w:tabs>
          <w:tab w:val="left" w:pos="360"/>
        </w:tabs>
        <w:spacing w:line="266" w:lineRule="auto"/>
        <w:ind w:left="380" w:hanging="380"/>
        <w:jc w:val="both"/>
      </w:pPr>
      <w:r>
        <w:rPr>
          <w:i/>
          <w:iCs/>
          <w:color w:val="000000"/>
        </w:rPr>
        <w:t>P. vivax</w:t>
      </w:r>
      <w:r>
        <w:rPr>
          <w:color w:val="000000"/>
        </w:rPr>
        <w:t xml:space="preserve"> con menor susceptibilidad a la cloroquina ha surgido como problema importante en Papua-Nueva Guinea e Indonesia. Se ha sabido de algunos casos de resistencia en Myanmar, India, Tailandia, las Islas Salomon, Vanuatu, Guyana, Brasil, Colombia y Perú.</w:t>
      </w:r>
    </w:p>
    <w:p w14:paraId="793E6901" w14:textId="77777777" w:rsidR="00924992" w:rsidRDefault="00924992">
      <w:pPr>
        <w:pStyle w:val="Tablecaption0"/>
        <w:framePr w:w="11246" w:h="1560" w:wrap="none" w:hAnchor="page" w:x="654" w:y="5511"/>
        <w:numPr>
          <w:ilvl w:val="0"/>
          <w:numId w:val="141"/>
        </w:numPr>
        <w:tabs>
          <w:tab w:val="left" w:pos="355"/>
        </w:tabs>
        <w:spacing w:line="266" w:lineRule="auto"/>
        <w:ind w:left="0"/>
        <w:jc w:val="both"/>
      </w:pPr>
      <w:r>
        <w:rPr>
          <w:color w:val="000000"/>
        </w:rPr>
        <w:t xml:space="preserve">JK Baird et al, </w:t>
      </w:r>
      <w:r>
        <w:rPr>
          <w:i/>
          <w:iCs/>
          <w:color w:val="000000"/>
        </w:rPr>
        <w:t>J Infect Dis</w:t>
      </w:r>
      <w:r>
        <w:rPr>
          <w:color w:val="000000"/>
        </w:rPr>
        <w:t xml:space="preserve"> 1995; 171:1678.</w:t>
      </w:r>
    </w:p>
    <w:p w14:paraId="6A4F3649" w14:textId="77777777" w:rsidR="00924992" w:rsidRDefault="00924992">
      <w:pPr>
        <w:pStyle w:val="Tablecaption0"/>
        <w:framePr w:w="11246" w:h="1560" w:wrap="none" w:hAnchor="page" w:x="654" w:y="5511"/>
        <w:numPr>
          <w:ilvl w:val="0"/>
          <w:numId w:val="141"/>
        </w:numPr>
        <w:tabs>
          <w:tab w:val="left" w:pos="370"/>
        </w:tabs>
        <w:spacing w:line="266" w:lineRule="auto"/>
        <w:ind w:left="380" w:hanging="380"/>
      </w:pPr>
      <w:r>
        <w:rPr>
          <w:color w:val="000000"/>
        </w:rPr>
        <w:t xml:space="preserve">El fosfato de primaquina puede ocasionar anemia hemolítica, especialmente en sujetos con eritrocitos deficientes en deshidrogenasa de glucosa-6-fosfato </w:t>
      </w:r>
      <w:r>
        <w:rPr>
          <w:i/>
          <w:iCs/>
          <w:color w:val="000000"/>
        </w:rPr>
        <w:t>(glucose-6-phosphate dehydrogenase,</w:t>
      </w:r>
      <w:r>
        <w:rPr>
          <w:color w:val="000000"/>
        </w:rPr>
        <w:t xml:space="preserve"> G-6-PD). Tal deficiencia es muy frecuente en África, personas asiáticas y del Mediterráneo. Es importante practicar estudios sistemáticos en busca de deficiencia de G-6-PD antes del tratamiento. Las embarazadas no deben utilizar primaquina.</w:t>
      </w:r>
    </w:p>
    <w:p w14:paraId="7BE27026" w14:textId="77777777" w:rsidR="00924992" w:rsidRDefault="00924992">
      <w:pPr>
        <w:pStyle w:val="Tablecaption0"/>
        <w:framePr w:w="11246" w:h="1560" w:wrap="none" w:hAnchor="page" w:x="654" w:y="5511"/>
        <w:spacing w:line="266" w:lineRule="auto"/>
        <w:ind w:left="380"/>
        <w:jc w:val="both"/>
      </w:pPr>
      <w:r>
        <w:rPr>
          <w:color w:val="000000"/>
        </w:rPr>
        <w:t>68.Si no se dispone de fosfato de cloroquina, también tiene la misma eficacia el de hidroxicloroquina; 400 mg de sulfato de hidroxicloroquina es igual a 500 mg de fosfato de cloroquina.</w:t>
      </w:r>
    </w:p>
    <w:p w14:paraId="38F555A5" w14:textId="77777777" w:rsidR="00924992" w:rsidRDefault="00924992">
      <w:pPr>
        <w:pStyle w:val="Bodytext80"/>
        <w:framePr w:w="192" w:h="4536" w:hRule="exact" w:wrap="none" w:hAnchor="page" w:x="12390" w:y="236"/>
        <w:tabs>
          <w:tab w:val="left" w:pos="2338"/>
        </w:tabs>
        <w:textDirection w:val="tbRl"/>
      </w:pPr>
      <w:r>
        <w:rPr>
          <w:sz w:val="16"/>
          <w:szCs w:val="16"/>
        </w:rPr>
        <w:t>800</w:t>
      </w:r>
      <w:r>
        <w:rPr>
          <w:sz w:val="16"/>
          <w:szCs w:val="16"/>
        </w:rPr>
        <w:tab/>
      </w:r>
      <w:r>
        <w:t>FÁRMACOS ANTIPARASITARIOS</w:t>
      </w:r>
    </w:p>
    <w:p w14:paraId="36E36DE3" w14:textId="77777777" w:rsidR="00924992" w:rsidRDefault="00924992">
      <w:pPr>
        <w:spacing w:line="360" w:lineRule="exact"/>
      </w:pPr>
    </w:p>
    <w:p w14:paraId="4DFB7A3A" w14:textId="77777777" w:rsidR="00924992" w:rsidRDefault="00924992">
      <w:pPr>
        <w:spacing w:line="360" w:lineRule="exact"/>
      </w:pPr>
    </w:p>
    <w:p w14:paraId="438CD7F7" w14:textId="77777777" w:rsidR="00924992" w:rsidRDefault="00924992">
      <w:pPr>
        <w:spacing w:line="360" w:lineRule="exact"/>
      </w:pPr>
    </w:p>
    <w:p w14:paraId="0D45F0DB" w14:textId="77777777" w:rsidR="00924992" w:rsidRDefault="00924992">
      <w:pPr>
        <w:spacing w:line="360" w:lineRule="exact"/>
      </w:pPr>
    </w:p>
    <w:p w14:paraId="4F35B808" w14:textId="77777777" w:rsidR="00924992" w:rsidRDefault="00924992">
      <w:pPr>
        <w:spacing w:line="360" w:lineRule="exact"/>
      </w:pPr>
    </w:p>
    <w:p w14:paraId="5AE1E6C4" w14:textId="77777777" w:rsidR="00924992" w:rsidRDefault="00924992">
      <w:pPr>
        <w:spacing w:line="360" w:lineRule="exact"/>
      </w:pPr>
    </w:p>
    <w:p w14:paraId="275EE192" w14:textId="77777777" w:rsidR="00924992" w:rsidRDefault="00924992">
      <w:pPr>
        <w:spacing w:line="360" w:lineRule="exact"/>
      </w:pPr>
    </w:p>
    <w:p w14:paraId="7E0054E2" w14:textId="77777777" w:rsidR="00924992" w:rsidRDefault="00924992">
      <w:pPr>
        <w:spacing w:line="360" w:lineRule="exact"/>
      </w:pPr>
    </w:p>
    <w:p w14:paraId="6DC560CE" w14:textId="77777777" w:rsidR="00924992" w:rsidRDefault="00924992">
      <w:pPr>
        <w:spacing w:line="360" w:lineRule="exact"/>
      </w:pPr>
    </w:p>
    <w:p w14:paraId="481F9EAB" w14:textId="77777777" w:rsidR="00924992" w:rsidRDefault="00924992">
      <w:pPr>
        <w:spacing w:line="360" w:lineRule="exact"/>
      </w:pPr>
    </w:p>
    <w:p w14:paraId="0016EC41" w14:textId="77777777" w:rsidR="00924992" w:rsidRDefault="00924992">
      <w:pPr>
        <w:spacing w:line="360" w:lineRule="exact"/>
      </w:pPr>
    </w:p>
    <w:p w14:paraId="0A721CD5" w14:textId="77777777" w:rsidR="00924992" w:rsidRDefault="00924992">
      <w:pPr>
        <w:spacing w:line="360" w:lineRule="exact"/>
      </w:pPr>
    </w:p>
    <w:p w14:paraId="56C8D917" w14:textId="77777777" w:rsidR="00924992" w:rsidRDefault="00924992">
      <w:pPr>
        <w:spacing w:line="360" w:lineRule="exact"/>
      </w:pPr>
    </w:p>
    <w:p w14:paraId="723D3A50" w14:textId="77777777" w:rsidR="00924992" w:rsidRDefault="00924992">
      <w:pPr>
        <w:spacing w:line="360" w:lineRule="exact"/>
      </w:pPr>
    </w:p>
    <w:p w14:paraId="31F2F976" w14:textId="77777777" w:rsidR="00924992" w:rsidRDefault="00924992">
      <w:pPr>
        <w:spacing w:line="360" w:lineRule="exact"/>
      </w:pPr>
    </w:p>
    <w:p w14:paraId="5158FB02" w14:textId="77777777" w:rsidR="00924992" w:rsidRDefault="00924992">
      <w:pPr>
        <w:spacing w:line="360" w:lineRule="exact"/>
      </w:pPr>
    </w:p>
    <w:p w14:paraId="5DA25F14" w14:textId="77777777" w:rsidR="00924992" w:rsidRDefault="00924992">
      <w:pPr>
        <w:spacing w:line="360" w:lineRule="exact"/>
      </w:pPr>
    </w:p>
    <w:p w14:paraId="39267CED" w14:textId="77777777" w:rsidR="00924992" w:rsidRDefault="00924992">
      <w:pPr>
        <w:spacing w:line="360" w:lineRule="exact"/>
      </w:pPr>
    </w:p>
    <w:p w14:paraId="149350D7" w14:textId="77777777" w:rsidR="00924992" w:rsidRDefault="00924992">
      <w:pPr>
        <w:spacing w:after="589" w:line="1" w:lineRule="exact"/>
      </w:pPr>
    </w:p>
    <w:p w14:paraId="7290F92E" w14:textId="77777777" w:rsidR="00924992" w:rsidRDefault="00924992">
      <w:pPr>
        <w:spacing w:line="1" w:lineRule="exact"/>
        <w:sectPr w:rsidR="00924992" w:rsidSect="00924992">
          <w:headerReference w:type="even" r:id="rId367"/>
          <w:headerReference w:type="default" r:id="rId368"/>
          <w:footerReference w:type="even" r:id="rId369"/>
          <w:footerReference w:type="default" r:id="rId370"/>
          <w:pgSz w:w="13022" w:h="8501" w:orient="landscape"/>
          <w:pgMar w:top="269" w:right="442" w:bottom="769" w:left="653" w:header="0" w:footer="3" w:gutter="0"/>
          <w:cols w:space="720"/>
          <w:noEndnote/>
          <w:docGrid w:linePitch="360"/>
          <w15:footnoteColumns w:val="1"/>
        </w:sectPr>
      </w:pPr>
    </w:p>
    <w:p w14:paraId="3EB458F1" w14:textId="77777777" w:rsidR="00924992" w:rsidRDefault="00924992">
      <w:pPr>
        <w:spacing w:line="1" w:lineRule="exact"/>
      </w:pPr>
      <w:r>
        <w:rPr>
          <w:noProof/>
        </w:rPr>
        <mc:AlternateContent>
          <mc:Choice Requires="wps">
            <w:drawing>
              <wp:anchor distT="149225" distB="536575" distL="0" distR="12065" simplePos="0" relativeHeight="251722752" behindDoc="0" locked="0" layoutInCell="1" allowOverlap="1" wp14:anchorId="6A79F92C" wp14:editId="6458EE9D">
                <wp:simplePos x="0" y="0"/>
                <wp:positionH relativeFrom="page">
                  <wp:posOffset>496570</wp:posOffset>
                </wp:positionH>
                <wp:positionV relativeFrom="paragraph">
                  <wp:posOffset>1682115</wp:posOffset>
                </wp:positionV>
                <wp:extent cx="6849110" cy="682625"/>
                <wp:effectExtent l="0" t="0" r="0" b="0"/>
                <wp:wrapSquare wrapText="bothSides"/>
                <wp:docPr id="2444" name="Shape 2444"/>
                <wp:cNvGraphicFramePr/>
                <a:graphic xmlns:a="http://schemas.openxmlformats.org/drawingml/2006/main">
                  <a:graphicData uri="http://schemas.microsoft.com/office/word/2010/wordprocessingShape">
                    <wps:wsp>
                      <wps:cNvSpPr txBox="1"/>
                      <wps:spPr>
                        <a:xfrm>
                          <a:off x="0" y="0"/>
                          <a:ext cx="6849110" cy="682625"/>
                        </a:xfrm>
                        <a:prstGeom prst="rect">
                          <a:avLst/>
                        </a:prstGeom>
                        <a:noFill/>
                      </wps:spPr>
                      <wps:txbx>
                        <w:txbxContent>
                          <w:tbl>
                            <w:tblPr>
                              <w:tblOverlap w:val="never"/>
                              <w:tblW w:w="0" w:type="auto"/>
                              <w:tblLayout w:type="fixed"/>
                              <w:tblCellMar>
                                <w:left w:w="10" w:type="dxa"/>
                                <w:right w:w="10" w:type="dxa"/>
                              </w:tblCellMar>
                              <w:tblLook w:val="04A0" w:firstRow="1" w:lastRow="0" w:firstColumn="1" w:lastColumn="0" w:noHBand="0" w:noVBand="1"/>
                            </w:tblPr>
                            <w:tblGrid>
                              <w:gridCol w:w="2246"/>
                              <w:gridCol w:w="2827"/>
                              <w:gridCol w:w="3110"/>
                              <w:gridCol w:w="2602"/>
                            </w:tblGrid>
                            <w:tr w:rsidR="00924992" w14:paraId="7A8CED7C" w14:textId="77777777">
                              <w:tblPrEx>
                                <w:tblCellMar>
                                  <w:top w:w="0" w:type="dxa"/>
                                  <w:bottom w:w="0" w:type="dxa"/>
                                </w:tblCellMar>
                              </w:tblPrEx>
                              <w:trPr>
                                <w:trHeight w:hRule="exact" w:val="216"/>
                                <w:tblHeader/>
                              </w:trPr>
                              <w:tc>
                                <w:tcPr>
                                  <w:tcW w:w="2246" w:type="dxa"/>
                                  <w:shd w:val="clear" w:color="auto" w:fill="FFFFFF"/>
                                  <w:vAlign w:val="bottom"/>
                                </w:tcPr>
                                <w:p w14:paraId="23F1F0A0" w14:textId="77777777" w:rsidR="00924992" w:rsidRDefault="00924992">
                                  <w:pPr>
                                    <w:pStyle w:val="Other0"/>
                                    <w:spacing w:line="240" w:lineRule="auto"/>
                                    <w:ind w:firstLine="0"/>
                                    <w:rPr>
                                      <w:sz w:val="16"/>
                                      <w:szCs w:val="16"/>
                                    </w:rPr>
                                  </w:pPr>
                                  <w:r>
                                    <w:rPr>
                                      <w:rFonts w:ascii="Times New Roman" w:eastAsia="Times New Roman" w:hAnsi="Times New Roman" w:cs="Times New Roman"/>
                                      <w:color w:val="000000"/>
                                      <w:sz w:val="16"/>
                                      <w:szCs w:val="16"/>
                                    </w:rPr>
                                    <w:t>Fármaco más indicado:</w:t>
                                  </w:r>
                                </w:p>
                              </w:tc>
                              <w:tc>
                                <w:tcPr>
                                  <w:tcW w:w="2827" w:type="dxa"/>
                                  <w:shd w:val="clear" w:color="auto" w:fill="FFFFFF"/>
                                  <w:vAlign w:val="bottom"/>
                                </w:tcPr>
                                <w:p w14:paraId="13A9004C" w14:textId="77777777" w:rsidR="00924992" w:rsidRDefault="00924992">
                                  <w:pPr>
                                    <w:pStyle w:val="Other0"/>
                                    <w:spacing w:line="240" w:lineRule="auto"/>
                                    <w:ind w:firstLine="500"/>
                                    <w:rPr>
                                      <w:sz w:val="16"/>
                                      <w:szCs w:val="16"/>
                                    </w:rPr>
                                  </w:pPr>
                                  <w:r>
                                    <w:rPr>
                                      <w:rFonts w:ascii="Times New Roman" w:eastAsia="Times New Roman" w:hAnsi="Times New Roman" w:cs="Times New Roman"/>
                                      <w:color w:val="000000"/>
                                      <w:sz w:val="16"/>
                                      <w:szCs w:val="16"/>
                                    </w:rPr>
                                    <w:t>Isetionato de pentamidina</w:t>
                                  </w:r>
                                  <w:r>
                                    <w:rPr>
                                      <w:rFonts w:ascii="Times New Roman" w:eastAsia="Times New Roman" w:hAnsi="Times New Roman" w:cs="Times New Roman"/>
                                      <w:color w:val="000000"/>
                                      <w:sz w:val="16"/>
                                      <w:szCs w:val="16"/>
                                      <w:vertAlign w:val="superscript"/>
                                    </w:rPr>
                                    <w:t>3</w:t>
                                  </w:r>
                                </w:p>
                              </w:tc>
                              <w:tc>
                                <w:tcPr>
                                  <w:tcW w:w="3110" w:type="dxa"/>
                                  <w:shd w:val="clear" w:color="auto" w:fill="FFFFFF"/>
                                  <w:vAlign w:val="bottom"/>
                                </w:tcPr>
                                <w:p w14:paraId="557D12BD" w14:textId="77777777" w:rsidR="00924992" w:rsidRDefault="00924992">
                                  <w:pPr>
                                    <w:pStyle w:val="Other0"/>
                                    <w:spacing w:line="240" w:lineRule="auto"/>
                                    <w:ind w:firstLine="440"/>
                                    <w:rPr>
                                      <w:sz w:val="16"/>
                                      <w:szCs w:val="16"/>
                                    </w:rPr>
                                  </w:pPr>
                                  <w:r>
                                    <w:rPr>
                                      <w:rFonts w:ascii="Times New Roman" w:eastAsia="Times New Roman" w:hAnsi="Times New Roman" w:cs="Times New Roman"/>
                                      <w:color w:val="000000"/>
                                      <w:sz w:val="16"/>
                                      <w:szCs w:val="16"/>
                                    </w:rPr>
                                    <w:t xml:space="preserve">4 mg/kg/día IM </w:t>
                                  </w:r>
                                  <w:r>
                                    <w:rPr>
                                      <w:color w:val="000000"/>
                                    </w:rPr>
                                    <w:t xml:space="preserve">x </w:t>
                                  </w:r>
                                  <w:r>
                                    <w:rPr>
                                      <w:rFonts w:ascii="Times New Roman" w:eastAsia="Times New Roman" w:hAnsi="Times New Roman" w:cs="Times New Roman"/>
                                      <w:color w:val="000000"/>
                                      <w:sz w:val="16"/>
                                      <w:szCs w:val="16"/>
                                    </w:rPr>
                                    <w:t>10 días</w:t>
                                  </w:r>
                                </w:p>
                              </w:tc>
                              <w:tc>
                                <w:tcPr>
                                  <w:tcW w:w="2602" w:type="dxa"/>
                                  <w:shd w:val="clear" w:color="auto" w:fill="FFFFFF"/>
                                  <w:vAlign w:val="bottom"/>
                                </w:tcPr>
                                <w:p w14:paraId="3A44C02A" w14:textId="77777777" w:rsidR="00924992" w:rsidRDefault="00924992">
                                  <w:pPr>
                                    <w:pStyle w:val="Other0"/>
                                    <w:spacing w:line="240" w:lineRule="auto"/>
                                    <w:ind w:firstLine="220"/>
                                    <w:rPr>
                                      <w:sz w:val="16"/>
                                      <w:szCs w:val="16"/>
                                    </w:rPr>
                                  </w:pPr>
                                  <w:r>
                                    <w:rPr>
                                      <w:rFonts w:ascii="Times New Roman" w:eastAsia="Times New Roman" w:hAnsi="Times New Roman" w:cs="Times New Roman"/>
                                      <w:color w:val="000000"/>
                                      <w:sz w:val="16"/>
                                      <w:szCs w:val="16"/>
                                    </w:rPr>
                                    <w:t xml:space="preserve">4 mg/kg/día IM </w:t>
                                  </w:r>
                                  <w:r>
                                    <w:rPr>
                                      <w:color w:val="000000"/>
                                    </w:rPr>
                                    <w:t xml:space="preserve">x </w:t>
                                  </w:r>
                                  <w:r>
                                    <w:rPr>
                                      <w:rFonts w:ascii="Times New Roman" w:eastAsia="Times New Roman" w:hAnsi="Times New Roman" w:cs="Times New Roman"/>
                                      <w:color w:val="000000"/>
                                      <w:sz w:val="16"/>
                                      <w:szCs w:val="16"/>
                                    </w:rPr>
                                    <w:t>10 días</w:t>
                                  </w:r>
                                </w:p>
                              </w:tc>
                            </w:tr>
                            <w:tr w:rsidR="00924992" w14:paraId="760C77B9" w14:textId="77777777">
                              <w:tblPrEx>
                                <w:tblCellMar>
                                  <w:top w:w="0" w:type="dxa"/>
                                  <w:bottom w:w="0" w:type="dxa"/>
                                </w:tblCellMar>
                              </w:tblPrEx>
                              <w:trPr>
                                <w:trHeight w:hRule="exact" w:val="619"/>
                              </w:trPr>
                              <w:tc>
                                <w:tcPr>
                                  <w:tcW w:w="2246" w:type="dxa"/>
                                  <w:shd w:val="clear" w:color="auto" w:fill="FFFFFF"/>
                                </w:tcPr>
                                <w:p w14:paraId="0B7FB346" w14:textId="77777777" w:rsidR="00924992" w:rsidRDefault="00924992">
                                  <w:pPr>
                                    <w:pStyle w:val="Other0"/>
                                    <w:spacing w:line="240" w:lineRule="auto"/>
                                    <w:ind w:firstLine="0"/>
                                    <w:rPr>
                                      <w:sz w:val="16"/>
                                      <w:szCs w:val="16"/>
                                    </w:rPr>
                                  </w:pPr>
                                  <w:r>
                                    <w:rPr>
                                      <w:rFonts w:ascii="Times New Roman" w:eastAsia="Times New Roman" w:hAnsi="Times New Roman" w:cs="Times New Roman"/>
                                      <w:color w:val="000000"/>
                                      <w:sz w:val="16"/>
                                      <w:szCs w:val="16"/>
                                    </w:rPr>
                                    <w:t>Fármaco alternativo:</w:t>
                                  </w:r>
                                </w:p>
                              </w:tc>
                              <w:tc>
                                <w:tcPr>
                                  <w:tcW w:w="2827" w:type="dxa"/>
                                  <w:shd w:val="clear" w:color="auto" w:fill="FFFFFF"/>
                                </w:tcPr>
                                <w:p w14:paraId="3D0D3668" w14:textId="77777777" w:rsidR="00924992" w:rsidRDefault="00924992">
                                  <w:pPr>
                                    <w:pStyle w:val="Other0"/>
                                    <w:spacing w:line="240" w:lineRule="auto"/>
                                    <w:ind w:firstLine="500"/>
                                    <w:rPr>
                                      <w:sz w:val="16"/>
                                      <w:szCs w:val="16"/>
                                    </w:rPr>
                                  </w:pPr>
                                  <w:r>
                                    <w:rPr>
                                      <w:rFonts w:ascii="Times New Roman" w:eastAsia="Times New Roman" w:hAnsi="Times New Roman" w:cs="Times New Roman"/>
                                      <w:color w:val="000000"/>
                                      <w:sz w:val="16"/>
                                      <w:szCs w:val="16"/>
                                    </w:rPr>
                                    <w:t>Suramina*</w:t>
                                  </w:r>
                                </w:p>
                              </w:tc>
                              <w:tc>
                                <w:tcPr>
                                  <w:tcW w:w="3110" w:type="dxa"/>
                                  <w:shd w:val="clear" w:color="auto" w:fill="FFFFFF"/>
                                  <w:vAlign w:val="bottom"/>
                                </w:tcPr>
                                <w:p w14:paraId="3EED138A" w14:textId="77777777" w:rsidR="00924992" w:rsidRDefault="00924992">
                                  <w:pPr>
                                    <w:pStyle w:val="Other0"/>
                                    <w:spacing w:line="276" w:lineRule="auto"/>
                                    <w:ind w:left="560" w:hanging="120"/>
                                    <w:rPr>
                                      <w:sz w:val="16"/>
                                      <w:szCs w:val="16"/>
                                    </w:rPr>
                                  </w:pPr>
                                  <w:r>
                                    <w:rPr>
                                      <w:rFonts w:ascii="Times New Roman" w:eastAsia="Times New Roman" w:hAnsi="Times New Roman" w:cs="Times New Roman"/>
                                      <w:color w:val="000000"/>
                                      <w:sz w:val="16"/>
                                      <w:szCs w:val="16"/>
                                    </w:rPr>
                                    <w:t>100-200 mg (dosis de prueba) IV, para seguir con 1 g IV en los días</w:t>
                                  </w:r>
                                </w:p>
                                <w:p w14:paraId="28137438" w14:textId="77777777" w:rsidR="00924992" w:rsidRDefault="00924992">
                                  <w:pPr>
                                    <w:pStyle w:val="Other0"/>
                                    <w:spacing w:line="276" w:lineRule="auto"/>
                                    <w:ind w:firstLine="560"/>
                                    <w:rPr>
                                      <w:sz w:val="16"/>
                                      <w:szCs w:val="16"/>
                                    </w:rPr>
                                  </w:pPr>
                                  <w:r>
                                    <w:rPr>
                                      <w:rFonts w:ascii="Times New Roman" w:eastAsia="Times New Roman" w:hAnsi="Times New Roman" w:cs="Times New Roman"/>
                                      <w:color w:val="000000"/>
                                      <w:sz w:val="16"/>
                                      <w:szCs w:val="16"/>
                                    </w:rPr>
                                    <w:t>1, 3, 7, 14 y 21</w:t>
                                  </w:r>
                                </w:p>
                              </w:tc>
                              <w:tc>
                                <w:tcPr>
                                  <w:tcW w:w="2602" w:type="dxa"/>
                                  <w:shd w:val="clear" w:color="auto" w:fill="FFFFFF"/>
                                </w:tcPr>
                                <w:p w14:paraId="0D5E4F14" w14:textId="77777777" w:rsidR="00924992" w:rsidRDefault="00924992">
                                  <w:pPr>
                                    <w:pStyle w:val="Other0"/>
                                    <w:spacing w:line="240" w:lineRule="auto"/>
                                    <w:ind w:firstLine="220"/>
                                    <w:rPr>
                                      <w:sz w:val="16"/>
                                      <w:szCs w:val="16"/>
                                    </w:rPr>
                                  </w:pPr>
                                  <w:r>
                                    <w:rPr>
                                      <w:rFonts w:ascii="Times New Roman" w:eastAsia="Times New Roman" w:hAnsi="Times New Roman" w:cs="Times New Roman"/>
                                      <w:color w:val="000000"/>
                                      <w:sz w:val="16"/>
                                      <w:szCs w:val="16"/>
                                    </w:rPr>
                                    <w:t>20 mg/kg los días 1, 3, 7, 14 y 21</w:t>
                                  </w:r>
                                </w:p>
                              </w:tc>
                            </w:tr>
                            <w:tr w:rsidR="00924992" w14:paraId="0D2907DC" w14:textId="77777777">
                              <w:tblPrEx>
                                <w:tblCellMar>
                                  <w:top w:w="0" w:type="dxa"/>
                                  <w:bottom w:w="0" w:type="dxa"/>
                                </w:tblCellMar>
                              </w:tblPrEx>
                              <w:trPr>
                                <w:trHeight w:hRule="exact" w:val="240"/>
                              </w:trPr>
                              <w:tc>
                                <w:tcPr>
                                  <w:tcW w:w="2246" w:type="dxa"/>
                                  <w:shd w:val="clear" w:color="auto" w:fill="FFFFFF"/>
                                </w:tcPr>
                                <w:p w14:paraId="5759DCA8" w14:textId="77777777" w:rsidR="00924992" w:rsidRDefault="00924992">
                                  <w:pPr>
                                    <w:pStyle w:val="Other0"/>
                                    <w:spacing w:line="240" w:lineRule="auto"/>
                                    <w:ind w:firstLine="0"/>
                                    <w:rPr>
                                      <w:sz w:val="16"/>
                                      <w:szCs w:val="16"/>
                                    </w:rPr>
                                  </w:pPr>
                                  <w:r>
                                    <w:rPr>
                                      <w:rFonts w:ascii="Times New Roman" w:eastAsia="Times New Roman" w:hAnsi="Times New Roman" w:cs="Times New Roman"/>
                                      <w:b/>
                                      <w:bCs/>
                                      <w:color w:val="000000"/>
                                      <w:sz w:val="16"/>
                                      <w:szCs w:val="16"/>
                                    </w:rPr>
                                    <w:t>O</w:t>
                                  </w:r>
                                </w:p>
                              </w:tc>
                              <w:tc>
                                <w:tcPr>
                                  <w:tcW w:w="2827" w:type="dxa"/>
                                  <w:shd w:val="clear" w:color="auto" w:fill="FFFFFF"/>
                                </w:tcPr>
                                <w:p w14:paraId="2D72FAF7" w14:textId="77777777" w:rsidR="00924992" w:rsidRDefault="00924992">
                                  <w:pPr>
                                    <w:pStyle w:val="Other0"/>
                                    <w:spacing w:line="240" w:lineRule="auto"/>
                                    <w:ind w:firstLine="500"/>
                                    <w:rPr>
                                      <w:sz w:val="16"/>
                                      <w:szCs w:val="16"/>
                                    </w:rPr>
                                  </w:pPr>
                                  <w:r>
                                    <w:rPr>
                                      <w:rFonts w:ascii="Times New Roman" w:eastAsia="Times New Roman" w:hAnsi="Times New Roman" w:cs="Times New Roman"/>
                                      <w:color w:val="000000"/>
                                      <w:sz w:val="16"/>
                                      <w:szCs w:val="16"/>
                                    </w:rPr>
                                    <w:t>Eflornitina*</w:t>
                                  </w:r>
                                </w:p>
                              </w:tc>
                              <w:tc>
                                <w:tcPr>
                                  <w:tcW w:w="3110" w:type="dxa"/>
                                  <w:shd w:val="clear" w:color="auto" w:fill="FFFFFF"/>
                                </w:tcPr>
                                <w:p w14:paraId="2F1298B8" w14:textId="77777777" w:rsidR="00924992" w:rsidRDefault="00924992">
                                  <w:pPr>
                                    <w:pStyle w:val="Other0"/>
                                    <w:spacing w:line="240" w:lineRule="auto"/>
                                    <w:ind w:firstLine="440"/>
                                    <w:rPr>
                                      <w:sz w:val="16"/>
                                      <w:szCs w:val="16"/>
                                    </w:rPr>
                                  </w:pPr>
                                  <w:r>
                                    <w:rPr>
                                      <w:rFonts w:ascii="Times New Roman" w:eastAsia="Times New Roman" w:hAnsi="Times New Roman" w:cs="Times New Roman"/>
                                      <w:color w:val="000000"/>
                                      <w:sz w:val="16"/>
                                      <w:szCs w:val="16"/>
                                    </w:rPr>
                                    <w:t>Véase el pie de cuadro 98</w:t>
                                  </w:r>
                                </w:p>
                              </w:tc>
                              <w:tc>
                                <w:tcPr>
                                  <w:tcW w:w="2602" w:type="dxa"/>
                                  <w:shd w:val="clear" w:color="auto" w:fill="FFFFFF"/>
                                </w:tcPr>
                                <w:p w14:paraId="77798D27" w14:textId="77777777" w:rsidR="00924992" w:rsidRDefault="00924992">
                                  <w:pPr>
                                    <w:rPr>
                                      <w:sz w:val="10"/>
                                      <w:szCs w:val="10"/>
                                    </w:rPr>
                                  </w:pPr>
                                </w:p>
                              </w:tc>
                            </w:tr>
                          </w:tbl>
                          <w:p w14:paraId="7A1F2B9B" w14:textId="77777777" w:rsidR="00924992" w:rsidRDefault="00924992">
                            <w:pPr>
                              <w:spacing w:line="1" w:lineRule="exact"/>
                            </w:pPr>
                          </w:p>
                        </w:txbxContent>
                      </wps:txbx>
                      <wps:bodyPr lIns="0" tIns="0" rIns="0" bIns="0"/>
                    </wps:wsp>
                  </a:graphicData>
                </a:graphic>
              </wp:anchor>
            </w:drawing>
          </mc:Choice>
          <mc:Fallback>
            <w:pict>
              <v:shape w14:anchorId="6A79F92C" id="Shape 2444" o:spid="_x0000_s1101" type="#_x0000_t202" style="position:absolute;margin-left:39.1pt;margin-top:132.45pt;width:539.3pt;height:53.75pt;z-index:251722752;visibility:visible;mso-wrap-style:square;mso-wrap-distance-left:0;mso-wrap-distance-top:11.75pt;mso-wrap-distance-right:.95pt;mso-wrap-distance-bottom:42.25pt;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" filled="f" stroked="f">
                <v:textbox inset="0,0,0,0">
                  <w:txbxContent>
                    <w:tbl>
                      <w:tblPr>
                        <w:tblOverlap w:val="never"/>
                        <w:tblW w:w="0" w:type="auto"/>
                        <w:tblLayout w:type="fixed"/>
                        <w:tblCellMar>
                          <w:left w:w="10" w:type="dxa"/>
                          <w:right w:w="10" w:type="dxa"/>
                        </w:tblCellMar>
                        <w:tblLook w:val="04A0" w:firstRow="1" w:lastRow="0" w:firstColumn="1" w:lastColumn="0" w:noHBand="0" w:noVBand="1"/>
                      </w:tblPr>
                      <w:tblGrid>
                        <w:gridCol w:w="2246"/>
                        <w:gridCol w:w="2827"/>
                        <w:gridCol w:w="3110"/>
                        <w:gridCol w:w="2602"/>
                      </w:tblGrid>
                      <w:tr w:rsidR="00924992" w14:paraId="7A8CED7C" w14:textId="77777777">
                        <w:tblPrEx>
                          <w:tblCellMar>
                            <w:top w:w="0" w:type="dxa"/>
                            <w:bottom w:w="0" w:type="dxa"/>
                          </w:tblCellMar>
                        </w:tblPrEx>
                        <w:trPr>
                          <w:trHeight w:hRule="exact" w:val="216"/>
                          <w:tblHeader/>
                        </w:trPr>
                        <w:tc>
                          <w:tcPr>
                            <w:tcW w:w="2246" w:type="dxa"/>
                            <w:shd w:val="clear" w:color="auto" w:fill="FFFFFF"/>
                            <w:vAlign w:val="bottom"/>
                          </w:tcPr>
                          <w:p w14:paraId="23F1F0A0" w14:textId="77777777" w:rsidR="00924992" w:rsidRDefault="00924992">
                            <w:pPr>
                              <w:pStyle w:val="Other0"/>
                              <w:spacing w:line="240" w:lineRule="auto"/>
                              <w:ind w:firstLine="0"/>
                              <w:rPr>
                                <w:sz w:val="16"/>
                                <w:szCs w:val="16"/>
                              </w:rPr>
                            </w:pPr>
                            <w:r>
                              <w:rPr>
                                <w:rFonts w:ascii="Times New Roman" w:eastAsia="Times New Roman" w:hAnsi="Times New Roman" w:cs="Times New Roman"/>
                                <w:color w:val="000000"/>
                                <w:sz w:val="16"/>
                                <w:szCs w:val="16"/>
                              </w:rPr>
                              <w:t>Fármaco más indicado:</w:t>
                            </w:r>
                          </w:p>
                        </w:tc>
                        <w:tc>
                          <w:tcPr>
                            <w:tcW w:w="2827" w:type="dxa"/>
                            <w:shd w:val="clear" w:color="auto" w:fill="FFFFFF"/>
                            <w:vAlign w:val="bottom"/>
                          </w:tcPr>
                          <w:p w14:paraId="13A9004C" w14:textId="77777777" w:rsidR="00924992" w:rsidRDefault="00924992">
                            <w:pPr>
                              <w:pStyle w:val="Other0"/>
                              <w:spacing w:line="240" w:lineRule="auto"/>
                              <w:ind w:firstLine="500"/>
                              <w:rPr>
                                <w:sz w:val="16"/>
                                <w:szCs w:val="16"/>
                              </w:rPr>
                            </w:pPr>
                            <w:r>
                              <w:rPr>
                                <w:rFonts w:ascii="Times New Roman" w:eastAsia="Times New Roman" w:hAnsi="Times New Roman" w:cs="Times New Roman"/>
                                <w:color w:val="000000"/>
                                <w:sz w:val="16"/>
                                <w:szCs w:val="16"/>
                              </w:rPr>
                              <w:t>Isetionato de pentamidina</w:t>
                            </w:r>
                            <w:r>
                              <w:rPr>
                                <w:rFonts w:ascii="Times New Roman" w:eastAsia="Times New Roman" w:hAnsi="Times New Roman" w:cs="Times New Roman"/>
                                <w:color w:val="000000"/>
                                <w:sz w:val="16"/>
                                <w:szCs w:val="16"/>
                                <w:vertAlign w:val="superscript"/>
                              </w:rPr>
                              <w:t>3</w:t>
                            </w:r>
                          </w:p>
                        </w:tc>
                        <w:tc>
                          <w:tcPr>
                            <w:tcW w:w="3110" w:type="dxa"/>
                            <w:shd w:val="clear" w:color="auto" w:fill="FFFFFF"/>
                            <w:vAlign w:val="bottom"/>
                          </w:tcPr>
                          <w:p w14:paraId="557D12BD" w14:textId="77777777" w:rsidR="00924992" w:rsidRDefault="00924992">
                            <w:pPr>
                              <w:pStyle w:val="Other0"/>
                              <w:spacing w:line="240" w:lineRule="auto"/>
                              <w:ind w:firstLine="440"/>
                              <w:rPr>
                                <w:sz w:val="16"/>
                                <w:szCs w:val="16"/>
                              </w:rPr>
                            </w:pPr>
                            <w:r>
                              <w:rPr>
                                <w:rFonts w:ascii="Times New Roman" w:eastAsia="Times New Roman" w:hAnsi="Times New Roman" w:cs="Times New Roman"/>
                                <w:color w:val="000000"/>
                                <w:sz w:val="16"/>
                                <w:szCs w:val="16"/>
                              </w:rPr>
                              <w:t xml:space="preserve">4 mg/kg/día IM </w:t>
                            </w:r>
                            <w:r>
                              <w:rPr>
                                <w:color w:val="000000"/>
                              </w:rPr>
                              <w:t xml:space="preserve">x </w:t>
                            </w:r>
                            <w:r>
                              <w:rPr>
                                <w:rFonts w:ascii="Times New Roman" w:eastAsia="Times New Roman" w:hAnsi="Times New Roman" w:cs="Times New Roman"/>
                                <w:color w:val="000000"/>
                                <w:sz w:val="16"/>
                                <w:szCs w:val="16"/>
                              </w:rPr>
                              <w:t>10 días</w:t>
                            </w:r>
                          </w:p>
                        </w:tc>
                        <w:tc>
                          <w:tcPr>
                            <w:tcW w:w="2602" w:type="dxa"/>
                            <w:shd w:val="clear" w:color="auto" w:fill="FFFFFF"/>
                            <w:vAlign w:val="bottom"/>
                          </w:tcPr>
                          <w:p w14:paraId="3A44C02A" w14:textId="77777777" w:rsidR="00924992" w:rsidRDefault="00924992">
                            <w:pPr>
                              <w:pStyle w:val="Other0"/>
                              <w:spacing w:line="240" w:lineRule="auto"/>
                              <w:ind w:firstLine="220"/>
                              <w:rPr>
                                <w:sz w:val="16"/>
                                <w:szCs w:val="16"/>
                              </w:rPr>
                            </w:pPr>
                            <w:r>
                              <w:rPr>
                                <w:rFonts w:ascii="Times New Roman" w:eastAsia="Times New Roman" w:hAnsi="Times New Roman" w:cs="Times New Roman"/>
                                <w:color w:val="000000"/>
                                <w:sz w:val="16"/>
                                <w:szCs w:val="16"/>
                              </w:rPr>
                              <w:t xml:space="preserve">4 mg/kg/día IM </w:t>
                            </w:r>
                            <w:r>
                              <w:rPr>
                                <w:color w:val="000000"/>
                              </w:rPr>
                              <w:t xml:space="preserve">x </w:t>
                            </w:r>
                            <w:r>
                              <w:rPr>
                                <w:rFonts w:ascii="Times New Roman" w:eastAsia="Times New Roman" w:hAnsi="Times New Roman" w:cs="Times New Roman"/>
                                <w:color w:val="000000"/>
                                <w:sz w:val="16"/>
                                <w:szCs w:val="16"/>
                              </w:rPr>
                              <w:t>10 días</w:t>
                            </w:r>
                          </w:p>
                        </w:tc>
                      </w:tr>
                      <w:tr w:rsidR="00924992" w14:paraId="760C77B9" w14:textId="77777777">
                        <w:tblPrEx>
                          <w:tblCellMar>
                            <w:top w:w="0" w:type="dxa"/>
                            <w:bottom w:w="0" w:type="dxa"/>
                          </w:tblCellMar>
                        </w:tblPrEx>
                        <w:trPr>
                          <w:trHeight w:hRule="exact" w:val="619"/>
                        </w:trPr>
                        <w:tc>
                          <w:tcPr>
                            <w:tcW w:w="2246" w:type="dxa"/>
                            <w:shd w:val="clear" w:color="auto" w:fill="FFFFFF"/>
                          </w:tcPr>
                          <w:p w14:paraId="0B7FB346" w14:textId="77777777" w:rsidR="00924992" w:rsidRDefault="00924992">
                            <w:pPr>
                              <w:pStyle w:val="Other0"/>
                              <w:spacing w:line="240" w:lineRule="auto"/>
                              <w:ind w:firstLine="0"/>
                              <w:rPr>
                                <w:sz w:val="16"/>
                                <w:szCs w:val="16"/>
                              </w:rPr>
                            </w:pPr>
                            <w:r>
                              <w:rPr>
                                <w:rFonts w:ascii="Times New Roman" w:eastAsia="Times New Roman" w:hAnsi="Times New Roman" w:cs="Times New Roman"/>
                                <w:color w:val="000000"/>
                                <w:sz w:val="16"/>
                                <w:szCs w:val="16"/>
                              </w:rPr>
                              <w:t>Fármaco alternativo:</w:t>
                            </w:r>
                          </w:p>
                        </w:tc>
                        <w:tc>
                          <w:tcPr>
                            <w:tcW w:w="2827" w:type="dxa"/>
                            <w:shd w:val="clear" w:color="auto" w:fill="FFFFFF"/>
                          </w:tcPr>
                          <w:p w14:paraId="3D0D3668" w14:textId="77777777" w:rsidR="00924992" w:rsidRDefault="00924992">
                            <w:pPr>
                              <w:pStyle w:val="Other0"/>
                              <w:spacing w:line="240" w:lineRule="auto"/>
                              <w:ind w:firstLine="500"/>
                              <w:rPr>
                                <w:sz w:val="16"/>
                                <w:szCs w:val="16"/>
                              </w:rPr>
                            </w:pPr>
                            <w:r>
                              <w:rPr>
                                <w:rFonts w:ascii="Times New Roman" w:eastAsia="Times New Roman" w:hAnsi="Times New Roman" w:cs="Times New Roman"/>
                                <w:color w:val="000000"/>
                                <w:sz w:val="16"/>
                                <w:szCs w:val="16"/>
                              </w:rPr>
                              <w:t>Suramina*</w:t>
                            </w:r>
                          </w:p>
                        </w:tc>
                        <w:tc>
                          <w:tcPr>
                            <w:tcW w:w="3110" w:type="dxa"/>
                            <w:shd w:val="clear" w:color="auto" w:fill="FFFFFF"/>
                            <w:vAlign w:val="bottom"/>
                          </w:tcPr>
                          <w:p w14:paraId="3EED138A" w14:textId="77777777" w:rsidR="00924992" w:rsidRDefault="00924992">
                            <w:pPr>
                              <w:pStyle w:val="Other0"/>
                              <w:spacing w:line="276" w:lineRule="auto"/>
                              <w:ind w:left="560" w:hanging="120"/>
                              <w:rPr>
                                <w:sz w:val="16"/>
                                <w:szCs w:val="16"/>
                              </w:rPr>
                            </w:pPr>
                            <w:r>
                              <w:rPr>
                                <w:rFonts w:ascii="Times New Roman" w:eastAsia="Times New Roman" w:hAnsi="Times New Roman" w:cs="Times New Roman"/>
                                <w:color w:val="000000"/>
                                <w:sz w:val="16"/>
                                <w:szCs w:val="16"/>
                              </w:rPr>
                              <w:t>100-200 mg (dosis de prueba) IV, para seguir con 1 g IV en los días</w:t>
                            </w:r>
                          </w:p>
                          <w:p w14:paraId="28137438" w14:textId="77777777" w:rsidR="00924992" w:rsidRDefault="00924992">
                            <w:pPr>
                              <w:pStyle w:val="Other0"/>
                              <w:spacing w:line="276" w:lineRule="auto"/>
                              <w:ind w:firstLine="560"/>
                              <w:rPr>
                                <w:sz w:val="16"/>
                                <w:szCs w:val="16"/>
                              </w:rPr>
                            </w:pPr>
                            <w:r>
                              <w:rPr>
                                <w:rFonts w:ascii="Times New Roman" w:eastAsia="Times New Roman" w:hAnsi="Times New Roman" w:cs="Times New Roman"/>
                                <w:color w:val="000000"/>
                                <w:sz w:val="16"/>
                                <w:szCs w:val="16"/>
                              </w:rPr>
                              <w:t>1, 3, 7, 14 y 21</w:t>
                            </w:r>
                          </w:p>
                        </w:tc>
                        <w:tc>
                          <w:tcPr>
                            <w:tcW w:w="2602" w:type="dxa"/>
                            <w:shd w:val="clear" w:color="auto" w:fill="FFFFFF"/>
                          </w:tcPr>
                          <w:p w14:paraId="0D5E4F14" w14:textId="77777777" w:rsidR="00924992" w:rsidRDefault="00924992">
                            <w:pPr>
                              <w:pStyle w:val="Other0"/>
                              <w:spacing w:line="240" w:lineRule="auto"/>
                              <w:ind w:firstLine="220"/>
                              <w:rPr>
                                <w:sz w:val="16"/>
                                <w:szCs w:val="16"/>
                              </w:rPr>
                            </w:pPr>
                            <w:r>
                              <w:rPr>
                                <w:rFonts w:ascii="Times New Roman" w:eastAsia="Times New Roman" w:hAnsi="Times New Roman" w:cs="Times New Roman"/>
                                <w:color w:val="000000"/>
                                <w:sz w:val="16"/>
                                <w:szCs w:val="16"/>
                              </w:rPr>
                              <w:t>20 mg/kg los días 1, 3, 7, 14 y 21</w:t>
                            </w:r>
                          </w:p>
                        </w:tc>
                      </w:tr>
                      <w:tr w:rsidR="00924992" w14:paraId="0D2907DC" w14:textId="77777777">
                        <w:tblPrEx>
                          <w:tblCellMar>
                            <w:top w:w="0" w:type="dxa"/>
                            <w:bottom w:w="0" w:type="dxa"/>
                          </w:tblCellMar>
                        </w:tblPrEx>
                        <w:trPr>
                          <w:trHeight w:hRule="exact" w:val="240"/>
                        </w:trPr>
                        <w:tc>
                          <w:tcPr>
                            <w:tcW w:w="2246" w:type="dxa"/>
                            <w:shd w:val="clear" w:color="auto" w:fill="FFFFFF"/>
                          </w:tcPr>
                          <w:p w14:paraId="5759DCA8" w14:textId="77777777" w:rsidR="00924992" w:rsidRDefault="00924992">
                            <w:pPr>
                              <w:pStyle w:val="Other0"/>
                              <w:spacing w:line="240" w:lineRule="auto"/>
                              <w:ind w:firstLine="0"/>
                              <w:rPr>
                                <w:sz w:val="16"/>
                                <w:szCs w:val="16"/>
                              </w:rPr>
                            </w:pPr>
                            <w:r>
                              <w:rPr>
                                <w:rFonts w:ascii="Times New Roman" w:eastAsia="Times New Roman" w:hAnsi="Times New Roman" w:cs="Times New Roman"/>
                                <w:b/>
                                <w:bCs/>
                                <w:color w:val="000000"/>
                                <w:sz w:val="16"/>
                                <w:szCs w:val="16"/>
                              </w:rPr>
                              <w:t>O</w:t>
                            </w:r>
                          </w:p>
                        </w:tc>
                        <w:tc>
                          <w:tcPr>
                            <w:tcW w:w="2827" w:type="dxa"/>
                            <w:shd w:val="clear" w:color="auto" w:fill="FFFFFF"/>
                          </w:tcPr>
                          <w:p w14:paraId="2D72FAF7" w14:textId="77777777" w:rsidR="00924992" w:rsidRDefault="00924992">
                            <w:pPr>
                              <w:pStyle w:val="Other0"/>
                              <w:spacing w:line="240" w:lineRule="auto"/>
                              <w:ind w:firstLine="500"/>
                              <w:rPr>
                                <w:sz w:val="16"/>
                                <w:szCs w:val="16"/>
                              </w:rPr>
                            </w:pPr>
                            <w:r>
                              <w:rPr>
                                <w:rFonts w:ascii="Times New Roman" w:eastAsia="Times New Roman" w:hAnsi="Times New Roman" w:cs="Times New Roman"/>
                                <w:color w:val="000000"/>
                                <w:sz w:val="16"/>
                                <w:szCs w:val="16"/>
                              </w:rPr>
                              <w:t>Eflornitina*</w:t>
                            </w:r>
                          </w:p>
                        </w:tc>
                        <w:tc>
                          <w:tcPr>
                            <w:tcW w:w="3110" w:type="dxa"/>
                            <w:shd w:val="clear" w:color="auto" w:fill="FFFFFF"/>
                          </w:tcPr>
                          <w:p w14:paraId="2F1298B8" w14:textId="77777777" w:rsidR="00924992" w:rsidRDefault="00924992">
                            <w:pPr>
                              <w:pStyle w:val="Other0"/>
                              <w:spacing w:line="240" w:lineRule="auto"/>
                              <w:ind w:firstLine="440"/>
                              <w:rPr>
                                <w:sz w:val="16"/>
                                <w:szCs w:val="16"/>
                              </w:rPr>
                            </w:pPr>
                            <w:r>
                              <w:rPr>
                                <w:rFonts w:ascii="Times New Roman" w:eastAsia="Times New Roman" w:hAnsi="Times New Roman" w:cs="Times New Roman"/>
                                <w:color w:val="000000"/>
                                <w:sz w:val="16"/>
                                <w:szCs w:val="16"/>
                              </w:rPr>
                              <w:t>Véase el pie de cuadro 98</w:t>
                            </w:r>
                          </w:p>
                        </w:tc>
                        <w:tc>
                          <w:tcPr>
                            <w:tcW w:w="2602" w:type="dxa"/>
                            <w:shd w:val="clear" w:color="auto" w:fill="FFFFFF"/>
                          </w:tcPr>
                          <w:p w14:paraId="77798D27" w14:textId="77777777" w:rsidR="00924992" w:rsidRDefault="00924992">
                            <w:pPr>
                              <w:rPr>
                                <w:sz w:val="10"/>
                                <w:szCs w:val="10"/>
                              </w:rPr>
                            </w:pPr>
                          </w:p>
                        </w:tc>
                      </w:tr>
                    </w:tbl>
                    <w:p w14:paraId="7A1F2B9B" w14:textId="77777777" w:rsidR="00924992" w:rsidRDefault="00924992">
                      <w:pPr>
                        <w:spacing w:line="1" w:lineRule="exact"/>
                      </w:pPr>
                    </w:p>
                  </w:txbxContent>
                </v:textbox>
                <w10:wrap type="square" anchorx="page"/>
              </v:shape>
            </w:pict>
          </mc:Fallback>
        </mc:AlternateContent>
      </w:r>
      <w:r>
        <w:rPr>
          <w:noProof/>
        </w:rPr>
        <mc:AlternateContent>
          <mc:Choice Requires="wps">
            <w:drawing>
              <wp:anchor distT="0" distB="0" distL="0" distR="0" simplePos="0" relativeHeight="251799552" behindDoc="0" locked="0" layoutInCell="1" allowOverlap="1" wp14:anchorId="42C6F0E0" wp14:editId="6513942B">
                <wp:simplePos x="0" y="0"/>
                <wp:positionH relativeFrom="page">
                  <wp:posOffset>508635</wp:posOffset>
                </wp:positionH>
                <wp:positionV relativeFrom="paragraph">
                  <wp:posOffset>1532890</wp:posOffset>
                </wp:positionV>
                <wp:extent cx="4867910" cy="164465"/>
                <wp:effectExtent l="0" t="0" r="0" b="0"/>
                <wp:wrapNone/>
                <wp:docPr id="2446" name="Shape 2446"/>
                <wp:cNvGraphicFramePr/>
                <a:graphic xmlns:a="http://schemas.openxmlformats.org/drawingml/2006/main">
                  <a:graphicData uri="http://schemas.microsoft.com/office/word/2010/wordprocessingShape">
                    <wps:wsp>
                      <wps:cNvSpPr txBox="1"/>
                      <wps:spPr>
                        <a:xfrm>
                          <a:off x="0" y="0"/>
                          <a:ext cx="4867910" cy="164465"/>
                        </a:xfrm>
                        <a:prstGeom prst="rect">
                          <a:avLst/>
                        </a:prstGeom>
                        <a:noFill/>
                      </wps:spPr>
                      <wps:txbx>
                        <w:txbxContent>
                          <w:p w14:paraId="4FFE00DA" w14:textId="77777777" w:rsidR="00924992" w:rsidRDefault="00924992">
                            <w:pPr>
                              <w:pStyle w:val="Tablecaption0"/>
                              <w:spacing w:line="240" w:lineRule="auto"/>
                              <w:ind w:left="0"/>
                              <w:rPr>
                                <w:sz w:val="16"/>
                                <w:szCs w:val="16"/>
                              </w:rPr>
                            </w:pPr>
                            <w:r>
                              <w:rPr>
                                <w:b/>
                                <w:bCs/>
                                <w:i/>
                                <w:iCs/>
                                <w:color w:val="000000"/>
                                <w:sz w:val="17"/>
                                <w:szCs w:val="17"/>
                              </w:rPr>
                              <w:t>T. brucei gambiense</w:t>
                            </w:r>
                            <w:r>
                              <w:rPr>
                                <w:b/>
                                <w:bCs/>
                                <w:color w:val="000000"/>
                                <w:sz w:val="16"/>
                                <w:szCs w:val="16"/>
                              </w:rPr>
                              <w:t xml:space="preserve"> (tripanosomiasis de África Occidental, enfermedad del sueño), etapa hemolinfática</w:t>
                            </w:r>
                          </w:p>
                        </w:txbxContent>
                      </wps:txbx>
                      <wps:bodyPr lIns="0" tIns="0" rIns="0" bIns="0"/>
                    </wps:wsp>
                  </a:graphicData>
                </a:graphic>
              </wp:anchor>
            </w:drawing>
          </mc:Choice>
          <mc:Fallback>
            <w:pict>
              <v:shape w14:anchorId="42C6F0E0" id="Shape 2446" o:spid="_x0000_s1102" type="#_x0000_t202" style="position:absolute;margin-left:40.05pt;margin-top:120.7pt;width:383.3pt;height:12.95pt;z-index:25179955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" filled="f" stroked="f">
                <v:textbox inset="0,0,0,0">
                  <w:txbxContent>
                    <w:p w14:paraId="4FFE00DA" w14:textId="77777777" w:rsidR="00924992" w:rsidRDefault="00924992">
                      <w:pPr>
                        <w:pStyle w:val="Tablecaption0"/>
                        <w:spacing w:line="240" w:lineRule="auto"/>
                        <w:ind w:left="0"/>
                        <w:rPr>
                          <w:sz w:val="16"/>
                          <w:szCs w:val="16"/>
                        </w:rPr>
                      </w:pPr>
                      <w:r>
                        <w:rPr>
                          <w:b/>
                          <w:bCs/>
                          <w:i/>
                          <w:iCs/>
                          <w:color w:val="000000"/>
                          <w:sz w:val="17"/>
                          <w:szCs w:val="17"/>
                        </w:rPr>
                        <w:t>T. brucei gambiense</w:t>
                      </w:r>
                      <w:r>
                        <w:rPr>
                          <w:b/>
                          <w:bCs/>
                          <w:color w:val="000000"/>
                          <w:sz w:val="16"/>
                          <w:szCs w:val="16"/>
                        </w:rPr>
                        <w:t xml:space="preserve"> (tripanosomiasis de África Occidental, enfermedad del sueño), etapa hemolinfática</w:t>
                      </w:r>
                    </w:p>
                  </w:txbxContent>
                </v:textbox>
                <w10:wrap anchorx="page"/>
              </v:shape>
            </w:pict>
          </mc:Fallback>
        </mc:AlternateContent>
      </w:r>
      <w:r>
        <w:rPr>
          <w:noProof/>
        </w:rPr>
        <mc:AlternateContent>
          <mc:Choice Requires="wps">
            <w:drawing>
              <wp:anchor distT="0" distB="0" distL="0" distR="0" simplePos="0" relativeHeight="251800576" behindDoc="0" locked="0" layoutInCell="1" allowOverlap="1" wp14:anchorId="3B282ACF" wp14:editId="0EFF2457">
                <wp:simplePos x="0" y="0"/>
                <wp:positionH relativeFrom="page">
                  <wp:posOffset>5821680</wp:posOffset>
                </wp:positionH>
                <wp:positionV relativeFrom="paragraph">
                  <wp:posOffset>2483485</wp:posOffset>
                </wp:positionV>
                <wp:extent cx="1536065" cy="149225"/>
                <wp:effectExtent l="0" t="0" r="0" b="0"/>
                <wp:wrapNone/>
                <wp:docPr id="2448" name="Shape 2448"/>
                <wp:cNvGraphicFramePr/>
                <a:graphic xmlns:a="http://schemas.openxmlformats.org/drawingml/2006/main">
                  <a:graphicData uri="http://schemas.microsoft.com/office/word/2010/wordprocessingShape">
                    <wps:wsp>
                      <wps:cNvSpPr txBox="1"/>
                      <wps:spPr>
                        <a:xfrm>
                          <a:off x="0" y="0"/>
                          <a:ext cx="1536065" cy="149225"/>
                        </a:xfrm>
                        <a:prstGeom prst="rect">
                          <a:avLst/>
                        </a:prstGeom>
                        <a:noFill/>
                      </wps:spPr>
                      <wps:txbx>
                        <w:txbxContent>
                          <w:p w14:paraId="1486709F" w14:textId="77777777" w:rsidR="00924992" w:rsidRDefault="00924992">
                            <w:pPr>
                              <w:pStyle w:val="Tablecaption0"/>
                              <w:spacing w:line="240" w:lineRule="auto"/>
                              <w:ind w:left="0"/>
                              <w:rPr>
                                <w:sz w:val="16"/>
                                <w:szCs w:val="16"/>
                              </w:rPr>
                            </w:pPr>
                            <w:r>
                              <w:rPr>
                                <w:color w:val="000000"/>
                                <w:sz w:val="16"/>
                                <w:szCs w:val="16"/>
                              </w:rPr>
                              <w:t>20 mg/kg los días 1, 3, 7, 14 y 21</w:t>
                            </w:r>
                          </w:p>
                        </w:txbxContent>
                      </wps:txbx>
                      <wps:bodyPr lIns="0" tIns="0" rIns="0" bIns="0"/>
                    </wps:wsp>
                  </a:graphicData>
                </a:graphic>
              </wp:anchor>
            </w:drawing>
          </mc:Choice>
          <mc:Fallback>
            <w:pict>
              <v:shape w14:anchorId="3B282ACF" id="Shape 2448" o:spid="_x0000_s1103" type="#_x0000_t202" style="position:absolute;margin-left:458.4pt;margin-top:195.55pt;width:120.95pt;height:11.75pt;z-index:25180057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" filled="f" stroked="f">
                <v:textbox inset="0,0,0,0">
                  <w:txbxContent>
                    <w:p w14:paraId="1486709F" w14:textId="77777777" w:rsidR="00924992" w:rsidRDefault="00924992">
                      <w:pPr>
                        <w:pStyle w:val="Tablecaption0"/>
                        <w:spacing w:line="240" w:lineRule="auto"/>
                        <w:ind w:left="0"/>
                        <w:rPr>
                          <w:sz w:val="16"/>
                          <w:szCs w:val="16"/>
                        </w:rPr>
                      </w:pPr>
                      <w:r>
                        <w:rPr>
                          <w:color w:val="000000"/>
                          <w:sz w:val="16"/>
                          <w:szCs w:val="16"/>
                        </w:rPr>
                        <w:t>20 mg/kg los días 1, 3, 7, 14 y 21</w:t>
                      </w:r>
                    </w:p>
                  </w:txbxContent>
                </v:textbox>
                <w10:wrap anchorx="page"/>
              </v:shape>
            </w:pict>
          </mc:Fallback>
        </mc:AlternateContent>
      </w:r>
      <w:r>
        <w:rPr>
          <w:noProof/>
        </w:rPr>
        <mc:AlternateContent>
          <mc:Choice Requires="wps">
            <w:drawing>
              <wp:anchor distT="0" distB="0" distL="0" distR="0" simplePos="0" relativeHeight="251801600" behindDoc="0" locked="0" layoutInCell="1" allowOverlap="1" wp14:anchorId="6D21C89D" wp14:editId="441A12EA">
                <wp:simplePos x="0" y="0"/>
                <wp:positionH relativeFrom="page">
                  <wp:posOffset>496570</wp:posOffset>
                </wp:positionH>
                <wp:positionV relativeFrom="paragraph">
                  <wp:posOffset>2334260</wp:posOffset>
                </wp:positionV>
                <wp:extent cx="5032375" cy="567055"/>
                <wp:effectExtent l="0" t="0" r="0" b="0"/>
                <wp:wrapNone/>
                <wp:docPr id="2450" name="Shape 2450"/>
                <wp:cNvGraphicFramePr/>
                <a:graphic xmlns:a="http://schemas.openxmlformats.org/drawingml/2006/main">
                  <a:graphicData uri="http://schemas.microsoft.com/office/word/2010/wordprocessingShape">
                    <wps:wsp>
                      <wps:cNvSpPr txBox="1"/>
                      <wps:spPr>
                        <a:xfrm>
                          <a:off x="0" y="0"/>
                          <a:ext cx="5032375" cy="567055"/>
                        </a:xfrm>
                        <a:prstGeom prst="rect">
                          <a:avLst/>
                        </a:prstGeom>
                        <a:noFill/>
                      </wps:spPr>
                      <wps:txbx>
                        <w:txbxContent>
                          <w:p w14:paraId="51A5D0B4" w14:textId="77777777" w:rsidR="00924992" w:rsidRDefault="00924992">
                            <w:pPr>
                              <w:pStyle w:val="Tablecaption0"/>
                              <w:spacing w:line="259" w:lineRule="auto"/>
                              <w:ind w:left="0"/>
                              <w:rPr>
                                <w:sz w:val="16"/>
                                <w:szCs w:val="16"/>
                              </w:rPr>
                            </w:pPr>
                            <w:r>
                              <w:rPr>
                                <w:b/>
                                <w:bCs/>
                                <w:i/>
                                <w:iCs/>
                                <w:color w:val="000000"/>
                                <w:sz w:val="17"/>
                                <w:szCs w:val="17"/>
                              </w:rPr>
                              <w:t>T b. rhodesiense</w:t>
                            </w:r>
                            <w:r>
                              <w:rPr>
                                <w:b/>
                                <w:bCs/>
                                <w:color w:val="000000"/>
                                <w:sz w:val="16"/>
                                <w:szCs w:val="16"/>
                              </w:rPr>
                              <w:t xml:space="preserve"> (tripanosomiasis de África del Este, enfermedad del sueño), etapa hemolinfática</w:t>
                            </w:r>
                          </w:p>
                          <w:p w14:paraId="61445EA8" w14:textId="77777777" w:rsidR="00924992" w:rsidRDefault="00924992">
                            <w:pPr>
                              <w:pStyle w:val="Tablecaption0"/>
                              <w:tabs>
                                <w:tab w:val="left" w:pos="2731"/>
                                <w:tab w:val="left" w:pos="5520"/>
                              </w:tabs>
                              <w:spacing w:line="276" w:lineRule="auto"/>
                              <w:ind w:left="0"/>
                              <w:rPr>
                                <w:sz w:val="16"/>
                                <w:szCs w:val="16"/>
                              </w:rPr>
                            </w:pPr>
                            <w:r>
                              <w:rPr>
                                <w:color w:val="000000"/>
                                <w:sz w:val="16"/>
                                <w:szCs w:val="16"/>
                              </w:rPr>
                              <w:t>Fármaco más indicado:</w:t>
                            </w:r>
                            <w:r>
                              <w:rPr>
                                <w:color w:val="000000"/>
                                <w:sz w:val="16"/>
                                <w:szCs w:val="16"/>
                              </w:rPr>
                              <w:tab/>
                              <w:t>Suramina*</w:t>
                            </w:r>
                            <w:r>
                              <w:rPr>
                                <w:color w:val="000000"/>
                                <w:sz w:val="16"/>
                                <w:szCs w:val="16"/>
                              </w:rPr>
                              <w:tab/>
                              <w:t>100-200 mg (dosis de prueba) IV,</w:t>
                            </w:r>
                          </w:p>
                          <w:p w14:paraId="16F047FF" w14:textId="77777777" w:rsidR="00924992" w:rsidRDefault="00924992">
                            <w:pPr>
                              <w:pStyle w:val="Tablecaption0"/>
                              <w:spacing w:line="276" w:lineRule="auto"/>
                              <w:ind w:left="5620"/>
                              <w:rPr>
                                <w:sz w:val="16"/>
                                <w:szCs w:val="16"/>
                              </w:rPr>
                            </w:pPr>
                            <w:r>
                              <w:rPr>
                                <w:color w:val="000000"/>
                                <w:sz w:val="16"/>
                                <w:szCs w:val="16"/>
                              </w:rPr>
                              <w:t>para seguir con 1 g IV los días 1, 3, 7, 14 y 21</w:t>
                            </w:r>
                          </w:p>
                        </w:txbxContent>
                      </wps:txbx>
                      <wps:bodyPr lIns="0" tIns="0" rIns="0" bIns="0"/>
                    </wps:wsp>
                  </a:graphicData>
                </a:graphic>
              </wp:anchor>
            </w:drawing>
          </mc:Choice>
          <mc:Fallback>
            <w:pict>
              <v:shape w14:anchorId="6D21C89D" id="Shape 2450" o:spid="_x0000_s1104" type="#_x0000_t202" style="position:absolute;margin-left:39.1pt;margin-top:183.8pt;width:396.25pt;height:44.65pt;z-index:25180160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" filled="f" stroked="f">
                <v:textbox inset="0,0,0,0">
                  <w:txbxContent>
                    <w:p w14:paraId="51A5D0B4" w14:textId="77777777" w:rsidR="00924992" w:rsidRDefault="00924992">
                      <w:pPr>
                        <w:pStyle w:val="Tablecaption0"/>
                        <w:spacing w:line="259" w:lineRule="auto"/>
                        <w:ind w:left="0"/>
                        <w:rPr>
                          <w:sz w:val="16"/>
                          <w:szCs w:val="16"/>
                        </w:rPr>
                      </w:pPr>
                      <w:r>
                        <w:rPr>
                          <w:b/>
                          <w:bCs/>
                          <w:i/>
                          <w:iCs/>
                          <w:color w:val="000000"/>
                          <w:sz w:val="17"/>
                          <w:szCs w:val="17"/>
                        </w:rPr>
                        <w:t>T b. rhodesiense</w:t>
                      </w:r>
                      <w:r>
                        <w:rPr>
                          <w:b/>
                          <w:bCs/>
                          <w:color w:val="000000"/>
                          <w:sz w:val="16"/>
                          <w:szCs w:val="16"/>
                        </w:rPr>
                        <w:t xml:space="preserve"> (tripanosomiasis de África del Este, enfermedad del sueño), etapa hemolinfática</w:t>
                      </w:r>
                    </w:p>
                    <w:p w14:paraId="61445EA8" w14:textId="77777777" w:rsidR="00924992" w:rsidRDefault="00924992">
                      <w:pPr>
                        <w:pStyle w:val="Tablecaption0"/>
                        <w:tabs>
                          <w:tab w:val="left" w:pos="2731"/>
                          <w:tab w:val="left" w:pos="5520"/>
                        </w:tabs>
                        <w:spacing w:line="276" w:lineRule="auto"/>
                        <w:ind w:left="0"/>
                        <w:rPr>
                          <w:sz w:val="16"/>
                          <w:szCs w:val="16"/>
                        </w:rPr>
                      </w:pPr>
                      <w:r>
                        <w:rPr>
                          <w:color w:val="000000"/>
                          <w:sz w:val="16"/>
                          <w:szCs w:val="16"/>
                        </w:rPr>
                        <w:t>Fármaco más indicado:</w:t>
                      </w:r>
                      <w:r>
                        <w:rPr>
                          <w:color w:val="000000"/>
                          <w:sz w:val="16"/>
                          <w:szCs w:val="16"/>
                        </w:rPr>
                        <w:tab/>
                        <w:t>Suramina*</w:t>
                      </w:r>
                      <w:r>
                        <w:rPr>
                          <w:color w:val="000000"/>
                          <w:sz w:val="16"/>
                          <w:szCs w:val="16"/>
                        </w:rPr>
                        <w:tab/>
                        <w:t>100-200 mg (dosis de prueba) IV,</w:t>
                      </w:r>
                    </w:p>
                    <w:p w14:paraId="16F047FF" w14:textId="77777777" w:rsidR="00924992" w:rsidRDefault="00924992">
                      <w:pPr>
                        <w:pStyle w:val="Tablecaption0"/>
                        <w:spacing w:line="276" w:lineRule="auto"/>
                        <w:ind w:left="5620"/>
                        <w:rPr>
                          <w:sz w:val="16"/>
                          <w:szCs w:val="16"/>
                        </w:rPr>
                      </w:pPr>
                      <w:r>
                        <w:rPr>
                          <w:color w:val="000000"/>
                          <w:sz w:val="16"/>
                          <w:szCs w:val="16"/>
                        </w:rPr>
                        <w:t>para seguir con 1 g IV los días 1, 3, 7, 14 y 21</w:t>
                      </w:r>
                    </w:p>
                  </w:txbxContent>
                </v:textbox>
                <w10:wrap anchorx="page"/>
              </v:shape>
            </w:pict>
          </mc:Fallback>
        </mc:AlternateContent>
      </w:r>
      <w:r>
        <w:rPr>
          <w:noProof/>
        </w:rPr>
        <mc:AlternateContent>
          <mc:Choice Requires="wps">
            <w:drawing>
              <wp:anchor distT="0" distB="801370" distL="66675" distR="63500" simplePos="0" relativeHeight="251723776" behindDoc="0" locked="0" layoutInCell="1" allowOverlap="1" wp14:anchorId="375479CB" wp14:editId="3ED131F8">
                <wp:simplePos x="0" y="0"/>
                <wp:positionH relativeFrom="page">
                  <wp:posOffset>414655</wp:posOffset>
                </wp:positionH>
                <wp:positionV relativeFrom="paragraph">
                  <wp:posOffset>3008630</wp:posOffset>
                </wp:positionV>
                <wp:extent cx="152400" cy="128270"/>
                <wp:effectExtent l="0" t="0" r="0" b="0"/>
                <wp:wrapSquare wrapText="right"/>
                <wp:docPr id="2452" name="Shape 2452"/>
                <wp:cNvGraphicFramePr/>
                <a:graphic xmlns:a="http://schemas.openxmlformats.org/drawingml/2006/main">
                  <a:graphicData uri="http://schemas.microsoft.com/office/word/2010/wordprocessingShape">
                    <wps:wsp>
                      <wps:cNvSpPr txBox="1"/>
                      <wps:spPr>
                        <a:xfrm>
                          <a:off x="0" y="0"/>
                          <a:ext cx="152400" cy="128270"/>
                        </a:xfrm>
                        <a:prstGeom prst="rect">
                          <a:avLst/>
                        </a:prstGeom>
                        <a:noFill/>
                      </wps:spPr>
                      <wps:txbx>
                        <w:txbxContent>
                          <w:p w14:paraId="6E7B2762" w14:textId="77777777" w:rsidR="00924992" w:rsidRDefault="00924992">
                            <w:pPr>
                              <w:pStyle w:val="Bodytext20"/>
                              <w:spacing w:line="240" w:lineRule="auto"/>
                              <w:jc w:val="both"/>
                              <w:rPr>
                                <w:sz w:val="15"/>
                                <w:szCs w:val="15"/>
                              </w:rPr>
                            </w:pPr>
                            <w:r>
                              <w:rPr>
                                <w:color w:val="000000"/>
                                <w:sz w:val="15"/>
                                <w:szCs w:val="15"/>
                              </w:rPr>
                              <w:t>69.</w:t>
                            </w:r>
                          </w:p>
                        </w:txbxContent>
                      </wps:txbx>
                      <wps:bodyPr wrap="none" lIns="0" tIns="0" rIns="0" bIns="0"/>
                    </wps:wsp>
                  </a:graphicData>
                </a:graphic>
              </wp:anchor>
            </w:drawing>
          </mc:Choice>
          <mc:Fallback>
            <w:pict>
              <v:shape w14:anchorId="375479CB" id="Shape 2452" o:spid="_x0000_s1105" type="#_x0000_t202" style="position:absolute;margin-left:32.65pt;margin-top:236.9pt;width:12pt;height:10.1pt;z-index:251723776;visibility:visible;mso-wrap-style:none;mso-wrap-distance-left:5.25pt;mso-wrap-distance-top:0;mso-wrap-distance-right:5pt;mso-wrap-distance-bottom:63.1pt;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" filled="f" stroked="f">
                <v:textbox inset="0,0,0,0">
                  <w:txbxContent>
                    <w:p w14:paraId="6E7B2762" w14:textId="77777777" w:rsidR="00924992" w:rsidRDefault="00924992">
                      <w:pPr>
                        <w:pStyle w:val="Bodytext20"/>
                        <w:spacing w:line="240" w:lineRule="auto"/>
                        <w:jc w:val="both"/>
                        <w:rPr>
                          <w:sz w:val="15"/>
                          <w:szCs w:val="15"/>
                        </w:rPr>
                      </w:pPr>
                      <w:r>
                        <w:rPr>
                          <w:color w:val="000000"/>
                          <w:sz w:val="15"/>
                          <w:szCs w:val="15"/>
                        </w:rPr>
                        <w:t>69.</w:t>
                      </w:r>
                    </w:p>
                  </w:txbxContent>
                </v:textbox>
                <w10:wrap type="square" side="right" anchorx="page"/>
              </v:shape>
            </w:pict>
          </mc:Fallback>
        </mc:AlternateContent>
      </w:r>
      <w:r>
        <w:rPr>
          <w:noProof/>
        </w:rPr>
        <mc:AlternateContent>
          <mc:Choice Requires="wps">
            <w:drawing>
              <wp:anchor distT="228600" distB="572770" distL="63500" distR="63500" simplePos="0" relativeHeight="251724800" behindDoc="0" locked="0" layoutInCell="1" allowOverlap="1" wp14:anchorId="7A76CD09" wp14:editId="3AA4B939">
                <wp:simplePos x="0" y="0"/>
                <wp:positionH relativeFrom="page">
                  <wp:posOffset>411480</wp:posOffset>
                </wp:positionH>
                <wp:positionV relativeFrom="paragraph">
                  <wp:posOffset>3237230</wp:posOffset>
                </wp:positionV>
                <wp:extent cx="155575" cy="128270"/>
                <wp:effectExtent l="0" t="0" r="0" b="0"/>
                <wp:wrapSquare wrapText="right"/>
                <wp:docPr id="2454" name="Shape 2454"/>
                <wp:cNvGraphicFramePr/>
                <a:graphic xmlns:a="http://schemas.openxmlformats.org/drawingml/2006/main">
                  <a:graphicData uri="http://schemas.microsoft.com/office/word/2010/wordprocessingShape">
                    <wps:wsp>
                      <wps:cNvSpPr txBox="1"/>
                      <wps:spPr>
                        <a:xfrm>
                          <a:off x="0" y="0"/>
                          <a:ext cx="155575" cy="128270"/>
                        </a:xfrm>
                        <a:prstGeom prst="rect">
                          <a:avLst/>
                        </a:prstGeom>
                        <a:noFill/>
                      </wps:spPr>
                      <wps:txbx>
                        <w:txbxContent>
                          <w:p w14:paraId="4F47357B" w14:textId="77777777" w:rsidR="00924992" w:rsidRDefault="00924992">
                            <w:pPr>
                              <w:pStyle w:val="Bodytext20"/>
                              <w:spacing w:line="240" w:lineRule="auto"/>
                              <w:jc w:val="both"/>
                              <w:rPr>
                                <w:sz w:val="15"/>
                                <w:szCs w:val="15"/>
                              </w:rPr>
                            </w:pPr>
                            <w:r>
                              <w:rPr>
                                <w:color w:val="000000"/>
                                <w:sz w:val="15"/>
                                <w:szCs w:val="15"/>
                              </w:rPr>
                              <w:t>70.</w:t>
                            </w:r>
                          </w:p>
                        </w:txbxContent>
                      </wps:txbx>
                      <wps:bodyPr wrap="none" lIns="0" tIns="0" rIns="0" bIns="0"/>
                    </wps:wsp>
                  </a:graphicData>
                </a:graphic>
              </wp:anchor>
            </w:drawing>
          </mc:Choice>
          <mc:Fallback>
            <w:pict>
              <v:shape w14:anchorId="7A76CD09" id="Shape 2454" o:spid="_x0000_s1106" type="#_x0000_t202" style="position:absolute;margin-left:32.4pt;margin-top:254.9pt;width:12.25pt;height:10.1pt;z-index:251724800;visibility:visible;mso-wrap-style:none;mso-wrap-distance-left:5pt;mso-wrap-distance-top:18pt;mso-wrap-distance-right:5pt;mso-wrap-distance-bottom:45.1pt;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" filled="f" stroked="f">
                <v:textbox inset="0,0,0,0">
                  <w:txbxContent>
                    <w:p w14:paraId="4F47357B" w14:textId="77777777" w:rsidR="00924992" w:rsidRDefault="00924992">
                      <w:pPr>
                        <w:pStyle w:val="Bodytext20"/>
                        <w:spacing w:line="240" w:lineRule="auto"/>
                        <w:jc w:val="both"/>
                        <w:rPr>
                          <w:sz w:val="15"/>
                          <w:szCs w:val="15"/>
                        </w:rPr>
                      </w:pPr>
                      <w:r>
                        <w:rPr>
                          <w:color w:val="000000"/>
                          <w:sz w:val="15"/>
                          <w:szCs w:val="15"/>
                        </w:rPr>
                        <w:t>70.</w:t>
                      </w:r>
                    </w:p>
                  </w:txbxContent>
                </v:textbox>
                <w10:wrap type="square" side="right" anchorx="page"/>
              </v:shape>
            </w:pict>
          </mc:Fallback>
        </mc:AlternateContent>
      </w:r>
      <w:r>
        <w:rPr>
          <w:noProof/>
        </w:rPr>
        <mc:AlternateContent>
          <mc:Choice Requires="wps">
            <w:drawing>
              <wp:anchor distT="688975" distB="0" distL="63500" distR="63500" simplePos="0" relativeHeight="251725824" behindDoc="0" locked="0" layoutInCell="1" allowOverlap="1" wp14:anchorId="5C62895C" wp14:editId="4B3C7D77">
                <wp:simplePos x="0" y="0"/>
                <wp:positionH relativeFrom="page">
                  <wp:posOffset>411480</wp:posOffset>
                </wp:positionH>
                <wp:positionV relativeFrom="paragraph">
                  <wp:posOffset>3697605</wp:posOffset>
                </wp:positionV>
                <wp:extent cx="155575" cy="240665"/>
                <wp:effectExtent l="0" t="0" r="0" b="0"/>
                <wp:wrapSquare wrapText="right"/>
                <wp:docPr id="2456" name="Shape 2456"/>
                <wp:cNvGraphicFramePr/>
                <a:graphic xmlns:a="http://schemas.openxmlformats.org/drawingml/2006/main">
                  <a:graphicData uri="http://schemas.microsoft.com/office/word/2010/wordprocessingShape">
                    <wps:wsp>
                      <wps:cNvSpPr txBox="1"/>
                      <wps:spPr>
                        <a:xfrm>
                          <a:off x="0" y="0"/>
                          <a:ext cx="155575" cy="240665"/>
                        </a:xfrm>
                        <a:prstGeom prst="rect">
                          <a:avLst/>
                        </a:prstGeom>
                        <a:noFill/>
                      </wps:spPr>
                      <wps:txbx>
                        <w:txbxContent>
                          <w:p w14:paraId="797C25B7" w14:textId="77777777" w:rsidR="00924992" w:rsidRDefault="00924992">
                            <w:pPr>
                              <w:pStyle w:val="Bodytext20"/>
                              <w:spacing w:line="240" w:lineRule="auto"/>
                              <w:jc w:val="both"/>
                              <w:rPr>
                                <w:sz w:val="15"/>
                                <w:szCs w:val="15"/>
                              </w:rPr>
                            </w:pPr>
                            <w:bookmarkStart w:id="637" w:name="bookmark2068"/>
                            <w:r>
                              <w:rPr>
                                <w:color w:val="000000"/>
                                <w:sz w:val="15"/>
                                <w:szCs w:val="15"/>
                              </w:rPr>
                              <w:t>7</w:t>
                            </w:r>
                            <w:bookmarkEnd w:id="637"/>
                            <w:r>
                              <w:rPr>
                                <w:color w:val="000000"/>
                                <w:sz w:val="15"/>
                                <w:szCs w:val="15"/>
                              </w:rPr>
                              <w:t>1.</w:t>
                            </w:r>
                          </w:p>
                          <w:p w14:paraId="2ABFD358" w14:textId="77777777" w:rsidR="00924992" w:rsidRDefault="00924992">
                            <w:pPr>
                              <w:pStyle w:val="Bodytext20"/>
                              <w:spacing w:line="240" w:lineRule="auto"/>
                              <w:jc w:val="both"/>
                              <w:rPr>
                                <w:sz w:val="15"/>
                                <w:szCs w:val="15"/>
                              </w:rPr>
                            </w:pPr>
                            <w:bookmarkStart w:id="638" w:name="bookmark2069"/>
                            <w:r>
                              <w:rPr>
                                <w:color w:val="000000"/>
                                <w:sz w:val="15"/>
                                <w:szCs w:val="15"/>
                              </w:rPr>
                              <w:t>7</w:t>
                            </w:r>
                            <w:bookmarkEnd w:id="638"/>
                            <w:r>
                              <w:rPr>
                                <w:color w:val="000000"/>
                                <w:sz w:val="15"/>
                                <w:szCs w:val="15"/>
                              </w:rPr>
                              <w:t>2.</w:t>
                            </w:r>
                          </w:p>
                        </w:txbxContent>
                      </wps:txbx>
                      <wps:bodyPr lIns="0" tIns="0" rIns="0" bIns="0"/>
                    </wps:wsp>
                  </a:graphicData>
                </a:graphic>
              </wp:anchor>
            </w:drawing>
          </mc:Choice>
          <mc:Fallback>
            <w:pict>
              <v:shape w14:anchorId="5C62895C" id="Shape 2456" o:spid="_x0000_s1107" type="#_x0000_t202" style="position:absolute;margin-left:32.4pt;margin-top:291.15pt;width:12.25pt;height:18.95pt;z-index:251725824;visibility:visible;mso-wrap-style:square;mso-wrap-distance-left:5pt;mso-wrap-distance-top:54.25pt;mso-wrap-distance-right:5pt;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" filled="f" stroked="f">
                <v:textbox inset="0,0,0,0">
                  <w:txbxContent>
                    <w:p w14:paraId="797C25B7" w14:textId="77777777" w:rsidR="00924992" w:rsidRDefault="00924992">
                      <w:pPr>
                        <w:pStyle w:val="Bodytext20"/>
                        <w:spacing w:line="240" w:lineRule="auto"/>
                        <w:jc w:val="both"/>
                        <w:rPr>
                          <w:sz w:val="15"/>
                          <w:szCs w:val="15"/>
                        </w:rPr>
                      </w:pPr>
                      <w:bookmarkStart w:id="639" w:name="bookmark2068"/>
                      <w:r>
                        <w:rPr>
                          <w:color w:val="000000"/>
                          <w:sz w:val="15"/>
                          <w:szCs w:val="15"/>
                        </w:rPr>
                        <w:t>7</w:t>
                      </w:r>
                      <w:bookmarkEnd w:id="639"/>
                      <w:r>
                        <w:rPr>
                          <w:color w:val="000000"/>
                          <w:sz w:val="15"/>
                          <w:szCs w:val="15"/>
                        </w:rPr>
                        <w:t>1.</w:t>
                      </w:r>
                    </w:p>
                    <w:p w14:paraId="2ABFD358" w14:textId="77777777" w:rsidR="00924992" w:rsidRDefault="00924992">
                      <w:pPr>
                        <w:pStyle w:val="Bodytext20"/>
                        <w:spacing w:line="240" w:lineRule="auto"/>
                        <w:jc w:val="both"/>
                        <w:rPr>
                          <w:sz w:val="15"/>
                          <w:szCs w:val="15"/>
                        </w:rPr>
                      </w:pPr>
                      <w:bookmarkStart w:id="640" w:name="bookmark2069"/>
                      <w:r>
                        <w:rPr>
                          <w:color w:val="000000"/>
                          <w:sz w:val="15"/>
                          <w:szCs w:val="15"/>
                        </w:rPr>
                        <w:t>7</w:t>
                      </w:r>
                      <w:bookmarkEnd w:id="640"/>
                      <w:r>
                        <w:rPr>
                          <w:color w:val="000000"/>
                          <w:sz w:val="15"/>
                          <w:szCs w:val="15"/>
                        </w:rPr>
                        <w:t>2.</w:t>
                      </w:r>
                    </w:p>
                  </w:txbxContent>
                </v:textbox>
                <w10:wrap type="square" side="right" anchorx="page"/>
              </v:shape>
            </w:pict>
          </mc:Fallback>
        </mc:AlternateContent>
      </w:r>
      <w:r>
        <w:rPr>
          <w:noProof/>
        </w:rPr>
        <mc:AlternateContent>
          <mc:Choice Requires="wps">
            <w:drawing>
              <wp:anchor distT="0" distB="0" distL="114300" distR="114300" simplePos="0" relativeHeight="251726848" behindDoc="0" locked="0" layoutInCell="1" allowOverlap="1" wp14:anchorId="6AA61F69" wp14:editId="020FEF8B">
                <wp:simplePos x="0" y="0"/>
                <wp:positionH relativeFrom="page">
                  <wp:posOffset>7867015</wp:posOffset>
                </wp:positionH>
                <wp:positionV relativeFrom="paragraph">
                  <wp:posOffset>1505585</wp:posOffset>
                </wp:positionV>
                <wp:extent cx="121920" cy="2858770"/>
                <wp:effectExtent l="0" t="0" r="0" b="0"/>
                <wp:wrapSquare wrapText="bothSides"/>
                <wp:docPr id="2458" name="Shape 2458"/>
                <wp:cNvGraphicFramePr/>
                <a:graphic xmlns:a="http://schemas.openxmlformats.org/drawingml/2006/main">
                  <a:graphicData uri="http://schemas.microsoft.com/office/word/2010/wordprocessingShape">
                    <wps:wsp>
                      <wps:cNvSpPr txBox="1"/>
                      <wps:spPr>
                        <a:xfrm>
                          <a:off x="0" y="0"/>
                          <a:ext cx="121920" cy="2858770"/>
                        </a:xfrm>
                        <a:prstGeom prst="rect">
                          <a:avLst/>
                        </a:prstGeom>
                        <a:noFill/>
                      </wps:spPr>
                      <wps:txbx>
                        <w:txbxContent>
                          <w:p w14:paraId="6BC2993C" w14:textId="77777777" w:rsidR="00924992" w:rsidRDefault="00924992">
                            <w:pPr>
                              <w:pStyle w:val="Bodytext80"/>
                              <w:tabs>
                                <w:tab w:val="left" w:pos="4210"/>
                              </w:tabs>
                              <w:rPr>
                                <w:sz w:val="16"/>
                                <w:szCs w:val="16"/>
                              </w:rPr>
                            </w:pPr>
                            <w:r>
                              <w:t>FÁRMACOS ANTIPARASITARIOS</w:t>
                            </w:r>
                            <w:r>
                              <w:tab/>
                            </w:r>
                            <w:r>
                              <w:rPr>
                                <w:sz w:val="16"/>
                                <w:szCs w:val="16"/>
                              </w:rPr>
                              <w:t>801</w:t>
                            </w:r>
                          </w:p>
                        </w:txbxContent>
                      </wps:txbx>
                      <wps:bodyPr vert="vert" lIns="0" tIns="0" rIns="0" bIns="0" upright="1"/>
                    </wps:wsp>
                  </a:graphicData>
                </a:graphic>
              </wp:anchor>
            </w:drawing>
          </mc:Choice>
          <mc:Fallback>
            <w:pict>
              <v:shape w14:anchorId="6AA61F69" id="Shape 2458" o:spid="_x0000_s1108" type="#_x0000_t202" style="position:absolute;margin-left:619.45pt;margin-top:118.55pt;width:9.6pt;height:225.1pt;z-index:251726848;visibility:visible;mso-wrap-style:square;mso-wrap-distance-left:9pt;mso-wrap-distance-top:0;mso-wrap-distance-right:9pt;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" filled="f" stroked="f">
                <v:textbox style="layout-flow:vertical" inset="0,0,0,0">
                  <w:txbxContent>
                    <w:p w14:paraId="6BC2993C" w14:textId="77777777" w:rsidR="00924992" w:rsidRDefault="00924992">
                      <w:pPr>
                        <w:pStyle w:val="Bodytext80"/>
                        <w:tabs>
                          <w:tab w:val="left" w:pos="4210"/>
                        </w:tabs>
                        <w:rPr>
                          <w:sz w:val="16"/>
                          <w:szCs w:val="16"/>
                        </w:rPr>
                      </w:pPr>
                      <w:r>
                        <w:t>FÁRMACOS ANTIPARASITARIOS</w:t>
                      </w:r>
                      <w:r>
                        <w:tab/>
                      </w:r>
                      <w:r>
                        <w:rPr>
                          <w:sz w:val="16"/>
                          <w:szCs w:val="16"/>
                        </w:rPr>
                        <w:t>801</w:t>
                      </w:r>
                    </w:p>
                  </w:txbxContent>
                </v:textbox>
                <w10:wrap type="square" anchorx="page"/>
              </v:shape>
            </w:pict>
          </mc:Fallback>
        </mc:AlternateContent>
      </w:r>
    </w:p>
    <w:p w14:paraId="27C4D983" w14:textId="77777777" w:rsidR="00924992" w:rsidRDefault="00924992">
      <w:pPr>
        <w:pStyle w:val="Heading31"/>
        <w:keepNext/>
        <w:keepLines/>
        <w:spacing w:after="60"/>
        <w:jc w:val="center"/>
        <w:rPr>
          <w:sz w:val="16"/>
          <w:szCs w:val="16"/>
        </w:rPr>
      </w:pPr>
      <w:bookmarkStart w:id="641" w:name="bookmark2070"/>
      <w:bookmarkStart w:id="642" w:name="bookmark2071"/>
      <w:bookmarkStart w:id="643" w:name="bookmark2072"/>
      <w:r>
        <w:rPr>
          <w:b w:val="0"/>
          <w:bCs w:val="0"/>
          <w:color w:val="000000"/>
        </w:rPr>
        <w:t xml:space="preserve">Cuadro 4-13. </w:t>
      </w:r>
      <w:r>
        <w:rPr>
          <w:color w:val="000000"/>
        </w:rPr>
        <w:t xml:space="preserve">Fármacos antiparasitarios </w:t>
      </w:r>
      <w:r>
        <w:rPr>
          <w:rFonts w:ascii="Times New Roman" w:eastAsia="Times New Roman" w:hAnsi="Times New Roman" w:cs="Times New Roman"/>
          <w:b w:val="0"/>
          <w:bCs w:val="0"/>
          <w:i/>
          <w:iCs/>
          <w:color w:val="000000"/>
          <w:w w:val="100"/>
          <w:sz w:val="16"/>
          <w:szCs w:val="16"/>
        </w:rPr>
        <w:t>cwitinuación</w:t>
      </w:r>
      <w:bookmarkEnd w:id="641"/>
      <w:bookmarkEnd w:id="642"/>
      <w:bookmarkEnd w:id="643"/>
    </w:p>
    <w:tbl>
      <w:tblPr>
        <w:tblOverlap w:val="never"/>
        <w:tblW w:w="0" w:type="auto"/>
        <w:tblLayout w:type="fixed"/>
        <w:tblCellMar>
          <w:left w:w="10" w:type="dxa"/>
          <w:right w:w="10" w:type="dxa"/>
        </w:tblCellMar>
        <w:tblLook w:val="04A0" w:firstRow="1" w:lastRow="0" w:firstColumn="1" w:lastColumn="0" w:noHBand="0" w:noVBand="1"/>
      </w:tblPr>
      <w:tblGrid>
        <w:gridCol w:w="2333"/>
        <w:gridCol w:w="2827"/>
        <w:gridCol w:w="3014"/>
        <w:gridCol w:w="3259"/>
      </w:tblGrid>
      <w:tr w:rsidR="00924992" w14:paraId="53CEB3E7" w14:textId="77777777">
        <w:tblPrEx>
          <w:tblCellMar>
            <w:top w:w="0" w:type="dxa"/>
            <w:bottom w:w="0" w:type="dxa"/>
          </w:tblCellMar>
        </w:tblPrEx>
        <w:trPr>
          <w:trHeight w:hRule="exact" w:val="278"/>
        </w:trPr>
        <w:tc>
          <w:tcPr>
            <w:tcW w:w="2333" w:type="dxa"/>
            <w:shd w:val="clear" w:color="auto" w:fill="000000"/>
          </w:tcPr>
          <w:p w14:paraId="45D946C3" w14:textId="77777777" w:rsidR="00924992" w:rsidRDefault="00924992">
            <w:pPr>
              <w:pStyle w:val="Other0"/>
              <w:framePr w:w="11434" w:h="1666" w:vSpace="432" w:wrap="notBeside" w:vAnchor="text" w:hAnchor="text" w:y="1"/>
              <w:pBdr>
                <w:top w:val="single" w:sz="0" w:space="0" w:color="000000"/>
                <w:left w:val="single" w:sz="0" w:space="0" w:color="000000"/>
                <w:bottom w:val="single" w:sz="0" w:space="0" w:color="000000"/>
                <w:right w:val="single" w:sz="0" w:space="0" w:color="000000"/>
              </w:pBdr>
              <w:shd w:val="clear" w:color="auto" w:fill="000000"/>
              <w:spacing w:line="240" w:lineRule="auto"/>
              <w:ind w:firstLine="0"/>
              <w:rPr>
                <w:sz w:val="24"/>
                <w:szCs w:val="24"/>
              </w:rPr>
            </w:pPr>
            <w:r>
              <w:rPr>
                <w:rFonts w:ascii="Arial" w:eastAsia="Arial" w:hAnsi="Arial" w:cs="Arial"/>
                <w:b/>
                <w:bCs/>
                <w:color w:val="FFFFFF"/>
                <w:w w:val="70"/>
                <w:sz w:val="24"/>
                <w:szCs w:val="24"/>
              </w:rPr>
              <w:t>Infección</w:t>
            </w:r>
          </w:p>
        </w:tc>
        <w:tc>
          <w:tcPr>
            <w:tcW w:w="2827" w:type="dxa"/>
            <w:shd w:val="clear" w:color="auto" w:fill="000000"/>
          </w:tcPr>
          <w:p w14:paraId="3B7C8E51" w14:textId="77777777" w:rsidR="00924992" w:rsidRDefault="00924992">
            <w:pPr>
              <w:pStyle w:val="Other0"/>
              <w:framePr w:w="11434" w:h="1666" w:vSpace="432" w:wrap="notBeside" w:vAnchor="text" w:hAnchor="text" w:y="1"/>
              <w:pBdr>
                <w:top w:val="single" w:sz="0" w:space="0" w:color="000000"/>
                <w:left w:val="single" w:sz="0" w:space="0" w:color="000000"/>
                <w:bottom w:val="single" w:sz="0" w:space="0" w:color="000000"/>
                <w:right w:val="single" w:sz="0" w:space="0" w:color="000000"/>
              </w:pBdr>
              <w:shd w:val="clear" w:color="auto" w:fill="000000"/>
              <w:spacing w:line="240" w:lineRule="auto"/>
              <w:ind w:firstLine="540"/>
              <w:rPr>
                <w:sz w:val="24"/>
                <w:szCs w:val="24"/>
              </w:rPr>
            </w:pPr>
            <w:r>
              <w:rPr>
                <w:rFonts w:ascii="Arial" w:eastAsia="Arial" w:hAnsi="Arial" w:cs="Arial"/>
                <w:b/>
                <w:bCs/>
                <w:color w:val="FFFFFF"/>
                <w:w w:val="70"/>
                <w:sz w:val="24"/>
                <w:szCs w:val="24"/>
              </w:rPr>
              <w:t>Fármaco</w:t>
            </w:r>
          </w:p>
        </w:tc>
        <w:tc>
          <w:tcPr>
            <w:tcW w:w="3014" w:type="dxa"/>
            <w:shd w:val="clear" w:color="auto" w:fill="000000"/>
          </w:tcPr>
          <w:p w14:paraId="346C8D59" w14:textId="77777777" w:rsidR="00924992" w:rsidRDefault="00924992">
            <w:pPr>
              <w:pStyle w:val="Other0"/>
              <w:framePr w:w="11434" w:h="1666" w:vSpace="432" w:wrap="notBeside" w:vAnchor="text" w:hAnchor="text" w:y="1"/>
              <w:pBdr>
                <w:top w:val="single" w:sz="0" w:space="0" w:color="000000"/>
                <w:left w:val="single" w:sz="0" w:space="0" w:color="000000"/>
                <w:bottom w:val="single" w:sz="0" w:space="0" w:color="000000"/>
                <w:right w:val="single" w:sz="0" w:space="0" w:color="000000"/>
              </w:pBdr>
              <w:shd w:val="clear" w:color="auto" w:fill="000000"/>
              <w:spacing w:line="240" w:lineRule="auto"/>
              <w:ind w:firstLine="520"/>
              <w:rPr>
                <w:sz w:val="24"/>
                <w:szCs w:val="24"/>
              </w:rPr>
            </w:pPr>
            <w:r>
              <w:rPr>
                <w:rFonts w:ascii="Arial" w:eastAsia="Arial" w:hAnsi="Arial" w:cs="Arial"/>
                <w:b/>
                <w:bCs/>
                <w:color w:val="FFFFFF"/>
                <w:w w:val="70"/>
                <w:sz w:val="24"/>
                <w:szCs w:val="24"/>
              </w:rPr>
              <w:t>Dosis para adultos</w:t>
            </w:r>
          </w:p>
        </w:tc>
        <w:tc>
          <w:tcPr>
            <w:tcW w:w="3259" w:type="dxa"/>
            <w:shd w:val="clear" w:color="auto" w:fill="000000"/>
          </w:tcPr>
          <w:p w14:paraId="43775398" w14:textId="77777777" w:rsidR="00924992" w:rsidRDefault="00924992">
            <w:pPr>
              <w:pStyle w:val="Other0"/>
              <w:framePr w:w="11434" w:h="1666" w:vSpace="432" w:wrap="notBeside" w:vAnchor="text" w:hAnchor="text" w:y="1"/>
              <w:pBdr>
                <w:top w:val="single" w:sz="0" w:space="0" w:color="000000"/>
                <w:left w:val="single" w:sz="0" w:space="0" w:color="000000"/>
                <w:bottom w:val="single" w:sz="0" w:space="0" w:color="000000"/>
                <w:right w:val="single" w:sz="0" w:space="0" w:color="000000"/>
              </w:pBdr>
              <w:shd w:val="clear" w:color="auto" w:fill="000000"/>
              <w:tabs>
                <w:tab w:val="left" w:pos="3207"/>
              </w:tabs>
              <w:spacing w:line="240" w:lineRule="auto"/>
              <w:ind w:firstLine="380"/>
              <w:rPr>
                <w:sz w:val="24"/>
                <w:szCs w:val="24"/>
              </w:rPr>
            </w:pPr>
            <w:r>
              <w:rPr>
                <w:rFonts w:ascii="Arial" w:eastAsia="Arial" w:hAnsi="Arial" w:cs="Arial"/>
                <w:b/>
                <w:bCs/>
                <w:color w:val="FFFFFF"/>
                <w:w w:val="70"/>
                <w:sz w:val="24"/>
                <w:szCs w:val="24"/>
              </w:rPr>
              <w:t>Dosis para niños</w:t>
            </w:r>
            <w:r>
              <w:rPr>
                <w:rFonts w:ascii="Arial" w:eastAsia="Arial" w:hAnsi="Arial" w:cs="Arial"/>
                <w:b/>
                <w:bCs/>
                <w:color w:val="FFFFFF"/>
                <w:w w:val="70"/>
                <w:sz w:val="24"/>
                <w:szCs w:val="24"/>
              </w:rPr>
              <w:tab/>
              <w:t>I</w:t>
            </w:r>
          </w:p>
        </w:tc>
      </w:tr>
      <w:tr w:rsidR="00924992" w14:paraId="0476C0EF" w14:textId="77777777">
        <w:tblPrEx>
          <w:tblCellMar>
            <w:top w:w="0" w:type="dxa"/>
            <w:bottom w:w="0" w:type="dxa"/>
          </w:tblCellMar>
        </w:tblPrEx>
        <w:trPr>
          <w:trHeight w:hRule="exact" w:val="499"/>
        </w:trPr>
        <w:tc>
          <w:tcPr>
            <w:tcW w:w="5160" w:type="dxa"/>
            <w:gridSpan w:val="2"/>
            <w:shd w:val="clear" w:color="auto" w:fill="FFFFFF"/>
            <w:vAlign w:val="bottom"/>
          </w:tcPr>
          <w:p w14:paraId="3BD87BE9" w14:textId="77777777" w:rsidR="00924992" w:rsidRDefault="00924992">
            <w:pPr>
              <w:pStyle w:val="Other0"/>
              <w:framePr w:w="11434" w:h="1666" w:vSpace="432" w:wrap="notBeside" w:vAnchor="text" w:hAnchor="text" w:y="1"/>
              <w:spacing w:line="240" w:lineRule="auto"/>
              <w:ind w:firstLine="0"/>
              <w:rPr>
                <w:sz w:val="16"/>
                <w:szCs w:val="16"/>
              </w:rPr>
            </w:pPr>
            <w:r>
              <w:rPr>
                <w:rFonts w:ascii="Times New Roman" w:eastAsia="Times New Roman" w:hAnsi="Times New Roman" w:cs="Times New Roman"/>
                <w:b/>
                <w:bCs/>
                <w:color w:val="000000"/>
                <w:sz w:val="16"/>
                <w:szCs w:val="16"/>
              </w:rPr>
              <w:t>TRIPANOSOMIASIS</w:t>
            </w:r>
          </w:p>
          <w:p w14:paraId="7B166F0F" w14:textId="77777777" w:rsidR="00924992" w:rsidRDefault="00924992">
            <w:pPr>
              <w:pStyle w:val="Other0"/>
              <w:framePr w:w="11434" w:h="1666" w:vSpace="432" w:wrap="notBeside" w:vAnchor="text" w:hAnchor="text" w:y="1"/>
              <w:spacing w:line="240" w:lineRule="auto"/>
              <w:ind w:firstLine="160"/>
              <w:rPr>
                <w:sz w:val="16"/>
                <w:szCs w:val="16"/>
              </w:rPr>
            </w:pPr>
            <w:r>
              <w:rPr>
                <w:rFonts w:ascii="Times New Roman" w:eastAsia="Times New Roman" w:hAnsi="Times New Roman" w:cs="Times New Roman"/>
                <w:b/>
                <w:bCs/>
                <w:i/>
                <w:iCs/>
                <w:color w:val="000000"/>
                <w:sz w:val="17"/>
                <w:szCs w:val="17"/>
              </w:rPr>
              <w:t>T. cruzi</w:t>
            </w:r>
            <w:r>
              <w:rPr>
                <w:rFonts w:ascii="Times New Roman" w:eastAsia="Times New Roman" w:hAnsi="Times New Roman" w:cs="Times New Roman"/>
                <w:b/>
                <w:bCs/>
                <w:color w:val="000000"/>
                <w:sz w:val="16"/>
                <w:szCs w:val="16"/>
              </w:rPr>
              <w:t xml:space="preserve"> (tripanosomiasis americana, enfermedad de Chagas)</w:t>
            </w:r>
          </w:p>
        </w:tc>
        <w:tc>
          <w:tcPr>
            <w:tcW w:w="3014" w:type="dxa"/>
            <w:shd w:val="clear" w:color="auto" w:fill="FFFFFF"/>
          </w:tcPr>
          <w:p w14:paraId="26AF955A" w14:textId="77777777" w:rsidR="00924992" w:rsidRDefault="00924992">
            <w:pPr>
              <w:framePr w:w="11434" w:h="1666" w:vSpace="432" w:wrap="notBeside" w:vAnchor="text" w:hAnchor="text" w:y="1"/>
              <w:rPr>
                <w:sz w:val="10"/>
                <w:szCs w:val="10"/>
              </w:rPr>
            </w:pPr>
          </w:p>
        </w:tc>
        <w:tc>
          <w:tcPr>
            <w:tcW w:w="3259" w:type="dxa"/>
            <w:shd w:val="clear" w:color="auto" w:fill="FFFFFF"/>
          </w:tcPr>
          <w:p w14:paraId="39015DC2" w14:textId="77777777" w:rsidR="00924992" w:rsidRDefault="00924992">
            <w:pPr>
              <w:framePr w:w="11434" w:h="1666" w:vSpace="432" w:wrap="notBeside" w:vAnchor="text" w:hAnchor="text" w:y="1"/>
              <w:rPr>
                <w:sz w:val="10"/>
                <w:szCs w:val="10"/>
              </w:rPr>
            </w:pPr>
          </w:p>
        </w:tc>
      </w:tr>
      <w:tr w:rsidR="00924992" w14:paraId="5061CF7E" w14:textId="77777777">
        <w:tblPrEx>
          <w:tblCellMar>
            <w:top w:w="0" w:type="dxa"/>
            <w:bottom w:w="0" w:type="dxa"/>
          </w:tblCellMar>
        </w:tblPrEx>
        <w:trPr>
          <w:trHeight w:hRule="exact" w:val="422"/>
        </w:trPr>
        <w:tc>
          <w:tcPr>
            <w:tcW w:w="2333" w:type="dxa"/>
            <w:shd w:val="clear" w:color="auto" w:fill="FFFFFF"/>
          </w:tcPr>
          <w:p w14:paraId="5AD4420D" w14:textId="77777777" w:rsidR="00924992" w:rsidRDefault="00924992">
            <w:pPr>
              <w:pStyle w:val="Other0"/>
              <w:framePr w:w="11434" w:h="1666" w:vSpace="432" w:wrap="notBeside" w:vAnchor="text" w:hAnchor="text" w:y="1"/>
              <w:spacing w:line="240" w:lineRule="auto"/>
              <w:ind w:firstLine="160"/>
              <w:rPr>
                <w:sz w:val="16"/>
                <w:szCs w:val="16"/>
              </w:rPr>
            </w:pPr>
            <w:r>
              <w:rPr>
                <w:rFonts w:ascii="Times New Roman" w:eastAsia="Times New Roman" w:hAnsi="Times New Roman" w:cs="Times New Roman"/>
                <w:color w:val="000000"/>
                <w:sz w:val="16"/>
                <w:szCs w:val="16"/>
              </w:rPr>
              <w:t>Fármaco más indicado:</w:t>
            </w:r>
          </w:p>
        </w:tc>
        <w:tc>
          <w:tcPr>
            <w:tcW w:w="2827" w:type="dxa"/>
            <w:shd w:val="clear" w:color="auto" w:fill="FFFFFF"/>
          </w:tcPr>
          <w:p w14:paraId="1BF6D387" w14:textId="77777777" w:rsidR="00924992" w:rsidRDefault="00924992">
            <w:pPr>
              <w:pStyle w:val="Other0"/>
              <w:framePr w:w="11434" w:h="1666" w:vSpace="432" w:wrap="notBeside" w:vAnchor="text" w:hAnchor="text" w:y="1"/>
              <w:spacing w:line="240" w:lineRule="auto"/>
              <w:ind w:firstLine="540"/>
              <w:rPr>
                <w:sz w:val="16"/>
                <w:szCs w:val="16"/>
              </w:rPr>
            </w:pPr>
            <w:r>
              <w:rPr>
                <w:rFonts w:ascii="Times New Roman" w:eastAsia="Times New Roman" w:hAnsi="Times New Roman" w:cs="Times New Roman"/>
                <w:color w:val="000000"/>
                <w:sz w:val="16"/>
                <w:szCs w:val="16"/>
              </w:rPr>
              <w:t>Benznidazol*</w:t>
            </w:r>
          </w:p>
        </w:tc>
        <w:tc>
          <w:tcPr>
            <w:tcW w:w="3014" w:type="dxa"/>
            <w:shd w:val="clear" w:color="auto" w:fill="FFFFFF"/>
          </w:tcPr>
          <w:p w14:paraId="671D9D9C" w14:textId="77777777" w:rsidR="00924992" w:rsidRDefault="00924992">
            <w:pPr>
              <w:pStyle w:val="Other0"/>
              <w:framePr w:w="11434" w:h="1666" w:vSpace="432" w:wrap="notBeside" w:vAnchor="text" w:hAnchor="text" w:y="1"/>
              <w:spacing w:line="262" w:lineRule="auto"/>
              <w:ind w:left="620" w:hanging="100"/>
              <w:rPr>
                <w:sz w:val="16"/>
                <w:szCs w:val="16"/>
              </w:rPr>
            </w:pPr>
            <w:r>
              <w:rPr>
                <w:rFonts w:ascii="Times New Roman" w:eastAsia="Times New Roman" w:hAnsi="Times New Roman" w:cs="Times New Roman"/>
                <w:color w:val="000000"/>
                <w:sz w:val="16"/>
                <w:szCs w:val="16"/>
              </w:rPr>
              <w:t xml:space="preserve">5-7 mg/kg/día en 2 fracciones </w:t>
            </w:r>
            <w:r>
              <w:rPr>
                <w:color w:val="000000"/>
              </w:rPr>
              <w:t xml:space="preserve">x </w:t>
            </w:r>
            <w:r>
              <w:rPr>
                <w:rFonts w:ascii="Times New Roman" w:eastAsia="Times New Roman" w:hAnsi="Times New Roman" w:cs="Times New Roman"/>
                <w:color w:val="000000"/>
                <w:sz w:val="16"/>
                <w:szCs w:val="16"/>
              </w:rPr>
              <w:t>30-90 días</w:t>
            </w:r>
          </w:p>
        </w:tc>
        <w:tc>
          <w:tcPr>
            <w:tcW w:w="3259" w:type="dxa"/>
            <w:shd w:val="clear" w:color="auto" w:fill="FFFFFF"/>
          </w:tcPr>
          <w:p w14:paraId="76345305" w14:textId="77777777" w:rsidR="00924992" w:rsidRDefault="00924992">
            <w:pPr>
              <w:pStyle w:val="Other0"/>
              <w:framePr w:w="11434" w:h="1666" w:vSpace="432" w:wrap="notBeside" w:vAnchor="text" w:hAnchor="text" w:y="1"/>
              <w:spacing w:line="283" w:lineRule="auto"/>
              <w:ind w:left="480" w:hanging="100"/>
              <w:rPr>
                <w:sz w:val="16"/>
                <w:szCs w:val="16"/>
              </w:rPr>
            </w:pPr>
            <w:r>
              <w:rPr>
                <w:rFonts w:ascii="Times New Roman" w:eastAsia="Times New Roman" w:hAnsi="Times New Roman" w:cs="Times New Roman"/>
                <w:color w:val="000000"/>
                <w:sz w:val="16"/>
                <w:szCs w:val="16"/>
              </w:rPr>
              <w:t xml:space="preserve">Hasta 12 años: 10 mg/kg/día en 2 dosis </w:t>
            </w:r>
            <w:r>
              <w:rPr>
                <w:color w:val="000000"/>
              </w:rPr>
              <w:t xml:space="preserve">x </w:t>
            </w:r>
            <w:r>
              <w:rPr>
                <w:rFonts w:ascii="Times New Roman" w:eastAsia="Times New Roman" w:hAnsi="Times New Roman" w:cs="Times New Roman"/>
                <w:color w:val="000000"/>
                <w:sz w:val="16"/>
                <w:szCs w:val="16"/>
              </w:rPr>
              <w:t>30-90 días</w:t>
            </w:r>
          </w:p>
        </w:tc>
      </w:tr>
      <w:tr w:rsidR="00924992" w14:paraId="53300C35" w14:textId="77777777">
        <w:tblPrEx>
          <w:tblCellMar>
            <w:top w:w="0" w:type="dxa"/>
            <w:bottom w:w="0" w:type="dxa"/>
          </w:tblCellMar>
        </w:tblPrEx>
        <w:trPr>
          <w:trHeight w:hRule="exact" w:val="466"/>
        </w:trPr>
        <w:tc>
          <w:tcPr>
            <w:tcW w:w="2333" w:type="dxa"/>
            <w:shd w:val="clear" w:color="auto" w:fill="FFFFFF"/>
          </w:tcPr>
          <w:p w14:paraId="5361E52C" w14:textId="77777777" w:rsidR="00924992" w:rsidRDefault="00924992">
            <w:pPr>
              <w:pStyle w:val="Other0"/>
              <w:framePr w:w="11434" w:h="1666" w:vSpace="432" w:wrap="notBeside" w:vAnchor="text" w:hAnchor="text" w:y="1"/>
              <w:spacing w:line="240" w:lineRule="auto"/>
              <w:ind w:firstLine="160"/>
              <w:rPr>
                <w:sz w:val="16"/>
                <w:szCs w:val="16"/>
              </w:rPr>
            </w:pPr>
            <w:r>
              <w:rPr>
                <w:rFonts w:ascii="Times New Roman" w:eastAsia="Times New Roman" w:hAnsi="Times New Roman" w:cs="Times New Roman"/>
                <w:b/>
                <w:bCs/>
                <w:color w:val="000000"/>
                <w:sz w:val="16"/>
                <w:szCs w:val="16"/>
              </w:rPr>
              <w:t>O</w:t>
            </w:r>
          </w:p>
        </w:tc>
        <w:tc>
          <w:tcPr>
            <w:tcW w:w="2827" w:type="dxa"/>
            <w:shd w:val="clear" w:color="auto" w:fill="FFFFFF"/>
          </w:tcPr>
          <w:p w14:paraId="6DA19F00" w14:textId="77777777" w:rsidR="00924992" w:rsidRDefault="00924992">
            <w:pPr>
              <w:pStyle w:val="Other0"/>
              <w:framePr w:w="11434" w:h="1666" w:vSpace="432" w:wrap="notBeside" w:vAnchor="text" w:hAnchor="text" w:y="1"/>
              <w:spacing w:line="240" w:lineRule="auto"/>
              <w:ind w:firstLine="540"/>
              <w:rPr>
                <w:sz w:val="16"/>
                <w:szCs w:val="16"/>
              </w:rPr>
            </w:pPr>
            <w:r>
              <w:rPr>
                <w:rFonts w:ascii="Times New Roman" w:eastAsia="Times New Roman" w:hAnsi="Times New Roman" w:cs="Times New Roman"/>
                <w:color w:val="000000"/>
                <w:sz w:val="16"/>
                <w:szCs w:val="16"/>
              </w:rPr>
              <w:t>Nifurtimox</w:t>
            </w:r>
            <w:r>
              <w:rPr>
                <w:rFonts w:ascii="Times New Roman" w:eastAsia="Times New Roman" w:hAnsi="Times New Roman" w:cs="Times New Roman"/>
                <w:color w:val="000000"/>
                <w:sz w:val="16"/>
                <w:szCs w:val="16"/>
                <w:vertAlign w:val="superscript"/>
              </w:rPr>
              <w:footnoteReference w:id="48"/>
            </w:r>
            <w:r>
              <w:rPr>
                <w:rFonts w:ascii="Times New Roman" w:eastAsia="Times New Roman" w:hAnsi="Times New Roman" w:cs="Times New Roman"/>
                <w:color w:val="000000"/>
                <w:sz w:val="16"/>
                <w:szCs w:val="16"/>
              </w:rPr>
              <w:t>*</w:t>
            </w:r>
          </w:p>
        </w:tc>
        <w:tc>
          <w:tcPr>
            <w:tcW w:w="3014" w:type="dxa"/>
            <w:shd w:val="clear" w:color="auto" w:fill="FFFFFF"/>
          </w:tcPr>
          <w:p w14:paraId="6C5DB0EB" w14:textId="77777777" w:rsidR="00924992" w:rsidRDefault="00924992">
            <w:pPr>
              <w:pStyle w:val="Other0"/>
              <w:framePr w:w="11434" w:h="1666" w:vSpace="432" w:wrap="notBeside" w:vAnchor="text" w:hAnchor="text" w:y="1"/>
              <w:spacing w:line="240" w:lineRule="auto"/>
              <w:ind w:left="620" w:hanging="100"/>
            </w:pPr>
            <w:r>
              <w:rPr>
                <w:rFonts w:ascii="Times New Roman" w:eastAsia="Times New Roman" w:hAnsi="Times New Roman" w:cs="Times New Roman"/>
                <w:color w:val="000000"/>
                <w:sz w:val="16"/>
                <w:szCs w:val="16"/>
              </w:rPr>
              <w:t xml:space="preserve">8-10 mg/kg/día en 3-4 dosis </w:t>
            </w:r>
            <w:r>
              <w:rPr>
                <w:color w:val="000000"/>
              </w:rPr>
              <w:t>x</w:t>
            </w:r>
          </w:p>
          <w:p w14:paraId="61591331" w14:textId="77777777" w:rsidR="00924992" w:rsidRDefault="00924992">
            <w:pPr>
              <w:pStyle w:val="Other0"/>
              <w:framePr w:w="11434" w:h="1666" w:vSpace="432" w:wrap="notBeside" w:vAnchor="text" w:hAnchor="text" w:y="1"/>
              <w:spacing w:line="240" w:lineRule="auto"/>
              <w:ind w:firstLine="620"/>
              <w:jc w:val="both"/>
              <w:rPr>
                <w:sz w:val="16"/>
                <w:szCs w:val="16"/>
              </w:rPr>
            </w:pPr>
            <w:r>
              <w:rPr>
                <w:rFonts w:ascii="Times New Roman" w:eastAsia="Times New Roman" w:hAnsi="Times New Roman" w:cs="Times New Roman"/>
                <w:color w:val="000000"/>
                <w:sz w:val="16"/>
                <w:szCs w:val="16"/>
              </w:rPr>
              <w:t>90-120 días</w:t>
            </w:r>
          </w:p>
        </w:tc>
        <w:tc>
          <w:tcPr>
            <w:tcW w:w="3259" w:type="dxa"/>
            <w:shd w:val="clear" w:color="auto" w:fill="FFFFFF"/>
          </w:tcPr>
          <w:p w14:paraId="31422754" w14:textId="77777777" w:rsidR="00924992" w:rsidRDefault="00924992">
            <w:pPr>
              <w:pStyle w:val="Other0"/>
              <w:framePr w:w="11434" w:h="1666" w:vSpace="432" w:wrap="notBeside" w:vAnchor="text" w:hAnchor="text" w:y="1"/>
              <w:spacing w:line="240" w:lineRule="auto"/>
              <w:ind w:firstLine="380"/>
              <w:rPr>
                <w:sz w:val="16"/>
                <w:szCs w:val="16"/>
              </w:rPr>
            </w:pPr>
            <w:r>
              <w:rPr>
                <w:rFonts w:ascii="Times New Roman" w:eastAsia="Times New Roman" w:hAnsi="Times New Roman" w:cs="Times New Roman"/>
                <w:color w:val="000000"/>
                <w:sz w:val="16"/>
                <w:szCs w:val="16"/>
              </w:rPr>
              <w:t>1-10 años:</w:t>
            </w:r>
          </w:p>
          <w:p w14:paraId="51EB83E7" w14:textId="77777777" w:rsidR="00924992" w:rsidRDefault="00924992">
            <w:pPr>
              <w:pStyle w:val="Other0"/>
              <w:framePr w:w="11434" w:h="1666" w:vSpace="432" w:wrap="notBeside" w:vAnchor="text" w:hAnchor="text" w:y="1"/>
              <w:spacing w:line="240" w:lineRule="auto"/>
              <w:ind w:firstLine="480"/>
              <w:rPr>
                <w:sz w:val="16"/>
                <w:szCs w:val="16"/>
              </w:rPr>
            </w:pPr>
            <w:r>
              <w:rPr>
                <w:rFonts w:ascii="Times New Roman" w:eastAsia="Times New Roman" w:hAnsi="Times New Roman" w:cs="Times New Roman"/>
                <w:color w:val="000000"/>
                <w:sz w:val="16"/>
                <w:szCs w:val="16"/>
              </w:rPr>
              <w:t xml:space="preserve">15-20 mg/kg/día en 4 dosis </w:t>
            </w:r>
            <w:r>
              <w:rPr>
                <w:color w:val="000000"/>
              </w:rPr>
              <w:t xml:space="preserve">x </w:t>
            </w:r>
            <w:r>
              <w:rPr>
                <w:rFonts w:ascii="Times New Roman" w:eastAsia="Times New Roman" w:hAnsi="Times New Roman" w:cs="Times New Roman"/>
                <w:color w:val="000000"/>
                <w:sz w:val="16"/>
                <w:szCs w:val="16"/>
              </w:rPr>
              <w:t>90 días</w:t>
            </w:r>
          </w:p>
        </w:tc>
      </w:tr>
    </w:tbl>
    <w:p w14:paraId="75513E8B" w14:textId="77777777" w:rsidR="00924992" w:rsidRDefault="00924992">
      <w:pPr>
        <w:pStyle w:val="Tablecaption0"/>
        <w:framePr w:w="2808" w:h="446" w:hSpace="8626" w:wrap="notBeside" w:vAnchor="text" w:hAnchor="text" w:x="8545" w:y="1652"/>
        <w:spacing w:line="240" w:lineRule="auto"/>
        <w:ind w:left="0"/>
        <w:jc w:val="both"/>
        <w:rPr>
          <w:sz w:val="16"/>
          <w:szCs w:val="16"/>
        </w:rPr>
      </w:pPr>
      <w:r>
        <w:rPr>
          <w:color w:val="000000"/>
          <w:sz w:val="16"/>
          <w:szCs w:val="16"/>
        </w:rPr>
        <w:t>11-16 años:</w:t>
      </w:r>
    </w:p>
    <w:p w14:paraId="48D94CE9" w14:textId="77777777" w:rsidR="00924992" w:rsidRDefault="00924992">
      <w:pPr>
        <w:pStyle w:val="Tablecaption0"/>
        <w:framePr w:w="2808" w:h="446" w:hSpace="8626" w:wrap="notBeside" w:vAnchor="text" w:hAnchor="text" w:x="8545" w:y="1652"/>
        <w:spacing w:line="240" w:lineRule="auto"/>
        <w:ind w:left="0"/>
        <w:rPr>
          <w:sz w:val="16"/>
          <w:szCs w:val="16"/>
        </w:rPr>
      </w:pPr>
      <w:r>
        <w:rPr>
          <w:color w:val="000000"/>
          <w:sz w:val="16"/>
          <w:szCs w:val="16"/>
        </w:rPr>
        <w:t xml:space="preserve">12.5-15 mg/kg/día en 4 dosis </w:t>
      </w:r>
      <w:r>
        <w:rPr>
          <w:rFonts w:ascii="Garamond" w:eastAsia="Garamond" w:hAnsi="Garamond" w:cs="Garamond"/>
          <w:color w:val="000000"/>
          <w:sz w:val="19"/>
          <w:szCs w:val="19"/>
        </w:rPr>
        <w:t xml:space="preserve">x </w:t>
      </w:r>
      <w:r>
        <w:rPr>
          <w:color w:val="000000"/>
          <w:sz w:val="16"/>
          <w:szCs w:val="16"/>
        </w:rPr>
        <w:t>90 días</w:t>
      </w:r>
    </w:p>
    <w:p w14:paraId="53686E92" w14:textId="77777777" w:rsidR="00924992" w:rsidRDefault="00924992">
      <w:pPr>
        <w:spacing w:line="1" w:lineRule="exact"/>
        <w:sectPr w:rsidR="00924992" w:rsidSect="00924992">
          <w:pgSz w:w="13022" w:h="8501" w:orient="landscape"/>
          <w:pgMar w:top="1099" w:right="956" w:bottom="438" w:left="634" w:header="0" w:footer="3" w:gutter="0"/>
          <w:cols w:space="720"/>
          <w:noEndnote/>
          <w:docGrid w:linePitch="360"/>
          <w15:footnoteColumns w:val="1"/>
        </w:sectPr>
      </w:pPr>
    </w:p>
    <w:p w14:paraId="6866AE67" w14:textId="77777777" w:rsidR="00924992" w:rsidRDefault="00924992">
      <w:pPr>
        <w:pStyle w:val="Heading31"/>
        <w:keepNext/>
        <w:keepLines/>
        <w:framePr w:w="4618" w:h="317" w:wrap="none" w:hAnchor="page" w:x="4038" w:y="1"/>
        <w:rPr>
          <w:sz w:val="16"/>
          <w:szCs w:val="16"/>
        </w:rPr>
      </w:pPr>
      <w:bookmarkStart w:id="644" w:name="bookmark2073"/>
      <w:bookmarkStart w:id="645" w:name="bookmark2074"/>
      <w:bookmarkStart w:id="646" w:name="bookmark2075"/>
      <w:r>
        <w:rPr>
          <w:b w:val="0"/>
          <w:bCs w:val="0"/>
          <w:color w:val="000000"/>
        </w:rPr>
        <w:t xml:space="preserve">Cuadro 4-13. </w:t>
      </w:r>
      <w:r>
        <w:rPr>
          <w:color w:val="000000"/>
        </w:rPr>
        <w:t xml:space="preserve">Fármacos antiparasitarios </w:t>
      </w:r>
      <w:r>
        <w:rPr>
          <w:rFonts w:ascii="Times New Roman" w:eastAsia="Times New Roman" w:hAnsi="Times New Roman" w:cs="Times New Roman"/>
          <w:b w:val="0"/>
          <w:bCs w:val="0"/>
          <w:i/>
          <w:iCs/>
          <w:color w:val="000000"/>
          <w:w w:val="100"/>
          <w:sz w:val="16"/>
          <w:szCs w:val="16"/>
        </w:rPr>
        <w:t>continuación</w:t>
      </w:r>
      <w:bookmarkEnd w:id="644"/>
      <w:bookmarkEnd w:id="645"/>
      <w:bookmarkEnd w:id="646"/>
    </w:p>
    <w:tbl>
      <w:tblPr>
        <w:tblOverlap w:val="never"/>
        <w:tblW w:w="0" w:type="auto"/>
        <w:tblLayout w:type="fixed"/>
        <w:tblCellMar>
          <w:left w:w="10" w:type="dxa"/>
          <w:right w:w="10" w:type="dxa"/>
        </w:tblCellMar>
        <w:tblLook w:val="04A0" w:firstRow="1" w:lastRow="0" w:firstColumn="1" w:lastColumn="0" w:noHBand="0" w:noVBand="1"/>
      </w:tblPr>
      <w:tblGrid>
        <w:gridCol w:w="2755"/>
        <w:gridCol w:w="1651"/>
        <w:gridCol w:w="1018"/>
        <w:gridCol w:w="3014"/>
        <w:gridCol w:w="2995"/>
      </w:tblGrid>
      <w:tr w:rsidR="00924992" w14:paraId="73125164" w14:textId="77777777">
        <w:tblPrEx>
          <w:tblCellMar>
            <w:top w:w="0" w:type="dxa"/>
            <w:bottom w:w="0" w:type="dxa"/>
          </w:tblCellMar>
        </w:tblPrEx>
        <w:trPr>
          <w:trHeight w:hRule="exact" w:val="274"/>
        </w:trPr>
        <w:tc>
          <w:tcPr>
            <w:tcW w:w="2755" w:type="dxa"/>
            <w:shd w:val="clear" w:color="auto" w:fill="000000"/>
            <w:vAlign w:val="bottom"/>
          </w:tcPr>
          <w:p w14:paraId="463D9DAE" w14:textId="77777777" w:rsidR="00924992" w:rsidRDefault="00924992">
            <w:pPr>
              <w:pStyle w:val="Other0"/>
              <w:framePr w:w="11434" w:h="3533" w:vSpace="221" w:wrap="none" w:hAnchor="page" w:x="635" w:y="371"/>
              <w:pBdr>
                <w:top w:val="single" w:sz="0" w:space="0" w:color="000000"/>
                <w:left w:val="single" w:sz="0" w:space="0" w:color="000000"/>
                <w:bottom w:val="single" w:sz="0" w:space="0" w:color="000000"/>
                <w:right w:val="single" w:sz="0" w:space="0" w:color="000000"/>
              </w:pBdr>
              <w:shd w:val="clear" w:color="auto" w:fill="000000"/>
              <w:spacing w:line="240" w:lineRule="auto"/>
              <w:ind w:firstLine="0"/>
              <w:rPr>
                <w:sz w:val="24"/>
                <w:szCs w:val="24"/>
              </w:rPr>
            </w:pPr>
            <w:r>
              <w:rPr>
                <w:rFonts w:ascii="Arial" w:eastAsia="Arial" w:hAnsi="Arial" w:cs="Arial"/>
                <w:b/>
                <w:bCs/>
                <w:color w:val="FFFFFF"/>
                <w:w w:val="70"/>
                <w:sz w:val="24"/>
                <w:szCs w:val="24"/>
              </w:rPr>
              <w:t>Infección</w:t>
            </w:r>
          </w:p>
        </w:tc>
        <w:tc>
          <w:tcPr>
            <w:tcW w:w="2669" w:type="dxa"/>
            <w:gridSpan w:val="2"/>
            <w:shd w:val="clear" w:color="auto" w:fill="000000"/>
            <w:vAlign w:val="bottom"/>
          </w:tcPr>
          <w:p w14:paraId="44D6E424" w14:textId="77777777" w:rsidR="00924992" w:rsidRDefault="00924992">
            <w:pPr>
              <w:pStyle w:val="Other0"/>
              <w:framePr w:w="11434" w:h="3533" w:vSpace="221" w:wrap="none" w:hAnchor="page" w:x="635" w:y="371"/>
              <w:pBdr>
                <w:top w:val="single" w:sz="0" w:space="0" w:color="000000"/>
                <w:left w:val="single" w:sz="0" w:space="0" w:color="000000"/>
                <w:bottom w:val="single" w:sz="0" w:space="0" w:color="000000"/>
                <w:right w:val="single" w:sz="0" w:space="0" w:color="000000"/>
              </w:pBdr>
              <w:shd w:val="clear" w:color="auto" w:fill="000000"/>
              <w:spacing w:line="240" w:lineRule="auto"/>
              <w:ind w:firstLine="0"/>
              <w:rPr>
                <w:sz w:val="24"/>
                <w:szCs w:val="24"/>
              </w:rPr>
            </w:pPr>
            <w:r>
              <w:rPr>
                <w:rFonts w:ascii="Arial" w:eastAsia="Arial" w:hAnsi="Arial" w:cs="Arial"/>
                <w:b/>
                <w:bCs/>
                <w:color w:val="FFFFFF"/>
                <w:w w:val="70"/>
                <w:sz w:val="24"/>
                <w:szCs w:val="24"/>
              </w:rPr>
              <w:t>Fármaco</w:t>
            </w:r>
          </w:p>
        </w:tc>
        <w:tc>
          <w:tcPr>
            <w:tcW w:w="3014" w:type="dxa"/>
            <w:shd w:val="clear" w:color="auto" w:fill="000000"/>
            <w:vAlign w:val="bottom"/>
          </w:tcPr>
          <w:p w14:paraId="02FB214F" w14:textId="77777777" w:rsidR="00924992" w:rsidRDefault="00924992">
            <w:pPr>
              <w:pStyle w:val="Other0"/>
              <w:framePr w:w="11434" w:h="3533" w:vSpace="221" w:wrap="none" w:hAnchor="page" w:x="635" w:y="371"/>
              <w:pBdr>
                <w:top w:val="single" w:sz="0" w:space="0" w:color="000000"/>
                <w:left w:val="single" w:sz="0" w:space="0" w:color="000000"/>
                <w:bottom w:val="single" w:sz="0" w:space="0" w:color="000000"/>
                <w:right w:val="single" w:sz="0" w:space="0" w:color="000000"/>
              </w:pBdr>
              <w:shd w:val="clear" w:color="auto" w:fill="000000"/>
              <w:spacing w:line="240" w:lineRule="auto"/>
              <w:ind w:firstLine="240"/>
              <w:rPr>
                <w:sz w:val="24"/>
                <w:szCs w:val="24"/>
              </w:rPr>
            </w:pPr>
            <w:r>
              <w:rPr>
                <w:rFonts w:ascii="Arial" w:eastAsia="Arial" w:hAnsi="Arial" w:cs="Arial"/>
                <w:b/>
                <w:bCs/>
                <w:color w:val="FFFFFF"/>
                <w:w w:val="70"/>
                <w:sz w:val="24"/>
                <w:szCs w:val="24"/>
              </w:rPr>
              <w:t>Dosis para adultos</w:t>
            </w:r>
          </w:p>
        </w:tc>
        <w:tc>
          <w:tcPr>
            <w:tcW w:w="2995" w:type="dxa"/>
            <w:shd w:val="clear" w:color="auto" w:fill="000000"/>
            <w:vAlign w:val="bottom"/>
          </w:tcPr>
          <w:p w14:paraId="77397A36" w14:textId="77777777" w:rsidR="00924992" w:rsidRDefault="00924992">
            <w:pPr>
              <w:pStyle w:val="Other0"/>
              <w:framePr w:w="11434" w:h="3533" w:vSpace="221" w:wrap="none" w:hAnchor="page" w:x="635" w:y="371"/>
              <w:pBdr>
                <w:top w:val="single" w:sz="0" w:space="0" w:color="000000"/>
                <w:left w:val="single" w:sz="0" w:space="0" w:color="000000"/>
                <w:bottom w:val="single" w:sz="0" w:space="0" w:color="000000"/>
                <w:right w:val="single" w:sz="0" w:space="0" w:color="000000"/>
              </w:pBdr>
              <w:shd w:val="clear" w:color="auto" w:fill="000000"/>
              <w:spacing w:line="240" w:lineRule="auto"/>
              <w:ind w:firstLine="0"/>
              <w:rPr>
                <w:sz w:val="24"/>
                <w:szCs w:val="24"/>
              </w:rPr>
            </w:pPr>
            <w:r>
              <w:rPr>
                <w:rFonts w:ascii="Arial" w:eastAsia="Arial" w:hAnsi="Arial" w:cs="Arial"/>
                <w:b/>
                <w:bCs/>
                <w:color w:val="FFFFFF"/>
                <w:w w:val="70"/>
                <w:sz w:val="24"/>
                <w:szCs w:val="24"/>
              </w:rPr>
              <w:t>Dosis para niños</w:t>
            </w:r>
          </w:p>
        </w:tc>
      </w:tr>
      <w:tr w:rsidR="00924992" w14:paraId="40288724" w14:textId="77777777">
        <w:tblPrEx>
          <w:tblCellMar>
            <w:top w:w="0" w:type="dxa"/>
            <w:bottom w:w="0" w:type="dxa"/>
          </w:tblCellMar>
        </w:tblPrEx>
        <w:trPr>
          <w:trHeight w:hRule="exact" w:val="278"/>
        </w:trPr>
        <w:tc>
          <w:tcPr>
            <w:tcW w:w="4406" w:type="dxa"/>
            <w:gridSpan w:val="2"/>
            <w:shd w:val="clear" w:color="auto" w:fill="FFFFFF"/>
            <w:vAlign w:val="bottom"/>
          </w:tcPr>
          <w:p w14:paraId="20C97020" w14:textId="77777777" w:rsidR="00924992" w:rsidRDefault="00924992">
            <w:pPr>
              <w:pStyle w:val="Other0"/>
              <w:framePr w:w="11434" w:h="3533" w:vSpace="221" w:wrap="none" w:hAnchor="page" w:x="635" w:y="371"/>
              <w:spacing w:line="240" w:lineRule="auto"/>
              <w:ind w:firstLine="0"/>
              <w:rPr>
                <w:sz w:val="17"/>
                <w:szCs w:val="17"/>
              </w:rPr>
            </w:pPr>
            <w:r>
              <w:rPr>
                <w:rFonts w:ascii="Times New Roman" w:eastAsia="Times New Roman" w:hAnsi="Times New Roman" w:cs="Times New Roman"/>
                <w:b/>
                <w:bCs/>
                <w:color w:val="000000"/>
                <w:sz w:val="16"/>
                <w:szCs w:val="16"/>
              </w:rPr>
              <w:t xml:space="preserve">enfermedad tardía con ataque del SNC </w:t>
            </w:r>
            <w:r>
              <w:rPr>
                <w:rFonts w:ascii="Times New Roman" w:eastAsia="Times New Roman" w:hAnsi="Times New Roman" w:cs="Times New Roman"/>
                <w:b/>
                <w:bCs/>
                <w:i/>
                <w:iCs/>
                <w:color w:val="000000"/>
                <w:sz w:val="17"/>
                <w:szCs w:val="17"/>
              </w:rPr>
              <w:t>(T. b. gambiense o</w:t>
            </w:r>
          </w:p>
        </w:tc>
        <w:tc>
          <w:tcPr>
            <w:tcW w:w="4032" w:type="dxa"/>
            <w:gridSpan w:val="2"/>
            <w:shd w:val="clear" w:color="auto" w:fill="FFFFFF"/>
            <w:vAlign w:val="bottom"/>
          </w:tcPr>
          <w:p w14:paraId="6ADF4CC5" w14:textId="77777777" w:rsidR="00924992" w:rsidRDefault="00924992">
            <w:pPr>
              <w:pStyle w:val="Other0"/>
              <w:framePr w:w="11434" w:h="3533" w:vSpace="221" w:wrap="none" w:hAnchor="page" w:x="635" w:y="371"/>
              <w:spacing w:line="240" w:lineRule="auto"/>
              <w:ind w:firstLine="0"/>
              <w:rPr>
                <w:sz w:val="17"/>
                <w:szCs w:val="17"/>
              </w:rPr>
            </w:pPr>
            <w:r>
              <w:rPr>
                <w:rFonts w:ascii="Times New Roman" w:eastAsia="Times New Roman" w:hAnsi="Times New Roman" w:cs="Times New Roman"/>
                <w:b/>
                <w:bCs/>
                <w:i/>
                <w:iCs/>
                <w:color w:val="000000"/>
                <w:sz w:val="17"/>
                <w:szCs w:val="17"/>
              </w:rPr>
              <w:t>T b. rhodesiense)</w:t>
            </w:r>
          </w:p>
        </w:tc>
        <w:tc>
          <w:tcPr>
            <w:tcW w:w="2995" w:type="dxa"/>
            <w:shd w:val="clear" w:color="auto" w:fill="FFFFFF"/>
          </w:tcPr>
          <w:p w14:paraId="139116E8" w14:textId="77777777" w:rsidR="00924992" w:rsidRDefault="00924992">
            <w:pPr>
              <w:framePr w:w="11434" w:h="3533" w:vSpace="221" w:wrap="none" w:hAnchor="page" w:x="635" w:y="371"/>
              <w:rPr>
                <w:sz w:val="10"/>
                <w:szCs w:val="10"/>
              </w:rPr>
            </w:pPr>
          </w:p>
        </w:tc>
      </w:tr>
      <w:tr w:rsidR="00924992" w14:paraId="23589C3B" w14:textId="77777777">
        <w:tblPrEx>
          <w:tblCellMar>
            <w:top w:w="0" w:type="dxa"/>
            <w:bottom w:w="0" w:type="dxa"/>
          </w:tblCellMar>
        </w:tblPrEx>
        <w:trPr>
          <w:trHeight w:hRule="exact" w:val="211"/>
        </w:trPr>
        <w:tc>
          <w:tcPr>
            <w:tcW w:w="2755" w:type="dxa"/>
            <w:shd w:val="clear" w:color="auto" w:fill="FFFFFF"/>
            <w:vAlign w:val="bottom"/>
          </w:tcPr>
          <w:p w14:paraId="6DD54724" w14:textId="77777777" w:rsidR="00924992" w:rsidRDefault="00924992">
            <w:pPr>
              <w:pStyle w:val="Other0"/>
              <w:framePr w:w="11434" w:h="3533" w:vSpace="221" w:wrap="none" w:hAnchor="page" w:x="635" w:y="371"/>
              <w:spacing w:line="240" w:lineRule="auto"/>
              <w:ind w:firstLine="160"/>
              <w:rPr>
                <w:sz w:val="16"/>
                <w:szCs w:val="16"/>
              </w:rPr>
            </w:pPr>
            <w:r>
              <w:rPr>
                <w:rFonts w:ascii="Times New Roman" w:eastAsia="Times New Roman" w:hAnsi="Times New Roman" w:cs="Times New Roman"/>
                <w:color w:val="000000"/>
                <w:sz w:val="16"/>
                <w:szCs w:val="16"/>
              </w:rPr>
              <w:t>Fármaco más indicado:</w:t>
            </w:r>
          </w:p>
        </w:tc>
        <w:tc>
          <w:tcPr>
            <w:tcW w:w="1651" w:type="dxa"/>
            <w:shd w:val="clear" w:color="auto" w:fill="FFFFFF"/>
            <w:vAlign w:val="bottom"/>
          </w:tcPr>
          <w:p w14:paraId="2A1732D4" w14:textId="77777777" w:rsidR="00924992" w:rsidRDefault="00924992">
            <w:pPr>
              <w:pStyle w:val="Other0"/>
              <w:framePr w:w="11434" w:h="3533" w:vSpace="221" w:wrap="none" w:hAnchor="page" w:x="635" w:y="371"/>
              <w:spacing w:line="240" w:lineRule="auto"/>
              <w:ind w:firstLine="140"/>
              <w:rPr>
                <w:sz w:val="16"/>
                <w:szCs w:val="16"/>
              </w:rPr>
            </w:pPr>
            <w:r>
              <w:rPr>
                <w:rFonts w:ascii="Times New Roman" w:eastAsia="Times New Roman" w:hAnsi="Times New Roman" w:cs="Times New Roman"/>
                <w:color w:val="000000"/>
                <w:sz w:val="16"/>
                <w:szCs w:val="16"/>
              </w:rPr>
              <w:t>Melarsoprol</w:t>
            </w:r>
            <w:r>
              <w:rPr>
                <w:rFonts w:ascii="Times New Roman" w:eastAsia="Times New Roman" w:hAnsi="Times New Roman" w:cs="Times New Roman"/>
                <w:color w:val="000000"/>
                <w:sz w:val="16"/>
                <w:szCs w:val="16"/>
                <w:vertAlign w:val="superscript"/>
              </w:rPr>
              <w:t>99</w:t>
            </w:r>
            <w:r>
              <w:rPr>
                <w:rFonts w:ascii="Times New Roman" w:eastAsia="Times New Roman" w:hAnsi="Times New Roman" w:cs="Times New Roman"/>
                <w:color w:val="000000"/>
                <w:sz w:val="16"/>
                <w:szCs w:val="16"/>
              </w:rPr>
              <w:t>*</w:t>
            </w:r>
          </w:p>
        </w:tc>
        <w:tc>
          <w:tcPr>
            <w:tcW w:w="1018" w:type="dxa"/>
            <w:shd w:val="clear" w:color="auto" w:fill="FFFFFF"/>
          </w:tcPr>
          <w:p w14:paraId="5705C781" w14:textId="77777777" w:rsidR="00924992" w:rsidRDefault="00924992">
            <w:pPr>
              <w:framePr w:w="11434" w:h="3533" w:vSpace="221" w:wrap="none" w:hAnchor="page" w:x="635" w:y="371"/>
              <w:rPr>
                <w:sz w:val="10"/>
                <w:szCs w:val="10"/>
              </w:rPr>
            </w:pPr>
          </w:p>
        </w:tc>
        <w:tc>
          <w:tcPr>
            <w:tcW w:w="3014" w:type="dxa"/>
            <w:shd w:val="clear" w:color="auto" w:fill="FFFFFF"/>
            <w:vAlign w:val="bottom"/>
          </w:tcPr>
          <w:p w14:paraId="13C38D90" w14:textId="77777777" w:rsidR="00924992" w:rsidRDefault="00924992">
            <w:pPr>
              <w:pStyle w:val="Other0"/>
              <w:framePr w:w="11434" w:h="3533" w:vSpace="221" w:wrap="none" w:hAnchor="page" w:x="635" w:y="371"/>
              <w:spacing w:line="240" w:lineRule="auto"/>
              <w:ind w:firstLine="240"/>
              <w:rPr>
                <w:sz w:val="16"/>
                <w:szCs w:val="16"/>
              </w:rPr>
            </w:pPr>
            <w:r>
              <w:rPr>
                <w:rFonts w:ascii="Times New Roman" w:eastAsia="Times New Roman" w:hAnsi="Times New Roman" w:cs="Times New Roman"/>
                <w:color w:val="000000"/>
                <w:sz w:val="16"/>
                <w:szCs w:val="16"/>
              </w:rPr>
              <w:t xml:space="preserve">2-3.6 mg/kg/día IV </w:t>
            </w:r>
            <w:r>
              <w:rPr>
                <w:color w:val="000000"/>
              </w:rPr>
              <w:t xml:space="preserve">x </w:t>
            </w:r>
            <w:r>
              <w:rPr>
                <w:rFonts w:ascii="Times New Roman" w:eastAsia="Times New Roman" w:hAnsi="Times New Roman" w:cs="Times New Roman"/>
                <w:color w:val="000000"/>
                <w:sz w:val="16"/>
                <w:szCs w:val="16"/>
              </w:rPr>
              <w:t>3 días; después</w:t>
            </w:r>
          </w:p>
        </w:tc>
        <w:tc>
          <w:tcPr>
            <w:tcW w:w="2995" w:type="dxa"/>
            <w:shd w:val="clear" w:color="auto" w:fill="FFFFFF"/>
            <w:vAlign w:val="bottom"/>
          </w:tcPr>
          <w:p w14:paraId="501A7DCA" w14:textId="77777777" w:rsidR="00924992" w:rsidRDefault="00924992">
            <w:pPr>
              <w:pStyle w:val="Other0"/>
              <w:framePr w:w="11434" w:h="3533" w:vSpace="221" w:wrap="none" w:hAnchor="page" w:x="635" w:y="371"/>
              <w:spacing w:line="240" w:lineRule="auto"/>
              <w:ind w:firstLine="0"/>
              <w:rPr>
                <w:sz w:val="16"/>
                <w:szCs w:val="16"/>
              </w:rPr>
            </w:pPr>
            <w:r>
              <w:rPr>
                <w:rFonts w:ascii="Times New Roman" w:eastAsia="Times New Roman" w:hAnsi="Times New Roman" w:cs="Times New Roman"/>
                <w:color w:val="000000"/>
                <w:sz w:val="16"/>
                <w:szCs w:val="16"/>
              </w:rPr>
              <w:t>18-25 mg/kg de peso total durante</w:t>
            </w:r>
          </w:p>
        </w:tc>
      </w:tr>
      <w:tr w:rsidR="00924992" w14:paraId="1E680F21" w14:textId="77777777">
        <w:tblPrEx>
          <w:tblCellMar>
            <w:top w:w="0" w:type="dxa"/>
            <w:bottom w:w="0" w:type="dxa"/>
          </w:tblCellMar>
        </w:tblPrEx>
        <w:trPr>
          <w:trHeight w:hRule="exact" w:val="206"/>
        </w:trPr>
        <w:tc>
          <w:tcPr>
            <w:tcW w:w="2755" w:type="dxa"/>
            <w:shd w:val="clear" w:color="auto" w:fill="FFFFFF"/>
          </w:tcPr>
          <w:p w14:paraId="196E41DA" w14:textId="77777777" w:rsidR="00924992" w:rsidRDefault="00924992">
            <w:pPr>
              <w:framePr w:w="11434" w:h="3533" w:vSpace="221" w:wrap="none" w:hAnchor="page" w:x="635" w:y="371"/>
              <w:rPr>
                <w:sz w:val="10"/>
                <w:szCs w:val="10"/>
              </w:rPr>
            </w:pPr>
          </w:p>
        </w:tc>
        <w:tc>
          <w:tcPr>
            <w:tcW w:w="1651" w:type="dxa"/>
            <w:shd w:val="clear" w:color="auto" w:fill="FFFFFF"/>
          </w:tcPr>
          <w:p w14:paraId="35E10770" w14:textId="77777777" w:rsidR="00924992" w:rsidRDefault="00924992">
            <w:pPr>
              <w:framePr w:w="11434" w:h="3533" w:vSpace="221" w:wrap="none" w:hAnchor="page" w:x="635" w:y="371"/>
              <w:rPr>
                <w:sz w:val="10"/>
                <w:szCs w:val="10"/>
              </w:rPr>
            </w:pPr>
          </w:p>
        </w:tc>
        <w:tc>
          <w:tcPr>
            <w:tcW w:w="1018" w:type="dxa"/>
            <w:shd w:val="clear" w:color="auto" w:fill="FFFFFF"/>
          </w:tcPr>
          <w:p w14:paraId="14E712DB" w14:textId="77777777" w:rsidR="00924992" w:rsidRDefault="00924992">
            <w:pPr>
              <w:framePr w:w="11434" w:h="3533" w:vSpace="221" w:wrap="none" w:hAnchor="page" w:x="635" w:y="371"/>
              <w:rPr>
                <w:sz w:val="10"/>
                <w:szCs w:val="10"/>
              </w:rPr>
            </w:pPr>
          </w:p>
        </w:tc>
        <w:tc>
          <w:tcPr>
            <w:tcW w:w="3014" w:type="dxa"/>
            <w:shd w:val="clear" w:color="auto" w:fill="FFFFFF"/>
            <w:vAlign w:val="bottom"/>
          </w:tcPr>
          <w:p w14:paraId="7FCB13C0" w14:textId="77777777" w:rsidR="00924992" w:rsidRDefault="00924992">
            <w:pPr>
              <w:pStyle w:val="Other0"/>
              <w:framePr w:w="11434" w:h="3533" w:vSpace="221" w:wrap="none" w:hAnchor="page" w:x="635" w:y="371"/>
              <w:spacing w:line="240" w:lineRule="auto"/>
              <w:ind w:firstLine="340"/>
              <w:rPr>
                <w:sz w:val="16"/>
                <w:szCs w:val="16"/>
              </w:rPr>
            </w:pPr>
            <w:r>
              <w:rPr>
                <w:rFonts w:ascii="Times New Roman" w:eastAsia="Times New Roman" w:hAnsi="Times New Roman" w:cs="Times New Roman"/>
                <w:color w:val="000000"/>
                <w:sz w:val="16"/>
                <w:szCs w:val="16"/>
              </w:rPr>
              <w:t>de una semana, 3.6 mg/kg al día IV</w:t>
            </w:r>
          </w:p>
        </w:tc>
        <w:tc>
          <w:tcPr>
            <w:tcW w:w="2995" w:type="dxa"/>
            <w:shd w:val="clear" w:color="auto" w:fill="FFFFFF"/>
            <w:vAlign w:val="bottom"/>
          </w:tcPr>
          <w:p w14:paraId="2CC1B5CC" w14:textId="77777777" w:rsidR="00924992" w:rsidRDefault="00924992">
            <w:pPr>
              <w:pStyle w:val="Other0"/>
              <w:framePr w:w="11434" w:h="3533" w:vSpace="221" w:wrap="none" w:hAnchor="page" w:x="635" w:y="371"/>
              <w:spacing w:line="240" w:lineRule="auto"/>
              <w:ind w:firstLine="200"/>
              <w:rPr>
                <w:sz w:val="16"/>
                <w:szCs w:val="16"/>
              </w:rPr>
            </w:pPr>
            <w:r>
              <w:rPr>
                <w:rFonts w:ascii="Times New Roman" w:eastAsia="Times New Roman" w:hAnsi="Times New Roman" w:cs="Times New Roman"/>
                <w:color w:val="000000"/>
                <w:sz w:val="16"/>
                <w:szCs w:val="16"/>
              </w:rPr>
              <w:t>un mes; la dosis inicial es de 0.36 mg/</w:t>
            </w:r>
          </w:p>
        </w:tc>
      </w:tr>
      <w:tr w:rsidR="00924992" w14:paraId="490DF26F" w14:textId="77777777">
        <w:tblPrEx>
          <w:tblCellMar>
            <w:top w:w="0" w:type="dxa"/>
            <w:bottom w:w="0" w:type="dxa"/>
          </w:tblCellMar>
        </w:tblPrEx>
        <w:trPr>
          <w:trHeight w:hRule="exact" w:val="221"/>
        </w:trPr>
        <w:tc>
          <w:tcPr>
            <w:tcW w:w="2755" w:type="dxa"/>
            <w:shd w:val="clear" w:color="auto" w:fill="FFFFFF"/>
          </w:tcPr>
          <w:p w14:paraId="19192B6C" w14:textId="77777777" w:rsidR="00924992" w:rsidRDefault="00924992">
            <w:pPr>
              <w:framePr w:w="11434" w:h="3533" w:vSpace="221" w:wrap="none" w:hAnchor="page" w:x="635" w:y="371"/>
              <w:rPr>
                <w:sz w:val="10"/>
                <w:szCs w:val="10"/>
              </w:rPr>
            </w:pPr>
          </w:p>
        </w:tc>
        <w:tc>
          <w:tcPr>
            <w:tcW w:w="1651" w:type="dxa"/>
            <w:shd w:val="clear" w:color="auto" w:fill="FFFFFF"/>
          </w:tcPr>
          <w:p w14:paraId="75A39E2E" w14:textId="77777777" w:rsidR="00924992" w:rsidRDefault="00924992">
            <w:pPr>
              <w:framePr w:w="11434" w:h="3533" w:vSpace="221" w:wrap="none" w:hAnchor="page" w:x="635" w:y="371"/>
              <w:rPr>
                <w:sz w:val="10"/>
                <w:szCs w:val="10"/>
              </w:rPr>
            </w:pPr>
          </w:p>
        </w:tc>
        <w:tc>
          <w:tcPr>
            <w:tcW w:w="1018" w:type="dxa"/>
            <w:shd w:val="clear" w:color="auto" w:fill="FFFFFF"/>
          </w:tcPr>
          <w:p w14:paraId="20F843A6" w14:textId="77777777" w:rsidR="00924992" w:rsidRDefault="00924992">
            <w:pPr>
              <w:framePr w:w="11434" w:h="3533" w:vSpace="221" w:wrap="none" w:hAnchor="page" w:x="635" w:y="371"/>
              <w:rPr>
                <w:sz w:val="10"/>
                <w:szCs w:val="10"/>
              </w:rPr>
            </w:pPr>
          </w:p>
        </w:tc>
        <w:tc>
          <w:tcPr>
            <w:tcW w:w="3014" w:type="dxa"/>
            <w:shd w:val="clear" w:color="auto" w:fill="FFFFFF"/>
            <w:vAlign w:val="bottom"/>
          </w:tcPr>
          <w:p w14:paraId="6F47F15F" w14:textId="77777777" w:rsidR="00924992" w:rsidRDefault="00924992">
            <w:pPr>
              <w:pStyle w:val="Other0"/>
              <w:framePr w:w="11434" w:h="3533" w:vSpace="221" w:wrap="none" w:hAnchor="page" w:x="635" w:y="371"/>
              <w:spacing w:line="240" w:lineRule="auto"/>
              <w:ind w:firstLine="340"/>
              <w:rPr>
                <w:sz w:val="16"/>
                <w:szCs w:val="16"/>
              </w:rPr>
            </w:pPr>
            <w:r>
              <w:rPr>
                <w:color w:val="000000"/>
              </w:rPr>
              <w:t xml:space="preserve">x </w:t>
            </w:r>
            <w:r>
              <w:rPr>
                <w:rFonts w:ascii="Times New Roman" w:eastAsia="Times New Roman" w:hAnsi="Times New Roman" w:cs="Times New Roman"/>
                <w:color w:val="000000"/>
                <w:sz w:val="16"/>
                <w:szCs w:val="16"/>
              </w:rPr>
              <w:t>3 días; repetir una vez más después</w:t>
            </w:r>
          </w:p>
        </w:tc>
        <w:tc>
          <w:tcPr>
            <w:tcW w:w="2995" w:type="dxa"/>
            <w:shd w:val="clear" w:color="auto" w:fill="FFFFFF"/>
            <w:vAlign w:val="bottom"/>
          </w:tcPr>
          <w:p w14:paraId="3603C0F3" w14:textId="77777777" w:rsidR="00924992" w:rsidRDefault="00924992">
            <w:pPr>
              <w:pStyle w:val="Other0"/>
              <w:framePr w:w="11434" w:h="3533" w:vSpace="221" w:wrap="none" w:hAnchor="page" w:x="635" w:y="371"/>
              <w:spacing w:line="240" w:lineRule="auto"/>
              <w:ind w:firstLine="200"/>
              <w:rPr>
                <w:sz w:val="16"/>
                <w:szCs w:val="16"/>
              </w:rPr>
            </w:pPr>
            <w:r>
              <w:rPr>
                <w:rFonts w:ascii="Times New Roman" w:eastAsia="Times New Roman" w:hAnsi="Times New Roman" w:cs="Times New Roman"/>
                <w:color w:val="000000"/>
                <w:sz w:val="16"/>
                <w:szCs w:val="16"/>
              </w:rPr>
              <w:t>kg IV que se aumenta poco a poco</w:t>
            </w:r>
          </w:p>
        </w:tc>
      </w:tr>
      <w:tr w:rsidR="00924992" w14:paraId="46018A98" w14:textId="77777777">
        <w:tblPrEx>
          <w:tblCellMar>
            <w:top w:w="0" w:type="dxa"/>
            <w:bottom w:w="0" w:type="dxa"/>
          </w:tblCellMar>
        </w:tblPrEx>
        <w:trPr>
          <w:trHeight w:hRule="exact" w:val="610"/>
        </w:trPr>
        <w:tc>
          <w:tcPr>
            <w:tcW w:w="2755" w:type="dxa"/>
            <w:shd w:val="clear" w:color="auto" w:fill="FFFFFF"/>
          </w:tcPr>
          <w:p w14:paraId="371A6318" w14:textId="77777777" w:rsidR="00924992" w:rsidRDefault="00924992">
            <w:pPr>
              <w:framePr w:w="11434" w:h="3533" w:vSpace="221" w:wrap="none" w:hAnchor="page" w:x="635" w:y="371"/>
              <w:rPr>
                <w:sz w:val="10"/>
                <w:szCs w:val="10"/>
              </w:rPr>
            </w:pPr>
          </w:p>
        </w:tc>
        <w:tc>
          <w:tcPr>
            <w:tcW w:w="1651" w:type="dxa"/>
            <w:shd w:val="clear" w:color="auto" w:fill="FFFFFF"/>
          </w:tcPr>
          <w:p w14:paraId="0A58503C" w14:textId="77777777" w:rsidR="00924992" w:rsidRDefault="00924992">
            <w:pPr>
              <w:framePr w:w="11434" w:h="3533" w:vSpace="221" w:wrap="none" w:hAnchor="page" w:x="635" w:y="371"/>
              <w:rPr>
                <w:sz w:val="10"/>
                <w:szCs w:val="10"/>
              </w:rPr>
            </w:pPr>
          </w:p>
        </w:tc>
        <w:tc>
          <w:tcPr>
            <w:tcW w:w="1018" w:type="dxa"/>
            <w:shd w:val="clear" w:color="auto" w:fill="FFFFFF"/>
          </w:tcPr>
          <w:p w14:paraId="790AD054" w14:textId="77777777" w:rsidR="00924992" w:rsidRDefault="00924992">
            <w:pPr>
              <w:framePr w:w="11434" w:h="3533" w:vSpace="221" w:wrap="none" w:hAnchor="page" w:x="635" w:y="371"/>
              <w:rPr>
                <w:sz w:val="10"/>
                <w:szCs w:val="10"/>
              </w:rPr>
            </w:pPr>
          </w:p>
        </w:tc>
        <w:tc>
          <w:tcPr>
            <w:tcW w:w="3014" w:type="dxa"/>
            <w:shd w:val="clear" w:color="auto" w:fill="FFFFFF"/>
          </w:tcPr>
          <w:p w14:paraId="2EE7321C" w14:textId="77777777" w:rsidR="00924992" w:rsidRDefault="00924992">
            <w:pPr>
              <w:pStyle w:val="Other0"/>
              <w:framePr w:w="11434" w:h="3533" w:vSpace="221" w:wrap="none" w:hAnchor="page" w:x="635" w:y="371"/>
              <w:spacing w:line="240" w:lineRule="auto"/>
              <w:ind w:firstLine="340"/>
              <w:rPr>
                <w:sz w:val="16"/>
                <w:szCs w:val="16"/>
              </w:rPr>
            </w:pPr>
            <w:r>
              <w:rPr>
                <w:rFonts w:ascii="Times New Roman" w:eastAsia="Times New Roman" w:hAnsi="Times New Roman" w:cs="Times New Roman"/>
                <w:color w:val="000000"/>
                <w:sz w:val="16"/>
                <w:szCs w:val="16"/>
              </w:rPr>
              <w:t>de 10-21 días</w:t>
            </w:r>
          </w:p>
        </w:tc>
        <w:tc>
          <w:tcPr>
            <w:tcW w:w="2995" w:type="dxa"/>
            <w:shd w:val="clear" w:color="auto" w:fill="FFFFFF"/>
          </w:tcPr>
          <w:p w14:paraId="767A1EEE" w14:textId="77777777" w:rsidR="00924992" w:rsidRDefault="00924992">
            <w:pPr>
              <w:pStyle w:val="Other0"/>
              <w:framePr w:w="11434" w:h="3533" w:vSpace="221" w:wrap="none" w:hAnchor="page" w:x="635" w:y="371"/>
              <w:spacing w:line="276" w:lineRule="auto"/>
              <w:ind w:left="200" w:firstLine="0"/>
              <w:rPr>
                <w:sz w:val="16"/>
                <w:szCs w:val="16"/>
              </w:rPr>
            </w:pPr>
            <w:r>
              <w:rPr>
                <w:rFonts w:ascii="Times New Roman" w:eastAsia="Times New Roman" w:hAnsi="Times New Roman" w:cs="Times New Roman"/>
                <w:color w:val="000000"/>
                <w:sz w:val="16"/>
                <w:szCs w:val="16"/>
              </w:rPr>
              <w:t>hasta un máximo de 3.6 mg/kg a intervalos de 1-5 días en un total de 9-10 dosis</w:t>
            </w:r>
          </w:p>
        </w:tc>
      </w:tr>
      <w:tr w:rsidR="00924992" w14:paraId="58E94B0A" w14:textId="77777777">
        <w:tblPrEx>
          <w:tblCellMar>
            <w:top w:w="0" w:type="dxa"/>
            <w:bottom w:w="0" w:type="dxa"/>
          </w:tblCellMar>
        </w:tblPrEx>
        <w:trPr>
          <w:trHeight w:hRule="exact" w:val="408"/>
        </w:trPr>
        <w:tc>
          <w:tcPr>
            <w:tcW w:w="2755" w:type="dxa"/>
            <w:shd w:val="clear" w:color="auto" w:fill="FFFFFF"/>
            <w:vAlign w:val="bottom"/>
          </w:tcPr>
          <w:p w14:paraId="442EC60E" w14:textId="77777777" w:rsidR="00924992" w:rsidRDefault="00924992">
            <w:pPr>
              <w:pStyle w:val="Other0"/>
              <w:framePr w:w="11434" w:h="3533" w:vSpace="221" w:wrap="none" w:hAnchor="page" w:x="635" w:y="371"/>
              <w:spacing w:line="240" w:lineRule="auto"/>
              <w:ind w:firstLine="160"/>
              <w:rPr>
                <w:sz w:val="16"/>
                <w:szCs w:val="16"/>
              </w:rPr>
            </w:pPr>
            <w:r>
              <w:rPr>
                <w:rFonts w:ascii="Times New Roman" w:eastAsia="Times New Roman" w:hAnsi="Times New Roman" w:cs="Times New Roman"/>
                <w:b/>
                <w:bCs/>
                <w:color w:val="000000"/>
                <w:sz w:val="16"/>
                <w:szCs w:val="16"/>
              </w:rPr>
              <w:t>O</w:t>
            </w:r>
          </w:p>
          <w:p w14:paraId="5170E2F3" w14:textId="77777777" w:rsidR="00924992" w:rsidRDefault="00924992">
            <w:pPr>
              <w:pStyle w:val="Other0"/>
              <w:framePr w:w="11434" w:h="3533" w:vSpace="221" w:wrap="none" w:hAnchor="page" w:x="635" w:y="371"/>
              <w:spacing w:line="230" w:lineRule="auto"/>
              <w:ind w:firstLine="0"/>
              <w:rPr>
                <w:sz w:val="16"/>
                <w:szCs w:val="16"/>
              </w:rPr>
            </w:pPr>
            <w:r>
              <w:rPr>
                <w:rFonts w:ascii="Times New Roman" w:eastAsia="Times New Roman" w:hAnsi="Times New Roman" w:cs="Times New Roman"/>
                <w:b/>
                <w:bCs/>
                <w:color w:val="000000"/>
                <w:sz w:val="16"/>
                <w:szCs w:val="16"/>
              </w:rPr>
              <w:t xml:space="preserve">TRIQUINOSIS </w:t>
            </w:r>
            <w:r>
              <w:rPr>
                <w:rFonts w:ascii="Times New Roman" w:eastAsia="Times New Roman" w:hAnsi="Times New Roman" w:cs="Times New Roman"/>
                <w:i/>
                <w:iCs/>
                <w:color w:val="000000"/>
                <w:sz w:val="16"/>
                <w:szCs w:val="16"/>
              </w:rPr>
              <w:t>(Trichinella spiralis)</w:t>
            </w:r>
          </w:p>
        </w:tc>
        <w:tc>
          <w:tcPr>
            <w:tcW w:w="1651" w:type="dxa"/>
            <w:shd w:val="clear" w:color="auto" w:fill="FFFFFF"/>
          </w:tcPr>
          <w:p w14:paraId="72BF5246" w14:textId="77777777" w:rsidR="00924992" w:rsidRDefault="00924992">
            <w:pPr>
              <w:pStyle w:val="Other0"/>
              <w:framePr w:w="11434" w:h="3533" w:vSpace="221" w:wrap="none" w:hAnchor="page" w:x="635" w:y="371"/>
              <w:spacing w:line="240" w:lineRule="auto"/>
              <w:ind w:firstLine="140"/>
              <w:rPr>
                <w:sz w:val="16"/>
                <w:szCs w:val="16"/>
              </w:rPr>
            </w:pPr>
            <w:r>
              <w:rPr>
                <w:rFonts w:ascii="Times New Roman" w:eastAsia="Times New Roman" w:hAnsi="Times New Roman" w:cs="Times New Roman"/>
                <w:color w:val="000000"/>
                <w:sz w:val="16"/>
                <w:szCs w:val="16"/>
              </w:rPr>
              <w:t>Eflornitina</w:t>
            </w:r>
          </w:p>
        </w:tc>
        <w:tc>
          <w:tcPr>
            <w:tcW w:w="1018" w:type="dxa"/>
            <w:shd w:val="clear" w:color="auto" w:fill="FFFFFF"/>
          </w:tcPr>
          <w:p w14:paraId="30C44B01" w14:textId="77777777" w:rsidR="00924992" w:rsidRDefault="00924992">
            <w:pPr>
              <w:framePr w:w="11434" w:h="3533" w:vSpace="221" w:wrap="none" w:hAnchor="page" w:x="635" w:y="371"/>
              <w:rPr>
                <w:sz w:val="10"/>
                <w:szCs w:val="10"/>
              </w:rPr>
            </w:pPr>
          </w:p>
        </w:tc>
        <w:tc>
          <w:tcPr>
            <w:tcW w:w="3014" w:type="dxa"/>
            <w:shd w:val="clear" w:color="auto" w:fill="FFFFFF"/>
          </w:tcPr>
          <w:p w14:paraId="757E3DB3" w14:textId="77777777" w:rsidR="00924992" w:rsidRDefault="00924992">
            <w:pPr>
              <w:pStyle w:val="Other0"/>
              <w:framePr w:w="11434" w:h="3533" w:vSpace="221" w:wrap="none" w:hAnchor="page" w:x="635" w:y="371"/>
              <w:spacing w:line="240" w:lineRule="auto"/>
              <w:ind w:firstLine="240"/>
              <w:rPr>
                <w:sz w:val="16"/>
                <w:szCs w:val="16"/>
              </w:rPr>
            </w:pPr>
            <w:r>
              <w:rPr>
                <w:rFonts w:ascii="Times New Roman" w:eastAsia="Times New Roman" w:hAnsi="Times New Roman" w:cs="Times New Roman"/>
                <w:color w:val="000000"/>
                <w:sz w:val="16"/>
                <w:szCs w:val="16"/>
              </w:rPr>
              <w:t>Véase pie de cuadro 98</w:t>
            </w:r>
          </w:p>
        </w:tc>
        <w:tc>
          <w:tcPr>
            <w:tcW w:w="2995" w:type="dxa"/>
            <w:shd w:val="clear" w:color="auto" w:fill="FFFFFF"/>
          </w:tcPr>
          <w:p w14:paraId="07120227" w14:textId="77777777" w:rsidR="00924992" w:rsidRDefault="00924992">
            <w:pPr>
              <w:framePr w:w="11434" w:h="3533" w:vSpace="221" w:wrap="none" w:hAnchor="page" w:x="635" w:y="371"/>
              <w:rPr>
                <w:sz w:val="10"/>
                <w:szCs w:val="10"/>
              </w:rPr>
            </w:pPr>
          </w:p>
        </w:tc>
      </w:tr>
      <w:tr w:rsidR="00924992" w14:paraId="145F6C06" w14:textId="77777777">
        <w:tblPrEx>
          <w:tblCellMar>
            <w:top w:w="0" w:type="dxa"/>
            <w:bottom w:w="0" w:type="dxa"/>
          </w:tblCellMar>
        </w:tblPrEx>
        <w:trPr>
          <w:trHeight w:hRule="exact" w:val="202"/>
        </w:trPr>
        <w:tc>
          <w:tcPr>
            <w:tcW w:w="2755" w:type="dxa"/>
            <w:shd w:val="clear" w:color="auto" w:fill="FFFFFF"/>
          </w:tcPr>
          <w:p w14:paraId="08F0934E" w14:textId="77777777" w:rsidR="00924992" w:rsidRDefault="00924992">
            <w:pPr>
              <w:pStyle w:val="Other0"/>
              <w:framePr w:w="11434" w:h="3533" w:vSpace="221" w:wrap="none" w:hAnchor="page" w:x="635" w:y="371"/>
              <w:spacing w:line="240" w:lineRule="auto"/>
              <w:ind w:firstLine="160"/>
              <w:rPr>
                <w:sz w:val="16"/>
                <w:szCs w:val="16"/>
              </w:rPr>
            </w:pPr>
            <w:r>
              <w:rPr>
                <w:rFonts w:ascii="Times New Roman" w:eastAsia="Times New Roman" w:hAnsi="Times New Roman" w:cs="Times New Roman"/>
                <w:color w:val="000000"/>
                <w:sz w:val="16"/>
                <w:szCs w:val="16"/>
              </w:rPr>
              <w:t>Fármaco más indicado:</w:t>
            </w:r>
          </w:p>
        </w:tc>
        <w:tc>
          <w:tcPr>
            <w:tcW w:w="2669" w:type="dxa"/>
            <w:gridSpan w:val="2"/>
            <w:shd w:val="clear" w:color="auto" w:fill="FFFFFF"/>
          </w:tcPr>
          <w:p w14:paraId="104FD48E" w14:textId="77777777" w:rsidR="00924992" w:rsidRDefault="00924992">
            <w:pPr>
              <w:pStyle w:val="Other0"/>
              <w:framePr w:w="11434" w:h="3533" w:vSpace="221" w:wrap="none" w:hAnchor="page" w:x="635" w:y="371"/>
              <w:spacing w:line="240" w:lineRule="auto"/>
              <w:ind w:firstLine="0"/>
              <w:rPr>
                <w:sz w:val="16"/>
                <w:szCs w:val="16"/>
              </w:rPr>
            </w:pPr>
            <w:r>
              <w:rPr>
                <w:rFonts w:ascii="Times New Roman" w:eastAsia="Times New Roman" w:hAnsi="Times New Roman" w:cs="Times New Roman"/>
                <w:color w:val="000000"/>
                <w:sz w:val="16"/>
                <w:szCs w:val="16"/>
              </w:rPr>
              <w:t>Corticosteroides contra síntomas</w:t>
            </w:r>
          </w:p>
        </w:tc>
        <w:tc>
          <w:tcPr>
            <w:tcW w:w="3014" w:type="dxa"/>
            <w:shd w:val="clear" w:color="auto" w:fill="FFFFFF"/>
          </w:tcPr>
          <w:p w14:paraId="619A0E6C" w14:textId="77777777" w:rsidR="00924992" w:rsidRDefault="00924992">
            <w:pPr>
              <w:framePr w:w="11434" w:h="3533" w:vSpace="221" w:wrap="none" w:hAnchor="page" w:x="635" w:y="371"/>
              <w:rPr>
                <w:sz w:val="10"/>
                <w:szCs w:val="10"/>
              </w:rPr>
            </w:pPr>
          </w:p>
        </w:tc>
        <w:tc>
          <w:tcPr>
            <w:tcW w:w="2995" w:type="dxa"/>
            <w:shd w:val="clear" w:color="auto" w:fill="FFFFFF"/>
          </w:tcPr>
          <w:p w14:paraId="6E281FF8" w14:textId="77777777" w:rsidR="00924992" w:rsidRDefault="00924992">
            <w:pPr>
              <w:framePr w:w="11434" w:h="3533" w:vSpace="221" w:wrap="none" w:hAnchor="page" w:x="635" w:y="371"/>
              <w:rPr>
                <w:sz w:val="10"/>
                <w:szCs w:val="10"/>
              </w:rPr>
            </w:pPr>
          </w:p>
        </w:tc>
      </w:tr>
      <w:tr w:rsidR="00924992" w14:paraId="5D20A1BE" w14:textId="77777777">
        <w:tblPrEx>
          <w:tblCellMar>
            <w:top w:w="0" w:type="dxa"/>
            <w:bottom w:w="0" w:type="dxa"/>
          </w:tblCellMar>
        </w:tblPrEx>
        <w:trPr>
          <w:trHeight w:hRule="exact" w:val="211"/>
        </w:trPr>
        <w:tc>
          <w:tcPr>
            <w:tcW w:w="2755" w:type="dxa"/>
            <w:shd w:val="clear" w:color="auto" w:fill="FFFFFF"/>
          </w:tcPr>
          <w:p w14:paraId="2BBFF0A2" w14:textId="77777777" w:rsidR="00924992" w:rsidRDefault="00924992">
            <w:pPr>
              <w:framePr w:w="11434" w:h="3533" w:vSpace="221" w:wrap="none" w:hAnchor="page" w:x="635" w:y="371"/>
              <w:rPr>
                <w:sz w:val="10"/>
                <w:szCs w:val="10"/>
              </w:rPr>
            </w:pPr>
          </w:p>
        </w:tc>
        <w:tc>
          <w:tcPr>
            <w:tcW w:w="1651" w:type="dxa"/>
            <w:shd w:val="clear" w:color="auto" w:fill="FFFFFF"/>
            <w:vAlign w:val="bottom"/>
          </w:tcPr>
          <w:p w14:paraId="7D7F3124" w14:textId="77777777" w:rsidR="00924992" w:rsidRDefault="00924992">
            <w:pPr>
              <w:pStyle w:val="Other0"/>
              <w:framePr w:w="11434" w:h="3533" w:vSpace="221" w:wrap="none" w:hAnchor="page" w:x="635" w:y="371"/>
              <w:spacing w:line="240" w:lineRule="auto"/>
              <w:ind w:firstLine="240"/>
              <w:rPr>
                <w:sz w:val="16"/>
                <w:szCs w:val="16"/>
              </w:rPr>
            </w:pPr>
            <w:r>
              <w:rPr>
                <w:rFonts w:ascii="Times New Roman" w:eastAsia="Times New Roman" w:hAnsi="Times New Roman" w:cs="Times New Roman"/>
                <w:color w:val="000000"/>
                <w:sz w:val="16"/>
                <w:szCs w:val="16"/>
              </w:rPr>
              <w:t>intensos</w:t>
            </w:r>
          </w:p>
        </w:tc>
        <w:tc>
          <w:tcPr>
            <w:tcW w:w="1018" w:type="dxa"/>
            <w:shd w:val="clear" w:color="auto" w:fill="FFFFFF"/>
          </w:tcPr>
          <w:p w14:paraId="138D3E6C" w14:textId="77777777" w:rsidR="00924992" w:rsidRDefault="00924992">
            <w:pPr>
              <w:framePr w:w="11434" w:h="3533" w:vSpace="221" w:wrap="none" w:hAnchor="page" w:x="635" w:y="371"/>
              <w:rPr>
                <w:sz w:val="10"/>
                <w:szCs w:val="10"/>
              </w:rPr>
            </w:pPr>
          </w:p>
        </w:tc>
        <w:tc>
          <w:tcPr>
            <w:tcW w:w="3014" w:type="dxa"/>
            <w:shd w:val="clear" w:color="auto" w:fill="FFFFFF"/>
          </w:tcPr>
          <w:p w14:paraId="2CA070F4" w14:textId="77777777" w:rsidR="00924992" w:rsidRDefault="00924992">
            <w:pPr>
              <w:framePr w:w="11434" w:h="3533" w:vSpace="221" w:wrap="none" w:hAnchor="page" w:x="635" w:y="371"/>
              <w:rPr>
                <w:sz w:val="10"/>
                <w:szCs w:val="10"/>
              </w:rPr>
            </w:pPr>
          </w:p>
        </w:tc>
        <w:tc>
          <w:tcPr>
            <w:tcW w:w="2995" w:type="dxa"/>
            <w:shd w:val="clear" w:color="auto" w:fill="FFFFFF"/>
          </w:tcPr>
          <w:p w14:paraId="221A1191" w14:textId="77777777" w:rsidR="00924992" w:rsidRDefault="00924992">
            <w:pPr>
              <w:framePr w:w="11434" w:h="3533" w:vSpace="221" w:wrap="none" w:hAnchor="page" w:x="635" w:y="371"/>
              <w:rPr>
                <w:sz w:val="10"/>
                <w:szCs w:val="10"/>
              </w:rPr>
            </w:pPr>
          </w:p>
        </w:tc>
      </w:tr>
      <w:tr w:rsidR="00924992" w14:paraId="1BA7CBBB" w14:textId="77777777">
        <w:tblPrEx>
          <w:tblCellMar>
            <w:top w:w="0" w:type="dxa"/>
            <w:bottom w:w="0" w:type="dxa"/>
          </w:tblCellMar>
        </w:tblPrEx>
        <w:trPr>
          <w:trHeight w:hRule="exact" w:val="461"/>
        </w:trPr>
        <w:tc>
          <w:tcPr>
            <w:tcW w:w="2755" w:type="dxa"/>
            <w:shd w:val="clear" w:color="auto" w:fill="FFFFFF"/>
          </w:tcPr>
          <w:p w14:paraId="47E9ED75" w14:textId="77777777" w:rsidR="00924992" w:rsidRDefault="00924992">
            <w:pPr>
              <w:framePr w:w="11434" w:h="3533" w:vSpace="221" w:wrap="none" w:hAnchor="page" w:x="635" w:y="371"/>
              <w:rPr>
                <w:sz w:val="10"/>
                <w:szCs w:val="10"/>
              </w:rPr>
            </w:pPr>
          </w:p>
        </w:tc>
        <w:tc>
          <w:tcPr>
            <w:tcW w:w="1651" w:type="dxa"/>
            <w:shd w:val="clear" w:color="auto" w:fill="FFFFFF"/>
            <w:vAlign w:val="bottom"/>
          </w:tcPr>
          <w:p w14:paraId="74478FDF" w14:textId="77777777" w:rsidR="00924992" w:rsidRDefault="00924992">
            <w:pPr>
              <w:pStyle w:val="Other0"/>
              <w:framePr w:w="11434" w:h="3533" w:vSpace="221" w:wrap="none" w:hAnchor="page" w:x="635" w:y="371"/>
              <w:spacing w:line="240" w:lineRule="auto"/>
              <w:ind w:firstLine="140"/>
              <w:rPr>
                <w:sz w:val="16"/>
                <w:szCs w:val="16"/>
              </w:rPr>
            </w:pPr>
            <w:r>
              <w:rPr>
                <w:rFonts w:ascii="Times New Roman" w:eastAsia="Times New Roman" w:hAnsi="Times New Roman" w:cs="Times New Roman"/>
                <w:b/>
                <w:bCs/>
                <w:color w:val="000000"/>
                <w:sz w:val="16"/>
                <w:szCs w:val="16"/>
              </w:rPr>
              <w:t>y además</w:t>
            </w:r>
          </w:p>
          <w:p w14:paraId="78674D34" w14:textId="77777777" w:rsidR="00924992" w:rsidRDefault="00924992">
            <w:pPr>
              <w:pStyle w:val="Other0"/>
              <w:framePr w:w="11434" w:h="3533" w:vSpace="221" w:wrap="none" w:hAnchor="page" w:x="635" w:y="371"/>
              <w:spacing w:line="240" w:lineRule="auto"/>
              <w:ind w:firstLine="140"/>
              <w:rPr>
                <w:sz w:val="16"/>
                <w:szCs w:val="16"/>
              </w:rPr>
            </w:pPr>
            <w:r>
              <w:rPr>
                <w:rFonts w:ascii="Times New Roman" w:eastAsia="Times New Roman" w:hAnsi="Times New Roman" w:cs="Times New Roman"/>
                <w:color w:val="000000"/>
                <w:sz w:val="16"/>
                <w:szCs w:val="16"/>
              </w:rPr>
              <w:t>mebendazol</w:t>
            </w:r>
            <w:r>
              <w:rPr>
                <w:rFonts w:ascii="Times New Roman" w:eastAsia="Times New Roman" w:hAnsi="Times New Roman" w:cs="Times New Roman"/>
                <w:color w:val="000000"/>
                <w:sz w:val="16"/>
                <w:szCs w:val="16"/>
                <w:vertAlign w:val="superscript"/>
              </w:rPr>
              <w:t>3</w:t>
            </w:r>
          </w:p>
        </w:tc>
        <w:tc>
          <w:tcPr>
            <w:tcW w:w="1018" w:type="dxa"/>
            <w:shd w:val="clear" w:color="auto" w:fill="FFFFFF"/>
          </w:tcPr>
          <w:p w14:paraId="2E09B303" w14:textId="77777777" w:rsidR="00924992" w:rsidRDefault="00924992">
            <w:pPr>
              <w:framePr w:w="11434" w:h="3533" w:vSpace="221" w:wrap="none" w:hAnchor="page" w:x="635" w:y="371"/>
              <w:rPr>
                <w:sz w:val="10"/>
                <w:szCs w:val="10"/>
              </w:rPr>
            </w:pPr>
          </w:p>
        </w:tc>
        <w:tc>
          <w:tcPr>
            <w:tcW w:w="3014" w:type="dxa"/>
            <w:shd w:val="clear" w:color="auto" w:fill="FFFFFF"/>
            <w:vAlign w:val="bottom"/>
          </w:tcPr>
          <w:p w14:paraId="45253BF4" w14:textId="77777777" w:rsidR="00924992" w:rsidRDefault="00924992">
            <w:pPr>
              <w:pStyle w:val="Other0"/>
              <w:framePr w:w="11434" w:h="3533" w:vSpace="221" w:wrap="none" w:hAnchor="page" w:x="635" w:y="371"/>
              <w:spacing w:line="240" w:lineRule="auto"/>
              <w:ind w:firstLine="240"/>
              <w:rPr>
                <w:sz w:val="16"/>
                <w:szCs w:val="16"/>
              </w:rPr>
            </w:pPr>
            <w:r>
              <w:rPr>
                <w:rFonts w:ascii="Times New Roman" w:eastAsia="Times New Roman" w:hAnsi="Times New Roman" w:cs="Times New Roman"/>
                <w:color w:val="000000"/>
                <w:sz w:val="16"/>
                <w:szCs w:val="16"/>
              </w:rPr>
              <w:t xml:space="preserve">200-400 mg tid </w:t>
            </w:r>
            <w:r>
              <w:rPr>
                <w:color w:val="000000"/>
              </w:rPr>
              <w:t xml:space="preserve">x </w:t>
            </w:r>
            <w:r>
              <w:rPr>
                <w:rFonts w:ascii="Times New Roman" w:eastAsia="Times New Roman" w:hAnsi="Times New Roman" w:cs="Times New Roman"/>
                <w:color w:val="000000"/>
                <w:sz w:val="16"/>
                <w:szCs w:val="16"/>
              </w:rPr>
              <w:t>3 días, para seguir</w:t>
            </w:r>
          </w:p>
        </w:tc>
        <w:tc>
          <w:tcPr>
            <w:tcW w:w="2995" w:type="dxa"/>
            <w:shd w:val="clear" w:color="auto" w:fill="FFFFFF"/>
            <w:vAlign w:val="bottom"/>
          </w:tcPr>
          <w:p w14:paraId="4079CC84" w14:textId="77777777" w:rsidR="00924992" w:rsidRDefault="00924992">
            <w:pPr>
              <w:pStyle w:val="Other0"/>
              <w:framePr w:w="11434" w:h="3533" w:vSpace="221" w:wrap="none" w:hAnchor="page" w:x="635" w:y="371"/>
              <w:spacing w:line="240" w:lineRule="auto"/>
              <w:ind w:firstLine="0"/>
              <w:rPr>
                <w:sz w:val="16"/>
                <w:szCs w:val="16"/>
              </w:rPr>
            </w:pPr>
            <w:r>
              <w:rPr>
                <w:rFonts w:ascii="Times New Roman" w:eastAsia="Times New Roman" w:hAnsi="Times New Roman" w:cs="Times New Roman"/>
                <w:color w:val="000000"/>
                <w:sz w:val="16"/>
                <w:szCs w:val="16"/>
              </w:rPr>
              <w:t xml:space="preserve">200-400 mg tid </w:t>
            </w:r>
            <w:r>
              <w:rPr>
                <w:color w:val="000000"/>
              </w:rPr>
              <w:t xml:space="preserve">x </w:t>
            </w:r>
            <w:r>
              <w:rPr>
                <w:rFonts w:ascii="Times New Roman" w:eastAsia="Times New Roman" w:hAnsi="Times New Roman" w:cs="Times New Roman"/>
                <w:color w:val="000000"/>
                <w:sz w:val="16"/>
                <w:szCs w:val="16"/>
              </w:rPr>
              <w:t>3 días, para seguir</w:t>
            </w:r>
          </w:p>
        </w:tc>
      </w:tr>
      <w:tr w:rsidR="00924992" w14:paraId="74F41DCC" w14:textId="77777777">
        <w:tblPrEx>
          <w:tblCellMar>
            <w:top w:w="0" w:type="dxa"/>
            <w:bottom w:w="0" w:type="dxa"/>
          </w:tblCellMar>
        </w:tblPrEx>
        <w:trPr>
          <w:trHeight w:hRule="exact" w:val="206"/>
        </w:trPr>
        <w:tc>
          <w:tcPr>
            <w:tcW w:w="2755" w:type="dxa"/>
            <w:shd w:val="clear" w:color="auto" w:fill="FFFFFF"/>
          </w:tcPr>
          <w:p w14:paraId="0F3F8E5E" w14:textId="77777777" w:rsidR="00924992" w:rsidRDefault="00924992">
            <w:pPr>
              <w:framePr w:w="11434" w:h="3533" w:vSpace="221" w:wrap="none" w:hAnchor="page" w:x="635" w:y="371"/>
              <w:rPr>
                <w:sz w:val="10"/>
                <w:szCs w:val="10"/>
              </w:rPr>
            </w:pPr>
          </w:p>
        </w:tc>
        <w:tc>
          <w:tcPr>
            <w:tcW w:w="1651" w:type="dxa"/>
            <w:shd w:val="clear" w:color="auto" w:fill="FFFFFF"/>
          </w:tcPr>
          <w:p w14:paraId="14455FED" w14:textId="77777777" w:rsidR="00924992" w:rsidRDefault="00924992">
            <w:pPr>
              <w:framePr w:w="11434" w:h="3533" w:vSpace="221" w:wrap="none" w:hAnchor="page" w:x="635" w:y="371"/>
              <w:rPr>
                <w:sz w:val="10"/>
                <w:szCs w:val="10"/>
              </w:rPr>
            </w:pPr>
          </w:p>
        </w:tc>
        <w:tc>
          <w:tcPr>
            <w:tcW w:w="1018" w:type="dxa"/>
            <w:shd w:val="clear" w:color="auto" w:fill="FFFFFF"/>
          </w:tcPr>
          <w:p w14:paraId="447DCE48" w14:textId="77777777" w:rsidR="00924992" w:rsidRDefault="00924992">
            <w:pPr>
              <w:framePr w:w="11434" w:h="3533" w:vSpace="221" w:wrap="none" w:hAnchor="page" w:x="635" w:y="371"/>
              <w:rPr>
                <w:sz w:val="10"/>
                <w:szCs w:val="10"/>
              </w:rPr>
            </w:pPr>
          </w:p>
        </w:tc>
        <w:tc>
          <w:tcPr>
            <w:tcW w:w="3014" w:type="dxa"/>
            <w:shd w:val="clear" w:color="auto" w:fill="FFFFFF"/>
            <w:vAlign w:val="bottom"/>
          </w:tcPr>
          <w:p w14:paraId="295F6910" w14:textId="77777777" w:rsidR="00924992" w:rsidRDefault="00924992">
            <w:pPr>
              <w:pStyle w:val="Other0"/>
              <w:framePr w:w="11434" w:h="3533" w:vSpace="221" w:wrap="none" w:hAnchor="page" w:x="635" w:y="371"/>
              <w:spacing w:line="240" w:lineRule="auto"/>
              <w:ind w:firstLine="340"/>
              <w:rPr>
                <w:sz w:val="16"/>
                <w:szCs w:val="16"/>
              </w:rPr>
            </w:pPr>
            <w:r>
              <w:rPr>
                <w:rFonts w:ascii="Times New Roman" w:eastAsia="Times New Roman" w:hAnsi="Times New Roman" w:cs="Times New Roman"/>
                <w:color w:val="000000"/>
                <w:sz w:val="16"/>
                <w:szCs w:val="16"/>
              </w:rPr>
              <w:t xml:space="preserve">con 400-500 mg tid </w:t>
            </w:r>
            <w:r>
              <w:rPr>
                <w:color w:val="000000"/>
              </w:rPr>
              <w:t xml:space="preserve">x </w:t>
            </w:r>
            <w:r>
              <w:rPr>
                <w:rFonts w:ascii="Times New Roman" w:eastAsia="Times New Roman" w:hAnsi="Times New Roman" w:cs="Times New Roman"/>
                <w:color w:val="000000"/>
                <w:sz w:val="16"/>
                <w:szCs w:val="16"/>
              </w:rPr>
              <w:t>10 días</w:t>
            </w:r>
          </w:p>
        </w:tc>
        <w:tc>
          <w:tcPr>
            <w:tcW w:w="2995" w:type="dxa"/>
            <w:shd w:val="clear" w:color="auto" w:fill="FFFFFF"/>
            <w:vAlign w:val="bottom"/>
          </w:tcPr>
          <w:p w14:paraId="4C4E5A89" w14:textId="77777777" w:rsidR="00924992" w:rsidRDefault="00924992">
            <w:pPr>
              <w:pStyle w:val="Other0"/>
              <w:framePr w:w="11434" w:h="3533" w:vSpace="221" w:wrap="none" w:hAnchor="page" w:x="635" w:y="371"/>
              <w:spacing w:line="240" w:lineRule="auto"/>
              <w:ind w:firstLine="200"/>
              <w:rPr>
                <w:sz w:val="16"/>
                <w:szCs w:val="16"/>
              </w:rPr>
            </w:pPr>
            <w:r>
              <w:rPr>
                <w:rFonts w:ascii="Times New Roman" w:eastAsia="Times New Roman" w:hAnsi="Times New Roman" w:cs="Times New Roman"/>
                <w:color w:val="000000"/>
                <w:sz w:val="16"/>
                <w:szCs w:val="16"/>
              </w:rPr>
              <w:t xml:space="preserve">con 400-500 mg tid </w:t>
            </w:r>
            <w:r>
              <w:rPr>
                <w:color w:val="000000"/>
              </w:rPr>
              <w:t xml:space="preserve">x </w:t>
            </w:r>
            <w:r>
              <w:rPr>
                <w:rFonts w:ascii="Times New Roman" w:eastAsia="Times New Roman" w:hAnsi="Times New Roman" w:cs="Times New Roman"/>
                <w:color w:val="000000"/>
                <w:sz w:val="16"/>
                <w:szCs w:val="16"/>
              </w:rPr>
              <w:t>10 días</w:t>
            </w:r>
          </w:p>
        </w:tc>
      </w:tr>
      <w:tr w:rsidR="00924992" w14:paraId="57EB7639" w14:textId="77777777">
        <w:tblPrEx>
          <w:tblCellMar>
            <w:top w:w="0" w:type="dxa"/>
            <w:bottom w:w="0" w:type="dxa"/>
          </w:tblCellMar>
        </w:tblPrEx>
        <w:trPr>
          <w:trHeight w:hRule="exact" w:val="245"/>
        </w:trPr>
        <w:tc>
          <w:tcPr>
            <w:tcW w:w="2755" w:type="dxa"/>
            <w:shd w:val="clear" w:color="auto" w:fill="FFFFFF"/>
          </w:tcPr>
          <w:p w14:paraId="542807C1" w14:textId="77777777" w:rsidR="00924992" w:rsidRDefault="00924992">
            <w:pPr>
              <w:pStyle w:val="Other0"/>
              <w:framePr w:w="11434" w:h="3533" w:vSpace="221" w:wrap="none" w:hAnchor="page" w:x="635" w:y="371"/>
              <w:spacing w:line="240" w:lineRule="auto"/>
              <w:ind w:firstLine="160"/>
              <w:rPr>
                <w:sz w:val="16"/>
                <w:szCs w:val="16"/>
              </w:rPr>
            </w:pPr>
            <w:r>
              <w:rPr>
                <w:rFonts w:ascii="Times New Roman" w:eastAsia="Times New Roman" w:hAnsi="Times New Roman" w:cs="Times New Roman"/>
                <w:color w:val="000000"/>
                <w:sz w:val="16"/>
                <w:szCs w:val="16"/>
              </w:rPr>
              <w:t>Fármaco alternativo:</w:t>
            </w:r>
          </w:p>
        </w:tc>
        <w:tc>
          <w:tcPr>
            <w:tcW w:w="1651" w:type="dxa"/>
            <w:shd w:val="clear" w:color="auto" w:fill="FFFFFF"/>
          </w:tcPr>
          <w:p w14:paraId="1EBE5FA4" w14:textId="77777777" w:rsidR="00924992" w:rsidRDefault="00924992">
            <w:pPr>
              <w:pStyle w:val="Other0"/>
              <w:framePr w:w="11434" w:h="3533" w:vSpace="221" w:wrap="none" w:hAnchor="page" w:x="635" w:y="371"/>
              <w:spacing w:line="240" w:lineRule="auto"/>
              <w:ind w:firstLine="140"/>
              <w:rPr>
                <w:sz w:val="16"/>
                <w:szCs w:val="16"/>
              </w:rPr>
            </w:pPr>
            <w:r>
              <w:rPr>
                <w:rFonts w:ascii="Times New Roman" w:eastAsia="Times New Roman" w:hAnsi="Times New Roman" w:cs="Times New Roman"/>
                <w:color w:val="000000"/>
                <w:sz w:val="16"/>
                <w:szCs w:val="16"/>
              </w:rPr>
              <w:t>Albendazol</w:t>
            </w:r>
            <w:r>
              <w:rPr>
                <w:rFonts w:ascii="Times New Roman" w:eastAsia="Times New Roman" w:hAnsi="Times New Roman" w:cs="Times New Roman"/>
                <w:color w:val="000000"/>
                <w:sz w:val="16"/>
                <w:szCs w:val="16"/>
                <w:vertAlign w:val="superscript"/>
              </w:rPr>
              <w:t>3</w:t>
            </w:r>
          </w:p>
        </w:tc>
        <w:tc>
          <w:tcPr>
            <w:tcW w:w="1018" w:type="dxa"/>
            <w:shd w:val="clear" w:color="auto" w:fill="FFFFFF"/>
          </w:tcPr>
          <w:p w14:paraId="0867D8F8" w14:textId="77777777" w:rsidR="00924992" w:rsidRDefault="00924992">
            <w:pPr>
              <w:framePr w:w="11434" w:h="3533" w:vSpace="221" w:wrap="none" w:hAnchor="page" w:x="635" w:y="371"/>
              <w:rPr>
                <w:sz w:val="10"/>
                <w:szCs w:val="10"/>
              </w:rPr>
            </w:pPr>
          </w:p>
        </w:tc>
        <w:tc>
          <w:tcPr>
            <w:tcW w:w="3014" w:type="dxa"/>
            <w:shd w:val="clear" w:color="auto" w:fill="FFFFFF"/>
          </w:tcPr>
          <w:p w14:paraId="12FB5306" w14:textId="77777777" w:rsidR="00924992" w:rsidRDefault="00924992">
            <w:pPr>
              <w:pStyle w:val="Other0"/>
              <w:framePr w:w="11434" w:h="3533" w:vSpace="221" w:wrap="none" w:hAnchor="page" w:x="635" w:y="371"/>
              <w:spacing w:line="240" w:lineRule="auto"/>
              <w:ind w:firstLine="240"/>
              <w:rPr>
                <w:sz w:val="16"/>
                <w:szCs w:val="16"/>
              </w:rPr>
            </w:pPr>
            <w:r>
              <w:rPr>
                <w:rFonts w:ascii="Times New Roman" w:eastAsia="Times New Roman" w:hAnsi="Times New Roman" w:cs="Times New Roman"/>
                <w:color w:val="000000"/>
                <w:sz w:val="16"/>
                <w:szCs w:val="16"/>
              </w:rPr>
              <w:t xml:space="preserve">400 mg bid </w:t>
            </w:r>
            <w:r>
              <w:rPr>
                <w:color w:val="000000"/>
              </w:rPr>
              <w:t xml:space="preserve">x </w:t>
            </w:r>
            <w:r>
              <w:rPr>
                <w:rFonts w:ascii="Times New Roman" w:eastAsia="Times New Roman" w:hAnsi="Times New Roman" w:cs="Times New Roman"/>
                <w:color w:val="000000"/>
                <w:sz w:val="16"/>
                <w:szCs w:val="16"/>
              </w:rPr>
              <w:t>8-14 días</w:t>
            </w:r>
          </w:p>
        </w:tc>
        <w:tc>
          <w:tcPr>
            <w:tcW w:w="2995" w:type="dxa"/>
            <w:shd w:val="clear" w:color="auto" w:fill="FFFFFF"/>
          </w:tcPr>
          <w:p w14:paraId="4EACD81B" w14:textId="77777777" w:rsidR="00924992" w:rsidRDefault="00924992">
            <w:pPr>
              <w:pStyle w:val="Other0"/>
              <w:framePr w:w="11434" w:h="3533" w:vSpace="221" w:wrap="none" w:hAnchor="page" w:x="635" w:y="371"/>
              <w:spacing w:line="240" w:lineRule="auto"/>
              <w:ind w:firstLine="0"/>
              <w:rPr>
                <w:sz w:val="16"/>
                <w:szCs w:val="16"/>
              </w:rPr>
            </w:pPr>
            <w:r>
              <w:rPr>
                <w:rFonts w:ascii="Times New Roman" w:eastAsia="Times New Roman" w:hAnsi="Times New Roman" w:cs="Times New Roman"/>
                <w:color w:val="000000"/>
                <w:sz w:val="16"/>
                <w:szCs w:val="16"/>
              </w:rPr>
              <w:t xml:space="preserve">400 mg bid </w:t>
            </w:r>
            <w:r>
              <w:rPr>
                <w:color w:val="000000"/>
              </w:rPr>
              <w:t xml:space="preserve">x </w:t>
            </w:r>
            <w:r>
              <w:rPr>
                <w:rFonts w:ascii="Times New Roman" w:eastAsia="Times New Roman" w:hAnsi="Times New Roman" w:cs="Times New Roman"/>
                <w:color w:val="000000"/>
                <w:sz w:val="16"/>
                <w:szCs w:val="16"/>
              </w:rPr>
              <w:t>8-14 días</w:t>
            </w:r>
          </w:p>
        </w:tc>
      </w:tr>
    </w:tbl>
    <w:p w14:paraId="7F23508E" w14:textId="77777777" w:rsidR="00924992" w:rsidRDefault="00924992">
      <w:pPr>
        <w:framePr w:w="11434" w:h="3533" w:vSpace="221" w:wrap="none" w:hAnchor="page" w:x="635" w:y="371"/>
        <w:spacing w:line="1" w:lineRule="exact"/>
      </w:pPr>
    </w:p>
    <w:p w14:paraId="08D64E5A" w14:textId="77777777" w:rsidR="00924992" w:rsidRDefault="00924992">
      <w:pPr>
        <w:pStyle w:val="Tablecaption0"/>
        <w:framePr w:w="5270" w:h="240" w:wrap="none" w:hAnchor="page" w:x="678" w:y="3885"/>
        <w:spacing w:line="240" w:lineRule="auto"/>
        <w:ind w:left="0"/>
        <w:rPr>
          <w:sz w:val="16"/>
          <w:szCs w:val="16"/>
        </w:rPr>
      </w:pPr>
      <w:r>
        <w:rPr>
          <w:b/>
          <w:bCs/>
          <w:color w:val="000000"/>
          <w:sz w:val="16"/>
          <w:szCs w:val="16"/>
        </w:rPr>
        <w:t xml:space="preserve">UNCINARIASIS </w:t>
      </w:r>
      <w:r>
        <w:rPr>
          <w:i/>
          <w:iCs/>
          <w:color w:val="000000"/>
          <w:sz w:val="16"/>
          <w:szCs w:val="16"/>
        </w:rPr>
        <w:t>(anquilostomiasis) (Ancylostoma duodenale, Necator americanus)</w:t>
      </w:r>
    </w:p>
    <w:tbl>
      <w:tblPr>
        <w:tblOverlap w:val="never"/>
        <w:tblW w:w="0" w:type="auto"/>
        <w:tblLayout w:type="fixed"/>
        <w:tblCellMar>
          <w:left w:w="10" w:type="dxa"/>
          <w:right w:w="10" w:type="dxa"/>
        </w:tblCellMar>
        <w:tblLook w:val="04A0" w:firstRow="1" w:lastRow="0" w:firstColumn="1" w:lastColumn="0" w:noHBand="0" w:noVBand="1"/>
      </w:tblPr>
      <w:tblGrid>
        <w:gridCol w:w="2294"/>
        <w:gridCol w:w="2678"/>
        <w:gridCol w:w="3403"/>
        <w:gridCol w:w="2870"/>
      </w:tblGrid>
      <w:tr w:rsidR="00924992" w14:paraId="4DDB7C2B" w14:textId="77777777">
        <w:tblPrEx>
          <w:tblCellMar>
            <w:top w:w="0" w:type="dxa"/>
            <w:bottom w:w="0" w:type="dxa"/>
          </w:tblCellMar>
        </w:tblPrEx>
        <w:trPr>
          <w:trHeight w:hRule="exact" w:val="216"/>
        </w:trPr>
        <w:tc>
          <w:tcPr>
            <w:tcW w:w="2294" w:type="dxa"/>
            <w:shd w:val="clear" w:color="auto" w:fill="FFFFFF"/>
            <w:vAlign w:val="bottom"/>
          </w:tcPr>
          <w:p w14:paraId="2088826D" w14:textId="77777777" w:rsidR="00924992" w:rsidRDefault="00924992">
            <w:pPr>
              <w:pStyle w:val="Other0"/>
              <w:framePr w:w="11246" w:h="754" w:wrap="none" w:hAnchor="page" w:x="678" w:y="4105"/>
              <w:spacing w:line="240" w:lineRule="auto"/>
              <w:ind w:firstLine="0"/>
              <w:rPr>
                <w:sz w:val="16"/>
                <w:szCs w:val="16"/>
              </w:rPr>
            </w:pPr>
            <w:r>
              <w:rPr>
                <w:rFonts w:ascii="Times New Roman" w:eastAsia="Times New Roman" w:hAnsi="Times New Roman" w:cs="Times New Roman"/>
                <w:color w:val="000000"/>
                <w:sz w:val="16"/>
                <w:szCs w:val="16"/>
              </w:rPr>
              <w:t>Fármaco más indicado:</w:t>
            </w:r>
          </w:p>
        </w:tc>
        <w:tc>
          <w:tcPr>
            <w:tcW w:w="2678" w:type="dxa"/>
            <w:shd w:val="clear" w:color="auto" w:fill="FFFFFF"/>
            <w:vAlign w:val="bottom"/>
          </w:tcPr>
          <w:p w14:paraId="30005E20" w14:textId="77777777" w:rsidR="00924992" w:rsidRDefault="00924992">
            <w:pPr>
              <w:pStyle w:val="Other0"/>
              <w:framePr w:w="11246" w:h="754" w:wrap="none" w:hAnchor="page" w:x="678" w:y="4105"/>
              <w:spacing w:line="240" w:lineRule="auto"/>
              <w:ind w:firstLine="560"/>
              <w:rPr>
                <w:sz w:val="16"/>
                <w:szCs w:val="16"/>
              </w:rPr>
            </w:pPr>
            <w:r>
              <w:rPr>
                <w:rFonts w:ascii="Times New Roman" w:eastAsia="Times New Roman" w:hAnsi="Times New Roman" w:cs="Times New Roman"/>
                <w:color w:val="000000"/>
                <w:sz w:val="16"/>
                <w:szCs w:val="16"/>
              </w:rPr>
              <w:t>Albendazol</w:t>
            </w:r>
            <w:r>
              <w:rPr>
                <w:rFonts w:ascii="Times New Roman" w:eastAsia="Times New Roman" w:hAnsi="Times New Roman" w:cs="Times New Roman"/>
                <w:color w:val="000000"/>
                <w:sz w:val="16"/>
                <w:szCs w:val="16"/>
                <w:vertAlign w:val="superscript"/>
              </w:rPr>
              <w:t>3</w:t>
            </w:r>
          </w:p>
        </w:tc>
        <w:tc>
          <w:tcPr>
            <w:tcW w:w="3403" w:type="dxa"/>
            <w:shd w:val="clear" w:color="auto" w:fill="FFFFFF"/>
            <w:vAlign w:val="bottom"/>
          </w:tcPr>
          <w:p w14:paraId="1927B2E4" w14:textId="77777777" w:rsidR="00924992" w:rsidRDefault="00924992">
            <w:pPr>
              <w:pStyle w:val="Other0"/>
              <w:framePr w:w="11246" w:h="754" w:wrap="none" w:hAnchor="page" w:x="678" w:y="4105"/>
              <w:spacing w:line="240" w:lineRule="auto"/>
              <w:ind w:firstLine="660"/>
              <w:rPr>
                <w:sz w:val="16"/>
                <w:szCs w:val="16"/>
              </w:rPr>
            </w:pPr>
            <w:r>
              <w:rPr>
                <w:rFonts w:ascii="Times New Roman" w:eastAsia="Times New Roman" w:hAnsi="Times New Roman" w:cs="Times New Roman"/>
                <w:color w:val="000000"/>
                <w:sz w:val="16"/>
                <w:szCs w:val="16"/>
              </w:rPr>
              <w:t>400 mg una vez</w:t>
            </w:r>
          </w:p>
        </w:tc>
        <w:tc>
          <w:tcPr>
            <w:tcW w:w="2870" w:type="dxa"/>
            <w:shd w:val="clear" w:color="auto" w:fill="FFFFFF"/>
            <w:vAlign w:val="bottom"/>
          </w:tcPr>
          <w:p w14:paraId="23069053" w14:textId="77777777" w:rsidR="00924992" w:rsidRDefault="00924992">
            <w:pPr>
              <w:pStyle w:val="Other0"/>
              <w:framePr w:w="11246" w:h="754" w:wrap="none" w:hAnchor="page" w:x="678" w:y="4105"/>
              <w:spacing w:line="240" w:lineRule="auto"/>
              <w:ind w:firstLine="0"/>
              <w:rPr>
                <w:sz w:val="16"/>
                <w:szCs w:val="16"/>
              </w:rPr>
            </w:pPr>
            <w:r>
              <w:rPr>
                <w:rFonts w:ascii="Times New Roman" w:eastAsia="Times New Roman" w:hAnsi="Times New Roman" w:cs="Times New Roman"/>
                <w:color w:val="000000"/>
                <w:sz w:val="16"/>
                <w:szCs w:val="16"/>
              </w:rPr>
              <w:t>400 mg una vez</w:t>
            </w:r>
          </w:p>
        </w:tc>
      </w:tr>
      <w:tr w:rsidR="00924992" w14:paraId="3EAE7DC8" w14:textId="77777777">
        <w:tblPrEx>
          <w:tblCellMar>
            <w:top w:w="0" w:type="dxa"/>
            <w:bottom w:w="0" w:type="dxa"/>
          </w:tblCellMar>
        </w:tblPrEx>
        <w:trPr>
          <w:trHeight w:hRule="exact" w:val="221"/>
        </w:trPr>
        <w:tc>
          <w:tcPr>
            <w:tcW w:w="2294" w:type="dxa"/>
            <w:shd w:val="clear" w:color="auto" w:fill="FFFFFF"/>
            <w:vAlign w:val="bottom"/>
          </w:tcPr>
          <w:p w14:paraId="78376A6A" w14:textId="77777777" w:rsidR="00924992" w:rsidRDefault="00924992">
            <w:pPr>
              <w:pStyle w:val="Other0"/>
              <w:framePr w:w="11246" w:h="754" w:wrap="none" w:hAnchor="page" w:x="678" w:y="4105"/>
              <w:spacing w:line="240" w:lineRule="auto"/>
              <w:ind w:firstLine="0"/>
              <w:rPr>
                <w:sz w:val="16"/>
                <w:szCs w:val="16"/>
              </w:rPr>
            </w:pPr>
            <w:r>
              <w:rPr>
                <w:rFonts w:ascii="Times New Roman" w:eastAsia="Times New Roman" w:hAnsi="Times New Roman" w:cs="Times New Roman"/>
                <w:b/>
                <w:bCs/>
                <w:color w:val="000000"/>
                <w:sz w:val="16"/>
                <w:szCs w:val="16"/>
              </w:rPr>
              <w:t>O</w:t>
            </w:r>
          </w:p>
        </w:tc>
        <w:tc>
          <w:tcPr>
            <w:tcW w:w="2678" w:type="dxa"/>
            <w:shd w:val="clear" w:color="auto" w:fill="FFFFFF"/>
            <w:vAlign w:val="bottom"/>
          </w:tcPr>
          <w:p w14:paraId="00FA5AD3" w14:textId="77777777" w:rsidR="00924992" w:rsidRDefault="00924992">
            <w:pPr>
              <w:pStyle w:val="Other0"/>
              <w:framePr w:w="11246" w:h="754" w:wrap="none" w:hAnchor="page" w:x="678" w:y="4105"/>
              <w:spacing w:line="240" w:lineRule="auto"/>
              <w:ind w:firstLine="560"/>
              <w:rPr>
                <w:sz w:val="16"/>
                <w:szCs w:val="16"/>
              </w:rPr>
            </w:pPr>
            <w:r>
              <w:rPr>
                <w:rFonts w:ascii="Times New Roman" w:eastAsia="Times New Roman" w:hAnsi="Times New Roman" w:cs="Times New Roman"/>
                <w:color w:val="000000"/>
                <w:sz w:val="16"/>
                <w:szCs w:val="16"/>
              </w:rPr>
              <w:t>Mebendazol</w:t>
            </w:r>
          </w:p>
        </w:tc>
        <w:tc>
          <w:tcPr>
            <w:tcW w:w="3403" w:type="dxa"/>
            <w:shd w:val="clear" w:color="auto" w:fill="FFFFFF"/>
            <w:vAlign w:val="bottom"/>
          </w:tcPr>
          <w:p w14:paraId="1F7AFCF0" w14:textId="77777777" w:rsidR="00924992" w:rsidRDefault="00924992">
            <w:pPr>
              <w:pStyle w:val="Other0"/>
              <w:framePr w:w="11246" w:h="754" w:wrap="none" w:hAnchor="page" w:x="678" w:y="4105"/>
              <w:spacing w:line="240" w:lineRule="auto"/>
              <w:ind w:firstLine="660"/>
              <w:rPr>
                <w:sz w:val="16"/>
                <w:szCs w:val="16"/>
              </w:rPr>
            </w:pPr>
            <w:r>
              <w:rPr>
                <w:rFonts w:ascii="Times New Roman" w:eastAsia="Times New Roman" w:hAnsi="Times New Roman" w:cs="Times New Roman"/>
                <w:color w:val="000000"/>
                <w:sz w:val="16"/>
                <w:szCs w:val="16"/>
              </w:rPr>
              <w:t xml:space="preserve">100 mg bid </w:t>
            </w:r>
            <w:r>
              <w:rPr>
                <w:color w:val="000000"/>
              </w:rPr>
              <w:t xml:space="preserve">x </w:t>
            </w:r>
            <w:r>
              <w:rPr>
                <w:rFonts w:ascii="Times New Roman" w:eastAsia="Times New Roman" w:hAnsi="Times New Roman" w:cs="Times New Roman"/>
                <w:color w:val="000000"/>
                <w:sz w:val="16"/>
                <w:szCs w:val="16"/>
              </w:rPr>
              <w:t>3 días o 500 mg una vez</w:t>
            </w:r>
          </w:p>
        </w:tc>
        <w:tc>
          <w:tcPr>
            <w:tcW w:w="2870" w:type="dxa"/>
            <w:shd w:val="clear" w:color="auto" w:fill="FFFFFF"/>
            <w:vAlign w:val="bottom"/>
          </w:tcPr>
          <w:p w14:paraId="4C464413" w14:textId="77777777" w:rsidR="00924992" w:rsidRDefault="00924992">
            <w:pPr>
              <w:pStyle w:val="Other0"/>
              <w:framePr w:w="11246" w:h="754" w:wrap="none" w:hAnchor="page" w:x="678" w:y="4105"/>
              <w:spacing w:line="240" w:lineRule="auto"/>
              <w:ind w:firstLine="0"/>
              <w:rPr>
                <w:sz w:val="16"/>
                <w:szCs w:val="16"/>
              </w:rPr>
            </w:pPr>
            <w:r>
              <w:rPr>
                <w:rFonts w:ascii="Times New Roman" w:eastAsia="Times New Roman" w:hAnsi="Times New Roman" w:cs="Times New Roman"/>
                <w:color w:val="000000"/>
                <w:sz w:val="16"/>
                <w:szCs w:val="16"/>
              </w:rPr>
              <w:t xml:space="preserve">100 mg bid </w:t>
            </w:r>
            <w:r>
              <w:rPr>
                <w:color w:val="000000"/>
              </w:rPr>
              <w:t xml:space="preserve">x </w:t>
            </w:r>
            <w:r>
              <w:rPr>
                <w:rFonts w:ascii="Times New Roman" w:eastAsia="Times New Roman" w:hAnsi="Times New Roman" w:cs="Times New Roman"/>
                <w:color w:val="000000"/>
                <w:sz w:val="16"/>
                <w:szCs w:val="16"/>
              </w:rPr>
              <w:t>3 días o 500 mg una vez</w:t>
            </w:r>
          </w:p>
        </w:tc>
      </w:tr>
      <w:tr w:rsidR="00924992" w14:paraId="058E6452" w14:textId="77777777">
        <w:tblPrEx>
          <w:tblCellMar>
            <w:top w:w="0" w:type="dxa"/>
            <w:bottom w:w="0" w:type="dxa"/>
          </w:tblCellMar>
        </w:tblPrEx>
        <w:trPr>
          <w:trHeight w:hRule="exact" w:val="317"/>
        </w:trPr>
        <w:tc>
          <w:tcPr>
            <w:tcW w:w="2294" w:type="dxa"/>
            <w:tcBorders>
              <w:bottom w:val="single" w:sz="4" w:space="0" w:color="auto"/>
            </w:tcBorders>
            <w:shd w:val="clear" w:color="auto" w:fill="FFFFFF"/>
          </w:tcPr>
          <w:p w14:paraId="471C40F7" w14:textId="77777777" w:rsidR="00924992" w:rsidRDefault="00924992">
            <w:pPr>
              <w:pStyle w:val="Other0"/>
              <w:framePr w:w="11246" w:h="754" w:wrap="none" w:hAnchor="page" w:x="678" w:y="4105"/>
              <w:spacing w:line="240" w:lineRule="auto"/>
              <w:ind w:firstLine="0"/>
              <w:rPr>
                <w:sz w:val="16"/>
                <w:szCs w:val="16"/>
              </w:rPr>
            </w:pPr>
            <w:r>
              <w:rPr>
                <w:rFonts w:ascii="Times New Roman" w:eastAsia="Times New Roman" w:hAnsi="Times New Roman" w:cs="Times New Roman"/>
                <w:b/>
                <w:bCs/>
                <w:color w:val="000000"/>
                <w:sz w:val="16"/>
                <w:szCs w:val="16"/>
              </w:rPr>
              <w:t>O</w:t>
            </w:r>
          </w:p>
        </w:tc>
        <w:tc>
          <w:tcPr>
            <w:tcW w:w="2678" w:type="dxa"/>
            <w:tcBorders>
              <w:bottom w:val="single" w:sz="4" w:space="0" w:color="auto"/>
            </w:tcBorders>
            <w:shd w:val="clear" w:color="auto" w:fill="FFFFFF"/>
          </w:tcPr>
          <w:p w14:paraId="21F51F5F" w14:textId="77777777" w:rsidR="00924992" w:rsidRDefault="00924992">
            <w:pPr>
              <w:pStyle w:val="Other0"/>
              <w:framePr w:w="11246" w:h="754" w:wrap="none" w:hAnchor="page" w:x="678" w:y="4105"/>
              <w:spacing w:line="240" w:lineRule="auto"/>
              <w:ind w:firstLine="560"/>
              <w:rPr>
                <w:sz w:val="16"/>
                <w:szCs w:val="16"/>
              </w:rPr>
            </w:pPr>
            <w:r>
              <w:rPr>
                <w:rFonts w:ascii="Times New Roman" w:eastAsia="Times New Roman" w:hAnsi="Times New Roman" w:cs="Times New Roman"/>
                <w:color w:val="000000"/>
                <w:sz w:val="16"/>
                <w:szCs w:val="16"/>
              </w:rPr>
              <w:t>Pamoato de pirantel</w:t>
            </w:r>
            <w:r>
              <w:rPr>
                <w:rFonts w:ascii="Times New Roman" w:eastAsia="Times New Roman" w:hAnsi="Times New Roman" w:cs="Times New Roman"/>
                <w:color w:val="000000"/>
                <w:sz w:val="16"/>
                <w:szCs w:val="16"/>
                <w:vertAlign w:val="superscript"/>
              </w:rPr>
              <w:t>3</w:t>
            </w:r>
          </w:p>
        </w:tc>
        <w:tc>
          <w:tcPr>
            <w:tcW w:w="3403" w:type="dxa"/>
            <w:tcBorders>
              <w:bottom w:val="single" w:sz="4" w:space="0" w:color="auto"/>
            </w:tcBorders>
            <w:shd w:val="clear" w:color="auto" w:fill="FFFFFF"/>
          </w:tcPr>
          <w:p w14:paraId="53C1389B" w14:textId="77777777" w:rsidR="00924992" w:rsidRDefault="00924992">
            <w:pPr>
              <w:pStyle w:val="Other0"/>
              <w:framePr w:w="11246" w:h="754" w:wrap="none" w:hAnchor="page" w:x="678" w:y="4105"/>
              <w:spacing w:line="240" w:lineRule="auto"/>
              <w:ind w:firstLine="660"/>
              <w:rPr>
                <w:sz w:val="16"/>
                <w:szCs w:val="16"/>
              </w:rPr>
            </w:pPr>
            <w:r>
              <w:rPr>
                <w:rFonts w:ascii="Times New Roman" w:eastAsia="Times New Roman" w:hAnsi="Times New Roman" w:cs="Times New Roman"/>
                <w:color w:val="000000"/>
                <w:sz w:val="16"/>
                <w:szCs w:val="16"/>
              </w:rPr>
              <w:t xml:space="preserve">11 mg/kg (máx. 1 g) </w:t>
            </w:r>
            <w:r>
              <w:rPr>
                <w:color w:val="000000"/>
              </w:rPr>
              <w:t xml:space="preserve">x </w:t>
            </w:r>
            <w:r>
              <w:rPr>
                <w:rFonts w:ascii="Times New Roman" w:eastAsia="Times New Roman" w:hAnsi="Times New Roman" w:cs="Times New Roman"/>
                <w:color w:val="000000"/>
                <w:sz w:val="16"/>
                <w:szCs w:val="16"/>
              </w:rPr>
              <w:t>3 días</w:t>
            </w:r>
          </w:p>
        </w:tc>
        <w:tc>
          <w:tcPr>
            <w:tcW w:w="2870" w:type="dxa"/>
            <w:tcBorders>
              <w:bottom w:val="single" w:sz="4" w:space="0" w:color="auto"/>
            </w:tcBorders>
            <w:shd w:val="clear" w:color="auto" w:fill="FFFFFF"/>
          </w:tcPr>
          <w:p w14:paraId="36A57BE2" w14:textId="77777777" w:rsidR="00924992" w:rsidRDefault="00924992">
            <w:pPr>
              <w:pStyle w:val="Other0"/>
              <w:framePr w:w="11246" w:h="754" w:wrap="none" w:hAnchor="page" w:x="678" w:y="4105"/>
              <w:spacing w:line="240" w:lineRule="auto"/>
              <w:ind w:firstLine="0"/>
              <w:rPr>
                <w:sz w:val="16"/>
                <w:szCs w:val="16"/>
              </w:rPr>
            </w:pPr>
            <w:r>
              <w:rPr>
                <w:rFonts w:ascii="Times New Roman" w:eastAsia="Times New Roman" w:hAnsi="Times New Roman" w:cs="Times New Roman"/>
                <w:color w:val="000000"/>
                <w:sz w:val="16"/>
                <w:szCs w:val="16"/>
              </w:rPr>
              <w:t xml:space="preserve">11 mg/kg (máx. 1 g) </w:t>
            </w:r>
            <w:r>
              <w:rPr>
                <w:color w:val="000000"/>
              </w:rPr>
              <w:t xml:space="preserve">x </w:t>
            </w:r>
            <w:r>
              <w:rPr>
                <w:rFonts w:ascii="Times New Roman" w:eastAsia="Times New Roman" w:hAnsi="Times New Roman" w:cs="Times New Roman"/>
                <w:color w:val="000000"/>
                <w:sz w:val="16"/>
                <w:szCs w:val="16"/>
              </w:rPr>
              <w:t>3 días</w:t>
            </w:r>
          </w:p>
        </w:tc>
      </w:tr>
    </w:tbl>
    <w:p w14:paraId="42AB61C0" w14:textId="77777777" w:rsidR="00924992" w:rsidRDefault="00924992">
      <w:pPr>
        <w:framePr w:w="11246" w:h="754" w:wrap="none" w:hAnchor="page" w:x="678" w:y="4105"/>
        <w:spacing w:line="1" w:lineRule="exact"/>
      </w:pPr>
    </w:p>
    <w:p w14:paraId="43D1D2EC" w14:textId="77777777" w:rsidR="00924992" w:rsidRDefault="00924992">
      <w:pPr>
        <w:pStyle w:val="Bodytext20"/>
        <w:framePr w:w="11141" w:h="1752" w:wrap="none" w:hAnchor="page" w:x="649" w:y="4979"/>
        <w:numPr>
          <w:ilvl w:val="0"/>
          <w:numId w:val="142"/>
        </w:numPr>
        <w:tabs>
          <w:tab w:val="left" w:pos="370"/>
        </w:tabs>
        <w:spacing w:line="266" w:lineRule="auto"/>
        <w:ind w:left="380" w:hanging="380"/>
        <w:rPr>
          <w:sz w:val="15"/>
          <w:szCs w:val="15"/>
        </w:rPr>
      </w:pPr>
      <w:bookmarkStart w:id="647" w:name="bookmark2076"/>
      <w:bookmarkEnd w:id="647"/>
      <w:r>
        <w:rPr>
          <w:color w:val="000000"/>
          <w:sz w:val="15"/>
          <w:szCs w:val="15"/>
        </w:rPr>
        <w:t>No hay garantía de que algún régimen farmacoteràpico proteja contra el paludismo. Si surge fiebre en término de 12 meses (particularmente en los primeros dos meses) de haber viajado a zonas palúdicas, habrá que recomendar a los viajeros que busquen atención médica. Complementos importantes de la profilaxia contra el paludismo son los repelentes de insectos, mosquiteros impregnados de insecticidas y el uso de ropas apropiadas.</w:t>
      </w:r>
    </w:p>
    <w:p w14:paraId="63958F35" w14:textId="77777777" w:rsidR="00924992" w:rsidRDefault="00924992">
      <w:pPr>
        <w:pStyle w:val="Bodytext20"/>
        <w:framePr w:w="11141" w:h="1752" w:wrap="none" w:hAnchor="page" w:x="649" w:y="4979"/>
        <w:numPr>
          <w:ilvl w:val="0"/>
          <w:numId w:val="142"/>
        </w:numPr>
        <w:tabs>
          <w:tab w:val="left" w:pos="374"/>
        </w:tabs>
        <w:spacing w:line="266" w:lineRule="auto"/>
        <w:jc w:val="both"/>
        <w:rPr>
          <w:sz w:val="15"/>
          <w:szCs w:val="15"/>
        </w:rPr>
      </w:pPr>
      <w:bookmarkStart w:id="648" w:name="bookmark2077"/>
      <w:bookmarkEnd w:id="648"/>
      <w:r>
        <w:rPr>
          <w:color w:val="000000"/>
          <w:sz w:val="15"/>
          <w:szCs w:val="15"/>
        </w:rPr>
        <w:t>En el embarazo se ha utilizado en forma amplia y segura la profilaxia con cloroquina.</w:t>
      </w:r>
    </w:p>
    <w:p w14:paraId="7BA3DE89" w14:textId="77777777" w:rsidR="00924992" w:rsidRDefault="00924992">
      <w:pPr>
        <w:pStyle w:val="Bodytext20"/>
        <w:framePr w:w="11141" w:h="1752" w:wrap="none" w:hAnchor="page" w:x="649" w:y="4979"/>
        <w:numPr>
          <w:ilvl w:val="0"/>
          <w:numId w:val="142"/>
        </w:numPr>
        <w:tabs>
          <w:tab w:val="left" w:pos="374"/>
        </w:tabs>
        <w:spacing w:line="266" w:lineRule="auto"/>
        <w:ind w:left="380" w:hanging="380"/>
        <w:rPr>
          <w:sz w:val="15"/>
          <w:szCs w:val="15"/>
        </w:rPr>
      </w:pPr>
      <w:bookmarkStart w:id="649" w:name="bookmark2078"/>
      <w:bookmarkEnd w:id="649"/>
      <w:r>
        <w:rPr>
          <w:color w:val="000000"/>
          <w:sz w:val="15"/>
          <w:szCs w:val="15"/>
        </w:rPr>
        <w:t xml:space="preserve">Para evitar el ataque después de salir de zonas endémicas de </w:t>
      </w:r>
      <w:r>
        <w:rPr>
          <w:i/>
          <w:iCs/>
          <w:color w:val="000000"/>
          <w:sz w:val="15"/>
          <w:szCs w:val="15"/>
        </w:rPr>
        <w:t>P vivax</w:t>
      </w:r>
      <w:r>
        <w:rPr>
          <w:color w:val="000000"/>
          <w:sz w:val="15"/>
          <w:szCs w:val="15"/>
        </w:rPr>
        <w:t xml:space="preserve">y </w:t>
      </w:r>
      <w:r>
        <w:rPr>
          <w:i/>
          <w:iCs/>
          <w:color w:val="000000"/>
          <w:sz w:val="15"/>
          <w:szCs w:val="15"/>
        </w:rPr>
        <w:t>P ovale,</w:t>
      </w:r>
      <w:r>
        <w:rPr>
          <w:color w:val="000000"/>
          <w:sz w:val="15"/>
          <w:szCs w:val="15"/>
        </w:rPr>
        <w:t xml:space="preserve"> que incluye casi todas las áreas en que se detecta paludismo (excepto Haití), algunos expertos recetan además fosfato de primaquina a razón de 26.3 mg (15 mg del fármaco base)/día o en niños, 0.3 mg del fármaco base/kg de peso/día en las últimas dos semanas de la profilaxia. Otros prefieren no desencadenar los efectos tóxicos de la primaquina y se basan en la vigilancia para detectar los casos cuando surjan, particularmente cuando la exposición fue escasa o dudosa. Véanse los pies de cuadro 67 y 72.</w:t>
      </w:r>
    </w:p>
    <w:p w14:paraId="589D1864" w14:textId="77777777" w:rsidR="00924992" w:rsidRDefault="00924992">
      <w:pPr>
        <w:pStyle w:val="Bodytext20"/>
        <w:framePr w:w="11141" w:h="1752" w:wrap="none" w:hAnchor="page" w:x="649" w:y="4979"/>
        <w:numPr>
          <w:ilvl w:val="0"/>
          <w:numId w:val="142"/>
        </w:numPr>
        <w:tabs>
          <w:tab w:val="left" w:pos="374"/>
        </w:tabs>
        <w:spacing w:line="266" w:lineRule="auto"/>
        <w:jc w:val="both"/>
        <w:rPr>
          <w:sz w:val="15"/>
          <w:szCs w:val="15"/>
        </w:rPr>
      </w:pPr>
      <w:bookmarkStart w:id="650" w:name="bookmark2079"/>
      <w:bookmarkEnd w:id="650"/>
      <w:r>
        <w:rPr>
          <w:color w:val="000000"/>
          <w:sz w:val="15"/>
          <w:szCs w:val="15"/>
        </w:rPr>
        <w:t>Se comenzará una o dos semanas antes del viaje y se continuará cada semana durante el tiempo de permanencia y cuatro semanas después de haber salido de la zona.</w:t>
      </w:r>
    </w:p>
    <w:p w14:paraId="1DBDA074" w14:textId="77777777" w:rsidR="00924992" w:rsidRDefault="00924992">
      <w:pPr>
        <w:pStyle w:val="Bodytext80"/>
        <w:framePr w:w="192" w:h="4536" w:hRule="exact" w:wrap="none" w:hAnchor="page" w:x="12390" w:y="44"/>
        <w:tabs>
          <w:tab w:val="left" w:pos="2338"/>
        </w:tabs>
        <w:textDirection w:val="tbRl"/>
      </w:pPr>
      <w:r>
        <w:rPr>
          <w:sz w:val="16"/>
          <w:szCs w:val="16"/>
        </w:rPr>
        <w:t>802</w:t>
      </w:r>
      <w:r>
        <w:rPr>
          <w:sz w:val="16"/>
          <w:szCs w:val="16"/>
        </w:rPr>
        <w:tab/>
      </w:r>
      <w:r>
        <w:t>FÁRMACOS ANTIPARASITARIOS</w:t>
      </w:r>
    </w:p>
    <w:p w14:paraId="0EC139BE" w14:textId="77777777" w:rsidR="00924992" w:rsidRDefault="00924992">
      <w:pPr>
        <w:spacing w:line="360" w:lineRule="exact"/>
      </w:pPr>
    </w:p>
    <w:p w14:paraId="25D0D8F6" w14:textId="77777777" w:rsidR="00924992" w:rsidRDefault="00924992">
      <w:pPr>
        <w:spacing w:line="360" w:lineRule="exact"/>
      </w:pPr>
    </w:p>
    <w:p w14:paraId="58200BEA" w14:textId="77777777" w:rsidR="00924992" w:rsidRDefault="00924992">
      <w:pPr>
        <w:spacing w:line="360" w:lineRule="exact"/>
      </w:pPr>
    </w:p>
    <w:p w14:paraId="6075F2D6" w14:textId="77777777" w:rsidR="00924992" w:rsidRDefault="00924992">
      <w:pPr>
        <w:spacing w:line="360" w:lineRule="exact"/>
      </w:pPr>
    </w:p>
    <w:p w14:paraId="27F1EBFD" w14:textId="77777777" w:rsidR="00924992" w:rsidRDefault="00924992">
      <w:pPr>
        <w:spacing w:line="360" w:lineRule="exact"/>
      </w:pPr>
    </w:p>
    <w:p w14:paraId="06F70023" w14:textId="77777777" w:rsidR="00924992" w:rsidRDefault="00924992">
      <w:pPr>
        <w:spacing w:line="360" w:lineRule="exact"/>
      </w:pPr>
    </w:p>
    <w:p w14:paraId="4CCCED2C" w14:textId="77777777" w:rsidR="00924992" w:rsidRDefault="00924992">
      <w:pPr>
        <w:spacing w:line="360" w:lineRule="exact"/>
      </w:pPr>
    </w:p>
    <w:p w14:paraId="6CB37C23" w14:textId="77777777" w:rsidR="00924992" w:rsidRDefault="00924992">
      <w:pPr>
        <w:spacing w:line="360" w:lineRule="exact"/>
      </w:pPr>
    </w:p>
    <w:p w14:paraId="3CAE2BAC" w14:textId="77777777" w:rsidR="00924992" w:rsidRDefault="00924992">
      <w:pPr>
        <w:spacing w:line="360" w:lineRule="exact"/>
      </w:pPr>
    </w:p>
    <w:p w14:paraId="00CE4120" w14:textId="77777777" w:rsidR="00924992" w:rsidRDefault="00924992">
      <w:pPr>
        <w:spacing w:line="360" w:lineRule="exact"/>
      </w:pPr>
    </w:p>
    <w:p w14:paraId="03A521B9" w14:textId="77777777" w:rsidR="00924992" w:rsidRDefault="00924992">
      <w:pPr>
        <w:spacing w:line="360" w:lineRule="exact"/>
      </w:pPr>
    </w:p>
    <w:p w14:paraId="710B796B" w14:textId="77777777" w:rsidR="00924992" w:rsidRDefault="00924992">
      <w:pPr>
        <w:spacing w:line="360" w:lineRule="exact"/>
      </w:pPr>
    </w:p>
    <w:p w14:paraId="603DE095" w14:textId="77777777" w:rsidR="00924992" w:rsidRDefault="00924992">
      <w:pPr>
        <w:spacing w:line="360" w:lineRule="exact"/>
      </w:pPr>
    </w:p>
    <w:p w14:paraId="40DDA57F" w14:textId="77777777" w:rsidR="00924992" w:rsidRDefault="00924992">
      <w:pPr>
        <w:spacing w:line="360" w:lineRule="exact"/>
      </w:pPr>
    </w:p>
    <w:p w14:paraId="1222CC29" w14:textId="77777777" w:rsidR="00924992" w:rsidRDefault="00924992">
      <w:pPr>
        <w:spacing w:line="360" w:lineRule="exact"/>
      </w:pPr>
    </w:p>
    <w:p w14:paraId="5BFEFE42" w14:textId="77777777" w:rsidR="00924992" w:rsidRDefault="00924992">
      <w:pPr>
        <w:spacing w:line="360" w:lineRule="exact"/>
      </w:pPr>
    </w:p>
    <w:p w14:paraId="606D211C" w14:textId="77777777" w:rsidR="00924992" w:rsidRDefault="00924992">
      <w:pPr>
        <w:spacing w:line="360" w:lineRule="exact"/>
      </w:pPr>
    </w:p>
    <w:p w14:paraId="559C2808" w14:textId="77777777" w:rsidR="00924992" w:rsidRDefault="00924992">
      <w:pPr>
        <w:spacing w:after="609" w:line="1" w:lineRule="exact"/>
      </w:pPr>
    </w:p>
    <w:p w14:paraId="62B89438" w14:textId="77777777" w:rsidR="00924992" w:rsidRDefault="00924992">
      <w:pPr>
        <w:spacing w:line="1" w:lineRule="exact"/>
        <w:sectPr w:rsidR="00924992" w:rsidSect="00924992">
          <w:pgSz w:w="13022" w:h="8501" w:orient="landscape"/>
          <w:pgMar w:top="461" w:right="442" w:bottom="995" w:left="634" w:header="0" w:footer="3" w:gutter="0"/>
          <w:cols w:space="720"/>
          <w:noEndnote/>
          <w:docGrid w:linePitch="360"/>
          <w15:footnoteColumns w:val="1"/>
        </w:sectPr>
      </w:pPr>
    </w:p>
    <w:p w14:paraId="5E1B15F6" w14:textId="77777777" w:rsidR="00924992" w:rsidRDefault="00924992">
      <w:pPr>
        <w:pStyle w:val="Heading31"/>
        <w:keepNext/>
        <w:keepLines/>
        <w:jc w:val="center"/>
        <w:rPr>
          <w:sz w:val="16"/>
          <w:szCs w:val="16"/>
        </w:rPr>
      </w:pPr>
      <w:bookmarkStart w:id="651" w:name="bookmark2092"/>
      <w:bookmarkStart w:id="652" w:name="bookmark2093"/>
      <w:bookmarkStart w:id="653" w:name="bookmark2094"/>
      <w:r>
        <w:rPr>
          <w:b w:val="0"/>
          <w:bCs w:val="0"/>
          <w:color w:val="000000"/>
        </w:rPr>
        <w:t xml:space="preserve">Cuadro 4-13. </w:t>
      </w:r>
      <w:r>
        <w:rPr>
          <w:color w:val="000000"/>
        </w:rPr>
        <w:t xml:space="preserve">Fármacos antiparasitarios </w:t>
      </w:r>
      <w:r>
        <w:rPr>
          <w:rFonts w:ascii="Times New Roman" w:eastAsia="Times New Roman" w:hAnsi="Times New Roman" w:cs="Times New Roman"/>
          <w:b w:val="0"/>
          <w:bCs w:val="0"/>
          <w:i/>
          <w:iCs/>
          <w:color w:val="000000"/>
          <w:w w:val="100"/>
          <w:sz w:val="16"/>
          <w:szCs w:val="16"/>
        </w:rPr>
        <w:t>continuación</w:t>
      </w:r>
      <w:bookmarkEnd w:id="651"/>
      <w:bookmarkEnd w:id="652"/>
      <w:bookmarkEnd w:id="653"/>
    </w:p>
    <w:p w14:paraId="5026749A" w14:textId="77777777" w:rsidR="00924992" w:rsidRDefault="00924992">
      <w:pPr>
        <w:spacing w:line="1" w:lineRule="exact"/>
        <w:sectPr w:rsidR="00924992" w:rsidSect="00924992">
          <w:pgSz w:w="13022" w:h="8501" w:orient="landscape"/>
          <w:pgMar w:top="1099" w:right="994" w:bottom="304" w:left="648" w:header="0" w:footer="3" w:gutter="0"/>
          <w:cols w:space="720"/>
          <w:noEndnote/>
          <w:docGrid w:linePitch="360"/>
          <w15:footnoteColumns w:val="1"/>
        </w:sectPr>
      </w:pPr>
      <w:r>
        <w:rPr>
          <w:noProof/>
        </w:rPr>
        <mc:AlternateContent>
          <mc:Choice Requires="wps">
            <w:drawing>
              <wp:anchor distT="0" distB="2540" distL="0" distR="0" simplePos="0" relativeHeight="251727872" behindDoc="0" locked="0" layoutInCell="1" allowOverlap="1" wp14:anchorId="3865464B" wp14:editId="204677D4">
                <wp:simplePos x="0" y="0"/>
                <wp:positionH relativeFrom="page">
                  <wp:posOffset>433070</wp:posOffset>
                </wp:positionH>
                <wp:positionV relativeFrom="paragraph">
                  <wp:posOffset>0</wp:posOffset>
                </wp:positionV>
                <wp:extent cx="487680" cy="189230"/>
                <wp:effectExtent l="0" t="0" r="0" b="0"/>
                <wp:wrapTopAndBottom/>
                <wp:docPr id="2460" name="Shape 2460"/>
                <wp:cNvGraphicFramePr/>
                <a:graphic xmlns:a="http://schemas.openxmlformats.org/drawingml/2006/main">
                  <a:graphicData uri="http://schemas.microsoft.com/office/word/2010/wordprocessingShape">
                    <wps:wsp>
                      <wps:cNvSpPr txBox="1"/>
                      <wps:spPr>
                        <a:xfrm>
                          <a:off x="0" y="0"/>
                          <a:ext cx="487680" cy="189230"/>
                        </a:xfrm>
                        <a:prstGeom prst="rect">
                          <a:avLst/>
                        </a:prstGeom>
                        <a:noFill/>
                      </wps:spPr>
                      <wps:txbx>
                        <w:txbxContent>
                          <w:p w14:paraId="1F21EAED" w14:textId="77777777" w:rsidR="00924992" w:rsidRDefault="00924992">
                            <w:pPr>
                              <w:pStyle w:val="Heading41"/>
                              <w:keepNext/>
                              <w:keepLines/>
                              <w:pBdr>
                                <w:top w:val="single" w:sz="0" w:space="0" w:color="000000"/>
                                <w:left w:val="single" w:sz="0" w:space="0" w:color="000000"/>
                                <w:bottom w:val="single" w:sz="0" w:space="0" w:color="000000"/>
                                <w:right w:val="single" w:sz="0" w:space="0" w:color="000000"/>
                              </w:pBdr>
                              <w:shd w:val="clear" w:color="auto" w:fill="000000"/>
                            </w:pPr>
                            <w:bookmarkStart w:id="654" w:name="bookmark2080"/>
                            <w:bookmarkStart w:id="655" w:name="bookmark2081"/>
                            <w:bookmarkStart w:id="656" w:name="bookmark2082"/>
                            <w:r>
                              <w:rPr>
                                <w:color w:val="FFFFFF"/>
                              </w:rPr>
                              <w:t>Infección</w:t>
                            </w:r>
                            <w:bookmarkEnd w:id="654"/>
                            <w:bookmarkEnd w:id="655"/>
                            <w:bookmarkEnd w:id="656"/>
                          </w:p>
                        </w:txbxContent>
                      </wps:txbx>
                      <wps:bodyPr wrap="none" lIns="0" tIns="0" rIns="0" bIns="0"/>
                    </wps:wsp>
                  </a:graphicData>
                </a:graphic>
              </wp:anchor>
            </w:drawing>
          </mc:Choice>
          <mc:Fallback>
            <w:pict>
              <v:shape w14:anchorId="3865464B" id="Shape 2460" o:spid="_x0000_s1109" type="#_x0000_t202" style="position:absolute;margin-left:34.1pt;margin-top:0;width:38.4pt;height:14.9pt;z-index:251727872;visibility:visible;mso-wrap-style:none;mso-wrap-distance-left:0;mso-wrap-distance-top:0;mso-wrap-distance-right:0;mso-wrap-distance-bottom:.2pt;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" filled="f" stroked="f">
                <v:textbox inset="0,0,0,0">
                  <w:txbxContent>
                    <w:p w14:paraId="1F21EAED" w14:textId="77777777" w:rsidR="00924992" w:rsidRDefault="00924992">
                      <w:pPr>
                        <w:pStyle w:val="Heading41"/>
                        <w:keepNext/>
                        <w:keepLines/>
                        <w:pBdr>
                          <w:top w:val="single" w:sz="0" w:space="0" w:color="000000"/>
                          <w:left w:val="single" w:sz="0" w:space="0" w:color="000000"/>
                          <w:bottom w:val="single" w:sz="0" w:space="0" w:color="000000"/>
                          <w:right w:val="single" w:sz="0" w:space="0" w:color="000000"/>
                        </w:pBdr>
                        <w:shd w:val="clear" w:color="auto" w:fill="000000"/>
                      </w:pPr>
                      <w:bookmarkStart w:id="657" w:name="bookmark2080"/>
                      <w:bookmarkStart w:id="658" w:name="bookmark2081"/>
                      <w:bookmarkStart w:id="659" w:name="bookmark2082"/>
                      <w:r>
                        <w:rPr>
                          <w:color w:val="FFFFFF"/>
                        </w:rPr>
                        <w:t>Infección</w:t>
                      </w:r>
                      <w:bookmarkEnd w:id="657"/>
                      <w:bookmarkEnd w:id="658"/>
                      <w:bookmarkEnd w:id="659"/>
                    </w:p>
                  </w:txbxContent>
                </v:textbox>
                <w10:wrap type="topAndBottom" anchorx="page"/>
              </v:shape>
            </w:pict>
          </mc:Fallback>
        </mc:AlternateContent>
      </w:r>
      <w:r>
        <w:rPr>
          <w:noProof/>
        </w:rPr>
        <mc:AlternateContent>
          <mc:Choice Requires="wps">
            <w:drawing>
              <wp:anchor distT="3175" distB="0" distL="0" distR="0" simplePos="0" relativeHeight="251728896" behindDoc="0" locked="0" layoutInCell="1" allowOverlap="1" wp14:anchorId="4A6FBC8F" wp14:editId="3BA18ACC">
                <wp:simplePos x="0" y="0"/>
                <wp:positionH relativeFrom="page">
                  <wp:posOffset>2225040</wp:posOffset>
                </wp:positionH>
                <wp:positionV relativeFrom="paragraph">
                  <wp:posOffset>3175</wp:posOffset>
                </wp:positionV>
                <wp:extent cx="475615" cy="189230"/>
                <wp:effectExtent l="0" t="0" r="0" b="0"/>
                <wp:wrapTopAndBottom/>
                <wp:docPr id="2462" name="Shape 2462"/>
                <wp:cNvGraphicFramePr/>
                <a:graphic xmlns:a="http://schemas.openxmlformats.org/drawingml/2006/main">
                  <a:graphicData uri="http://schemas.microsoft.com/office/word/2010/wordprocessingShape">
                    <wps:wsp>
                      <wps:cNvSpPr txBox="1"/>
                      <wps:spPr>
                        <a:xfrm>
                          <a:off x="0" y="0"/>
                          <a:ext cx="475615" cy="189230"/>
                        </a:xfrm>
                        <a:prstGeom prst="rect">
                          <a:avLst/>
                        </a:prstGeom>
                        <a:noFill/>
                      </wps:spPr>
                      <wps:txbx>
                        <w:txbxContent>
                          <w:p w14:paraId="3A15F5D1" w14:textId="77777777" w:rsidR="00924992" w:rsidRDefault="00924992">
                            <w:pPr>
                              <w:pStyle w:val="Heading41"/>
                              <w:keepNext/>
                              <w:keepLines/>
                              <w:pBdr>
                                <w:top w:val="single" w:sz="0" w:space="0" w:color="000000"/>
                                <w:left w:val="single" w:sz="0" w:space="0" w:color="000000"/>
                                <w:bottom w:val="single" w:sz="0" w:space="0" w:color="000000"/>
                                <w:right w:val="single" w:sz="0" w:space="0" w:color="000000"/>
                              </w:pBdr>
                              <w:shd w:val="clear" w:color="auto" w:fill="000000"/>
                              <w:jc w:val="center"/>
                            </w:pPr>
                            <w:bookmarkStart w:id="660" w:name="bookmark2083"/>
                            <w:bookmarkStart w:id="661" w:name="bookmark2084"/>
                            <w:bookmarkStart w:id="662" w:name="bookmark2085"/>
                            <w:r>
                              <w:rPr>
                                <w:color w:val="FFFFFF"/>
                              </w:rPr>
                              <w:t>Fármaco</w:t>
                            </w:r>
                            <w:bookmarkEnd w:id="660"/>
                            <w:bookmarkEnd w:id="661"/>
                            <w:bookmarkEnd w:id="662"/>
                          </w:p>
                        </w:txbxContent>
                      </wps:txbx>
                      <wps:bodyPr wrap="none" lIns="0" tIns="0" rIns="0" bIns="0"/>
                    </wps:wsp>
                  </a:graphicData>
                </a:graphic>
              </wp:anchor>
            </w:drawing>
          </mc:Choice>
          <mc:Fallback>
            <w:pict>
              <v:shape w14:anchorId="4A6FBC8F" id="Shape 2462" o:spid="_x0000_s1110" type="#_x0000_t202" style="position:absolute;margin-left:175.2pt;margin-top:.25pt;width:37.45pt;height:14.9pt;z-index:251728896;visibility:visible;mso-wrap-style:none;mso-wrap-distance-left:0;mso-wrap-distance-top:.25pt;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" filled="f" stroked="f">
                <v:textbox inset="0,0,0,0">
                  <w:txbxContent>
                    <w:p w14:paraId="3A15F5D1" w14:textId="77777777" w:rsidR="00924992" w:rsidRDefault="00924992">
                      <w:pPr>
                        <w:pStyle w:val="Heading41"/>
                        <w:keepNext/>
                        <w:keepLines/>
                        <w:pBdr>
                          <w:top w:val="single" w:sz="0" w:space="0" w:color="000000"/>
                          <w:left w:val="single" w:sz="0" w:space="0" w:color="000000"/>
                          <w:bottom w:val="single" w:sz="0" w:space="0" w:color="000000"/>
                          <w:right w:val="single" w:sz="0" w:space="0" w:color="000000"/>
                        </w:pBdr>
                        <w:shd w:val="clear" w:color="auto" w:fill="000000"/>
                        <w:jc w:val="center"/>
                      </w:pPr>
                      <w:bookmarkStart w:id="663" w:name="bookmark2083"/>
                      <w:bookmarkStart w:id="664" w:name="bookmark2084"/>
                      <w:bookmarkStart w:id="665" w:name="bookmark2085"/>
                      <w:r>
                        <w:rPr>
                          <w:color w:val="FFFFFF"/>
                        </w:rPr>
                        <w:t>Fármaco</w:t>
                      </w:r>
                      <w:bookmarkEnd w:id="663"/>
                      <w:bookmarkEnd w:id="664"/>
                      <w:bookmarkEnd w:id="665"/>
                    </w:p>
                  </w:txbxContent>
                </v:textbox>
                <w10:wrap type="topAndBottom" anchorx="page"/>
              </v:shape>
            </w:pict>
          </mc:Fallback>
        </mc:AlternateContent>
      </w:r>
      <w:r>
        <w:rPr>
          <w:noProof/>
        </w:rPr>
        <mc:AlternateContent>
          <mc:Choice Requires="wps">
            <w:drawing>
              <wp:anchor distT="3175" distB="0" distL="0" distR="0" simplePos="0" relativeHeight="251729920" behindDoc="0" locked="0" layoutInCell="1" allowOverlap="1" wp14:anchorId="3F568D93" wp14:editId="76821598">
                <wp:simplePos x="0" y="0"/>
                <wp:positionH relativeFrom="page">
                  <wp:posOffset>4026535</wp:posOffset>
                </wp:positionH>
                <wp:positionV relativeFrom="paragraph">
                  <wp:posOffset>3175</wp:posOffset>
                </wp:positionV>
                <wp:extent cx="993775" cy="189230"/>
                <wp:effectExtent l="0" t="0" r="0" b="0"/>
                <wp:wrapTopAndBottom/>
                <wp:docPr id="2464" name="Shape 2464"/>
                <wp:cNvGraphicFramePr/>
                <a:graphic xmlns:a="http://schemas.openxmlformats.org/drawingml/2006/main">
                  <a:graphicData uri="http://schemas.microsoft.com/office/word/2010/wordprocessingShape">
                    <wps:wsp>
                      <wps:cNvSpPr txBox="1"/>
                      <wps:spPr>
                        <a:xfrm>
                          <a:off x="0" y="0"/>
                          <a:ext cx="993775" cy="189230"/>
                        </a:xfrm>
                        <a:prstGeom prst="rect">
                          <a:avLst/>
                        </a:prstGeom>
                        <a:noFill/>
                      </wps:spPr>
                      <wps:txbx>
                        <w:txbxContent>
                          <w:p w14:paraId="26375B8C" w14:textId="77777777" w:rsidR="00924992" w:rsidRDefault="00924992">
                            <w:pPr>
                              <w:pStyle w:val="Heading41"/>
                              <w:keepNext/>
                              <w:keepLines/>
                              <w:pBdr>
                                <w:top w:val="single" w:sz="0" w:space="0" w:color="000000"/>
                                <w:left w:val="single" w:sz="0" w:space="0" w:color="000000"/>
                                <w:bottom w:val="single" w:sz="0" w:space="0" w:color="000000"/>
                                <w:right w:val="single" w:sz="0" w:space="0" w:color="000000"/>
                              </w:pBdr>
                              <w:shd w:val="clear" w:color="auto" w:fill="000000"/>
                              <w:jc w:val="center"/>
                            </w:pPr>
                            <w:bookmarkStart w:id="666" w:name="bookmark2086"/>
                            <w:bookmarkStart w:id="667" w:name="bookmark2087"/>
                            <w:bookmarkStart w:id="668" w:name="bookmark2088"/>
                            <w:r>
                              <w:rPr>
                                <w:color w:val="FFFFFF"/>
                              </w:rPr>
                              <w:t>Dosis para adultos</w:t>
                            </w:r>
                            <w:bookmarkEnd w:id="666"/>
                            <w:bookmarkEnd w:id="667"/>
                            <w:bookmarkEnd w:id="668"/>
                          </w:p>
                        </w:txbxContent>
                      </wps:txbx>
                      <wps:bodyPr wrap="none" lIns="0" tIns="0" rIns="0" bIns="0"/>
                    </wps:wsp>
                  </a:graphicData>
                </a:graphic>
              </wp:anchor>
            </w:drawing>
          </mc:Choice>
          <mc:Fallback>
            <w:pict>
              <v:shape w14:anchorId="3F568D93" id="Shape 2464" o:spid="_x0000_s1111" type="#_x0000_t202" style="position:absolute;margin-left:317.05pt;margin-top:.25pt;width:78.25pt;height:14.9pt;z-index:251729920;visibility:visible;mso-wrap-style:none;mso-wrap-distance-left:0;mso-wrap-distance-top:.25pt;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" filled="f" stroked="f">
                <v:textbox inset="0,0,0,0">
                  <w:txbxContent>
                    <w:p w14:paraId="26375B8C" w14:textId="77777777" w:rsidR="00924992" w:rsidRDefault="00924992">
                      <w:pPr>
                        <w:pStyle w:val="Heading41"/>
                        <w:keepNext/>
                        <w:keepLines/>
                        <w:pBdr>
                          <w:top w:val="single" w:sz="0" w:space="0" w:color="000000"/>
                          <w:left w:val="single" w:sz="0" w:space="0" w:color="000000"/>
                          <w:bottom w:val="single" w:sz="0" w:space="0" w:color="000000"/>
                          <w:right w:val="single" w:sz="0" w:space="0" w:color="000000"/>
                        </w:pBdr>
                        <w:shd w:val="clear" w:color="auto" w:fill="000000"/>
                        <w:jc w:val="center"/>
                      </w:pPr>
                      <w:bookmarkStart w:id="669" w:name="bookmark2086"/>
                      <w:bookmarkStart w:id="670" w:name="bookmark2087"/>
                      <w:bookmarkStart w:id="671" w:name="bookmark2088"/>
                      <w:r>
                        <w:rPr>
                          <w:color w:val="FFFFFF"/>
                        </w:rPr>
                        <w:t>Dosis para adultos</w:t>
                      </w:r>
                      <w:bookmarkEnd w:id="669"/>
                      <w:bookmarkEnd w:id="670"/>
                      <w:bookmarkEnd w:id="671"/>
                    </w:p>
                  </w:txbxContent>
                </v:textbox>
                <w10:wrap type="topAndBottom" anchorx="page"/>
              </v:shape>
            </w:pict>
          </mc:Fallback>
        </mc:AlternateContent>
      </w:r>
      <w:r>
        <w:rPr>
          <w:noProof/>
        </w:rPr>
        <mc:AlternateContent>
          <mc:Choice Requires="wps">
            <w:drawing>
              <wp:anchor distT="3175" distB="0" distL="0" distR="0" simplePos="0" relativeHeight="251730944" behindDoc="0" locked="0" layoutInCell="1" allowOverlap="1" wp14:anchorId="77835636" wp14:editId="048F4856">
                <wp:simplePos x="0" y="0"/>
                <wp:positionH relativeFrom="page">
                  <wp:posOffset>5824855</wp:posOffset>
                </wp:positionH>
                <wp:positionV relativeFrom="paragraph">
                  <wp:posOffset>3175</wp:posOffset>
                </wp:positionV>
                <wp:extent cx="895985" cy="189230"/>
                <wp:effectExtent l="0" t="0" r="0" b="0"/>
                <wp:wrapTopAndBottom/>
                <wp:docPr id="2466" name="Shape 2466"/>
                <wp:cNvGraphicFramePr/>
                <a:graphic xmlns:a="http://schemas.openxmlformats.org/drawingml/2006/main">
                  <a:graphicData uri="http://schemas.microsoft.com/office/word/2010/wordprocessingShape">
                    <wps:wsp>
                      <wps:cNvSpPr txBox="1"/>
                      <wps:spPr>
                        <a:xfrm>
                          <a:off x="0" y="0"/>
                          <a:ext cx="895985" cy="189230"/>
                        </a:xfrm>
                        <a:prstGeom prst="rect">
                          <a:avLst/>
                        </a:prstGeom>
                        <a:noFill/>
                      </wps:spPr>
                      <wps:txbx>
                        <w:txbxContent>
                          <w:p w14:paraId="3E393699" w14:textId="77777777" w:rsidR="00924992" w:rsidRDefault="00924992">
                            <w:pPr>
                              <w:pStyle w:val="Heading41"/>
                              <w:keepNext/>
                              <w:keepLines/>
                              <w:pBdr>
                                <w:top w:val="single" w:sz="0" w:space="0" w:color="000000"/>
                                <w:left w:val="single" w:sz="0" w:space="0" w:color="000000"/>
                                <w:bottom w:val="single" w:sz="0" w:space="0" w:color="000000"/>
                                <w:right w:val="single" w:sz="0" w:space="0" w:color="000000"/>
                              </w:pBdr>
                              <w:shd w:val="clear" w:color="auto" w:fill="000000"/>
                              <w:jc w:val="right"/>
                            </w:pPr>
                            <w:bookmarkStart w:id="672" w:name="bookmark2089"/>
                            <w:bookmarkStart w:id="673" w:name="bookmark2090"/>
                            <w:bookmarkStart w:id="674" w:name="bookmark2091"/>
                            <w:r>
                              <w:rPr>
                                <w:color w:val="FFFFFF"/>
                              </w:rPr>
                              <w:t>Dosis para niños</w:t>
                            </w:r>
                            <w:bookmarkEnd w:id="672"/>
                            <w:bookmarkEnd w:id="673"/>
                            <w:bookmarkEnd w:id="674"/>
                          </w:p>
                        </w:txbxContent>
                      </wps:txbx>
                      <wps:bodyPr wrap="none" lIns="0" tIns="0" rIns="0" bIns="0"/>
                    </wps:wsp>
                  </a:graphicData>
                </a:graphic>
              </wp:anchor>
            </w:drawing>
          </mc:Choice>
          <mc:Fallback>
            <w:pict>
              <v:shape w14:anchorId="77835636" id="Shape 2466" o:spid="_x0000_s1112" type="#_x0000_t202" style="position:absolute;margin-left:458.65pt;margin-top:.25pt;width:70.55pt;height:14.9pt;z-index:251730944;visibility:visible;mso-wrap-style:none;mso-wrap-distance-left:0;mso-wrap-distance-top:.25pt;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" filled="f" stroked="f">
                <v:textbox inset="0,0,0,0">
                  <w:txbxContent>
                    <w:p w14:paraId="3E393699" w14:textId="77777777" w:rsidR="00924992" w:rsidRDefault="00924992">
                      <w:pPr>
                        <w:pStyle w:val="Heading41"/>
                        <w:keepNext/>
                        <w:keepLines/>
                        <w:pBdr>
                          <w:top w:val="single" w:sz="0" w:space="0" w:color="000000"/>
                          <w:left w:val="single" w:sz="0" w:space="0" w:color="000000"/>
                          <w:bottom w:val="single" w:sz="0" w:space="0" w:color="000000"/>
                          <w:right w:val="single" w:sz="0" w:space="0" w:color="000000"/>
                        </w:pBdr>
                        <w:shd w:val="clear" w:color="auto" w:fill="000000"/>
                        <w:jc w:val="right"/>
                      </w:pPr>
                      <w:bookmarkStart w:id="675" w:name="bookmark2089"/>
                      <w:bookmarkStart w:id="676" w:name="bookmark2090"/>
                      <w:bookmarkStart w:id="677" w:name="bookmark2091"/>
                      <w:r>
                        <w:rPr>
                          <w:color w:val="FFFFFF"/>
                        </w:rPr>
                        <w:t>Dosis para niños</w:t>
                      </w:r>
                      <w:bookmarkEnd w:id="675"/>
                      <w:bookmarkEnd w:id="676"/>
                      <w:bookmarkEnd w:id="677"/>
                    </w:p>
                  </w:txbxContent>
                </v:textbox>
                <w10:wrap type="topAndBottom" anchorx="page"/>
              </v:shape>
            </w:pict>
          </mc:Fallback>
        </mc:AlternateContent>
      </w:r>
    </w:p>
    <w:p w14:paraId="6E5429E9" w14:textId="77777777" w:rsidR="00924992" w:rsidRDefault="00924992">
      <w:pPr>
        <w:spacing w:line="1" w:lineRule="exact"/>
      </w:pPr>
      <w:r>
        <w:rPr>
          <w:noProof/>
        </w:rPr>
        <mc:AlternateContent>
          <mc:Choice Requires="wps">
            <w:drawing>
              <wp:anchor distT="554990" distB="0" distL="117475" distR="114300" simplePos="0" relativeHeight="251731968" behindDoc="0" locked="0" layoutInCell="1" allowOverlap="1" wp14:anchorId="07D6C251" wp14:editId="54E9644F">
                <wp:simplePos x="0" y="0"/>
                <wp:positionH relativeFrom="page">
                  <wp:posOffset>426720</wp:posOffset>
                </wp:positionH>
                <wp:positionV relativeFrom="margin">
                  <wp:posOffset>1390650</wp:posOffset>
                </wp:positionV>
                <wp:extent cx="7211695" cy="1993265"/>
                <wp:effectExtent l="0" t="0" r="0" b="0"/>
                <wp:wrapTopAndBottom/>
                <wp:docPr id="2468" name="Shape 2468"/>
                <wp:cNvGraphicFramePr/>
                <a:graphic xmlns:a="http://schemas.openxmlformats.org/drawingml/2006/main">
                  <a:graphicData uri="http://schemas.microsoft.com/office/word/2010/wordprocessingShape">
                    <wps:wsp>
                      <wps:cNvSpPr txBox="1"/>
                      <wps:spPr>
                        <a:xfrm>
                          <a:off x="0" y="0"/>
                          <a:ext cx="7211695" cy="1993265"/>
                        </a:xfrm>
                        <a:prstGeom prst="rect">
                          <a:avLst/>
                        </a:prstGeom>
                        <a:noFill/>
                      </wps:spPr>
                      <wps:txbx>
                        <w:txbxContent>
                          <w:tbl>
                            <w:tblPr>
                              <w:tblOverlap w:val="never"/>
                              <w:tblW w:w="0" w:type="auto"/>
                              <w:tblLayout w:type="fixed"/>
                              <w:tblCellMar>
                                <w:left w:w="10" w:type="dxa"/>
                                <w:right w:w="10" w:type="dxa"/>
                              </w:tblCellMar>
                              <w:tblLook w:val="04A0" w:firstRow="1" w:lastRow="0" w:firstColumn="1" w:lastColumn="0" w:noHBand="0" w:noVBand="1"/>
                            </w:tblPr>
                            <w:tblGrid>
                              <w:gridCol w:w="2770"/>
                              <w:gridCol w:w="2333"/>
                              <w:gridCol w:w="3322"/>
                              <w:gridCol w:w="2933"/>
                            </w:tblGrid>
                            <w:tr w:rsidR="00924992" w14:paraId="0D98610E" w14:textId="77777777">
                              <w:tblPrEx>
                                <w:tblCellMar>
                                  <w:top w:w="0" w:type="dxa"/>
                                  <w:bottom w:w="0" w:type="dxa"/>
                                </w:tblCellMar>
                              </w:tblPrEx>
                              <w:trPr>
                                <w:trHeight w:hRule="exact" w:val="437"/>
                                <w:tblHeader/>
                              </w:trPr>
                              <w:tc>
                                <w:tcPr>
                                  <w:tcW w:w="2770" w:type="dxa"/>
                                  <w:shd w:val="clear" w:color="auto" w:fill="FFFFFF"/>
                                  <w:vAlign w:val="bottom"/>
                                </w:tcPr>
                                <w:p w14:paraId="2A585BEC" w14:textId="77777777" w:rsidR="00924992" w:rsidRDefault="00924992">
                                  <w:pPr>
                                    <w:pStyle w:val="Other0"/>
                                    <w:spacing w:line="240" w:lineRule="auto"/>
                                    <w:ind w:firstLine="0"/>
                                    <w:rPr>
                                      <w:sz w:val="16"/>
                                      <w:szCs w:val="16"/>
                                    </w:rPr>
                                  </w:pPr>
                                  <w:r>
                                    <w:rPr>
                                      <w:rFonts w:ascii="Times New Roman" w:eastAsia="Times New Roman" w:hAnsi="Times New Roman" w:cs="Times New Roman"/>
                                      <w:color w:val="000000"/>
                                      <w:sz w:val="16"/>
                                      <w:szCs w:val="16"/>
                                    </w:rPr>
                                    <w:t>Fármaco alternativo:</w:t>
                                  </w:r>
                                </w:p>
                                <w:p w14:paraId="1ACB3C16" w14:textId="77777777" w:rsidR="00924992" w:rsidRDefault="00924992">
                                  <w:pPr>
                                    <w:pStyle w:val="Other0"/>
                                    <w:spacing w:line="240" w:lineRule="auto"/>
                                    <w:ind w:firstLine="0"/>
                                    <w:rPr>
                                      <w:sz w:val="16"/>
                                      <w:szCs w:val="16"/>
                                    </w:rPr>
                                  </w:pPr>
                                  <w:r>
                                    <w:rPr>
                                      <w:rFonts w:ascii="Times New Roman" w:eastAsia="Times New Roman" w:hAnsi="Times New Roman" w:cs="Times New Roman"/>
                                      <w:b/>
                                      <w:bCs/>
                                      <w:i/>
                                      <w:iCs/>
                                      <w:color w:val="000000"/>
                                      <w:sz w:val="17"/>
                                      <w:szCs w:val="17"/>
                                    </w:rPr>
                                    <w:t>Hymenolepis nana</w:t>
                                  </w:r>
                                  <w:r>
                                    <w:rPr>
                                      <w:rFonts w:ascii="Times New Roman" w:eastAsia="Times New Roman" w:hAnsi="Times New Roman" w:cs="Times New Roman"/>
                                      <w:b/>
                                      <w:bCs/>
                                      <w:color w:val="000000"/>
                                      <w:sz w:val="16"/>
                                      <w:szCs w:val="16"/>
                                    </w:rPr>
                                    <w:t xml:space="preserve"> (tenia enana)</w:t>
                                  </w:r>
                                </w:p>
                              </w:tc>
                              <w:tc>
                                <w:tcPr>
                                  <w:tcW w:w="2333" w:type="dxa"/>
                                  <w:shd w:val="clear" w:color="auto" w:fill="FFFFFF"/>
                                </w:tcPr>
                                <w:p w14:paraId="01CCD92F" w14:textId="77777777" w:rsidR="00924992" w:rsidRDefault="00924992">
                                  <w:pPr>
                                    <w:pStyle w:val="Other0"/>
                                    <w:spacing w:line="240" w:lineRule="auto"/>
                                    <w:ind w:firstLine="0"/>
                                    <w:rPr>
                                      <w:sz w:val="16"/>
                                      <w:szCs w:val="16"/>
                                    </w:rPr>
                                  </w:pPr>
                                  <w:r>
                                    <w:rPr>
                                      <w:rFonts w:ascii="Times New Roman" w:eastAsia="Times New Roman" w:hAnsi="Times New Roman" w:cs="Times New Roman"/>
                                      <w:color w:val="000000"/>
                                      <w:sz w:val="16"/>
                                      <w:szCs w:val="16"/>
                                    </w:rPr>
                                    <w:t>Niclosamida</w:t>
                                  </w:r>
                                </w:p>
                              </w:tc>
                              <w:tc>
                                <w:tcPr>
                                  <w:tcW w:w="3322" w:type="dxa"/>
                                  <w:shd w:val="clear" w:color="auto" w:fill="FFFFFF"/>
                                </w:tcPr>
                                <w:p w14:paraId="2AB4949A" w14:textId="77777777" w:rsidR="00924992" w:rsidRDefault="00924992">
                                  <w:pPr>
                                    <w:pStyle w:val="Other0"/>
                                    <w:spacing w:line="240" w:lineRule="auto"/>
                                    <w:ind w:firstLine="540"/>
                                    <w:rPr>
                                      <w:sz w:val="16"/>
                                      <w:szCs w:val="16"/>
                                    </w:rPr>
                                  </w:pPr>
                                  <w:r>
                                    <w:rPr>
                                      <w:rFonts w:ascii="Times New Roman" w:eastAsia="Times New Roman" w:hAnsi="Times New Roman" w:cs="Times New Roman"/>
                                      <w:color w:val="000000"/>
                                      <w:sz w:val="16"/>
                                      <w:szCs w:val="16"/>
                                    </w:rPr>
                                    <w:t>2 g una vez</w:t>
                                  </w:r>
                                </w:p>
                              </w:tc>
                              <w:tc>
                                <w:tcPr>
                                  <w:tcW w:w="2933" w:type="dxa"/>
                                  <w:shd w:val="clear" w:color="auto" w:fill="FFFFFF"/>
                                </w:tcPr>
                                <w:p w14:paraId="6CB59815" w14:textId="77777777" w:rsidR="00924992" w:rsidRDefault="00924992">
                                  <w:pPr>
                                    <w:pStyle w:val="Other0"/>
                                    <w:spacing w:line="240" w:lineRule="auto"/>
                                    <w:ind w:firstLine="0"/>
                                    <w:rPr>
                                      <w:sz w:val="16"/>
                                      <w:szCs w:val="16"/>
                                    </w:rPr>
                                  </w:pPr>
                                  <w:r>
                                    <w:rPr>
                                      <w:rFonts w:ascii="Times New Roman" w:eastAsia="Times New Roman" w:hAnsi="Times New Roman" w:cs="Times New Roman"/>
                                      <w:color w:val="000000"/>
                                      <w:sz w:val="16"/>
                                      <w:szCs w:val="16"/>
                                    </w:rPr>
                                    <w:t>50 mg/kg una vez</w:t>
                                  </w:r>
                                </w:p>
                              </w:tc>
                            </w:tr>
                            <w:tr w:rsidR="00924992" w14:paraId="6A882AE9" w14:textId="77777777">
                              <w:tblPrEx>
                                <w:tblCellMar>
                                  <w:top w:w="0" w:type="dxa"/>
                                  <w:bottom w:w="0" w:type="dxa"/>
                                </w:tblCellMar>
                              </w:tblPrEx>
                              <w:trPr>
                                <w:trHeight w:hRule="exact" w:val="221"/>
                              </w:trPr>
                              <w:tc>
                                <w:tcPr>
                                  <w:tcW w:w="2770" w:type="dxa"/>
                                  <w:shd w:val="clear" w:color="auto" w:fill="FFFFFF"/>
                                  <w:vAlign w:val="bottom"/>
                                </w:tcPr>
                                <w:p w14:paraId="29D020A4" w14:textId="77777777" w:rsidR="00924992" w:rsidRDefault="00924992">
                                  <w:pPr>
                                    <w:pStyle w:val="Other0"/>
                                    <w:spacing w:line="240" w:lineRule="auto"/>
                                    <w:ind w:firstLine="0"/>
                                    <w:rPr>
                                      <w:sz w:val="16"/>
                                      <w:szCs w:val="16"/>
                                    </w:rPr>
                                  </w:pPr>
                                  <w:r>
                                    <w:rPr>
                                      <w:rFonts w:ascii="Times New Roman" w:eastAsia="Times New Roman" w:hAnsi="Times New Roman" w:cs="Times New Roman"/>
                                      <w:color w:val="000000"/>
                                      <w:sz w:val="16"/>
                                      <w:szCs w:val="16"/>
                                    </w:rPr>
                                    <w:t>Fármaco más indicado:</w:t>
                                  </w:r>
                                </w:p>
                              </w:tc>
                              <w:tc>
                                <w:tcPr>
                                  <w:tcW w:w="2333" w:type="dxa"/>
                                  <w:shd w:val="clear" w:color="auto" w:fill="FFFFFF"/>
                                  <w:vAlign w:val="bottom"/>
                                </w:tcPr>
                                <w:p w14:paraId="30810327" w14:textId="77777777" w:rsidR="00924992" w:rsidRDefault="00924992">
                                  <w:pPr>
                                    <w:pStyle w:val="Other0"/>
                                    <w:spacing w:line="240" w:lineRule="auto"/>
                                    <w:ind w:firstLine="0"/>
                                    <w:rPr>
                                      <w:sz w:val="16"/>
                                      <w:szCs w:val="16"/>
                                    </w:rPr>
                                  </w:pPr>
                                  <w:r>
                                    <w:rPr>
                                      <w:rFonts w:ascii="Times New Roman" w:eastAsia="Times New Roman" w:hAnsi="Times New Roman" w:cs="Times New Roman"/>
                                      <w:color w:val="000000"/>
                                      <w:sz w:val="16"/>
                                      <w:szCs w:val="16"/>
                                    </w:rPr>
                                    <w:t>Praziquantel</w:t>
                                  </w:r>
                                  <w:r>
                                    <w:rPr>
                                      <w:rFonts w:ascii="Times New Roman" w:eastAsia="Times New Roman" w:hAnsi="Times New Roman" w:cs="Times New Roman"/>
                                      <w:color w:val="000000"/>
                                      <w:sz w:val="16"/>
                                      <w:szCs w:val="16"/>
                                      <w:vertAlign w:val="superscript"/>
                                    </w:rPr>
                                    <w:t>3</w:t>
                                  </w:r>
                                </w:p>
                              </w:tc>
                              <w:tc>
                                <w:tcPr>
                                  <w:tcW w:w="3322" w:type="dxa"/>
                                  <w:shd w:val="clear" w:color="auto" w:fill="FFFFFF"/>
                                  <w:vAlign w:val="bottom"/>
                                </w:tcPr>
                                <w:p w14:paraId="6062C542" w14:textId="77777777" w:rsidR="00924992" w:rsidRDefault="00924992">
                                  <w:pPr>
                                    <w:pStyle w:val="Other0"/>
                                    <w:spacing w:line="240" w:lineRule="auto"/>
                                    <w:ind w:firstLine="540"/>
                                    <w:rPr>
                                      <w:sz w:val="16"/>
                                      <w:szCs w:val="16"/>
                                    </w:rPr>
                                  </w:pPr>
                                  <w:r>
                                    <w:rPr>
                                      <w:rFonts w:ascii="Times New Roman" w:eastAsia="Times New Roman" w:hAnsi="Times New Roman" w:cs="Times New Roman"/>
                                      <w:color w:val="000000"/>
                                      <w:sz w:val="16"/>
                                      <w:szCs w:val="16"/>
                                    </w:rPr>
                                    <w:t>25 mg/kg una vez</w:t>
                                  </w:r>
                                </w:p>
                              </w:tc>
                              <w:tc>
                                <w:tcPr>
                                  <w:tcW w:w="2933" w:type="dxa"/>
                                  <w:shd w:val="clear" w:color="auto" w:fill="FFFFFF"/>
                                  <w:vAlign w:val="bottom"/>
                                </w:tcPr>
                                <w:p w14:paraId="483669DD" w14:textId="77777777" w:rsidR="00924992" w:rsidRDefault="00924992">
                                  <w:pPr>
                                    <w:pStyle w:val="Other0"/>
                                    <w:spacing w:line="240" w:lineRule="auto"/>
                                    <w:ind w:firstLine="0"/>
                                    <w:rPr>
                                      <w:sz w:val="16"/>
                                      <w:szCs w:val="16"/>
                                    </w:rPr>
                                  </w:pPr>
                                  <w:r>
                                    <w:rPr>
                                      <w:rFonts w:ascii="Times New Roman" w:eastAsia="Times New Roman" w:hAnsi="Times New Roman" w:cs="Times New Roman"/>
                                      <w:color w:val="000000"/>
                                      <w:sz w:val="16"/>
                                      <w:szCs w:val="16"/>
                                    </w:rPr>
                                    <w:t>25 mg/kg una vez</w:t>
                                  </w:r>
                                </w:p>
                              </w:tc>
                            </w:tr>
                            <w:tr w:rsidR="00924992" w14:paraId="6802826A" w14:textId="77777777">
                              <w:tblPrEx>
                                <w:tblCellMar>
                                  <w:top w:w="0" w:type="dxa"/>
                                  <w:bottom w:w="0" w:type="dxa"/>
                                </w:tblCellMar>
                              </w:tblPrEx>
                              <w:trPr>
                                <w:trHeight w:hRule="exact" w:val="216"/>
                              </w:trPr>
                              <w:tc>
                                <w:tcPr>
                                  <w:tcW w:w="2770" w:type="dxa"/>
                                  <w:shd w:val="clear" w:color="auto" w:fill="FFFFFF"/>
                                  <w:vAlign w:val="bottom"/>
                                </w:tcPr>
                                <w:p w14:paraId="04E30E81" w14:textId="77777777" w:rsidR="00924992" w:rsidRDefault="00924992">
                                  <w:pPr>
                                    <w:pStyle w:val="Other0"/>
                                    <w:spacing w:line="240" w:lineRule="auto"/>
                                    <w:ind w:firstLine="0"/>
                                    <w:rPr>
                                      <w:sz w:val="16"/>
                                      <w:szCs w:val="16"/>
                                    </w:rPr>
                                  </w:pPr>
                                  <w:r>
                                    <w:rPr>
                                      <w:rFonts w:ascii="Times New Roman" w:eastAsia="Times New Roman" w:hAnsi="Times New Roman" w:cs="Times New Roman"/>
                                      <w:b/>
                                      <w:bCs/>
                                      <w:color w:val="000000"/>
                                      <w:sz w:val="16"/>
                                      <w:szCs w:val="16"/>
                                    </w:rPr>
                                    <w:t>-Larvaria (etapa tisular)</w:t>
                                  </w:r>
                                </w:p>
                              </w:tc>
                              <w:tc>
                                <w:tcPr>
                                  <w:tcW w:w="2333" w:type="dxa"/>
                                  <w:shd w:val="clear" w:color="auto" w:fill="FFFFFF"/>
                                </w:tcPr>
                                <w:p w14:paraId="15B026E2" w14:textId="77777777" w:rsidR="00924992" w:rsidRDefault="00924992">
                                  <w:pPr>
                                    <w:rPr>
                                      <w:sz w:val="10"/>
                                      <w:szCs w:val="10"/>
                                    </w:rPr>
                                  </w:pPr>
                                </w:p>
                              </w:tc>
                              <w:tc>
                                <w:tcPr>
                                  <w:tcW w:w="3322" w:type="dxa"/>
                                  <w:shd w:val="clear" w:color="auto" w:fill="FFFFFF"/>
                                </w:tcPr>
                                <w:p w14:paraId="21D07289" w14:textId="77777777" w:rsidR="00924992" w:rsidRDefault="00924992">
                                  <w:pPr>
                                    <w:rPr>
                                      <w:sz w:val="10"/>
                                      <w:szCs w:val="10"/>
                                    </w:rPr>
                                  </w:pPr>
                                </w:p>
                              </w:tc>
                              <w:tc>
                                <w:tcPr>
                                  <w:tcW w:w="2933" w:type="dxa"/>
                                  <w:shd w:val="clear" w:color="auto" w:fill="FFFFFF"/>
                                </w:tcPr>
                                <w:p w14:paraId="54C6C1B8" w14:textId="77777777" w:rsidR="00924992" w:rsidRDefault="00924992">
                                  <w:pPr>
                                    <w:rPr>
                                      <w:sz w:val="10"/>
                                      <w:szCs w:val="10"/>
                                    </w:rPr>
                                  </w:pPr>
                                </w:p>
                              </w:tc>
                            </w:tr>
                            <w:tr w:rsidR="00924992" w14:paraId="023A84C8" w14:textId="77777777">
                              <w:tblPrEx>
                                <w:tblCellMar>
                                  <w:top w:w="0" w:type="dxa"/>
                                  <w:bottom w:w="0" w:type="dxa"/>
                                </w:tblCellMar>
                              </w:tblPrEx>
                              <w:trPr>
                                <w:trHeight w:hRule="exact" w:val="221"/>
                              </w:trPr>
                              <w:tc>
                                <w:tcPr>
                                  <w:tcW w:w="5103" w:type="dxa"/>
                                  <w:gridSpan w:val="2"/>
                                  <w:shd w:val="clear" w:color="auto" w:fill="FFFFFF"/>
                                  <w:vAlign w:val="bottom"/>
                                </w:tcPr>
                                <w:p w14:paraId="4351FCCA" w14:textId="77777777" w:rsidR="00924992" w:rsidRDefault="00924992">
                                  <w:pPr>
                                    <w:pStyle w:val="Other0"/>
                                    <w:spacing w:line="240" w:lineRule="auto"/>
                                    <w:ind w:firstLine="0"/>
                                    <w:rPr>
                                      <w:sz w:val="16"/>
                                      <w:szCs w:val="16"/>
                                    </w:rPr>
                                  </w:pPr>
                                  <w:r>
                                    <w:rPr>
                                      <w:rFonts w:ascii="Times New Roman" w:eastAsia="Times New Roman" w:hAnsi="Times New Roman" w:cs="Times New Roman"/>
                                      <w:b/>
                                      <w:bCs/>
                                      <w:i/>
                                      <w:iCs/>
                                      <w:color w:val="000000"/>
                                      <w:sz w:val="17"/>
                                      <w:szCs w:val="17"/>
                                    </w:rPr>
                                    <w:t>Echinococcus granulosus</w:t>
                                  </w:r>
                                  <w:r>
                                    <w:rPr>
                                      <w:rFonts w:ascii="Times New Roman" w:eastAsia="Times New Roman" w:hAnsi="Times New Roman" w:cs="Times New Roman"/>
                                      <w:b/>
                                      <w:bCs/>
                                      <w:color w:val="000000"/>
                                      <w:sz w:val="16"/>
                                      <w:szCs w:val="16"/>
                                    </w:rPr>
                                    <w:t xml:space="preserve"> (quiste hidatídico)</w:t>
                                  </w:r>
                                </w:p>
                              </w:tc>
                              <w:tc>
                                <w:tcPr>
                                  <w:tcW w:w="3322" w:type="dxa"/>
                                  <w:shd w:val="clear" w:color="auto" w:fill="FFFFFF"/>
                                </w:tcPr>
                                <w:p w14:paraId="3B5BBAE2" w14:textId="77777777" w:rsidR="00924992" w:rsidRDefault="00924992">
                                  <w:pPr>
                                    <w:rPr>
                                      <w:sz w:val="10"/>
                                      <w:szCs w:val="10"/>
                                    </w:rPr>
                                  </w:pPr>
                                </w:p>
                              </w:tc>
                              <w:tc>
                                <w:tcPr>
                                  <w:tcW w:w="2933" w:type="dxa"/>
                                  <w:shd w:val="clear" w:color="auto" w:fill="FFFFFF"/>
                                </w:tcPr>
                                <w:p w14:paraId="491D4059" w14:textId="77777777" w:rsidR="00924992" w:rsidRDefault="00924992">
                                  <w:pPr>
                                    <w:rPr>
                                      <w:sz w:val="10"/>
                                      <w:szCs w:val="10"/>
                                    </w:rPr>
                                  </w:pPr>
                                </w:p>
                              </w:tc>
                            </w:tr>
                            <w:tr w:rsidR="00924992" w14:paraId="4608F972" w14:textId="77777777">
                              <w:tblPrEx>
                                <w:tblCellMar>
                                  <w:top w:w="0" w:type="dxa"/>
                                  <w:bottom w:w="0" w:type="dxa"/>
                                </w:tblCellMar>
                              </w:tblPrEx>
                              <w:trPr>
                                <w:trHeight w:hRule="exact" w:val="211"/>
                              </w:trPr>
                              <w:tc>
                                <w:tcPr>
                                  <w:tcW w:w="2770" w:type="dxa"/>
                                  <w:shd w:val="clear" w:color="auto" w:fill="FFFFFF"/>
                                  <w:vAlign w:val="bottom"/>
                                </w:tcPr>
                                <w:p w14:paraId="1A049618" w14:textId="77777777" w:rsidR="00924992" w:rsidRDefault="00924992">
                                  <w:pPr>
                                    <w:pStyle w:val="Other0"/>
                                    <w:spacing w:line="240" w:lineRule="auto"/>
                                    <w:ind w:firstLine="0"/>
                                    <w:rPr>
                                      <w:sz w:val="16"/>
                                      <w:szCs w:val="16"/>
                                    </w:rPr>
                                  </w:pPr>
                                  <w:r>
                                    <w:rPr>
                                      <w:rFonts w:ascii="Times New Roman" w:eastAsia="Times New Roman" w:hAnsi="Times New Roman" w:cs="Times New Roman"/>
                                      <w:color w:val="000000"/>
                                      <w:sz w:val="16"/>
                                      <w:szCs w:val="16"/>
                                    </w:rPr>
                                    <w:t>Fármaco más indicado:</w:t>
                                  </w:r>
                                  <w:r>
                                    <w:rPr>
                                      <w:rFonts w:ascii="Times New Roman" w:eastAsia="Times New Roman" w:hAnsi="Times New Roman" w:cs="Times New Roman"/>
                                      <w:color w:val="000000"/>
                                      <w:sz w:val="16"/>
                                      <w:szCs w:val="16"/>
                                      <w:vertAlign w:val="superscript"/>
                                    </w:rPr>
                                    <w:t>100</w:t>
                                  </w:r>
                                </w:p>
                              </w:tc>
                              <w:tc>
                                <w:tcPr>
                                  <w:tcW w:w="2333" w:type="dxa"/>
                                  <w:shd w:val="clear" w:color="auto" w:fill="FFFFFF"/>
                                  <w:vAlign w:val="bottom"/>
                                </w:tcPr>
                                <w:p w14:paraId="3CFEDB5B" w14:textId="77777777" w:rsidR="00924992" w:rsidRDefault="00924992">
                                  <w:pPr>
                                    <w:pStyle w:val="Other0"/>
                                    <w:spacing w:line="240" w:lineRule="auto"/>
                                    <w:ind w:firstLine="0"/>
                                    <w:rPr>
                                      <w:sz w:val="16"/>
                                      <w:szCs w:val="16"/>
                                    </w:rPr>
                                  </w:pPr>
                                  <w:r>
                                    <w:rPr>
                                      <w:rFonts w:ascii="Times New Roman" w:eastAsia="Times New Roman" w:hAnsi="Times New Roman" w:cs="Times New Roman"/>
                                      <w:color w:val="000000"/>
                                      <w:sz w:val="16"/>
                                      <w:szCs w:val="16"/>
                                    </w:rPr>
                                    <w:t>Albendazol</w:t>
                                  </w:r>
                                </w:p>
                              </w:tc>
                              <w:tc>
                                <w:tcPr>
                                  <w:tcW w:w="3322" w:type="dxa"/>
                                  <w:shd w:val="clear" w:color="auto" w:fill="FFFFFF"/>
                                  <w:vAlign w:val="bottom"/>
                                </w:tcPr>
                                <w:p w14:paraId="18320B3A" w14:textId="77777777" w:rsidR="00924992" w:rsidRDefault="00924992">
                                  <w:pPr>
                                    <w:pStyle w:val="Other0"/>
                                    <w:spacing w:line="240" w:lineRule="auto"/>
                                    <w:ind w:firstLine="540"/>
                                    <w:rPr>
                                      <w:sz w:val="16"/>
                                      <w:szCs w:val="16"/>
                                    </w:rPr>
                                  </w:pPr>
                                  <w:r>
                                    <w:rPr>
                                      <w:rFonts w:ascii="Times New Roman" w:eastAsia="Times New Roman" w:hAnsi="Times New Roman" w:cs="Times New Roman"/>
                                      <w:color w:val="000000"/>
                                      <w:sz w:val="16"/>
                                      <w:szCs w:val="16"/>
                                    </w:rPr>
                                    <w:t xml:space="preserve">400 mg bid </w:t>
                                  </w:r>
                                  <w:r>
                                    <w:rPr>
                                      <w:color w:val="000000"/>
                                    </w:rPr>
                                    <w:t xml:space="preserve">x </w:t>
                                  </w:r>
                                  <w:r>
                                    <w:rPr>
                                      <w:rFonts w:ascii="Times New Roman" w:eastAsia="Times New Roman" w:hAnsi="Times New Roman" w:cs="Times New Roman"/>
                                      <w:color w:val="000000"/>
                                      <w:sz w:val="16"/>
                                      <w:szCs w:val="16"/>
                                    </w:rPr>
                                    <w:t>1-6 meses</w:t>
                                  </w:r>
                                </w:p>
                              </w:tc>
                              <w:tc>
                                <w:tcPr>
                                  <w:tcW w:w="2933" w:type="dxa"/>
                                  <w:shd w:val="clear" w:color="auto" w:fill="FFFFFF"/>
                                  <w:vAlign w:val="bottom"/>
                                </w:tcPr>
                                <w:p w14:paraId="52E56964" w14:textId="77777777" w:rsidR="00924992" w:rsidRDefault="00924992">
                                  <w:pPr>
                                    <w:pStyle w:val="Other0"/>
                                    <w:spacing w:line="240" w:lineRule="auto"/>
                                    <w:ind w:firstLine="0"/>
                                    <w:rPr>
                                      <w:sz w:val="16"/>
                                      <w:szCs w:val="16"/>
                                    </w:rPr>
                                  </w:pPr>
                                  <w:r>
                                    <w:rPr>
                                      <w:rFonts w:ascii="Times New Roman" w:eastAsia="Times New Roman" w:hAnsi="Times New Roman" w:cs="Times New Roman"/>
                                      <w:color w:val="000000"/>
                                      <w:sz w:val="16"/>
                                      <w:szCs w:val="16"/>
                                    </w:rPr>
                                    <w:t xml:space="preserve">15 mg/kg/día (máx. 800 mg) </w:t>
                                  </w:r>
                                  <w:r>
                                    <w:rPr>
                                      <w:color w:val="000000"/>
                                    </w:rPr>
                                    <w:t xml:space="preserve">x </w:t>
                                  </w:r>
                                  <w:r>
                                    <w:rPr>
                                      <w:rFonts w:ascii="Times New Roman" w:eastAsia="Times New Roman" w:hAnsi="Times New Roman" w:cs="Times New Roman"/>
                                      <w:color w:val="000000"/>
                                      <w:sz w:val="16"/>
                                      <w:szCs w:val="16"/>
                                    </w:rPr>
                                    <w:t>1-6 meses</w:t>
                                  </w:r>
                                </w:p>
                              </w:tc>
                            </w:tr>
                            <w:tr w:rsidR="00924992" w14:paraId="6D2A0CF6" w14:textId="77777777">
                              <w:tblPrEx>
                                <w:tblCellMar>
                                  <w:top w:w="0" w:type="dxa"/>
                                  <w:bottom w:w="0" w:type="dxa"/>
                                </w:tblCellMar>
                              </w:tblPrEx>
                              <w:trPr>
                                <w:trHeight w:hRule="exact" w:val="206"/>
                              </w:trPr>
                              <w:tc>
                                <w:tcPr>
                                  <w:tcW w:w="2770" w:type="dxa"/>
                                  <w:shd w:val="clear" w:color="auto" w:fill="FFFFFF"/>
                                </w:tcPr>
                                <w:p w14:paraId="61565544" w14:textId="77777777" w:rsidR="00924992" w:rsidRDefault="00924992">
                                  <w:pPr>
                                    <w:pStyle w:val="Other0"/>
                                    <w:spacing w:line="240" w:lineRule="auto"/>
                                    <w:ind w:firstLine="0"/>
                                    <w:rPr>
                                      <w:sz w:val="17"/>
                                      <w:szCs w:val="17"/>
                                    </w:rPr>
                                  </w:pPr>
                                  <w:r>
                                    <w:rPr>
                                      <w:rFonts w:ascii="Times New Roman" w:eastAsia="Times New Roman" w:hAnsi="Times New Roman" w:cs="Times New Roman"/>
                                      <w:b/>
                                      <w:bCs/>
                                      <w:i/>
                                      <w:iCs/>
                                      <w:color w:val="000000"/>
                                      <w:sz w:val="17"/>
                                      <w:szCs w:val="17"/>
                                    </w:rPr>
                                    <w:t>Echinococcus multilocularis</w:t>
                                  </w:r>
                                </w:p>
                              </w:tc>
                              <w:tc>
                                <w:tcPr>
                                  <w:tcW w:w="2333" w:type="dxa"/>
                                  <w:shd w:val="clear" w:color="auto" w:fill="FFFFFF"/>
                                </w:tcPr>
                                <w:p w14:paraId="4811FD26" w14:textId="77777777" w:rsidR="00924992" w:rsidRDefault="00924992">
                                  <w:pPr>
                                    <w:rPr>
                                      <w:sz w:val="10"/>
                                      <w:szCs w:val="10"/>
                                    </w:rPr>
                                  </w:pPr>
                                </w:p>
                              </w:tc>
                              <w:tc>
                                <w:tcPr>
                                  <w:tcW w:w="3322" w:type="dxa"/>
                                  <w:shd w:val="clear" w:color="auto" w:fill="FFFFFF"/>
                                </w:tcPr>
                                <w:p w14:paraId="752986C6" w14:textId="77777777" w:rsidR="00924992" w:rsidRDefault="00924992">
                                  <w:pPr>
                                    <w:rPr>
                                      <w:sz w:val="10"/>
                                      <w:szCs w:val="10"/>
                                    </w:rPr>
                                  </w:pPr>
                                </w:p>
                              </w:tc>
                              <w:tc>
                                <w:tcPr>
                                  <w:tcW w:w="2933" w:type="dxa"/>
                                  <w:shd w:val="clear" w:color="auto" w:fill="FFFFFF"/>
                                </w:tcPr>
                                <w:p w14:paraId="55245051" w14:textId="77777777" w:rsidR="00924992" w:rsidRDefault="00924992">
                                  <w:pPr>
                                    <w:rPr>
                                      <w:sz w:val="10"/>
                                      <w:szCs w:val="10"/>
                                    </w:rPr>
                                  </w:pPr>
                                </w:p>
                              </w:tc>
                            </w:tr>
                            <w:tr w:rsidR="00924992" w14:paraId="7DF8FDEC" w14:textId="77777777">
                              <w:tblPrEx>
                                <w:tblCellMar>
                                  <w:top w:w="0" w:type="dxa"/>
                                  <w:bottom w:w="0" w:type="dxa"/>
                                </w:tblCellMar>
                              </w:tblPrEx>
                              <w:trPr>
                                <w:trHeight w:hRule="exact" w:val="221"/>
                              </w:trPr>
                              <w:tc>
                                <w:tcPr>
                                  <w:tcW w:w="2770" w:type="dxa"/>
                                  <w:shd w:val="clear" w:color="auto" w:fill="FFFFFF"/>
                                  <w:vAlign w:val="bottom"/>
                                </w:tcPr>
                                <w:p w14:paraId="01403BE5" w14:textId="77777777" w:rsidR="00924992" w:rsidRDefault="00924992">
                                  <w:pPr>
                                    <w:pStyle w:val="Other0"/>
                                    <w:spacing w:line="240" w:lineRule="auto"/>
                                    <w:ind w:firstLine="0"/>
                                    <w:rPr>
                                      <w:sz w:val="16"/>
                                      <w:szCs w:val="16"/>
                                    </w:rPr>
                                  </w:pPr>
                                  <w:r>
                                    <w:rPr>
                                      <w:rFonts w:ascii="Times New Roman" w:eastAsia="Times New Roman" w:hAnsi="Times New Roman" w:cs="Times New Roman"/>
                                      <w:color w:val="000000"/>
                                      <w:sz w:val="16"/>
                                      <w:szCs w:val="16"/>
                                    </w:rPr>
                                    <w:t>Tratamiento más adecuado:</w:t>
                                  </w:r>
                                </w:p>
                              </w:tc>
                              <w:tc>
                                <w:tcPr>
                                  <w:tcW w:w="2333" w:type="dxa"/>
                                  <w:shd w:val="clear" w:color="auto" w:fill="FFFFFF"/>
                                  <w:vAlign w:val="bottom"/>
                                </w:tcPr>
                                <w:p w14:paraId="184683DB" w14:textId="77777777" w:rsidR="00924992" w:rsidRDefault="00924992">
                                  <w:pPr>
                                    <w:pStyle w:val="Other0"/>
                                    <w:spacing w:line="240" w:lineRule="auto"/>
                                    <w:ind w:firstLine="0"/>
                                    <w:rPr>
                                      <w:sz w:val="16"/>
                                      <w:szCs w:val="16"/>
                                    </w:rPr>
                                  </w:pPr>
                                  <w:r>
                                    <w:rPr>
                                      <w:rFonts w:ascii="Times New Roman" w:eastAsia="Times New Roman" w:hAnsi="Times New Roman" w:cs="Times New Roman"/>
                                      <w:color w:val="000000"/>
                                      <w:sz w:val="16"/>
                                      <w:szCs w:val="16"/>
                                    </w:rPr>
                                    <w:t>Véase pie de cuadro 101</w:t>
                                  </w:r>
                                </w:p>
                              </w:tc>
                              <w:tc>
                                <w:tcPr>
                                  <w:tcW w:w="3322" w:type="dxa"/>
                                  <w:shd w:val="clear" w:color="auto" w:fill="FFFFFF"/>
                                </w:tcPr>
                                <w:p w14:paraId="643D1CDC" w14:textId="77777777" w:rsidR="00924992" w:rsidRDefault="00924992">
                                  <w:pPr>
                                    <w:rPr>
                                      <w:sz w:val="10"/>
                                      <w:szCs w:val="10"/>
                                    </w:rPr>
                                  </w:pPr>
                                </w:p>
                              </w:tc>
                              <w:tc>
                                <w:tcPr>
                                  <w:tcW w:w="2933" w:type="dxa"/>
                                  <w:shd w:val="clear" w:color="auto" w:fill="FFFFFF"/>
                                </w:tcPr>
                                <w:p w14:paraId="17890106" w14:textId="77777777" w:rsidR="00924992" w:rsidRDefault="00924992">
                                  <w:pPr>
                                    <w:rPr>
                                      <w:sz w:val="10"/>
                                      <w:szCs w:val="10"/>
                                    </w:rPr>
                                  </w:pPr>
                                </w:p>
                              </w:tc>
                            </w:tr>
                            <w:tr w:rsidR="00924992" w14:paraId="123758AB" w14:textId="77777777">
                              <w:tblPrEx>
                                <w:tblCellMar>
                                  <w:top w:w="0" w:type="dxa"/>
                                  <w:bottom w:w="0" w:type="dxa"/>
                                </w:tblCellMar>
                              </w:tblPrEx>
                              <w:trPr>
                                <w:trHeight w:hRule="exact" w:val="230"/>
                              </w:trPr>
                              <w:tc>
                                <w:tcPr>
                                  <w:tcW w:w="2770" w:type="dxa"/>
                                  <w:shd w:val="clear" w:color="auto" w:fill="FFFFFF"/>
                                  <w:vAlign w:val="bottom"/>
                                </w:tcPr>
                                <w:p w14:paraId="54323028" w14:textId="77777777" w:rsidR="00924992" w:rsidRDefault="00924992">
                                  <w:pPr>
                                    <w:pStyle w:val="Other0"/>
                                    <w:spacing w:line="240" w:lineRule="auto"/>
                                    <w:ind w:firstLine="0"/>
                                    <w:rPr>
                                      <w:sz w:val="16"/>
                                      <w:szCs w:val="16"/>
                                    </w:rPr>
                                  </w:pPr>
                                  <w:r>
                                    <w:rPr>
                                      <w:rFonts w:ascii="Times New Roman" w:eastAsia="Times New Roman" w:hAnsi="Times New Roman" w:cs="Times New Roman"/>
                                      <w:b/>
                                      <w:bCs/>
                                      <w:i/>
                                      <w:iCs/>
                                      <w:color w:val="000000"/>
                                      <w:sz w:val="17"/>
                                      <w:szCs w:val="17"/>
                                    </w:rPr>
                                    <w:t>Cysticercus cellulosae</w:t>
                                  </w:r>
                                  <w:r>
                                    <w:rPr>
                                      <w:rFonts w:ascii="Times New Roman" w:eastAsia="Times New Roman" w:hAnsi="Times New Roman" w:cs="Times New Roman"/>
                                      <w:b/>
                                      <w:bCs/>
                                      <w:color w:val="000000"/>
                                      <w:sz w:val="16"/>
                                      <w:szCs w:val="16"/>
                                    </w:rPr>
                                    <w:t xml:space="preserve"> (cisticercosis)</w:t>
                                  </w:r>
                                </w:p>
                              </w:tc>
                              <w:tc>
                                <w:tcPr>
                                  <w:tcW w:w="2333" w:type="dxa"/>
                                  <w:shd w:val="clear" w:color="auto" w:fill="FFFFFF"/>
                                </w:tcPr>
                                <w:p w14:paraId="246E5E40" w14:textId="77777777" w:rsidR="00924992" w:rsidRDefault="00924992">
                                  <w:pPr>
                                    <w:rPr>
                                      <w:sz w:val="10"/>
                                      <w:szCs w:val="10"/>
                                    </w:rPr>
                                  </w:pPr>
                                </w:p>
                              </w:tc>
                              <w:tc>
                                <w:tcPr>
                                  <w:tcW w:w="3322" w:type="dxa"/>
                                  <w:shd w:val="clear" w:color="auto" w:fill="FFFFFF"/>
                                </w:tcPr>
                                <w:p w14:paraId="3922906C" w14:textId="77777777" w:rsidR="00924992" w:rsidRDefault="00924992">
                                  <w:pPr>
                                    <w:rPr>
                                      <w:sz w:val="10"/>
                                      <w:szCs w:val="10"/>
                                    </w:rPr>
                                  </w:pPr>
                                </w:p>
                              </w:tc>
                              <w:tc>
                                <w:tcPr>
                                  <w:tcW w:w="2933" w:type="dxa"/>
                                  <w:shd w:val="clear" w:color="auto" w:fill="FFFFFF"/>
                                </w:tcPr>
                                <w:p w14:paraId="7E0B4A89" w14:textId="77777777" w:rsidR="00924992" w:rsidRDefault="00924992">
                                  <w:pPr>
                                    <w:rPr>
                                      <w:sz w:val="10"/>
                                      <w:szCs w:val="10"/>
                                    </w:rPr>
                                  </w:pPr>
                                </w:p>
                              </w:tc>
                            </w:tr>
                            <w:tr w:rsidR="00924992" w14:paraId="350340CA" w14:textId="77777777">
                              <w:tblPrEx>
                                <w:tblCellMar>
                                  <w:top w:w="0" w:type="dxa"/>
                                  <w:bottom w:w="0" w:type="dxa"/>
                                </w:tblCellMar>
                              </w:tblPrEx>
                              <w:trPr>
                                <w:trHeight w:hRule="exact" w:val="202"/>
                              </w:trPr>
                              <w:tc>
                                <w:tcPr>
                                  <w:tcW w:w="2770" w:type="dxa"/>
                                  <w:shd w:val="clear" w:color="auto" w:fill="FFFFFF"/>
                                  <w:vAlign w:val="bottom"/>
                                </w:tcPr>
                                <w:p w14:paraId="70514500" w14:textId="77777777" w:rsidR="00924992" w:rsidRDefault="00924992">
                                  <w:pPr>
                                    <w:pStyle w:val="Other0"/>
                                    <w:spacing w:line="240" w:lineRule="auto"/>
                                    <w:ind w:firstLine="0"/>
                                    <w:rPr>
                                      <w:sz w:val="16"/>
                                      <w:szCs w:val="16"/>
                                    </w:rPr>
                                  </w:pPr>
                                  <w:r>
                                    <w:rPr>
                                      <w:rFonts w:ascii="Times New Roman" w:eastAsia="Times New Roman" w:hAnsi="Times New Roman" w:cs="Times New Roman"/>
                                      <w:color w:val="000000"/>
                                      <w:sz w:val="16"/>
                                      <w:szCs w:val="16"/>
                                    </w:rPr>
                                    <w:t>Tratamiento más indicado:</w:t>
                                  </w:r>
                                </w:p>
                              </w:tc>
                              <w:tc>
                                <w:tcPr>
                                  <w:tcW w:w="2333" w:type="dxa"/>
                                  <w:shd w:val="clear" w:color="auto" w:fill="FFFFFF"/>
                                  <w:vAlign w:val="bottom"/>
                                </w:tcPr>
                                <w:p w14:paraId="78D109A2" w14:textId="77777777" w:rsidR="00924992" w:rsidRDefault="00924992">
                                  <w:pPr>
                                    <w:pStyle w:val="Other0"/>
                                    <w:spacing w:line="240" w:lineRule="auto"/>
                                    <w:ind w:firstLine="0"/>
                                    <w:rPr>
                                      <w:sz w:val="16"/>
                                      <w:szCs w:val="16"/>
                                    </w:rPr>
                                  </w:pPr>
                                  <w:r>
                                    <w:rPr>
                                      <w:rFonts w:ascii="Times New Roman" w:eastAsia="Times New Roman" w:hAnsi="Times New Roman" w:cs="Times New Roman"/>
                                      <w:color w:val="000000"/>
                                      <w:sz w:val="16"/>
                                      <w:szCs w:val="16"/>
                                    </w:rPr>
                                    <w:t>Véase pie de cuadro 102</w:t>
                                  </w:r>
                                </w:p>
                              </w:tc>
                              <w:tc>
                                <w:tcPr>
                                  <w:tcW w:w="3322" w:type="dxa"/>
                                  <w:shd w:val="clear" w:color="auto" w:fill="FFFFFF"/>
                                </w:tcPr>
                                <w:p w14:paraId="066B76C7" w14:textId="77777777" w:rsidR="00924992" w:rsidRDefault="00924992">
                                  <w:pPr>
                                    <w:rPr>
                                      <w:sz w:val="10"/>
                                      <w:szCs w:val="10"/>
                                    </w:rPr>
                                  </w:pPr>
                                </w:p>
                              </w:tc>
                              <w:tc>
                                <w:tcPr>
                                  <w:tcW w:w="2933" w:type="dxa"/>
                                  <w:shd w:val="clear" w:color="auto" w:fill="FFFFFF"/>
                                </w:tcPr>
                                <w:p w14:paraId="63B86B8F" w14:textId="77777777" w:rsidR="00924992" w:rsidRDefault="00924992">
                                  <w:pPr>
                                    <w:rPr>
                                      <w:sz w:val="10"/>
                                      <w:szCs w:val="10"/>
                                    </w:rPr>
                                  </w:pPr>
                                </w:p>
                              </w:tc>
                            </w:tr>
                            <w:tr w:rsidR="00924992" w14:paraId="0BABE68D" w14:textId="77777777">
                              <w:tblPrEx>
                                <w:tblCellMar>
                                  <w:top w:w="0" w:type="dxa"/>
                                  <w:bottom w:w="0" w:type="dxa"/>
                                </w:tblCellMar>
                              </w:tblPrEx>
                              <w:trPr>
                                <w:trHeight w:hRule="exact" w:val="230"/>
                              </w:trPr>
                              <w:tc>
                                <w:tcPr>
                                  <w:tcW w:w="2770" w:type="dxa"/>
                                  <w:shd w:val="clear" w:color="auto" w:fill="FFFFFF"/>
                                </w:tcPr>
                                <w:p w14:paraId="58D9582D" w14:textId="77777777" w:rsidR="00924992" w:rsidRDefault="00924992">
                                  <w:pPr>
                                    <w:pStyle w:val="Other0"/>
                                    <w:spacing w:line="240" w:lineRule="auto"/>
                                    <w:ind w:firstLine="0"/>
                                    <w:rPr>
                                      <w:sz w:val="16"/>
                                      <w:szCs w:val="16"/>
                                    </w:rPr>
                                  </w:pPr>
                                  <w:r>
                                    <w:rPr>
                                      <w:rFonts w:ascii="Times New Roman" w:eastAsia="Times New Roman" w:hAnsi="Times New Roman" w:cs="Times New Roman"/>
                                      <w:color w:val="000000"/>
                                      <w:sz w:val="16"/>
                                      <w:szCs w:val="16"/>
                                    </w:rPr>
                                    <w:t>Fármacos alternativos:</w:t>
                                  </w:r>
                                </w:p>
                              </w:tc>
                              <w:tc>
                                <w:tcPr>
                                  <w:tcW w:w="2333" w:type="dxa"/>
                                  <w:shd w:val="clear" w:color="auto" w:fill="FFFFFF"/>
                                </w:tcPr>
                                <w:p w14:paraId="2518AB8A" w14:textId="77777777" w:rsidR="00924992" w:rsidRDefault="00924992">
                                  <w:pPr>
                                    <w:pStyle w:val="Other0"/>
                                    <w:spacing w:line="240" w:lineRule="auto"/>
                                    <w:ind w:firstLine="0"/>
                                    <w:rPr>
                                      <w:sz w:val="16"/>
                                      <w:szCs w:val="16"/>
                                    </w:rPr>
                                  </w:pPr>
                                  <w:r>
                                    <w:rPr>
                                      <w:rFonts w:ascii="Times New Roman" w:eastAsia="Times New Roman" w:hAnsi="Times New Roman" w:cs="Times New Roman"/>
                                      <w:color w:val="000000"/>
                                      <w:sz w:val="16"/>
                                      <w:szCs w:val="16"/>
                                    </w:rPr>
                                    <w:t>Albendazol</w:t>
                                  </w:r>
                                </w:p>
                              </w:tc>
                              <w:tc>
                                <w:tcPr>
                                  <w:tcW w:w="3322" w:type="dxa"/>
                                  <w:shd w:val="clear" w:color="auto" w:fill="FFFFFF"/>
                                </w:tcPr>
                                <w:p w14:paraId="3E7983E8" w14:textId="77777777" w:rsidR="00924992" w:rsidRDefault="00924992">
                                  <w:pPr>
                                    <w:pStyle w:val="Other0"/>
                                    <w:spacing w:line="240" w:lineRule="auto"/>
                                    <w:ind w:firstLine="540"/>
                                    <w:rPr>
                                      <w:sz w:val="16"/>
                                      <w:szCs w:val="16"/>
                                    </w:rPr>
                                  </w:pPr>
                                  <w:r>
                                    <w:rPr>
                                      <w:rFonts w:ascii="Times New Roman" w:eastAsia="Times New Roman" w:hAnsi="Times New Roman" w:cs="Times New Roman"/>
                                      <w:color w:val="000000"/>
                                      <w:sz w:val="16"/>
                                      <w:szCs w:val="16"/>
                                    </w:rPr>
                                    <w:t xml:space="preserve">400 mg bid </w:t>
                                  </w:r>
                                  <w:r>
                                    <w:rPr>
                                      <w:color w:val="000000"/>
                                    </w:rPr>
                                    <w:t xml:space="preserve">x </w:t>
                                  </w:r>
                                  <w:r>
                                    <w:rPr>
                                      <w:rFonts w:ascii="Times New Roman" w:eastAsia="Times New Roman" w:hAnsi="Times New Roman" w:cs="Times New Roman"/>
                                      <w:color w:val="000000"/>
                                      <w:sz w:val="16"/>
                                      <w:szCs w:val="16"/>
                                    </w:rPr>
                                    <w:t>8-30 días; se puede</w:t>
                                  </w:r>
                                </w:p>
                              </w:tc>
                              <w:tc>
                                <w:tcPr>
                                  <w:tcW w:w="2933" w:type="dxa"/>
                                  <w:shd w:val="clear" w:color="auto" w:fill="FFFFFF"/>
                                </w:tcPr>
                                <w:p w14:paraId="56C62CA7" w14:textId="77777777" w:rsidR="00924992" w:rsidRDefault="00924992">
                                  <w:pPr>
                                    <w:pStyle w:val="Other0"/>
                                    <w:spacing w:line="240" w:lineRule="auto"/>
                                    <w:ind w:firstLine="0"/>
                                    <w:rPr>
                                      <w:sz w:val="16"/>
                                      <w:szCs w:val="16"/>
                                    </w:rPr>
                                  </w:pPr>
                                  <w:r>
                                    <w:rPr>
                                      <w:rFonts w:ascii="Times New Roman" w:eastAsia="Times New Roman" w:hAnsi="Times New Roman" w:cs="Times New Roman"/>
                                      <w:color w:val="000000"/>
                                      <w:sz w:val="16"/>
                                      <w:szCs w:val="16"/>
                                    </w:rPr>
                                    <w:t>15 mg/kg/día (máx. 800 mg) en 2 dosis</w:t>
                                  </w:r>
                                </w:p>
                              </w:tc>
                            </w:tr>
                            <w:tr w:rsidR="00924992" w14:paraId="294996D2" w14:textId="77777777">
                              <w:tblPrEx>
                                <w:tblCellMar>
                                  <w:top w:w="0" w:type="dxa"/>
                                  <w:bottom w:w="0" w:type="dxa"/>
                                </w:tblCellMar>
                              </w:tblPrEx>
                              <w:trPr>
                                <w:trHeight w:hRule="exact" w:val="240"/>
                              </w:trPr>
                              <w:tc>
                                <w:tcPr>
                                  <w:tcW w:w="2770" w:type="dxa"/>
                                  <w:shd w:val="clear" w:color="auto" w:fill="FFFFFF"/>
                                </w:tcPr>
                                <w:p w14:paraId="5CB86791" w14:textId="77777777" w:rsidR="00924992" w:rsidRDefault="00924992">
                                  <w:pPr>
                                    <w:rPr>
                                      <w:sz w:val="10"/>
                                      <w:szCs w:val="10"/>
                                    </w:rPr>
                                  </w:pPr>
                                </w:p>
                              </w:tc>
                              <w:tc>
                                <w:tcPr>
                                  <w:tcW w:w="2333" w:type="dxa"/>
                                  <w:shd w:val="clear" w:color="auto" w:fill="FFFFFF"/>
                                </w:tcPr>
                                <w:p w14:paraId="296A164B" w14:textId="77777777" w:rsidR="00924992" w:rsidRDefault="00924992">
                                  <w:pPr>
                                    <w:rPr>
                                      <w:sz w:val="10"/>
                                      <w:szCs w:val="10"/>
                                    </w:rPr>
                                  </w:pPr>
                                </w:p>
                              </w:tc>
                              <w:tc>
                                <w:tcPr>
                                  <w:tcW w:w="3322" w:type="dxa"/>
                                  <w:shd w:val="clear" w:color="auto" w:fill="FFFFFF"/>
                                </w:tcPr>
                                <w:p w14:paraId="65E6154F" w14:textId="77777777" w:rsidR="00924992" w:rsidRDefault="00924992">
                                  <w:pPr>
                                    <w:pStyle w:val="Other0"/>
                                    <w:spacing w:line="240" w:lineRule="auto"/>
                                    <w:ind w:firstLine="620"/>
                                    <w:rPr>
                                      <w:sz w:val="16"/>
                                      <w:szCs w:val="16"/>
                                    </w:rPr>
                                  </w:pPr>
                                  <w:r>
                                    <w:rPr>
                                      <w:rFonts w:ascii="Times New Roman" w:eastAsia="Times New Roman" w:hAnsi="Times New Roman" w:cs="Times New Roman"/>
                                      <w:color w:val="000000"/>
                                      <w:sz w:val="16"/>
                                      <w:szCs w:val="16"/>
                                    </w:rPr>
                                    <w:t>repetir según sea necesario</w:t>
                                  </w:r>
                                </w:p>
                              </w:tc>
                              <w:tc>
                                <w:tcPr>
                                  <w:tcW w:w="2933" w:type="dxa"/>
                                  <w:shd w:val="clear" w:color="auto" w:fill="FFFFFF"/>
                                </w:tcPr>
                                <w:p w14:paraId="46CC5E47" w14:textId="77777777" w:rsidR="00924992" w:rsidRDefault="00924992">
                                  <w:pPr>
                                    <w:pStyle w:val="Other0"/>
                                    <w:spacing w:line="240" w:lineRule="auto"/>
                                    <w:ind w:firstLine="180"/>
                                    <w:rPr>
                                      <w:sz w:val="16"/>
                                      <w:szCs w:val="16"/>
                                    </w:rPr>
                                  </w:pPr>
                                  <w:r>
                                    <w:rPr>
                                      <w:color w:val="000000"/>
                                    </w:rPr>
                                    <w:t xml:space="preserve">x </w:t>
                                  </w:r>
                                  <w:r>
                                    <w:rPr>
                                      <w:rFonts w:ascii="Times New Roman" w:eastAsia="Times New Roman" w:hAnsi="Times New Roman" w:cs="Times New Roman"/>
                                      <w:color w:val="000000"/>
                                      <w:sz w:val="16"/>
                                      <w:szCs w:val="16"/>
                                    </w:rPr>
                                    <w:t>8-30 días; se puede repetir según sea</w:t>
                                  </w:r>
                                </w:p>
                              </w:tc>
                            </w:tr>
                            <w:tr w:rsidR="00924992" w14:paraId="2880B8FB" w14:textId="77777777">
                              <w:tblPrEx>
                                <w:tblCellMar>
                                  <w:top w:w="0" w:type="dxa"/>
                                  <w:bottom w:w="0" w:type="dxa"/>
                                </w:tblCellMar>
                              </w:tblPrEx>
                              <w:trPr>
                                <w:trHeight w:hRule="exact" w:val="178"/>
                              </w:trPr>
                              <w:tc>
                                <w:tcPr>
                                  <w:tcW w:w="2770" w:type="dxa"/>
                                  <w:shd w:val="clear" w:color="auto" w:fill="FFFFFF"/>
                                </w:tcPr>
                                <w:p w14:paraId="072BC5A4" w14:textId="77777777" w:rsidR="00924992" w:rsidRDefault="00924992">
                                  <w:pPr>
                                    <w:rPr>
                                      <w:sz w:val="10"/>
                                      <w:szCs w:val="10"/>
                                    </w:rPr>
                                  </w:pPr>
                                </w:p>
                              </w:tc>
                              <w:tc>
                                <w:tcPr>
                                  <w:tcW w:w="2333" w:type="dxa"/>
                                  <w:shd w:val="clear" w:color="auto" w:fill="FFFFFF"/>
                                </w:tcPr>
                                <w:p w14:paraId="3549E5C4" w14:textId="77777777" w:rsidR="00924992" w:rsidRDefault="00924992">
                                  <w:pPr>
                                    <w:rPr>
                                      <w:sz w:val="10"/>
                                      <w:szCs w:val="10"/>
                                    </w:rPr>
                                  </w:pPr>
                                </w:p>
                              </w:tc>
                              <w:tc>
                                <w:tcPr>
                                  <w:tcW w:w="3322" w:type="dxa"/>
                                  <w:shd w:val="clear" w:color="auto" w:fill="FFFFFF"/>
                                </w:tcPr>
                                <w:p w14:paraId="6F006B17" w14:textId="77777777" w:rsidR="00924992" w:rsidRDefault="00924992">
                                  <w:pPr>
                                    <w:rPr>
                                      <w:sz w:val="10"/>
                                      <w:szCs w:val="10"/>
                                    </w:rPr>
                                  </w:pPr>
                                </w:p>
                              </w:tc>
                              <w:tc>
                                <w:tcPr>
                                  <w:tcW w:w="2933" w:type="dxa"/>
                                  <w:shd w:val="clear" w:color="auto" w:fill="FFFFFF"/>
                                </w:tcPr>
                                <w:p w14:paraId="7E1937DB" w14:textId="77777777" w:rsidR="00924992" w:rsidRDefault="00924992">
                                  <w:pPr>
                                    <w:pStyle w:val="Other0"/>
                                    <w:spacing w:line="240" w:lineRule="auto"/>
                                    <w:ind w:firstLine="180"/>
                                    <w:rPr>
                                      <w:sz w:val="16"/>
                                      <w:szCs w:val="16"/>
                                    </w:rPr>
                                  </w:pPr>
                                  <w:r>
                                    <w:rPr>
                                      <w:rFonts w:ascii="Times New Roman" w:eastAsia="Times New Roman" w:hAnsi="Times New Roman" w:cs="Times New Roman"/>
                                      <w:color w:val="000000"/>
                                      <w:sz w:val="16"/>
                                      <w:szCs w:val="16"/>
                                    </w:rPr>
                                    <w:t>necesario</w:t>
                                  </w:r>
                                </w:p>
                              </w:tc>
                            </w:tr>
                            <w:tr w:rsidR="00924992" w14:paraId="5C3B6561" w14:textId="77777777">
                              <w:tblPrEx>
                                <w:tblCellMar>
                                  <w:top w:w="0" w:type="dxa"/>
                                  <w:bottom w:w="0" w:type="dxa"/>
                                </w:tblCellMar>
                              </w:tblPrEx>
                              <w:trPr>
                                <w:trHeight w:hRule="exact" w:val="326"/>
                              </w:trPr>
                              <w:tc>
                                <w:tcPr>
                                  <w:tcW w:w="2770" w:type="dxa"/>
                                  <w:tcBorders>
                                    <w:bottom w:val="single" w:sz="4" w:space="0" w:color="auto"/>
                                  </w:tcBorders>
                                  <w:shd w:val="clear" w:color="auto" w:fill="FFFFFF"/>
                                </w:tcPr>
                                <w:p w14:paraId="6D4548BA" w14:textId="77777777" w:rsidR="00924992" w:rsidRDefault="00924992">
                                  <w:pPr>
                                    <w:pStyle w:val="Other0"/>
                                    <w:spacing w:line="240" w:lineRule="auto"/>
                                    <w:ind w:firstLine="0"/>
                                    <w:rPr>
                                      <w:sz w:val="16"/>
                                      <w:szCs w:val="16"/>
                                    </w:rPr>
                                  </w:pPr>
                                  <w:r>
                                    <w:rPr>
                                      <w:rFonts w:ascii="Times New Roman" w:eastAsia="Times New Roman" w:hAnsi="Times New Roman" w:cs="Times New Roman"/>
                                      <w:b/>
                                      <w:bCs/>
                                      <w:color w:val="000000"/>
                                      <w:sz w:val="16"/>
                                      <w:szCs w:val="16"/>
                                    </w:rPr>
                                    <w:t>O</w:t>
                                  </w:r>
                                </w:p>
                              </w:tc>
                              <w:tc>
                                <w:tcPr>
                                  <w:tcW w:w="2333" w:type="dxa"/>
                                  <w:tcBorders>
                                    <w:bottom w:val="single" w:sz="4" w:space="0" w:color="auto"/>
                                  </w:tcBorders>
                                  <w:shd w:val="clear" w:color="auto" w:fill="FFFFFF"/>
                                </w:tcPr>
                                <w:p w14:paraId="1603F5B8" w14:textId="77777777" w:rsidR="00924992" w:rsidRDefault="00924992">
                                  <w:pPr>
                                    <w:pStyle w:val="Other0"/>
                                    <w:spacing w:line="240" w:lineRule="auto"/>
                                    <w:ind w:firstLine="0"/>
                                    <w:rPr>
                                      <w:sz w:val="16"/>
                                      <w:szCs w:val="16"/>
                                    </w:rPr>
                                  </w:pPr>
                                  <w:r>
                                    <w:rPr>
                                      <w:rFonts w:ascii="Times New Roman" w:eastAsia="Times New Roman" w:hAnsi="Times New Roman" w:cs="Times New Roman"/>
                                      <w:color w:val="000000"/>
                                      <w:sz w:val="16"/>
                                      <w:szCs w:val="16"/>
                                    </w:rPr>
                                    <w:t>Praziquantel</w:t>
                                  </w:r>
                                  <w:r>
                                    <w:rPr>
                                      <w:rFonts w:ascii="Times New Roman" w:eastAsia="Times New Roman" w:hAnsi="Times New Roman" w:cs="Times New Roman"/>
                                      <w:color w:val="000000"/>
                                      <w:sz w:val="16"/>
                                      <w:szCs w:val="16"/>
                                      <w:vertAlign w:val="superscript"/>
                                    </w:rPr>
                                    <w:t>3</w:t>
                                  </w:r>
                                </w:p>
                              </w:tc>
                              <w:tc>
                                <w:tcPr>
                                  <w:tcW w:w="3322" w:type="dxa"/>
                                  <w:tcBorders>
                                    <w:bottom w:val="single" w:sz="4" w:space="0" w:color="auto"/>
                                  </w:tcBorders>
                                  <w:shd w:val="clear" w:color="auto" w:fill="FFFFFF"/>
                                </w:tcPr>
                                <w:p w14:paraId="30F647EC" w14:textId="77777777" w:rsidR="00924992" w:rsidRDefault="00924992">
                                  <w:pPr>
                                    <w:pStyle w:val="Other0"/>
                                    <w:spacing w:line="240" w:lineRule="auto"/>
                                    <w:ind w:firstLine="540"/>
                                    <w:rPr>
                                      <w:sz w:val="16"/>
                                      <w:szCs w:val="16"/>
                                    </w:rPr>
                                  </w:pPr>
                                  <w:r>
                                    <w:rPr>
                                      <w:rFonts w:ascii="Times New Roman" w:eastAsia="Times New Roman" w:hAnsi="Times New Roman" w:cs="Times New Roman"/>
                                      <w:color w:val="000000"/>
                                      <w:sz w:val="16"/>
                                      <w:szCs w:val="16"/>
                                    </w:rPr>
                                    <w:t xml:space="preserve">50-100 mg/kg/día en 3 dosis </w:t>
                                  </w:r>
                                  <w:r>
                                    <w:rPr>
                                      <w:color w:val="000000"/>
                                    </w:rPr>
                                    <w:t xml:space="preserve">x </w:t>
                                  </w:r>
                                  <w:r>
                                    <w:rPr>
                                      <w:rFonts w:ascii="Times New Roman" w:eastAsia="Times New Roman" w:hAnsi="Times New Roman" w:cs="Times New Roman"/>
                                      <w:color w:val="000000"/>
                                      <w:sz w:val="16"/>
                                      <w:szCs w:val="16"/>
                                    </w:rPr>
                                    <w:t>30 días</w:t>
                                  </w:r>
                                </w:p>
                              </w:tc>
                              <w:tc>
                                <w:tcPr>
                                  <w:tcW w:w="2933" w:type="dxa"/>
                                  <w:tcBorders>
                                    <w:bottom w:val="single" w:sz="4" w:space="0" w:color="auto"/>
                                  </w:tcBorders>
                                  <w:shd w:val="clear" w:color="auto" w:fill="FFFFFF"/>
                                </w:tcPr>
                                <w:p w14:paraId="7331E56C" w14:textId="77777777" w:rsidR="00924992" w:rsidRDefault="00924992">
                                  <w:pPr>
                                    <w:pStyle w:val="Other0"/>
                                    <w:spacing w:line="240" w:lineRule="auto"/>
                                    <w:ind w:firstLine="0"/>
                                    <w:rPr>
                                      <w:sz w:val="16"/>
                                      <w:szCs w:val="16"/>
                                    </w:rPr>
                                  </w:pPr>
                                  <w:r>
                                    <w:rPr>
                                      <w:rFonts w:ascii="Times New Roman" w:eastAsia="Times New Roman" w:hAnsi="Times New Roman" w:cs="Times New Roman"/>
                                      <w:color w:val="000000"/>
                                      <w:sz w:val="16"/>
                                      <w:szCs w:val="16"/>
                                    </w:rPr>
                                    <w:t xml:space="preserve">50-100 mg/kg/día en 3 dosis </w:t>
                                  </w:r>
                                  <w:r>
                                    <w:rPr>
                                      <w:color w:val="000000"/>
                                    </w:rPr>
                                    <w:t xml:space="preserve">x </w:t>
                                  </w:r>
                                  <w:r>
                                    <w:rPr>
                                      <w:rFonts w:ascii="Times New Roman" w:eastAsia="Times New Roman" w:hAnsi="Times New Roman" w:cs="Times New Roman"/>
                                      <w:color w:val="000000"/>
                                      <w:sz w:val="16"/>
                                      <w:szCs w:val="16"/>
                                    </w:rPr>
                                    <w:t>30 días</w:t>
                                  </w:r>
                                </w:p>
                              </w:tc>
                            </w:tr>
                          </w:tbl>
                          <w:p w14:paraId="6DAD31E5" w14:textId="77777777" w:rsidR="00924992" w:rsidRDefault="00924992">
                            <w:pPr>
                              <w:spacing w:line="1" w:lineRule="exact"/>
                            </w:pPr>
                          </w:p>
                        </w:txbxContent>
                      </wps:txbx>
                      <wps:bodyPr lIns="0" tIns="0" rIns="0" bIns="0"/>
                    </wps:wsp>
                  </a:graphicData>
                </a:graphic>
              </wp:anchor>
            </w:drawing>
          </mc:Choice>
          <mc:Fallback>
            <w:pict>
              <v:shape w14:anchorId="07D6C251" id="Shape 2468" o:spid="_x0000_s1113" type="#_x0000_t202" style="position:absolute;margin-left:33.6pt;margin-top:109.5pt;width:567.85pt;height:156.95pt;z-index:251731968;visibility:visible;mso-wrap-style:square;mso-wrap-distance-left:9.25pt;mso-wrap-distance-top:43.7pt;mso-wrap-distance-right:9pt;mso-wrap-distance-bottom:0;mso-position-horizontal:absolute;mso-position-horizontal-relative:page;mso-position-vertical:absolute;mso-position-vertical-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" filled="f" stroked="f">
                <v:textbox inset="0,0,0,0">
                  <w:txbxContent>
                    <w:tbl>
                      <w:tblPr>
                        <w:tblOverlap w:val="never"/>
                        <w:tblW w:w="0" w:type="auto"/>
                        <w:tblLayout w:type="fixed"/>
                        <w:tblCellMar>
                          <w:left w:w="10" w:type="dxa"/>
                          <w:right w:w="10" w:type="dxa"/>
                        </w:tblCellMar>
                        <w:tblLook w:val="04A0" w:firstRow="1" w:lastRow="0" w:firstColumn="1" w:lastColumn="0" w:noHBand="0" w:noVBand="1"/>
                      </w:tblPr>
                      <w:tblGrid>
                        <w:gridCol w:w="2770"/>
                        <w:gridCol w:w="2333"/>
                        <w:gridCol w:w="3322"/>
                        <w:gridCol w:w="2933"/>
                      </w:tblGrid>
                      <w:tr w:rsidR="00924992" w14:paraId="0D98610E" w14:textId="77777777">
                        <w:tblPrEx>
                          <w:tblCellMar>
                            <w:top w:w="0" w:type="dxa"/>
                            <w:bottom w:w="0" w:type="dxa"/>
                          </w:tblCellMar>
                        </w:tblPrEx>
                        <w:trPr>
                          <w:trHeight w:hRule="exact" w:val="437"/>
                          <w:tblHeader/>
                        </w:trPr>
                        <w:tc>
                          <w:tcPr>
                            <w:tcW w:w="2770" w:type="dxa"/>
                            <w:shd w:val="clear" w:color="auto" w:fill="FFFFFF"/>
                            <w:vAlign w:val="bottom"/>
                          </w:tcPr>
                          <w:p w14:paraId="2A585BEC" w14:textId="77777777" w:rsidR="00924992" w:rsidRDefault="00924992">
                            <w:pPr>
                              <w:pStyle w:val="Other0"/>
                              <w:spacing w:line="240" w:lineRule="auto"/>
                              <w:ind w:firstLine="0"/>
                              <w:rPr>
                                <w:sz w:val="16"/>
                                <w:szCs w:val="16"/>
                              </w:rPr>
                            </w:pPr>
                            <w:r>
                              <w:rPr>
                                <w:rFonts w:ascii="Times New Roman" w:eastAsia="Times New Roman" w:hAnsi="Times New Roman" w:cs="Times New Roman"/>
                                <w:color w:val="000000"/>
                                <w:sz w:val="16"/>
                                <w:szCs w:val="16"/>
                              </w:rPr>
                              <w:t>Fármaco alternativo:</w:t>
                            </w:r>
                          </w:p>
                          <w:p w14:paraId="1ACB3C16" w14:textId="77777777" w:rsidR="00924992" w:rsidRDefault="00924992">
                            <w:pPr>
                              <w:pStyle w:val="Other0"/>
                              <w:spacing w:line="240" w:lineRule="auto"/>
                              <w:ind w:firstLine="0"/>
                              <w:rPr>
                                <w:sz w:val="16"/>
                                <w:szCs w:val="16"/>
                              </w:rPr>
                            </w:pPr>
                            <w:r>
                              <w:rPr>
                                <w:rFonts w:ascii="Times New Roman" w:eastAsia="Times New Roman" w:hAnsi="Times New Roman" w:cs="Times New Roman"/>
                                <w:b/>
                                <w:bCs/>
                                <w:i/>
                                <w:iCs/>
                                <w:color w:val="000000"/>
                                <w:sz w:val="17"/>
                                <w:szCs w:val="17"/>
                              </w:rPr>
                              <w:t>Hymenolepis nana</w:t>
                            </w:r>
                            <w:r>
                              <w:rPr>
                                <w:rFonts w:ascii="Times New Roman" w:eastAsia="Times New Roman" w:hAnsi="Times New Roman" w:cs="Times New Roman"/>
                                <w:b/>
                                <w:bCs/>
                                <w:color w:val="000000"/>
                                <w:sz w:val="16"/>
                                <w:szCs w:val="16"/>
                              </w:rPr>
                              <w:t xml:space="preserve"> (tenia enana)</w:t>
                            </w:r>
                          </w:p>
                        </w:tc>
                        <w:tc>
                          <w:tcPr>
                            <w:tcW w:w="2333" w:type="dxa"/>
                            <w:shd w:val="clear" w:color="auto" w:fill="FFFFFF"/>
                          </w:tcPr>
                          <w:p w14:paraId="01CCD92F" w14:textId="77777777" w:rsidR="00924992" w:rsidRDefault="00924992">
                            <w:pPr>
                              <w:pStyle w:val="Other0"/>
                              <w:spacing w:line="240" w:lineRule="auto"/>
                              <w:ind w:firstLine="0"/>
                              <w:rPr>
                                <w:sz w:val="16"/>
                                <w:szCs w:val="16"/>
                              </w:rPr>
                            </w:pPr>
                            <w:r>
                              <w:rPr>
                                <w:rFonts w:ascii="Times New Roman" w:eastAsia="Times New Roman" w:hAnsi="Times New Roman" w:cs="Times New Roman"/>
                                <w:color w:val="000000"/>
                                <w:sz w:val="16"/>
                                <w:szCs w:val="16"/>
                              </w:rPr>
                              <w:t>Niclosamida</w:t>
                            </w:r>
                          </w:p>
                        </w:tc>
                        <w:tc>
                          <w:tcPr>
                            <w:tcW w:w="3322" w:type="dxa"/>
                            <w:shd w:val="clear" w:color="auto" w:fill="FFFFFF"/>
                          </w:tcPr>
                          <w:p w14:paraId="2AB4949A" w14:textId="77777777" w:rsidR="00924992" w:rsidRDefault="00924992">
                            <w:pPr>
                              <w:pStyle w:val="Other0"/>
                              <w:spacing w:line="240" w:lineRule="auto"/>
                              <w:ind w:firstLine="540"/>
                              <w:rPr>
                                <w:sz w:val="16"/>
                                <w:szCs w:val="16"/>
                              </w:rPr>
                            </w:pPr>
                            <w:r>
                              <w:rPr>
                                <w:rFonts w:ascii="Times New Roman" w:eastAsia="Times New Roman" w:hAnsi="Times New Roman" w:cs="Times New Roman"/>
                                <w:color w:val="000000"/>
                                <w:sz w:val="16"/>
                                <w:szCs w:val="16"/>
                              </w:rPr>
                              <w:t>2 g una vez</w:t>
                            </w:r>
                          </w:p>
                        </w:tc>
                        <w:tc>
                          <w:tcPr>
                            <w:tcW w:w="2933" w:type="dxa"/>
                            <w:shd w:val="clear" w:color="auto" w:fill="FFFFFF"/>
                          </w:tcPr>
                          <w:p w14:paraId="6CB59815" w14:textId="77777777" w:rsidR="00924992" w:rsidRDefault="00924992">
                            <w:pPr>
                              <w:pStyle w:val="Other0"/>
                              <w:spacing w:line="240" w:lineRule="auto"/>
                              <w:ind w:firstLine="0"/>
                              <w:rPr>
                                <w:sz w:val="16"/>
                                <w:szCs w:val="16"/>
                              </w:rPr>
                            </w:pPr>
                            <w:r>
                              <w:rPr>
                                <w:rFonts w:ascii="Times New Roman" w:eastAsia="Times New Roman" w:hAnsi="Times New Roman" w:cs="Times New Roman"/>
                                <w:color w:val="000000"/>
                                <w:sz w:val="16"/>
                                <w:szCs w:val="16"/>
                              </w:rPr>
                              <w:t>50 mg/kg una vez</w:t>
                            </w:r>
                          </w:p>
                        </w:tc>
                      </w:tr>
                      <w:tr w:rsidR="00924992" w14:paraId="6A882AE9" w14:textId="77777777">
                        <w:tblPrEx>
                          <w:tblCellMar>
                            <w:top w:w="0" w:type="dxa"/>
                            <w:bottom w:w="0" w:type="dxa"/>
                          </w:tblCellMar>
                        </w:tblPrEx>
                        <w:trPr>
                          <w:trHeight w:hRule="exact" w:val="221"/>
                        </w:trPr>
                        <w:tc>
                          <w:tcPr>
                            <w:tcW w:w="2770" w:type="dxa"/>
                            <w:shd w:val="clear" w:color="auto" w:fill="FFFFFF"/>
                            <w:vAlign w:val="bottom"/>
                          </w:tcPr>
                          <w:p w14:paraId="29D020A4" w14:textId="77777777" w:rsidR="00924992" w:rsidRDefault="00924992">
                            <w:pPr>
                              <w:pStyle w:val="Other0"/>
                              <w:spacing w:line="240" w:lineRule="auto"/>
                              <w:ind w:firstLine="0"/>
                              <w:rPr>
                                <w:sz w:val="16"/>
                                <w:szCs w:val="16"/>
                              </w:rPr>
                            </w:pPr>
                            <w:r>
                              <w:rPr>
                                <w:rFonts w:ascii="Times New Roman" w:eastAsia="Times New Roman" w:hAnsi="Times New Roman" w:cs="Times New Roman"/>
                                <w:color w:val="000000"/>
                                <w:sz w:val="16"/>
                                <w:szCs w:val="16"/>
                              </w:rPr>
                              <w:t>Fármaco más indicado:</w:t>
                            </w:r>
                          </w:p>
                        </w:tc>
                        <w:tc>
                          <w:tcPr>
                            <w:tcW w:w="2333" w:type="dxa"/>
                            <w:shd w:val="clear" w:color="auto" w:fill="FFFFFF"/>
                            <w:vAlign w:val="bottom"/>
                          </w:tcPr>
                          <w:p w14:paraId="30810327" w14:textId="77777777" w:rsidR="00924992" w:rsidRDefault="00924992">
                            <w:pPr>
                              <w:pStyle w:val="Other0"/>
                              <w:spacing w:line="240" w:lineRule="auto"/>
                              <w:ind w:firstLine="0"/>
                              <w:rPr>
                                <w:sz w:val="16"/>
                                <w:szCs w:val="16"/>
                              </w:rPr>
                            </w:pPr>
                            <w:r>
                              <w:rPr>
                                <w:rFonts w:ascii="Times New Roman" w:eastAsia="Times New Roman" w:hAnsi="Times New Roman" w:cs="Times New Roman"/>
                                <w:color w:val="000000"/>
                                <w:sz w:val="16"/>
                                <w:szCs w:val="16"/>
                              </w:rPr>
                              <w:t>Praziquantel</w:t>
                            </w:r>
                            <w:r>
                              <w:rPr>
                                <w:rFonts w:ascii="Times New Roman" w:eastAsia="Times New Roman" w:hAnsi="Times New Roman" w:cs="Times New Roman"/>
                                <w:color w:val="000000"/>
                                <w:sz w:val="16"/>
                                <w:szCs w:val="16"/>
                                <w:vertAlign w:val="superscript"/>
                              </w:rPr>
                              <w:t>3</w:t>
                            </w:r>
                          </w:p>
                        </w:tc>
                        <w:tc>
                          <w:tcPr>
                            <w:tcW w:w="3322" w:type="dxa"/>
                            <w:shd w:val="clear" w:color="auto" w:fill="FFFFFF"/>
                            <w:vAlign w:val="bottom"/>
                          </w:tcPr>
                          <w:p w14:paraId="6062C542" w14:textId="77777777" w:rsidR="00924992" w:rsidRDefault="00924992">
                            <w:pPr>
                              <w:pStyle w:val="Other0"/>
                              <w:spacing w:line="240" w:lineRule="auto"/>
                              <w:ind w:firstLine="540"/>
                              <w:rPr>
                                <w:sz w:val="16"/>
                                <w:szCs w:val="16"/>
                              </w:rPr>
                            </w:pPr>
                            <w:r>
                              <w:rPr>
                                <w:rFonts w:ascii="Times New Roman" w:eastAsia="Times New Roman" w:hAnsi="Times New Roman" w:cs="Times New Roman"/>
                                <w:color w:val="000000"/>
                                <w:sz w:val="16"/>
                                <w:szCs w:val="16"/>
                              </w:rPr>
                              <w:t>25 mg/kg una vez</w:t>
                            </w:r>
                          </w:p>
                        </w:tc>
                        <w:tc>
                          <w:tcPr>
                            <w:tcW w:w="2933" w:type="dxa"/>
                            <w:shd w:val="clear" w:color="auto" w:fill="FFFFFF"/>
                            <w:vAlign w:val="bottom"/>
                          </w:tcPr>
                          <w:p w14:paraId="483669DD" w14:textId="77777777" w:rsidR="00924992" w:rsidRDefault="00924992">
                            <w:pPr>
                              <w:pStyle w:val="Other0"/>
                              <w:spacing w:line="240" w:lineRule="auto"/>
                              <w:ind w:firstLine="0"/>
                              <w:rPr>
                                <w:sz w:val="16"/>
                                <w:szCs w:val="16"/>
                              </w:rPr>
                            </w:pPr>
                            <w:r>
                              <w:rPr>
                                <w:rFonts w:ascii="Times New Roman" w:eastAsia="Times New Roman" w:hAnsi="Times New Roman" w:cs="Times New Roman"/>
                                <w:color w:val="000000"/>
                                <w:sz w:val="16"/>
                                <w:szCs w:val="16"/>
                              </w:rPr>
                              <w:t>25 mg/kg una vez</w:t>
                            </w:r>
                          </w:p>
                        </w:tc>
                      </w:tr>
                      <w:tr w:rsidR="00924992" w14:paraId="6802826A" w14:textId="77777777">
                        <w:tblPrEx>
                          <w:tblCellMar>
                            <w:top w:w="0" w:type="dxa"/>
                            <w:bottom w:w="0" w:type="dxa"/>
                          </w:tblCellMar>
                        </w:tblPrEx>
                        <w:trPr>
                          <w:trHeight w:hRule="exact" w:val="216"/>
                        </w:trPr>
                        <w:tc>
                          <w:tcPr>
                            <w:tcW w:w="2770" w:type="dxa"/>
                            <w:shd w:val="clear" w:color="auto" w:fill="FFFFFF"/>
                            <w:vAlign w:val="bottom"/>
                          </w:tcPr>
                          <w:p w14:paraId="04E30E81" w14:textId="77777777" w:rsidR="00924992" w:rsidRDefault="00924992">
                            <w:pPr>
                              <w:pStyle w:val="Other0"/>
                              <w:spacing w:line="240" w:lineRule="auto"/>
                              <w:ind w:firstLine="0"/>
                              <w:rPr>
                                <w:sz w:val="16"/>
                                <w:szCs w:val="16"/>
                              </w:rPr>
                            </w:pPr>
                            <w:r>
                              <w:rPr>
                                <w:rFonts w:ascii="Times New Roman" w:eastAsia="Times New Roman" w:hAnsi="Times New Roman" w:cs="Times New Roman"/>
                                <w:b/>
                                <w:bCs/>
                                <w:color w:val="000000"/>
                                <w:sz w:val="16"/>
                                <w:szCs w:val="16"/>
                              </w:rPr>
                              <w:t>-Larvaria (etapa tisular)</w:t>
                            </w:r>
                          </w:p>
                        </w:tc>
                        <w:tc>
                          <w:tcPr>
                            <w:tcW w:w="2333" w:type="dxa"/>
                            <w:shd w:val="clear" w:color="auto" w:fill="FFFFFF"/>
                          </w:tcPr>
                          <w:p w14:paraId="15B026E2" w14:textId="77777777" w:rsidR="00924992" w:rsidRDefault="00924992">
                            <w:pPr>
                              <w:rPr>
                                <w:sz w:val="10"/>
                                <w:szCs w:val="10"/>
                              </w:rPr>
                            </w:pPr>
                          </w:p>
                        </w:tc>
                        <w:tc>
                          <w:tcPr>
                            <w:tcW w:w="3322" w:type="dxa"/>
                            <w:shd w:val="clear" w:color="auto" w:fill="FFFFFF"/>
                          </w:tcPr>
                          <w:p w14:paraId="21D07289" w14:textId="77777777" w:rsidR="00924992" w:rsidRDefault="00924992">
                            <w:pPr>
                              <w:rPr>
                                <w:sz w:val="10"/>
                                <w:szCs w:val="10"/>
                              </w:rPr>
                            </w:pPr>
                          </w:p>
                        </w:tc>
                        <w:tc>
                          <w:tcPr>
                            <w:tcW w:w="2933" w:type="dxa"/>
                            <w:shd w:val="clear" w:color="auto" w:fill="FFFFFF"/>
                          </w:tcPr>
                          <w:p w14:paraId="54C6C1B8" w14:textId="77777777" w:rsidR="00924992" w:rsidRDefault="00924992">
                            <w:pPr>
                              <w:rPr>
                                <w:sz w:val="10"/>
                                <w:szCs w:val="10"/>
                              </w:rPr>
                            </w:pPr>
                          </w:p>
                        </w:tc>
                      </w:tr>
                      <w:tr w:rsidR="00924992" w14:paraId="023A84C8" w14:textId="77777777">
                        <w:tblPrEx>
                          <w:tblCellMar>
                            <w:top w:w="0" w:type="dxa"/>
                            <w:bottom w:w="0" w:type="dxa"/>
                          </w:tblCellMar>
                        </w:tblPrEx>
                        <w:trPr>
                          <w:trHeight w:hRule="exact" w:val="221"/>
                        </w:trPr>
                        <w:tc>
                          <w:tcPr>
                            <w:tcW w:w="5103" w:type="dxa"/>
                            <w:gridSpan w:val="2"/>
                            <w:shd w:val="clear" w:color="auto" w:fill="FFFFFF"/>
                            <w:vAlign w:val="bottom"/>
                          </w:tcPr>
                          <w:p w14:paraId="4351FCCA" w14:textId="77777777" w:rsidR="00924992" w:rsidRDefault="00924992">
                            <w:pPr>
                              <w:pStyle w:val="Other0"/>
                              <w:spacing w:line="240" w:lineRule="auto"/>
                              <w:ind w:firstLine="0"/>
                              <w:rPr>
                                <w:sz w:val="16"/>
                                <w:szCs w:val="16"/>
                              </w:rPr>
                            </w:pPr>
                            <w:r>
                              <w:rPr>
                                <w:rFonts w:ascii="Times New Roman" w:eastAsia="Times New Roman" w:hAnsi="Times New Roman" w:cs="Times New Roman"/>
                                <w:b/>
                                <w:bCs/>
                                <w:i/>
                                <w:iCs/>
                                <w:color w:val="000000"/>
                                <w:sz w:val="17"/>
                                <w:szCs w:val="17"/>
                              </w:rPr>
                              <w:t>Echinococcus granulosus</w:t>
                            </w:r>
                            <w:r>
                              <w:rPr>
                                <w:rFonts w:ascii="Times New Roman" w:eastAsia="Times New Roman" w:hAnsi="Times New Roman" w:cs="Times New Roman"/>
                                <w:b/>
                                <w:bCs/>
                                <w:color w:val="000000"/>
                                <w:sz w:val="16"/>
                                <w:szCs w:val="16"/>
                              </w:rPr>
                              <w:t xml:space="preserve"> (quiste hidatídico)</w:t>
                            </w:r>
                          </w:p>
                        </w:tc>
                        <w:tc>
                          <w:tcPr>
                            <w:tcW w:w="3322" w:type="dxa"/>
                            <w:shd w:val="clear" w:color="auto" w:fill="FFFFFF"/>
                          </w:tcPr>
                          <w:p w14:paraId="3B5BBAE2" w14:textId="77777777" w:rsidR="00924992" w:rsidRDefault="00924992">
                            <w:pPr>
                              <w:rPr>
                                <w:sz w:val="10"/>
                                <w:szCs w:val="10"/>
                              </w:rPr>
                            </w:pPr>
                          </w:p>
                        </w:tc>
                        <w:tc>
                          <w:tcPr>
                            <w:tcW w:w="2933" w:type="dxa"/>
                            <w:shd w:val="clear" w:color="auto" w:fill="FFFFFF"/>
                          </w:tcPr>
                          <w:p w14:paraId="491D4059" w14:textId="77777777" w:rsidR="00924992" w:rsidRDefault="00924992">
                            <w:pPr>
                              <w:rPr>
                                <w:sz w:val="10"/>
                                <w:szCs w:val="10"/>
                              </w:rPr>
                            </w:pPr>
                          </w:p>
                        </w:tc>
                      </w:tr>
                      <w:tr w:rsidR="00924992" w14:paraId="4608F972" w14:textId="77777777">
                        <w:tblPrEx>
                          <w:tblCellMar>
                            <w:top w:w="0" w:type="dxa"/>
                            <w:bottom w:w="0" w:type="dxa"/>
                          </w:tblCellMar>
                        </w:tblPrEx>
                        <w:trPr>
                          <w:trHeight w:hRule="exact" w:val="211"/>
                        </w:trPr>
                        <w:tc>
                          <w:tcPr>
                            <w:tcW w:w="2770" w:type="dxa"/>
                            <w:shd w:val="clear" w:color="auto" w:fill="FFFFFF"/>
                            <w:vAlign w:val="bottom"/>
                          </w:tcPr>
                          <w:p w14:paraId="1A049618" w14:textId="77777777" w:rsidR="00924992" w:rsidRDefault="00924992">
                            <w:pPr>
                              <w:pStyle w:val="Other0"/>
                              <w:spacing w:line="240" w:lineRule="auto"/>
                              <w:ind w:firstLine="0"/>
                              <w:rPr>
                                <w:sz w:val="16"/>
                                <w:szCs w:val="16"/>
                              </w:rPr>
                            </w:pPr>
                            <w:r>
                              <w:rPr>
                                <w:rFonts w:ascii="Times New Roman" w:eastAsia="Times New Roman" w:hAnsi="Times New Roman" w:cs="Times New Roman"/>
                                <w:color w:val="000000"/>
                                <w:sz w:val="16"/>
                                <w:szCs w:val="16"/>
                              </w:rPr>
                              <w:t>Fármaco más indicado:</w:t>
                            </w:r>
                            <w:r>
                              <w:rPr>
                                <w:rFonts w:ascii="Times New Roman" w:eastAsia="Times New Roman" w:hAnsi="Times New Roman" w:cs="Times New Roman"/>
                                <w:color w:val="000000"/>
                                <w:sz w:val="16"/>
                                <w:szCs w:val="16"/>
                                <w:vertAlign w:val="superscript"/>
                              </w:rPr>
                              <w:t>100</w:t>
                            </w:r>
                          </w:p>
                        </w:tc>
                        <w:tc>
                          <w:tcPr>
                            <w:tcW w:w="2333" w:type="dxa"/>
                            <w:shd w:val="clear" w:color="auto" w:fill="FFFFFF"/>
                            <w:vAlign w:val="bottom"/>
                          </w:tcPr>
                          <w:p w14:paraId="3CFEDB5B" w14:textId="77777777" w:rsidR="00924992" w:rsidRDefault="00924992">
                            <w:pPr>
                              <w:pStyle w:val="Other0"/>
                              <w:spacing w:line="240" w:lineRule="auto"/>
                              <w:ind w:firstLine="0"/>
                              <w:rPr>
                                <w:sz w:val="16"/>
                                <w:szCs w:val="16"/>
                              </w:rPr>
                            </w:pPr>
                            <w:r>
                              <w:rPr>
                                <w:rFonts w:ascii="Times New Roman" w:eastAsia="Times New Roman" w:hAnsi="Times New Roman" w:cs="Times New Roman"/>
                                <w:color w:val="000000"/>
                                <w:sz w:val="16"/>
                                <w:szCs w:val="16"/>
                              </w:rPr>
                              <w:t>Albendazol</w:t>
                            </w:r>
                          </w:p>
                        </w:tc>
                        <w:tc>
                          <w:tcPr>
                            <w:tcW w:w="3322" w:type="dxa"/>
                            <w:shd w:val="clear" w:color="auto" w:fill="FFFFFF"/>
                            <w:vAlign w:val="bottom"/>
                          </w:tcPr>
                          <w:p w14:paraId="18320B3A" w14:textId="77777777" w:rsidR="00924992" w:rsidRDefault="00924992">
                            <w:pPr>
                              <w:pStyle w:val="Other0"/>
                              <w:spacing w:line="240" w:lineRule="auto"/>
                              <w:ind w:firstLine="540"/>
                              <w:rPr>
                                <w:sz w:val="16"/>
                                <w:szCs w:val="16"/>
                              </w:rPr>
                            </w:pPr>
                            <w:r>
                              <w:rPr>
                                <w:rFonts w:ascii="Times New Roman" w:eastAsia="Times New Roman" w:hAnsi="Times New Roman" w:cs="Times New Roman"/>
                                <w:color w:val="000000"/>
                                <w:sz w:val="16"/>
                                <w:szCs w:val="16"/>
                              </w:rPr>
                              <w:t xml:space="preserve">400 mg bid </w:t>
                            </w:r>
                            <w:r>
                              <w:rPr>
                                <w:color w:val="000000"/>
                              </w:rPr>
                              <w:t xml:space="preserve">x </w:t>
                            </w:r>
                            <w:r>
                              <w:rPr>
                                <w:rFonts w:ascii="Times New Roman" w:eastAsia="Times New Roman" w:hAnsi="Times New Roman" w:cs="Times New Roman"/>
                                <w:color w:val="000000"/>
                                <w:sz w:val="16"/>
                                <w:szCs w:val="16"/>
                              </w:rPr>
                              <w:t>1-6 meses</w:t>
                            </w:r>
                          </w:p>
                        </w:tc>
                        <w:tc>
                          <w:tcPr>
                            <w:tcW w:w="2933" w:type="dxa"/>
                            <w:shd w:val="clear" w:color="auto" w:fill="FFFFFF"/>
                            <w:vAlign w:val="bottom"/>
                          </w:tcPr>
                          <w:p w14:paraId="52E56964" w14:textId="77777777" w:rsidR="00924992" w:rsidRDefault="00924992">
                            <w:pPr>
                              <w:pStyle w:val="Other0"/>
                              <w:spacing w:line="240" w:lineRule="auto"/>
                              <w:ind w:firstLine="0"/>
                              <w:rPr>
                                <w:sz w:val="16"/>
                                <w:szCs w:val="16"/>
                              </w:rPr>
                            </w:pPr>
                            <w:r>
                              <w:rPr>
                                <w:rFonts w:ascii="Times New Roman" w:eastAsia="Times New Roman" w:hAnsi="Times New Roman" w:cs="Times New Roman"/>
                                <w:color w:val="000000"/>
                                <w:sz w:val="16"/>
                                <w:szCs w:val="16"/>
                              </w:rPr>
                              <w:t xml:space="preserve">15 mg/kg/día (máx. 800 mg) </w:t>
                            </w:r>
                            <w:r>
                              <w:rPr>
                                <w:color w:val="000000"/>
                              </w:rPr>
                              <w:t xml:space="preserve">x </w:t>
                            </w:r>
                            <w:r>
                              <w:rPr>
                                <w:rFonts w:ascii="Times New Roman" w:eastAsia="Times New Roman" w:hAnsi="Times New Roman" w:cs="Times New Roman"/>
                                <w:color w:val="000000"/>
                                <w:sz w:val="16"/>
                                <w:szCs w:val="16"/>
                              </w:rPr>
                              <w:t>1-6 meses</w:t>
                            </w:r>
                          </w:p>
                        </w:tc>
                      </w:tr>
                      <w:tr w:rsidR="00924992" w14:paraId="6D2A0CF6" w14:textId="77777777">
                        <w:tblPrEx>
                          <w:tblCellMar>
                            <w:top w:w="0" w:type="dxa"/>
                            <w:bottom w:w="0" w:type="dxa"/>
                          </w:tblCellMar>
                        </w:tblPrEx>
                        <w:trPr>
                          <w:trHeight w:hRule="exact" w:val="206"/>
                        </w:trPr>
                        <w:tc>
                          <w:tcPr>
                            <w:tcW w:w="2770" w:type="dxa"/>
                            <w:shd w:val="clear" w:color="auto" w:fill="FFFFFF"/>
                          </w:tcPr>
                          <w:p w14:paraId="61565544" w14:textId="77777777" w:rsidR="00924992" w:rsidRDefault="00924992">
                            <w:pPr>
                              <w:pStyle w:val="Other0"/>
                              <w:spacing w:line="240" w:lineRule="auto"/>
                              <w:ind w:firstLine="0"/>
                              <w:rPr>
                                <w:sz w:val="17"/>
                                <w:szCs w:val="17"/>
                              </w:rPr>
                            </w:pPr>
                            <w:r>
                              <w:rPr>
                                <w:rFonts w:ascii="Times New Roman" w:eastAsia="Times New Roman" w:hAnsi="Times New Roman" w:cs="Times New Roman"/>
                                <w:b/>
                                <w:bCs/>
                                <w:i/>
                                <w:iCs/>
                                <w:color w:val="000000"/>
                                <w:sz w:val="17"/>
                                <w:szCs w:val="17"/>
                              </w:rPr>
                              <w:t>Echinococcus multilocularis</w:t>
                            </w:r>
                          </w:p>
                        </w:tc>
                        <w:tc>
                          <w:tcPr>
                            <w:tcW w:w="2333" w:type="dxa"/>
                            <w:shd w:val="clear" w:color="auto" w:fill="FFFFFF"/>
                          </w:tcPr>
                          <w:p w14:paraId="4811FD26" w14:textId="77777777" w:rsidR="00924992" w:rsidRDefault="00924992">
                            <w:pPr>
                              <w:rPr>
                                <w:sz w:val="10"/>
                                <w:szCs w:val="10"/>
                              </w:rPr>
                            </w:pPr>
                          </w:p>
                        </w:tc>
                        <w:tc>
                          <w:tcPr>
                            <w:tcW w:w="3322" w:type="dxa"/>
                            <w:shd w:val="clear" w:color="auto" w:fill="FFFFFF"/>
                          </w:tcPr>
                          <w:p w14:paraId="752986C6" w14:textId="77777777" w:rsidR="00924992" w:rsidRDefault="00924992">
                            <w:pPr>
                              <w:rPr>
                                <w:sz w:val="10"/>
                                <w:szCs w:val="10"/>
                              </w:rPr>
                            </w:pPr>
                          </w:p>
                        </w:tc>
                        <w:tc>
                          <w:tcPr>
                            <w:tcW w:w="2933" w:type="dxa"/>
                            <w:shd w:val="clear" w:color="auto" w:fill="FFFFFF"/>
                          </w:tcPr>
                          <w:p w14:paraId="55245051" w14:textId="77777777" w:rsidR="00924992" w:rsidRDefault="00924992">
                            <w:pPr>
                              <w:rPr>
                                <w:sz w:val="10"/>
                                <w:szCs w:val="10"/>
                              </w:rPr>
                            </w:pPr>
                          </w:p>
                        </w:tc>
                      </w:tr>
                      <w:tr w:rsidR="00924992" w14:paraId="7DF8FDEC" w14:textId="77777777">
                        <w:tblPrEx>
                          <w:tblCellMar>
                            <w:top w:w="0" w:type="dxa"/>
                            <w:bottom w:w="0" w:type="dxa"/>
                          </w:tblCellMar>
                        </w:tblPrEx>
                        <w:trPr>
                          <w:trHeight w:hRule="exact" w:val="221"/>
                        </w:trPr>
                        <w:tc>
                          <w:tcPr>
                            <w:tcW w:w="2770" w:type="dxa"/>
                            <w:shd w:val="clear" w:color="auto" w:fill="FFFFFF"/>
                            <w:vAlign w:val="bottom"/>
                          </w:tcPr>
                          <w:p w14:paraId="01403BE5" w14:textId="77777777" w:rsidR="00924992" w:rsidRDefault="00924992">
                            <w:pPr>
                              <w:pStyle w:val="Other0"/>
                              <w:spacing w:line="240" w:lineRule="auto"/>
                              <w:ind w:firstLine="0"/>
                              <w:rPr>
                                <w:sz w:val="16"/>
                                <w:szCs w:val="16"/>
                              </w:rPr>
                            </w:pPr>
                            <w:r>
                              <w:rPr>
                                <w:rFonts w:ascii="Times New Roman" w:eastAsia="Times New Roman" w:hAnsi="Times New Roman" w:cs="Times New Roman"/>
                                <w:color w:val="000000"/>
                                <w:sz w:val="16"/>
                                <w:szCs w:val="16"/>
                              </w:rPr>
                              <w:t>Tratamiento más adecuado:</w:t>
                            </w:r>
                          </w:p>
                        </w:tc>
                        <w:tc>
                          <w:tcPr>
                            <w:tcW w:w="2333" w:type="dxa"/>
                            <w:shd w:val="clear" w:color="auto" w:fill="FFFFFF"/>
                            <w:vAlign w:val="bottom"/>
                          </w:tcPr>
                          <w:p w14:paraId="184683DB" w14:textId="77777777" w:rsidR="00924992" w:rsidRDefault="00924992">
                            <w:pPr>
                              <w:pStyle w:val="Other0"/>
                              <w:spacing w:line="240" w:lineRule="auto"/>
                              <w:ind w:firstLine="0"/>
                              <w:rPr>
                                <w:sz w:val="16"/>
                                <w:szCs w:val="16"/>
                              </w:rPr>
                            </w:pPr>
                            <w:r>
                              <w:rPr>
                                <w:rFonts w:ascii="Times New Roman" w:eastAsia="Times New Roman" w:hAnsi="Times New Roman" w:cs="Times New Roman"/>
                                <w:color w:val="000000"/>
                                <w:sz w:val="16"/>
                                <w:szCs w:val="16"/>
                              </w:rPr>
                              <w:t>Véase pie de cuadro 101</w:t>
                            </w:r>
                          </w:p>
                        </w:tc>
                        <w:tc>
                          <w:tcPr>
                            <w:tcW w:w="3322" w:type="dxa"/>
                            <w:shd w:val="clear" w:color="auto" w:fill="FFFFFF"/>
                          </w:tcPr>
                          <w:p w14:paraId="643D1CDC" w14:textId="77777777" w:rsidR="00924992" w:rsidRDefault="00924992">
                            <w:pPr>
                              <w:rPr>
                                <w:sz w:val="10"/>
                                <w:szCs w:val="10"/>
                              </w:rPr>
                            </w:pPr>
                          </w:p>
                        </w:tc>
                        <w:tc>
                          <w:tcPr>
                            <w:tcW w:w="2933" w:type="dxa"/>
                            <w:shd w:val="clear" w:color="auto" w:fill="FFFFFF"/>
                          </w:tcPr>
                          <w:p w14:paraId="17890106" w14:textId="77777777" w:rsidR="00924992" w:rsidRDefault="00924992">
                            <w:pPr>
                              <w:rPr>
                                <w:sz w:val="10"/>
                                <w:szCs w:val="10"/>
                              </w:rPr>
                            </w:pPr>
                          </w:p>
                        </w:tc>
                      </w:tr>
                      <w:tr w:rsidR="00924992" w14:paraId="123758AB" w14:textId="77777777">
                        <w:tblPrEx>
                          <w:tblCellMar>
                            <w:top w:w="0" w:type="dxa"/>
                            <w:bottom w:w="0" w:type="dxa"/>
                          </w:tblCellMar>
                        </w:tblPrEx>
                        <w:trPr>
                          <w:trHeight w:hRule="exact" w:val="230"/>
                        </w:trPr>
                        <w:tc>
                          <w:tcPr>
                            <w:tcW w:w="2770" w:type="dxa"/>
                            <w:shd w:val="clear" w:color="auto" w:fill="FFFFFF"/>
                            <w:vAlign w:val="bottom"/>
                          </w:tcPr>
                          <w:p w14:paraId="54323028" w14:textId="77777777" w:rsidR="00924992" w:rsidRDefault="00924992">
                            <w:pPr>
                              <w:pStyle w:val="Other0"/>
                              <w:spacing w:line="240" w:lineRule="auto"/>
                              <w:ind w:firstLine="0"/>
                              <w:rPr>
                                <w:sz w:val="16"/>
                                <w:szCs w:val="16"/>
                              </w:rPr>
                            </w:pPr>
                            <w:r>
                              <w:rPr>
                                <w:rFonts w:ascii="Times New Roman" w:eastAsia="Times New Roman" w:hAnsi="Times New Roman" w:cs="Times New Roman"/>
                                <w:b/>
                                <w:bCs/>
                                <w:i/>
                                <w:iCs/>
                                <w:color w:val="000000"/>
                                <w:sz w:val="17"/>
                                <w:szCs w:val="17"/>
                              </w:rPr>
                              <w:t>Cysticercus cellulosae</w:t>
                            </w:r>
                            <w:r>
                              <w:rPr>
                                <w:rFonts w:ascii="Times New Roman" w:eastAsia="Times New Roman" w:hAnsi="Times New Roman" w:cs="Times New Roman"/>
                                <w:b/>
                                <w:bCs/>
                                <w:color w:val="000000"/>
                                <w:sz w:val="16"/>
                                <w:szCs w:val="16"/>
                              </w:rPr>
                              <w:t xml:space="preserve"> (cisticercosis)</w:t>
                            </w:r>
                          </w:p>
                        </w:tc>
                        <w:tc>
                          <w:tcPr>
                            <w:tcW w:w="2333" w:type="dxa"/>
                            <w:shd w:val="clear" w:color="auto" w:fill="FFFFFF"/>
                          </w:tcPr>
                          <w:p w14:paraId="246E5E40" w14:textId="77777777" w:rsidR="00924992" w:rsidRDefault="00924992">
                            <w:pPr>
                              <w:rPr>
                                <w:sz w:val="10"/>
                                <w:szCs w:val="10"/>
                              </w:rPr>
                            </w:pPr>
                          </w:p>
                        </w:tc>
                        <w:tc>
                          <w:tcPr>
                            <w:tcW w:w="3322" w:type="dxa"/>
                            <w:shd w:val="clear" w:color="auto" w:fill="FFFFFF"/>
                          </w:tcPr>
                          <w:p w14:paraId="3922906C" w14:textId="77777777" w:rsidR="00924992" w:rsidRDefault="00924992">
                            <w:pPr>
                              <w:rPr>
                                <w:sz w:val="10"/>
                                <w:szCs w:val="10"/>
                              </w:rPr>
                            </w:pPr>
                          </w:p>
                        </w:tc>
                        <w:tc>
                          <w:tcPr>
                            <w:tcW w:w="2933" w:type="dxa"/>
                            <w:shd w:val="clear" w:color="auto" w:fill="FFFFFF"/>
                          </w:tcPr>
                          <w:p w14:paraId="7E0B4A89" w14:textId="77777777" w:rsidR="00924992" w:rsidRDefault="00924992">
                            <w:pPr>
                              <w:rPr>
                                <w:sz w:val="10"/>
                                <w:szCs w:val="10"/>
                              </w:rPr>
                            </w:pPr>
                          </w:p>
                        </w:tc>
                      </w:tr>
                      <w:tr w:rsidR="00924992" w14:paraId="350340CA" w14:textId="77777777">
                        <w:tblPrEx>
                          <w:tblCellMar>
                            <w:top w:w="0" w:type="dxa"/>
                            <w:bottom w:w="0" w:type="dxa"/>
                          </w:tblCellMar>
                        </w:tblPrEx>
                        <w:trPr>
                          <w:trHeight w:hRule="exact" w:val="202"/>
                        </w:trPr>
                        <w:tc>
                          <w:tcPr>
                            <w:tcW w:w="2770" w:type="dxa"/>
                            <w:shd w:val="clear" w:color="auto" w:fill="FFFFFF"/>
                            <w:vAlign w:val="bottom"/>
                          </w:tcPr>
                          <w:p w14:paraId="70514500" w14:textId="77777777" w:rsidR="00924992" w:rsidRDefault="00924992">
                            <w:pPr>
                              <w:pStyle w:val="Other0"/>
                              <w:spacing w:line="240" w:lineRule="auto"/>
                              <w:ind w:firstLine="0"/>
                              <w:rPr>
                                <w:sz w:val="16"/>
                                <w:szCs w:val="16"/>
                              </w:rPr>
                            </w:pPr>
                            <w:r>
                              <w:rPr>
                                <w:rFonts w:ascii="Times New Roman" w:eastAsia="Times New Roman" w:hAnsi="Times New Roman" w:cs="Times New Roman"/>
                                <w:color w:val="000000"/>
                                <w:sz w:val="16"/>
                                <w:szCs w:val="16"/>
                              </w:rPr>
                              <w:t>Tratamiento más indicado:</w:t>
                            </w:r>
                          </w:p>
                        </w:tc>
                        <w:tc>
                          <w:tcPr>
                            <w:tcW w:w="2333" w:type="dxa"/>
                            <w:shd w:val="clear" w:color="auto" w:fill="FFFFFF"/>
                            <w:vAlign w:val="bottom"/>
                          </w:tcPr>
                          <w:p w14:paraId="78D109A2" w14:textId="77777777" w:rsidR="00924992" w:rsidRDefault="00924992">
                            <w:pPr>
                              <w:pStyle w:val="Other0"/>
                              <w:spacing w:line="240" w:lineRule="auto"/>
                              <w:ind w:firstLine="0"/>
                              <w:rPr>
                                <w:sz w:val="16"/>
                                <w:szCs w:val="16"/>
                              </w:rPr>
                            </w:pPr>
                            <w:r>
                              <w:rPr>
                                <w:rFonts w:ascii="Times New Roman" w:eastAsia="Times New Roman" w:hAnsi="Times New Roman" w:cs="Times New Roman"/>
                                <w:color w:val="000000"/>
                                <w:sz w:val="16"/>
                                <w:szCs w:val="16"/>
                              </w:rPr>
                              <w:t>Véase pie de cuadro 102</w:t>
                            </w:r>
                          </w:p>
                        </w:tc>
                        <w:tc>
                          <w:tcPr>
                            <w:tcW w:w="3322" w:type="dxa"/>
                            <w:shd w:val="clear" w:color="auto" w:fill="FFFFFF"/>
                          </w:tcPr>
                          <w:p w14:paraId="066B76C7" w14:textId="77777777" w:rsidR="00924992" w:rsidRDefault="00924992">
                            <w:pPr>
                              <w:rPr>
                                <w:sz w:val="10"/>
                                <w:szCs w:val="10"/>
                              </w:rPr>
                            </w:pPr>
                          </w:p>
                        </w:tc>
                        <w:tc>
                          <w:tcPr>
                            <w:tcW w:w="2933" w:type="dxa"/>
                            <w:shd w:val="clear" w:color="auto" w:fill="FFFFFF"/>
                          </w:tcPr>
                          <w:p w14:paraId="63B86B8F" w14:textId="77777777" w:rsidR="00924992" w:rsidRDefault="00924992">
                            <w:pPr>
                              <w:rPr>
                                <w:sz w:val="10"/>
                                <w:szCs w:val="10"/>
                              </w:rPr>
                            </w:pPr>
                          </w:p>
                        </w:tc>
                      </w:tr>
                      <w:tr w:rsidR="00924992" w14:paraId="0BABE68D" w14:textId="77777777">
                        <w:tblPrEx>
                          <w:tblCellMar>
                            <w:top w:w="0" w:type="dxa"/>
                            <w:bottom w:w="0" w:type="dxa"/>
                          </w:tblCellMar>
                        </w:tblPrEx>
                        <w:trPr>
                          <w:trHeight w:hRule="exact" w:val="230"/>
                        </w:trPr>
                        <w:tc>
                          <w:tcPr>
                            <w:tcW w:w="2770" w:type="dxa"/>
                            <w:shd w:val="clear" w:color="auto" w:fill="FFFFFF"/>
                          </w:tcPr>
                          <w:p w14:paraId="58D9582D" w14:textId="77777777" w:rsidR="00924992" w:rsidRDefault="00924992">
                            <w:pPr>
                              <w:pStyle w:val="Other0"/>
                              <w:spacing w:line="240" w:lineRule="auto"/>
                              <w:ind w:firstLine="0"/>
                              <w:rPr>
                                <w:sz w:val="16"/>
                                <w:szCs w:val="16"/>
                              </w:rPr>
                            </w:pPr>
                            <w:r>
                              <w:rPr>
                                <w:rFonts w:ascii="Times New Roman" w:eastAsia="Times New Roman" w:hAnsi="Times New Roman" w:cs="Times New Roman"/>
                                <w:color w:val="000000"/>
                                <w:sz w:val="16"/>
                                <w:szCs w:val="16"/>
                              </w:rPr>
                              <w:t>Fármacos alternativos:</w:t>
                            </w:r>
                          </w:p>
                        </w:tc>
                        <w:tc>
                          <w:tcPr>
                            <w:tcW w:w="2333" w:type="dxa"/>
                            <w:shd w:val="clear" w:color="auto" w:fill="FFFFFF"/>
                          </w:tcPr>
                          <w:p w14:paraId="2518AB8A" w14:textId="77777777" w:rsidR="00924992" w:rsidRDefault="00924992">
                            <w:pPr>
                              <w:pStyle w:val="Other0"/>
                              <w:spacing w:line="240" w:lineRule="auto"/>
                              <w:ind w:firstLine="0"/>
                              <w:rPr>
                                <w:sz w:val="16"/>
                                <w:szCs w:val="16"/>
                              </w:rPr>
                            </w:pPr>
                            <w:r>
                              <w:rPr>
                                <w:rFonts w:ascii="Times New Roman" w:eastAsia="Times New Roman" w:hAnsi="Times New Roman" w:cs="Times New Roman"/>
                                <w:color w:val="000000"/>
                                <w:sz w:val="16"/>
                                <w:szCs w:val="16"/>
                              </w:rPr>
                              <w:t>Albendazol</w:t>
                            </w:r>
                          </w:p>
                        </w:tc>
                        <w:tc>
                          <w:tcPr>
                            <w:tcW w:w="3322" w:type="dxa"/>
                            <w:shd w:val="clear" w:color="auto" w:fill="FFFFFF"/>
                          </w:tcPr>
                          <w:p w14:paraId="3E7983E8" w14:textId="77777777" w:rsidR="00924992" w:rsidRDefault="00924992">
                            <w:pPr>
                              <w:pStyle w:val="Other0"/>
                              <w:spacing w:line="240" w:lineRule="auto"/>
                              <w:ind w:firstLine="540"/>
                              <w:rPr>
                                <w:sz w:val="16"/>
                                <w:szCs w:val="16"/>
                              </w:rPr>
                            </w:pPr>
                            <w:r>
                              <w:rPr>
                                <w:rFonts w:ascii="Times New Roman" w:eastAsia="Times New Roman" w:hAnsi="Times New Roman" w:cs="Times New Roman"/>
                                <w:color w:val="000000"/>
                                <w:sz w:val="16"/>
                                <w:szCs w:val="16"/>
                              </w:rPr>
                              <w:t xml:space="preserve">400 mg bid </w:t>
                            </w:r>
                            <w:r>
                              <w:rPr>
                                <w:color w:val="000000"/>
                              </w:rPr>
                              <w:t xml:space="preserve">x </w:t>
                            </w:r>
                            <w:r>
                              <w:rPr>
                                <w:rFonts w:ascii="Times New Roman" w:eastAsia="Times New Roman" w:hAnsi="Times New Roman" w:cs="Times New Roman"/>
                                <w:color w:val="000000"/>
                                <w:sz w:val="16"/>
                                <w:szCs w:val="16"/>
                              </w:rPr>
                              <w:t>8-30 días; se puede</w:t>
                            </w:r>
                          </w:p>
                        </w:tc>
                        <w:tc>
                          <w:tcPr>
                            <w:tcW w:w="2933" w:type="dxa"/>
                            <w:shd w:val="clear" w:color="auto" w:fill="FFFFFF"/>
                          </w:tcPr>
                          <w:p w14:paraId="56C62CA7" w14:textId="77777777" w:rsidR="00924992" w:rsidRDefault="00924992">
                            <w:pPr>
                              <w:pStyle w:val="Other0"/>
                              <w:spacing w:line="240" w:lineRule="auto"/>
                              <w:ind w:firstLine="0"/>
                              <w:rPr>
                                <w:sz w:val="16"/>
                                <w:szCs w:val="16"/>
                              </w:rPr>
                            </w:pPr>
                            <w:r>
                              <w:rPr>
                                <w:rFonts w:ascii="Times New Roman" w:eastAsia="Times New Roman" w:hAnsi="Times New Roman" w:cs="Times New Roman"/>
                                <w:color w:val="000000"/>
                                <w:sz w:val="16"/>
                                <w:szCs w:val="16"/>
                              </w:rPr>
                              <w:t>15 mg/kg/día (máx. 800 mg) en 2 dosis</w:t>
                            </w:r>
                          </w:p>
                        </w:tc>
                      </w:tr>
                      <w:tr w:rsidR="00924992" w14:paraId="294996D2" w14:textId="77777777">
                        <w:tblPrEx>
                          <w:tblCellMar>
                            <w:top w:w="0" w:type="dxa"/>
                            <w:bottom w:w="0" w:type="dxa"/>
                          </w:tblCellMar>
                        </w:tblPrEx>
                        <w:trPr>
                          <w:trHeight w:hRule="exact" w:val="240"/>
                        </w:trPr>
                        <w:tc>
                          <w:tcPr>
                            <w:tcW w:w="2770" w:type="dxa"/>
                            <w:shd w:val="clear" w:color="auto" w:fill="FFFFFF"/>
                          </w:tcPr>
                          <w:p w14:paraId="5CB86791" w14:textId="77777777" w:rsidR="00924992" w:rsidRDefault="00924992">
                            <w:pPr>
                              <w:rPr>
                                <w:sz w:val="10"/>
                                <w:szCs w:val="10"/>
                              </w:rPr>
                            </w:pPr>
                          </w:p>
                        </w:tc>
                        <w:tc>
                          <w:tcPr>
                            <w:tcW w:w="2333" w:type="dxa"/>
                            <w:shd w:val="clear" w:color="auto" w:fill="FFFFFF"/>
                          </w:tcPr>
                          <w:p w14:paraId="296A164B" w14:textId="77777777" w:rsidR="00924992" w:rsidRDefault="00924992">
                            <w:pPr>
                              <w:rPr>
                                <w:sz w:val="10"/>
                                <w:szCs w:val="10"/>
                              </w:rPr>
                            </w:pPr>
                          </w:p>
                        </w:tc>
                        <w:tc>
                          <w:tcPr>
                            <w:tcW w:w="3322" w:type="dxa"/>
                            <w:shd w:val="clear" w:color="auto" w:fill="FFFFFF"/>
                          </w:tcPr>
                          <w:p w14:paraId="65E6154F" w14:textId="77777777" w:rsidR="00924992" w:rsidRDefault="00924992">
                            <w:pPr>
                              <w:pStyle w:val="Other0"/>
                              <w:spacing w:line="240" w:lineRule="auto"/>
                              <w:ind w:firstLine="620"/>
                              <w:rPr>
                                <w:sz w:val="16"/>
                                <w:szCs w:val="16"/>
                              </w:rPr>
                            </w:pPr>
                            <w:r>
                              <w:rPr>
                                <w:rFonts w:ascii="Times New Roman" w:eastAsia="Times New Roman" w:hAnsi="Times New Roman" w:cs="Times New Roman"/>
                                <w:color w:val="000000"/>
                                <w:sz w:val="16"/>
                                <w:szCs w:val="16"/>
                              </w:rPr>
                              <w:t>repetir según sea necesario</w:t>
                            </w:r>
                          </w:p>
                        </w:tc>
                        <w:tc>
                          <w:tcPr>
                            <w:tcW w:w="2933" w:type="dxa"/>
                            <w:shd w:val="clear" w:color="auto" w:fill="FFFFFF"/>
                          </w:tcPr>
                          <w:p w14:paraId="46CC5E47" w14:textId="77777777" w:rsidR="00924992" w:rsidRDefault="00924992">
                            <w:pPr>
                              <w:pStyle w:val="Other0"/>
                              <w:spacing w:line="240" w:lineRule="auto"/>
                              <w:ind w:firstLine="180"/>
                              <w:rPr>
                                <w:sz w:val="16"/>
                                <w:szCs w:val="16"/>
                              </w:rPr>
                            </w:pPr>
                            <w:r>
                              <w:rPr>
                                <w:color w:val="000000"/>
                              </w:rPr>
                              <w:t xml:space="preserve">x </w:t>
                            </w:r>
                            <w:r>
                              <w:rPr>
                                <w:rFonts w:ascii="Times New Roman" w:eastAsia="Times New Roman" w:hAnsi="Times New Roman" w:cs="Times New Roman"/>
                                <w:color w:val="000000"/>
                                <w:sz w:val="16"/>
                                <w:szCs w:val="16"/>
                              </w:rPr>
                              <w:t>8-30 días; se puede repetir según sea</w:t>
                            </w:r>
                          </w:p>
                        </w:tc>
                      </w:tr>
                      <w:tr w:rsidR="00924992" w14:paraId="2880B8FB" w14:textId="77777777">
                        <w:tblPrEx>
                          <w:tblCellMar>
                            <w:top w:w="0" w:type="dxa"/>
                            <w:bottom w:w="0" w:type="dxa"/>
                          </w:tblCellMar>
                        </w:tblPrEx>
                        <w:trPr>
                          <w:trHeight w:hRule="exact" w:val="178"/>
                        </w:trPr>
                        <w:tc>
                          <w:tcPr>
                            <w:tcW w:w="2770" w:type="dxa"/>
                            <w:shd w:val="clear" w:color="auto" w:fill="FFFFFF"/>
                          </w:tcPr>
                          <w:p w14:paraId="072BC5A4" w14:textId="77777777" w:rsidR="00924992" w:rsidRDefault="00924992">
                            <w:pPr>
                              <w:rPr>
                                <w:sz w:val="10"/>
                                <w:szCs w:val="10"/>
                              </w:rPr>
                            </w:pPr>
                          </w:p>
                        </w:tc>
                        <w:tc>
                          <w:tcPr>
                            <w:tcW w:w="2333" w:type="dxa"/>
                            <w:shd w:val="clear" w:color="auto" w:fill="FFFFFF"/>
                          </w:tcPr>
                          <w:p w14:paraId="3549E5C4" w14:textId="77777777" w:rsidR="00924992" w:rsidRDefault="00924992">
                            <w:pPr>
                              <w:rPr>
                                <w:sz w:val="10"/>
                                <w:szCs w:val="10"/>
                              </w:rPr>
                            </w:pPr>
                          </w:p>
                        </w:tc>
                        <w:tc>
                          <w:tcPr>
                            <w:tcW w:w="3322" w:type="dxa"/>
                            <w:shd w:val="clear" w:color="auto" w:fill="FFFFFF"/>
                          </w:tcPr>
                          <w:p w14:paraId="6F006B17" w14:textId="77777777" w:rsidR="00924992" w:rsidRDefault="00924992">
                            <w:pPr>
                              <w:rPr>
                                <w:sz w:val="10"/>
                                <w:szCs w:val="10"/>
                              </w:rPr>
                            </w:pPr>
                          </w:p>
                        </w:tc>
                        <w:tc>
                          <w:tcPr>
                            <w:tcW w:w="2933" w:type="dxa"/>
                            <w:shd w:val="clear" w:color="auto" w:fill="FFFFFF"/>
                          </w:tcPr>
                          <w:p w14:paraId="7E1937DB" w14:textId="77777777" w:rsidR="00924992" w:rsidRDefault="00924992">
                            <w:pPr>
                              <w:pStyle w:val="Other0"/>
                              <w:spacing w:line="240" w:lineRule="auto"/>
                              <w:ind w:firstLine="180"/>
                              <w:rPr>
                                <w:sz w:val="16"/>
                                <w:szCs w:val="16"/>
                              </w:rPr>
                            </w:pPr>
                            <w:r>
                              <w:rPr>
                                <w:rFonts w:ascii="Times New Roman" w:eastAsia="Times New Roman" w:hAnsi="Times New Roman" w:cs="Times New Roman"/>
                                <w:color w:val="000000"/>
                                <w:sz w:val="16"/>
                                <w:szCs w:val="16"/>
                              </w:rPr>
                              <w:t>necesario</w:t>
                            </w:r>
                          </w:p>
                        </w:tc>
                      </w:tr>
                      <w:tr w:rsidR="00924992" w14:paraId="5C3B6561" w14:textId="77777777">
                        <w:tblPrEx>
                          <w:tblCellMar>
                            <w:top w:w="0" w:type="dxa"/>
                            <w:bottom w:w="0" w:type="dxa"/>
                          </w:tblCellMar>
                        </w:tblPrEx>
                        <w:trPr>
                          <w:trHeight w:hRule="exact" w:val="326"/>
                        </w:trPr>
                        <w:tc>
                          <w:tcPr>
                            <w:tcW w:w="2770" w:type="dxa"/>
                            <w:tcBorders>
                              <w:bottom w:val="single" w:sz="4" w:space="0" w:color="auto"/>
                            </w:tcBorders>
                            <w:shd w:val="clear" w:color="auto" w:fill="FFFFFF"/>
                          </w:tcPr>
                          <w:p w14:paraId="6D4548BA" w14:textId="77777777" w:rsidR="00924992" w:rsidRDefault="00924992">
                            <w:pPr>
                              <w:pStyle w:val="Other0"/>
                              <w:spacing w:line="240" w:lineRule="auto"/>
                              <w:ind w:firstLine="0"/>
                              <w:rPr>
                                <w:sz w:val="16"/>
                                <w:szCs w:val="16"/>
                              </w:rPr>
                            </w:pPr>
                            <w:r>
                              <w:rPr>
                                <w:rFonts w:ascii="Times New Roman" w:eastAsia="Times New Roman" w:hAnsi="Times New Roman" w:cs="Times New Roman"/>
                                <w:b/>
                                <w:bCs/>
                                <w:color w:val="000000"/>
                                <w:sz w:val="16"/>
                                <w:szCs w:val="16"/>
                              </w:rPr>
                              <w:t>O</w:t>
                            </w:r>
                          </w:p>
                        </w:tc>
                        <w:tc>
                          <w:tcPr>
                            <w:tcW w:w="2333" w:type="dxa"/>
                            <w:tcBorders>
                              <w:bottom w:val="single" w:sz="4" w:space="0" w:color="auto"/>
                            </w:tcBorders>
                            <w:shd w:val="clear" w:color="auto" w:fill="FFFFFF"/>
                          </w:tcPr>
                          <w:p w14:paraId="1603F5B8" w14:textId="77777777" w:rsidR="00924992" w:rsidRDefault="00924992">
                            <w:pPr>
                              <w:pStyle w:val="Other0"/>
                              <w:spacing w:line="240" w:lineRule="auto"/>
                              <w:ind w:firstLine="0"/>
                              <w:rPr>
                                <w:sz w:val="16"/>
                                <w:szCs w:val="16"/>
                              </w:rPr>
                            </w:pPr>
                            <w:r>
                              <w:rPr>
                                <w:rFonts w:ascii="Times New Roman" w:eastAsia="Times New Roman" w:hAnsi="Times New Roman" w:cs="Times New Roman"/>
                                <w:color w:val="000000"/>
                                <w:sz w:val="16"/>
                                <w:szCs w:val="16"/>
                              </w:rPr>
                              <w:t>Praziquantel</w:t>
                            </w:r>
                            <w:r>
                              <w:rPr>
                                <w:rFonts w:ascii="Times New Roman" w:eastAsia="Times New Roman" w:hAnsi="Times New Roman" w:cs="Times New Roman"/>
                                <w:color w:val="000000"/>
                                <w:sz w:val="16"/>
                                <w:szCs w:val="16"/>
                                <w:vertAlign w:val="superscript"/>
                              </w:rPr>
                              <w:t>3</w:t>
                            </w:r>
                          </w:p>
                        </w:tc>
                        <w:tc>
                          <w:tcPr>
                            <w:tcW w:w="3322" w:type="dxa"/>
                            <w:tcBorders>
                              <w:bottom w:val="single" w:sz="4" w:space="0" w:color="auto"/>
                            </w:tcBorders>
                            <w:shd w:val="clear" w:color="auto" w:fill="FFFFFF"/>
                          </w:tcPr>
                          <w:p w14:paraId="30F647EC" w14:textId="77777777" w:rsidR="00924992" w:rsidRDefault="00924992">
                            <w:pPr>
                              <w:pStyle w:val="Other0"/>
                              <w:spacing w:line="240" w:lineRule="auto"/>
                              <w:ind w:firstLine="540"/>
                              <w:rPr>
                                <w:sz w:val="16"/>
                                <w:szCs w:val="16"/>
                              </w:rPr>
                            </w:pPr>
                            <w:r>
                              <w:rPr>
                                <w:rFonts w:ascii="Times New Roman" w:eastAsia="Times New Roman" w:hAnsi="Times New Roman" w:cs="Times New Roman"/>
                                <w:color w:val="000000"/>
                                <w:sz w:val="16"/>
                                <w:szCs w:val="16"/>
                              </w:rPr>
                              <w:t xml:space="preserve">50-100 mg/kg/día en 3 dosis </w:t>
                            </w:r>
                            <w:r>
                              <w:rPr>
                                <w:color w:val="000000"/>
                              </w:rPr>
                              <w:t xml:space="preserve">x </w:t>
                            </w:r>
                            <w:r>
                              <w:rPr>
                                <w:rFonts w:ascii="Times New Roman" w:eastAsia="Times New Roman" w:hAnsi="Times New Roman" w:cs="Times New Roman"/>
                                <w:color w:val="000000"/>
                                <w:sz w:val="16"/>
                                <w:szCs w:val="16"/>
                              </w:rPr>
                              <w:t>30 días</w:t>
                            </w:r>
                          </w:p>
                        </w:tc>
                        <w:tc>
                          <w:tcPr>
                            <w:tcW w:w="2933" w:type="dxa"/>
                            <w:tcBorders>
                              <w:bottom w:val="single" w:sz="4" w:space="0" w:color="auto"/>
                            </w:tcBorders>
                            <w:shd w:val="clear" w:color="auto" w:fill="FFFFFF"/>
                          </w:tcPr>
                          <w:p w14:paraId="7331E56C" w14:textId="77777777" w:rsidR="00924992" w:rsidRDefault="00924992">
                            <w:pPr>
                              <w:pStyle w:val="Other0"/>
                              <w:spacing w:line="240" w:lineRule="auto"/>
                              <w:ind w:firstLine="0"/>
                              <w:rPr>
                                <w:sz w:val="16"/>
                                <w:szCs w:val="16"/>
                              </w:rPr>
                            </w:pPr>
                            <w:r>
                              <w:rPr>
                                <w:rFonts w:ascii="Times New Roman" w:eastAsia="Times New Roman" w:hAnsi="Times New Roman" w:cs="Times New Roman"/>
                                <w:color w:val="000000"/>
                                <w:sz w:val="16"/>
                                <w:szCs w:val="16"/>
                              </w:rPr>
                              <w:t xml:space="preserve">50-100 mg/kg/día en 3 dosis </w:t>
                            </w:r>
                            <w:r>
                              <w:rPr>
                                <w:color w:val="000000"/>
                              </w:rPr>
                              <w:t xml:space="preserve">x </w:t>
                            </w:r>
                            <w:r>
                              <w:rPr>
                                <w:rFonts w:ascii="Times New Roman" w:eastAsia="Times New Roman" w:hAnsi="Times New Roman" w:cs="Times New Roman"/>
                                <w:color w:val="000000"/>
                                <w:sz w:val="16"/>
                                <w:szCs w:val="16"/>
                              </w:rPr>
                              <w:t>30 días</w:t>
                            </w:r>
                          </w:p>
                        </w:tc>
                      </w:tr>
                    </w:tbl>
                    <w:p w14:paraId="6DAD31E5" w14:textId="77777777" w:rsidR="00924992" w:rsidRDefault="00924992">
                      <w:pPr>
                        <w:spacing w:line="1" w:lineRule="exact"/>
                      </w:pPr>
                    </w:p>
                  </w:txbxContent>
                </v:textbox>
                <w10:wrap type="topAndBottom" anchorx="page" anchory="margin"/>
              </v:shape>
            </w:pict>
          </mc:Fallback>
        </mc:AlternateContent>
      </w:r>
      <w:r>
        <w:rPr>
          <w:noProof/>
        </w:rPr>
        <mc:AlternateContent>
          <mc:Choice Requires="wps">
            <w:drawing>
              <wp:anchor distT="0" distB="0" distL="0" distR="0" simplePos="0" relativeHeight="251802624" behindDoc="0" locked="0" layoutInCell="1" allowOverlap="1" wp14:anchorId="18B9FE19" wp14:editId="3255BEEE">
                <wp:simplePos x="0" y="0"/>
                <wp:positionH relativeFrom="page">
                  <wp:posOffset>423545</wp:posOffset>
                </wp:positionH>
                <wp:positionV relativeFrom="margin">
                  <wp:posOffset>835660</wp:posOffset>
                </wp:positionV>
                <wp:extent cx="6315710" cy="567055"/>
                <wp:effectExtent l="0" t="0" r="0" b="0"/>
                <wp:wrapNone/>
                <wp:docPr id="2470" name="Shape 2470"/>
                <wp:cNvGraphicFramePr/>
                <a:graphic xmlns:a="http://schemas.openxmlformats.org/drawingml/2006/main">
                  <a:graphicData uri="http://schemas.microsoft.com/office/word/2010/wordprocessingShape">
                    <wps:wsp>
                      <wps:cNvSpPr txBox="1"/>
                      <wps:spPr>
                        <a:xfrm>
                          <a:off x="0" y="0"/>
                          <a:ext cx="6315710" cy="567055"/>
                        </a:xfrm>
                        <a:prstGeom prst="rect">
                          <a:avLst/>
                        </a:prstGeom>
                        <a:noFill/>
                      </wps:spPr>
                      <wps:txbx>
                        <w:txbxContent>
                          <w:p w14:paraId="0AF0B510" w14:textId="77777777" w:rsidR="00924992" w:rsidRDefault="00924992">
                            <w:pPr>
                              <w:pStyle w:val="Tablecaption0"/>
                              <w:spacing w:line="240" w:lineRule="auto"/>
                              <w:ind w:left="0"/>
                              <w:rPr>
                                <w:sz w:val="16"/>
                                <w:szCs w:val="16"/>
                              </w:rPr>
                            </w:pPr>
                            <w:r>
                              <w:rPr>
                                <w:b/>
                                <w:bCs/>
                                <w:color w:val="000000"/>
                                <w:sz w:val="16"/>
                                <w:szCs w:val="16"/>
                              </w:rPr>
                              <w:t xml:space="preserve">VERMES PLANOS </w:t>
                            </w:r>
                            <w:r>
                              <w:rPr>
                                <w:color w:val="000000"/>
                                <w:sz w:val="16"/>
                                <w:szCs w:val="16"/>
                              </w:rPr>
                              <w:t>(TENIAS), infección</w:t>
                            </w:r>
                          </w:p>
                          <w:p w14:paraId="4F5EF0B1" w14:textId="77777777" w:rsidR="00924992" w:rsidRDefault="00924992">
                            <w:pPr>
                              <w:pStyle w:val="Tablecaption0"/>
                              <w:spacing w:line="240" w:lineRule="auto"/>
                              <w:ind w:left="0"/>
                              <w:rPr>
                                <w:sz w:val="16"/>
                                <w:szCs w:val="16"/>
                              </w:rPr>
                            </w:pPr>
                            <w:r>
                              <w:rPr>
                                <w:b/>
                                <w:bCs/>
                                <w:color w:val="000000"/>
                                <w:sz w:val="16"/>
                                <w:szCs w:val="16"/>
                              </w:rPr>
                              <w:t>-Forma adulta (estado intestinal)</w:t>
                            </w:r>
                          </w:p>
                          <w:p w14:paraId="084493E4" w14:textId="77777777" w:rsidR="00924992" w:rsidRDefault="00924992">
                            <w:pPr>
                              <w:pStyle w:val="Tablecaption0"/>
                              <w:spacing w:line="240" w:lineRule="auto"/>
                              <w:ind w:left="0"/>
                              <w:rPr>
                                <w:sz w:val="16"/>
                                <w:szCs w:val="16"/>
                              </w:rPr>
                            </w:pPr>
                            <w:r>
                              <w:rPr>
                                <w:b/>
                                <w:bCs/>
                                <w:i/>
                                <w:iCs/>
                                <w:color w:val="000000"/>
                                <w:sz w:val="17"/>
                                <w:szCs w:val="17"/>
                              </w:rPr>
                              <w:t>Diphyllobothrium latum</w:t>
                            </w:r>
                            <w:r>
                              <w:rPr>
                                <w:b/>
                                <w:bCs/>
                                <w:color w:val="000000"/>
                                <w:sz w:val="16"/>
                                <w:szCs w:val="16"/>
                              </w:rPr>
                              <w:t xml:space="preserve"> (peces), </w:t>
                            </w:r>
                            <w:r>
                              <w:rPr>
                                <w:b/>
                                <w:bCs/>
                                <w:i/>
                                <w:iCs/>
                                <w:color w:val="000000"/>
                                <w:sz w:val="17"/>
                                <w:szCs w:val="17"/>
                              </w:rPr>
                              <w:t>Taenia saginata</w:t>
                            </w:r>
                            <w:r>
                              <w:rPr>
                                <w:b/>
                                <w:bCs/>
                                <w:color w:val="000000"/>
                                <w:sz w:val="16"/>
                                <w:szCs w:val="16"/>
                              </w:rPr>
                              <w:t xml:space="preserve"> (reces), </w:t>
                            </w:r>
                            <w:r>
                              <w:rPr>
                                <w:b/>
                                <w:bCs/>
                                <w:i/>
                                <w:iCs/>
                                <w:color w:val="000000"/>
                                <w:sz w:val="17"/>
                                <w:szCs w:val="17"/>
                              </w:rPr>
                              <w:t>Taenia solium</w:t>
                            </w:r>
                            <w:r>
                              <w:rPr>
                                <w:b/>
                                <w:bCs/>
                                <w:color w:val="000000"/>
                                <w:sz w:val="16"/>
                                <w:szCs w:val="16"/>
                              </w:rPr>
                              <w:t xml:space="preserve"> (cerdo), </w:t>
                            </w:r>
                            <w:r>
                              <w:rPr>
                                <w:b/>
                                <w:bCs/>
                                <w:i/>
                                <w:iCs/>
                                <w:color w:val="000000"/>
                                <w:sz w:val="17"/>
                                <w:szCs w:val="17"/>
                              </w:rPr>
                              <w:t>Dipylidium caninum</w:t>
                            </w:r>
                            <w:r>
                              <w:rPr>
                                <w:b/>
                                <w:bCs/>
                                <w:color w:val="000000"/>
                                <w:sz w:val="16"/>
                                <w:szCs w:val="16"/>
                              </w:rPr>
                              <w:t xml:space="preserve"> (perro)</w:t>
                            </w:r>
                          </w:p>
                          <w:p w14:paraId="49EA4049" w14:textId="77777777" w:rsidR="00924992" w:rsidRDefault="00924992">
                            <w:pPr>
                              <w:pStyle w:val="Tablecaption0"/>
                              <w:tabs>
                                <w:tab w:val="left" w:pos="2731"/>
                                <w:tab w:val="left" w:pos="5510"/>
                                <w:tab w:val="left" w:pos="8386"/>
                              </w:tabs>
                              <w:spacing w:line="240" w:lineRule="auto"/>
                              <w:ind w:left="0"/>
                              <w:rPr>
                                <w:sz w:val="16"/>
                                <w:szCs w:val="16"/>
                              </w:rPr>
                            </w:pPr>
                            <w:r>
                              <w:rPr>
                                <w:color w:val="000000"/>
                                <w:sz w:val="16"/>
                                <w:szCs w:val="16"/>
                              </w:rPr>
                              <w:t>Fármaco más indicado:</w:t>
                            </w:r>
                            <w:r>
                              <w:rPr>
                                <w:color w:val="000000"/>
                                <w:sz w:val="16"/>
                                <w:szCs w:val="16"/>
                              </w:rPr>
                              <w:tab/>
                              <w:t>Praziquantel</w:t>
                            </w:r>
                            <w:r>
                              <w:rPr>
                                <w:color w:val="000000"/>
                                <w:sz w:val="16"/>
                                <w:szCs w:val="16"/>
                                <w:vertAlign w:val="superscript"/>
                              </w:rPr>
                              <w:t>3</w:t>
                            </w:r>
                            <w:r>
                              <w:rPr>
                                <w:color w:val="000000"/>
                                <w:sz w:val="16"/>
                                <w:szCs w:val="16"/>
                              </w:rPr>
                              <w:tab/>
                              <w:t>5-10 mg/kg una vez</w:t>
                            </w:r>
                            <w:r>
                              <w:rPr>
                                <w:color w:val="000000"/>
                                <w:sz w:val="16"/>
                                <w:szCs w:val="16"/>
                              </w:rPr>
                              <w:tab/>
                              <w:t>5-10 mg/kg una vez</w:t>
                            </w:r>
                          </w:p>
                        </w:txbxContent>
                      </wps:txbx>
                      <wps:bodyPr lIns="0" tIns="0" rIns="0" bIns="0"/>
                    </wps:wsp>
                  </a:graphicData>
                </a:graphic>
              </wp:anchor>
            </w:drawing>
          </mc:Choice>
          <mc:Fallback>
            <w:pict>
              <v:shape w14:anchorId="18B9FE19" id="Shape 2470" o:spid="_x0000_s1114" type="#_x0000_t202" style="position:absolute;margin-left:33.35pt;margin-top:65.8pt;width:497.3pt;height:44.65pt;z-index:251802624;visibility:visible;mso-wrap-style:square;mso-wrap-distance-left:0;mso-wrap-distance-top:0;mso-wrap-distance-right:0;mso-wrap-distance-bottom:0;mso-position-horizontal:absolute;mso-position-horizontal-relative:page;mso-position-vertical:absolute;mso-position-vertical-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" filled="f" stroked="f">
                <v:textbox inset="0,0,0,0">
                  <w:txbxContent>
                    <w:p w14:paraId="0AF0B510" w14:textId="77777777" w:rsidR="00924992" w:rsidRDefault="00924992">
                      <w:pPr>
                        <w:pStyle w:val="Tablecaption0"/>
                        <w:spacing w:line="240" w:lineRule="auto"/>
                        <w:ind w:left="0"/>
                        <w:rPr>
                          <w:sz w:val="16"/>
                          <w:szCs w:val="16"/>
                        </w:rPr>
                      </w:pPr>
                      <w:r>
                        <w:rPr>
                          <w:b/>
                          <w:bCs/>
                          <w:color w:val="000000"/>
                          <w:sz w:val="16"/>
                          <w:szCs w:val="16"/>
                        </w:rPr>
                        <w:t xml:space="preserve">VERMES PLANOS </w:t>
                      </w:r>
                      <w:r>
                        <w:rPr>
                          <w:color w:val="000000"/>
                          <w:sz w:val="16"/>
                          <w:szCs w:val="16"/>
                        </w:rPr>
                        <w:t>(TENIAS), infección</w:t>
                      </w:r>
                    </w:p>
                    <w:p w14:paraId="4F5EF0B1" w14:textId="77777777" w:rsidR="00924992" w:rsidRDefault="00924992">
                      <w:pPr>
                        <w:pStyle w:val="Tablecaption0"/>
                        <w:spacing w:line="240" w:lineRule="auto"/>
                        <w:ind w:left="0"/>
                        <w:rPr>
                          <w:sz w:val="16"/>
                          <w:szCs w:val="16"/>
                        </w:rPr>
                      </w:pPr>
                      <w:r>
                        <w:rPr>
                          <w:b/>
                          <w:bCs/>
                          <w:color w:val="000000"/>
                          <w:sz w:val="16"/>
                          <w:szCs w:val="16"/>
                        </w:rPr>
                        <w:t>-Forma adulta (estado intestinal)</w:t>
                      </w:r>
                    </w:p>
                    <w:p w14:paraId="084493E4" w14:textId="77777777" w:rsidR="00924992" w:rsidRDefault="00924992">
                      <w:pPr>
                        <w:pStyle w:val="Tablecaption0"/>
                        <w:spacing w:line="240" w:lineRule="auto"/>
                        <w:ind w:left="0"/>
                        <w:rPr>
                          <w:sz w:val="16"/>
                          <w:szCs w:val="16"/>
                        </w:rPr>
                      </w:pPr>
                      <w:r>
                        <w:rPr>
                          <w:b/>
                          <w:bCs/>
                          <w:i/>
                          <w:iCs/>
                          <w:color w:val="000000"/>
                          <w:sz w:val="17"/>
                          <w:szCs w:val="17"/>
                        </w:rPr>
                        <w:t>Diphyllobothrium latum</w:t>
                      </w:r>
                      <w:r>
                        <w:rPr>
                          <w:b/>
                          <w:bCs/>
                          <w:color w:val="000000"/>
                          <w:sz w:val="16"/>
                          <w:szCs w:val="16"/>
                        </w:rPr>
                        <w:t xml:space="preserve"> (peces), </w:t>
                      </w:r>
                      <w:r>
                        <w:rPr>
                          <w:b/>
                          <w:bCs/>
                          <w:i/>
                          <w:iCs/>
                          <w:color w:val="000000"/>
                          <w:sz w:val="17"/>
                          <w:szCs w:val="17"/>
                        </w:rPr>
                        <w:t>Taenia saginata</w:t>
                      </w:r>
                      <w:r>
                        <w:rPr>
                          <w:b/>
                          <w:bCs/>
                          <w:color w:val="000000"/>
                          <w:sz w:val="16"/>
                          <w:szCs w:val="16"/>
                        </w:rPr>
                        <w:t xml:space="preserve"> (reces), </w:t>
                      </w:r>
                      <w:r>
                        <w:rPr>
                          <w:b/>
                          <w:bCs/>
                          <w:i/>
                          <w:iCs/>
                          <w:color w:val="000000"/>
                          <w:sz w:val="17"/>
                          <w:szCs w:val="17"/>
                        </w:rPr>
                        <w:t>Taenia solium</w:t>
                      </w:r>
                      <w:r>
                        <w:rPr>
                          <w:b/>
                          <w:bCs/>
                          <w:color w:val="000000"/>
                          <w:sz w:val="16"/>
                          <w:szCs w:val="16"/>
                        </w:rPr>
                        <w:t xml:space="preserve"> (cerdo), </w:t>
                      </w:r>
                      <w:r>
                        <w:rPr>
                          <w:b/>
                          <w:bCs/>
                          <w:i/>
                          <w:iCs/>
                          <w:color w:val="000000"/>
                          <w:sz w:val="17"/>
                          <w:szCs w:val="17"/>
                        </w:rPr>
                        <w:t>Dipylidium caninum</w:t>
                      </w:r>
                      <w:r>
                        <w:rPr>
                          <w:b/>
                          <w:bCs/>
                          <w:color w:val="000000"/>
                          <w:sz w:val="16"/>
                          <w:szCs w:val="16"/>
                        </w:rPr>
                        <w:t xml:space="preserve"> (perro)</w:t>
                      </w:r>
                    </w:p>
                    <w:p w14:paraId="49EA4049" w14:textId="77777777" w:rsidR="00924992" w:rsidRDefault="00924992">
                      <w:pPr>
                        <w:pStyle w:val="Tablecaption0"/>
                        <w:tabs>
                          <w:tab w:val="left" w:pos="2731"/>
                          <w:tab w:val="left" w:pos="5510"/>
                          <w:tab w:val="left" w:pos="8386"/>
                        </w:tabs>
                        <w:spacing w:line="240" w:lineRule="auto"/>
                        <w:ind w:left="0"/>
                        <w:rPr>
                          <w:sz w:val="16"/>
                          <w:szCs w:val="16"/>
                        </w:rPr>
                      </w:pPr>
                      <w:r>
                        <w:rPr>
                          <w:color w:val="000000"/>
                          <w:sz w:val="16"/>
                          <w:szCs w:val="16"/>
                        </w:rPr>
                        <w:t>Fármaco más indicado:</w:t>
                      </w:r>
                      <w:r>
                        <w:rPr>
                          <w:color w:val="000000"/>
                          <w:sz w:val="16"/>
                          <w:szCs w:val="16"/>
                        </w:rPr>
                        <w:tab/>
                        <w:t>Praziquantel</w:t>
                      </w:r>
                      <w:r>
                        <w:rPr>
                          <w:color w:val="000000"/>
                          <w:sz w:val="16"/>
                          <w:szCs w:val="16"/>
                          <w:vertAlign w:val="superscript"/>
                        </w:rPr>
                        <w:t>3</w:t>
                      </w:r>
                      <w:r>
                        <w:rPr>
                          <w:color w:val="000000"/>
                          <w:sz w:val="16"/>
                          <w:szCs w:val="16"/>
                        </w:rPr>
                        <w:tab/>
                        <w:t>5-10 mg/kg una vez</w:t>
                      </w:r>
                      <w:r>
                        <w:rPr>
                          <w:color w:val="000000"/>
                          <w:sz w:val="16"/>
                          <w:szCs w:val="16"/>
                        </w:rPr>
                        <w:tab/>
                        <w:t>5-10 mg/kg una vez</w:t>
                      </w:r>
                    </w:p>
                  </w:txbxContent>
                </v:textbox>
                <w10:wrap anchorx="page" anchory="margin"/>
              </v:shape>
            </w:pict>
          </mc:Fallback>
        </mc:AlternateContent>
      </w:r>
      <w:r>
        <w:rPr>
          <w:noProof/>
        </w:rPr>
        <mc:AlternateContent>
          <mc:Choice Requires="wps">
            <w:drawing>
              <wp:anchor distT="0" distB="0" distL="114300" distR="114300" simplePos="0" relativeHeight="251732992" behindDoc="0" locked="0" layoutInCell="1" allowOverlap="1" wp14:anchorId="1E8A6CA1" wp14:editId="3F7630DC">
                <wp:simplePos x="0" y="0"/>
                <wp:positionH relativeFrom="page">
                  <wp:posOffset>7867015</wp:posOffset>
                </wp:positionH>
                <wp:positionV relativeFrom="margin">
                  <wp:posOffset>1890395</wp:posOffset>
                </wp:positionV>
                <wp:extent cx="121920" cy="2874010"/>
                <wp:effectExtent l="0" t="0" r="0" b="0"/>
                <wp:wrapSquare wrapText="bothSides"/>
                <wp:docPr id="2472" name="Shape 2472"/>
                <wp:cNvGraphicFramePr/>
                <a:graphic xmlns:a="http://schemas.openxmlformats.org/drawingml/2006/main">
                  <a:graphicData uri="http://schemas.microsoft.com/office/word/2010/wordprocessingShape">
                    <wps:wsp>
                      <wps:cNvSpPr txBox="1"/>
                      <wps:spPr>
                        <a:xfrm>
                          <a:off x="0" y="0"/>
                          <a:ext cx="121920" cy="2874010"/>
                        </a:xfrm>
                        <a:prstGeom prst="rect">
                          <a:avLst/>
                        </a:prstGeom>
                        <a:noFill/>
                      </wps:spPr>
                      <wps:txbx>
                        <w:txbxContent>
                          <w:p w14:paraId="32B3D671" w14:textId="77777777" w:rsidR="00924992" w:rsidRDefault="00924992">
                            <w:pPr>
                              <w:pStyle w:val="Bodytext80"/>
                              <w:tabs>
                                <w:tab w:val="left" w:pos="4210"/>
                              </w:tabs>
                              <w:rPr>
                                <w:sz w:val="16"/>
                                <w:szCs w:val="16"/>
                              </w:rPr>
                            </w:pPr>
                            <w:r>
                              <w:t>FÁRMACOS ANTIPARASITARIOS</w:t>
                            </w:r>
                            <w:r>
                              <w:tab/>
                            </w:r>
                            <w:r>
                              <w:rPr>
                                <w:sz w:val="16"/>
                                <w:szCs w:val="16"/>
                              </w:rPr>
                              <w:t>803</w:t>
                            </w:r>
                          </w:p>
                        </w:txbxContent>
                      </wps:txbx>
                      <wps:bodyPr vert="vert" lIns="0" tIns="0" rIns="0" bIns="0" upright="1"/>
                    </wps:wsp>
                  </a:graphicData>
                </a:graphic>
              </wp:anchor>
            </w:drawing>
          </mc:Choice>
          <mc:Fallback>
            <w:pict>
              <v:shape w14:anchorId="1E8A6CA1" id="Shape 2472" o:spid="_x0000_s1115" type="#_x0000_t202" style="position:absolute;margin-left:619.45pt;margin-top:148.85pt;width:9.6pt;height:226.3pt;z-index:251732992;visibility:visible;mso-wrap-style:square;mso-wrap-distance-left:9pt;mso-wrap-distance-top:0;mso-wrap-distance-right:9pt;mso-wrap-distance-bottom:0;mso-position-horizontal:absolute;mso-position-horizontal-relative:page;mso-position-vertical:absolute;mso-position-vertical-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" filled="f" stroked="f">
                <v:textbox style="layout-flow:vertical" inset="0,0,0,0">
                  <w:txbxContent>
                    <w:p w14:paraId="32B3D671" w14:textId="77777777" w:rsidR="00924992" w:rsidRDefault="00924992">
                      <w:pPr>
                        <w:pStyle w:val="Bodytext80"/>
                        <w:tabs>
                          <w:tab w:val="left" w:pos="4210"/>
                        </w:tabs>
                        <w:rPr>
                          <w:sz w:val="16"/>
                          <w:szCs w:val="16"/>
                        </w:rPr>
                      </w:pPr>
                      <w:r>
                        <w:t>FÁRMACOS ANTIPARASITARIOS</w:t>
                      </w:r>
                      <w:r>
                        <w:tab/>
                      </w:r>
                      <w:r>
                        <w:rPr>
                          <w:sz w:val="16"/>
                          <w:szCs w:val="16"/>
                        </w:rPr>
                        <w:t>803</w:t>
                      </w:r>
                    </w:p>
                  </w:txbxContent>
                </v:textbox>
                <w10:wrap type="square" anchorx="page" anchory="margin"/>
              </v:shape>
            </w:pict>
          </mc:Fallback>
        </mc:AlternateContent>
      </w:r>
    </w:p>
    <w:p w14:paraId="2DD8B40D" w14:textId="77777777" w:rsidR="00924992" w:rsidRDefault="00924992">
      <w:pPr>
        <w:pStyle w:val="Heading31"/>
        <w:keepNext/>
        <w:keepLines/>
        <w:spacing w:after="80"/>
        <w:jc w:val="center"/>
        <w:rPr>
          <w:sz w:val="16"/>
          <w:szCs w:val="16"/>
        </w:rPr>
      </w:pPr>
      <w:bookmarkStart w:id="678" w:name="bookmark2095"/>
      <w:bookmarkStart w:id="679" w:name="bookmark2096"/>
      <w:bookmarkStart w:id="680" w:name="bookmark2097"/>
      <w:r>
        <w:rPr>
          <w:b w:val="0"/>
          <w:bCs w:val="0"/>
          <w:color w:val="000000"/>
        </w:rPr>
        <w:t xml:space="preserve">Cuadro 4-13. </w:t>
      </w:r>
      <w:r>
        <w:rPr>
          <w:color w:val="000000"/>
        </w:rPr>
        <w:t xml:space="preserve">Fármacos antiparasitarios </w:t>
      </w:r>
      <w:r>
        <w:rPr>
          <w:rFonts w:ascii="Times New Roman" w:eastAsia="Times New Roman" w:hAnsi="Times New Roman" w:cs="Times New Roman"/>
          <w:b w:val="0"/>
          <w:bCs w:val="0"/>
          <w:i/>
          <w:iCs/>
          <w:color w:val="000000"/>
          <w:w w:val="100"/>
          <w:sz w:val="16"/>
          <w:szCs w:val="16"/>
        </w:rPr>
        <w:t>continuación</w:t>
      </w:r>
      <w:bookmarkEnd w:id="678"/>
      <w:bookmarkEnd w:id="679"/>
      <w:bookmarkEnd w:id="680"/>
    </w:p>
    <w:p w14:paraId="6D80197B" w14:textId="77777777" w:rsidR="00924992" w:rsidRDefault="00924992">
      <w:pPr>
        <w:pStyle w:val="Bodytext20"/>
        <w:numPr>
          <w:ilvl w:val="0"/>
          <w:numId w:val="143"/>
        </w:numPr>
        <w:tabs>
          <w:tab w:val="left" w:pos="367"/>
        </w:tabs>
        <w:spacing w:before="80" w:line="252" w:lineRule="auto"/>
        <w:ind w:left="400" w:hanging="400"/>
        <w:rPr>
          <w:sz w:val="15"/>
          <w:szCs w:val="15"/>
        </w:rPr>
      </w:pPr>
      <w:r>
        <w:rPr>
          <w:noProof/>
        </w:rPr>
        <mc:AlternateContent>
          <mc:Choice Requires="wps">
            <w:drawing>
              <wp:anchor distT="0" distB="0" distL="114300" distR="114300" simplePos="0" relativeHeight="251734016" behindDoc="0" locked="0" layoutInCell="1" allowOverlap="1" wp14:anchorId="343D2FA1" wp14:editId="2A5906CF">
                <wp:simplePos x="0" y="0"/>
                <wp:positionH relativeFrom="page">
                  <wp:posOffset>398780</wp:posOffset>
                </wp:positionH>
                <wp:positionV relativeFrom="margin">
                  <wp:posOffset>234950</wp:posOffset>
                </wp:positionV>
                <wp:extent cx="7260590" cy="707390"/>
                <wp:effectExtent l="0" t="0" r="0" b="0"/>
                <wp:wrapTopAndBottom/>
                <wp:docPr id="2474" name="Shape 2474"/>
                <wp:cNvGraphicFramePr/>
                <a:graphic xmlns:a="http://schemas.openxmlformats.org/drawingml/2006/main">
                  <a:graphicData uri="http://schemas.microsoft.com/office/word/2010/wordprocessingShape">
                    <wps:wsp>
                      <wps:cNvSpPr txBox="1"/>
                      <wps:spPr>
                        <a:xfrm>
                          <a:off x="0" y="0"/>
                          <a:ext cx="7260590" cy="707390"/>
                        </a:xfrm>
                        <a:prstGeom prst="rect">
                          <a:avLst/>
                        </a:prstGeom>
                        <a:noFill/>
                      </wps:spPr>
                      <wps:txbx>
                        <w:txbxContent>
                          <w:tbl>
                            <w:tblPr>
                              <w:tblOverlap w:val="never"/>
                              <w:tblW w:w="0" w:type="auto"/>
                              <w:tblLayout w:type="fixed"/>
                              <w:tblCellMar>
                                <w:left w:w="10" w:type="dxa"/>
                                <w:right w:w="10" w:type="dxa"/>
                              </w:tblCellMar>
                              <w:tblLook w:val="04A0" w:firstRow="1" w:lastRow="0" w:firstColumn="1" w:lastColumn="0" w:noHBand="0" w:noVBand="1"/>
                            </w:tblPr>
                            <w:tblGrid>
                              <w:gridCol w:w="2261"/>
                              <w:gridCol w:w="2482"/>
                              <w:gridCol w:w="3235"/>
                              <w:gridCol w:w="3456"/>
                            </w:tblGrid>
                            <w:tr w:rsidR="00924992" w14:paraId="3EA80606" w14:textId="77777777">
                              <w:tblPrEx>
                                <w:tblCellMar>
                                  <w:top w:w="0" w:type="dxa"/>
                                  <w:bottom w:w="0" w:type="dxa"/>
                                </w:tblCellMar>
                              </w:tblPrEx>
                              <w:trPr>
                                <w:trHeight w:hRule="exact" w:val="278"/>
                                <w:tblHeader/>
                              </w:trPr>
                              <w:tc>
                                <w:tcPr>
                                  <w:tcW w:w="2261" w:type="dxa"/>
                                  <w:shd w:val="clear" w:color="auto" w:fill="000000"/>
                                </w:tcPr>
                                <w:p w14:paraId="1F20E7A8" w14:textId="77777777" w:rsidR="00924992" w:rsidRDefault="00924992">
                                  <w:pPr>
                                    <w:pStyle w:val="Other0"/>
                                    <w:pBdr>
                                      <w:top w:val="single" w:sz="0" w:space="0" w:color="000000"/>
                                      <w:left w:val="single" w:sz="0" w:space="0" w:color="000000"/>
                                      <w:bottom w:val="single" w:sz="0" w:space="0" w:color="000000"/>
                                      <w:right w:val="single" w:sz="0" w:space="0" w:color="000000"/>
                                    </w:pBdr>
                                    <w:shd w:val="clear" w:color="auto" w:fill="000000"/>
                                    <w:spacing w:line="240" w:lineRule="auto"/>
                                    <w:ind w:firstLine="0"/>
                                    <w:rPr>
                                      <w:sz w:val="24"/>
                                      <w:szCs w:val="24"/>
                                    </w:rPr>
                                  </w:pPr>
                                  <w:r>
                                    <w:rPr>
                                      <w:rFonts w:ascii="Arial" w:eastAsia="Arial" w:hAnsi="Arial" w:cs="Arial"/>
                                      <w:b/>
                                      <w:bCs/>
                                      <w:color w:val="FFFFFF"/>
                                      <w:w w:val="70"/>
                                      <w:sz w:val="24"/>
                                      <w:szCs w:val="24"/>
                                    </w:rPr>
                                    <w:t>Infección</w:t>
                                  </w:r>
                                </w:p>
                              </w:tc>
                              <w:tc>
                                <w:tcPr>
                                  <w:tcW w:w="2482" w:type="dxa"/>
                                  <w:shd w:val="clear" w:color="auto" w:fill="000000"/>
                                </w:tcPr>
                                <w:p w14:paraId="4C63E37C" w14:textId="77777777" w:rsidR="00924992" w:rsidRDefault="00924992">
                                  <w:pPr>
                                    <w:pStyle w:val="Other0"/>
                                    <w:pBdr>
                                      <w:top w:val="single" w:sz="0" w:space="0" w:color="000000"/>
                                      <w:left w:val="single" w:sz="0" w:space="0" w:color="000000"/>
                                      <w:bottom w:val="single" w:sz="0" w:space="0" w:color="000000"/>
                                      <w:right w:val="single" w:sz="0" w:space="0" w:color="000000"/>
                                    </w:pBdr>
                                    <w:shd w:val="clear" w:color="auto" w:fill="000000"/>
                                    <w:spacing w:line="240" w:lineRule="auto"/>
                                    <w:ind w:firstLine="620"/>
                                    <w:rPr>
                                      <w:sz w:val="24"/>
                                      <w:szCs w:val="24"/>
                                    </w:rPr>
                                  </w:pPr>
                                  <w:r>
                                    <w:rPr>
                                      <w:rFonts w:ascii="Arial" w:eastAsia="Arial" w:hAnsi="Arial" w:cs="Arial"/>
                                      <w:b/>
                                      <w:bCs/>
                                      <w:color w:val="FFFFFF"/>
                                      <w:w w:val="70"/>
                                      <w:sz w:val="24"/>
                                      <w:szCs w:val="24"/>
                                    </w:rPr>
                                    <w:t>Fármaco</w:t>
                                  </w:r>
                                </w:p>
                              </w:tc>
                              <w:tc>
                                <w:tcPr>
                                  <w:tcW w:w="3235" w:type="dxa"/>
                                  <w:shd w:val="clear" w:color="auto" w:fill="000000"/>
                                </w:tcPr>
                                <w:p w14:paraId="2F1AE284" w14:textId="77777777" w:rsidR="00924992" w:rsidRDefault="00924992">
                                  <w:pPr>
                                    <w:pStyle w:val="Other0"/>
                                    <w:pBdr>
                                      <w:top w:val="single" w:sz="0" w:space="0" w:color="000000"/>
                                      <w:left w:val="single" w:sz="0" w:space="0" w:color="000000"/>
                                      <w:bottom w:val="single" w:sz="0" w:space="0" w:color="000000"/>
                                      <w:right w:val="single" w:sz="0" w:space="0" w:color="000000"/>
                                    </w:pBdr>
                                    <w:shd w:val="clear" w:color="auto" w:fill="000000"/>
                                    <w:spacing w:line="240" w:lineRule="auto"/>
                                    <w:ind w:firstLine="0"/>
                                    <w:jc w:val="center"/>
                                    <w:rPr>
                                      <w:sz w:val="24"/>
                                      <w:szCs w:val="24"/>
                                    </w:rPr>
                                  </w:pPr>
                                  <w:r>
                                    <w:rPr>
                                      <w:rFonts w:ascii="Arial" w:eastAsia="Arial" w:hAnsi="Arial" w:cs="Arial"/>
                                      <w:b/>
                                      <w:bCs/>
                                      <w:color w:val="FFFFFF"/>
                                      <w:w w:val="70"/>
                                      <w:sz w:val="24"/>
                                      <w:szCs w:val="24"/>
                                    </w:rPr>
                                    <w:t>Dosis para adultos</w:t>
                                  </w:r>
                                </w:p>
                              </w:tc>
                              <w:tc>
                                <w:tcPr>
                                  <w:tcW w:w="3456" w:type="dxa"/>
                                  <w:shd w:val="clear" w:color="auto" w:fill="000000"/>
                                </w:tcPr>
                                <w:p w14:paraId="3570ACF5" w14:textId="77777777" w:rsidR="00924992" w:rsidRDefault="00924992">
                                  <w:pPr>
                                    <w:pStyle w:val="Other0"/>
                                    <w:pBdr>
                                      <w:top w:val="single" w:sz="0" w:space="0" w:color="000000"/>
                                      <w:left w:val="single" w:sz="0" w:space="0" w:color="000000"/>
                                      <w:bottom w:val="single" w:sz="0" w:space="0" w:color="000000"/>
                                      <w:right w:val="single" w:sz="0" w:space="0" w:color="000000"/>
                                    </w:pBdr>
                                    <w:shd w:val="clear" w:color="auto" w:fill="000000"/>
                                    <w:tabs>
                                      <w:tab w:val="left" w:pos="3407"/>
                                    </w:tabs>
                                    <w:spacing w:line="240" w:lineRule="auto"/>
                                    <w:ind w:firstLine="580"/>
                                    <w:rPr>
                                      <w:sz w:val="24"/>
                                      <w:szCs w:val="24"/>
                                    </w:rPr>
                                  </w:pPr>
                                  <w:r>
                                    <w:rPr>
                                      <w:rFonts w:ascii="Arial" w:eastAsia="Arial" w:hAnsi="Arial" w:cs="Arial"/>
                                      <w:b/>
                                      <w:bCs/>
                                      <w:color w:val="FFFFFF"/>
                                      <w:w w:val="70"/>
                                      <w:sz w:val="24"/>
                                      <w:szCs w:val="24"/>
                                    </w:rPr>
                                    <w:t>Dosis para niños</w:t>
                                  </w:r>
                                  <w:r>
                                    <w:rPr>
                                      <w:rFonts w:ascii="Arial" w:eastAsia="Arial" w:hAnsi="Arial" w:cs="Arial"/>
                                      <w:b/>
                                      <w:bCs/>
                                      <w:color w:val="FFFFFF"/>
                                      <w:w w:val="70"/>
                                      <w:sz w:val="24"/>
                                      <w:szCs w:val="24"/>
                                    </w:rPr>
                                    <w:tab/>
                                    <w:t>I</w:t>
                                  </w:r>
                                </w:p>
                              </w:tc>
                            </w:tr>
                            <w:tr w:rsidR="00924992" w14:paraId="50852476" w14:textId="77777777">
                              <w:tblPrEx>
                                <w:tblCellMar>
                                  <w:top w:w="0" w:type="dxa"/>
                                  <w:bottom w:w="0" w:type="dxa"/>
                                </w:tblCellMar>
                              </w:tblPrEx>
                              <w:trPr>
                                <w:trHeight w:hRule="exact" w:val="288"/>
                              </w:trPr>
                              <w:tc>
                                <w:tcPr>
                                  <w:tcW w:w="4743" w:type="dxa"/>
                                  <w:gridSpan w:val="2"/>
                                  <w:shd w:val="clear" w:color="auto" w:fill="FFFFFF"/>
                                  <w:vAlign w:val="bottom"/>
                                </w:tcPr>
                                <w:p w14:paraId="4EFBF7E9" w14:textId="77777777" w:rsidR="00924992" w:rsidRDefault="00924992">
                                  <w:pPr>
                                    <w:pStyle w:val="Other0"/>
                                    <w:spacing w:line="240" w:lineRule="auto"/>
                                    <w:ind w:firstLine="0"/>
                                    <w:rPr>
                                      <w:sz w:val="16"/>
                                      <w:szCs w:val="16"/>
                                    </w:rPr>
                                  </w:pPr>
                                  <w:r>
                                    <w:rPr>
                                      <w:rFonts w:ascii="Times New Roman" w:eastAsia="Times New Roman" w:hAnsi="Times New Roman" w:cs="Times New Roman"/>
                                      <w:b/>
                                      <w:bCs/>
                                      <w:color w:val="000000"/>
                                      <w:sz w:val="16"/>
                                      <w:szCs w:val="16"/>
                                    </w:rPr>
                                    <w:t>VISCERAL, LARVA MIGRANS</w:t>
                                  </w:r>
                                  <w:r>
                                    <w:rPr>
                                      <w:rFonts w:ascii="Times New Roman" w:eastAsia="Times New Roman" w:hAnsi="Times New Roman" w:cs="Times New Roman"/>
                                      <w:b/>
                                      <w:bCs/>
                                      <w:color w:val="000000"/>
                                      <w:sz w:val="16"/>
                                      <w:szCs w:val="16"/>
                                      <w:vertAlign w:val="superscript"/>
                                    </w:rPr>
                                    <w:t>103</w:t>
                                  </w:r>
                                  <w:r>
                                    <w:rPr>
                                      <w:rFonts w:ascii="Times New Roman" w:eastAsia="Times New Roman" w:hAnsi="Times New Roman" w:cs="Times New Roman"/>
                                      <w:b/>
                                      <w:bCs/>
                                      <w:color w:val="000000"/>
                                      <w:sz w:val="16"/>
                                      <w:szCs w:val="16"/>
                                    </w:rPr>
                                    <w:t xml:space="preserve"> (Toxocariasis)</w:t>
                                  </w:r>
                                </w:p>
                              </w:tc>
                              <w:tc>
                                <w:tcPr>
                                  <w:tcW w:w="3235" w:type="dxa"/>
                                  <w:shd w:val="clear" w:color="auto" w:fill="FFFFFF"/>
                                </w:tcPr>
                                <w:p w14:paraId="3362766B" w14:textId="77777777" w:rsidR="00924992" w:rsidRDefault="00924992">
                                  <w:pPr>
                                    <w:rPr>
                                      <w:sz w:val="10"/>
                                      <w:szCs w:val="10"/>
                                    </w:rPr>
                                  </w:pPr>
                                </w:p>
                              </w:tc>
                              <w:tc>
                                <w:tcPr>
                                  <w:tcW w:w="3456" w:type="dxa"/>
                                  <w:shd w:val="clear" w:color="auto" w:fill="FFFFFF"/>
                                </w:tcPr>
                                <w:p w14:paraId="6365B95E" w14:textId="77777777" w:rsidR="00924992" w:rsidRDefault="00924992">
                                  <w:pPr>
                                    <w:rPr>
                                      <w:sz w:val="10"/>
                                      <w:szCs w:val="10"/>
                                    </w:rPr>
                                  </w:pPr>
                                </w:p>
                              </w:tc>
                            </w:tr>
                            <w:tr w:rsidR="00924992" w14:paraId="15F32AE3" w14:textId="77777777">
                              <w:tblPrEx>
                                <w:tblCellMar>
                                  <w:top w:w="0" w:type="dxa"/>
                                  <w:bottom w:w="0" w:type="dxa"/>
                                </w:tblCellMar>
                              </w:tblPrEx>
                              <w:trPr>
                                <w:trHeight w:hRule="exact" w:val="221"/>
                              </w:trPr>
                              <w:tc>
                                <w:tcPr>
                                  <w:tcW w:w="2261" w:type="dxa"/>
                                  <w:shd w:val="clear" w:color="auto" w:fill="FFFFFF"/>
                                  <w:vAlign w:val="bottom"/>
                                </w:tcPr>
                                <w:p w14:paraId="1ED4B07D" w14:textId="77777777" w:rsidR="00924992" w:rsidRDefault="00924992">
                                  <w:pPr>
                                    <w:pStyle w:val="Other0"/>
                                    <w:spacing w:line="240" w:lineRule="auto"/>
                                    <w:ind w:firstLine="0"/>
                                    <w:rPr>
                                      <w:sz w:val="16"/>
                                      <w:szCs w:val="16"/>
                                    </w:rPr>
                                  </w:pPr>
                                  <w:r>
                                    <w:rPr>
                                      <w:rFonts w:ascii="Times New Roman" w:eastAsia="Times New Roman" w:hAnsi="Times New Roman" w:cs="Times New Roman"/>
                                      <w:color w:val="000000"/>
                                      <w:sz w:val="16"/>
                                      <w:szCs w:val="16"/>
                                    </w:rPr>
                                    <w:t>Fármaco más indicado:</w:t>
                                  </w:r>
                                </w:p>
                              </w:tc>
                              <w:tc>
                                <w:tcPr>
                                  <w:tcW w:w="2482" w:type="dxa"/>
                                  <w:shd w:val="clear" w:color="auto" w:fill="FFFFFF"/>
                                  <w:vAlign w:val="bottom"/>
                                </w:tcPr>
                                <w:p w14:paraId="60837B48" w14:textId="77777777" w:rsidR="00924992" w:rsidRDefault="00924992">
                                  <w:pPr>
                                    <w:pStyle w:val="Other0"/>
                                    <w:spacing w:line="240" w:lineRule="auto"/>
                                    <w:ind w:firstLine="620"/>
                                    <w:rPr>
                                      <w:sz w:val="16"/>
                                      <w:szCs w:val="16"/>
                                    </w:rPr>
                                  </w:pPr>
                                  <w:r>
                                    <w:rPr>
                                      <w:rFonts w:ascii="Times New Roman" w:eastAsia="Times New Roman" w:hAnsi="Times New Roman" w:cs="Times New Roman"/>
                                      <w:color w:val="000000"/>
                                      <w:sz w:val="16"/>
                                      <w:szCs w:val="16"/>
                                    </w:rPr>
                                    <w:t>Albendazol</w:t>
                                  </w:r>
                                  <w:r>
                                    <w:rPr>
                                      <w:rFonts w:ascii="Times New Roman" w:eastAsia="Times New Roman" w:hAnsi="Times New Roman" w:cs="Times New Roman"/>
                                      <w:color w:val="000000"/>
                                      <w:sz w:val="16"/>
                                      <w:szCs w:val="16"/>
                                      <w:vertAlign w:val="superscript"/>
                                    </w:rPr>
                                    <w:t>3</w:t>
                                  </w:r>
                                </w:p>
                              </w:tc>
                              <w:tc>
                                <w:tcPr>
                                  <w:tcW w:w="3235" w:type="dxa"/>
                                  <w:shd w:val="clear" w:color="auto" w:fill="FFFFFF"/>
                                  <w:vAlign w:val="bottom"/>
                                </w:tcPr>
                                <w:p w14:paraId="2F1D6B20" w14:textId="77777777" w:rsidR="00924992" w:rsidRDefault="00924992">
                                  <w:pPr>
                                    <w:pStyle w:val="Other0"/>
                                    <w:spacing w:line="240" w:lineRule="auto"/>
                                    <w:ind w:firstLine="940"/>
                                    <w:rPr>
                                      <w:sz w:val="16"/>
                                      <w:szCs w:val="16"/>
                                    </w:rPr>
                                  </w:pPr>
                                  <w:r>
                                    <w:rPr>
                                      <w:rFonts w:ascii="Times New Roman" w:eastAsia="Times New Roman" w:hAnsi="Times New Roman" w:cs="Times New Roman"/>
                                      <w:color w:val="000000"/>
                                      <w:sz w:val="16"/>
                                      <w:szCs w:val="16"/>
                                    </w:rPr>
                                    <w:t xml:space="preserve">400 mg bid </w:t>
                                  </w:r>
                                  <w:r>
                                    <w:rPr>
                                      <w:color w:val="000000"/>
                                    </w:rPr>
                                    <w:t xml:space="preserve">x </w:t>
                                  </w:r>
                                  <w:r>
                                    <w:rPr>
                                      <w:rFonts w:ascii="Times New Roman" w:eastAsia="Times New Roman" w:hAnsi="Times New Roman" w:cs="Times New Roman"/>
                                      <w:color w:val="000000"/>
                                      <w:sz w:val="16"/>
                                      <w:szCs w:val="16"/>
                                    </w:rPr>
                                    <w:t>5 días</w:t>
                                  </w:r>
                                </w:p>
                              </w:tc>
                              <w:tc>
                                <w:tcPr>
                                  <w:tcW w:w="3456" w:type="dxa"/>
                                  <w:shd w:val="clear" w:color="auto" w:fill="FFFFFF"/>
                                  <w:vAlign w:val="bottom"/>
                                </w:tcPr>
                                <w:p w14:paraId="16A368AB" w14:textId="77777777" w:rsidR="00924992" w:rsidRDefault="00924992">
                                  <w:pPr>
                                    <w:pStyle w:val="Other0"/>
                                    <w:spacing w:line="240" w:lineRule="auto"/>
                                    <w:ind w:firstLine="580"/>
                                    <w:rPr>
                                      <w:sz w:val="16"/>
                                      <w:szCs w:val="16"/>
                                    </w:rPr>
                                  </w:pPr>
                                  <w:r>
                                    <w:rPr>
                                      <w:rFonts w:ascii="Times New Roman" w:eastAsia="Times New Roman" w:hAnsi="Times New Roman" w:cs="Times New Roman"/>
                                      <w:color w:val="000000"/>
                                      <w:sz w:val="16"/>
                                      <w:szCs w:val="16"/>
                                    </w:rPr>
                                    <w:t xml:space="preserve">400 mg bid </w:t>
                                  </w:r>
                                  <w:r>
                                    <w:rPr>
                                      <w:color w:val="000000"/>
                                    </w:rPr>
                                    <w:t xml:space="preserve">x </w:t>
                                  </w:r>
                                  <w:r>
                                    <w:rPr>
                                      <w:rFonts w:ascii="Times New Roman" w:eastAsia="Times New Roman" w:hAnsi="Times New Roman" w:cs="Times New Roman"/>
                                      <w:color w:val="000000"/>
                                      <w:sz w:val="16"/>
                                      <w:szCs w:val="16"/>
                                    </w:rPr>
                                    <w:t>5 días</w:t>
                                  </w:r>
                                </w:p>
                              </w:tc>
                            </w:tr>
                            <w:tr w:rsidR="00924992" w14:paraId="042C3A08" w14:textId="77777777">
                              <w:tblPrEx>
                                <w:tblCellMar>
                                  <w:top w:w="0" w:type="dxa"/>
                                  <w:bottom w:w="0" w:type="dxa"/>
                                </w:tblCellMar>
                              </w:tblPrEx>
                              <w:trPr>
                                <w:trHeight w:hRule="exact" w:val="326"/>
                              </w:trPr>
                              <w:tc>
                                <w:tcPr>
                                  <w:tcW w:w="2261" w:type="dxa"/>
                                  <w:tcBorders>
                                    <w:bottom w:val="single" w:sz="4" w:space="0" w:color="auto"/>
                                  </w:tcBorders>
                                  <w:shd w:val="clear" w:color="auto" w:fill="FFFFFF"/>
                                </w:tcPr>
                                <w:p w14:paraId="2CC0F3DF" w14:textId="77777777" w:rsidR="00924992" w:rsidRDefault="00924992">
                                  <w:pPr>
                                    <w:rPr>
                                      <w:sz w:val="10"/>
                                      <w:szCs w:val="10"/>
                                    </w:rPr>
                                  </w:pPr>
                                </w:p>
                              </w:tc>
                              <w:tc>
                                <w:tcPr>
                                  <w:tcW w:w="2482" w:type="dxa"/>
                                  <w:tcBorders>
                                    <w:bottom w:val="single" w:sz="4" w:space="0" w:color="auto"/>
                                  </w:tcBorders>
                                  <w:shd w:val="clear" w:color="auto" w:fill="FFFFFF"/>
                                </w:tcPr>
                                <w:p w14:paraId="01588EB4" w14:textId="77777777" w:rsidR="00924992" w:rsidRDefault="00924992">
                                  <w:pPr>
                                    <w:pStyle w:val="Other0"/>
                                    <w:spacing w:line="240" w:lineRule="auto"/>
                                    <w:ind w:firstLine="620"/>
                                    <w:rPr>
                                      <w:sz w:val="16"/>
                                      <w:szCs w:val="16"/>
                                    </w:rPr>
                                  </w:pPr>
                                  <w:r>
                                    <w:rPr>
                                      <w:rFonts w:ascii="Times New Roman" w:eastAsia="Times New Roman" w:hAnsi="Times New Roman" w:cs="Times New Roman"/>
                                      <w:color w:val="000000"/>
                                      <w:sz w:val="16"/>
                                      <w:szCs w:val="16"/>
                                    </w:rPr>
                                    <w:t>Mebendazol</w:t>
                                  </w:r>
                                  <w:r>
                                    <w:rPr>
                                      <w:rFonts w:ascii="Times New Roman" w:eastAsia="Times New Roman" w:hAnsi="Times New Roman" w:cs="Times New Roman"/>
                                      <w:color w:val="000000"/>
                                      <w:sz w:val="16"/>
                                      <w:szCs w:val="16"/>
                                      <w:vertAlign w:val="superscript"/>
                                    </w:rPr>
                                    <w:t>3</w:t>
                                  </w:r>
                                </w:p>
                              </w:tc>
                              <w:tc>
                                <w:tcPr>
                                  <w:tcW w:w="3235" w:type="dxa"/>
                                  <w:tcBorders>
                                    <w:bottom w:val="single" w:sz="4" w:space="0" w:color="auto"/>
                                  </w:tcBorders>
                                  <w:shd w:val="clear" w:color="auto" w:fill="FFFFFF"/>
                                </w:tcPr>
                                <w:p w14:paraId="3D6736F4" w14:textId="77777777" w:rsidR="00924992" w:rsidRDefault="00924992">
                                  <w:pPr>
                                    <w:pStyle w:val="Other0"/>
                                    <w:spacing w:line="240" w:lineRule="auto"/>
                                    <w:ind w:firstLine="940"/>
                                    <w:rPr>
                                      <w:sz w:val="16"/>
                                      <w:szCs w:val="16"/>
                                    </w:rPr>
                                  </w:pPr>
                                  <w:r>
                                    <w:rPr>
                                      <w:rFonts w:ascii="Times New Roman" w:eastAsia="Times New Roman" w:hAnsi="Times New Roman" w:cs="Times New Roman"/>
                                      <w:color w:val="000000"/>
                                      <w:sz w:val="16"/>
                                      <w:szCs w:val="16"/>
                                    </w:rPr>
                                    <w:t xml:space="preserve">100-200 mg bid </w:t>
                                  </w:r>
                                  <w:r>
                                    <w:rPr>
                                      <w:color w:val="000000"/>
                                    </w:rPr>
                                    <w:t xml:space="preserve">x </w:t>
                                  </w:r>
                                  <w:r>
                                    <w:rPr>
                                      <w:rFonts w:ascii="Times New Roman" w:eastAsia="Times New Roman" w:hAnsi="Times New Roman" w:cs="Times New Roman"/>
                                      <w:color w:val="000000"/>
                                      <w:sz w:val="16"/>
                                      <w:szCs w:val="16"/>
                                    </w:rPr>
                                    <w:t>5 días</w:t>
                                  </w:r>
                                </w:p>
                              </w:tc>
                              <w:tc>
                                <w:tcPr>
                                  <w:tcW w:w="3456" w:type="dxa"/>
                                  <w:tcBorders>
                                    <w:bottom w:val="single" w:sz="4" w:space="0" w:color="auto"/>
                                  </w:tcBorders>
                                  <w:shd w:val="clear" w:color="auto" w:fill="FFFFFF"/>
                                </w:tcPr>
                                <w:p w14:paraId="3BB404E3" w14:textId="77777777" w:rsidR="00924992" w:rsidRDefault="00924992">
                                  <w:pPr>
                                    <w:pStyle w:val="Other0"/>
                                    <w:spacing w:line="240" w:lineRule="auto"/>
                                    <w:ind w:firstLine="580"/>
                                    <w:rPr>
                                      <w:sz w:val="16"/>
                                      <w:szCs w:val="16"/>
                                    </w:rPr>
                                  </w:pPr>
                                  <w:r>
                                    <w:rPr>
                                      <w:rFonts w:ascii="Times New Roman" w:eastAsia="Times New Roman" w:hAnsi="Times New Roman" w:cs="Times New Roman"/>
                                      <w:color w:val="000000"/>
                                      <w:sz w:val="16"/>
                                      <w:szCs w:val="16"/>
                                    </w:rPr>
                                    <w:t xml:space="preserve">100-200 mg bid </w:t>
                                  </w:r>
                                  <w:r>
                                    <w:rPr>
                                      <w:color w:val="000000"/>
                                    </w:rPr>
                                    <w:t xml:space="preserve">x </w:t>
                                  </w:r>
                                  <w:r>
                                    <w:rPr>
                                      <w:rFonts w:ascii="Times New Roman" w:eastAsia="Times New Roman" w:hAnsi="Times New Roman" w:cs="Times New Roman"/>
                                      <w:color w:val="000000"/>
                                      <w:sz w:val="16"/>
                                      <w:szCs w:val="16"/>
                                    </w:rPr>
                                    <w:t>5 días</w:t>
                                  </w:r>
                                </w:p>
                              </w:tc>
                            </w:tr>
                          </w:tbl>
                          <w:p w14:paraId="2FBAF5E9" w14:textId="77777777" w:rsidR="00924992" w:rsidRDefault="00924992">
                            <w:pPr>
                              <w:spacing w:line="1" w:lineRule="exact"/>
                            </w:pPr>
                          </w:p>
                        </w:txbxContent>
                      </wps:txbx>
                      <wps:bodyPr lIns="0" tIns="0" rIns="0" bIns="0"/>
                    </wps:wsp>
                  </a:graphicData>
                </a:graphic>
              </wp:anchor>
            </w:drawing>
          </mc:Choice>
          <mc:Fallback>
            <w:pict>
              <v:shape w14:anchorId="343D2FA1" id="Shape 2474" o:spid="_x0000_s1116" type="#_x0000_t202" style="position:absolute;left:0;text-align:left;margin-left:31.4pt;margin-top:18.5pt;width:571.7pt;height:55.7pt;z-index:251734016;visibility:visible;mso-wrap-style:square;mso-wrap-distance-left:9pt;mso-wrap-distance-top:0;mso-wrap-distance-right:9pt;mso-wrap-distance-bottom:0;mso-position-horizontal:absolute;mso-position-horizontal-relative:page;mso-position-vertical:absolute;mso-position-vertical-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" filled="f" stroked="f">
                <v:textbox inset="0,0,0,0">
                  <w:txbxContent>
                    <w:tbl>
                      <w:tblPr>
                        <w:tblOverlap w:val="never"/>
                        <w:tblW w:w="0" w:type="auto"/>
                        <w:tblLayout w:type="fixed"/>
                        <w:tblCellMar>
                          <w:left w:w="10" w:type="dxa"/>
                          <w:right w:w="10" w:type="dxa"/>
                        </w:tblCellMar>
                        <w:tblLook w:val="04A0" w:firstRow="1" w:lastRow="0" w:firstColumn="1" w:lastColumn="0" w:noHBand="0" w:noVBand="1"/>
                      </w:tblPr>
                      <w:tblGrid>
                        <w:gridCol w:w="2261"/>
                        <w:gridCol w:w="2482"/>
                        <w:gridCol w:w="3235"/>
                        <w:gridCol w:w="3456"/>
                      </w:tblGrid>
                      <w:tr w:rsidR="00924992" w14:paraId="3EA80606" w14:textId="77777777">
                        <w:tblPrEx>
                          <w:tblCellMar>
                            <w:top w:w="0" w:type="dxa"/>
                            <w:bottom w:w="0" w:type="dxa"/>
                          </w:tblCellMar>
                        </w:tblPrEx>
                        <w:trPr>
                          <w:trHeight w:hRule="exact" w:val="278"/>
                          <w:tblHeader/>
                        </w:trPr>
                        <w:tc>
                          <w:tcPr>
                            <w:tcW w:w="2261" w:type="dxa"/>
                            <w:shd w:val="clear" w:color="auto" w:fill="000000"/>
                          </w:tcPr>
                          <w:p w14:paraId="1F20E7A8" w14:textId="77777777" w:rsidR="00924992" w:rsidRDefault="00924992">
                            <w:pPr>
                              <w:pStyle w:val="Other0"/>
                              <w:pBdr>
                                <w:top w:val="single" w:sz="0" w:space="0" w:color="000000"/>
                                <w:left w:val="single" w:sz="0" w:space="0" w:color="000000"/>
                                <w:bottom w:val="single" w:sz="0" w:space="0" w:color="000000"/>
                                <w:right w:val="single" w:sz="0" w:space="0" w:color="000000"/>
                              </w:pBdr>
                              <w:shd w:val="clear" w:color="auto" w:fill="000000"/>
                              <w:spacing w:line="240" w:lineRule="auto"/>
                              <w:ind w:firstLine="0"/>
                              <w:rPr>
                                <w:sz w:val="24"/>
                                <w:szCs w:val="24"/>
                              </w:rPr>
                            </w:pPr>
                            <w:r>
                              <w:rPr>
                                <w:rFonts w:ascii="Arial" w:eastAsia="Arial" w:hAnsi="Arial" w:cs="Arial"/>
                                <w:b/>
                                <w:bCs/>
                                <w:color w:val="FFFFFF"/>
                                <w:w w:val="70"/>
                                <w:sz w:val="24"/>
                                <w:szCs w:val="24"/>
                              </w:rPr>
                              <w:t>Infección</w:t>
                            </w:r>
                          </w:p>
                        </w:tc>
                        <w:tc>
                          <w:tcPr>
                            <w:tcW w:w="2482" w:type="dxa"/>
                            <w:shd w:val="clear" w:color="auto" w:fill="000000"/>
                          </w:tcPr>
                          <w:p w14:paraId="4C63E37C" w14:textId="77777777" w:rsidR="00924992" w:rsidRDefault="00924992">
                            <w:pPr>
                              <w:pStyle w:val="Other0"/>
                              <w:pBdr>
                                <w:top w:val="single" w:sz="0" w:space="0" w:color="000000"/>
                                <w:left w:val="single" w:sz="0" w:space="0" w:color="000000"/>
                                <w:bottom w:val="single" w:sz="0" w:space="0" w:color="000000"/>
                                <w:right w:val="single" w:sz="0" w:space="0" w:color="000000"/>
                              </w:pBdr>
                              <w:shd w:val="clear" w:color="auto" w:fill="000000"/>
                              <w:spacing w:line="240" w:lineRule="auto"/>
                              <w:ind w:firstLine="620"/>
                              <w:rPr>
                                <w:sz w:val="24"/>
                                <w:szCs w:val="24"/>
                              </w:rPr>
                            </w:pPr>
                            <w:r>
                              <w:rPr>
                                <w:rFonts w:ascii="Arial" w:eastAsia="Arial" w:hAnsi="Arial" w:cs="Arial"/>
                                <w:b/>
                                <w:bCs/>
                                <w:color w:val="FFFFFF"/>
                                <w:w w:val="70"/>
                                <w:sz w:val="24"/>
                                <w:szCs w:val="24"/>
                              </w:rPr>
                              <w:t>Fármaco</w:t>
                            </w:r>
                          </w:p>
                        </w:tc>
                        <w:tc>
                          <w:tcPr>
                            <w:tcW w:w="3235" w:type="dxa"/>
                            <w:shd w:val="clear" w:color="auto" w:fill="000000"/>
                          </w:tcPr>
                          <w:p w14:paraId="2F1AE284" w14:textId="77777777" w:rsidR="00924992" w:rsidRDefault="00924992">
                            <w:pPr>
                              <w:pStyle w:val="Other0"/>
                              <w:pBdr>
                                <w:top w:val="single" w:sz="0" w:space="0" w:color="000000"/>
                                <w:left w:val="single" w:sz="0" w:space="0" w:color="000000"/>
                                <w:bottom w:val="single" w:sz="0" w:space="0" w:color="000000"/>
                                <w:right w:val="single" w:sz="0" w:space="0" w:color="000000"/>
                              </w:pBdr>
                              <w:shd w:val="clear" w:color="auto" w:fill="000000"/>
                              <w:spacing w:line="240" w:lineRule="auto"/>
                              <w:ind w:firstLine="0"/>
                              <w:jc w:val="center"/>
                              <w:rPr>
                                <w:sz w:val="24"/>
                                <w:szCs w:val="24"/>
                              </w:rPr>
                            </w:pPr>
                            <w:r>
                              <w:rPr>
                                <w:rFonts w:ascii="Arial" w:eastAsia="Arial" w:hAnsi="Arial" w:cs="Arial"/>
                                <w:b/>
                                <w:bCs/>
                                <w:color w:val="FFFFFF"/>
                                <w:w w:val="70"/>
                                <w:sz w:val="24"/>
                                <w:szCs w:val="24"/>
                              </w:rPr>
                              <w:t>Dosis para adultos</w:t>
                            </w:r>
                          </w:p>
                        </w:tc>
                        <w:tc>
                          <w:tcPr>
                            <w:tcW w:w="3456" w:type="dxa"/>
                            <w:shd w:val="clear" w:color="auto" w:fill="000000"/>
                          </w:tcPr>
                          <w:p w14:paraId="3570ACF5" w14:textId="77777777" w:rsidR="00924992" w:rsidRDefault="00924992">
                            <w:pPr>
                              <w:pStyle w:val="Other0"/>
                              <w:pBdr>
                                <w:top w:val="single" w:sz="0" w:space="0" w:color="000000"/>
                                <w:left w:val="single" w:sz="0" w:space="0" w:color="000000"/>
                                <w:bottom w:val="single" w:sz="0" w:space="0" w:color="000000"/>
                                <w:right w:val="single" w:sz="0" w:space="0" w:color="000000"/>
                              </w:pBdr>
                              <w:shd w:val="clear" w:color="auto" w:fill="000000"/>
                              <w:tabs>
                                <w:tab w:val="left" w:pos="3407"/>
                              </w:tabs>
                              <w:spacing w:line="240" w:lineRule="auto"/>
                              <w:ind w:firstLine="580"/>
                              <w:rPr>
                                <w:sz w:val="24"/>
                                <w:szCs w:val="24"/>
                              </w:rPr>
                            </w:pPr>
                            <w:r>
                              <w:rPr>
                                <w:rFonts w:ascii="Arial" w:eastAsia="Arial" w:hAnsi="Arial" w:cs="Arial"/>
                                <w:b/>
                                <w:bCs/>
                                <w:color w:val="FFFFFF"/>
                                <w:w w:val="70"/>
                                <w:sz w:val="24"/>
                                <w:szCs w:val="24"/>
                              </w:rPr>
                              <w:t>Dosis para niños</w:t>
                            </w:r>
                            <w:r>
                              <w:rPr>
                                <w:rFonts w:ascii="Arial" w:eastAsia="Arial" w:hAnsi="Arial" w:cs="Arial"/>
                                <w:b/>
                                <w:bCs/>
                                <w:color w:val="FFFFFF"/>
                                <w:w w:val="70"/>
                                <w:sz w:val="24"/>
                                <w:szCs w:val="24"/>
                              </w:rPr>
                              <w:tab/>
                              <w:t>I</w:t>
                            </w:r>
                          </w:p>
                        </w:tc>
                      </w:tr>
                      <w:tr w:rsidR="00924992" w14:paraId="50852476" w14:textId="77777777">
                        <w:tblPrEx>
                          <w:tblCellMar>
                            <w:top w:w="0" w:type="dxa"/>
                            <w:bottom w:w="0" w:type="dxa"/>
                          </w:tblCellMar>
                        </w:tblPrEx>
                        <w:trPr>
                          <w:trHeight w:hRule="exact" w:val="288"/>
                        </w:trPr>
                        <w:tc>
                          <w:tcPr>
                            <w:tcW w:w="4743" w:type="dxa"/>
                            <w:gridSpan w:val="2"/>
                            <w:shd w:val="clear" w:color="auto" w:fill="FFFFFF"/>
                            <w:vAlign w:val="bottom"/>
                          </w:tcPr>
                          <w:p w14:paraId="4EFBF7E9" w14:textId="77777777" w:rsidR="00924992" w:rsidRDefault="00924992">
                            <w:pPr>
                              <w:pStyle w:val="Other0"/>
                              <w:spacing w:line="240" w:lineRule="auto"/>
                              <w:ind w:firstLine="0"/>
                              <w:rPr>
                                <w:sz w:val="16"/>
                                <w:szCs w:val="16"/>
                              </w:rPr>
                            </w:pPr>
                            <w:r>
                              <w:rPr>
                                <w:rFonts w:ascii="Times New Roman" w:eastAsia="Times New Roman" w:hAnsi="Times New Roman" w:cs="Times New Roman"/>
                                <w:b/>
                                <w:bCs/>
                                <w:color w:val="000000"/>
                                <w:sz w:val="16"/>
                                <w:szCs w:val="16"/>
                              </w:rPr>
                              <w:t>VISCERAL, LARVA MIGRANS</w:t>
                            </w:r>
                            <w:r>
                              <w:rPr>
                                <w:rFonts w:ascii="Times New Roman" w:eastAsia="Times New Roman" w:hAnsi="Times New Roman" w:cs="Times New Roman"/>
                                <w:b/>
                                <w:bCs/>
                                <w:color w:val="000000"/>
                                <w:sz w:val="16"/>
                                <w:szCs w:val="16"/>
                                <w:vertAlign w:val="superscript"/>
                              </w:rPr>
                              <w:t>103</w:t>
                            </w:r>
                            <w:r>
                              <w:rPr>
                                <w:rFonts w:ascii="Times New Roman" w:eastAsia="Times New Roman" w:hAnsi="Times New Roman" w:cs="Times New Roman"/>
                                <w:b/>
                                <w:bCs/>
                                <w:color w:val="000000"/>
                                <w:sz w:val="16"/>
                                <w:szCs w:val="16"/>
                              </w:rPr>
                              <w:t xml:space="preserve"> (Toxocariasis)</w:t>
                            </w:r>
                          </w:p>
                        </w:tc>
                        <w:tc>
                          <w:tcPr>
                            <w:tcW w:w="3235" w:type="dxa"/>
                            <w:shd w:val="clear" w:color="auto" w:fill="FFFFFF"/>
                          </w:tcPr>
                          <w:p w14:paraId="3362766B" w14:textId="77777777" w:rsidR="00924992" w:rsidRDefault="00924992">
                            <w:pPr>
                              <w:rPr>
                                <w:sz w:val="10"/>
                                <w:szCs w:val="10"/>
                              </w:rPr>
                            </w:pPr>
                          </w:p>
                        </w:tc>
                        <w:tc>
                          <w:tcPr>
                            <w:tcW w:w="3456" w:type="dxa"/>
                            <w:shd w:val="clear" w:color="auto" w:fill="FFFFFF"/>
                          </w:tcPr>
                          <w:p w14:paraId="6365B95E" w14:textId="77777777" w:rsidR="00924992" w:rsidRDefault="00924992">
                            <w:pPr>
                              <w:rPr>
                                <w:sz w:val="10"/>
                                <w:szCs w:val="10"/>
                              </w:rPr>
                            </w:pPr>
                          </w:p>
                        </w:tc>
                      </w:tr>
                      <w:tr w:rsidR="00924992" w14:paraId="15F32AE3" w14:textId="77777777">
                        <w:tblPrEx>
                          <w:tblCellMar>
                            <w:top w:w="0" w:type="dxa"/>
                            <w:bottom w:w="0" w:type="dxa"/>
                          </w:tblCellMar>
                        </w:tblPrEx>
                        <w:trPr>
                          <w:trHeight w:hRule="exact" w:val="221"/>
                        </w:trPr>
                        <w:tc>
                          <w:tcPr>
                            <w:tcW w:w="2261" w:type="dxa"/>
                            <w:shd w:val="clear" w:color="auto" w:fill="FFFFFF"/>
                            <w:vAlign w:val="bottom"/>
                          </w:tcPr>
                          <w:p w14:paraId="1ED4B07D" w14:textId="77777777" w:rsidR="00924992" w:rsidRDefault="00924992">
                            <w:pPr>
                              <w:pStyle w:val="Other0"/>
                              <w:spacing w:line="240" w:lineRule="auto"/>
                              <w:ind w:firstLine="0"/>
                              <w:rPr>
                                <w:sz w:val="16"/>
                                <w:szCs w:val="16"/>
                              </w:rPr>
                            </w:pPr>
                            <w:r>
                              <w:rPr>
                                <w:rFonts w:ascii="Times New Roman" w:eastAsia="Times New Roman" w:hAnsi="Times New Roman" w:cs="Times New Roman"/>
                                <w:color w:val="000000"/>
                                <w:sz w:val="16"/>
                                <w:szCs w:val="16"/>
                              </w:rPr>
                              <w:t>Fármaco más indicado:</w:t>
                            </w:r>
                          </w:p>
                        </w:tc>
                        <w:tc>
                          <w:tcPr>
                            <w:tcW w:w="2482" w:type="dxa"/>
                            <w:shd w:val="clear" w:color="auto" w:fill="FFFFFF"/>
                            <w:vAlign w:val="bottom"/>
                          </w:tcPr>
                          <w:p w14:paraId="60837B48" w14:textId="77777777" w:rsidR="00924992" w:rsidRDefault="00924992">
                            <w:pPr>
                              <w:pStyle w:val="Other0"/>
                              <w:spacing w:line="240" w:lineRule="auto"/>
                              <w:ind w:firstLine="620"/>
                              <w:rPr>
                                <w:sz w:val="16"/>
                                <w:szCs w:val="16"/>
                              </w:rPr>
                            </w:pPr>
                            <w:r>
                              <w:rPr>
                                <w:rFonts w:ascii="Times New Roman" w:eastAsia="Times New Roman" w:hAnsi="Times New Roman" w:cs="Times New Roman"/>
                                <w:color w:val="000000"/>
                                <w:sz w:val="16"/>
                                <w:szCs w:val="16"/>
                              </w:rPr>
                              <w:t>Albendazol</w:t>
                            </w:r>
                            <w:r>
                              <w:rPr>
                                <w:rFonts w:ascii="Times New Roman" w:eastAsia="Times New Roman" w:hAnsi="Times New Roman" w:cs="Times New Roman"/>
                                <w:color w:val="000000"/>
                                <w:sz w:val="16"/>
                                <w:szCs w:val="16"/>
                                <w:vertAlign w:val="superscript"/>
                              </w:rPr>
                              <w:t>3</w:t>
                            </w:r>
                          </w:p>
                        </w:tc>
                        <w:tc>
                          <w:tcPr>
                            <w:tcW w:w="3235" w:type="dxa"/>
                            <w:shd w:val="clear" w:color="auto" w:fill="FFFFFF"/>
                            <w:vAlign w:val="bottom"/>
                          </w:tcPr>
                          <w:p w14:paraId="2F1D6B20" w14:textId="77777777" w:rsidR="00924992" w:rsidRDefault="00924992">
                            <w:pPr>
                              <w:pStyle w:val="Other0"/>
                              <w:spacing w:line="240" w:lineRule="auto"/>
                              <w:ind w:firstLine="940"/>
                              <w:rPr>
                                <w:sz w:val="16"/>
                                <w:szCs w:val="16"/>
                              </w:rPr>
                            </w:pPr>
                            <w:r>
                              <w:rPr>
                                <w:rFonts w:ascii="Times New Roman" w:eastAsia="Times New Roman" w:hAnsi="Times New Roman" w:cs="Times New Roman"/>
                                <w:color w:val="000000"/>
                                <w:sz w:val="16"/>
                                <w:szCs w:val="16"/>
                              </w:rPr>
                              <w:t xml:space="preserve">400 mg bid </w:t>
                            </w:r>
                            <w:r>
                              <w:rPr>
                                <w:color w:val="000000"/>
                              </w:rPr>
                              <w:t xml:space="preserve">x </w:t>
                            </w:r>
                            <w:r>
                              <w:rPr>
                                <w:rFonts w:ascii="Times New Roman" w:eastAsia="Times New Roman" w:hAnsi="Times New Roman" w:cs="Times New Roman"/>
                                <w:color w:val="000000"/>
                                <w:sz w:val="16"/>
                                <w:szCs w:val="16"/>
                              </w:rPr>
                              <w:t>5 días</w:t>
                            </w:r>
                          </w:p>
                        </w:tc>
                        <w:tc>
                          <w:tcPr>
                            <w:tcW w:w="3456" w:type="dxa"/>
                            <w:shd w:val="clear" w:color="auto" w:fill="FFFFFF"/>
                            <w:vAlign w:val="bottom"/>
                          </w:tcPr>
                          <w:p w14:paraId="16A368AB" w14:textId="77777777" w:rsidR="00924992" w:rsidRDefault="00924992">
                            <w:pPr>
                              <w:pStyle w:val="Other0"/>
                              <w:spacing w:line="240" w:lineRule="auto"/>
                              <w:ind w:firstLine="580"/>
                              <w:rPr>
                                <w:sz w:val="16"/>
                                <w:szCs w:val="16"/>
                              </w:rPr>
                            </w:pPr>
                            <w:r>
                              <w:rPr>
                                <w:rFonts w:ascii="Times New Roman" w:eastAsia="Times New Roman" w:hAnsi="Times New Roman" w:cs="Times New Roman"/>
                                <w:color w:val="000000"/>
                                <w:sz w:val="16"/>
                                <w:szCs w:val="16"/>
                              </w:rPr>
                              <w:t xml:space="preserve">400 mg bid </w:t>
                            </w:r>
                            <w:r>
                              <w:rPr>
                                <w:color w:val="000000"/>
                              </w:rPr>
                              <w:t xml:space="preserve">x </w:t>
                            </w:r>
                            <w:r>
                              <w:rPr>
                                <w:rFonts w:ascii="Times New Roman" w:eastAsia="Times New Roman" w:hAnsi="Times New Roman" w:cs="Times New Roman"/>
                                <w:color w:val="000000"/>
                                <w:sz w:val="16"/>
                                <w:szCs w:val="16"/>
                              </w:rPr>
                              <w:t>5 días</w:t>
                            </w:r>
                          </w:p>
                        </w:tc>
                      </w:tr>
                      <w:tr w:rsidR="00924992" w14:paraId="042C3A08" w14:textId="77777777">
                        <w:tblPrEx>
                          <w:tblCellMar>
                            <w:top w:w="0" w:type="dxa"/>
                            <w:bottom w:w="0" w:type="dxa"/>
                          </w:tblCellMar>
                        </w:tblPrEx>
                        <w:trPr>
                          <w:trHeight w:hRule="exact" w:val="326"/>
                        </w:trPr>
                        <w:tc>
                          <w:tcPr>
                            <w:tcW w:w="2261" w:type="dxa"/>
                            <w:tcBorders>
                              <w:bottom w:val="single" w:sz="4" w:space="0" w:color="auto"/>
                            </w:tcBorders>
                            <w:shd w:val="clear" w:color="auto" w:fill="FFFFFF"/>
                          </w:tcPr>
                          <w:p w14:paraId="2CC0F3DF" w14:textId="77777777" w:rsidR="00924992" w:rsidRDefault="00924992">
                            <w:pPr>
                              <w:rPr>
                                <w:sz w:val="10"/>
                                <w:szCs w:val="10"/>
                              </w:rPr>
                            </w:pPr>
                          </w:p>
                        </w:tc>
                        <w:tc>
                          <w:tcPr>
                            <w:tcW w:w="2482" w:type="dxa"/>
                            <w:tcBorders>
                              <w:bottom w:val="single" w:sz="4" w:space="0" w:color="auto"/>
                            </w:tcBorders>
                            <w:shd w:val="clear" w:color="auto" w:fill="FFFFFF"/>
                          </w:tcPr>
                          <w:p w14:paraId="01588EB4" w14:textId="77777777" w:rsidR="00924992" w:rsidRDefault="00924992">
                            <w:pPr>
                              <w:pStyle w:val="Other0"/>
                              <w:spacing w:line="240" w:lineRule="auto"/>
                              <w:ind w:firstLine="620"/>
                              <w:rPr>
                                <w:sz w:val="16"/>
                                <w:szCs w:val="16"/>
                              </w:rPr>
                            </w:pPr>
                            <w:r>
                              <w:rPr>
                                <w:rFonts w:ascii="Times New Roman" w:eastAsia="Times New Roman" w:hAnsi="Times New Roman" w:cs="Times New Roman"/>
                                <w:color w:val="000000"/>
                                <w:sz w:val="16"/>
                                <w:szCs w:val="16"/>
                              </w:rPr>
                              <w:t>Mebendazol</w:t>
                            </w:r>
                            <w:r>
                              <w:rPr>
                                <w:rFonts w:ascii="Times New Roman" w:eastAsia="Times New Roman" w:hAnsi="Times New Roman" w:cs="Times New Roman"/>
                                <w:color w:val="000000"/>
                                <w:sz w:val="16"/>
                                <w:szCs w:val="16"/>
                                <w:vertAlign w:val="superscript"/>
                              </w:rPr>
                              <w:t>3</w:t>
                            </w:r>
                          </w:p>
                        </w:tc>
                        <w:tc>
                          <w:tcPr>
                            <w:tcW w:w="3235" w:type="dxa"/>
                            <w:tcBorders>
                              <w:bottom w:val="single" w:sz="4" w:space="0" w:color="auto"/>
                            </w:tcBorders>
                            <w:shd w:val="clear" w:color="auto" w:fill="FFFFFF"/>
                          </w:tcPr>
                          <w:p w14:paraId="3D6736F4" w14:textId="77777777" w:rsidR="00924992" w:rsidRDefault="00924992">
                            <w:pPr>
                              <w:pStyle w:val="Other0"/>
                              <w:spacing w:line="240" w:lineRule="auto"/>
                              <w:ind w:firstLine="940"/>
                              <w:rPr>
                                <w:sz w:val="16"/>
                                <w:szCs w:val="16"/>
                              </w:rPr>
                            </w:pPr>
                            <w:r>
                              <w:rPr>
                                <w:rFonts w:ascii="Times New Roman" w:eastAsia="Times New Roman" w:hAnsi="Times New Roman" w:cs="Times New Roman"/>
                                <w:color w:val="000000"/>
                                <w:sz w:val="16"/>
                                <w:szCs w:val="16"/>
                              </w:rPr>
                              <w:t xml:space="preserve">100-200 mg bid </w:t>
                            </w:r>
                            <w:r>
                              <w:rPr>
                                <w:color w:val="000000"/>
                              </w:rPr>
                              <w:t xml:space="preserve">x </w:t>
                            </w:r>
                            <w:r>
                              <w:rPr>
                                <w:rFonts w:ascii="Times New Roman" w:eastAsia="Times New Roman" w:hAnsi="Times New Roman" w:cs="Times New Roman"/>
                                <w:color w:val="000000"/>
                                <w:sz w:val="16"/>
                                <w:szCs w:val="16"/>
                              </w:rPr>
                              <w:t>5 días</w:t>
                            </w:r>
                          </w:p>
                        </w:tc>
                        <w:tc>
                          <w:tcPr>
                            <w:tcW w:w="3456" w:type="dxa"/>
                            <w:tcBorders>
                              <w:bottom w:val="single" w:sz="4" w:space="0" w:color="auto"/>
                            </w:tcBorders>
                            <w:shd w:val="clear" w:color="auto" w:fill="FFFFFF"/>
                          </w:tcPr>
                          <w:p w14:paraId="3BB404E3" w14:textId="77777777" w:rsidR="00924992" w:rsidRDefault="00924992">
                            <w:pPr>
                              <w:pStyle w:val="Other0"/>
                              <w:spacing w:line="240" w:lineRule="auto"/>
                              <w:ind w:firstLine="580"/>
                              <w:rPr>
                                <w:sz w:val="16"/>
                                <w:szCs w:val="16"/>
                              </w:rPr>
                            </w:pPr>
                            <w:r>
                              <w:rPr>
                                <w:rFonts w:ascii="Times New Roman" w:eastAsia="Times New Roman" w:hAnsi="Times New Roman" w:cs="Times New Roman"/>
                                <w:color w:val="000000"/>
                                <w:sz w:val="16"/>
                                <w:szCs w:val="16"/>
                              </w:rPr>
                              <w:t xml:space="preserve">100-200 mg bid </w:t>
                            </w:r>
                            <w:r>
                              <w:rPr>
                                <w:color w:val="000000"/>
                              </w:rPr>
                              <w:t xml:space="preserve">x </w:t>
                            </w:r>
                            <w:r>
                              <w:rPr>
                                <w:rFonts w:ascii="Times New Roman" w:eastAsia="Times New Roman" w:hAnsi="Times New Roman" w:cs="Times New Roman"/>
                                <w:color w:val="000000"/>
                                <w:sz w:val="16"/>
                                <w:szCs w:val="16"/>
                              </w:rPr>
                              <w:t>5 días</w:t>
                            </w:r>
                          </w:p>
                        </w:tc>
                      </w:tr>
                    </w:tbl>
                    <w:p w14:paraId="2FBAF5E9" w14:textId="77777777" w:rsidR="00924992" w:rsidRDefault="00924992">
                      <w:pPr>
                        <w:spacing w:line="1" w:lineRule="exact"/>
                      </w:pPr>
                    </w:p>
                  </w:txbxContent>
                </v:textbox>
                <w10:wrap type="topAndBottom" anchorx="page" anchory="margin"/>
              </v:shape>
            </w:pict>
          </mc:Fallback>
        </mc:AlternateContent>
      </w:r>
      <w:bookmarkStart w:id="681" w:name="bookmark2098"/>
      <w:bookmarkEnd w:id="681"/>
      <w:r>
        <w:rPr>
          <w:color w:val="000000"/>
          <w:sz w:val="15"/>
          <w:szCs w:val="15"/>
        </w:rPr>
        <w:t xml:space="preserve">Algunos estudios han indicado que la administración diaria de primaquina que comenzó un día antes del viaje y continuó siete días después de salir del área palúdica brinda profilaxia eficaz contra </w:t>
      </w:r>
      <w:r>
        <w:rPr>
          <w:i/>
          <w:iCs/>
          <w:color w:val="000000"/>
          <w:sz w:val="15"/>
          <w:szCs w:val="15"/>
        </w:rPr>
        <w:t>P falciparum</w:t>
      </w:r>
      <w:r>
        <w:rPr>
          <w:color w:val="000000"/>
          <w:sz w:val="15"/>
          <w:szCs w:val="15"/>
        </w:rPr>
        <w:t xml:space="preserve"> resistente a cloroquina (JK Baird et al, </w:t>
      </w:r>
      <w:r>
        <w:rPr>
          <w:i/>
          <w:iCs/>
          <w:color w:val="000000"/>
          <w:sz w:val="15"/>
          <w:szCs w:val="15"/>
        </w:rPr>
        <w:t>Clin Infect Dis</w:t>
      </w:r>
      <w:r>
        <w:rPr>
          <w:color w:val="000000"/>
          <w:sz w:val="15"/>
          <w:szCs w:val="15"/>
        </w:rPr>
        <w:t xml:space="preserve"> 2001; 33:1990). Algunos estudios han señalado menor eficacia contra </w:t>
      </w:r>
      <w:r>
        <w:rPr>
          <w:i/>
          <w:iCs/>
          <w:color w:val="000000"/>
          <w:sz w:val="15"/>
          <w:szCs w:val="15"/>
        </w:rPr>
        <w:t>P vivax.</w:t>
      </w:r>
      <w:r>
        <w:rPr>
          <w:color w:val="000000"/>
          <w:sz w:val="15"/>
          <w:szCs w:val="15"/>
        </w:rPr>
        <w:t xml:space="preserve"> Las náuseas y el dolor abdominal se pueden aplacar si se ingiere el fármaco con los alimentos.</w:t>
      </w:r>
    </w:p>
    <w:p w14:paraId="665E7DD1" w14:textId="77777777" w:rsidR="00924992" w:rsidRDefault="00924992">
      <w:pPr>
        <w:pStyle w:val="Bodytext20"/>
        <w:numPr>
          <w:ilvl w:val="0"/>
          <w:numId w:val="143"/>
        </w:numPr>
        <w:tabs>
          <w:tab w:val="left" w:pos="367"/>
        </w:tabs>
        <w:spacing w:line="252" w:lineRule="auto"/>
        <w:ind w:left="400" w:hanging="400"/>
        <w:rPr>
          <w:sz w:val="15"/>
          <w:szCs w:val="15"/>
        </w:rPr>
      </w:pPr>
      <w:bookmarkStart w:id="682" w:name="bookmark2099"/>
      <w:bookmarkEnd w:id="682"/>
      <w:r>
        <w:rPr>
          <w:color w:val="000000"/>
          <w:sz w:val="15"/>
          <w:szCs w:val="15"/>
        </w:rPr>
        <w:t xml:space="preserve">El proguanil (Paludrine-Wyeth Ayerst, Canada; AstraZeneca, United Kingdom), que no se distribuye en Estados Unidos solo, pero sí ampliamente en Canadá y Europa, es recomendable más bien para utilizar en África al sur del Sahara. Se recomienda la profilaxia durante la exposición y durante cuatro semanas después de ella. Se ha utilizado proguanil en embarazadas sin manifestaciones de toxicidad (PA Phillips-Howard and D Wood, </w:t>
      </w:r>
      <w:r>
        <w:rPr>
          <w:i/>
          <w:iCs/>
          <w:color w:val="000000"/>
          <w:sz w:val="15"/>
          <w:szCs w:val="15"/>
        </w:rPr>
        <w:t>Drug Saf</w:t>
      </w:r>
      <w:r>
        <w:rPr>
          <w:color w:val="000000"/>
          <w:sz w:val="15"/>
          <w:szCs w:val="15"/>
        </w:rPr>
        <w:t xml:space="preserve"> 1996; 14:131).</w:t>
      </w:r>
    </w:p>
    <w:p w14:paraId="520D97C3" w14:textId="77777777" w:rsidR="00924992" w:rsidRDefault="00924992">
      <w:pPr>
        <w:pStyle w:val="Bodytext20"/>
        <w:numPr>
          <w:ilvl w:val="0"/>
          <w:numId w:val="143"/>
        </w:numPr>
        <w:tabs>
          <w:tab w:val="left" w:pos="367"/>
        </w:tabs>
        <w:spacing w:line="252" w:lineRule="auto"/>
        <w:ind w:left="400" w:hanging="400"/>
        <w:rPr>
          <w:sz w:val="15"/>
          <w:szCs w:val="15"/>
        </w:rPr>
      </w:pPr>
      <w:bookmarkStart w:id="683" w:name="bookmark2100"/>
      <w:bookmarkEnd w:id="683"/>
      <w:r>
        <w:rPr>
          <w:color w:val="000000"/>
          <w:sz w:val="15"/>
          <w:szCs w:val="15"/>
        </w:rPr>
        <w:t>En caso de infestación de las pestañas con ladillas, usar vaselina sólida. En el caso de ladillas en el pubis, tratar con permetrina al 5% o ivermectina al igual que se hace contra la sarna (véase “Escabiasis (Sarna)”, en la sección 3).</w:t>
      </w:r>
    </w:p>
    <w:p w14:paraId="6E83EFB3" w14:textId="77777777" w:rsidR="00924992" w:rsidRDefault="00924992">
      <w:pPr>
        <w:pStyle w:val="Bodytext20"/>
        <w:numPr>
          <w:ilvl w:val="0"/>
          <w:numId w:val="143"/>
        </w:numPr>
        <w:tabs>
          <w:tab w:val="left" w:pos="367"/>
        </w:tabs>
        <w:spacing w:line="252" w:lineRule="auto"/>
        <w:ind w:left="400" w:hanging="400"/>
        <w:rPr>
          <w:sz w:val="15"/>
          <w:szCs w:val="15"/>
        </w:rPr>
      </w:pPr>
      <w:bookmarkStart w:id="684" w:name="bookmark2101"/>
      <w:bookmarkEnd w:id="684"/>
      <w:r>
        <w:rPr>
          <w:color w:val="000000"/>
          <w:sz w:val="15"/>
          <w:szCs w:val="15"/>
        </w:rPr>
        <w:t xml:space="preserve">Se recomienda una segunda aplicación una semana más tarde para destruir las liendres en fase de eclosión. Algunos piojos son resistentes a las piretrinas y a la permetrina (RJ Pollack, </w:t>
      </w:r>
      <w:r>
        <w:rPr>
          <w:i/>
          <w:iCs/>
          <w:color w:val="000000"/>
          <w:sz w:val="15"/>
          <w:szCs w:val="15"/>
        </w:rPr>
        <w:t>Arch Pediatr Adolesc Med</w:t>
      </w:r>
      <w:r>
        <w:rPr>
          <w:color w:val="000000"/>
          <w:sz w:val="15"/>
          <w:szCs w:val="15"/>
        </w:rPr>
        <w:t xml:space="preserve"> 1999; 153:969).</w:t>
      </w:r>
    </w:p>
    <w:p w14:paraId="568F9A64" w14:textId="77777777" w:rsidR="00924992" w:rsidRDefault="00924992">
      <w:pPr>
        <w:pStyle w:val="Bodytext20"/>
        <w:numPr>
          <w:ilvl w:val="0"/>
          <w:numId w:val="143"/>
        </w:numPr>
        <w:tabs>
          <w:tab w:val="left" w:pos="367"/>
        </w:tabs>
        <w:spacing w:line="252" w:lineRule="auto"/>
        <w:jc w:val="both"/>
        <w:rPr>
          <w:sz w:val="15"/>
          <w:szCs w:val="15"/>
        </w:rPr>
      </w:pPr>
      <w:bookmarkStart w:id="685" w:name="bookmark2102"/>
      <w:bookmarkEnd w:id="685"/>
      <w:r>
        <w:rPr>
          <w:color w:val="000000"/>
          <w:sz w:val="15"/>
          <w:szCs w:val="15"/>
        </w:rPr>
        <w:t xml:space="preserve">RJ Roberts et al, </w:t>
      </w:r>
      <w:r>
        <w:rPr>
          <w:i/>
          <w:iCs/>
          <w:color w:val="000000"/>
          <w:sz w:val="15"/>
          <w:szCs w:val="15"/>
        </w:rPr>
        <w:t>Lancet</w:t>
      </w:r>
      <w:r>
        <w:rPr>
          <w:color w:val="000000"/>
          <w:sz w:val="15"/>
          <w:szCs w:val="15"/>
        </w:rPr>
        <w:t xml:space="preserve"> 2000; 356:540.</w:t>
      </w:r>
    </w:p>
    <w:p w14:paraId="5E22CB9D" w14:textId="77777777" w:rsidR="00924992" w:rsidRDefault="00924992">
      <w:pPr>
        <w:pStyle w:val="Bodytext20"/>
        <w:numPr>
          <w:ilvl w:val="0"/>
          <w:numId w:val="143"/>
        </w:numPr>
        <w:tabs>
          <w:tab w:val="left" w:pos="367"/>
        </w:tabs>
        <w:spacing w:line="252" w:lineRule="auto"/>
        <w:jc w:val="both"/>
        <w:rPr>
          <w:sz w:val="15"/>
          <w:szCs w:val="15"/>
        </w:rPr>
      </w:pPr>
      <w:bookmarkStart w:id="686" w:name="bookmark2103"/>
      <w:bookmarkEnd w:id="686"/>
      <w:r>
        <w:rPr>
          <w:color w:val="000000"/>
          <w:sz w:val="15"/>
          <w:szCs w:val="15"/>
        </w:rPr>
        <w:t xml:space="preserve">La ivermectina es eficaz contra piojos adultos pero no contra liendres (TA Bell, </w:t>
      </w:r>
      <w:r>
        <w:rPr>
          <w:i/>
          <w:iCs/>
          <w:color w:val="000000"/>
          <w:sz w:val="15"/>
          <w:szCs w:val="15"/>
        </w:rPr>
        <w:t>Pediatr Infect Dis J</w:t>
      </w:r>
      <w:r>
        <w:rPr>
          <w:color w:val="000000"/>
          <w:sz w:val="15"/>
          <w:szCs w:val="15"/>
        </w:rPr>
        <w:t xml:space="preserve"> 1998; 17:923).</w:t>
      </w:r>
    </w:p>
    <w:p w14:paraId="77EA2557" w14:textId="77777777" w:rsidR="00924992" w:rsidRDefault="00924992">
      <w:pPr>
        <w:pStyle w:val="Bodytext20"/>
        <w:numPr>
          <w:ilvl w:val="0"/>
          <w:numId w:val="143"/>
        </w:numPr>
        <w:tabs>
          <w:tab w:val="left" w:pos="367"/>
        </w:tabs>
        <w:spacing w:line="252" w:lineRule="auto"/>
        <w:ind w:left="400" w:hanging="400"/>
        <w:rPr>
          <w:sz w:val="15"/>
          <w:szCs w:val="15"/>
        </w:rPr>
      </w:pPr>
      <w:bookmarkStart w:id="687" w:name="bookmark2104"/>
      <w:bookmarkEnd w:id="687"/>
      <w:r>
        <w:rPr>
          <w:color w:val="000000"/>
          <w:sz w:val="15"/>
          <w:szCs w:val="15"/>
        </w:rPr>
        <w:t xml:space="preserve">En la enfermedad grave con PO2 </w:t>
      </w:r>
      <w:r>
        <w:rPr>
          <w:rFonts w:ascii="Arial" w:eastAsia="Arial" w:hAnsi="Arial" w:cs="Arial"/>
          <w:color w:val="000000"/>
          <w:sz w:val="15"/>
          <w:szCs w:val="15"/>
        </w:rPr>
        <w:t>&lt;</w:t>
      </w:r>
      <w:r>
        <w:rPr>
          <w:color w:val="000000"/>
          <w:sz w:val="15"/>
          <w:szCs w:val="15"/>
        </w:rPr>
        <w:t xml:space="preserve">70 mmHg o gradiente alveoloarterial </w:t>
      </w:r>
      <w:r>
        <w:rPr>
          <w:rFonts w:ascii="Arial" w:eastAsia="Arial" w:hAnsi="Arial" w:cs="Arial"/>
          <w:color w:val="000000"/>
          <w:sz w:val="15"/>
          <w:szCs w:val="15"/>
        </w:rPr>
        <w:t>&gt;</w:t>
      </w:r>
      <w:r>
        <w:rPr>
          <w:color w:val="000000"/>
          <w:sz w:val="15"/>
          <w:szCs w:val="15"/>
        </w:rPr>
        <w:t xml:space="preserve">35 mmHg, también se utilizará prednisona (S Gagnon et al, </w:t>
      </w:r>
      <w:r>
        <w:rPr>
          <w:i/>
          <w:iCs/>
          <w:color w:val="000000"/>
          <w:sz w:val="15"/>
          <w:szCs w:val="15"/>
        </w:rPr>
        <w:t>N Engl J Med</w:t>
      </w:r>
      <w:r>
        <w:rPr>
          <w:color w:val="000000"/>
          <w:sz w:val="15"/>
          <w:szCs w:val="15"/>
        </w:rPr>
        <w:t xml:space="preserve"> 1990; 323:1444; E Caumes et al, </w:t>
      </w:r>
      <w:r>
        <w:rPr>
          <w:i/>
          <w:iCs/>
          <w:color w:val="000000"/>
          <w:sz w:val="15"/>
          <w:szCs w:val="15"/>
        </w:rPr>
        <w:t>Clin Infect Dis</w:t>
      </w:r>
      <w:r>
        <w:rPr>
          <w:color w:val="000000"/>
          <w:sz w:val="15"/>
          <w:szCs w:val="15"/>
        </w:rPr>
        <w:t xml:space="preserve"> 1994; 18:319).</w:t>
      </w:r>
    </w:p>
    <w:p w14:paraId="6CA77C9B" w14:textId="77777777" w:rsidR="00924992" w:rsidRDefault="00924992">
      <w:pPr>
        <w:pStyle w:val="Bodytext20"/>
        <w:numPr>
          <w:ilvl w:val="0"/>
          <w:numId w:val="143"/>
        </w:numPr>
        <w:tabs>
          <w:tab w:val="left" w:pos="367"/>
        </w:tabs>
        <w:spacing w:line="252" w:lineRule="auto"/>
        <w:ind w:left="400" w:hanging="400"/>
        <w:rPr>
          <w:sz w:val="15"/>
          <w:szCs w:val="15"/>
        </w:rPr>
      </w:pPr>
      <w:bookmarkStart w:id="688" w:name="bookmark2105"/>
      <w:bookmarkEnd w:id="688"/>
      <w:r>
        <w:rPr>
          <w:color w:val="000000"/>
          <w:sz w:val="15"/>
          <w:szCs w:val="15"/>
        </w:rPr>
        <w:t xml:space="preserve">La profilaxia primaria-secundaria en personas con VIH se puede interrumpir después que el recuento de linfocitos CD4 aumentó a más de 200 células </w:t>
      </w:r>
      <w:r>
        <w:rPr>
          <w:rFonts w:ascii="Arial" w:eastAsia="Arial" w:hAnsi="Arial" w:cs="Arial"/>
          <w:color w:val="000000"/>
          <w:sz w:val="14"/>
          <w:szCs w:val="14"/>
        </w:rPr>
        <w:t xml:space="preserve">x </w:t>
      </w:r>
      <w:r>
        <w:rPr>
          <w:color w:val="000000"/>
          <w:sz w:val="15"/>
          <w:szCs w:val="15"/>
        </w:rPr>
        <w:t>10</w:t>
      </w:r>
      <w:r>
        <w:rPr>
          <w:color w:val="000000"/>
          <w:sz w:val="8"/>
          <w:szCs w:val="8"/>
          <w:vertAlign w:val="superscript"/>
        </w:rPr>
        <w:t>6</w:t>
      </w:r>
      <w:r>
        <w:rPr>
          <w:color w:val="000000"/>
          <w:sz w:val="15"/>
          <w:szCs w:val="15"/>
        </w:rPr>
        <w:t xml:space="preserve">/L por más de tres meses (HIV/AIDS Treatment Information Service, US Department of Health and Human Services 2001; </w:t>
      </w:r>
      <w:hyperlink r:id="rId371" w:history="1">
        <w:r>
          <w:rPr>
            <w:color w:val="000000"/>
            <w:sz w:val="15"/>
            <w:szCs w:val="15"/>
          </w:rPr>
          <w:t>www.hivatis.org</w:t>
        </w:r>
      </w:hyperlink>
      <w:r>
        <w:rPr>
          <w:color w:val="000000"/>
          <w:sz w:val="15"/>
          <w:szCs w:val="15"/>
        </w:rPr>
        <w:t>).</w:t>
      </w:r>
    </w:p>
    <w:p w14:paraId="706425D7" w14:textId="77777777" w:rsidR="00924992" w:rsidRDefault="00924992">
      <w:pPr>
        <w:pStyle w:val="Bodytext20"/>
        <w:numPr>
          <w:ilvl w:val="0"/>
          <w:numId w:val="143"/>
        </w:numPr>
        <w:tabs>
          <w:tab w:val="left" w:pos="367"/>
        </w:tabs>
        <w:spacing w:line="252" w:lineRule="auto"/>
        <w:rPr>
          <w:sz w:val="15"/>
          <w:szCs w:val="15"/>
        </w:rPr>
      </w:pPr>
      <w:bookmarkStart w:id="689" w:name="bookmark2106"/>
      <w:bookmarkEnd w:id="689"/>
      <w:r>
        <w:rPr>
          <w:color w:val="000000"/>
          <w:sz w:val="15"/>
          <w:szCs w:val="15"/>
        </w:rPr>
        <w:t>Otro régimen a base de trimetoprim-sulfametoxazol es una tableta de doble dosis 3</w:t>
      </w:r>
      <w:r>
        <w:rPr>
          <w:rFonts w:ascii="Arial" w:eastAsia="Arial" w:hAnsi="Arial" w:cs="Arial"/>
          <w:color w:val="000000"/>
          <w:sz w:val="14"/>
          <w:szCs w:val="14"/>
        </w:rPr>
        <w:t>x</w:t>
      </w:r>
      <w:r>
        <w:rPr>
          <w:color w:val="000000"/>
          <w:sz w:val="15"/>
          <w:szCs w:val="15"/>
        </w:rPr>
        <w:t>/semana. La administración semanal de 500 mg de sulfadoxina/25 mg de pirimetamina/</w:t>
      </w:r>
    </w:p>
    <w:p w14:paraId="4D0C99B9" w14:textId="77777777" w:rsidR="00924992" w:rsidRDefault="00924992">
      <w:pPr>
        <w:pStyle w:val="Bodytext20"/>
        <w:spacing w:line="252" w:lineRule="auto"/>
        <w:ind w:left="400"/>
        <w:rPr>
          <w:sz w:val="15"/>
          <w:szCs w:val="15"/>
        </w:rPr>
      </w:pPr>
      <w:r>
        <w:rPr>
          <w:color w:val="000000"/>
          <w:sz w:val="15"/>
          <w:szCs w:val="15"/>
        </w:rPr>
        <w:t xml:space="preserve">25 mg de leucovorina fue una medida profiláctica eficaz contra neumonía por </w:t>
      </w:r>
      <w:r>
        <w:rPr>
          <w:i/>
          <w:iCs/>
          <w:color w:val="000000"/>
          <w:sz w:val="15"/>
          <w:szCs w:val="15"/>
        </w:rPr>
        <w:t>P. carinii</w:t>
      </w:r>
      <w:r>
        <w:rPr>
          <w:color w:val="000000"/>
          <w:sz w:val="15"/>
          <w:szCs w:val="15"/>
        </w:rPr>
        <w:t xml:space="preserve"> (</w:t>
      </w:r>
      <w:r>
        <w:rPr>
          <w:i/>
          <w:iCs/>
          <w:color w:val="000000"/>
          <w:sz w:val="15"/>
          <w:szCs w:val="15"/>
        </w:rPr>
        <w:t>P. carinii pneumonia</w:t>
      </w:r>
      <w:r>
        <w:rPr>
          <w:color w:val="000000"/>
          <w:sz w:val="15"/>
          <w:szCs w:val="15"/>
        </w:rPr>
        <w:t xml:space="preserve">, PCP) después de trasplante de hígado (J Torre-Cisneros et al, </w:t>
      </w:r>
      <w:r>
        <w:rPr>
          <w:i/>
          <w:iCs/>
          <w:color w:val="000000"/>
          <w:sz w:val="15"/>
          <w:szCs w:val="15"/>
        </w:rPr>
        <w:t>Clin Infect Dis</w:t>
      </w:r>
      <w:r>
        <w:rPr>
          <w:color w:val="000000"/>
          <w:sz w:val="15"/>
          <w:szCs w:val="15"/>
        </w:rPr>
        <w:t xml:space="preserve"> 1999; 29:771).</w:t>
      </w:r>
    </w:p>
    <w:p w14:paraId="77722858" w14:textId="77777777" w:rsidR="00924992" w:rsidRDefault="00924992">
      <w:pPr>
        <w:pStyle w:val="Bodytext20"/>
        <w:numPr>
          <w:ilvl w:val="0"/>
          <w:numId w:val="143"/>
        </w:numPr>
        <w:tabs>
          <w:tab w:val="left" w:pos="367"/>
        </w:tabs>
        <w:spacing w:line="252" w:lineRule="auto"/>
        <w:rPr>
          <w:sz w:val="15"/>
          <w:szCs w:val="15"/>
        </w:rPr>
      </w:pPr>
      <w:bookmarkStart w:id="690" w:name="bookmark2107"/>
      <w:bookmarkEnd w:id="690"/>
      <w:r>
        <w:rPr>
          <w:color w:val="000000"/>
          <w:sz w:val="15"/>
          <w:szCs w:val="15"/>
        </w:rPr>
        <w:t>Y además leucovorina, 25 mg con cada dosis de pirimetamina.</w:t>
      </w:r>
    </w:p>
    <w:p w14:paraId="7182A583" w14:textId="77777777" w:rsidR="00924992" w:rsidRDefault="00924992">
      <w:pPr>
        <w:pStyle w:val="Bodytext20"/>
        <w:numPr>
          <w:ilvl w:val="0"/>
          <w:numId w:val="143"/>
        </w:numPr>
        <w:tabs>
          <w:tab w:val="left" w:pos="367"/>
        </w:tabs>
        <w:spacing w:line="252" w:lineRule="auto"/>
        <w:rPr>
          <w:sz w:val="15"/>
          <w:szCs w:val="15"/>
        </w:rPr>
      </w:pPr>
      <w:bookmarkStart w:id="691" w:name="bookmark2108"/>
      <w:bookmarkEnd w:id="691"/>
      <w:r>
        <w:rPr>
          <w:color w:val="000000"/>
          <w:sz w:val="15"/>
          <w:szCs w:val="15"/>
        </w:rPr>
        <w:t>En la toxoplasmosis de los ojos con ataque de la mácula se recomienda usar corticosteroides por su efecto antiinflamatorio en tales órganos.</w:t>
      </w:r>
    </w:p>
    <w:p w14:paraId="3C148202" w14:textId="77777777" w:rsidR="00924992" w:rsidRDefault="00924992">
      <w:pPr>
        <w:pStyle w:val="Bodytext20"/>
        <w:numPr>
          <w:ilvl w:val="0"/>
          <w:numId w:val="143"/>
        </w:numPr>
        <w:tabs>
          <w:tab w:val="left" w:pos="367"/>
        </w:tabs>
        <w:spacing w:line="252" w:lineRule="auto"/>
        <w:rPr>
          <w:sz w:val="15"/>
          <w:szCs w:val="15"/>
        </w:rPr>
      </w:pPr>
      <w:bookmarkStart w:id="692" w:name="bookmark2109"/>
      <w:bookmarkEnd w:id="692"/>
      <w:r>
        <w:rPr>
          <w:color w:val="000000"/>
          <w:sz w:val="15"/>
          <w:szCs w:val="15"/>
        </w:rPr>
        <w:t>Para tratar la toxoplasmosis del SNC en personas infectadas por VIH, algunos clínicos han utilizado 50 a 100 mg de pirimetamina diariamente (después de una dosis inicial de</w:t>
      </w:r>
    </w:p>
    <w:p w14:paraId="79CC6475" w14:textId="77777777" w:rsidR="00924992" w:rsidRDefault="00924992">
      <w:pPr>
        <w:pStyle w:val="Bodytext20"/>
        <w:spacing w:line="252" w:lineRule="auto"/>
        <w:ind w:left="400"/>
        <w:rPr>
          <w:sz w:val="15"/>
          <w:szCs w:val="15"/>
        </w:rPr>
      </w:pPr>
      <w:r>
        <w:rPr>
          <w:color w:val="000000"/>
          <w:sz w:val="15"/>
          <w:szCs w:val="15"/>
        </w:rPr>
        <w:t xml:space="preserve">200 mg) con sulfadiazina, y al surgir sensibilidad a la sulfonamida han administrado 1.8 a 2.4 g/día de clindamicina en fracciones, en vez de sulfonamida (JS Remington et al, </w:t>
      </w:r>
      <w:r>
        <w:rPr>
          <w:i/>
          <w:iCs/>
          <w:color w:val="000000"/>
          <w:sz w:val="15"/>
          <w:szCs w:val="15"/>
        </w:rPr>
        <w:t>Lancet</w:t>
      </w:r>
      <w:r>
        <w:rPr>
          <w:color w:val="000000"/>
          <w:sz w:val="15"/>
          <w:szCs w:val="15"/>
        </w:rPr>
        <w:t xml:space="preserve"> 1991; 338:1142; BJ Luft et al, </w:t>
      </w:r>
      <w:r>
        <w:rPr>
          <w:i/>
          <w:iCs/>
          <w:color w:val="000000"/>
          <w:sz w:val="15"/>
          <w:szCs w:val="15"/>
        </w:rPr>
        <w:t>N Engl J Med</w:t>
      </w:r>
      <w:r>
        <w:rPr>
          <w:color w:val="000000"/>
          <w:sz w:val="15"/>
          <w:szCs w:val="15"/>
        </w:rPr>
        <w:t xml:space="preserve"> 1993; 329:995). La atovacuona y además la pirimetamina al parecer constituyen una estrategia alternativa eficaz en pacientes que no toleran las sulfas (JA Kovacs et al, </w:t>
      </w:r>
      <w:r>
        <w:rPr>
          <w:i/>
          <w:iCs/>
          <w:color w:val="000000"/>
          <w:sz w:val="15"/>
          <w:szCs w:val="15"/>
        </w:rPr>
        <w:t>Lancet</w:t>
      </w:r>
      <w:r>
        <w:rPr>
          <w:color w:val="000000"/>
          <w:sz w:val="15"/>
          <w:szCs w:val="15"/>
        </w:rPr>
        <w:t xml:space="preserve"> 1992; 340:637). El tratamiento es seguido de supresión crónica con dosis menores de los mismos fármacos. En el caso de profilaxia primaria en sujetos con VIH con menos de 100 linfocitos CD4, cabe recurrir a trimetoprim-sulfametoxazol, pirimetamina con dapsona o atovacuona con pirimetamina o sin ella. La profilaxia primaria-secundaria se puede interrumpir cuando el número de linfocitos CD4 rebase las 200 células </w:t>
      </w:r>
      <w:r>
        <w:rPr>
          <w:rFonts w:ascii="Arial" w:eastAsia="Arial" w:hAnsi="Arial" w:cs="Arial"/>
          <w:color w:val="000000"/>
          <w:sz w:val="14"/>
          <w:szCs w:val="14"/>
        </w:rPr>
        <w:t xml:space="preserve">x </w:t>
      </w:r>
      <w:r>
        <w:rPr>
          <w:color w:val="000000"/>
          <w:sz w:val="15"/>
          <w:szCs w:val="15"/>
        </w:rPr>
        <w:t>10</w:t>
      </w:r>
      <w:r>
        <w:rPr>
          <w:color w:val="000000"/>
          <w:sz w:val="8"/>
          <w:szCs w:val="8"/>
          <w:vertAlign w:val="superscript"/>
        </w:rPr>
        <w:t>6</w:t>
      </w:r>
      <w:r>
        <w:rPr>
          <w:color w:val="000000"/>
          <w:sz w:val="15"/>
          <w:szCs w:val="15"/>
        </w:rPr>
        <w:t>/L por más de tres meses (HIV/AIDS Treatment Information Service US Department of Health and Human Services 2001; [</w:t>
      </w:r>
      <w:hyperlink r:id="rId372" w:history="1">
        <w:r>
          <w:rPr>
            <w:color w:val="000000"/>
            <w:sz w:val="15"/>
            <w:szCs w:val="15"/>
          </w:rPr>
          <w:t>www.hivatis.org</w:t>
        </w:r>
      </w:hyperlink>
      <w:r>
        <w:rPr>
          <w:color w:val="000000"/>
          <w:sz w:val="15"/>
          <w:szCs w:val="15"/>
        </w:rPr>
        <w:t>]). Véase también pie de cuadro 92.</w:t>
      </w:r>
    </w:p>
    <w:p w14:paraId="3136E5A0" w14:textId="77777777" w:rsidR="00924992" w:rsidRDefault="00924992">
      <w:pPr>
        <w:pStyle w:val="Bodytext20"/>
        <w:numPr>
          <w:ilvl w:val="0"/>
          <w:numId w:val="143"/>
        </w:numPr>
        <w:tabs>
          <w:tab w:val="left" w:pos="367"/>
        </w:tabs>
        <w:spacing w:line="252" w:lineRule="auto"/>
        <w:rPr>
          <w:sz w:val="15"/>
          <w:szCs w:val="15"/>
        </w:rPr>
      </w:pPr>
      <w:bookmarkStart w:id="693" w:name="bookmark2110"/>
      <w:bookmarkEnd w:id="693"/>
      <w:r>
        <w:rPr>
          <w:color w:val="000000"/>
          <w:sz w:val="15"/>
          <w:szCs w:val="15"/>
        </w:rPr>
        <w:t>Y además 10 a 25 mg de leucovorina con cada dosis de pirimetamina.</w:t>
      </w:r>
    </w:p>
    <w:p w14:paraId="2213EE30" w14:textId="77777777" w:rsidR="00924992" w:rsidRDefault="00924992">
      <w:pPr>
        <w:pStyle w:val="Bodytext20"/>
        <w:numPr>
          <w:ilvl w:val="0"/>
          <w:numId w:val="143"/>
        </w:numPr>
        <w:tabs>
          <w:tab w:val="left" w:pos="367"/>
        </w:tabs>
        <w:spacing w:after="80" w:line="252" w:lineRule="auto"/>
        <w:ind w:left="400" w:hanging="400"/>
        <w:rPr>
          <w:sz w:val="15"/>
          <w:szCs w:val="15"/>
        </w:rPr>
        <w:sectPr w:rsidR="00924992" w:rsidSect="00924992">
          <w:type w:val="continuous"/>
          <w:pgSz w:w="13022" w:h="8501" w:orient="landscape"/>
          <w:pgMar w:top="493" w:right="962" w:bottom="612" w:left="628" w:header="0" w:footer="3" w:gutter="0"/>
          <w:cols w:space="720"/>
          <w:noEndnote/>
          <w:docGrid w:linePitch="360"/>
          <w15:footnoteColumns w:val="1"/>
        </w:sectPr>
      </w:pPr>
      <w:r>
        <w:rPr>
          <w:noProof/>
        </w:rPr>
        <mc:AlternateContent>
          <mc:Choice Requires="wps">
            <w:drawing>
              <wp:anchor distT="0" distB="0" distL="114300" distR="114300" simplePos="0" relativeHeight="251735040" behindDoc="0" locked="0" layoutInCell="1" allowOverlap="1" wp14:anchorId="34670C71" wp14:editId="70550B56">
                <wp:simplePos x="0" y="0"/>
                <wp:positionH relativeFrom="page">
                  <wp:posOffset>7863205</wp:posOffset>
                </wp:positionH>
                <wp:positionV relativeFrom="margin">
                  <wp:posOffset>33655</wp:posOffset>
                </wp:positionV>
                <wp:extent cx="121920" cy="3166745"/>
                <wp:effectExtent l="0" t="0" r="0" b="0"/>
                <wp:wrapSquare wrapText="bothSides"/>
                <wp:docPr id="2476" name="Shape 2476"/>
                <wp:cNvGraphicFramePr/>
                <a:graphic xmlns:a="http://schemas.openxmlformats.org/drawingml/2006/main">
                  <a:graphicData uri="http://schemas.microsoft.com/office/word/2010/wordprocessingShape">
                    <wps:wsp>
                      <wps:cNvSpPr txBox="1"/>
                      <wps:spPr>
                        <a:xfrm>
                          <a:off x="0" y="0"/>
                          <a:ext cx="121920" cy="3166745"/>
                        </a:xfrm>
                        <a:prstGeom prst="rect">
                          <a:avLst/>
                        </a:prstGeom>
                        <a:noFill/>
                      </wps:spPr>
                      <wps:txbx>
                        <w:txbxContent>
                          <w:p w14:paraId="5D0C456D" w14:textId="77777777" w:rsidR="00924992" w:rsidRDefault="00924992">
                            <w:pPr>
                              <w:pStyle w:val="Bodytext80"/>
                              <w:tabs>
                                <w:tab w:val="left" w:pos="1872"/>
                              </w:tabs>
                            </w:pPr>
                            <w:r>
                              <w:rPr>
                                <w:sz w:val="16"/>
                                <w:szCs w:val="16"/>
                              </w:rPr>
                              <w:t>804</w:t>
                            </w:r>
                            <w:r>
                              <w:rPr>
                                <w:sz w:val="16"/>
                                <w:szCs w:val="16"/>
                              </w:rPr>
                              <w:tab/>
                            </w:r>
                            <w:r>
                              <w:t>ANTIMICROBIANOS Y FÁRMACOS SIMILARES</w:t>
                            </w:r>
                          </w:p>
                        </w:txbxContent>
                      </wps:txbx>
                      <wps:bodyPr vert="vert" lIns="0" tIns="0" rIns="0" bIns="0" upright="1"/>
                    </wps:wsp>
                  </a:graphicData>
                </a:graphic>
              </wp:anchor>
            </w:drawing>
          </mc:Choice>
          <mc:Fallback>
            <w:pict>
              <v:shape w14:anchorId="34670C71" id="Shape 2476" o:spid="_x0000_s1117" type="#_x0000_t202" style="position:absolute;left:0;text-align:left;margin-left:619.15pt;margin-top:2.65pt;width:9.6pt;height:249.35pt;z-index:251735040;visibility:visible;mso-wrap-style:square;mso-wrap-distance-left:9pt;mso-wrap-distance-top:0;mso-wrap-distance-right:9pt;mso-wrap-distance-bottom:0;mso-position-horizontal:absolute;mso-position-horizontal-relative:page;mso-position-vertical:absolute;mso-position-vertical-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" filled="f" stroked="f">
                <v:textbox style="layout-flow:vertical" inset="0,0,0,0">
                  <w:txbxContent>
                    <w:p w14:paraId="5D0C456D" w14:textId="77777777" w:rsidR="00924992" w:rsidRDefault="00924992">
                      <w:pPr>
                        <w:pStyle w:val="Bodytext80"/>
                        <w:tabs>
                          <w:tab w:val="left" w:pos="1872"/>
                        </w:tabs>
                      </w:pPr>
                      <w:r>
                        <w:rPr>
                          <w:sz w:val="16"/>
                          <w:szCs w:val="16"/>
                        </w:rPr>
                        <w:t>804</w:t>
                      </w:r>
                      <w:r>
                        <w:rPr>
                          <w:sz w:val="16"/>
                          <w:szCs w:val="16"/>
                        </w:rPr>
                        <w:tab/>
                      </w:r>
                      <w:r>
                        <w:t>ANTIMICROBIANOS Y FÁRMACOS SIMILARES</w:t>
                      </w:r>
                    </w:p>
                  </w:txbxContent>
                </v:textbox>
                <w10:wrap type="square" anchorx="page" anchory="margin"/>
              </v:shape>
            </w:pict>
          </mc:Fallback>
        </mc:AlternateContent>
      </w:r>
      <w:bookmarkStart w:id="694" w:name="bookmark2111"/>
      <w:bookmarkEnd w:id="694"/>
      <w:r>
        <w:rPr>
          <w:color w:val="000000"/>
          <w:sz w:val="15"/>
          <w:szCs w:val="15"/>
        </w:rPr>
        <w:t xml:space="preserve">El neonato con infección congénita debe ser tratado con pirimetamina cada dos o tres días y una sulfonamida diariamente durante un año, en promedio (JS Remington and G Desmonts in JS Remington and JO Klein, eds, </w:t>
      </w:r>
      <w:r>
        <w:rPr>
          <w:i/>
          <w:iCs/>
          <w:color w:val="000000"/>
          <w:sz w:val="15"/>
          <w:szCs w:val="15"/>
        </w:rPr>
        <w:t>Infectious Disease of the Fetus and Newborn Infant</w:t>
      </w:r>
      <w:r>
        <w:rPr>
          <w:color w:val="000000"/>
          <w:sz w:val="15"/>
          <w:szCs w:val="15"/>
        </w:rPr>
        <w:t>, 5th ed, Philadelphia:Saunders, 2001, pág. 290).</w:t>
      </w:r>
    </w:p>
    <w:p w14:paraId="71A570B7" w14:textId="77777777" w:rsidR="00924992" w:rsidRDefault="00924992">
      <w:pPr>
        <w:pStyle w:val="Heading31"/>
        <w:keepNext/>
        <w:keepLines/>
        <w:jc w:val="center"/>
        <w:rPr>
          <w:sz w:val="16"/>
          <w:szCs w:val="16"/>
        </w:rPr>
      </w:pPr>
      <w:bookmarkStart w:id="695" w:name="bookmark2124"/>
      <w:bookmarkStart w:id="696" w:name="bookmark2125"/>
      <w:bookmarkStart w:id="697" w:name="bookmark2126"/>
      <w:r>
        <w:rPr>
          <w:b w:val="0"/>
          <w:bCs w:val="0"/>
          <w:color w:val="000000"/>
        </w:rPr>
        <w:t xml:space="preserve">Cuadro 4-13. </w:t>
      </w:r>
      <w:r>
        <w:rPr>
          <w:color w:val="000000"/>
        </w:rPr>
        <w:t xml:space="preserve">Fármacos antiparasitarios </w:t>
      </w:r>
      <w:r>
        <w:rPr>
          <w:rFonts w:ascii="Times New Roman" w:eastAsia="Times New Roman" w:hAnsi="Times New Roman" w:cs="Times New Roman"/>
          <w:b w:val="0"/>
          <w:bCs w:val="0"/>
          <w:i/>
          <w:iCs/>
          <w:color w:val="000000"/>
          <w:w w:val="100"/>
          <w:sz w:val="16"/>
          <w:szCs w:val="16"/>
        </w:rPr>
        <w:t>continuación</w:t>
      </w:r>
      <w:bookmarkEnd w:id="695"/>
      <w:bookmarkEnd w:id="696"/>
      <w:bookmarkEnd w:id="697"/>
    </w:p>
    <w:p w14:paraId="72E20F0B" w14:textId="77777777" w:rsidR="00924992" w:rsidRDefault="00924992">
      <w:pPr>
        <w:spacing w:line="1" w:lineRule="exact"/>
        <w:sectPr w:rsidR="00924992" w:rsidSect="00924992">
          <w:headerReference w:type="even" r:id="rId373"/>
          <w:headerReference w:type="default" r:id="rId374"/>
          <w:footerReference w:type="even" r:id="rId375"/>
          <w:footerReference w:type="default" r:id="rId376"/>
          <w:pgSz w:w="13022" w:h="8501" w:orient="landscape"/>
          <w:pgMar w:top="1085" w:right="956" w:bottom="304" w:left="634" w:header="657" w:footer="3" w:gutter="0"/>
          <w:cols w:space="720"/>
          <w:noEndnote/>
          <w:docGrid w:linePitch="360"/>
          <w15:footnoteColumns w:val="1"/>
        </w:sectPr>
      </w:pPr>
      <w:r>
        <w:rPr>
          <w:noProof/>
        </w:rPr>
        <mc:AlternateContent>
          <mc:Choice Requires="wps">
            <w:drawing>
              <wp:anchor distT="0" distB="2540" distL="0" distR="0" simplePos="0" relativeHeight="251736064" behindDoc="0" locked="0" layoutInCell="1" allowOverlap="1" wp14:anchorId="09A0DC9B" wp14:editId="7B3BCB3F">
                <wp:simplePos x="0" y="0"/>
                <wp:positionH relativeFrom="page">
                  <wp:posOffset>420370</wp:posOffset>
                </wp:positionH>
                <wp:positionV relativeFrom="paragraph">
                  <wp:posOffset>0</wp:posOffset>
                </wp:positionV>
                <wp:extent cx="494030" cy="189230"/>
                <wp:effectExtent l="0" t="0" r="0" b="0"/>
                <wp:wrapTopAndBottom/>
                <wp:docPr id="2478" name="Shape 2478"/>
                <wp:cNvGraphicFramePr/>
                <a:graphic xmlns:a="http://schemas.openxmlformats.org/drawingml/2006/main">
                  <a:graphicData uri="http://schemas.microsoft.com/office/word/2010/wordprocessingShape">
                    <wps:wsp>
                      <wps:cNvSpPr txBox="1"/>
                      <wps:spPr>
                        <a:xfrm>
                          <a:off x="0" y="0"/>
                          <a:ext cx="494030" cy="189230"/>
                        </a:xfrm>
                        <a:prstGeom prst="rect">
                          <a:avLst/>
                        </a:prstGeom>
                        <a:noFill/>
                      </wps:spPr>
                      <wps:txbx>
                        <w:txbxContent>
                          <w:p w14:paraId="646CC187" w14:textId="77777777" w:rsidR="00924992" w:rsidRDefault="00924992">
                            <w:pPr>
                              <w:pStyle w:val="Heading41"/>
                              <w:keepNext/>
                              <w:keepLines/>
                              <w:pBdr>
                                <w:top w:val="single" w:sz="0" w:space="0" w:color="000000"/>
                                <w:left w:val="single" w:sz="0" w:space="0" w:color="000000"/>
                                <w:bottom w:val="single" w:sz="0" w:space="0" w:color="000000"/>
                                <w:right w:val="single" w:sz="0" w:space="0" w:color="000000"/>
                              </w:pBdr>
                              <w:shd w:val="clear" w:color="auto" w:fill="000000"/>
                            </w:pPr>
                            <w:bookmarkStart w:id="698" w:name="bookmark2112"/>
                            <w:bookmarkStart w:id="699" w:name="bookmark2113"/>
                            <w:bookmarkStart w:id="700" w:name="bookmark2114"/>
                            <w:r>
                              <w:rPr>
                                <w:color w:val="FFFFFF"/>
                              </w:rPr>
                              <w:t>Infección</w:t>
                            </w:r>
                            <w:bookmarkEnd w:id="698"/>
                            <w:bookmarkEnd w:id="699"/>
                            <w:bookmarkEnd w:id="700"/>
                          </w:p>
                        </w:txbxContent>
                      </wps:txbx>
                      <wps:bodyPr wrap="none" lIns="0" tIns="0" rIns="0" bIns="0"/>
                    </wps:wsp>
                  </a:graphicData>
                </a:graphic>
              </wp:anchor>
            </w:drawing>
          </mc:Choice>
          <mc:Fallback>
            <w:pict>
              <v:shape w14:anchorId="09A0DC9B" id="Shape 2478" o:spid="_x0000_s1118" type="#_x0000_t202" style="position:absolute;margin-left:33.1pt;margin-top:0;width:38.9pt;height:14.9pt;z-index:251736064;visibility:visible;mso-wrap-style:none;mso-wrap-distance-left:0;mso-wrap-distance-top:0;mso-wrap-distance-right:0;mso-wrap-distance-bottom:.2pt;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" filled="f" stroked="f">
                <v:textbox inset="0,0,0,0">
                  <w:txbxContent>
                    <w:p w14:paraId="646CC187" w14:textId="77777777" w:rsidR="00924992" w:rsidRDefault="00924992">
                      <w:pPr>
                        <w:pStyle w:val="Heading41"/>
                        <w:keepNext/>
                        <w:keepLines/>
                        <w:pBdr>
                          <w:top w:val="single" w:sz="0" w:space="0" w:color="000000"/>
                          <w:left w:val="single" w:sz="0" w:space="0" w:color="000000"/>
                          <w:bottom w:val="single" w:sz="0" w:space="0" w:color="000000"/>
                          <w:right w:val="single" w:sz="0" w:space="0" w:color="000000"/>
                        </w:pBdr>
                        <w:shd w:val="clear" w:color="auto" w:fill="000000"/>
                      </w:pPr>
                      <w:bookmarkStart w:id="701" w:name="bookmark2112"/>
                      <w:bookmarkStart w:id="702" w:name="bookmark2113"/>
                      <w:bookmarkStart w:id="703" w:name="bookmark2114"/>
                      <w:r>
                        <w:rPr>
                          <w:color w:val="FFFFFF"/>
                        </w:rPr>
                        <w:t>Infección</w:t>
                      </w:r>
                      <w:bookmarkEnd w:id="701"/>
                      <w:bookmarkEnd w:id="702"/>
                      <w:bookmarkEnd w:id="703"/>
                    </w:p>
                  </w:txbxContent>
                </v:textbox>
                <w10:wrap type="topAndBottom" anchorx="page"/>
              </v:shape>
            </w:pict>
          </mc:Fallback>
        </mc:AlternateContent>
      </w:r>
      <w:r>
        <w:rPr>
          <w:noProof/>
        </w:rPr>
        <mc:AlternateContent>
          <mc:Choice Requires="wps">
            <w:drawing>
              <wp:anchor distT="3175" distB="0" distL="0" distR="0" simplePos="0" relativeHeight="251737088" behindDoc="0" locked="0" layoutInCell="1" allowOverlap="1" wp14:anchorId="3FF11EC8" wp14:editId="2036B1E7">
                <wp:simplePos x="0" y="0"/>
                <wp:positionH relativeFrom="page">
                  <wp:posOffset>2218690</wp:posOffset>
                </wp:positionH>
                <wp:positionV relativeFrom="paragraph">
                  <wp:posOffset>3175</wp:posOffset>
                </wp:positionV>
                <wp:extent cx="475615" cy="189230"/>
                <wp:effectExtent l="0" t="0" r="0" b="0"/>
                <wp:wrapTopAndBottom/>
                <wp:docPr id="2480" name="Shape 2480"/>
                <wp:cNvGraphicFramePr/>
                <a:graphic xmlns:a="http://schemas.openxmlformats.org/drawingml/2006/main">
                  <a:graphicData uri="http://schemas.microsoft.com/office/word/2010/wordprocessingShape">
                    <wps:wsp>
                      <wps:cNvSpPr txBox="1"/>
                      <wps:spPr>
                        <a:xfrm>
                          <a:off x="0" y="0"/>
                          <a:ext cx="475615" cy="189230"/>
                        </a:xfrm>
                        <a:prstGeom prst="rect">
                          <a:avLst/>
                        </a:prstGeom>
                        <a:noFill/>
                      </wps:spPr>
                      <wps:txbx>
                        <w:txbxContent>
                          <w:p w14:paraId="042224B9" w14:textId="77777777" w:rsidR="00924992" w:rsidRDefault="00924992">
                            <w:pPr>
                              <w:pStyle w:val="Heading41"/>
                              <w:keepNext/>
                              <w:keepLines/>
                              <w:pBdr>
                                <w:top w:val="single" w:sz="0" w:space="0" w:color="000000"/>
                                <w:left w:val="single" w:sz="0" w:space="0" w:color="000000"/>
                                <w:bottom w:val="single" w:sz="0" w:space="0" w:color="000000"/>
                                <w:right w:val="single" w:sz="0" w:space="0" w:color="000000"/>
                              </w:pBdr>
                              <w:shd w:val="clear" w:color="auto" w:fill="000000"/>
                            </w:pPr>
                            <w:bookmarkStart w:id="704" w:name="bookmark2115"/>
                            <w:bookmarkStart w:id="705" w:name="bookmark2116"/>
                            <w:bookmarkStart w:id="706" w:name="bookmark2117"/>
                            <w:r>
                              <w:rPr>
                                <w:color w:val="FFFFFF"/>
                              </w:rPr>
                              <w:t>Fármaco</w:t>
                            </w:r>
                            <w:bookmarkEnd w:id="704"/>
                            <w:bookmarkEnd w:id="705"/>
                            <w:bookmarkEnd w:id="706"/>
                          </w:p>
                        </w:txbxContent>
                      </wps:txbx>
                      <wps:bodyPr wrap="none" lIns="0" tIns="0" rIns="0" bIns="0"/>
                    </wps:wsp>
                  </a:graphicData>
                </a:graphic>
              </wp:anchor>
            </w:drawing>
          </mc:Choice>
          <mc:Fallback>
            <w:pict>
              <v:shape w14:anchorId="3FF11EC8" id="Shape 2480" o:spid="_x0000_s1119" type="#_x0000_t202" style="position:absolute;margin-left:174.7pt;margin-top:.25pt;width:37.45pt;height:14.9pt;z-index:251737088;visibility:visible;mso-wrap-style:none;mso-wrap-distance-left:0;mso-wrap-distance-top:.25pt;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" filled="f" stroked="f">
                <v:textbox inset="0,0,0,0">
                  <w:txbxContent>
                    <w:p w14:paraId="042224B9" w14:textId="77777777" w:rsidR="00924992" w:rsidRDefault="00924992">
                      <w:pPr>
                        <w:pStyle w:val="Heading41"/>
                        <w:keepNext/>
                        <w:keepLines/>
                        <w:pBdr>
                          <w:top w:val="single" w:sz="0" w:space="0" w:color="000000"/>
                          <w:left w:val="single" w:sz="0" w:space="0" w:color="000000"/>
                          <w:bottom w:val="single" w:sz="0" w:space="0" w:color="000000"/>
                          <w:right w:val="single" w:sz="0" w:space="0" w:color="000000"/>
                        </w:pBdr>
                        <w:shd w:val="clear" w:color="auto" w:fill="000000"/>
                      </w:pPr>
                      <w:bookmarkStart w:id="707" w:name="bookmark2115"/>
                      <w:bookmarkStart w:id="708" w:name="bookmark2116"/>
                      <w:bookmarkStart w:id="709" w:name="bookmark2117"/>
                      <w:r>
                        <w:rPr>
                          <w:color w:val="FFFFFF"/>
                        </w:rPr>
                        <w:t>Fármaco</w:t>
                      </w:r>
                      <w:bookmarkEnd w:id="707"/>
                      <w:bookmarkEnd w:id="708"/>
                      <w:bookmarkEnd w:id="709"/>
                    </w:p>
                  </w:txbxContent>
                </v:textbox>
                <w10:wrap type="topAndBottom" anchorx="page"/>
              </v:shape>
            </w:pict>
          </mc:Fallback>
        </mc:AlternateContent>
      </w:r>
      <w:r>
        <w:rPr>
          <w:noProof/>
        </w:rPr>
        <mc:AlternateContent>
          <mc:Choice Requires="wps">
            <w:drawing>
              <wp:anchor distT="3175" distB="0" distL="0" distR="0" simplePos="0" relativeHeight="251738112" behindDoc="0" locked="0" layoutInCell="1" allowOverlap="1" wp14:anchorId="6D53BD30" wp14:editId="408DC536">
                <wp:simplePos x="0" y="0"/>
                <wp:positionH relativeFrom="page">
                  <wp:posOffset>4020185</wp:posOffset>
                </wp:positionH>
                <wp:positionV relativeFrom="paragraph">
                  <wp:posOffset>3175</wp:posOffset>
                </wp:positionV>
                <wp:extent cx="993775" cy="189230"/>
                <wp:effectExtent l="0" t="0" r="0" b="0"/>
                <wp:wrapTopAndBottom/>
                <wp:docPr id="2482" name="Shape 2482"/>
                <wp:cNvGraphicFramePr/>
                <a:graphic xmlns:a="http://schemas.openxmlformats.org/drawingml/2006/main">
                  <a:graphicData uri="http://schemas.microsoft.com/office/word/2010/wordprocessingShape">
                    <wps:wsp>
                      <wps:cNvSpPr txBox="1"/>
                      <wps:spPr>
                        <a:xfrm>
                          <a:off x="0" y="0"/>
                          <a:ext cx="993775" cy="189230"/>
                        </a:xfrm>
                        <a:prstGeom prst="rect">
                          <a:avLst/>
                        </a:prstGeom>
                        <a:noFill/>
                      </wps:spPr>
                      <wps:txbx>
                        <w:txbxContent>
                          <w:p w14:paraId="484C0ABB" w14:textId="77777777" w:rsidR="00924992" w:rsidRDefault="00924992">
                            <w:pPr>
                              <w:pStyle w:val="Heading41"/>
                              <w:keepNext/>
                              <w:keepLines/>
                              <w:pBdr>
                                <w:top w:val="single" w:sz="0" w:space="0" w:color="000000"/>
                                <w:left w:val="single" w:sz="0" w:space="0" w:color="000000"/>
                                <w:bottom w:val="single" w:sz="0" w:space="0" w:color="000000"/>
                                <w:right w:val="single" w:sz="0" w:space="0" w:color="000000"/>
                              </w:pBdr>
                              <w:shd w:val="clear" w:color="auto" w:fill="000000"/>
                              <w:jc w:val="center"/>
                            </w:pPr>
                            <w:bookmarkStart w:id="710" w:name="bookmark2118"/>
                            <w:bookmarkStart w:id="711" w:name="bookmark2119"/>
                            <w:bookmarkStart w:id="712" w:name="bookmark2120"/>
                            <w:r>
                              <w:rPr>
                                <w:color w:val="FFFFFF"/>
                              </w:rPr>
                              <w:t>Dosis para adultos</w:t>
                            </w:r>
                            <w:bookmarkEnd w:id="710"/>
                            <w:bookmarkEnd w:id="711"/>
                            <w:bookmarkEnd w:id="712"/>
                          </w:p>
                        </w:txbxContent>
                      </wps:txbx>
                      <wps:bodyPr wrap="none" lIns="0" tIns="0" rIns="0" bIns="0"/>
                    </wps:wsp>
                  </a:graphicData>
                </a:graphic>
              </wp:anchor>
            </w:drawing>
          </mc:Choice>
          <mc:Fallback>
            <w:pict>
              <v:shape w14:anchorId="6D53BD30" id="Shape 2482" o:spid="_x0000_s1120" type="#_x0000_t202" style="position:absolute;margin-left:316.55pt;margin-top:.25pt;width:78.25pt;height:14.9pt;z-index:251738112;visibility:visible;mso-wrap-style:none;mso-wrap-distance-left:0;mso-wrap-distance-top:.25pt;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" filled="f" stroked="f">
                <v:textbox inset="0,0,0,0">
                  <w:txbxContent>
                    <w:p w14:paraId="484C0ABB" w14:textId="77777777" w:rsidR="00924992" w:rsidRDefault="00924992">
                      <w:pPr>
                        <w:pStyle w:val="Heading41"/>
                        <w:keepNext/>
                        <w:keepLines/>
                        <w:pBdr>
                          <w:top w:val="single" w:sz="0" w:space="0" w:color="000000"/>
                          <w:left w:val="single" w:sz="0" w:space="0" w:color="000000"/>
                          <w:bottom w:val="single" w:sz="0" w:space="0" w:color="000000"/>
                          <w:right w:val="single" w:sz="0" w:space="0" w:color="000000"/>
                        </w:pBdr>
                        <w:shd w:val="clear" w:color="auto" w:fill="000000"/>
                        <w:jc w:val="center"/>
                      </w:pPr>
                      <w:bookmarkStart w:id="713" w:name="bookmark2118"/>
                      <w:bookmarkStart w:id="714" w:name="bookmark2119"/>
                      <w:bookmarkStart w:id="715" w:name="bookmark2120"/>
                      <w:r>
                        <w:rPr>
                          <w:color w:val="FFFFFF"/>
                        </w:rPr>
                        <w:t>Dosis para adultos</w:t>
                      </w:r>
                      <w:bookmarkEnd w:id="713"/>
                      <w:bookmarkEnd w:id="714"/>
                      <w:bookmarkEnd w:id="715"/>
                    </w:p>
                  </w:txbxContent>
                </v:textbox>
                <w10:wrap type="topAndBottom" anchorx="page"/>
              </v:shape>
            </w:pict>
          </mc:Fallback>
        </mc:AlternateContent>
      </w:r>
      <w:r>
        <w:rPr>
          <w:noProof/>
        </w:rPr>
        <mc:AlternateContent>
          <mc:Choice Requires="wps">
            <w:drawing>
              <wp:anchor distT="3175" distB="0" distL="0" distR="0" simplePos="0" relativeHeight="251739136" behindDoc="0" locked="0" layoutInCell="1" allowOverlap="1" wp14:anchorId="19D37C51" wp14:editId="6154DEC7">
                <wp:simplePos x="0" y="0"/>
                <wp:positionH relativeFrom="page">
                  <wp:posOffset>5818505</wp:posOffset>
                </wp:positionH>
                <wp:positionV relativeFrom="paragraph">
                  <wp:posOffset>3175</wp:posOffset>
                </wp:positionV>
                <wp:extent cx="895985" cy="189230"/>
                <wp:effectExtent l="0" t="0" r="0" b="0"/>
                <wp:wrapTopAndBottom/>
                <wp:docPr id="2484" name="Shape 2484"/>
                <wp:cNvGraphicFramePr/>
                <a:graphic xmlns:a="http://schemas.openxmlformats.org/drawingml/2006/main">
                  <a:graphicData uri="http://schemas.microsoft.com/office/word/2010/wordprocessingShape">
                    <wps:wsp>
                      <wps:cNvSpPr txBox="1"/>
                      <wps:spPr>
                        <a:xfrm>
                          <a:off x="0" y="0"/>
                          <a:ext cx="895985" cy="189230"/>
                        </a:xfrm>
                        <a:prstGeom prst="rect">
                          <a:avLst/>
                        </a:prstGeom>
                        <a:noFill/>
                      </wps:spPr>
                      <wps:txbx>
                        <w:txbxContent>
                          <w:p w14:paraId="64A9B7D4" w14:textId="77777777" w:rsidR="00924992" w:rsidRDefault="00924992">
                            <w:pPr>
                              <w:pStyle w:val="Heading41"/>
                              <w:keepNext/>
                              <w:keepLines/>
                              <w:pBdr>
                                <w:top w:val="single" w:sz="0" w:space="0" w:color="000000"/>
                                <w:left w:val="single" w:sz="0" w:space="0" w:color="000000"/>
                                <w:bottom w:val="single" w:sz="0" w:space="0" w:color="000000"/>
                                <w:right w:val="single" w:sz="0" w:space="0" w:color="000000"/>
                              </w:pBdr>
                              <w:shd w:val="clear" w:color="auto" w:fill="000000"/>
                              <w:jc w:val="center"/>
                            </w:pPr>
                            <w:bookmarkStart w:id="716" w:name="bookmark2121"/>
                            <w:bookmarkStart w:id="717" w:name="bookmark2122"/>
                            <w:bookmarkStart w:id="718" w:name="bookmark2123"/>
                            <w:r>
                              <w:rPr>
                                <w:color w:val="FFFFFF"/>
                              </w:rPr>
                              <w:t>Dosis para niños</w:t>
                            </w:r>
                            <w:bookmarkEnd w:id="716"/>
                            <w:bookmarkEnd w:id="717"/>
                            <w:bookmarkEnd w:id="718"/>
                          </w:p>
                        </w:txbxContent>
                      </wps:txbx>
                      <wps:bodyPr wrap="none" lIns="0" tIns="0" rIns="0" bIns="0"/>
                    </wps:wsp>
                  </a:graphicData>
                </a:graphic>
              </wp:anchor>
            </w:drawing>
          </mc:Choice>
          <mc:Fallback>
            <w:pict>
              <v:shape w14:anchorId="19D37C51" id="Shape 2484" o:spid="_x0000_s1121" type="#_x0000_t202" style="position:absolute;margin-left:458.15pt;margin-top:.25pt;width:70.55pt;height:14.9pt;z-index:251739136;visibility:visible;mso-wrap-style:none;mso-wrap-distance-left:0;mso-wrap-distance-top:.25pt;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" filled="f" stroked="f">
                <v:textbox inset="0,0,0,0">
                  <w:txbxContent>
                    <w:p w14:paraId="64A9B7D4" w14:textId="77777777" w:rsidR="00924992" w:rsidRDefault="00924992">
                      <w:pPr>
                        <w:pStyle w:val="Heading41"/>
                        <w:keepNext/>
                        <w:keepLines/>
                        <w:pBdr>
                          <w:top w:val="single" w:sz="0" w:space="0" w:color="000000"/>
                          <w:left w:val="single" w:sz="0" w:space="0" w:color="000000"/>
                          <w:bottom w:val="single" w:sz="0" w:space="0" w:color="000000"/>
                          <w:right w:val="single" w:sz="0" w:space="0" w:color="000000"/>
                        </w:pBdr>
                        <w:shd w:val="clear" w:color="auto" w:fill="000000"/>
                        <w:jc w:val="center"/>
                      </w:pPr>
                      <w:bookmarkStart w:id="719" w:name="bookmark2121"/>
                      <w:bookmarkStart w:id="720" w:name="bookmark2122"/>
                      <w:bookmarkStart w:id="721" w:name="bookmark2123"/>
                      <w:r>
                        <w:rPr>
                          <w:color w:val="FFFFFF"/>
                        </w:rPr>
                        <w:t>Dosis para niños</w:t>
                      </w:r>
                      <w:bookmarkEnd w:id="719"/>
                      <w:bookmarkEnd w:id="720"/>
                      <w:bookmarkEnd w:id="721"/>
                    </w:p>
                  </w:txbxContent>
                </v:textbox>
                <w10:wrap type="topAndBottom" anchorx="page"/>
              </v:shape>
            </w:pict>
          </mc:Fallback>
        </mc:AlternateContent>
      </w:r>
    </w:p>
    <w:p w14:paraId="65680EDB" w14:textId="77777777" w:rsidR="00924992" w:rsidRDefault="00924992">
      <w:pPr>
        <w:pStyle w:val="Bodytext20"/>
        <w:pBdr>
          <w:bottom w:val="single" w:sz="4" w:space="0" w:color="auto"/>
        </w:pBdr>
        <w:spacing w:after="200" w:line="240" w:lineRule="auto"/>
      </w:pPr>
      <w:r>
        <w:rPr>
          <w:b/>
          <w:bCs/>
          <w:i/>
          <w:iCs/>
          <w:color w:val="000000"/>
          <w:sz w:val="17"/>
          <w:szCs w:val="17"/>
        </w:rPr>
        <w:t>Wuchereria bancrofti,</w:t>
      </w:r>
      <w:r>
        <w:rPr>
          <w:color w:val="000000"/>
        </w:rPr>
        <w:t xml:space="preserve"> véase “FILARIASIS”</w:t>
      </w:r>
    </w:p>
    <w:p w14:paraId="640EDD1F" w14:textId="77777777" w:rsidR="00924992" w:rsidRDefault="00924992">
      <w:pPr>
        <w:pStyle w:val="Bodytext20"/>
        <w:numPr>
          <w:ilvl w:val="0"/>
          <w:numId w:val="143"/>
        </w:numPr>
        <w:tabs>
          <w:tab w:val="left" w:pos="449"/>
        </w:tabs>
        <w:spacing w:line="240" w:lineRule="auto"/>
        <w:ind w:left="500" w:hanging="500"/>
        <w:rPr>
          <w:sz w:val="15"/>
          <w:szCs w:val="15"/>
        </w:rPr>
      </w:pPr>
      <w:bookmarkStart w:id="722" w:name="bookmark2132"/>
      <w:bookmarkEnd w:id="722"/>
      <w:r>
        <w:rPr>
          <w:color w:val="000000"/>
          <w:sz w:val="15"/>
          <w:szCs w:val="15"/>
        </w:rPr>
        <w:t>Para uso profiláctico en el embarazo. Si se confirma que la transmisión se produjo in utero, hay que comenzar la administración de pirimetamina y sulfadiazina. La primera es un teratógeno potencial y se la utilizará sólo después del primer trimestre.</w:t>
      </w:r>
    </w:p>
    <w:p w14:paraId="2945C7E1" w14:textId="77777777" w:rsidR="00924992" w:rsidRDefault="00924992">
      <w:pPr>
        <w:pStyle w:val="Bodytext20"/>
        <w:numPr>
          <w:ilvl w:val="0"/>
          <w:numId w:val="143"/>
        </w:numPr>
        <w:tabs>
          <w:tab w:val="left" w:pos="449"/>
        </w:tabs>
        <w:spacing w:line="240" w:lineRule="auto"/>
        <w:ind w:left="500" w:hanging="500"/>
        <w:rPr>
          <w:sz w:val="15"/>
          <w:szCs w:val="15"/>
        </w:rPr>
      </w:pPr>
      <w:bookmarkStart w:id="723" w:name="bookmark2133"/>
      <w:bookmarkEnd w:id="723"/>
      <w:r>
        <w:rPr>
          <w:color w:val="000000"/>
          <w:sz w:val="15"/>
          <w:szCs w:val="15"/>
        </w:rPr>
        <w:t xml:space="preserve">Los compañeros sexuales deben ser tratados simultáneamente. Se han señalado cepas resistentes a metronidazol y en ellas habrá que utilizar dicho fármaco a razón de 2-4 g/día x 7-14 días. Se ha recomendado la desensibilización en personas alérgicas al metronidazol (MD Pearlman et al, </w:t>
      </w:r>
      <w:r>
        <w:rPr>
          <w:i/>
          <w:iCs/>
          <w:color w:val="000000"/>
          <w:sz w:val="15"/>
          <w:szCs w:val="15"/>
        </w:rPr>
        <w:t>Am J Obstet Gynecol</w:t>
      </w:r>
      <w:r>
        <w:rPr>
          <w:color w:val="000000"/>
          <w:sz w:val="15"/>
          <w:szCs w:val="15"/>
        </w:rPr>
        <w:t xml:space="preserve"> 1996; 174:934). También se ha utilizado el tinidazol en altas dosis para tratar la tricomoniasis resistente a metronidazol (JD Sobel et al, </w:t>
      </w:r>
      <w:r>
        <w:rPr>
          <w:i/>
          <w:iCs/>
          <w:color w:val="000000"/>
          <w:sz w:val="15"/>
          <w:szCs w:val="15"/>
        </w:rPr>
        <w:t>Clin Infect Dis</w:t>
      </w:r>
      <w:r>
        <w:rPr>
          <w:color w:val="000000"/>
          <w:sz w:val="15"/>
          <w:szCs w:val="15"/>
        </w:rPr>
        <w:t xml:space="preserve"> 2001; 33:1341).</w:t>
      </w:r>
    </w:p>
    <w:p w14:paraId="7511BF81" w14:textId="77777777" w:rsidR="00924992" w:rsidRDefault="00924992">
      <w:pPr>
        <w:pStyle w:val="Bodytext20"/>
        <w:numPr>
          <w:ilvl w:val="0"/>
          <w:numId w:val="143"/>
        </w:numPr>
        <w:tabs>
          <w:tab w:val="left" w:pos="449"/>
          <w:tab w:val="left" w:pos="8794"/>
          <w:tab w:val="center" w:pos="8977"/>
          <w:tab w:val="left" w:pos="9745"/>
        </w:tabs>
        <w:spacing w:line="240" w:lineRule="auto"/>
        <w:rPr>
          <w:sz w:val="15"/>
          <w:szCs w:val="15"/>
        </w:rPr>
      </w:pPr>
      <w:bookmarkStart w:id="724" w:name="bookmark2134"/>
      <w:bookmarkEnd w:id="724"/>
      <w:r>
        <w:rPr>
          <w:color w:val="000000"/>
          <w:sz w:val="15"/>
          <w:szCs w:val="15"/>
        </w:rPr>
        <w:t>Se puede obtener en los CDC. La adición de interferón gamma durante 20 días al nifurtimox en un número pequeño de pacientes y</w:t>
      </w:r>
      <w:r>
        <w:rPr>
          <w:color w:val="000000"/>
          <w:sz w:val="15"/>
          <w:szCs w:val="15"/>
        </w:rPr>
        <w:tab/>
        <w:t>en</w:t>
      </w:r>
      <w:r>
        <w:rPr>
          <w:color w:val="000000"/>
          <w:sz w:val="15"/>
          <w:szCs w:val="15"/>
        </w:rPr>
        <w:tab/>
        <w:t>animales de</w:t>
      </w:r>
      <w:r>
        <w:rPr>
          <w:color w:val="000000"/>
          <w:sz w:val="15"/>
          <w:szCs w:val="15"/>
        </w:rPr>
        <w:tab/>
        <w:t>experimentación, al</w:t>
      </w:r>
    </w:p>
    <w:p w14:paraId="44EC9D9E" w14:textId="77777777" w:rsidR="00924992" w:rsidRDefault="00924992">
      <w:pPr>
        <w:pStyle w:val="Bodytext20"/>
        <w:spacing w:line="240" w:lineRule="auto"/>
        <w:ind w:firstLine="500"/>
        <w:jc w:val="both"/>
        <w:rPr>
          <w:sz w:val="15"/>
          <w:szCs w:val="15"/>
        </w:rPr>
      </w:pPr>
      <w:r>
        <w:rPr>
          <w:color w:val="000000"/>
          <w:sz w:val="15"/>
          <w:szCs w:val="15"/>
        </w:rPr>
        <w:t xml:space="preserve">parecer acortó la fase aguda de la enfermedad de Chagas (RE McCabe et al, </w:t>
      </w:r>
      <w:r>
        <w:rPr>
          <w:i/>
          <w:iCs/>
          <w:color w:val="000000"/>
          <w:sz w:val="15"/>
          <w:szCs w:val="15"/>
        </w:rPr>
        <w:t>J Infect Dis</w:t>
      </w:r>
      <w:r>
        <w:rPr>
          <w:color w:val="000000"/>
          <w:sz w:val="15"/>
          <w:szCs w:val="15"/>
        </w:rPr>
        <w:t xml:space="preserve"> 1991; 163:912).</w:t>
      </w:r>
    </w:p>
    <w:p w14:paraId="446783A6" w14:textId="77777777" w:rsidR="00924992" w:rsidRDefault="00924992">
      <w:pPr>
        <w:pStyle w:val="Bodytext20"/>
        <w:numPr>
          <w:ilvl w:val="0"/>
          <w:numId w:val="143"/>
        </w:numPr>
        <w:tabs>
          <w:tab w:val="left" w:pos="449"/>
        </w:tabs>
        <w:spacing w:line="240" w:lineRule="auto"/>
        <w:jc w:val="both"/>
        <w:rPr>
          <w:sz w:val="15"/>
          <w:szCs w:val="15"/>
        </w:rPr>
      </w:pPr>
      <w:bookmarkStart w:id="725" w:name="bookmark2135"/>
      <w:bookmarkEnd w:id="725"/>
      <w:r>
        <w:rPr>
          <w:color w:val="000000"/>
          <w:sz w:val="15"/>
          <w:szCs w:val="15"/>
        </w:rPr>
        <w:t xml:space="preserve">Para tratar la infección por </w:t>
      </w:r>
      <w:r>
        <w:rPr>
          <w:i/>
          <w:iCs/>
          <w:color w:val="000000"/>
          <w:sz w:val="15"/>
          <w:szCs w:val="15"/>
        </w:rPr>
        <w:t>T. b. gambiense</w:t>
      </w:r>
      <w:r>
        <w:rPr>
          <w:color w:val="000000"/>
          <w:sz w:val="15"/>
          <w:szCs w:val="15"/>
        </w:rPr>
        <w:t>, la pentamidina y la suramina tienen igual eficacia, pero la primera es mejor tolerada.</w:t>
      </w:r>
    </w:p>
    <w:p w14:paraId="52325B8F" w14:textId="77777777" w:rsidR="00924992" w:rsidRDefault="00924992">
      <w:pPr>
        <w:pStyle w:val="Bodytext20"/>
        <w:numPr>
          <w:ilvl w:val="0"/>
          <w:numId w:val="143"/>
        </w:numPr>
        <w:tabs>
          <w:tab w:val="left" w:pos="449"/>
          <w:tab w:val="left" w:pos="8809"/>
          <w:tab w:val="left" w:pos="8910"/>
          <w:tab w:val="center" w:pos="9082"/>
          <w:tab w:val="right" w:pos="9624"/>
          <w:tab w:val="left" w:pos="9769"/>
          <w:tab w:val="center" w:pos="10210"/>
          <w:tab w:val="center" w:pos="10464"/>
          <w:tab w:val="right" w:pos="11179"/>
        </w:tabs>
        <w:spacing w:line="240" w:lineRule="auto"/>
        <w:rPr>
          <w:sz w:val="15"/>
          <w:szCs w:val="15"/>
        </w:rPr>
      </w:pPr>
      <w:bookmarkStart w:id="726" w:name="bookmark2136"/>
      <w:bookmarkEnd w:id="726"/>
      <w:r>
        <w:rPr>
          <w:color w:val="000000"/>
          <w:sz w:val="15"/>
          <w:szCs w:val="15"/>
        </w:rPr>
        <w:t xml:space="preserve">La eflornitina es muy eficaz contra T b. gambiense pero su eficacia es variable en infecciones por </w:t>
      </w:r>
      <w:r>
        <w:rPr>
          <w:i/>
          <w:iCs/>
          <w:color w:val="000000"/>
          <w:sz w:val="15"/>
          <w:szCs w:val="15"/>
        </w:rPr>
        <w:t>T b. rhodesiense.</w:t>
      </w:r>
      <w:r>
        <w:rPr>
          <w:color w:val="000000"/>
          <w:sz w:val="15"/>
          <w:szCs w:val="15"/>
        </w:rPr>
        <w:t xml:space="preserve"> Su abasto es escaso</w:t>
      </w:r>
      <w:r>
        <w:rPr>
          <w:color w:val="000000"/>
          <w:sz w:val="15"/>
          <w:szCs w:val="15"/>
        </w:rPr>
        <w:tab/>
        <w:t>y</w:t>
      </w:r>
      <w:r>
        <w:rPr>
          <w:color w:val="000000"/>
          <w:sz w:val="15"/>
          <w:szCs w:val="15"/>
        </w:rPr>
        <w:tab/>
        <w:t>se</w:t>
      </w:r>
      <w:r>
        <w:rPr>
          <w:color w:val="000000"/>
          <w:sz w:val="15"/>
          <w:szCs w:val="15"/>
        </w:rPr>
        <w:tab/>
        <w:t>le</w:t>
      </w:r>
      <w:r>
        <w:rPr>
          <w:color w:val="000000"/>
          <w:sz w:val="15"/>
          <w:szCs w:val="15"/>
        </w:rPr>
        <w:tab/>
        <w:t>obtiene</w:t>
      </w:r>
      <w:r>
        <w:rPr>
          <w:color w:val="000000"/>
          <w:sz w:val="15"/>
          <w:szCs w:val="15"/>
        </w:rPr>
        <w:tab/>
        <w:t>sólo en</w:t>
      </w:r>
      <w:r>
        <w:rPr>
          <w:color w:val="000000"/>
          <w:sz w:val="15"/>
          <w:szCs w:val="15"/>
        </w:rPr>
        <w:tab/>
        <w:t>la</w:t>
      </w:r>
      <w:r>
        <w:rPr>
          <w:color w:val="000000"/>
          <w:sz w:val="15"/>
          <w:szCs w:val="15"/>
        </w:rPr>
        <w:tab/>
        <w:t>OMS;</w:t>
      </w:r>
      <w:r>
        <w:rPr>
          <w:color w:val="000000"/>
          <w:sz w:val="15"/>
          <w:szCs w:val="15"/>
        </w:rPr>
        <w:tab/>
        <w:t>su dosis</w:t>
      </w:r>
    </w:p>
    <w:p w14:paraId="70EF5822" w14:textId="77777777" w:rsidR="00924992" w:rsidRDefault="00924992">
      <w:pPr>
        <w:pStyle w:val="Bodytext20"/>
        <w:spacing w:line="240" w:lineRule="auto"/>
        <w:ind w:firstLine="500"/>
        <w:rPr>
          <w:sz w:val="15"/>
          <w:szCs w:val="15"/>
        </w:rPr>
      </w:pPr>
      <w:r>
        <w:rPr>
          <w:color w:val="000000"/>
          <w:sz w:val="15"/>
          <w:szCs w:val="15"/>
        </w:rPr>
        <w:t>es de 400 mg/kg/día IV en cuatro fracciones durante 14 días.</w:t>
      </w:r>
    </w:p>
    <w:p w14:paraId="291512BA" w14:textId="77777777" w:rsidR="00924992" w:rsidRDefault="00924992">
      <w:pPr>
        <w:pStyle w:val="Bodytext20"/>
        <w:numPr>
          <w:ilvl w:val="0"/>
          <w:numId w:val="143"/>
        </w:numPr>
        <w:tabs>
          <w:tab w:val="left" w:pos="449"/>
        </w:tabs>
        <w:spacing w:line="240" w:lineRule="auto"/>
        <w:ind w:left="500" w:hanging="500"/>
        <w:rPr>
          <w:sz w:val="15"/>
          <w:szCs w:val="15"/>
        </w:rPr>
      </w:pPr>
      <w:bookmarkStart w:id="727" w:name="bookmark2137"/>
      <w:bookmarkEnd w:id="727"/>
      <w:r>
        <w:rPr>
          <w:color w:val="000000"/>
          <w:sz w:val="15"/>
          <w:szCs w:val="15"/>
        </w:rPr>
        <w:t xml:space="preserve">En pacientes debilitados, comenzar con 18 mg solamente y aumentar poco a poco la dosis. Se ha recomendado un tratamiento previo con suramina en los pacientes debilitados. También se han usado los corticosteroides para evitar la encefalopatía por arsenicales (J Pepin et al, </w:t>
      </w:r>
      <w:r>
        <w:rPr>
          <w:i/>
          <w:iCs/>
          <w:color w:val="000000"/>
          <w:sz w:val="15"/>
          <w:szCs w:val="15"/>
        </w:rPr>
        <w:t>Trans R Soc Trop MedHyg</w:t>
      </w:r>
      <w:r>
        <w:rPr>
          <w:color w:val="000000"/>
          <w:sz w:val="15"/>
          <w:szCs w:val="15"/>
        </w:rPr>
        <w:t xml:space="preserve"> 1995; 89:92). Incluso 20% de individuos con infección por </w:t>
      </w:r>
      <w:r>
        <w:rPr>
          <w:i/>
          <w:iCs/>
          <w:color w:val="000000"/>
          <w:sz w:val="15"/>
          <w:szCs w:val="15"/>
        </w:rPr>
        <w:t>Tgambiense</w:t>
      </w:r>
      <w:r>
        <w:rPr>
          <w:color w:val="000000"/>
          <w:sz w:val="15"/>
          <w:szCs w:val="15"/>
        </w:rPr>
        <w:t xml:space="preserve"> no mejoran con el melarsoprol (MP Barrett, </w:t>
      </w:r>
      <w:r>
        <w:rPr>
          <w:i/>
          <w:iCs/>
          <w:color w:val="000000"/>
          <w:sz w:val="15"/>
          <w:szCs w:val="15"/>
        </w:rPr>
        <w:t>Lancet</w:t>
      </w:r>
      <w:r>
        <w:rPr>
          <w:color w:val="000000"/>
          <w:sz w:val="15"/>
          <w:szCs w:val="15"/>
        </w:rPr>
        <w:t xml:space="preserve"> 1999; 353:1113). Con un ciclo breve que consiste en 10 inyecciones de 2.2 mg/kg al día se obtienen resultados similares al plan corriente de 26 días (C Burri et al, </w:t>
      </w:r>
      <w:r>
        <w:rPr>
          <w:i/>
          <w:iCs/>
          <w:color w:val="000000"/>
          <w:sz w:val="15"/>
          <w:szCs w:val="15"/>
        </w:rPr>
        <w:t>Lancet</w:t>
      </w:r>
      <w:r>
        <w:rPr>
          <w:color w:val="000000"/>
          <w:sz w:val="15"/>
          <w:szCs w:val="15"/>
        </w:rPr>
        <w:t xml:space="preserve"> 2000; 355:1419).</w:t>
      </w:r>
    </w:p>
    <w:p w14:paraId="287C4582" w14:textId="77777777" w:rsidR="00924992" w:rsidRDefault="00924992">
      <w:pPr>
        <w:pStyle w:val="Bodytext20"/>
        <w:numPr>
          <w:ilvl w:val="0"/>
          <w:numId w:val="143"/>
        </w:numPr>
        <w:tabs>
          <w:tab w:val="left" w:pos="449"/>
        </w:tabs>
        <w:spacing w:line="240" w:lineRule="auto"/>
        <w:ind w:left="500" w:hanging="500"/>
        <w:rPr>
          <w:sz w:val="15"/>
          <w:szCs w:val="15"/>
        </w:rPr>
      </w:pPr>
      <w:bookmarkStart w:id="728" w:name="bookmark2138"/>
      <w:bookmarkEnd w:id="728"/>
      <w:r>
        <w:rPr>
          <w:color w:val="000000"/>
          <w:sz w:val="15"/>
          <w:szCs w:val="15"/>
        </w:rPr>
        <w:t xml:space="preserve">Los pacientes se pueden beneficiar de la extirpación quirúrgica de los quistes o necesitar de ella. El praziquantel es útil en el preoperatorio o en casos de dispersión de líquido durante la operación. Para tratar la enfermedad por quiste hidatídico de hígado ha sido eficaz el drenaje percutáneo con orientación de ultrasonido y además administración de albendazol (MS Khuroo et al, </w:t>
      </w:r>
      <w:r>
        <w:rPr>
          <w:i/>
          <w:iCs/>
          <w:color w:val="000000"/>
          <w:sz w:val="15"/>
          <w:szCs w:val="15"/>
        </w:rPr>
        <w:t>N Engl J Med</w:t>
      </w:r>
      <w:r>
        <w:rPr>
          <w:color w:val="000000"/>
          <w:sz w:val="15"/>
          <w:szCs w:val="15"/>
        </w:rPr>
        <w:t xml:space="preserve"> 1997; 337:881; O Akhan and M Ozman, </w:t>
      </w:r>
      <w:r>
        <w:rPr>
          <w:i/>
          <w:iCs/>
          <w:color w:val="000000"/>
          <w:sz w:val="15"/>
          <w:szCs w:val="15"/>
        </w:rPr>
        <w:t>Eur J Radiol</w:t>
      </w:r>
      <w:r>
        <w:rPr>
          <w:color w:val="000000"/>
          <w:sz w:val="15"/>
          <w:szCs w:val="15"/>
        </w:rPr>
        <w:t xml:space="preserve"> 1999; 32:76).</w:t>
      </w:r>
    </w:p>
    <w:p w14:paraId="42836132" w14:textId="77777777" w:rsidR="00924992" w:rsidRDefault="00924992">
      <w:pPr>
        <w:pStyle w:val="Bodytext20"/>
        <w:numPr>
          <w:ilvl w:val="0"/>
          <w:numId w:val="143"/>
        </w:numPr>
        <w:tabs>
          <w:tab w:val="left" w:pos="449"/>
        </w:tabs>
        <w:spacing w:line="240" w:lineRule="auto"/>
        <w:ind w:left="500" w:hanging="500"/>
        <w:rPr>
          <w:sz w:val="15"/>
          <w:szCs w:val="15"/>
        </w:rPr>
      </w:pPr>
      <w:bookmarkStart w:id="729" w:name="bookmark2139"/>
      <w:bookmarkEnd w:id="729"/>
      <w:r>
        <w:rPr>
          <w:color w:val="000000"/>
          <w:sz w:val="15"/>
          <w:szCs w:val="15"/>
        </w:rPr>
        <w:t>La extirpación quirúrgica o la técnica PAIR (punción, aspiración, inyección y nueva aspiración [</w:t>
      </w:r>
      <w:r>
        <w:rPr>
          <w:i/>
          <w:iCs/>
          <w:color w:val="000000"/>
          <w:sz w:val="15"/>
          <w:szCs w:val="15"/>
        </w:rPr>
        <w:t>re-aspirate</w:t>
      </w:r>
      <w:r>
        <w:rPr>
          <w:color w:val="000000"/>
          <w:sz w:val="15"/>
          <w:szCs w:val="15"/>
        </w:rPr>
        <w:t xml:space="preserve">]) es el único procedimiento fiable de cura. Los señalamientos han sugerido que en casos no extirpables el empleo de albendazol o mebendazol puede estabilizar el cuadro y a veces curar la infección (W Hao et al, </w:t>
      </w:r>
      <w:r>
        <w:rPr>
          <w:i/>
          <w:iCs/>
          <w:color w:val="000000"/>
          <w:sz w:val="15"/>
          <w:szCs w:val="15"/>
        </w:rPr>
        <w:t xml:space="preserve">Trans R Soc Trop Med Hyg </w:t>
      </w:r>
      <w:r>
        <w:rPr>
          <w:color w:val="000000"/>
          <w:sz w:val="15"/>
          <w:szCs w:val="15"/>
        </w:rPr>
        <w:t>1994; 88:340; WHO Group, Bull WHO 1996; 74:231).</w:t>
      </w:r>
    </w:p>
    <w:p w14:paraId="45349441" w14:textId="77777777" w:rsidR="00924992" w:rsidRDefault="00924992">
      <w:pPr>
        <w:pStyle w:val="Bodytext20"/>
        <w:numPr>
          <w:ilvl w:val="0"/>
          <w:numId w:val="143"/>
        </w:numPr>
        <w:tabs>
          <w:tab w:val="left" w:pos="449"/>
        </w:tabs>
        <w:spacing w:line="240" w:lineRule="auto"/>
        <w:ind w:left="500" w:hanging="500"/>
        <w:rPr>
          <w:sz w:val="15"/>
          <w:szCs w:val="15"/>
        </w:rPr>
      </w:pPr>
      <w:bookmarkStart w:id="730" w:name="bookmark2140"/>
      <w:bookmarkEnd w:id="730"/>
      <w:r>
        <w:rPr>
          <w:color w:val="000000"/>
          <w:sz w:val="15"/>
          <w:szCs w:val="15"/>
        </w:rPr>
        <w:t xml:space="preserve">Las medidas iniciales contra la enfermedad del parénquima y convulsiones debe orientarse al tratamiento sintomático con anticonvulsivos. El tratamiento de la enfermedad del parénquima con albendazol y praziquantel es motivo de controversia y los datos de investigaciones con asignación aleatoria no han sido concluyentes. La hidrocefalia obstructiva se trata mediante la eliminación quirúrgica del quiste obstructivo o “desviación” de líquido cefalorraquídeo. Junto con la operación se puede administrar 40 mg de prednisona al día. La aracnoiditis, la vasculitis o el edema cerebral se tratan con 60 mg diarios de prednisona o 4-16 mg de dexametasona/día en combinación con albendazol o praziquantel (AC White, Jr, </w:t>
      </w:r>
      <w:r>
        <w:rPr>
          <w:i/>
          <w:iCs/>
          <w:color w:val="000000"/>
          <w:sz w:val="15"/>
          <w:szCs w:val="15"/>
        </w:rPr>
        <w:t>Annu Rev Med</w:t>
      </w:r>
      <w:r>
        <w:rPr>
          <w:color w:val="000000"/>
          <w:sz w:val="15"/>
          <w:szCs w:val="15"/>
        </w:rPr>
        <w:t xml:space="preserve"> 2000; 51:187). Los niños con quistes subaracnoideos o de tamaño gigante en las fisuras deben recibir albendazol durante 30 días, como mínimo (JV Proano et al, </w:t>
      </w:r>
      <w:r>
        <w:rPr>
          <w:i/>
          <w:iCs/>
          <w:color w:val="000000"/>
          <w:sz w:val="15"/>
          <w:szCs w:val="15"/>
        </w:rPr>
        <w:t>N Engl J Med</w:t>
      </w:r>
      <w:r>
        <w:rPr>
          <w:color w:val="000000"/>
          <w:sz w:val="15"/>
          <w:szCs w:val="15"/>
        </w:rPr>
        <w:t xml:space="preserve"> 2001; 345:879). Cualquier fármaco que destruya los cisticercos puede ocasionar daño irreparable cuando se use para tratar los quistes en ojos o médula espinal, incluso si se utilizan corticosteroides. Siempre se hará un examen oftalmológico antes del tratamiento para descartar la presencia de quistes intraoculares.</w:t>
      </w:r>
    </w:p>
    <w:p w14:paraId="0D285A55" w14:textId="77777777" w:rsidR="00924992" w:rsidRDefault="00924992">
      <w:pPr>
        <w:pStyle w:val="Bodytext20"/>
        <w:numPr>
          <w:ilvl w:val="0"/>
          <w:numId w:val="143"/>
        </w:numPr>
        <w:tabs>
          <w:tab w:val="left" w:pos="449"/>
        </w:tabs>
        <w:spacing w:line="240" w:lineRule="auto"/>
        <w:ind w:left="500" w:hanging="500"/>
        <w:rPr>
          <w:sz w:val="15"/>
          <w:szCs w:val="15"/>
        </w:rPr>
      </w:pPr>
      <w:r>
        <w:rPr>
          <w:noProof/>
        </w:rPr>
        <mc:AlternateContent>
          <mc:Choice Requires="wps">
            <w:drawing>
              <wp:anchor distT="0" distB="0" distL="114300" distR="114300" simplePos="0" relativeHeight="251740160" behindDoc="0" locked="0" layoutInCell="1" allowOverlap="1" wp14:anchorId="0FF370B5" wp14:editId="09377F43">
                <wp:simplePos x="0" y="0"/>
                <wp:positionH relativeFrom="page">
                  <wp:posOffset>7867015</wp:posOffset>
                </wp:positionH>
                <wp:positionV relativeFrom="margin">
                  <wp:posOffset>1222375</wp:posOffset>
                </wp:positionV>
                <wp:extent cx="121920" cy="3166745"/>
                <wp:effectExtent l="0" t="0" r="0" b="0"/>
                <wp:wrapSquare wrapText="bothSides"/>
                <wp:docPr id="2486" name="Shape 2486"/>
                <wp:cNvGraphicFramePr/>
                <a:graphic xmlns:a="http://schemas.openxmlformats.org/drawingml/2006/main">
                  <a:graphicData uri="http://schemas.microsoft.com/office/word/2010/wordprocessingShape">
                    <wps:wsp>
                      <wps:cNvSpPr txBox="1"/>
                      <wps:spPr>
                        <a:xfrm>
                          <a:off x="0" y="0"/>
                          <a:ext cx="121920" cy="3166745"/>
                        </a:xfrm>
                        <a:prstGeom prst="rect">
                          <a:avLst/>
                        </a:prstGeom>
                        <a:noFill/>
                      </wps:spPr>
                      <wps:txbx>
                        <w:txbxContent>
                          <w:p w14:paraId="79B9A6A4" w14:textId="77777777" w:rsidR="00924992" w:rsidRDefault="00924992">
                            <w:pPr>
                              <w:pStyle w:val="Bodytext80"/>
                              <w:tabs>
                                <w:tab w:val="left" w:pos="4670"/>
                              </w:tabs>
                              <w:rPr>
                                <w:sz w:val="16"/>
                                <w:szCs w:val="16"/>
                              </w:rPr>
                            </w:pPr>
                            <w:r>
                              <w:t>ANTIMICROBIANOS Y FÁRMACOS SIMILARES</w:t>
                            </w:r>
                            <w:r>
                              <w:tab/>
                            </w:r>
                            <w:r>
                              <w:rPr>
                                <w:sz w:val="16"/>
                                <w:szCs w:val="16"/>
                              </w:rPr>
                              <w:t>805</w:t>
                            </w:r>
                          </w:p>
                        </w:txbxContent>
                      </wps:txbx>
                      <wps:bodyPr vert="vert" lIns="0" tIns="0" rIns="0" bIns="0" upright="1"/>
                    </wps:wsp>
                  </a:graphicData>
                </a:graphic>
              </wp:anchor>
            </w:drawing>
          </mc:Choice>
          <mc:Fallback>
            <w:pict>
              <v:shape w14:anchorId="0FF370B5" id="Shape 2486" o:spid="_x0000_s1122" type="#_x0000_t202" style="position:absolute;left:0;text-align:left;margin-left:619.45pt;margin-top:96.25pt;width:9.6pt;height:249.35pt;z-index:251740160;visibility:visible;mso-wrap-style:square;mso-wrap-distance-left:9pt;mso-wrap-distance-top:0;mso-wrap-distance-right:9pt;mso-wrap-distance-bottom:0;mso-position-horizontal:absolute;mso-position-horizontal-relative:page;mso-position-vertical:absolute;mso-position-vertical-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" filled="f" stroked="f">
                <v:textbox style="layout-flow:vertical" inset="0,0,0,0">
                  <w:txbxContent>
                    <w:p w14:paraId="79B9A6A4" w14:textId="77777777" w:rsidR="00924992" w:rsidRDefault="00924992">
                      <w:pPr>
                        <w:pStyle w:val="Bodytext80"/>
                        <w:tabs>
                          <w:tab w:val="left" w:pos="4670"/>
                        </w:tabs>
                        <w:rPr>
                          <w:sz w:val="16"/>
                          <w:szCs w:val="16"/>
                        </w:rPr>
                      </w:pPr>
                      <w:r>
                        <w:t>ANTIMICROBIANOS Y FÁRMACOS SIMILARES</w:t>
                      </w:r>
                      <w:r>
                        <w:tab/>
                      </w:r>
                      <w:r>
                        <w:rPr>
                          <w:sz w:val="16"/>
                          <w:szCs w:val="16"/>
                        </w:rPr>
                        <w:t>805</w:t>
                      </w:r>
                    </w:p>
                  </w:txbxContent>
                </v:textbox>
                <w10:wrap type="square" anchorx="page" anchory="margin"/>
              </v:shape>
            </w:pict>
          </mc:Fallback>
        </mc:AlternateContent>
      </w:r>
      <w:bookmarkStart w:id="731" w:name="bookmark2141"/>
      <w:bookmarkEnd w:id="731"/>
      <w:r>
        <w:rPr>
          <w:color w:val="000000"/>
          <w:sz w:val="15"/>
          <w:szCs w:val="15"/>
        </w:rPr>
        <w:t>No se conoce la duración óptima del tratamiento; algunos consultores de Medical Letter lo harían durante 20 días. En caso de síntomas graves o ataque ocular cabe agregar corticosteroides.</w:t>
      </w:r>
      <w:r>
        <w:br w:type="page"/>
      </w:r>
    </w:p>
    <w:p w14:paraId="601E24C0" w14:textId="77777777" w:rsidR="00924992" w:rsidRDefault="00924992">
      <w:pPr>
        <w:spacing w:line="1" w:lineRule="exact"/>
      </w:pPr>
      <w:r>
        <w:rPr>
          <w:noProof/>
        </w:rPr>
        <mc:AlternateContent>
          <mc:Choice Requires="wps">
            <w:drawing>
              <wp:anchor distT="0" distB="3710305" distL="0" distR="0" simplePos="0" relativeHeight="251741184" behindDoc="0" locked="0" layoutInCell="1" allowOverlap="1" wp14:anchorId="3119E6F6" wp14:editId="49BE38FE">
                <wp:simplePos x="0" y="0"/>
                <wp:positionH relativeFrom="page">
                  <wp:posOffset>2030730</wp:posOffset>
                </wp:positionH>
                <wp:positionV relativeFrom="paragraph">
                  <wp:posOffset>0</wp:posOffset>
                </wp:positionV>
                <wp:extent cx="4032250" cy="201295"/>
                <wp:effectExtent l="0" t="0" r="0" b="0"/>
                <wp:wrapTopAndBottom/>
                <wp:docPr id="2488" name="Shape 2488"/>
                <wp:cNvGraphicFramePr/>
                <a:graphic xmlns:a="http://schemas.openxmlformats.org/drawingml/2006/main">
                  <a:graphicData uri="http://schemas.microsoft.com/office/word/2010/wordprocessingShape">
                    <wps:wsp>
                      <wps:cNvSpPr txBox="1"/>
                      <wps:spPr>
                        <a:xfrm>
                          <a:off x="0" y="0"/>
                          <a:ext cx="4032250" cy="201295"/>
                        </a:xfrm>
                        <a:prstGeom prst="rect">
                          <a:avLst/>
                        </a:prstGeom>
                        <a:noFill/>
                      </wps:spPr>
                      <wps:txbx>
                        <w:txbxContent>
                          <w:p w14:paraId="04627088" w14:textId="77777777" w:rsidR="00924992" w:rsidRDefault="00924992">
                            <w:pPr>
                              <w:pStyle w:val="Heading31"/>
                              <w:keepNext/>
                              <w:keepLines/>
                              <w:pBdr>
                                <w:bottom w:val="single" w:sz="4" w:space="0" w:color="auto"/>
                              </w:pBdr>
                            </w:pPr>
                            <w:bookmarkStart w:id="732" w:name="bookmark2127"/>
                            <w:bookmarkStart w:id="733" w:name="bookmark2128"/>
                            <w:bookmarkStart w:id="734" w:name="bookmark2129"/>
                            <w:r>
                              <w:rPr>
                                <w:b w:val="0"/>
                                <w:bCs w:val="0"/>
                                <w:color w:val="000000"/>
                              </w:rPr>
                              <w:t xml:space="preserve">Cuadro 4-14. </w:t>
                            </w:r>
                            <w:r>
                              <w:rPr>
                                <w:color w:val="000000"/>
                              </w:rPr>
                              <w:t>Firmas fabricantes de algunos fármacos antiparasitarios</w:t>
                            </w:r>
                            <w:bookmarkEnd w:id="732"/>
                            <w:bookmarkEnd w:id="733"/>
                            <w:bookmarkEnd w:id="734"/>
                          </w:p>
                        </w:txbxContent>
                      </wps:txbx>
                      <wps:bodyPr wrap="none" lIns="0" tIns="0" rIns="0" bIns="0"/>
                    </wps:wsp>
                  </a:graphicData>
                </a:graphic>
              </wp:anchor>
            </w:drawing>
          </mc:Choice>
          <mc:Fallback>
            <w:pict>
              <v:shape w14:anchorId="3119E6F6" id="Shape 2488" o:spid="_x0000_s1123" type="#_x0000_t202" style="position:absolute;margin-left:159.9pt;margin-top:0;width:317.5pt;height:15.85pt;z-index:251741184;visibility:visible;mso-wrap-style:none;mso-wrap-distance-left:0;mso-wrap-distance-top:0;mso-wrap-distance-right:0;mso-wrap-distance-bottom:292.15pt;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" filled="f" stroked="f">
                <v:textbox inset="0,0,0,0">
                  <w:txbxContent>
                    <w:p w14:paraId="04627088" w14:textId="77777777" w:rsidR="00924992" w:rsidRDefault="00924992">
                      <w:pPr>
                        <w:pStyle w:val="Heading31"/>
                        <w:keepNext/>
                        <w:keepLines/>
                        <w:pBdr>
                          <w:bottom w:val="single" w:sz="4" w:space="0" w:color="auto"/>
                        </w:pBdr>
                      </w:pPr>
                      <w:bookmarkStart w:id="735" w:name="bookmark2127"/>
                      <w:bookmarkStart w:id="736" w:name="bookmark2128"/>
                      <w:bookmarkStart w:id="737" w:name="bookmark2129"/>
                      <w:r>
                        <w:rPr>
                          <w:b w:val="0"/>
                          <w:bCs w:val="0"/>
                          <w:color w:val="000000"/>
                        </w:rPr>
                        <w:t xml:space="preserve">Cuadro 4-14. </w:t>
                      </w:r>
                      <w:r>
                        <w:rPr>
                          <w:color w:val="000000"/>
                        </w:rPr>
                        <w:t>Firmas fabricantes de algunos fármacos antiparasitarios</w:t>
                      </w:r>
                      <w:bookmarkEnd w:id="735"/>
                      <w:bookmarkEnd w:id="736"/>
                      <w:bookmarkEnd w:id="737"/>
                    </w:p>
                  </w:txbxContent>
                </v:textbox>
                <w10:wrap type="topAndBottom" anchorx="page"/>
              </v:shape>
            </w:pict>
          </mc:Fallback>
        </mc:AlternateContent>
      </w:r>
      <w:r>
        <w:rPr>
          <w:noProof/>
        </w:rPr>
        <mc:AlternateContent>
          <mc:Choice Requires="wps">
            <w:drawing>
              <wp:anchor distT="438785" distB="25400" distL="0" distR="0" simplePos="0" relativeHeight="251742208" behindDoc="0" locked="0" layoutInCell="1" allowOverlap="1" wp14:anchorId="219D4902" wp14:editId="2A069850">
                <wp:simplePos x="0" y="0"/>
                <wp:positionH relativeFrom="page">
                  <wp:posOffset>433705</wp:posOffset>
                </wp:positionH>
                <wp:positionV relativeFrom="paragraph">
                  <wp:posOffset>438785</wp:posOffset>
                </wp:positionV>
                <wp:extent cx="3261360" cy="3447415"/>
                <wp:effectExtent l="0" t="0" r="0" b="0"/>
                <wp:wrapTopAndBottom/>
                <wp:docPr id="2490" name="Shape 2490"/>
                <wp:cNvGraphicFramePr/>
                <a:graphic xmlns:a="http://schemas.openxmlformats.org/drawingml/2006/main">
                  <a:graphicData uri="http://schemas.microsoft.com/office/word/2010/wordprocessingShape">
                    <wps:wsp>
                      <wps:cNvSpPr txBox="1"/>
                      <wps:spPr>
                        <a:xfrm>
                          <a:off x="0" y="0"/>
                          <a:ext cx="3261360" cy="3447415"/>
                        </a:xfrm>
                        <a:prstGeom prst="rect">
                          <a:avLst/>
                        </a:prstGeom>
                        <a:noFill/>
                      </wps:spPr>
                      <wps:txbx>
                        <w:txbxContent>
                          <w:p w14:paraId="0F0AADEC" w14:textId="77777777" w:rsidR="00924992" w:rsidRDefault="00924992">
                            <w:pPr>
                              <w:pStyle w:val="Bodytext20"/>
                              <w:spacing w:line="262" w:lineRule="auto"/>
                              <w:ind w:firstLine="180"/>
                            </w:pPr>
                            <w:r>
                              <w:rPr>
                                <w:color w:val="000000"/>
                              </w:rPr>
                              <w:t xml:space="preserve">albendazol: </w:t>
                            </w:r>
                            <w:r>
                              <w:rPr>
                                <w:i/>
                                <w:iCs/>
                                <w:color w:val="000000"/>
                              </w:rPr>
                              <w:t>Albenza</w:t>
                            </w:r>
                            <w:r>
                              <w:rPr>
                                <w:color w:val="000000"/>
                              </w:rPr>
                              <w:t xml:space="preserve"> (GlaxoSmithKline)</w:t>
                            </w:r>
                          </w:p>
                          <w:p w14:paraId="27BEE3D8" w14:textId="77777777" w:rsidR="00924992" w:rsidRDefault="00924992">
                            <w:pPr>
                              <w:pStyle w:val="Bodytext20"/>
                              <w:spacing w:line="262" w:lineRule="auto"/>
                            </w:pPr>
                            <w:r>
                              <w:rPr>
                                <w:color w:val="000000"/>
                              </w:rPr>
                              <w:t xml:space="preserve">§ artemeter: </w:t>
                            </w:r>
                            <w:r>
                              <w:rPr>
                                <w:i/>
                                <w:iCs/>
                                <w:color w:val="000000"/>
                              </w:rPr>
                              <w:t>Artenam</w:t>
                            </w:r>
                            <w:r>
                              <w:rPr>
                                <w:color w:val="000000"/>
                              </w:rPr>
                              <w:t xml:space="preserve"> (Arenco, Bélgica)</w:t>
                            </w:r>
                          </w:p>
                          <w:p w14:paraId="61379648" w14:textId="77777777" w:rsidR="00924992" w:rsidRDefault="00924992">
                            <w:pPr>
                              <w:pStyle w:val="Bodytext20"/>
                              <w:spacing w:line="262" w:lineRule="auto"/>
                              <w:ind w:left="180" w:hanging="180"/>
                            </w:pPr>
                            <w:r>
                              <w:rPr>
                                <w:color w:val="000000"/>
                              </w:rPr>
                              <w:t xml:space="preserve">§ artesunato: (Guilin No. 1 Factory, República Popular de China) atovacuona: </w:t>
                            </w:r>
                            <w:r>
                              <w:rPr>
                                <w:i/>
                                <w:iCs/>
                                <w:color w:val="000000"/>
                              </w:rPr>
                              <w:t>Mepron</w:t>
                            </w:r>
                            <w:r>
                              <w:rPr>
                                <w:color w:val="000000"/>
                              </w:rPr>
                              <w:t xml:space="preserve"> (GlaxoSmithKline) atovacuona-proguanilo: </w:t>
                            </w:r>
                            <w:r>
                              <w:rPr>
                                <w:i/>
                                <w:iCs/>
                                <w:color w:val="000000"/>
                              </w:rPr>
                              <w:t>Malarone</w:t>
                            </w:r>
                            <w:r>
                              <w:rPr>
                                <w:color w:val="000000"/>
                              </w:rPr>
                              <w:t xml:space="preserve"> (GlaxoSmithKline) bacitracina: muchos fabricantes</w:t>
                            </w:r>
                          </w:p>
                          <w:p w14:paraId="2C8D2691" w14:textId="77777777" w:rsidR="00924992" w:rsidRDefault="00924992">
                            <w:pPr>
                              <w:pStyle w:val="Bodytext20"/>
                              <w:spacing w:line="262" w:lineRule="auto"/>
                            </w:pPr>
                            <w:r>
                              <w:rPr>
                                <w:color w:val="000000"/>
                              </w:rPr>
                              <w:t>§ bacitracina-zinc: (Apothekernes Laboratorium A. S., Oslo, Noruega)</w:t>
                            </w:r>
                          </w:p>
                          <w:p w14:paraId="3E0D5D6C" w14:textId="77777777" w:rsidR="00924992" w:rsidRDefault="00924992">
                            <w:pPr>
                              <w:pStyle w:val="Bodytext20"/>
                              <w:spacing w:line="262" w:lineRule="auto"/>
                            </w:pPr>
                            <w:r>
                              <w:rPr>
                                <w:color w:val="000000"/>
                              </w:rPr>
                              <w:t xml:space="preserve">§ benznidazol: </w:t>
                            </w:r>
                            <w:r>
                              <w:rPr>
                                <w:i/>
                                <w:iCs/>
                                <w:color w:val="000000"/>
                              </w:rPr>
                              <w:t>Rochagan</w:t>
                            </w:r>
                            <w:r>
                              <w:rPr>
                                <w:color w:val="000000"/>
                              </w:rPr>
                              <w:t xml:space="preserve"> (Roche, Brasil)</w:t>
                            </w:r>
                          </w:p>
                          <w:p w14:paraId="21C5BC6C" w14:textId="77777777" w:rsidR="00924992" w:rsidRDefault="00924992">
                            <w:pPr>
                              <w:pStyle w:val="Bodytext20"/>
                              <w:spacing w:line="262" w:lineRule="auto"/>
                            </w:pPr>
                            <w:r>
                              <w:rPr>
                                <w:color w:val="000000"/>
                              </w:rPr>
                              <w:t xml:space="preserve">t bitionol: </w:t>
                            </w:r>
                            <w:r>
                              <w:rPr>
                                <w:i/>
                                <w:iCs/>
                                <w:color w:val="000000"/>
                              </w:rPr>
                              <w:t>Bitin</w:t>
                            </w:r>
                            <w:r>
                              <w:rPr>
                                <w:color w:val="000000"/>
                              </w:rPr>
                              <w:t xml:space="preserve"> (Tanabe, Japón)</w:t>
                            </w:r>
                          </w:p>
                          <w:p w14:paraId="39DA39F3" w14:textId="77777777" w:rsidR="00924992" w:rsidRDefault="00924992">
                            <w:pPr>
                              <w:pStyle w:val="Bodytext20"/>
                              <w:spacing w:line="262" w:lineRule="auto"/>
                              <w:ind w:left="180"/>
                            </w:pPr>
                            <w:r>
                              <w:rPr>
                                <w:color w:val="000000"/>
                              </w:rPr>
                              <w:t xml:space="preserve">cloroquina, clorhidrato y fosfato de: </w:t>
                            </w:r>
                            <w:r>
                              <w:rPr>
                                <w:i/>
                                <w:iCs/>
                                <w:color w:val="000000"/>
                              </w:rPr>
                              <w:t>Aralen</w:t>
                            </w:r>
                            <w:r>
                              <w:rPr>
                                <w:color w:val="000000"/>
                              </w:rPr>
                              <w:t xml:space="preserve"> (Sanofi), otros más crotamitón: </w:t>
                            </w:r>
                            <w:r>
                              <w:rPr>
                                <w:i/>
                                <w:iCs/>
                                <w:color w:val="000000"/>
                              </w:rPr>
                              <w:t>Eurax</w:t>
                            </w:r>
                            <w:r>
                              <w:rPr>
                                <w:color w:val="000000"/>
                              </w:rPr>
                              <w:t xml:space="preserve"> (Westwood-Squibb)</w:t>
                            </w:r>
                          </w:p>
                          <w:p w14:paraId="03EDFA65" w14:textId="77777777" w:rsidR="00924992" w:rsidRDefault="00924992">
                            <w:pPr>
                              <w:pStyle w:val="Bodytext20"/>
                              <w:spacing w:line="262" w:lineRule="auto"/>
                              <w:ind w:left="180"/>
                            </w:pPr>
                            <w:r>
                              <w:rPr>
                                <w:color w:val="000000"/>
                              </w:rPr>
                              <w:t>dapsona: (Jacobus)</w:t>
                            </w:r>
                          </w:p>
                          <w:p w14:paraId="5BABA35F" w14:textId="77777777" w:rsidR="00924992" w:rsidRDefault="00924992">
                            <w:pPr>
                              <w:pStyle w:val="Bodytext20"/>
                              <w:spacing w:line="262" w:lineRule="auto"/>
                            </w:pPr>
                            <w:r>
                              <w:rPr>
                                <w:color w:val="000000"/>
                              </w:rPr>
                              <w:t>t dietilcarbamazina, citrato de, USP: (University of Iowa School of Pharmacy)</w:t>
                            </w:r>
                          </w:p>
                          <w:p w14:paraId="62A75391" w14:textId="77777777" w:rsidR="00924992" w:rsidRDefault="00924992">
                            <w:pPr>
                              <w:pStyle w:val="Bodytext20"/>
                              <w:spacing w:line="262" w:lineRule="auto"/>
                            </w:pPr>
                            <w:r>
                              <w:rPr>
                                <w:color w:val="000000"/>
                              </w:rPr>
                              <w:t xml:space="preserve">§ diloxanida, furoato de: </w:t>
                            </w:r>
                            <w:r>
                              <w:rPr>
                                <w:i/>
                                <w:iCs/>
                                <w:color w:val="000000"/>
                              </w:rPr>
                              <w:t>Furamide</w:t>
                            </w:r>
                            <w:r>
                              <w:rPr>
                                <w:color w:val="000000"/>
                              </w:rPr>
                              <w:t xml:space="preserve"> (Boots, Inglaterra)</w:t>
                            </w:r>
                          </w:p>
                          <w:p w14:paraId="483DDCA2" w14:textId="77777777" w:rsidR="00924992" w:rsidRDefault="00924992">
                            <w:pPr>
                              <w:pStyle w:val="Bodytext20"/>
                              <w:spacing w:line="262" w:lineRule="auto"/>
                            </w:pPr>
                            <w:r>
                              <w:rPr>
                                <w:color w:val="000000"/>
                              </w:rPr>
                              <w:t xml:space="preserve">§ eflornitina (difluorometilornitina, DFMO): </w:t>
                            </w:r>
                            <w:r>
                              <w:rPr>
                                <w:i/>
                                <w:iCs/>
                                <w:color w:val="000000"/>
                              </w:rPr>
                              <w:t>Ornidyl</w:t>
                            </w:r>
                            <w:r>
                              <w:rPr>
                                <w:color w:val="000000"/>
                              </w:rPr>
                              <w:t xml:space="preserve"> (Aventis)</w:t>
                            </w:r>
                          </w:p>
                          <w:p w14:paraId="08460F77" w14:textId="77777777" w:rsidR="00924992" w:rsidRDefault="00924992">
                            <w:pPr>
                              <w:pStyle w:val="Bodytext20"/>
                              <w:spacing w:line="262" w:lineRule="auto"/>
                              <w:ind w:left="180" w:hanging="180"/>
                            </w:pPr>
                            <w:r>
                              <w:rPr>
                                <w:color w:val="000000"/>
                              </w:rPr>
                              <w:t xml:space="preserve">* espiramicina: Rovamycine (Aventis) furazolidona: </w:t>
                            </w:r>
                            <w:r>
                              <w:rPr>
                                <w:i/>
                                <w:iCs/>
                                <w:color w:val="000000"/>
                              </w:rPr>
                              <w:t>Furoxone</w:t>
                            </w:r>
                            <w:r>
                              <w:rPr>
                                <w:color w:val="000000"/>
                              </w:rPr>
                              <w:t xml:space="preserve"> (Roberts)</w:t>
                            </w:r>
                          </w:p>
                          <w:p w14:paraId="02CC0F31" w14:textId="77777777" w:rsidR="00924992" w:rsidRDefault="00924992">
                            <w:pPr>
                              <w:pStyle w:val="Bodytext20"/>
                              <w:spacing w:line="262" w:lineRule="auto"/>
                              <w:ind w:left="180" w:hanging="180"/>
                            </w:pPr>
                            <w:r>
                              <w:rPr>
                                <w:color w:val="000000"/>
                              </w:rPr>
                              <w:t xml:space="preserve">§ halofantrina: </w:t>
                            </w:r>
                            <w:r>
                              <w:rPr>
                                <w:i/>
                                <w:iCs/>
                                <w:color w:val="000000"/>
                              </w:rPr>
                              <w:t>Halfan</w:t>
                            </w:r>
                            <w:r>
                              <w:rPr>
                                <w:color w:val="000000"/>
                              </w:rPr>
                              <w:t xml:space="preserve"> (GlaxoSmithKline) ivermectina: </w:t>
                            </w:r>
                            <w:r>
                              <w:rPr>
                                <w:i/>
                                <w:iCs/>
                                <w:color w:val="000000"/>
                              </w:rPr>
                              <w:t>Stromectol</w:t>
                            </w:r>
                            <w:r>
                              <w:rPr>
                                <w:color w:val="000000"/>
                              </w:rPr>
                              <w:t xml:space="preserve"> (Merck) malatión: </w:t>
                            </w:r>
                            <w:r>
                              <w:rPr>
                                <w:i/>
                                <w:iCs/>
                                <w:color w:val="000000"/>
                              </w:rPr>
                              <w:t>Ovide</w:t>
                            </w:r>
                            <w:r>
                              <w:rPr>
                                <w:color w:val="000000"/>
                              </w:rPr>
                              <w:t xml:space="preserve"> (Medicis) mebendazol: </w:t>
                            </w:r>
                            <w:r>
                              <w:rPr>
                                <w:i/>
                                <w:iCs/>
                                <w:color w:val="000000"/>
                              </w:rPr>
                              <w:t>Vermox</w:t>
                            </w:r>
                            <w:r>
                              <w:rPr>
                                <w:color w:val="000000"/>
                              </w:rPr>
                              <w:t xml:space="preserve"> (McNeil) mefloquina: </w:t>
                            </w:r>
                            <w:r>
                              <w:rPr>
                                <w:i/>
                                <w:iCs/>
                                <w:color w:val="000000"/>
                              </w:rPr>
                              <w:t>Lariam</w:t>
                            </w:r>
                            <w:r>
                              <w:rPr>
                                <w:color w:val="000000"/>
                              </w:rPr>
                              <w:t xml:space="preserve"> (Roche)</w:t>
                            </w:r>
                          </w:p>
                          <w:p w14:paraId="696F7ECC" w14:textId="77777777" w:rsidR="00924992" w:rsidRDefault="00924992">
                            <w:pPr>
                              <w:pStyle w:val="Bodytext20"/>
                              <w:spacing w:line="262" w:lineRule="auto"/>
                            </w:pPr>
                            <w:r>
                              <w:rPr>
                                <w:color w:val="000000"/>
                              </w:rPr>
                              <w:t xml:space="preserve">§ meglumina, antimoniato de: </w:t>
                            </w:r>
                            <w:r>
                              <w:rPr>
                                <w:i/>
                                <w:iCs/>
                                <w:color w:val="000000"/>
                              </w:rPr>
                              <w:t>Glucantime</w:t>
                            </w:r>
                            <w:r>
                              <w:rPr>
                                <w:color w:val="000000"/>
                              </w:rPr>
                              <w:t xml:space="preserve"> (Aventis, Francia)</w:t>
                            </w:r>
                          </w:p>
                          <w:p w14:paraId="75605A8F" w14:textId="77777777" w:rsidR="00924992" w:rsidRDefault="00924992">
                            <w:pPr>
                              <w:pStyle w:val="Bodytext20"/>
                              <w:spacing w:line="262" w:lineRule="auto"/>
                              <w:ind w:left="180" w:hanging="180"/>
                            </w:pPr>
                            <w:r>
                              <w:rPr>
                                <w:color w:val="000000"/>
                              </w:rPr>
                              <w:t xml:space="preserve">t melarsoprol: </w:t>
                            </w:r>
                            <w:r>
                              <w:rPr>
                                <w:i/>
                                <w:iCs/>
                                <w:color w:val="000000"/>
                              </w:rPr>
                              <w:t>Mel-B</w:t>
                            </w:r>
                            <w:r>
                              <w:rPr>
                                <w:color w:val="000000"/>
                              </w:rPr>
                              <w:t xml:space="preserve"> (Specia) metronidazol: </w:t>
                            </w:r>
                            <w:r>
                              <w:rPr>
                                <w:i/>
                                <w:iCs/>
                                <w:color w:val="000000"/>
                              </w:rPr>
                              <w:t>Flagyl</w:t>
                            </w:r>
                            <w:r>
                              <w:rPr>
                                <w:color w:val="000000"/>
                              </w:rPr>
                              <w:t xml:space="preserve"> (Searle), otros fabricantes</w:t>
                            </w:r>
                          </w:p>
                          <w:p w14:paraId="0C7F19DC" w14:textId="77777777" w:rsidR="00924992" w:rsidRDefault="00924992">
                            <w:pPr>
                              <w:pStyle w:val="Bodytext20"/>
                              <w:spacing w:line="262" w:lineRule="auto"/>
                            </w:pPr>
                            <w:r>
                              <w:rPr>
                                <w:color w:val="000000"/>
                              </w:rPr>
                              <w:t>§ miltefosina: (Zentaris)</w:t>
                            </w:r>
                          </w:p>
                          <w:p w14:paraId="030FD4C8" w14:textId="77777777" w:rsidR="00924992" w:rsidRDefault="00924992">
                            <w:pPr>
                              <w:pStyle w:val="Bodytext20"/>
                              <w:spacing w:line="262" w:lineRule="auto"/>
                            </w:pPr>
                            <w:r>
                              <w:rPr>
                                <w:color w:val="000000"/>
                              </w:rPr>
                              <w:t xml:space="preserve">§ niclosamida: </w:t>
                            </w:r>
                            <w:r>
                              <w:rPr>
                                <w:i/>
                                <w:iCs/>
                                <w:color w:val="000000"/>
                              </w:rPr>
                              <w:t>Yomesan</w:t>
                            </w:r>
                            <w:r>
                              <w:rPr>
                                <w:color w:val="000000"/>
                              </w:rPr>
                              <w:t xml:space="preserve"> (Bayer, Alemania)</w:t>
                            </w:r>
                          </w:p>
                        </w:txbxContent>
                      </wps:txbx>
                      <wps:bodyPr lIns="0" tIns="0" rIns="0" bIns="0"/>
                    </wps:wsp>
                  </a:graphicData>
                </a:graphic>
              </wp:anchor>
            </w:drawing>
          </mc:Choice>
          <mc:Fallback>
            <w:pict>
              <v:shape w14:anchorId="219D4902" id="Shape 2490" o:spid="_x0000_s1124" type="#_x0000_t202" style="position:absolute;margin-left:34.15pt;margin-top:34.55pt;width:256.8pt;height:271.45pt;z-index:251742208;visibility:visible;mso-wrap-style:square;mso-wrap-distance-left:0;mso-wrap-distance-top:34.55pt;mso-wrap-distance-right:0;mso-wrap-distance-bottom:2pt;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" filled="f" stroked="f">
                <v:textbox inset="0,0,0,0">
                  <w:txbxContent>
                    <w:p w14:paraId="0F0AADEC" w14:textId="77777777" w:rsidR="00924992" w:rsidRDefault="00924992">
                      <w:pPr>
                        <w:pStyle w:val="Bodytext20"/>
                        <w:spacing w:line="262" w:lineRule="auto"/>
                        <w:ind w:firstLine="180"/>
                      </w:pPr>
                      <w:r>
                        <w:rPr>
                          <w:color w:val="000000"/>
                        </w:rPr>
                        <w:t xml:space="preserve">albendazol: </w:t>
                      </w:r>
                      <w:r>
                        <w:rPr>
                          <w:i/>
                          <w:iCs/>
                          <w:color w:val="000000"/>
                        </w:rPr>
                        <w:t>Albenza</w:t>
                      </w:r>
                      <w:r>
                        <w:rPr>
                          <w:color w:val="000000"/>
                        </w:rPr>
                        <w:t xml:space="preserve"> (GlaxoSmithKline)</w:t>
                      </w:r>
                    </w:p>
                    <w:p w14:paraId="27BEE3D8" w14:textId="77777777" w:rsidR="00924992" w:rsidRDefault="00924992">
                      <w:pPr>
                        <w:pStyle w:val="Bodytext20"/>
                        <w:spacing w:line="262" w:lineRule="auto"/>
                      </w:pPr>
                      <w:r>
                        <w:rPr>
                          <w:color w:val="000000"/>
                        </w:rPr>
                        <w:t xml:space="preserve">§ artemeter: </w:t>
                      </w:r>
                      <w:r>
                        <w:rPr>
                          <w:i/>
                          <w:iCs/>
                          <w:color w:val="000000"/>
                        </w:rPr>
                        <w:t>Artenam</w:t>
                      </w:r>
                      <w:r>
                        <w:rPr>
                          <w:color w:val="000000"/>
                        </w:rPr>
                        <w:t xml:space="preserve"> (Arenco, Bélgica)</w:t>
                      </w:r>
                    </w:p>
                    <w:p w14:paraId="61379648" w14:textId="77777777" w:rsidR="00924992" w:rsidRDefault="00924992">
                      <w:pPr>
                        <w:pStyle w:val="Bodytext20"/>
                        <w:spacing w:line="262" w:lineRule="auto"/>
                        <w:ind w:left="180" w:hanging="180"/>
                      </w:pPr>
                      <w:r>
                        <w:rPr>
                          <w:color w:val="000000"/>
                        </w:rPr>
                        <w:t xml:space="preserve">§ artesunato: (Guilin No. 1 Factory, República Popular de China) atovacuona: </w:t>
                      </w:r>
                      <w:r>
                        <w:rPr>
                          <w:i/>
                          <w:iCs/>
                          <w:color w:val="000000"/>
                        </w:rPr>
                        <w:t>Mepron</w:t>
                      </w:r>
                      <w:r>
                        <w:rPr>
                          <w:color w:val="000000"/>
                        </w:rPr>
                        <w:t xml:space="preserve"> (GlaxoSmithKline) atovacuona-proguanilo: </w:t>
                      </w:r>
                      <w:r>
                        <w:rPr>
                          <w:i/>
                          <w:iCs/>
                          <w:color w:val="000000"/>
                        </w:rPr>
                        <w:t>Malarone</w:t>
                      </w:r>
                      <w:r>
                        <w:rPr>
                          <w:color w:val="000000"/>
                        </w:rPr>
                        <w:t xml:space="preserve"> (GlaxoSmithKline) bacitracina: muchos fabricantes</w:t>
                      </w:r>
                    </w:p>
                    <w:p w14:paraId="2C8D2691" w14:textId="77777777" w:rsidR="00924992" w:rsidRDefault="00924992">
                      <w:pPr>
                        <w:pStyle w:val="Bodytext20"/>
                        <w:spacing w:line="262" w:lineRule="auto"/>
                      </w:pPr>
                      <w:r>
                        <w:rPr>
                          <w:color w:val="000000"/>
                        </w:rPr>
                        <w:t>§ bacitracina-zinc: (Apothekernes Laboratorium A. S., Oslo, Noruega)</w:t>
                      </w:r>
                    </w:p>
                    <w:p w14:paraId="3E0D5D6C" w14:textId="77777777" w:rsidR="00924992" w:rsidRDefault="00924992">
                      <w:pPr>
                        <w:pStyle w:val="Bodytext20"/>
                        <w:spacing w:line="262" w:lineRule="auto"/>
                      </w:pPr>
                      <w:r>
                        <w:rPr>
                          <w:color w:val="000000"/>
                        </w:rPr>
                        <w:t xml:space="preserve">§ benznidazol: </w:t>
                      </w:r>
                      <w:r>
                        <w:rPr>
                          <w:i/>
                          <w:iCs/>
                          <w:color w:val="000000"/>
                        </w:rPr>
                        <w:t>Rochagan</w:t>
                      </w:r>
                      <w:r>
                        <w:rPr>
                          <w:color w:val="000000"/>
                        </w:rPr>
                        <w:t xml:space="preserve"> (Roche, Brasil)</w:t>
                      </w:r>
                    </w:p>
                    <w:p w14:paraId="21C5BC6C" w14:textId="77777777" w:rsidR="00924992" w:rsidRDefault="00924992">
                      <w:pPr>
                        <w:pStyle w:val="Bodytext20"/>
                        <w:spacing w:line="262" w:lineRule="auto"/>
                      </w:pPr>
                      <w:r>
                        <w:rPr>
                          <w:color w:val="000000"/>
                        </w:rPr>
                        <w:t xml:space="preserve">t bitionol: </w:t>
                      </w:r>
                      <w:r>
                        <w:rPr>
                          <w:i/>
                          <w:iCs/>
                          <w:color w:val="000000"/>
                        </w:rPr>
                        <w:t>Bitin</w:t>
                      </w:r>
                      <w:r>
                        <w:rPr>
                          <w:color w:val="000000"/>
                        </w:rPr>
                        <w:t xml:space="preserve"> (Tanabe, Japón)</w:t>
                      </w:r>
                    </w:p>
                    <w:p w14:paraId="39DA39F3" w14:textId="77777777" w:rsidR="00924992" w:rsidRDefault="00924992">
                      <w:pPr>
                        <w:pStyle w:val="Bodytext20"/>
                        <w:spacing w:line="262" w:lineRule="auto"/>
                        <w:ind w:left="180"/>
                      </w:pPr>
                      <w:r>
                        <w:rPr>
                          <w:color w:val="000000"/>
                        </w:rPr>
                        <w:t xml:space="preserve">cloroquina, clorhidrato y fosfato de: </w:t>
                      </w:r>
                      <w:r>
                        <w:rPr>
                          <w:i/>
                          <w:iCs/>
                          <w:color w:val="000000"/>
                        </w:rPr>
                        <w:t>Aralen</w:t>
                      </w:r>
                      <w:r>
                        <w:rPr>
                          <w:color w:val="000000"/>
                        </w:rPr>
                        <w:t xml:space="preserve"> (Sanofi), otros más crotamitón: </w:t>
                      </w:r>
                      <w:r>
                        <w:rPr>
                          <w:i/>
                          <w:iCs/>
                          <w:color w:val="000000"/>
                        </w:rPr>
                        <w:t>Eurax</w:t>
                      </w:r>
                      <w:r>
                        <w:rPr>
                          <w:color w:val="000000"/>
                        </w:rPr>
                        <w:t xml:space="preserve"> (Westwood-Squibb)</w:t>
                      </w:r>
                    </w:p>
                    <w:p w14:paraId="03EDFA65" w14:textId="77777777" w:rsidR="00924992" w:rsidRDefault="00924992">
                      <w:pPr>
                        <w:pStyle w:val="Bodytext20"/>
                        <w:spacing w:line="262" w:lineRule="auto"/>
                        <w:ind w:left="180"/>
                      </w:pPr>
                      <w:r>
                        <w:rPr>
                          <w:color w:val="000000"/>
                        </w:rPr>
                        <w:t>dapsona: (Jacobus)</w:t>
                      </w:r>
                    </w:p>
                    <w:p w14:paraId="5BABA35F" w14:textId="77777777" w:rsidR="00924992" w:rsidRDefault="00924992">
                      <w:pPr>
                        <w:pStyle w:val="Bodytext20"/>
                        <w:spacing w:line="262" w:lineRule="auto"/>
                      </w:pPr>
                      <w:r>
                        <w:rPr>
                          <w:color w:val="000000"/>
                        </w:rPr>
                        <w:t>t dietilcarbamazina, citrato de, USP: (University of Iowa School of Pharmacy)</w:t>
                      </w:r>
                    </w:p>
                    <w:p w14:paraId="62A75391" w14:textId="77777777" w:rsidR="00924992" w:rsidRDefault="00924992">
                      <w:pPr>
                        <w:pStyle w:val="Bodytext20"/>
                        <w:spacing w:line="262" w:lineRule="auto"/>
                      </w:pPr>
                      <w:r>
                        <w:rPr>
                          <w:color w:val="000000"/>
                        </w:rPr>
                        <w:t xml:space="preserve">§ diloxanida, furoato de: </w:t>
                      </w:r>
                      <w:r>
                        <w:rPr>
                          <w:i/>
                          <w:iCs/>
                          <w:color w:val="000000"/>
                        </w:rPr>
                        <w:t>Furamide</w:t>
                      </w:r>
                      <w:r>
                        <w:rPr>
                          <w:color w:val="000000"/>
                        </w:rPr>
                        <w:t xml:space="preserve"> (Boots, Inglaterra)</w:t>
                      </w:r>
                    </w:p>
                    <w:p w14:paraId="483DDCA2" w14:textId="77777777" w:rsidR="00924992" w:rsidRDefault="00924992">
                      <w:pPr>
                        <w:pStyle w:val="Bodytext20"/>
                        <w:spacing w:line="262" w:lineRule="auto"/>
                      </w:pPr>
                      <w:r>
                        <w:rPr>
                          <w:color w:val="000000"/>
                        </w:rPr>
                        <w:t xml:space="preserve">§ eflornitina (difluorometilornitina, DFMO): </w:t>
                      </w:r>
                      <w:r>
                        <w:rPr>
                          <w:i/>
                          <w:iCs/>
                          <w:color w:val="000000"/>
                        </w:rPr>
                        <w:t>Ornidyl</w:t>
                      </w:r>
                      <w:r>
                        <w:rPr>
                          <w:color w:val="000000"/>
                        </w:rPr>
                        <w:t xml:space="preserve"> (Aventis)</w:t>
                      </w:r>
                    </w:p>
                    <w:p w14:paraId="08460F77" w14:textId="77777777" w:rsidR="00924992" w:rsidRDefault="00924992">
                      <w:pPr>
                        <w:pStyle w:val="Bodytext20"/>
                        <w:spacing w:line="262" w:lineRule="auto"/>
                        <w:ind w:left="180" w:hanging="180"/>
                      </w:pPr>
                      <w:r>
                        <w:rPr>
                          <w:color w:val="000000"/>
                        </w:rPr>
                        <w:t xml:space="preserve">* espiramicina: Rovamycine (Aventis) furazolidona: </w:t>
                      </w:r>
                      <w:r>
                        <w:rPr>
                          <w:i/>
                          <w:iCs/>
                          <w:color w:val="000000"/>
                        </w:rPr>
                        <w:t>Furoxone</w:t>
                      </w:r>
                      <w:r>
                        <w:rPr>
                          <w:color w:val="000000"/>
                        </w:rPr>
                        <w:t xml:space="preserve"> (Roberts)</w:t>
                      </w:r>
                    </w:p>
                    <w:p w14:paraId="02CC0F31" w14:textId="77777777" w:rsidR="00924992" w:rsidRDefault="00924992">
                      <w:pPr>
                        <w:pStyle w:val="Bodytext20"/>
                        <w:spacing w:line="262" w:lineRule="auto"/>
                        <w:ind w:left="180" w:hanging="180"/>
                      </w:pPr>
                      <w:r>
                        <w:rPr>
                          <w:color w:val="000000"/>
                        </w:rPr>
                        <w:t xml:space="preserve">§ halofantrina: </w:t>
                      </w:r>
                      <w:r>
                        <w:rPr>
                          <w:i/>
                          <w:iCs/>
                          <w:color w:val="000000"/>
                        </w:rPr>
                        <w:t>Halfan</w:t>
                      </w:r>
                      <w:r>
                        <w:rPr>
                          <w:color w:val="000000"/>
                        </w:rPr>
                        <w:t xml:space="preserve"> (GlaxoSmithKline) ivermectina: </w:t>
                      </w:r>
                      <w:r>
                        <w:rPr>
                          <w:i/>
                          <w:iCs/>
                          <w:color w:val="000000"/>
                        </w:rPr>
                        <w:t>Stromectol</w:t>
                      </w:r>
                      <w:r>
                        <w:rPr>
                          <w:color w:val="000000"/>
                        </w:rPr>
                        <w:t xml:space="preserve"> (Merck) malatión: </w:t>
                      </w:r>
                      <w:r>
                        <w:rPr>
                          <w:i/>
                          <w:iCs/>
                          <w:color w:val="000000"/>
                        </w:rPr>
                        <w:t>Ovide</w:t>
                      </w:r>
                      <w:r>
                        <w:rPr>
                          <w:color w:val="000000"/>
                        </w:rPr>
                        <w:t xml:space="preserve"> (Medicis) mebendazol: </w:t>
                      </w:r>
                      <w:r>
                        <w:rPr>
                          <w:i/>
                          <w:iCs/>
                          <w:color w:val="000000"/>
                        </w:rPr>
                        <w:t>Vermox</w:t>
                      </w:r>
                      <w:r>
                        <w:rPr>
                          <w:color w:val="000000"/>
                        </w:rPr>
                        <w:t xml:space="preserve"> (McNeil) mefloquina: </w:t>
                      </w:r>
                      <w:r>
                        <w:rPr>
                          <w:i/>
                          <w:iCs/>
                          <w:color w:val="000000"/>
                        </w:rPr>
                        <w:t>Lariam</w:t>
                      </w:r>
                      <w:r>
                        <w:rPr>
                          <w:color w:val="000000"/>
                        </w:rPr>
                        <w:t xml:space="preserve"> (Roche)</w:t>
                      </w:r>
                    </w:p>
                    <w:p w14:paraId="696F7ECC" w14:textId="77777777" w:rsidR="00924992" w:rsidRDefault="00924992">
                      <w:pPr>
                        <w:pStyle w:val="Bodytext20"/>
                        <w:spacing w:line="262" w:lineRule="auto"/>
                      </w:pPr>
                      <w:r>
                        <w:rPr>
                          <w:color w:val="000000"/>
                        </w:rPr>
                        <w:t xml:space="preserve">§ meglumina, antimoniato de: </w:t>
                      </w:r>
                      <w:r>
                        <w:rPr>
                          <w:i/>
                          <w:iCs/>
                          <w:color w:val="000000"/>
                        </w:rPr>
                        <w:t>Glucantime</w:t>
                      </w:r>
                      <w:r>
                        <w:rPr>
                          <w:color w:val="000000"/>
                        </w:rPr>
                        <w:t xml:space="preserve"> (Aventis, Francia)</w:t>
                      </w:r>
                    </w:p>
                    <w:p w14:paraId="75605A8F" w14:textId="77777777" w:rsidR="00924992" w:rsidRDefault="00924992">
                      <w:pPr>
                        <w:pStyle w:val="Bodytext20"/>
                        <w:spacing w:line="262" w:lineRule="auto"/>
                        <w:ind w:left="180" w:hanging="180"/>
                      </w:pPr>
                      <w:r>
                        <w:rPr>
                          <w:color w:val="000000"/>
                        </w:rPr>
                        <w:t xml:space="preserve">t melarsoprol: </w:t>
                      </w:r>
                      <w:r>
                        <w:rPr>
                          <w:i/>
                          <w:iCs/>
                          <w:color w:val="000000"/>
                        </w:rPr>
                        <w:t>Mel-B</w:t>
                      </w:r>
                      <w:r>
                        <w:rPr>
                          <w:color w:val="000000"/>
                        </w:rPr>
                        <w:t xml:space="preserve"> (Specia) metronidazol: </w:t>
                      </w:r>
                      <w:r>
                        <w:rPr>
                          <w:i/>
                          <w:iCs/>
                          <w:color w:val="000000"/>
                        </w:rPr>
                        <w:t>Flagyl</w:t>
                      </w:r>
                      <w:r>
                        <w:rPr>
                          <w:color w:val="000000"/>
                        </w:rPr>
                        <w:t xml:space="preserve"> (Searle), otros fabricantes</w:t>
                      </w:r>
                    </w:p>
                    <w:p w14:paraId="0C7F19DC" w14:textId="77777777" w:rsidR="00924992" w:rsidRDefault="00924992">
                      <w:pPr>
                        <w:pStyle w:val="Bodytext20"/>
                        <w:spacing w:line="262" w:lineRule="auto"/>
                      </w:pPr>
                      <w:r>
                        <w:rPr>
                          <w:color w:val="000000"/>
                        </w:rPr>
                        <w:t>§ miltefosina: (Zentaris)</w:t>
                      </w:r>
                    </w:p>
                    <w:p w14:paraId="030FD4C8" w14:textId="77777777" w:rsidR="00924992" w:rsidRDefault="00924992">
                      <w:pPr>
                        <w:pStyle w:val="Bodytext20"/>
                        <w:spacing w:line="262" w:lineRule="auto"/>
                      </w:pPr>
                      <w:r>
                        <w:rPr>
                          <w:color w:val="000000"/>
                        </w:rPr>
                        <w:t xml:space="preserve">§ niclosamida: </w:t>
                      </w:r>
                      <w:r>
                        <w:rPr>
                          <w:i/>
                          <w:iCs/>
                          <w:color w:val="000000"/>
                        </w:rPr>
                        <w:t>Yomesan</w:t>
                      </w:r>
                      <w:r>
                        <w:rPr>
                          <w:color w:val="000000"/>
                        </w:rPr>
                        <w:t xml:space="preserve"> (Bayer, Alemania)</w:t>
                      </w:r>
                    </w:p>
                  </w:txbxContent>
                </v:textbox>
                <w10:wrap type="topAndBottom" anchorx="page"/>
              </v:shape>
            </w:pict>
          </mc:Fallback>
        </mc:AlternateContent>
      </w:r>
      <w:r>
        <w:rPr>
          <w:noProof/>
        </w:rPr>
        <mc:AlternateContent>
          <mc:Choice Requires="wps">
            <w:drawing>
              <wp:anchor distT="438785" distB="150495" distL="0" distR="0" simplePos="0" relativeHeight="251743232" behindDoc="0" locked="0" layoutInCell="1" allowOverlap="1" wp14:anchorId="5A0DEC95" wp14:editId="633A00D2">
                <wp:simplePos x="0" y="0"/>
                <wp:positionH relativeFrom="page">
                  <wp:posOffset>4045585</wp:posOffset>
                </wp:positionH>
                <wp:positionV relativeFrom="paragraph">
                  <wp:posOffset>438785</wp:posOffset>
                </wp:positionV>
                <wp:extent cx="3529330" cy="3322320"/>
                <wp:effectExtent l="0" t="0" r="0" b="0"/>
                <wp:wrapTopAndBottom/>
                <wp:docPr id="2492" name="Shape 2492"/>
                <wp:cNvGraphicFramePr/>
                <a:graphic xmlns:a="http://schemas.openxmlformats.org/drawingml/2006/main">
                  <a:graphicData uri="http://schemas.microsoft.com/office/word/2010/wordprocessingShape">
                    <wps:wsp>
                      <wps:cNvSpPr txBox="1"/>
                      <wps:spPr>
                        <a:xfrm>
                          <a:off x="0" y="0"/>
                          <a:ext cx="3529330" cy="3322320"/>
                        </a:xfrm>
                        <a:prstGeom prst="rect">
                          <a:avLst/>
                        </a:prstGeom>
                        <a:noFill/>
                      </wps:spPr>
                      <wps:txbx>
                        <w:txbxContent>
                          <w:p w14:paraId="13286D3A" w14:textId="77777777" w:rsidR="00924992" w:rsidRDefault="00924992">
                            <w:pPr>
                              <w:pStyle w:val="Bodytext20"/>
                              <w:spacing w:line="262" w:lineRule="auto"/>
                              <w:ind w:left="180" w:hanging="180"/>
                            </w:pPr>
                            <w:r>
                              <w:rPr>
                                <w:color w:val="000000"/>
                              </w:rPr>
                              <w:t xml:space="preserve">t nifurtimox: </w:t>
                            </w:r>
                            <w:r>
                              <w:rPr>
                                <w:i/>
                                <w:iCs/>
                                <w:color w:val="000000"/>
                              </w:rPr>
                              <w:t>Lampit</w:t>
                            </w:r>
                            <w:r>
                              <w:rPr>
                                <w:color w:val="000000"/>
                              </w:rPr>
                              <w:t xml:space="preserve"> (Bayer, Alemania)</w:t>
                            </w:r>
                          </w:p>
                          <w:p w14:paraId="10F2FBC0" w14:textId="77777777" w:rsidR="00924992" w:rsidRDefault="00924992">
                            <w:pPr>
                              <w:pStyle w:val="Bodytext20"/>
                              <w:numPr>
                                <w:ilvl w:val="0"/>
                                <w:numId w:val="144"/>
                              </w:numPr>
                              <w:tabs>
                                <w:tab w:val="left" w:pos="173"/>
                              </w:tabs>
                              <w:spacing w:line="262" w:lineRule="auto"/>
                              <w:ind w:left="180" w:hanging="180"/>
                            </w:pPr>
                            <w:bookmarkStart w:id="738" w:name="bookmark2130"/>
                            <w:bookmarkEnd w:id="738"/>
                            <w:r>
                              <w:rPr>
                                <w:color w:val="000000"/>
                              </w:rPr>
                              <w:t xml:space="preserve">nitazoxanida: </w:t>
                            </w:r>
                            <w:r>
                              <w:rPr>
                                <w:i/>
                                <w:iCs/>
                                <w:color w:val="000000"/>
                              </w:rPr>
                              <w:t>Cryptaz</w:t>
                            </w:r>
                            <w:r>
                              <w:rPr>
                                <w:color w:val="000000"/>
                              </w:rPr>
                              <w:t xml:space="preserve"> (Romark)</w:t>
                            </w:r>
                          </w:p>
                          <w:p w14:paraId="54B0B8A2" w14:textId="77777777" w:rsidR="00924992" w:rsidRDefault="00924992">
                            <w:pPr>
                              <w:pStyle w:val="Bodytext20"/>
                              <w:spacing w:line="262" w:lineRule="auto"/>
                              <w:ind w:left="180" w:hanging="180"/>
                            </w:pPr>
                            <w:r>
                              <w:rPr>
                                <w:color w:val="000000"/>
                              </w:rPr>
                              <w:t xml:space="preserve">§ ornidazol: </w:t>
                            </w:r>
                            <w:r>
                              <w:rPr>
                                <w:i/>
                                <w:iCs/>
                                <w:color w:val="000000"/>
                              </w:rPr>
                              <w:t>Tiberal</w:t>
                            </w:r>
                            <w:r>
                              <w:rPr>
                                <w:color w:val="000000"/>
                              </w:rPr>
                              <w:t xml:space="preserve"> (Roche, Francia) oxamniquina: </w:t>
                            </w:r>
                            <w:r>
                              <w:rPr>
                                <w:i/>
                                <w:iCs/>
                                <w:color w:val="000000"/>
                              </w:rPr>
                              <w:t>Vansil</w:t>
                            </w:r>
                            <w:r>
                              <w:rPr>
                                <w:color w:val="000000"/>
                              </w:rPr>
                              <w:t xml:space="preserve"> (Pfizer) paromomicina: </w:t>
                            </w:r>
                            <w:r>
                              <w:rPr>
                                <w:i/>
                                <w:iCs/>
                                <w:color w:val="000000"/>
                              </w:rPr>
                              <w:t>Humatin</w:t>
                            </w:r>
                            <w:r>
                              <w:rPr>
                                <w:color w:val="000000"/>
                              </w:rPr>
                              <w:t xml:space="preserve"> (Monarch); </w:t>
                            </w:r>
                            <w:r>
                              <w:rPr>
                                <w:i/>
                                <w:iCs/>
                                <w:color w:val="000000"/>
                              </w:rPr>
                              <w:t>Leshcutan</w:t>
                            </w:r>
                            <w:r>
                              <w:rPr>
                                <w:color w:val="000000"/>
                              </w:rPr>
                              <w:t xml:space="preserve"> (Teva Pharmaceutical Industries,</w:t>
                            </w:r>
                          </w:p>
                          <w:p w14:paraId="1AA80E6C" w14:textId="77777777" w:rsidR="00924992" w:rsidRDefault="00924992">
                            <w:pPr>
                              <w:pStyle w:val="Bodytext20"/>
                              <w:spacing w:line="262" w:lineRule="auto"/>
                              <w:ind w:left="180" w:firstLine="100"/>
                            </w:pPr>
                            <w:r>
                              <w:rPr>
                                <w:color w:val="000000"/>
                              </w:rPr>
                              <w:t xml:space="preserve">Ltd., Israel; [en Estados Unidos no se cuenta con la presentación tópica]) pentamidina, isetionato de: </w:t>
                            </w:r>
                            <w:r>
                              <w:rPr>
                                <w:i/>
                                <w:iCs/>
                                <w:color w:val="000000"/>
                              </w:rPr>
                              <w:t>Pentam 300,</w:t>
                            </w:r>
                            <w:r>
                              <w:rPr>
                                <w:color w:val="000000"/>
                              </w:rPr>
                              <w:t xml:space="preserve"> NebuPent (Fujisawa) permetrina: </w:t>
                            </w:r>
                            <w:r>
                              <w:rPr>
                                <w:i/>
                                <w:iCs/>
                                <w:color w:val="000000"/>
                              </w:rPr>
                              <w:t>Nix</w:t>
                            </w:r>
                            <w:r>
                              <w:rPr>
                                <w:color w:val="000000"/>
                              </w:rPr>
                              <w:t xml:space="preserve"> (GlaxoSmithKline), </w:t>
                            </w:r>
                            <w:r>
                              <w:rPr>
                                <w:i/>
                                <w:iCs/>
                                <w:color w:val="000000"/>
                              </w:rPr>
                              <w:t>Elimite</w:t>
                            </w:r>
                            <w:r>
                              <w:rPr>
                                <w:color w:val="000000"/>
                              </w:rPr>
                              <w:t xml:space="preserve"> (Allergan) pirantel, pamoato de: </w:t>
                            </w:r>
                            <w:r>
                              <w:rPr>
                                <w:i/>
                                <w:iCs/>
                                <w:color w:val="000000"/>
                              </w:rPr>
                              <w:t>Antiminth</w:t>
                            </w:r>
                            <w:r>
                              <w:rPr>
                                <w:color w:val="000000"/>
                              </w:rPr>
                              <w:t xml:space="preserve"> (Pfizer) piretrinas y butóxido de piperonilo: RID (Pfizer), otros fabricantes pirimetamina USP: </w:t>
                            </w:r>
                            <w:r>
                              <w:rPr>
                                <w:i/>
                                <w:iCs/>
                                <w:color w:val="000000"/>
                              </w:rPr>
                              <w:t>Daraprim</w:t>
                            </w:r>
                            <w:r>
                              <w:rPr>
                                <w:color w:val="000000"/>
                              </w:rPr>
                              <w:t xml:space="preserve"> (GlaxoSmithKline) praziquantel: </w:t>
                            </w:r>
                            <w:r>
                              <w:rPr>
                                <w:i/>
                                <w:iCs/>
                                <w:color w:val="000000"/>
                              </w:rPr>
                              <w:t>Biltricide</w:t>
                            </w:r>
                            <w:r>
                              <w:rPr>
                                <w:color w:val="000000"/>
                              </w:rPr>
                              <w:t xml:space="preserve"> (Bayer) primaquina, fosfato de, USP</w:t>
                            </w:r>
                          </w:p>
                          <w:p w14:paraId="3C3E0A78" w14:textId="77777777" w:rsidR="00924992" w:rsidRDefault="00924992">
                            <w:pPr>
                              <w:pStyle w:val="Bodytext20"/>
                              <w:spacing w:line="262" w:lineRule="auto"/>
                            </w:pPr>
                            <w:r>
                              <w:rPr>
                                <w:color w:val="000000"/>
                              </w:rPr>
                              <w:t xml:space="preserve">§ proguanilo: </w:t>
                            </w:r>
                            <w:r>
                              <w:rPr>
                                <w:i/>
                                <w:iCs/>
                                <w:color w:val="000000"/>
                              </w:rPr>
                              <w:t>Paludrine</w:t>
                            </w:r>
                            <w:r>
                              <w:rPr>
                                <w:color w:val="000000"/>
                              </w:rPr>
                              <w:t xml:space="preserve"> (Wyeth Ayerst, Canadá; AstraZeneca, Inglaterra);</w:t>
                            </w:r>
                          </w:p>
                          <w:p w14:paraId="33247124" w14:textId="77777777" w:rsidR="00924992" w:rsidRDefault="00924992">
                            <w:pPr>
                              <w:pStyle w:val="Bodytext20"/>
                              <w:spacing w:line="262" w:lineRule="auto"/>
                              <w:ind w:left="280"/>
                            </w:pPr>
                            <w:r>
                              <w:rPr>
                                <w:color w:val="000000"/>
                              </w:rPr>
                              <w:t xml:space="preserve">la combinación con atovacuona tiene como nombre </w:t>
                            </w:r>
                            <w:r>
                              <w:rPr>
                                <w:i/>
                                <w:iCs/>
                                <w:color w:val="000000"/>
                              </w:rPr>
                              <w:t xml:space="preserve">Malarone </w:t>
                            </w:r>
                            <w:r>
                              <w:rPr>
                                <w:color w:val="000000"/>
                              </w:rPr>
                              <w:t>(GlaxoSmithKline)</w:t>
                            </w:r>
                          </w:p>
                          <w:p w14:paraId="181539DD" w14:textId="77777777" w:rsidR="00924992" w:rsidRDefault="00924992">
                            <w:pPr>
                              <w:pStyle w:val="Bodytext20"/>
                              <w:spacing w:line="262" w:lineRule="auto"/>
                            </w:pPr>
                            <w:r>
                              <w:rPr>
                                <w:color w:val="000000"/>
                              </w:rPr>
                              <w:t xml:space="preserve">§ propamidina, isetionato de: </w:t>
                            </w:r>
                            <w:r>
                              <w:rPr>
                                <w:i/>
                                <w:iCs/>
                                <w:color w:val="000000"/>
                              </w:rPr>
                              <w:t>Brolene</w:t>
                            </w:r>
                            <w:r>
                              <w:rPr>
                                <w:color w:val="000000"/>
                              </w:rPr>
                              <w:t xml:space="preserve"> (Aventis, Canadá)</w:t>
                            </w:r>
                          </w:p>
                          <w:p w14:paraId="01598737" w14:textId="77777777" w:rsidR="00924992" w:rsidRDefault="00924992">
                            <w:pPr>
                              <w:pStyle w:val="Bodytext20"/>
                              <w:spacing w:line="262" w:lineRule="auto"/>
                              <w:ind w:left="180" w:hanging="180"/>
                            </w:pPr>
                            <w:r>
                              <w:rPr>
                                <w:color w:val="000000"/>
                              </w:rPr>
                              <w:t>§ quinina, diclorhidrato de quinina, sulfato de: muchos fabricantes</w:t>
                            </w:r>
                          </w:p>
                          <w:p w14:paraId="62A4F7BC" w14:textId="77777777" w:rsidR="00924992" w:rsidRDefault="00924992">
                            <w:pPr>
                              <w:pStyle w:val="Bodytext20"/>
                              <w:spacing w:line="262" w:lineRule="auto"/>
                            </w:pPr>
                            <w:r>
                              <w:rPr>
                                <w:color w:val="000000"/>
                              </w:rPr>
                              <w:t xml:space="preserve">t sódico, estibogluconato: </w:t>
                            </w:r>
                            <w:r>
                              <w:rPr>
                                <w:i/>
                                <w:iCs/>
                                <w:color w:val="000000"/>
                              </w:rPr>
                              <w:t>Pentostam</w:t>
                            </w:r>
                            <w:r>
                              <w:rPr>
                                <w:color w:val="000000"/>
                              </w:rPr>
                              <w:t xml:space="preserve"> (GlaxoSmithKline, Inglaterra)</w:t>
                            </w:r>
                          </w:p>
                          <w:p w14:paraId="6DC0CE52" w14:textId="77777777" w:rsidR="00924992" w:rsidRDefault="00924992">
                            <w:pPr>
                              <w:pStyle w:val="Bodytext20"/>
                              <w:spacing w:line="262" w:lineRule="auto"/>
                              <w:ind w:left="280" w:hanging="280"/>
                            </w:pPr>
                            <w:r>
                              <w:rPr>
                                <w:color w:val="000000"/>
                              </w:rPr>
                              <w:t xml:space="preserve">t suramina sódica: (Bayer, Alemania) tiabendazol: </w:t>
                            </w:r>
                            <w:r>
                              <w:rPr>
                                <w:i/>
                                <w:iCs/>
                                <w:color w:val="000000"/>
                              </w:rPr>
                              <w:t>Mintezol</w:t>
                            </w:r>
                            <w:r>
                              <w:rPr>
                                <w:color w:val="000000"/>
                              </w:rPr>
                              <w:t xml:space="preserve"> (Merck)</w:t>
                            </w:r>
                          </w:p>
                          <w:p w14:paraId="18B82218" w14:textId="77777777" w:rsidR="00924992" w:rsidRDefault="00924992">
                            <w:pPr>
                              <w:pStyle w:val="Bodytext20"/>
                              <w:spacing w:line="262" w:lineRule="auto"/>
                              <w:ind w:left="180" w:hanging="180"/>
                            </w:pPr>
                            <w:r>
                              <w:rPr>
                                <w:color w:val="000000"/>
                              </w:rPr>
                              <w:t xml:space="preserve">§ tinidazol: </w:t>
                            </w:r>
                            <w:r>
                              <w:rPr>
                                <w:i/>
                                <w:iCs/>
                                <w:color w:val="000000"/>
                              </w:rPr>
                              <w:t>Fasigyn</w:t>
                            </w:r>
                            <w:r>
                              <w:rPr>
                                <w:color w:val="000000"/>
                              </w:rPr>
                              <w:t xml:space="preserve"> (Pfizer)</w:t>
                            </w:r>
                          </w:p>
                          <w:p w14:paraId="6B00A166" w14:textId="77777777" w:rsidR="00924992" w:rsidRDefault="00924992">
                            <w:pPr>
                              <w:pStyle w:val="Bodytext20"/>
                              <w:numPr>
                                <w:ilvl w:val="0"/>
                                <w:numId w:val="144"/>
                              </w:numPr>
                              <w:tabs>
                                <w:tab w:val="left" w:pos="168"/>
                              </w:tabs>
                              <w:spacing w:line="262" w:lineRule="auto"/>
                              <w:ind w:left="180" w:hanging="180"/>
                            </w:pPr>
                            <w:bookmarkStart w:id="739" w:name="bookmark2131"/>
                            <w:bookmarkEnd w:id="739"/>
                            <w:r>
                              <w:rPr>
                                <w:color w:val="000000"/>
                              </w:rPr>
                              <w:t xml:space="preserve">triclabendazol: </w:t>
                            </w:r>
                            <w:r>
                              <w:rPr>
                                <w:i/>
                                <w:iCs/>
                                <w:color w:val="000000"/>
                              </w:rPr>
                              <w:t>Egaten</w:t>
                            </w:r>
                            <w:r>
                              <w:rPr>
                                <w:color w:val="000000"/>
                              </w:rPr>
                              <w:t xml:space="preserve"> (Novartis, Suiza) trimetrexato: </w:t>
                            </w:r>
                            <w:r>
                              <w:rPr>
                                <w:i/>
                                <w:iCs/>
                                <w:color w:val="000000"/>
                              </w:rPr>
                              <w:t>Neutrexin</w:t>
                            </w:r>
                            <w:r>
                              <w:rPr>
                                <w:color w:val="000000"/>
                              </w:rPr>
                              <w:t xml:space="preserve"> (US Bioscience) yodoquinol: Yodoxin (Glenwood), otros fabricantes</w:t>
                            </w:r>
                          </w:p>
                        </w:txbxContent>
                      </wps:txbx>
                      <wps:bodyPr lIns="0" tIns="0" rIns="0" bIns="0"/>
                    </wps:wsp>
                  </a:graphicData>
                </a:graphic>
              </wp:anchor>
            </w:drawing>
          </mc:Choice>
          <mc:Fallback>
            <w:pict>
              <v:shape w14:anchorId="5A0DEC95" id="Shape 2492" o:spid="_x0000_s1125" type="#_x0000_t202" style="position:absolute;margin-left:318.55pt;margin-top:34.55pt;width:277.9pt;height:261.6pt;z-index:251743232;visibility:visible;mso-wrap-style:square;mso-wrap-distance-left:0;mso-wrap-distance-top:34.55pt;mso-wrap-distance-right:0;mso-wrap-distance-bottom:11.85pt;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" filled="f" stroked="f">
                <v:textbox inset="0,0,0,0">
                  <w:txbxContent>
                    <w:p w14:paraId="13286D3A" w14:textId="77777777" w:rsidR="00924992" w:rsidRDefault="00924992">
                      <w:pPr>
                        <w:pStyle w:val="Bodytext20"/>
                        <w:spacing w:line="262" w:lineRule="auto"/>
                        <w:ind w:left="180" w:hanging="180"/>
                      </w:pPr>
                      <w:r>
                        <w:rPr>
                          <w:color w:val="000000"/>
                        </w:rPr>
                        <w:t xml:space="preserve">t nifurtimox: </w:t>
                      </w:r>
                      <w:r>
                        <w:rPr>
                          <w:i/>
                          <w:iCs/>
                          <w:color w:val="000000"/>
                        </w:rPr>
                        <w:t>Lampit</w:t>
                      </w:r>
                      <w:r>
                        <w:rPr>
                          <w:color w:val="000000"/>
                        </w:rPr>
                        <w:t xml:space="preserve"> (Bayer, Alemania)</w:t>
                      </w:r>
                    </w:p>
                    <w:p w14:paraId="10F2FBC0" w14:textId="77777777" w:rsidR="00924992" w:rsidRDefault="00924992">
                      <w:pPr>
                        <w:pStyle w:val="Bodytext20"/>
                        <w:numPr>
                          <w:ilvl w:val="0"/>
                          <w:numId w:val="144"/>
                        </w:numPr>
                        <w:tabs>
                          <w:tab w:val="left" w:pos="173"/>
                        </w:tabs>
                        <w:spacing w:line="262" w:lineRule="auto"/>
                        <w:ind w:left="180" w:hanging="180"/>
                      </w:pPr>
                      <w:bookmarkStart w:id="740" w:name="bookmark2130"/>
                      <w:bookmarkEnd w:id="740"/>
                      <w:r>
                        <w:rPr>
                          <w:color w:val="000000"/>
                        </w:rPr>
                        <w:t xml:space="preserve">nitazoxanida: </w:t>
                      </w:r>
                      <w:r>
                        <w:rPr>
                          <w:i/>
                          <w:iCs/>
                          <w:color w:val="000000"/>
                        </w:rPr>
                        <w:t>Cryptaz</w:t>
                      </w:r>
                      <w:r>
                        <w:rPr>
                          <w:color w:val="000000"/>
                        </w:rPr>
                        <w:t xml:space="preserve"> (Romark)</w:t>
                      </w:r>
                    </w:p>
                    <w:p w14:paraId="54B0B8A2" w14:textId="77777777" w:rsidR="00924992" w:rsidRDefault="00924992">
                      <w:pPr>
                        <w:pStyle w:val="Bodytext20"/>
                        <w:spacing w:line="262" w:lineRule="auto"/>
                        <w:ind w:left="180" w:hanging="180"/>
                      </w:pPr>
                      <w:r>
                        <w:rPr>
                          <w:color w:val="000000"/>
                        </w:rPr>
                        <w:t xml:space="preserve">§ ornidazol: </w:t>
                      </w:r>
                      <w:r>
                        <w:rPr>
                          <w:i/>
                          <w:iCs/>
                          <w:color w:val="000000"/>
                        </w:rPr>
                        <w:t>Tiberal</w:t>
                      </w:r>
                      <w:r>
                        <w:rPr>
                          <w:color w:val="000000"/>
                        </w:rPr>
                        <w:t xml:space="preserve"> (Roche, Francia) oxamniquina: </w:t>
                      </w:r>
                      <w:r>
                        <w:rPr>
                          <w:i/>
                          <w:iCs/>
                          <w:color w:val="000000"/>
                        </w:rPr>
                        <w:t>Vansil</w:t>
                      </w:r>
                      <w:r>
                        <w:rPr>
                          <w:color w:val="000000"/>
                        </w:rPr>
                        <w:t xml:space="preserve"> (Pfizer) paromomicina: </w:t>
                      </w:r>
                      <w:r>
                        <w:rPr>
                          <w:i/>
                          <w:iCs/>
                          <w:color w:val="000000"/>
                        </w:rPr>
                        <w:t>Humatin</w:t>
                      </w:r>
                      <w:r>
                        <w:rPr>
                          <w:color w:val="000000"/>
                        </w:rPr>
                        <w:t xml:space="preserve"> (Monarch); </w:t>
                      </w:r>
                      <w:r>
                        <w:rPr>
                          <w:i/>
                          <w:iCs/>
                          <w:color w:val="000000"/>
                        </w:rPr>
                        <w:t>Leshcutan</w:t>
                      </w:r>
                      <w:r>
                        <w:rPr>
                          <w:color w:val="000000"/>
                        </w:rPr>
                        <w:t xml:space="preserve"> (Teva Pharmaceutical Industries,</w:t>
                      </w:r>
                    </w:p>
                    <w:p w14:paraId="1AA80E6C" w14:textId="77777777" w:rsidR="00924992" w:rsidRDefault="00924992">
                      <w:pPr>
                        <w:pStyle w:val="Bodytext20"/>
                        <w:spacing w:line="262" w:lineRule="auto"/>
                        <w:ind w:left="180" w:firstLine="100"/>
                      </w:pPr>
                      <w:r>
                        <w:rPr>
                          <w:color w:val="000000"/>
                        </w:rPr>
                        <w:t xml:space="preserve">Ltd., Israel; [en Estados Unidos no se cuenta con la presentación tópica]) pentamidina, isetionato de: </w:t>
                      </w:r>
                      <w:r>
                        <w:rPr>
                          <w:i/>
                          <w:iCs/>
                          <w:color w:val="000000"/>
                        </w:rPr>
                        <w:t>Pentam 300,</w:t>
                      </w:r>
                      <w:r>
                        <w:rPr>
                          <w:color w:val="000000"/>
                        </w:rPr>
                        <w:t xml:space="preserve"> NebuPent (Fujisawa) permetrina: </w:t>
                      </w:r>
                      <w:r>
                        <w:rPr>
                          <w:i/>
                          <w:iCs/>
                          <w:color w:val="000000"/>
                        </w:rPr>
                        <w:t>Nix</w:t>
                      </w:r>
                      <w:r>
                        <w:rPr>
                          <w:color w:val="000000"/>
                        </w:rPr>
                        <w:t xml:space="preserve"> (GlaxoSmithKline), </w:t>
                      </w:r>
                      <w:r>
                        <w:rPr>
                          <w:i/>
                          <w:iCs/>
                          <w:color w:val="000000"/>
                        </w:rPr>
                        <w:t>Elimite</w:t>
                      </w:r>
                      <w:r>
                        <w:rPr>
                          <w:color w:val="000000"/>
                        </w:rPr>
                        <w:t xml:space="preserve"> (Allergan) pirantel, pamoato de: </w:t>
                      </w:r>
                      <w:r>
                        <w:rPr>
                          <w:i/>
                          <w:iCs/>
                          <w:color w:val="000000"/>
                        </w:rPr>
                        <w:t>Antiminth</w:t>
                      </w:r>
                      <w:r>
                        <w:rPr>
                          <w:color w:val="000000"/>
                        </w:rPr>
                        <w:t xml:space="preserve"> (Pfizer) piretrinas y butóxido de piperonilo: RID (Pfizer), otros fabricantes pirimetamina USP: </w:t>
                      </w:r>
                      <w:r>
                        <w:rPr>
                          <w:i/>
                          <w:iCs/>
                          <w:color w:val="000000"/>
                        </w:rPr>
                        <w:t>Daraprim</w:t>
                      </w:r>
                      <w:r>
                        <w:rPr>
                          <w:color w:val="000000"/>
                        </w:rPr>
                        <w:t xml:space="preserve"> (GlaxoSmithKline) praziquantel: </w:t>
                      </w:r>
                      <w:r>
                        <w:rPr>
                          <w:i/>
                          <w:iCs/>
                          <w:color w:val="000000"/>
                        </w:rPr>
                        <w:t>Biltricide</w:t>
                      </w:r>
                      <w:r>
                        <w:rPr>
                          <w:color w:val="000000"/>
                        </w:rPr>
                        <w:t xml:space="preserve"> (Bayer) primaquina, fosfato de, USP</w:t>
                      </w:r>
                    </w:p>
                    <w:p w14:paraId="3C3E0A78" w14:textId="77777777" w:rsidR="00924992" w:rsidRDefault="00924992">
                      <w:pPr>
                        <w:pStyle w:val="Bodytext20"/>
                        <w:spacing w:line="262" w:lineRule="auto"/>
                      </w:pPr>
                      <w:r>
                        <w:rPr>
                          <w:color w:val="000000"/>
                        </w:rPr>
                        <w:t xml:space="preserve">§ proguanilo: </w:t>
                      </w:r>
                      <w:r>
                        <w:rPr>
                          <w:i/>
                          <w:iCs/>
                          <w:color w:val="000000"/>
                        </w:rPr>
                        <w:t>Paludrine</w:t>
                      </w:r>
                      <w:r>
                        <w:rPr>
                          <w:color w:val="000000"/>
                        </w:rPr>
                        <w:t xml:space="preserve"> (Wyeth Ayerst, Canadá; AstraZeneca, Inglaterra);</w:t>
                      </w:r>
                    </w:p>
                    <w:p w14:paraId="33247124" w14:textId="77777777" w:rsidR="00924992" w:rsidRDefault="00924992">
                      <w:pPr>
                        <w:pStyle w:val="Bodytext20"/>
                        <w:spacing w:line="262" w:lineRule="auto"/>
                        <w:ind w:left="280"/>
                      </w:pPr>
                      <w:r>
                        <w:rPr>
                          <w:color w:val="000000"/>
                        </w:rPr>
                        <w:t xml:space="preserve">la combinación con atovacuona tiene como nombre </w:t>
                      </w:r>
                      <w:r>
                        <w:rPr>
                          <w:i/>
                          <w:iCs/>
                          <w:color w:val="000000"/>
                        </w:rPr>
                        <w:t xml:space="preserve">Malarone </w:t>
                      </w:r>
                      <w:r>
                        <w:rPr>
                          <w:color w:val="000000"/>
                        </w:rPr>
                        <w:t>(GlaxoSmithKline)</w:t>
                      </w:r>
                    </w:p>
                    <w:p w14:paraId="181539DD" w14:textId="77777777" w:rsidR="00924992" w:rsidRDefault="00924992">
                      <w:pPr>
                        <w:pStyle w:val="Bodytext20"/>
                        <w:spacing w:line="262" w:lineRule="auto"/>
                      </w:pPr>
                      <w:r>
                        <w:rPr>
                          <w:color w:val="000000"/>
                        </w:rPr>
                        <w:t xml:space="preserve">§ propamidina, isetionato de: </w:t>
                      </w:r>
                      <w:r>
                        <w:rPr>
                          <w:i/>
                          <w:iCs/>
                          <w:color w:val="000000"/>
                        </w:rPr>
                        <w:t>Brolene</w:t>
                      </w:r>
                      <w:r>
                        <w:rPr>
                          <w:color w:val="000000"/>
                        </w:rPr>
                        <w:t xml:space="preserve"> (Aventis, Canadá)</w:t>
                      </w:r>
                    </w:p>
                    <w:p w14:paraId="01598737" w14:textId="77777777" w:rsidR="00924992" w:rsidRDefault="00924992">
                      <w:pPr>
                        <w:pStyle w:val="Bodytext20"/>
                        <w:spacing w:line="262" w:lineRule="auto"/>
                        <w:ind w:left="180" w:hanging="180"/>
                      </w:pPr>
                      <w:r>
                        <w:rPr>
                          <w:color w:val="000000"/>
                        </w:rPr>
                        <w:t>§ quinina, diclorhidrato de quinina, sulfato de: muchos fabricantes</w:t>
                      </w:r>
                    </w:p>
                    <w:p w14:paraId="62A4F7BC" w14:textId="77777777" w:rsidR="00924992" w:rsidRDefault="00924992">
                      <w:pPr>
                        <w:pStyle w:val="Bodytext20"/>
                        <w:spacing w:line="262" w:lineRule="auto"/>
                      </w:pPr>
                      <w:r>
                        <w:rPr>
                          <w:color w:val="000000"/>
                        </w:rPr>
                        <w:t xml:space="preserve">t sódico, estibogluconato: </w:t>
                      </w:r>
                      <w:r>
                        <w:rPr>
                          <w:i/>
                          <w:iCs/>
                          <w:color w:val="000000"/>
                        </w:rPr>
                        <w:t>Pentostam</w:t>
                      </w:r>
                      <w:r>
                        <w:rPr>
                          <w:color w:val="000000"/>
                        </w:rPr>
                        <w:t xml:space="preserve"> (GlaxoSmithKline, Inglaterra)</w:t>
                      </w:r>
                    </w:p>
                    <w:p w14:paraId="6DC0CE52" w14:textId="77777777" w:rsidR="00924992" w:rsidRDefault="00924992">
                      <w:pPr>
                        <w:pStyle w:val="Bodytext20"/>
                        <w:spacing w:line="262" w:lineRule="auto"/>
                        <w:ind w:left="280" w:hanging="280"/>
                      </w:pPr>
                      <w:r>
                        <w:rPr>
                          <w:color w:val="000000"/>
                        </w:rPr>
                        <w:t xml:space="preserve">t suramina sódica: (Bayer, Alemania) tiabendazol: </w:t>
                      </w:r>
                      <w:r>
                        <w:rPr>
                          <w:i/>
                          <w:iCs/>
                          <w:color w:val="000000"/>
                        </w:rPr>
                        <w:t>Mintezol</w:t>
                      </w:r>
                      <w:r>
                        <w:rPr>
                          <w:color w:val="000000"/>
                        </w:rPr>
                        <w:t xml:space="preserve"> (Merck)</w:t>
                      </w:r>
                    </w:p>
                    <w:p w14:paraId="18B82218" w14:textId="77777777" w:rsidR="00924992" w:rsidRDefault="00924992">
                      <w:pPr>
                        <w:pStyle w:val="Bodytext20"/>
                        <w:spacing w:line="262" w:lineRule="auto"/>
                        <w:ind w:left="180" w:hanging="180"/>
                      </w:pPr>
                      <w:r>
                        <w:rPr>
                          <w:color w:val="000000"/>
                        </w:rPr>
                        <w:t xml:space="preserve">§ tinidazol: </w:t>
                      </w:r>
                      <w:r>
                        <w:rPr>
                          <w:i/>
                          <w:iCs/>
                          <w:color w:val="000000"/>
                        </w:rPr>
                        <w:t>Fasigyn</w:t>
                      </w:r>
                      <w:r>
                        <w:rPr>
                          <w:color w:val="000000"/>
                        </w:rPr>
                        <w:t xml:space="preserve"> (Pfizer)</w:t>
                      </w:r>
                    </w:p>
                    <w:p w14:paraId="6B00A166" w14:textId="77777777" w:rsidR="00924992" w:rsidRDefault="00924992">
                      <w:pPr>
                        <w:pStyle w:val="Bodytext20"/>
                        <w:numPr>
                          <w:ilvl w:val="0"/>
                          <w:numId w:val="144"/>
                        </w:numPr>
                        <w:tabs>
                          <w:tab w:val="left" w:pos="168"/>
                        </w:tabs>
                        <w:spacing w:line="262" w:lineRule="auto"/>
                        <w:ind w:left="180" w:hanging="180"/>
                      </w:pPr>
                      <w:bookmarkStart w:id="741" w:name="bookmark2131"/>
                      <w:bookmarkEnd w:id="741"/>
                      <w:r>
                        <w:rPr>
                          <w:color w:val="000000"/>
                        </w:rPr>
                        <w:t xml:space="preserve">triclabendazol: </w:t>
                      </w:r>
                      <w:r>
                        <w:rPr>
                          <w:i/>
                          <w:iCs/>
                          <w:color w:val="000000"/>
                        </w:rPr>
                        <w:t>Egaten</w:t>
                      </w:r>
                      <w:r>
                        <w:rPr>
                          <w:color w:val="000000"/>
                        </w:rPr>
                        <w:t xml:space="preserve"> (Novartis, Suiza) trimetrexato: </w:t>
                      </w:r>
                      <w:r>
                        <w:rPr>
                          <w:i/>
                          <w:iCs/>
                          <w:color w:val="000000"/>
                        </w:rPr>
                        <w:t>Neutrexin</w:t>
                      </w:r>
                      <w:r>
                        <w:rPr>
                          <w:color w:val="000000"/>
                        </w:rPr>
                        <w:t xml:space="preserve"> (US Bioscience) yodoquinol: Yodoxin (Glenwood), otros fabricantes</w:t>
                      </w:r>
                    </w:p>
                  </w:txbxContent>
                </v:textbox>
                <w10:wrap type="topAndBottom" anchorx="page"/>
              </v:shape>
            </w:pict>
          </mc:Fallback>
        </mc:AlternateContent>
      </w:r>
      <w:r>
        <w:rPr>
          <w:noProof/>
        </w:rPr>
        <mc:AlternateContent>
          <mc:Choice Requires="wps">
            <w:drawing>
              <wp:anchor distT="21590" distB="1009650" distL="0" distR="0" simplePos="0" relativeHeight="251744256" behindDoc="0" locked="0" layoutInCell="1" allowOverlap="1" wp14:anchorId="433E5952" wp14:editId="49F5813F">
                <wp:simplePos x="0" y="0"/>
                <wp:positionH relativeFrom="page">
                  <wp:posOffset>7879715</wp:posOffset>
                </wp:positionH>
                <wp:positionV relativeFrom="paragraph">
                  <wp:posOffset>21590</wp:posOffset>
                </wp:positionV>
                <wp:extent cx="121920" cy="2880360"/>
                <wp:effectExtent l="0" t="0" r="0" b="0"/>
                <wp:wrapTopAndBottom/>
                <wp:docPr id="2494" name="Shape 2494"/>
                <wp:cNvGraphicFramePr/>
                <a:graphic xmlns:a="http://schemas.openxmlformats.org/drawingml/2006/main">
                  <a:graphicData uri="http://schemas.microsoft.com/office/word/2010/wordprocessingShape">
                    <wps:wsp>
                      <wps:cNvSpPr txBox="1"/>
                      <wps:spPr>
                        <a:xfrm>
                          <a:off x="0" y="0"/>
                          <a:ext cx="121920" cy="2880360"/>
                        </a:xfrm>
                        <a:prstGeom prst="rect">
                          <a:avLst/>
                        </a:prstGeom>
                        <a:noFill/>
                      </wps:spPr>
                      <wps:txbx>
                        <w:txbxContent>
                          <w:p w14:paraId="3BBD7B48" w14:textId="77777777" w:rsidR="00924992" w:rsidRDefault="00924992">
                            <w:pPr>
                              <w:pStyle w:val="Bodytext80"/>
                              <w:tabs>
                                <w:tab w:val="left" w:pos="2338"/>
                              </w:tabs>
                            </w:pPr>
                            <w:r>
                              <w:rPr>
                                <w:sz w:val="16"/>
                                <w:szCs w:val="16"/>
                              </w:rPr>
                              <w:t>806</w:t>
                            </w:r>
                            <w:r>
                              <w:rPr>
                                <w:sz w:val="16"/>
                                <w:szCs w:val="16"/>
                              </w:rPr>
                              <w:tab/>
                            </w:r>
                            <w:r>
                              <w:t>FÁRMACOS ANTIPARASITARIOS</w:t>
                            </w:r>
                          </w:p>
                        </w:txbxContent>
                      </wps:txbx>
                      <wps:bodyPr vert="vert" lIns="0" tIns="0" rIns="0" bIns="0" upright="1"/>
                    </wps:wsp>
                  </a:graphicData>
                </a:graphic>
              </wp:anchor>
            </w:drawing>
          </mc:Choice>
          <mc:Fallback>
            <w:pict>
              <v:shape w14:anchorId="433E5952" id="Shape 2494" o:spid="_x0000_s1126" type="#_x0000_t202" style="position:absolute;margin-left:620.45pt;margin-top:1.7pt;width:9.6pt;height:226.8pt;z-index:251744256;visibility:visible;mso-wrap-style:square;mso-wrap-distance-left:0;mso-wrap-distance-top:1.7pt;mso-wrap-distance-right:0;mso-wrap-distance-bottom:79.5pt;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" filled="f" stroked="f">
                <v:textbox style="layout-flow:vertical" inset="0,0,0,0">
                  <w:txbxContent>
                    <w:p w14:paraId="3BBD7B48" w14:textId="77777777" w:rsidR="00924992" w:rsidRDefault="00924992">
                      <w:pPr>
                        <w:pStyle w:val="Bodytext80"/>
                        <w:tabs>
                          <w:tab w:val="left" w:pos="2338"/>
                        </w:tabs>
                      </w:pPr>
                      <w:r>
                        <w:rPr>
                          <w:sz w:val="16"/>
                          <w:szCs w:val="16"/>
                        </w:rPr>
                        <w:t>806</w:t>
                      </w:r>
                      <w:r>
                        <w:rPr>
                          <w:sz w:val="16"/>
                          <w:szCs w:val="16"/>
                        </w:rPr>
                        <w:tab/>
                      </w:r>
                      <w:r>
                        <w:t>FÁRMACOS ANTIPARASITARIOS</w:t>
                      </w:r>
                    </w:p>
                  </w:txbxContent>
                </v:textbox>
                <w10:wrap type="topAndBottom" anchorx="page"/>
              </v:shape>
            </w:pict>
          </mc:Fallback>
        </mc:AlternateContent>
      </w:r>
    </w:p>
    <w:p w14:paraId="7F74CA97" w14:textId="77777777" w:rsidR="00924992" w:rsidRDefault="00924992">
      <w:pPr>
        <w:pStyle w:val="Bodytext20"/>
        <w:spacing w:line="233" w:lineRule="auto"/>
        <w:rPr>
          <w:sz w:val="15"/>
          <w:szCs w:val="15"/>
        </w:rPr>
      </w:pPr>
      <w:r>
        <w:rPr>
          <w:color w:val="000000"/>
          <w:sz w:val="15"/>
          <w:szCs w:val="15"/>
        </w:rPr>
        <w:t>* Se puede conseguir en Estados Unidos únicamente del fabricante.</w:t>
      </w:r>
    </w:p>
    <w:p w14:paraId="3E8CF1D3" w14:textId="77777777" w:rsidR="00924992" w:rsidRDefault="00924992">
      <w:pPr>
        <w:pStyle w:val="Bodytext20"/>
        <w:spacing w:line="233" w:lineRule="auto"/>
        <w:rPr>
          <w:sz w:val="15"/>
          <w:szCs w:val="15"/>
        </w:rPr>
      </w:pPr>
      <w:r>
        <w:rPr>
          <w:color w:val="000000"/>
          <w:sz w:val="15"/>
          <w:szCs w:val="15"/>
        </w:rPr>
        <w:t>§ No asequible en Estados Unidos.</w:t>
      </w:r>
    </w:p>
    <w:p w14:paraId="402605F1" w14:textId="77777777" w:rsidR="00924992" w:rsidRDefault="00924992">
      <w:pPr>
        <w:pStyle w:val="Bodytext20"/>
        <w:spacing w:line="233" w:lineRule="auto"/>
        <w:ind w:left="200" w:hanging="200"/>
        <w:rPr>
          <w:sz w:val="15"/>
          <w:szCs w:val="15"/>
        </w:rPr>
        <w:sectPr w:rsidR="00924992" w:rsidSect="00924992">
          <w:type w:val="continuous"/>
          <w:pgSz w:w="13022" w:h="8501" w:orient="landscape"/>
          <w:pgMar w:top="1085" w:right="1033" w:bottom="664" w:left="623" w:header="657" w:footer="3" w:gutter="0"/>
          <w:cols w:space="720"/>
          <w:noEndnote/>
          <w:docGrid w:linePitch="360"/>
          <w15:footnoteColumns w:val="1"/>
        </w:sectPr>
      </w:pPr>
      <w:r>
        <w:rPr>
          <w:color w:val="000000"/>
          <w:sz w:val="15"/>
          <w:szCs w:val="15"/>
        </w:rPr>
        <w:t xml:space="preserve">t Está a la disposición conforme al protocolo de Nuevos Fármacos en Investigación </w:t>
      </w:r>
      <w:r>
        <w:rPr>
          <w:i/>
          <w:iCs/>
          <w:color w:val="000000"/>
          <w:sz w:val="15"/>
          <w:szCs w:val="15"/>
        </w:rPr>
        <w:t>(Investigational New Drug,</w:t>
      </w:r>
      <w:r>
        <w:rPr>
          <w:color w:val="000000"/>
          <w:sz w:val="15"/>
          <w:szCs w:val="15"/>
        </w:rPr>
        <w:t xml:space="preserve"> IND) del CDC Drug Service, Centers for Disease Control and Prevention, Atlanta, Georgia 30333; 404-639-3670 (noches, fines de semana o días festivos: 404-639-2888).</w:t>
      </w:r>
    </w:p>
    <w:p w14:paraId="0DBEC3AC" w14:textId="77777777" w:rsidR="00924992" w:rsidRDefault="00924992">
      <w:pPr>
        <w:pStyle w:val="Other0"/>
        <w:spacing w:before="320" w:after="100" w:line="350" w:lineRule="auto"/>
        <w:ind w:firstLine="0"/>
        <w:jc w:val="center"/>
        <w:rPr>
          <w:sz w:val="32"/>
          <w:szCs w:val="32"/>
        </w:rPr>
      </w:pPr>
      <w:r>
        <w:rPr>
          <w:rFonts w:ascii="Times New Roman" w:eastAsia="Times New Roman" w:hAnsi="Times New Roman" w:cs="Times New Roman"/>
          <w:smallCaps/>
          <w:color w:val="000000"/>
          <w:sz w:val="34"/>
          <w:szCs w:val="34"/>
        </w:rPr>
        <w:t>M</w:t>
      </w:r>
      <w:r>
        <w:rPr>
          <w:rFonts w:ascii="Times New Roman" w:eastAsia="Times New Roman" w:hAnsi="Times New Roman" w:cs="Times New Roman"/>
          <w:smallCaps/>
          <w:color w:val="000000"/>
          <w:sz w:val="32"/>
          <w:szCs w:val="32"/>
        </w:rPr>
        <w:t>ed</w:t>
      </w:r>
      <w:r>
        <w:rPr>
          <w:rFonts w:ascii="Times New Roman" w:eastAsia="Times New Roman" w:hAnsi="Times New Roman" w:cs="Times New Roman"/>
          <w:smallCaps/>
          <w:color w:val="000000"/>
          <w:sz w:val="34"/>
          <w:szCs w:val="34"/>
        </w:rPr>
        <w:t>W</w:t>
      </w:r>
      <w:r>
        <w:rPr>
          <w:rFonts w:ascii="Times New Roman" w:eastAsia="Times New Roman" w:hAnsi="Times New Roman" w:cs="Times New Roman"/>
          <w:smallCaps/>
          <w:color w:val="000000"/>
          <w:sz w:val="32"/>
          <w:szCs w:val="32"/>
        </w:rPr>
        <w:t>atch</w:t>
      </w:r>
      <w:r>
        <w:rPr>
          <w:rFonts w:ascii="Times New Roman" w:eastAsia="Times New Roman" w:hAnsi="Times New Roman" w:cs="Times New Roman"/>
          <w:smallCaps/>
          <w:color w:val="000000"/>
          <w:sz w:val="34"/>
          <w:szCs w:val="34"/>
        </w:rPr>
        <w:t>-</w:t>
      </w:r>
      <w:r>
        <w:rPr>
          <w:rFonts w:ascii="Times New Roman" w:eastAsia="Times New Roman" w:hAnsi="Times New Roman" w:cs="Times New Roman"/>
          <w:smallCaps/>
          <w:color w:val="000000"/>
          <w:sz w:val="32"/>
          <w:szCs w:val="32"/>
        </w:rPr>
        <w:t>programa de información</w:t>
      </w:r>
      <w:r>
        <w:rPr>
          <w:rFonts w:ascii="Times New Roman" w:eastAsia="Times New Roman" w:hAnsi="Times New Roman" w:cs="Times New Roman"/>
          <w:smallCaps/>
          <w:color w:val="000000"/>
          <w:sz w:val="32"/>
          <w:szCs w:val="32"/>
        </w:rPr>
        <w:br/>
      </w:r>
      <w:r>
        <w:rPr>
          <w:rFonts w:ascii="Times New Roman" w:eastAsia="Times New Roman" w:hAnsi="Times New Roman" w:cs="Times New Roman"/>
          <w:color w:val="000000"/>
          <w:sz w:val="26"/>
          <w:szCs w:val="26"/>
        </w:rPr>
        <w:t>SOBRE SEGURIDAD Y NOTIFICACIÓN</w:t>
      </w:r>
      <w:r>
        <w:rPr>
          <w:rFonts w:ascii="Times New Roman" w:eastAsia="Times New Roman" w:hAnsi="Times New Roman" w:cs="Times New Roman"/>
          <w:color w:val="000000"/>
          <w:sz w:val="26"/>
          <w:szCs w:val="26"/>
        </w:rPr>
        <w:br/>
        <w:t xml:space="preserve">DE REACCIONES ADVERSAS </w:t>
      </w:r>
      <w:r>
        <w:rPr>
          <w:rFonts w:ascii="Times New Roman" w:eastAsia="Times New Roman" w:hAnsi="Times New Roman" w:cs="Times New Roman"/>
          <w:color w:val="000000"/>
          <w:sz w:val="32"/>
          <w:szCs w:val="32"/>
        </w:rPr>
        <w:t>(</w:t>
      </w:r>
      <w:r>
        <w:rPr>
          <w:rFonts w:ascii="Times New Roman" w:eastAsia="Times New Roman" w:hAnsi="Times New Roman" w:cs="Times New Roman"/>
          <w:color w:val="000000"/>
          <w:sz w:val="26"/>
          <w:szCs w:val="26"/>
        </w:rPr>
        <w:t>FDA</w:t>
      </w:r>
      <w:r>
        <w:rPr>
          <w:rFonts w:ascii="Times New Roman" w:eastAsia="Times New Roman" w:hAnsi="Times New Roman" w:cs="Times New Roman"/>
          <w:color w:val="000000"/>
          <w:sz w:val="32"/>
          <w:szCs w:val="32"/>
        </w:rPr>
        <w:t>)</w:t>
      </w:r>
    </w:p>
    <w:p w14:paraId="6A655E25" w14:textId="77777777" w:rsidR="00924992" w:rsidRDefault="00924992">
      <w:pPr>
        <w:pStyle w:val="BodyText"/>
        <w:spacing w:line="266" w:lineRule="auto"/>
        <w:ind w:firstLine="0"/>
      </w:pPr>
      <w:r>
        <w:rPr>
          <w:smallCaps/>
          <w:color w:val="000000"/>
          <w:sz w:val="20"/>
          <w:szCs w:val="20"/>
        </w:rPr>
        <w:t>M</w:t>
      </w:r>
      <w:r>
        <w:rPr>
          <w:smallCaps/>
          <w:color w:val="000000"/>
          <w:sz w:val="18"/>
          <w:szCs w:val="18"/>
        </w:rPr>
        <w:t>ed</w:t>
      </w:r>
      <w:r>
        <w:rPr>
          <w:smallCaps/>
          <w:color w:val="000000"/>
          <w:sz w:val="20"/>
          <w:szCs w:val="20"/>
        </w:rPr>
        <w:t>W</w:t>
      </w:r>
      <w:r>
        <w:rPr>
          <w:smallCaps/>
          <w:color w:val="000000"/>
          <w:sz w:val="18"/>
          <w:szCs w:val="18"/>
        </w:rPr>
        <w:t>atch</w:t>
      </w:r>
      <w:r>
        <w:rPr>
          <w:smallCaps/>
          <w:color w:val="000000"/>
          <w:sz w:val="20"/>
          <w:szCs w:val="20"/>
        </w:rPr>
        <w:t>,</w:t>
      </w:r>
      <w:r>
        <w:rPr>
          <w:color w:val="000000"/>
        </w:rPr>
        <w:t xml:space="preserve"> el programa de información sobre seguridad y notificación de reacciones adversas de la </w:t>
      </w:r>
      <w:r>
        <w:rPr>
          <w:rFonts w:ascii="Times New Roman" w:eastAsia="Times New Roman" w:hAnsi="Times New Roman" w:cs="Times New Roman"/>
          <w:i/>
          <w:iCs/>
          <w:color w:val="000000"/>
          <w:sz w:val="16"/>
          <w:szCs w:val="16"/>
        </w:rPr>
        <w:t>Food and Drug Administration</w:t>
      </w:r>
      <w:r>
        <w:rPr>
          <w:color w:val="000000"/>
        </w:rPr>
        <w:t xml:space="preserve"> (FDA), es un programa que se extiende al sistema asistencial e incluye médicos, enfermeras, farmacéuticos y pacientes, para mejorar la eficacia de las actividades de control de riesgos de la FDA en el caso de todos los productos clínicos y médicos regulados, los cuales incluyen fármacos, productos biológicos, aparatos y dispositivos médicos y suplementos de la dieta.</w:t>
      </w:r>
    </w:p>
    <w:p w14:paraId="4DD9A847" w14:textId="77777777" w:rsidR="00924992" w:rsidRDefault="00924992">
      <w:pPr>
        <w:pStyle w:val="BodyText"/>
        <w:ind w:firstLine="360"/>
      </w:pPr>
      <w:r>
        <w:rPr>
          <w:color w:val="000000"/>
        </w:rPr>
        <w:t xml:space="preserve">El programa </w:t>
      </w:r>
      <w:r>
        <w:rPr>
          <w:smallCaps/>
          <w:color w:val="000000"/>
          <w:sz w:val="20"/>
          <w:szCs w:val="20"/>
        </w:rPr>
        <w:t>M</w:t>
      </w:r>
      <w:r>
        <w:rPr>
          <w:smallCaps/>
          <w:color w:val="000000"/>
          <w:sz w:val="18"/>
          <w:szCs w:val="18"/>
        </w:rPr>
        <w:t>ed</w:t>
      </w:r>
      <w:r>
        <w:rPr>
          <w:smallCaps/>
          <w:color w:val="000000"/>
          <w:sz w:val="20"/>
          <w:szCs w:val="20"/>
        </w:rPr>
        <w:t>W</w:t>
      </w:r>
      <w:r>
        <w:rPr>
          <w:smallCaps/>
          <w:color w:val="000000"/>
          <w:sz w:val="18"/>
          <w:szCs w:val="18"/>
        </w:rPr>
        <w:t>atch</w:t>
      </w:r>
      <w:r>
        <w:rPr>
          <w:color w:val="000000"/>
        </w:rPr>
        <w:t xml:space="preserve"> persigue dos objetivos: 1) aportar información clínicamente valiosa y oportuna sobre inocuidad y seguridad a los profesionistas asistenciales y sus pacientes; y 2) alentar y facilitar la notificación de efectos adversos graves. La FDA emplea estas notificaciones como fuente de datos para identificar y valorar nuevos problemas de seguridad e inocuidad con fármacos y dispositivos después que han sido aprobados y usados más ampliamente en la práctica. Con esta nueva información, la FDA puede elaborar, junto con el fabricante, un producto modificado, con información e instrucciones para el paciente revisadas y con mayor aporte de opiniones profesionales, y una estrategia de uso diferente, todo lo cual redundará en una mayor inocuidad del fármaco.</w:t>
      </w:r>
    </w:p>
    <w:p w14:paraId="321988C8" w14:textId="77777777" w:rsidR="00924992" w:rsidRDefault="00924992">
      <w:pPr>
        <w:pStyle w:val="BodyText"/>
        <w:ind w:firstLine="360"/>
      </w:pPr>
      <w:r>
        <w:rPr>
          <w:color w:val="000000"/>
        </w:rPr>
        <w:t xml:space="preserve">Los profesionales asistenciales están colocados en la mejor posición para identificar reacciones adversas graves e inesperadas a fármacos </w:t>
      </w:r>
      <w:r>
        <w:rPr>
          <w:i/>
          <w:iCs/>
          <w:color w:val="000000"/>
        </w:rPr>
        <w:t>(</w:t>
      </w:r>
      <w:r>
        <w:rPr>
          <w:rFonts w:ascii="Times New Roman" w:eastAsia="Times New Roman" w:hAnsi="Times New Roman" w:cs="Times New Roman"/>
          <w:i/>
          <w:iCs/>
          <w:color w:val="000000"/>
          <w:sz w:val="16"/>
          <w:szCs w:val="16"/>
        </w:rPr>
        <w:t>adverse drug reactions</w:t>
      </w:r>
      <w:r>
        <w:rPr>
          <w:i/>
          <w:iCs/>
          <w:color w:val="000000"/>
        </w:rPr>
        <w:t>,</w:t>
      </w:r>
      <w:r>
        <w:rPr>
          <w:color w:val="000000"/>
        </w:rPr>
        <w:t xml:space="preserve"> ADR), errores en la administración de medicamentos y problemas de calidad de los productos que surgen con el empleo de las diversas sustancias médicas. En aras de la salud pública, la FDA y los fabricantes dependen de los clínicos para identificar e informar voluntariamente tales situaciones cuando se sospecha un vínculo entre un producto farmacéutico y un efecto o resultado lesivos y graves.</w:t>
      </w:r>
    </w:p>
    <w:p w14:paraId="18A12418" w14:textId="77777777" w:rsidR="00924992" w:rsidRDefault="00924992">
      <w:pPr>
        <w:pStyle w:val="BodyText"/>
        <w:ind w:firstLine="360"/>
      </w:pPr>
      <w:r>
        <w:rPr>
          <w:color w:val="000000"/>
        </w:rPr>
        <w:t xml:space="preserve">Las reacciones adversas después de aplicar vacunas no son notificadas a </w:t>
      </w:r>
      <w:r>
        <w:rPr>
          <w:smallCaps/>
          <w:color w:val="000000"/>
          <w:sz w:val="20"/>
          <w:szCs w:val="20"/>
        </w:rPr>
        <w:t>M</w:t>
      </w:r>
      <w:r>
        <w:rPr>
          <w:smallCaps/>
          <w:color w:val="000000"/>
          <w:sz w:val="18"/>
          <w:szCs w:val="18"/>
        </w:rPr>
        <w:t>ed</w:t>
      </w:r>
      <w:r>
        <w:rPr>
          <w:smallCaps/>
          <w:color w:val="000000"/>
          <w:sz w:val="20"/>
          <w:szCs w:val="20"/>
        </w:rPr>
        <w:t>W</w:t>
      </w:r>
      <w:r>
        <w:rPr>
          <w:smallCaps/>
          <w:color w:val="000000"/>
          <w:sz w:val="18"/>
          <w:szCs w:val="18"/>
        </w:rPr>
        <w:t>atch</w:t>
      </w:r>
      <w:r>
        <w:rPr>
          <w:smallCaps/>
          <w:color w:val="000000"/>
          <w:sz w:val="20"/>
          <w:szCs w:val="20"/>
        </w:rPr>
        <w:t xml:space="preserve">, </w:t>
      </w:r>
      <w:r>
        <w:rPr>
          <w:color w:val="000000"/>
        </w:rPr>
        <w:t>pero deben serlo al Sistema de Notificación de Reacciones Adversas a Vacunas (</w:t>
      </w:r>
      <w:hyperlink r:id="rId377" w:history="1">
        <w:r>
          <w:rPr>
            <w:color w:val="000000"/>
          </w:rPr>
          <w:t>www.fda.gov/cber/vaers/report.htm</w:t>
        </w:r>
      </w:hyperlink>
      <w:r>
        <w:rPr>
          <w:color w:val="000000"/>
        </w:rPr>
        <w:t>; véase “Notificación de reacciones adversas” sección 1).</w:t>
      </w:r>
    </w:p>
    <w:p w14:paraId="78F27279" w14:textId="77777777" w:rsidR="00924992" w:rsidRDefault="00924992">
      <w:pPr>
        <w:pStyle w:val="BodyText"/>
        <w:ind w:firstLine="360"/>
      </w:pPr>
      <w:r>
        <w:rPr>
          <w:color w:val="000000"/>
        </w:rPr>
        <w:t xml:space="preserve">La forma de notificación voluntaria a </w:t>
      </w:r>
      <w:r>
        <w:rPr>
          <w:smallCaps/>
          <w:color w:val="000000"/>
          <w:sz w:val="20"/>
          <w:szCs w:val="20"/>
        </w:rPr>
        <w:t>M</w:t>
      </w:r>
      <w:r>
        <w:rPr>
          <w:smallCaps/>
          <w:color w:val="000000"/>
          <w:sz w:val="18"/>
          <w:szCs w:val="18"/>
        </w:rPr>
        <w:t>ed</w:t>
      </w:r>
      <w:r>
        <w:rPr>
          <w:smallCaps/>
          <w:color w:val="000000"/>
          <w:sz w:val="20"/>
          <w:szCs w:val="20"/>
        </w:rPr>
        <w:t>W</w:t>
      </w:r>
      <w:r>
        <w:rPr>
          <w:smallCaps/>
          <w:color w:val="000000"/>
          <w:sz w:val="18"/>
          <w:szCs w:val="18"/>
        </w:rPr>
        <w:t>atch</w:t>
      </w:r>
      <w:r>
        <w:rPr>
          <w:color w:val="000000"/>
        </w:rPr>
        <w:t xml:space="preserve"> es un formato sencillo de una página, con porte postal pagado (fig. 4-1). La página web de </w:t>
      </w:r>
      <w:r>
        <w:rPr>
          <w:smallCaps/>
          <w:color w:val="000000"/>
          <w:sz w:val="20"/>
          <w:szCs w:val="20"/>
        </w:rPr>
        <w:t>M</w:t>
      </w:r>
      <w:r>
        <w:rPr>
          <w:smallCaps/>
          <w:color w:val="000000"/>
          <w:sz w:val="18"/>
          <w:szCs w:val="18"/>
        </w:rPr>
        <w:t>ed</w:t>
      </w:r>
      <w:r>
        <w:rPr>
          <w:smallCaps/>
          <w:color w:val="000000"/>
          <w:sz w:val="20"/>
          <w:szCs w:val="20"/>
        </w:rPr>
        <w:t>W</w:t>
      </w:r>
      <w:r>
        <w:rPr>
          <w:smallCaps/>
          <w:color w:val="000000"/>
          <w:sz w:val="18"/>
          <w:szCs w:val="18"/>
        </w:rPr>
        <w:t xml:space="preserve">atch </w:t>
      </w:r>
      <w:r>
        <w:rPr>
          <w:color w:val="000000"/>
        </w:rPr>
        <w:t>(</w:t>
      </w:r>
      <w:hyperlink r:id="rId378" w:history="1">
        <w:r>
          <w:rPr>
            <w:color w:val="000000"/>
          </w:rPr>
          <w:t>www.fda.gov/medwatch</w:t>
        </w:r>
      </w:hyperlink>
      <w:r>
        <w:rPr>
          <w:color w:val="000000"/>
        </w:rPr>
        <w:t>) ofrece una versión en línea que puede llenarse y enviarse inmediatamente a la FDA. La página web también tiene la posibilidad de descargar e imprimir la forma. Dicho formato puede ser devuelto por fax (800-FDA-0178) o correo. Se dispone de un número gratuito (800-FDA-1088) para que profesionales asistenciales y consumidores realicen el informe por teléfono o soliciten formas en blanco con las instrucciones.</w:t>
      </w:r>
    </w:p>
    <w:p w14:paraId="081E9049" w14:textId="77777777" w:rsidR="00924992" w:rsidRDefault="00924992">
      <w:pPr>
        <w:pStyle w:val="Other0"/>
        <w:pBdr>
          <w:bottom w:val="single" w:sz="4" w:space="0" w:color="auto"/>
        </w:pBdr>
        <w:spacing w:after="720" w:line="240" w:lineRule="auto"/>
        <w:ind w:firstLine="0"/>
      </w:pPr>
      <w:r>
        <w:rPr>
          <w:rFonts w:ascii="Book Antiqua" w:eastAsia="Book Antiqua" w:hAnsi="Book Antiqua" w:cs="Book Antiqua"/>
          <w:smallCaps/>
          <w:sz w:val="22"/>
          <w:szCs w:val="22"/>
        </w:rPr>
        <w:t>Sección</w:t>
      </w:r>
      <w:r>
        <w:rPr>
          <w:rFonts w:ascii="Book Antiqua" w:eastAsia="Book Antiqua" w:hAnsi="Book Antiqua" w:cs="Book Antiqua"/>
        </w:rPr>
        <w:t xml:space="preserve"> 5</w:t>
      </w:r>
    </w:p>
    <w:p w14:paraId="1791EB9B" w14:textId="77777777" w:rsidR="00924992" w:rsidRDefault="00924992">
      <w:pPr>
        <w:pStyle w:val="Heading11"/>
        <w:keepNext/>
        <w:keepLines/>
      </w:pPr>
      <w:bookmarkStart w:id="742" w:name="bookmark2142"/>
      <w:bookmarkStart w:id="743" w:name="bookmark2143"/>
      <w:bookmarkStart w:id="744" w:name="bookmark2144"/>
      <w:r>
        <w:t>Profilaxia antimicrobiana</w:t>
      </w:r>
      <w:bookmarkEnd w:id="742"/>
      <w:bookmarkEnd w:id="743"/>
      <w:bookmarkEnd w:id="744"/>
    </w:p>
    <w:p w14:paraId="54085DCB" w14:textId="77777777" w:rsidR="00924992" w:rsidRDefault="00924992">
      <w:pPr>
        <w:pStyle w:val="Bodytext100"/>
      </w:pPr>
      <w:r>
        <w:rPr>
          <w:sz w:val="34"/>
          <w:szCs w:val="34"/>
        </w:rPr>
        <w:t>P</w:t>
      </w:r>
      <w:r>
        <w:t>rofilaxia antimicrobiana</w:t>
      </w:r>
    </w:p>
    <w:p w14:paraId="60030F55" w14:textId="77777777" w:rsidR="00924992" w:rsidRDefault="00924992">
      <w:pPr>
        <w:pStyle w:val="BodyText"/>
        <w:ind w:firstLine="0"/>
      </w:pPr>
      <w:r>
        <w:t xml:space="preserve">Los agentes antimicrobianos por lo común se administran para evitar infecciones en lactantes y niños. La eficacia del empleo profiláctico de tales agentes ha sido corroborada en algunos cuadros, pero no en la mayor parte de ellos. </w:t>
      </w:r>
      <w:r>
        <w:rPr>
          <w:rFonts w:ascii="Times New Roman" w:eastAsia="Times New Roman" w:hAnsi="Times New Roman" w:cs="Times New Roman"/>
          <w:i/>
          <w:iCs/>
          <w:sz w:val="16"/>
          <w:szCs w:val="16"/>
        </w:rPr>
        <w:t>Profilaxia</w:t>
      </w:r>
      <w:r>
        <w:t xml:space="preserve"> se define como el empleo de los antimicrobianos en ausencia de infecciones sospechadas o corroboradas, para así disminuir la incidencia del problema.</w:t>
      </w:r>
    </w:p>
    <w:p w14:paraId="707020DE" w14:textId="77777777" w:rsidR="00924992" w:rsidRDefault="00924992">
      <w:pPr>
        <w:pStyle w:val="BodyText"/>
        <w:spacing w:after="100"/>
        <w:ind w:firstLine="360"/>
      </w:pPr>
      <w:r>
        <w:t>La quimioprofilaxia se dirige a objetivos diferentes, aunque no excluyentes mutuamente: patógenos específicos, sitios del cuerpo predispuestos a infecciones y hospedadores vulnerables. La profilaxia eficaz se alcanza con mayor facilidad en el caso de algunos patógenos específicos y sitios corporales. En cualquier situación en que se considere la administración profiláctica de antimicrobianos hay que comparar el peligro de que surjan microorganismos resistentes con los beneficios posibles. Los agentes profilácticos deben contar con el espectro más selectivo o limitado de actividad antimicrobiana que sea posible y se utilizarán por el lapso más breve que sea permisible.</w:t>
      </w:r>
    </w:p>
    <w:p w14:paraId="18A9E18E" w14:textId="77777777" w:rsidR="00924992" w:rsidRDefault="00924992">
      <w:pPr>
        <w:pStyle w:val="Bodytext70"/>
      </w:pPr>
      <w:r>
        <w:t>Patógenos específicos</w:t>
      </w:r>
    </w:p>
    <w:p w14:paraId="483ED6A2" w14:textId="77777777" w:rsidR="00924992" w:rsidRDefault="00924992">
      <w:pPr>
        <w:pStyle w:val="BodyText"/>
        <w:spacing w:after="100"/>
        <w:ind w:firstLine="0"/>
      </w:pPr>
      <w:r>
        <w:t>La profilaxia puede ser apropiada o estar indicada si hay un mayor peligro de infección grave con un patógeno específico y se cuenta con un antimicrobiano específico que puede eliminarlo en personas en peligro de contagio, con mínimos efectos adversos. En el caso de algunos patógenos que colonizan la porción alta de vías respiratorias, es difícil eliminar el estado de portador que a veces obliga a utilizar algún antimicrobiano como la rifampicina, que alcanza concentraciones eficaces en las secreciones nasofaríngeas, propiedad que no tienen muchos agentes de este tipo usados a menudo para combatir infecciones causadas por los patógenos en cuestión. Para las situaciones en que se recomienda la profilaxia, en la sección 3 se describe el régimen en el resumen específico de cada enfermedad.</w:t>
      </w:r>
    </w:p>
    <w:p w14:paraId="2DBCDAB9" w14:textId="77777777" w:rsidR="00924992" w:rsidRDefault="00924992">
      <w:pPr>
        <w:pStyle w:val="Bodytext70"/>
      </w:pPr>
      <w:r>
        <w:t>Sitios corporales predispuestos a infecciones</w:t>
      </w:r>
    </w:p>
    <w:p w14:paraId="411FA4D4" w14:textId="77777777" w:rsidR="00924992" w:rsidRDefault="00924992">
      <w:pPr>
        <w:pStyle w:val="BodyText"/>
        <w:ind w:firstLine="0"/>
      </w:pPr>
      <w:r>
        <w:t>Es posible evitar la infección en sitios corporales vulnerables si: 1) el periodo de riesgo es definido y breve; 2) los patógenos previstos tienen susceptibilidad predecible a antimicrobianos; y 3) el sitio es accesible a los agentes mencionados. En esta sección se analizará la manera de evitar la infección en sitios o zonas operatorias, y la oftalmía del neonato.</w:t>
      </w:r>
    </w:p>
    <w:p w14:paraId="760326A3" w14:textId="77777777" w:rsidR="00924992" w:rsidRDefault="00924992">
      <w:pPr>
        <w:pStyle w:val="BodyText"/>
        <w:spacing w:after="240"/>
        <w:ind w:firstLine="360"/>
        <w:sectPr w:rsidR="00924992" w:rsidSect="00924992">
          <w:headerReference w:type="even" r:id="rId379"/>
          <w:headerReference w:type="default" r:id="rId380"/>
          <w:footerReference w:type="even" r:id="rId381"/>
          <w:footerReference w:type="default" r:id="rId382"/>
          <w:headerReference w:type="first" r:id="rId383"/>
          <w:footerReference w:type="first" r:id="rId384"/>
          <w:footnotePr>
            <w:numFmt w:val="chicago"/>
          </w:footnotePr>
          <w:pgSz w:w="8501" w:h="13022"/>
          <w:pgMar w:top="689" w:right="778" w:bottom="467" w:left="848" w:header="0" w:footer="3" w:gutter="0"/>
          <w:cols w:space="720"/>
          <w:noEndnote/>
          <w:titlePg/>
          <w:docGrid w:linePitch="360"/>
          <w15:footnoteColumns w:val="1"/>
        </w:sectPr>
      </w:pPr>
      <w:r>
        <w:t>La otitis media aguda reaparece con menor frecuencia en niños vulnerables a sufrirla, tratados en forma profiláctica con antimicrobianos. Los estudios han demostrado que son eficaces la amoxicilina o el sulfisoxazol. Sin embargo, los antimicrobianos con fin profiláctico pueden alterar la flora nasofaríngea o permitir la colonización por microorganismos resistentes, lo que deteriora la eficacia a largo plazo</w:t>
      </w:r>
    </w:p>
    <w:p w14:paraId="71EE424F" w14:textId="77777777" w:rsidR="00924992" w:rsidRDefault="00924992">
      <w:pPr>
        <w:pStyle w:val="BodyText"/>
        <w:ind w:firstLine="0"/>
      </w:pPr>
      <w:r>
        <w:t>del fármaco usado de esta manera. La profilaxia con antimicrobianos debe reservarse para erradicar otitis media aguda recurrente que se define como tres o más episodios netos y perfectamente corroborados en un lapso de seis meses, o cuatro o más episodios en un periodo de 12 meses.</w:t>
      </w:r>
    </w:p>
    <w:p w14:paraId="5C72BDB8" w14:textId="77777777" w:rsidR="00924992" w:rsidRDefault="00924992">
      <w:pPr>
        <w:pStyle w:val="BodyText"/>
        <w:ind w:firstLine="360"/>
      </w:pPr>
      <w:r>
        <w:t>La protección que brinda la quimioprofilaxia a las vías urinarias depende de la rapidez con que surge resistencia en la flora de vías gastrointestinales, que es la fuente usual de bacterias que invaden las vías urinarias. La eficacia que durante largo tiempo han tenido la nitrofurantoína o el trimetoprim-sulfametoxazol se explica por el mínimo efecto de tales fármacos en la aparición de flora resistente. Los dos se concentran en la orina y se logra actividad inhibitoria adecuada con una dosis menor de la terapéutica habitual. También se han obtenido buenos resultados con el uso de una sola dosis a la hora de acostarse. La quimioprofilaxia ha sido beneficiosa sólo en niños con continencia urinaria y no se ha estudiado de manera adecuada en pequeños de menor edad y lactantes.</w:t>
      </w:r>
    </w:p>
    <w:p w14:paraId="38E520C6" w14:textId="77777777" w:rsidR="00924992" w:rsidRDefault="00924992">
      <w:pPr>
        <w:pStyle w:val="BodyText"/>
        <w:spacing w:after="100"/>
        <w:ind w:firstLine="360"/>
      </w:pPr>
      <w:r>
        <w:t>Se ha vuelto práctica común la quimioprofilaxia en caso de mordeduras de seres humanos y animales, a pesar de que las infligidas por perros, que son las más comunes, se infectan pocas veces (véase “Mordeduras” sección 2, respecto a recomendaciones).</w:t>
      </w:r>
    </w:p>
    <w:p w14:paraId="4927191B" w14:textId="77777777" w:rsidR="00924992" w:rsidRDefault="00924992">
      <w:pPr>
        <w:pStyle w:val="Bodytext70"/>
        <w:spacing w:after="220"/>
      </w:pPr>
      <w:r>
        <w:t>Hospedadores vulnerables</w:t>
      </w:r>
    </w:p>
    <w:p w14:paraId="7BFAFE17" w14:textId="77777777" w:rsidR="00924992" w:rsidRDefault="00924992">
      <w:pPr>
        <w:pStyle w:val="BodyText"/>
        <w:spacing w:after="560"/>
        <w:ind w:firstLine="0"/>
      </w:pPr>
      <w:r>
        <w:t>Casi ningún intento de evitar infecciones bacterianas con profilaxia antimicrobiana en sujetos vulnerables ha dado resultado debido a la aparición rápida de bacterias que son resistentes a los agentes utilizados. Se cuenta con recomendaciones para evitar las infecciones por oportunistas en personas infectadas por el virus de inmunodeficiencia humana.</w:t>
      </w:r>
      <w:r>
        <w:footnoteReference w:id="49"/>
      </w:r>
    </w:p>
    <w:p w14:paraId="66F2BE07" w14:textId="77777777" w:rsidR="00924992" w:rsidRDefault="00924992">
      <w:pPr>
        <w:pStyle w:val="Bodytext100"/>
        <w:spacing w:after="0" w:line="338" w:lineRule="auto"/>
        <w:ind w:firstLine="420"/>
        <w:jc w:val="left"/>
      </w:pPr>
      <w:r>
        <w:rPr>
          <w:sz w:val="34"/>
          <w:szCs w:val="34"/>
          <w:shd w:val="clear" w:color="auto" w:fill="FFFFFF"/>
        </w:rPr>
        <w:t>P</w:t>
      </w:r>
      <w:r>
        <w:rPr>
          <w:shd w:val="clear" w:color="auto" w:fill="FFFFFF"/>
        </w:rPr>
        <w:t>rofilaxia antimicrobiana en pacientes</w:t>
      </w:r>
    </w:p>
    <w:p w14:paraId="0970EE2F" w14:textId="77777777" w:rsidR="00924992" w:rsidRDefault="00924992">
      <w:pPr>
        <w:pStyle w:val="Other0"/>
        <w:spacing w:after="100" w:line="338" w:lineRule="auto"/>
        <w:ind w:firstLine="0"/>
        <w:jc w:val="center"/>
        <w:rPr>
          <w:sz w:val="26"/>
          <w:szCs w:val="26"/>
        </w:rPr>
      </w:pPr>
      <w:r>
        <w:rPr>
          <w:rFonts w:ascii="Times New Roman" w:eastAsia="Times New Roman" w:hAnsi="Times New Roman" w:cs="Times New Roman"/>
          <w:sz w:val="26"/>
          <w:szCs w:val="26"/>
        </w:rPr>
        <w:t>PEDIÁTRICOS QUIRÚRGICOS</w:t>
      </w:r>
    </w:p>
    <w:p w14:paraId="4C6E3A2B" w14:textId="77777777" w:rsidR="00924992" w:rsidRDefault="00924992">
      <w:pPr>
        <w:pStyle w:val="BodyText"/>
        <w:spacing w:after="100"/>
        <w:ind w:firstLine="0"/>
      </w:pPr>
      <w:r>
        <w:t>Los antimicrobianos se usan en niños hospitalizados principalmente para evitar las infecciones en heridas después de la operación, por medio de la profilaxia perioperatoria. Debido a este uso frecuente, se han creado recomendaciones por consenso para impedir las infecciones en los sitios operados en menores.</w:t>
      </w:r>
    </w:p>
    <w:p w14:paraId="3BBA6D32" w14:textId="77777777" w:rsidR="00924992" w:rsidRDefault="00924992">
      <w:pPr>
        <w:pStyle w:val="Bodytext70"/>
        <w:spacing w:after="220" w:line="209" w:lineRule="auto"/>
      </w:pPr>
      <w:r>
        <w:t>Frecuencia de administración de antimicrobianos profilácticos</w:t>
      </w:r>
    </w:p>
    <w:p w14:paraId="79FBEE61" w14:textId="77777777" w:rsidR="00924992" w:rsidRDefault="00924992">
      <w:pPr>
        <w:pStyle w:val="BodyText"/>
        <w:ind w:firstLine="0"/>
        <w:sectPr w:rsidR="00924992" w:rsidSect="00924992">
          <w:headerReference w:type="even" r:id="rId385"/>
          <w:headerReference w:type="default" r:id="rId386"/>
          <w:footerReference w:type="even" r:id="rId387"/>
          <w:footerReference w:type="default" r:id="rId388"/>
          <w:footnotePr>
            <w:numFmt w:val="chicago"/>
          </w:footnotePr>
          <w:pgSz w:w="8501" w:h="13022"/>
          <w:pgMar w:top="689" w:right="778" w:bottom="467" w:left="848" w:header="0" w:footer="39" w:gutter="0"/>
          <w:pgNumType w:start="810"/>
          <w:cols w:space="720"/>
          <w:noEndnote/>
          <w:docGrid w:linePitch="360"/>
          <w15:footnoteColumns w:val="1"/>
        </w:sectPr>
      </w:pPr>
      <w:r>
        <w:t xml:space="preserve">Los datos de dos estudios han demostrado que en promedio 75% de los casos en que se utilizan antimicrobianos en los servicios quirúrgicos de niños, corresponden a profilaxia. En estudios comparativos se ha demostrado la eficacia de los agentes en cuestión para disminuir la incidencia de infección posoperatoria y la que surge después de métodos no quirúrgicos invasores como la cistoscopia o el cateterismo cardiaco. Datos de estudios de </w:t>
      </w:r>
    </w:p>
    <w:p w14:paraId="50F4E990" w14:textId="77777777" w:rsidR="00924992" w:rsidRDefault="00924992">
      <w:pPr>
        <w:pStyle w:val="BodyText"/>
        <w:ind w:firstLine="0"/>
      </w:pPr>
      <w:r>
        <w:t>del fármaco usado de esta manera. La profilaxia con antimicrobianos debe reservarse para erradicar otitis media aguda recurrente que se define como tres o más episodios netos y perfectamente corroborados en un lapso de seis meses, o cuatro o más episodios en un periodo de 12 meses.</w:t>
      </w:r>
    </w:p>
    <w:p w14:paraId="5EB1098F" w14:textId="77777777" w:rsidR="00924992" w:rsidRDefault="00924992">
      <w:pPr>
        <w:pStyle w:val="BodyText"/>
        <w:ind w:firstLine="360"/>
      </w:pPr>
      <w:r>
        <w:t>La protección que brinda la quimioprofilaxia a las vías urinarias depende de la rapidez con que surge resistencia en la flora de vías gastrointestinales, que es la fuente usual de bacterias que invaden las vías urinarias. La eficacia que durante largo tiempo han tenido la nitrofurantoína o el trimetoprim-sulfametoxazol se explica por el mínimo efecto de tales fármacos en la aparición de flora resistente. Los dos se concentran en la orina y se logra actividad inhibitoria adecuada con una dosis menor de la terapéutica habitual. También se han obtenido buenos resultados con el uso de una sola dosis a la hora de acostarse. La quimioprofilaxia ha sido beneficiosa sólo en niños con continencia urinaria y no se ha estudiado de manera adecuada en pequeños de menor edad y lactantes.</w:t>
      </w:r>
    </w:p>
    <w:p w14:paraId="48C8A165" w14:textId="77777777" w:rsidR="00924992" w:rsidRDefault="00924992">
      <w:pPr>
        <w:pStyle w:val="BodyText"/>
        <w:spacing w:after="100"/>
        <w:ind w:firstLine="360"/>
      </w:pPr>
      <w:r>
        <w:t>Se ha vuelto práctica común la quimioprofilaxia en caso de mordeduras de seres humanos y animales, a pesar de que las infligidas por perros, que son las más comunes, se infectan pocas veces (véase “Mordeduras” sección 2, respecto a recomendaciones).</w:t>
      </w:r>
    </w:p>
    <w:p w14:paraId="53E46F7D" w14:textId="77777777" w:rsidR="00924992" w:rsidRDefault="00924992">
      <w:pPr>
        <w:pStyle w:val="Bodytext70"/>
        <w:spacing w:after="220"/>
      </w:pPr>
      <w:r>
        <w:t>Hospedadores vulnerables</w:t>
      </w:r>
    </w:p>
    <w:p w14:paraId="7D95F968" w14:textId="77777777" w:rsidR="00924992" w:rsidRDefault="00924992">
      <w:pPr>
        <w:pStyle w:val="BodyText"/>
        <w:spacing w:after="560"/>
        <w:ind w:firstLine="0"/>
      </w:pPr>
      <w:r>
        <w:t>Casi ningún intento de evitar infecciones bacterianas con profilaxia antimicrobiana en sujetos vulnerables ha dado resultado debido a la aparición rápida de bacterias que son resistentes a los agentes utilizados. Se cuenta con recomendaciones para evitar las infecciones por oportunistas en personas infectadas por el virus de inmunodeficiencia humana.</w:t>
      </w:r>
      <w:r>
        <w:footnoteReference w:id="50"/>
      </w:r>
    </w:p>
    <w:p w14:paraId="7D8DF34E" w14:textId="77777777" w:rsidR="00924992" w:rsidRDefault="00924992">
      <w:pPr>
        <w:pStyle w:val="Bodytext100"/>
        <w:spacing w:after="0" w:line="338" w:lineRule="auto"/>
        <w:ind w:firstLine="420"/>
        <w:jc w:val="left"/>
      </w:pPr>
      <w:r>
        <w:rPr>
          <w:sz w:val="34"/>
          <w:szCs w:val="34"/>
          <w:shd w:val="clear" w:color="auto" w:fill="FFFFFF"/>
        </w:rPr>
        <w:t>P</w:t>
      </w:r>
      <w:r>
        <w:rPr>
          <w:shd w:val="clear" w:color="auto" w:fill="FFFFFF"/>
        </w:rPr>
        <w:t>rofilaxia antimicrobiana en pacientes</w:t>
      </w:r>
    </w:p>
    <w:p w14:paraId="49BBE029" w14:textId="77777777" w:rsidR="00924992" w:rsidRDefault="00924992">
      <w:pPr>
        <w:pStyle w:val="Other0"/>
        <w:spacing w:after="100" w:line="338" w:lineRule="auto"/>
        <w:ind w:firstLine="0"/>
        <w:jc w:val="center"/>
        <w:rPr>
          <w:sz w:val="26"/>
          <w:szCs w:val="26"/>
        </w:rPr>
      </w:pPr>
      <w:r>
        <w:rPr>
          <w:rFonts w:ascii="Times New Roman" w:eastAsia="Times New Roman" w:hAnsi="Times New Roman" w:cs="Times New Roman"/>
          <w:sz w:val="26"/>
          <w:szCs w:val="26"/>
        </w:rPr>
        <w:t>PEDIÁTRICOS QUIRÚRGICOS</w:t>
      </w:r>
    </w:p>
    <w:p w14:paraId="4793633B" w14:textId="77777777" w:rsidR="00924992" w:rsidRDefault="00924992">
      <w:pPr>
        <w:pStyle w:val="BodyText"/>
        <w:spacing w:after="100"/>
        <w:ind w:firstLine="0"/>
      </w:pPr>
      <w:r>
        <w:t>Los antimicrobianos se usan en niños hospitalizados principalmente para evitar las infecciones en heridas después de la operación, por medio de la profilaxia perioperatoria. Debido a este uso frecuente, se han creado recomendaciones por consenso para impedir las infecciones en los sitios operados en menores.</w:t>
      </w:r>
    </w:p>
    <w:p w14:paraId="7C529C35" w14:textId="77777777" w:rsidR="00924992" w:rsidRDefault="00924992">
      <w:pPr>
        <w:pStyle w:val="Bodytext70"/>
        <w:spacing w:after="220" w:line="209" w:lineRule="auto"/>
      </w:pPr>
      <w:r>
        <w:t>Frecuencia de administración de antimicrobianos profilácticos</w:t>
      </w:r>
    </w:p>
    <w:p w14:paraId="083F8BED" w14:textId="77777777" w:rsidR="00924992" w:rsidRDefault="00924992">
      <w:pPr>
        <w:pStyle w:val="BodyText"/>
        <w:spacing w:after="100"/>
        <w:ind w:firstLine="0"/>
      </w:pPr>
      <w:r>
        <w:t>Los datos de dos estudios han demostrado que en promedio 75% de los casos en que se utilizan antimicrobianos en los servicios quirúrgicos de niños, corresponden a profilaxia. En estudios comparativos se ha demostrado la eficacia de los agentes en cuestión para disminuir la incidencia de infección posoperatoria y la que surge después de métodos no quirúrgicos invasores como la cistoscopia o el cateterismo cardiaco. Datos de estudios de experimentación en animales y en seres humanos han definido los principios para el uso eficaz de antimicrobianos en la profilaxia de infecciones de heridas quirúrgicas, e incluyen la selección de fármacos, el momento óptimo de administración y la duración.</w:t>
      </w:r>
    </w:p>
    <w:p w14:paraId="08E7C184" w14:textId="77777777" w:rsidR="00924992" w:rsidRDefault="00924992">
      <w:pPr>
        <w:pStyle w:val="Bodytext70"/>
      </w:pPr>
      <w:r>
        <w:t>Profilaxia inapropiada con antimicrobianos</w:t>
      </w:r>
    </w:p>
    <w:p w14:paraId="3DF7A431" w14:textId="77777777" w:rsidR="00924992" w:rsidRDefault="00924992">
      <w:pPr>
        <w:pStyle w:val="BodyText"/>
        <w:spacing w:after="100"/>
        <w:ind w:firstLine="0"/>
      </w:pPr>
      <w:r>
        <w:t>Las consecuencias del uso profiláctico inapropiado de los antimicrobianos incluye mayores costos como resultado del consumo innecesario de fármacos, la aparición posible de microorganismos resistentes y las reacciones adversas. La profilaxia se ha vinculado con una mayor frecuencia del uso inapropiado de antimicrobianos. En un estudio de niños menores de seis años a quienes se practicaría operaciones, se administraron con fin profiláctico inapropiadamente los antimicrobianos a 42% de ellos en el preoperatorio, 67% en el transoperatorio y a 55% en el posoperatorio. En forma similar, en otra investigación se consideró como inapropiado el 66% de los casos en que se usaron antimicrobianos en niños hospitalizados en pabellones quirúrgicos porque no hubo indicación para su empleo o hubo equivocaciones en las dosis, los fármacos, la fecha de comienzo o la duración del uso.</w:t>
      </w:r>
    </w:p>
    <w:p w14:paraId="6062D154" w14:textId="77777777" w:rsidR="00924992" w:rsidRDefault="00924992">
      <w:pPr>
        <w:pStyle w:val="Bodytext70"/>
      </w:pPr>
      <w:r>
        <w:t>Directrices para el empleo apropiado</w:t>
      </w:r>
    </w:p>
    <w:p w14:paraId="4A056213" w14:textId="77777777" w:rsidR="00924992" w:rsidRDefault="00924992">
      <w:pPr>
        <w:pStyle w:val="BodyText"/>
        <w:spacing w:after="100" w:line="276" w:lineRule="auto"/>
        <w:ind w:firstLine="0"/>
      </w:pPr>
      <w:r>
        <w:t xml:space="preserve">Los estudios que corroboran que la profilaxia con antimicrobianos de acción sistémica disminuye la incidencia de infecciones en sitios operatorios se han hecho predominantemente en adultos. La patogenia de tales infecciones es igual en los niños, y por ello deben ser semejantes los principios que orientan la profilaxia quirúrgica a los menores. Al no haber estudios específicos en niños, se cuenta con las directrices recomendadas por </w:t>
      </w:r>
      <w:r>
        <w:rPr>
          <w:rFonts w:ascii="Times New Roman" w:eastAsia="Times New Roman" w:hAnsi="Times New Roman" w:cs="Times New Roman"/>
          <w:i/>
          <w:iCs/>
          <w:sz w:val="16"/>
          <w:szCs w:val="16"/>
        </w:rPr>
        <w:t>The Medical Letter</w:t>
      </w:r>
      <w:r>
        <w:rPr>
          <w:i/>
          <w:iCs/>
        </w:rPr>
        <w:footnoteReference w:id="51"/>
      </w:r>
      <w:r>
        <w:t xml:space="preserve"> y por el American College of Surgeons, la </w:t>
      </w:r>
      <w:r>
        <w:rPr>
          <w:rFonts w:ascii="Times New Roman" w:eastAsia="Times New Roman" w:hAnsi="Times New Roman" w:cs="Times New Roman"/>
          <w:i/>
          <w:iCs/>
          <w:sz w:val="16"/>
          <w:szCs w:val="16"/>
        </w:rPr>
        <w:t>Surgical Infection Society</w:t>
      </w:r>
      <w:r>
        <w:rPr>
          <w:i/>
          <w:iCs/>
        </w:rPr>
        <w:t>,</w:t>
      </w:r>
      <w:r>
        <w:t xml:space="preserve"> y el </w:t>
      </w:r>
      <w:r>
        <w:rPr>
          <w:rFonts w:ascii="Times New Roman" w:eastAsia="Times New Roman" w:hAnsi="Times New Roman" w:cs="Times New Roman"/>
          <w:i/>
          <w:iCs/>
          <w:sz w:val="16"/>
          <w:szCs w:val="16"/>
        </w:rPr>
        <w:t>Hospital Infections Program</w:t>
      </w:r>
      <w:r>
        <w:t xml:space="preserve"> de los </w:t>
      </w:r>
      <w:r>
        <w:rPr>
          <w:rFonts w:ascii="Times New Roman" w:eastAsia="Times New Roman" w:hAnsi="Times New Roman" w:cs="Times New Roman"/>
          <w:i/>
          <w:iCs/>
          <w:sz w:val="16"/>
          <w:szCs w:val="16"/>
        </w:rPr>
        <w:t>Centers for Disease Control and Prevention!</w:t>
      </w:r>
      <w:r>
        <w:t xml:space="preserve"> que orientan sobre el uso de antimicrobianos sistémicos para la profilaxia en niños sometidos a operaciones. Se presentan los principios generales siguientes en el entendido de que los datos de futuros estudios en niños o la aplicación a situaciones peculiares de lactantes y niños, como la premadurez o algunas inmunodeficiencias, quizá justifiquen la modificación de estas recomendaciones.</w:t>
      </w:r>
    </w:p>
    <w:p w14:paraId="4B905595" w14:textId="77777777" w:rsidR="00924992" w:rsidRDefault="00924992">
      <w:pPr>
        <w:pStyle w:val="Bodytext70"/>
      </w:pPr>
      <w:r>
        <w:t>Indicaciones para profilaxia</w:t>
      </w:r>
    </w:p>
    <w:p w14:paraId="7B30176E" w14:textId="77777777" w:rsidR="00924992" w:rsidRDefault="00924992">
      <w:pPr>
        <w:pStyle w:val="BodyText"/>
        <w:ind w:firstLine="0"/>
      </w:pPr>
      <w:r>
        <w:t>La profilaxia sistémica está indicada cuando es grande la probabilidad de que surjan complicaciones de una infección posoperatoria, y los beneficios de evitar la infección en heridas o incisiones superan los posibles riesgos derivados de las reacciones adversas medicamentosas o la aparición de microorganismos resistentes a los antimicrobianos. Esta última situación conlleva riesgos potenciales no sólo para quien lo recibe, sino también para otros pacientes hospitalizados en quienes pudiera surgir una infección de tipo nosocomial vinculada con la asistencia médica y causada por microorganismos resistentes a antimicrobianos. Los métodos en los cuales los beneficios justifican los riesgos incurridos en la profilaxia con antimicrobianos son los propios de una mayor incidencia de infecciones posoperatorias y otros en los que la posibilidad de infección quizá no sea grande, pero son extraordinarias las consecuencias adversas de la infección, como en el caso de los materiales protésicos.</w:t>
      </w:r>
    </w:p>
    <w:p w14:paraId="7EFFE326" w14:textId="77777777" w:rsidR="00924992" w:rsidRDefault="00924992">
      <w:pPr>
        <w:pStyle w:val="BodyText"/>
        <w:spacing w:after="220"/>
        <w:ind w:firstLine="360"/>
      </w:pPr>
      <w:r>
        <w:t xml:space="preserve">Un factor determinante en la probabilidad de que surja infección en un sitio operatorio es el número de microorganismos en la herida o incisión al terminar el procedimiento. La clasificación de los métodos quirúrgicos se basa en la estimación de la contaminación bacteriana y, por ende, el peligro de infección ulterior. Las cuatro clases son: 1) heridas o incisiones limpias; 2) heridas o incisiones limpias-contaminadas; 3) heridas contaminadas, y 4) heridas sucias e infectadas. Tal como se advierte por la amplia variación de las cifras de infección dentro de las subclases mencionadas, la clasificación de heridas o incisiones no es el único factor que influye en el peligro de infección en un sitio operatorio. Los otros factores independientes incluyen el sitio de operación, la duración del método y el estado de salud que tenía el paciente antes de la cirugía. Se ha demostrado que el índice de riesgo del paciente, que incorpora la puntuación de la valoración preoperatoria del estado físico planteada por la </w:t>
      </w:r>
      <w:r>
        <w:rPr>
          <w:rFonts w:ascii="Times New Roman" w:eastAsia="Times New Roman" w:hAnsi="Times New Roman" w:cs="Times New Roman"/>
          <w:i/>
          <w:iCs/>
          <w:sz w:val="16"/>
          <w:szCs w:val="16"/>
        </w:rPr>
        <w:t>American Society of Anesthesiologists</w:t>
      </w:r>
      <w:r>
        <w:t xml:space="preserve"> y la duración de la operación, además de la clasificación mencionada de heridas, constituye el mejor elemento de predicción de la infección en el sitio operado después de la intervención.</w:t>
      </w:r>
      <w:r>
        <w:footnoteReference w:id="52"/>
      </w:r>
    </w:p>
    <w:p w14:paraId="39BA2350" w14:textId="77777777" w:rsidR="00924992" w:rsidRDefault="00924992">
      <w:pPr>
        <w:pStyle w:val="BodyText"/>
        <w:spacing w:after="220"/>
        <w:ind w:firstLine="0"/>
      </w:pPr>
      <w:r>
        <w:t>HERIDAS LIMPIAS</w:t>
      </w:r>
    </w:p>
    <w:p w14:paraId="34E98D4E" w14:textId="77777777" w:rsidR="00924992" w:rsidRDefault="00924992">
      <w:pPr>
        <w:pStyle w:val="BodyText"/>
        <w:spacing w:after="220"/>
        <w:ind w:firstLine="0"/>
      </w:pPr>
      <w:r>
        <w:t>Las heridas de este tipo son las incisiones quirúrgicas no infectadas, en las cuales no hay inflamación y no hay penetración de vías respiratorias, gastrointestinales, genitourinarias o de la cavidad bucofaríngea. Los métodos operatorios son planeados y las incisiones fundamentalmente se cierran y, si es necesario, se drenan por técnicas cerradas. No hay trasgresión de las técnicas asépticas. Las incisiones quirúrgicas posteriores a traumatismos abdominales no penetrantes deben ser incluidas en dicha categoría, en el entendido de que el método operatorio no incluyó la penetración en las vías gastrointestinales ni genitourinarias. Los beneficios de la profilaxia con antimicrobianos sistémicos no justifican los posibles riesgos vinculados con el uso de antimicrobianos en casi todas las técnicas en que hay incisiones o heridas limpias, dado que el riesgo de infección es pequeño (1 a 2%). Existen algunas excepciones en que son grandes los peligros y las consecuencias de la infección. Entre los ejemplos está el implante de prótesis intravasculares (como sería la colocación de una prótesis valvular en el corazón) o una prótesis articular, operaciones con corazón abierto para reparar defectos estructurales, exploración de cavidades corporales en neonatos y casi todas las operaciones neuroquirúrgicas. En estas circunstancias por lo común se practica la profilaxia.</w:t>
      </w:r>
    </w:p>
    <w:p w14:paraId="7EDEA99F" w14:textId="77777777" w:rsidR="00924992" w:rsidRDefault="00924992">
      <w:pPr>
        <w:pStyle w:val="BodyText"/>
        <w:spacing w:after="220"/>
        <w:ind w:firstLine="0"/>
      </w:pPr>
      <w:r>
        <w:t>HERIDAS LIMPIAS-CONTAMINADAS</w:t>
      </w:r>
    </w:p>
    <w:p w14:paraId="3F1E331F" w14:textId="77777777" w:rsidR="00924992" w:rsidRDefault="00924992">
      <w:pPr>
        <w:pStyle w:val="BodyText"/>
        <w:spacing w:after="220"/>
        <w:ind w:firstLine="0"/>
      </w:pPr>
      <w:r>
        <w:t>En este tipo de incisiones de heridas operatorias, se penetra en las vías respiratorias, gastrointestinales o genitourinarias en situaciones controladas y sin contaminación significativa. En la categoría mencionada se incluyen intervenciones en vías biliares, apéndice, vagina o bucofaringe y cirugía de urgencia o de emergencia como un método por lo demás limpio, a condición de que no hayan signos de infección y no haya transgresiones graves en la técnica aséptica. La profilaxia se limita a métodos en los cuales ha habido un grado sustancial de contaminación de la herida o incisión. El riesgo global de infección respecto al sitio operatorio va de 3 a 15%. Con base en los datos de adultos, los métodos en los que está indicada la profilaxia en niños incluyen: 1) todos los procedimientos en vías gastrointestinales en que hay obstrucción o si el niño recibe antagonistas de receptores H</w:t>
      </w:r>
      <w:r>
        <w:rPr>
          <w:rFonts w:ascii="Times New Roman" w:eastAsia="Times New Roman" w:hAnsi="Times New Roman" w:cs="Times New Roman"/>
          <w:sz w:val="11"/>
          <w:szCs w:val="11"/>
        </w:rPr>
        <w:t xml:space="preserve">2 </w:t>
      </w:r>
      <w:r>
        <w:t>o bloqueadores de bombas de protones o tiene un cuerpo extraño permanentemente; 2) operaciones escogidas de vías biliares (p. ej., cuando hay obstrucción por cálculos en el colédoco); y 3) cirugía o instrumentación de vías urinarias en presencia de bacteriuria o uropatía obstructiva.</w:t>
      </w:r>
    </w:p>
    <w:p w14:paraId="049BF792" w14:textId="77777777" w:rsidR="00924992" w:rsidRDefault="00924992">
      <w:pPr>
        <w:pStyle w:val="BodyText"/>
        <w:spacing w:after="220"/>
        <w:ind w:firstLine="0"/>
      </w:pPr>
      <w:r>
        <w:t>HERIDAS CONTAMINADAS</w:t>
      </w:r>
    </w:p>
    <w:p w14:paraId="6E753E34" w14:textId="77777777" w:rsidR="00924992" w:rsidRDefault="00924992">
      <w:pPr>
        <w:pStyle w:val="BodyText"/>
        <w:spacing w:after="220"/>
        <w:ind w:firstLine="0"/>
      </w:pPr>
      <w:r>
        <w:t>Las heridas de este tipo incluyen las abiertas, recientes y accidentales; las incisiones de heridas quirúrgicas en caso de que haya graves transgresiones de la técnica aséptica o dispersión profusa de material salido de las vías gastrointestinales; traumatismos penetrantes que tienen menos de 4 h de ocurridos e incisiones en las cuales se topa el operador con una inflamación aguda no purulenta. La cifra calculada de infección en el sitio quirúrgico es de 15%. En los métodos para heridas contaminadas conviene la profilaxia con antimicrobianos en algunos pacientes con inflamación no purulenta aguda circunscrita a una víscera hueca inflamada o “contenida” en su interior (como apendicitis o colecistitis aguda). En el caso de heridas contaminadas que han surgido por otras causas habrá que considerarse la administración de antimicrobianos como un tratamiento y no como una medida profiláctica.</w:t>
      </w:r>
    </w:p>
    <w:p w14:paraId="22E04A80" w14:textId="77777777" w:rsidR="00924992" w:rsidRDefault="00924992">
      <w:pPr>
        <w:pStyle w:val="BodyText"/>
        <w:spacing w:after="220"/>
        <w:ind w:firstLine="0"/>
      </w:pPr>
      <w:r>
        <w:t>HERIDAS SUCIAS E INFECTADAS</w:t>
      </w:r>
    </w:p>
    <w:p w14:paraId="1196E2D9" w14:textId="77777777" w:rsidR="00924992" w:rsidRDefault="00924992">
      <w:pPr>
        <w:pStyle w:val="BodyText"/>
        <w:spacing w:after="140"/>
        <w:ind w:firstLine="0"/>
      </w:pPr>
      <w:r>
        <w:t>Las heridas de esta categoría incluyen las traumáticas penetrantes que han durado más de 4 h; heridas en que hay tejido desvitalizado retenido y otras que incluyen alguna infección clínica o perforación de vísceras huecas existentes. La definición sugiere que los microorganismos que causaron infección posoperatoria estaban presentes en el campo quirúrgico antes de operar. La cifra calculada de infección en el sitio quirúrgico es de 40%. En procedimientos de heridas sucias e infectadas, como sería alguna víscera abdominal perforada, una fractura compuesta o un desgarro atribuible a una mordedura de animal o ser humano o si hay una trasgresión grave de la técnica estéril, se administrarán antimicrobianos con fin terapéutico y no profiláctico.</w:t>
      </w:r>
    </w:p>
    <w:p w14:paraId="64896A35" w14:textId="77777777" w:rsidR="00924992" w:rsidRDefault="00924992">
      <w:pPr>
        <w:pStyle w:val="Bodytext70"/>
        <w:spacing w:after="140" w:line="214" w:lineRule="auto"/>
      </w:pPr>
      <w:r>
        <w:t>Momento oportuno para la administración de antimicrobianos profilácticos</w:t>
      </w:r>
    </w:p>
    <w:p w14:paraId="06BC691F" w14:textId="77777777" w:rsidR="00924992" w:rsidRDefault="00924992">
      <w:pPr>
        <w:pStyle w:val="BodyText"/>
        <w:spacing w:after="220"/>
        <w:ind w:firstLine="0"/>
        <w:sectPr w:rsidR="00924992" w:rsidSect="00924992">
          <w:headerReference w:type="even" r:id="rId389"/>
          <w:headerReference w:type="default" r:id="rId390"/>
          <w:footerReference w:type="even" r:id="rId391"/>
          <w:footerReference w:type="default" r:id="rId392"/>
          <w:footnotePr>
            <w:numFmt w:val="chicago"/>
          </w:footnotePr>
          <w:pgSz w:w="8501" w:h="13022"/>
          <w:pgMar w:top="689" w:right="778" w:bottom="467" w:left="848" w:header="0" w:footer="3" w:gutter="0"/>
          <w:pgNumType w:start="810"/>
          <w:cols w:space="720"/>
          <w:noEndnote/>
          <w:docGrid w:linePitch="360"/>
          <w15:footnoteColumns w:val="1"/>
        </w:sectPr>
      </w:pPr>
      <w:r>
        <w:t>La profilaxia eficaz se logra cuando hay concentraciones adecuadas de fármacos en los tejidos en el momento en que ocurre contaminación bacteriana durante la operación. La administración de un antimicrobiano en término de 2 h antes de la operación, según algunos estudios, disminuye el riesgo de infección de la herida. Sobre tal base, se recomienda administrarlos como mínimo 30 min antes de practicar la incisión operatoria, para asegurar que existen concentraciones tisulares adecuadas desde el comienzo del procedimiento.</w:t>
      </w:r>
    </w:p>
    <w:p w14:paraId="05197307" w14:textId="77777777" w:rsidR="00924992" w:rsidRDefault="00924992">
      <w:pPr>
        <w:pStyle w:val="Bodytext70"/>
      </w:pPr>
      <w:r>
        <w:t>Duración de la administración de antimicrobianos</w:t>
      </w:r>
    </w:p>
    <w:p w14:paraId="3C5E7FD3" w14:textId="77777777" w:rsidR="00924992" w:rsidRDefault="00924992">
      <w:pPr>
        <w:pStyle w:val="BodyText"/>
        <w:spacing w:after="100"/>
        <w:ind w:firstLine="0"/>
      </w:pPr>
      <w:r>
        <w:t>Basta una sola dosis de antimicrobiano que logre concentraciones tisulares adecuadas durante el procedimiento quirúrgico. Si la operación dura más de 4 h, hay importante pérdida de sangre o se utiliza un antimicrobiano con una semivida breve, es recomendable que después de la dosis usada antes de la incisión, se administre una o más dosis durante el método operatorio. Los estudios publicados sobre profilaxia antimicrobiana por lo común utilizan una o dos dosis en el posoperatorio, además de la dosis en el preoperatorio, pero no hay datos que sugieran que con dicha práctica mejoren los resultados.</w:t>
      </w:r>
    </w:p>
    <w:p w14:paraId="105AA8E8" w14:textId="77777777" w:rsidR="00924992" w:rsidRDefault="00924992">
      <w:pPr>
        <w:pStyle w:val="Bodytext70"/>
      </w:pPr>
      <w:r>
        <w:t>Antimicrobianos recomendados</w:t>
      </w:r>
    </w:p>
    <w:p w14:paraId="010E8B4D" w14:textId="77777777" w:rsidR="00924992" w:rsidRDefault="00924992">
      <w:pPr>
        <w:pStyle w:val="BodyText"/>
        <w:spacing w:after="560"/>
        <w:ind w:firstLine="0"/>
      </w:pPr>
      <w:r>
        <w:t>Se selecciona a un antimicrobiano con base en los patógenos bacterianos que más probablemente originarán complicaciones infecciosas después del método específico, el perfil de susceptibilidad de tales patógenos a los fármacos y la inocuidad y la eficacia de cada medicamento. Por lo común no se recomienda administrar los antimicrobianos nuevos y más caros, salvo que se haya demostrado que su eficacia profiláctica es mejor que la de los medicamentos cuyo beneficio está bien definido. Los fármacos no tienen que ser activos contra todos los posibles microorganismos. No se recomienda el uso rutinario de clorhidrato de vancomicina ni de las cefalosporinas de espectro extendido. Las dosis y las vías de administración dependen de la necesidad de alcanzar concentraciones terapéuticas en sangre y tejidos durante toda la técnica operatoria. Es posible lograr eficazmente la profilaxia con antimicrobianos en casi todos los métodos operatorios (que incluyen operaciones en estómago, vías biliares, tórax [no cardiacas], vasos, sistema nervioso y técnicas ortopédicas) con un agente como la cefalosporina de la primera generación (cefazolina sódica). En el caso de operaciones colorrectales o apendicectomía, para lograr la profilaxia eficaz es necesario administrar antimicrobianos que sean activos contra la flora intestinal. En el cuadro 5-1 se hacen recomendaciones respecto a fármacos que incluyen dosis preoperatorias, para usar en niños a quienes se hará manipulación quirúrgica o técnicas invasoras. Los médicos deben conocer las posibles interacciones y efectos adversos que conlleva el uso profiláctico de antimicrobianos y otros medicamentos que pudiera recibir conjuntamente el paciente.</w:t>
      </w:r>
    </w:p>
    <w:p w14:paraId="2602B33C" w14:textId="77777777" w:rsidR="00924992" w:rsidRDefault="00924992">
      <w:pPr>
        <w:pStyle w:val="Bodytext100"/>
      </w:pPr>
      <w:r>
        <w:rPr>
          <w:sz w:val="34"/>
          <w:szCs w:val="34"/>
        </w:rPr>
        <w:t>P</w:t>
      </w:r>
      <w:r>
        <w:t>revención de endocarditis bacteriana</w:t>
      </w:r>
    </w:p>
    <w:p w14:paraId="50A2C95B" w14:textId="77777777" w:rsidR="00924992" w:rsidRDefault="00924992">
      <w:pPr>
        <w:pStyle w:val="BodyText"/>
        <w:spacing w:after="240"/>
        <w:ind w:firstLine="0"/>
        <w:sectPr w:rsidR="00924992" w:rsidSect="00924992">
          <w:headerReference w:type="even" r:id="rId393"/>
          <w:headerReference w:type="default" r:id="rId394"/>
          <w:footerReference w:type="even" r:id="rId395"/>
          <w:footerReference w:type="default" r:id="rId396"/>
          <w:footnotePr>
            <w:numFmt w:val="chicago"/>
          </w:footnotePr>
          <w:pgSz w:w="8501" w:h="13022"/>
          <w:pgMar w:top="1051" w:right="1133" w:bottom="1493" w:left="499" w:header="0" w:footer="3" w:gutter="0"/>
          <w:cols w:space="720"/>
          <w:noEndnote/>
          <w:docGrid w:linePitch="360"/>
          <w15:footnoteColumns w:val="1"/>
        </w:sectPr>
      </w:pPr>
      <w:r>
        <w:t xml:space="preserve">En Estados Unidos, el </w:t>
      </w:r>
      <w:r>
        <w:rPr>
          <w:rFonts w:ascii="Times New Roman" w:eastAsia="Times New Roman" w:hAnsi="Times New Roman" w:cs="Times New Roman"/>
          <w:i/>
          <w:iCs/>
          <w:sz w:val="16"/>
          <w:szCs w:val="16"/>
        </w:rPr>
        <w:t>Committee on Rheumatic Fever, Endocarditis, and Kawasaki Disease de la American Heart Association</w:t>
      </w:r>
      <w:r>
        <w:t xml:space="preserve"> ha planteado recomendaciones detalladas sobre las bases teóricas, las indicaciones y los regímenes con antimicrobianos para evitar la endocarditis bacteriana en personas expuestas a un mayor peligro de sufrirlas. Las recomendaciones más recientes fueron publicadas en 1997.* En los cuadros 5-2 a 5-6 se exponen los trastornos cardiacos que se acompañan de endocarditis, los métodos en los</w:t>
      </w:r>
    </w:p>
    <w:p w14:paraId="1013951F" w14:textId="77777777" w:rsidR="00924992" w:rsidRDefault="00924992">
      <w:pPr>
        <w:pStyle w:val="Bodytext70"/>
      </w:pPr>
      <w:r>
        <w:t>Duración de la administración de antimicrobianos</w:t>
      </w:r>
    </w:p>
    <w:p w14:paraId="5A4C7504" w14:textId="77777777" w:rsidR="00924992" w:rsidRDefault="00924992">
      <w:pPr>
        <w:pStyle w:val="BodyText"/>
        <w:spacing w:after="100"/>
        <w:ind w:firstLine="0"/>
      </w:pPr>
      <w:r>
        <w:t>Basta una sola dosis de antimicrobiano que logre concentraciones tisulares adecuadas durante el procedimiento quirúrgico. Si la operación dura más de 4 h, hay importante pérdida de sangre o se utiliza un antimicrobiano con una semivida breve, es recomendable que después de la dosis usada antes de la incisión, se administre una o más dosis durante el método operatorio. Los estudios publicados sobre profilaxia antimicrobiana por lo común utilizan una o dos dosis en el posoperatorio, además de la dosis en el preoperatorio, pero no hay datos que sugieran que con dicha práctica mejoren los resultados.</w:t>
      </w:r>
    </w:p>
    <w:p w14:paraId="4232017B" w14:textId="77777777" w:rsidR="00924992" w:rsidRDefault="00924992">
      <w:pPr>
        <w:pStyle w:val="Bodytext70"/>
      </w:pPr>
      <w:r>
        <w:t>Antimicrobianos recomendados</w:t>
      </w:r>
    </w:p>
    <w:p w14:paraId="136F9C29" w14:textId="77777777" w:rsidR="00924992" w:rsidRDefault="00924992">
      <w:pPr>
        <w:pStyle w:val="BodyText"/>
        <w:spacing w:after="560"/>
        <w:ind w:firstLine="0"/>
      </w:pPr>
      <w:r>
        <w:t>Se selecciona a un antimicrobiano con base en los patógenos bacterianos que más probablemente originarán complicaciones infecciosas después del método específico, el perfil de susceptibilidad de tales patógenos a los fármacos y la inocuidad y la eficacia de cada medicamento. Por lo común no se recomienda administrar los antimicrobianos nuevos y más caros, salvo que se haya demostrado que su eficacia profiláctica es mejor que la de los medicamentos cuyo beneficio está bien definido. Los fármacos no tienen que ser activos contra todos los posibles microorganismos. No se recomienda el uso rutinario de clorhidrato de vancomicina ni de las cefalosporinas de espectro extendido. Las dosis y las vías de administración dependen de la necesidad de alcanzar concentraciones terapéuticas en sangre y tejidos durante toda la técnica operatoria. Es posible lograr eficazmente la profilaxia con antimicrobianos en casi todos los métodos operatorios (que incluyen operaciones en estómago, vías biliares, tórax [no cardiacas], vasos, sistema nervioso y técnicas ortopédicas) con un agente como la cefalosporina de la primera generación (cefazolina sódica). En el caso de operaciones colorrectales o apendicectomía, para lograr la profilaxia eficaz es necesario administrar antimicrobianos que sean activos contra la flora intestinal. En el cuadro 5-1 se hacen recomendaciones respecto a fármacos que incluyen dosis preoperatorias, para usar en niños a quienes se hará manipulación quirúrgica o técnicas invasoras. Los médicos deben conocer las posibles interacciones y efectos adversos que conlleva el uso profiláctico de antimicrobianos y otros medicamentos que pudiera recibir conjuntamente el paciente.</w:t>
      </w:r>
    </w:p>
    <w:p w14:paraId="3BC68785" w14:textId="77777777" w:rsidR="00924992" w:rsidRDefault="00924992">
      <w:pPr>
        <w:pStyle w:val="Bodytext100"/>
      </w:pPr>
      <w:r>
        <w:rPr>
          <w:sz w:val="34"/>
          <w:szCs w:val="34"/>
        </w:rPr>
        <w:t>P</w:t>
      </w:r>
      <w:r>
        <w:t>revención de endocarditis bacteriana</w:t>
      </w:r>
    </w:p>
    <w:p w14:paraId="4A49BCC0" w14:textId="77777777" w:rsidR="00924992" w:rsidRDefault="00924992">
      <w:pPr>
        <w:pStyle w:val="BodyText"/>
        <w:spacing w:after="240"/>
        <w:ind w:firstLine="0"/>
        <w:sectPr w:rsidR="00924992" w:rsidSect="00924992">
          <w:footnotePr>
            <w:numFmt w:val="chicago"/>
          </w:footnotePr>
          <w:pgSz w:w="8501" w:h="13022"/>
          <w:pgMar w:top="1051" w:right="1133" w:bottom="1493" w:left="499" w:header="0" w:footer="3" w:gutter="0"/>
          <w:pgNumType w:start="999"/>
          <w:cols w:space="720"/>
          <w:noEndnote/>
          <w:docGrid w:linePitch="360"/>
          <w15:footnoteColumns w:val="1"/>
        </w:sectPr>
      </w:pPr>
      <w:r>
        <w:t xml:space="preserve">En Estados Unidos, el </w:t>
      </w:r>
      <w:r>
        <w:rPr>
          <w:rFonts w:ascii="Times New Roman" w:eastAsia="Times New Roman" w:hAnsi="Times New Roman" w:cs="Times New Roman"/>
          <w:i/>
          <w:iCs/>
          <w:sz w:val="16"/>
          <w:szCs w:val="16"/>
        </w:rPr>
        <w:t>Committee on Rheumatic Fever, Endocarditis, and Kawasaki Disease de la American Heart Association</w:t>
      </w:r>
      <w:r>
        <w:t xml:space="preserve"> ha planteado recomendaciones detalladas sobre las bases teóricas, las indicaciones y los regímenes con antimicrobianos para evitar la endocarditis bacteriana en personas expuestas a un mayor peligro de sufrirlas. Las recomendaciones más recientes fueron publicadas en 1997.* En los cuadros 5-2 a 5-6 se exponen los trastornos cardiacos que se acompañan de endocarditis, los métodos en los</w:t>
      </w:r>
    </w:p>
    <w:p w14:paraId="09DAFDE0" w14:textId="77777777" w:rsidR="00924992" w:rsidRDefault="00924992">
      <w:pPr>
        <w:pStyle w:val="BodyText"/>
        <w:spacing w:after="560"/>
        <w:ind w:firstLine="0"/>
      </w:pPr>
      <w:r>
        <w:t>cuales es recomendable la profilaxia contra endocarditis para personas con trastornos del corazón que los exponen a riesgos y también los regímenes profilácticos específicos. Los profesionales asistenciales deben consultar las recomendaciones publicadas en busca de mayores detalles.</w:t>
      </w:r>
    </w:p>
    <w:p w14:paraId="314A31F9" w14:textId="77777777" w:rsidR="00924992" w:rsidRDefault="00924992">
      <w:pPr>
        <w:pStyle w:val="Bodytext100"/>
      </w:pPr>
      <w:r>
        <w:rPr>
          <w:sz w:val="34"/>
          <w:szCs w:val="34"/>
        </w:rPr>
        <w:t>P</w:t>
      </w:r>
      <w:r>
        <w:t>revención de oftalmía neonatal</w:t>
      </w:r>
    </w:p>
    <w:p w14:paraId="066BEEC2" w14:textId="77777777" w:rsidR="00924992" w:rsidRDefault="00924992">
      <w:pPr>
        <w:pStyle w:val="BodyText"/>
        <w:spacing w:after="100"/>
        <w:ind w:firstLine="0"/>
      </w:pPr>
      <w:r>
        <w:t xml:space="preserve">La oftalmía del neonato se define como conjuntivitis que afecta al producto en las primeras cuatro semanas de vida. Las causas principales de dicha enfermedad se exponen en el cuadro 5-7. La prevalencia de infección por </w:t>
      </w:r>
      <w:r>
        <w:rPr>
          <w:rFonts w:ascii="Times New Roman" w:eastAsia="Times New Roman" w:hAnsi="Times New Roman" w:cs="Times New Roman"/>
          <w:i/>
          <w:iCs/>
          <w:sz w:val="16"/>
          <w:szCs w:val="16"/>
        </w:rPr>
        <w:t>Chlamydia trachomatis</w:t>
      </w:r>
      <w:r>
        <w:t xml:space="preserve"> y </w:t>
      </w:r>
      <w:r>
        <w:rPr>
          <w:rFonts w:ascii="Times New Roman" w:eastAsia="Times New Roman" w:hAnsi="Times New Roman" w:cs="Times New Roman"/>
          <w:i/>
          <w:iCs/>
          <w:sz w:val="16"/>
          <w:szCs w:val="16"/>
        </w:rPr>
        <w:t>Neisseria gonorrhoeae</w:t>
      </w:r>
      <w:r>
        <w:t xml:space="preserve"> en los neonatos guarda relación directa con la prevalencia de la infección en embarazadas y el hecho de que éstas hayan sido sometidas, o no, a detección y tratamiento, y con la aplicación de profilaxia oftálmica a los neonatos. La detección de clamidias e infecciones gonorreicas en todas las embarazadas, seguida de tratamiento y vigilancia adecuados de todas las infectadas y sus compañeros podrá llevar al mínimo el peligro de transmisión perinatal (véanse “Clamidiasis” y “Gonococos, infecciones” en la sección 3).</w:t>
      </w:r>
    </w:p>
    <w:p w14:paraId="75B33F05" w14:textId="77777777" w:rsidR="00924992" w:rsidRDefault="00924992">
      <w:pPr>
        <w:pStyle w:val="Bodytext70"/>
      </w:pPr>
      <w:r>
        <w:t>Oftalmía gonocócica</w:t>
      </w:r>
    </w:p>
    <w:p w14:paraId="7885AC02" w14:textId="77777777" w:rsidR="00924992" w:rsidRDefault="00924992">
      <w:pPr>
        <w:pStyle w:val="BodyText"/>
        <w:spacing w:after="100"/>
        <w:ind w:firstLine="0"/>
      </w:pPr>
      <w:r>
        <w:t xml:space="preserve">En los neonatos se consideran igualmente eficaces en la profilaxia de la infección gonorreica de los ojos la solución acuosa de nitrato de plata al 1% (tópica), la pomada de eritromicina al 0.5% y la pomada oftálmica de tetraciclina al 1%. Cada una se obtiene en presentaciones de una sola dosis. También puede ser útil la solución al 2.5% de polividona, pero se necesitan más estudios al respecto y en Estados Unidos no se cuenta con un producto para tal objetivo. El nitrato de plata origina más conjuntivitis química que otros agentes, pero se recomienda su uso en zonas en que es considerable la incidencia de N. gonorrhoeae productor de penicilinasa </w:t>
      </w:r>
      <w:r>
        <w:rPr>
          <w:i/>
          <w:iCs/>
        </w:rPr>
        <w:t>(</w:t>
      </w:r>
      <w:r>
        <w:rPr>
          <w:rFonts w:ascii="Times New Roman" w:eastAsia="Times New Roman" w:hAnsi="Times New Roman" w:cs="Times New Roman"/>
          <w:i/>
          <w:iCs/>
          <w:sz w:val="16"/>
          <w:szCs w:val="16"/>
        </w:rPr>
        <w:t>penicillinase-producing N. gonorrhoeae,</w:t>
      </w:r>
      <w:r>
        <w:t xml:space="preserve"> PPNG). No se conoce la eficacia de la profilaxia con eritromicina o polividona contra PPNG, pero un estudio demostró que la tetraciclina era eficaz. Los hijos de mujeres con infección gonocócica no tratada deben recibir una dosis de ceftriaxona sódica (25 a 50 mg/kg por vía intravenosa [IV] o intramuscular [IM] que no exceda de 125 mg) o de cefotaxima sódica (100 mg/kg IV o IM). No es adecuada la sola terapia tópica con antimicrobianos y es innecesaria si se emprende la administración sistémica de los fármacos. Es necesario hospitalizar a los lactantes con oftalmía gonocócica, valorarlos en busca de signos de infección diseminada y administrarles tratamiento (véase “Gonococos, infecciones” en la sección 3).</w:t>
      </w:r>
    </w:p>
    <w:p w14:paraId="3B24B90B" w14:textId="77777777" w:rsidR="00924992" w:rsidRDefault="00924992">
      <w:pPr>
        <w:pStyle w:val="Bodytext70"/>
      </w:pPr>
      <w:r>
        <w:t>Oftalmía clamidiásica</w:t>
      </w:r>
    </w:p>
    <w:p w14:paraId="0ADBBFA1" w14:textId="77777777" w:rsidR="00924992" w:rsidRDefault="00924992">
      <w:pPr>
        <w:pStyle w:val="BodyText"/>
        <w:spacing w:after="240"/>
        <w:ind w:firstLine="0"/>
        <w:sectPr w:rsidR="00924992" w:rsidSect="00924992">
          <w:headerReference w:type="even" r:id="rId397"/>
          <w:headerReference w:type="default" r:id="rId398"/>
          <w:footerReference w:type="even" r:id="rId399"/>
          <w:footerReference w:type="default" r:id="rId400"/>
          <w:footnotePr>
            <w:numFmt w:val="chicago"/>
          </w:footnotePr>
          <w:pgSz w:w="8501" w:h="13022"/>
          <w:pgMar w:top="941" w:right="494" w:bottom="533" w:left="1118" w:header="0" w:footer="105" w:gutter="0"/>
          <w:cols w:space="720"/>
          <w:noEndnote/>
          <w:docGrid w:linePitch="360"/>
          <w15:footnoteColumns w:val="1"/>
        </w:sectPr>
      </w:pPr>
      <w:r>
        <w:t xml:space="preserve">La oftalmía neonatal atribuible a </w:t>
      </w:r>
      <w:r>
        <w:rPr>
          <w:rFonts w:ascii="Times New Roman" w:eastAsia="Times New Roman" w:hAnsi="Times New Roman" w:cs="Times New Roman"/>
          <w:i/>
          <w:iCs/>
          <w:sz w:val="16"/>
          <w:szCs w:val="16"/>
        </w:rPr>
        <w:t>C. trachomatis</w:t>
      </w:r>
      <w:r>
        <w:t>, si bien no tan grave como la conjuntivitis gonocócica, es común en Estados Unidos y es importante valorarla y tratarla (véase “Clamidiasis”, sección 3). Los resultados de estudios sobre la eficacia de pomadas de eritromicina y tetraciclina en seres humanos como profilácticos contra la conjuntivitis por clamidias han sido antagónicos, y no se ha demostrado su eficacia para impedir la colonización nasofaríngea.</w:t>
      </w:r>
    </w:p>
    <w:p w14:paraId="2B5334CB" w14:textId="77777777" w:rsidR="00924992" w:rsidRDefault="00924992">
      <w:pPr>
        <w:pStyle w:val="BodyText"/>
        <w:spacing w:after="560"/>
        <w:ind w:firstLine="0"/>
      </w:pPr>
      <w:r>
        <w:t>cuales es recomendable la profilaxia contra endocarditis para personas con trastornos del corazón que los exponen a riesgos y también los regímenes profilácticos específicos. Los profesionales asistenciales deben consultar las recomendaciones publicadas en busca de mayores detalles.</w:t>
      </w:r>
    </w:p>
    <w:p w14:paraId="321D1727" w14:textId="77777777" w:rsidR="00924992" w:rsidRDefault="00924992">
      <w:pPr>
        <w:pStyle w:val="Bodytext100"/>
      </w:pPr>
      <w:r>
        <w:rPr>
          <w:sz w:val="34"/>
          <w:szCs w:val="34"/>
        </w:rPr>
        <w:t>P</w:t>
      </w:r>
      <w:r>
        <w:t>revención de oftalmía neonatal</w:t>
      </w:r>
    </w:p>
    <w:p w14:paraId="210E10FB" w14:textId="77777777" w:rsidR="00924992" w:rsidRDefault="00924992">
      <w:pPr>
        <w:pStyle w:val="BodyText"/>
        <w:spacing w:after="100"/>
        <w:ind w:firstLine="0"/>
      </w:pPr>
      <w:r>
        <w:t xml:space="preserve">La oftalmía del neonato se define como conjuntivitis que afecta al producto en las primeras cuatro semanas de vida. Las causas principales de dicha enfermedad se exponen en el cuadro 5-7. La prevalencia de infección por </w:t>
      </w:r>
      <w:r>
        <w:rPr>
          <w:rFonts w:ascii="Times New Roman" w:eastAsia="Times New Roman" w:hAnsi="Times New Roman" w:cs="Times New Roman"/>
          <w:i/>
          <w:iCs/>
          <w:sz w:val="16"/>
          <w:szCs w:val="16"/>
        </w:rPr>
        <w:t>Chlamydia trachomatis</w:t>
      </w:r>
      <w:r>
        <w:t xml:space="preserve"> y </w:t>
      </w:r>
      <w:r>
        <w:rPr>
          <w:rFonts w:ascii="Times New Roman" w:eastAsia="Times New Roman" w:hAnsi="Times New Roman" w:cs="Times New Roman"/>
          <w:i/>
          <w:iCs/>
          <w:sz w:val="16"/>
          <w:szCs w:val="16"/>
        </w:rPr>
        <w:t>Neisseria gonorrhoeae</w:t>
      </w:r>
      <w:r>
        <w:t xml:space="preserve"> en los neonatos guarda relación directa con la prevalencia de la infección en embarazadas y el hecho de que éstas hayan sido sometidas, o no, a detección y tratamiento, y con la aplicación de profilaxia oftálmica a los neonatos. La detección de clamidias e infecciones gonorreicas en todas las embarazadas, seguida de tratamiento y vigilancia adecuados de todas las infectadas y sus compañeros podrá llevar al mínimo el peligro de transmisión perinatal (véanse “Clamidiasis” y “Gonococos, infecciones” en la sección 3).</w:t>
      </w:r>
    </w:p>
    <w:p w14:paraId="33AE308C" w14:textId="77777777" w:rsidR="00924992" w:rsidRDefault="00924992">
      <w:pPr>
        <w:pStyle w:val="Bodytext70"/>
      </w:pPr>
      <w:r>
        <w:t>Oftalmía gonocócica</w:t>
      </w:r>
    </w:p>
    <w:p w14:paraId="3C8929A6" w14:textId="77777777" w:rsidR="00924992" w:rsidRDefault="00924992">
      <w:pPr>
        <w:pStyle w:val="BodyText"/>
        <w:spacing w:after="100"/>
        <w:ind w:firstLine="0"/>
      </w:pPr>
      <w:r>
        <w:t xml:space="preserve">En los neonatos se consideran igualmente eficaces en la profilaxia de la infección gonorreica de los ojos la solución acuosa de nitrato de plata al 1% (tópica), la pomada de eritromicina al 0.5% y la pomada oftálmica de tetraciclina al 1%. Cada una se obtiene en presentaciones de una sola dosis. También puede ser útil la solución al 2.5% de polividona, pero se necesitan más estudios al respecto y en Estados Unidos no se cuenta con un producto para tal objetivo. El nitrato de plata origina más conjuntivitis química que otros agentes, pero se recomienda su uso en zonas en que es considerable la incidencia de N. gonorrhoeae productor de penicilinasa </w:t>
      </w:r>
      <w:r>
        <w:rPr>
          <w:i/>
          <w:iCs/>
        </w:rPr>
        <w:t>(</w:t>
      </w:r>
      <w:r>
        <w:rPr>
          <w:rFonts w:ascii="Times New Roman" w:eastAsia="Times New Roman" w:hAnsi="Times New Roman" w:cs="Times New Roman"/>
          <w:i/>
          <w:iCs/>
          <w:sz w:val="16"/>
          <w:szCs w:val="16"/>
        </w:rPr>
        <w:t>penicillinase-producing N. gonorrhoeae,</w:t>
      </w:r>
      <w:r>
        <w:t xml:space="preserve"> PPNG). No se conoce la eficacia de la profilaxia con eritromicina o polividona contra PPNG, pero un estudio demostró que la tetraciclina era eficaz. Los hijos de mujeres con infección gonocócica no tratada deben recibir una dosis de ceftriaxona sódica (25 a 50 mg/kg por vía intravenosa [IV] o intramuscular [IM] que no exceda de 125 mg) o de cefotaxima sódica (100 mg/kg IV o IM). No es adecuada la sola terapia tópica con antimicrobianos y es innecesaria si se emprende la administración sistémica de los fármacos. Es necesario hospitalizar a los lactantes con oftalmía gonocócica, valorarlos en busca de signos de infección diseminada y administrarles tratamiento (véase “Gonococos, infecciones” en la sección 3).</w:t>
      </w:r>
    </w:p>
    <w:p w14:paraId="750FA762" w14:textId="77777777" w:rsidR="00924992" w:rsidRDefault="00924992">
      <w:pPr>
        <w:pStyle w:val="Bodytext70"/>
      </w:pPr>
      <w:r>
        <w:t>Oftalmía clamidiásica</w:t>
      </w:r>
    </w:p>
    <w:p w14:paraId="749551E2" w14:textId="77777777" w:rsidR="00924992" w:rsidRDefault="00924992">
      <w:pPr>
        <w:pStyle w:val="BodyText"/>
        <w:spacing w:after="240"/>
        <w:ind w:firstLine="0"/>
        <w:sectPr w:rsidR="00924992" w:rsidSect="00924992">
          <w:footnotePr>
            <w:numFmt w:val="chicago"/>
          </w:footnotePr>
          <w:pgSz w:w="8501" w:h="13022"/>
          <w:pgMar w:top="941" w:right="494" w:bottom="533" w:left="1118" w:header="0" w:footer="105" w:gutter="0"/>
          <w:pgNumType w:start="815"/>
          <w:cols w:space="720"/>
          <w:noEndnote/>
          <w:docGrid w:linePitch="360"/>
          <w15:footnoteColumns w:val="1"/>
        </w:sectPr>
      </w:pPr>
      <w:r>
        <w:t xml:space="preserve">La oftalmía neonatal atribuible a </w:t>
      </w:r>
      <w:r>
        <w:rPr>
          <w:rFonts w:ascii="Times New Roman" w:eastAsia="Times New Roman" w:hAnsi="Times New Roman" w:cs="Times New Roman"/>
          <w:i/>
          <w:iCs/>
          <w:sz w:val="16"/>
          <w:szCs w:val="16"/>
        </w:rPr>
        <w:t>C. trachomatis</w:t>
      </w:r>
      <w:r>
        <w:t>, si bien no tan grave como la conjuntivitis gonocócica, es común en Estados Unidos y es importante valorarla y tratarla (véase “Clamidiasis”, sección 3). Los resultados de estudios sobre la eficacia de pomadas de eritromicina y tetraciclina en seres humanos como profilácticos contra la conjuntivitis por clamidias han sido antagónicos, y no se ha demostrado su eficacia para impedir la colonización nasofaríngea.</w:t>
      </w:r>
    </w:p>
    <w:p w14:paraId="1F7351E6" w14:textId="77777777" w:rsidR="00924992" w:rsidRDefault="00924992">
      <w:pPr>
        <w:pStyle w:val="Heading31"/>
        <w:keepNext/>
        <w:keepLines/>
        <w:framePr w:w="7632" w:h="317" w:wrap="none" w:hAnchor="page" w:x="2526" w:y="1"/>
      </w:pPr>
      <w:bookmarkStart w:id="745" w:name="bookmark2145"/>
      <w:bookmarkStart w:id="746" w:name="bookmark2146"/>
      <w:bookmarkStart w:id="747" w:name="bookmark2147"/>
      <w:r>
        <w:rPr>
          <w:b w:val="0"/>
          <w:bCs w:val="0"/>
        </w:rPr>
        <w:t xml:space="preserve">Cuadro 5-1. </w:t>
      </w:r>
      <w:r>
        <w:t>Recomendaciones para la profilaxia preoperatoria con antimicrobianos</w:t>
      </w:r>
      <w:r>
        <w:rPr>
          <w:vertAlign w:val="superscript"/>
        </w:rPr>
        <w:t>1</w:t>
      </w:r>
      <w:bookmarkEnd w:id="745"/>
      <w:bookmarkEnd w:id="746"/>
      <w:bookmarkEnd w:id="747"/>
    </w:p>
    <w:tbl>
      <w:tblPr>
        <w:tblOverlap w:val="never"/>
        <w:tblW w:w="0" w:type="auto"/>
        <w:tblLayout w:type="fixed"/>
        <w:tblCellMar>
          <w:left w:w="10" w:type="dxa"/>
          <w:right w:w="10" w:type="dxa"/>
        </w:tblCellMar>
        <w:tblLook w:val="04A0" w:firstRow="1" w:lastRow="0" w:firstColumn="1" w:lastColumn="0" w:noHBand="0" w:noVBand="1"/>
      </w:tblPr>
      <w:tblGrid>
        <w:gridCol w:w="2611"/>
        <w:gridCol w:w="2966"/>
      </w:tblGrid>
      <w:tr w:rsidR="00924992" w14:paraId="500E9FDB" w14:textId="77777777">
        <w:tblPrEx>
          <w:tblCellMar>
            <w:top w:w="0" w:type="dxa"/>
            <w:bottom w:w="0" w:type="dxa"/>
          </w:tblCellMar>
        </w:tblPrEx>
        <w:trPr>
          <w:trHeight w:hRule="exact" w:val="235"/>
        </w:trPr>
        <w:tc>
          <w:tcPr>
            <w:tcW w:w="2611" w:type="dxa"/>
            <w:shd w:val="clear" w:color="auto" w:fill="231F20"/>
          </w:tcPr>
          <w:p w14:paraId="2619B5B4" w14:textId="77777777" w:rsidR="00924992" w:rsidRDefault="00924992">
            <w:pPr>
              <w:pStyle w:val="Other0"/>
              <w:framePr w:w="5578" w:h="5726" w:wrap="none" w:hAnchor="page" w:x="668" w:y="404"/>
              <w:pBdr>
                <w:top w:val="single" w:sz="0" w:space="0" w:color="231F20"/>
                <w:left w:val="single" w:sz="0" w:space="0" w:color="231F20"/>
                <w:bottom w:val="single" w:sz="0" w:space="0" w:color="231F20"/>
                <w:right w:val="single" w:sz="0" w:space="0" w:color="231F20"/>
              </w:pBdr>
              <w:shd w:val="clear" w:color="auto" w:fill="231F20"/>
              <w:spacing w:line="240" w:lineRule="auto"/>
              <w:ind w:firstLine="0"/>
              <w:rPr>
                <w:sz w:val="24"/>
                <w:szCs w:val="24"/>
              </w:rPr>
            </w:pPr>
            <w:r>
              <w:rPr>
                <w:rFonts w:ascii="Arial" w:eastAsia="Arial" w:hAnsi="Arial" w:cs="Arial"/>
                <w:b/>
                <w:bCs/>
                <w:color w:val="FFFFFF"/>
                <w:w w:val="70"/>
                <w:sz w:val="24"/>
                <w:szCs w:val="24"/>
              </w:rPr>
              <w:t>Operación</w:t>
            </w:r>
          </w:p>
        </w:tc>
        <w:tc>
          <w:tcPr>
            <w:tcW w:w="2966" w:type="dxa"/>
            <w:shd w:val="clear" w:color="auto" w:fill="231F20"/>
          </w:tcPr>
          <w:p w14:paraId="435C895D" w14:textId="77777777" w:rsidR="00924992" w:rsidRDefault="00924992">
            <w:pPr>
              <w:pStyle w:val="Other0"/>
              <w:framePr w:w="5578" w:h="5726" w:wrap="none" w:hAnchor="page" w:x="668" w:y="404"/>
              <w:pBdr>
                <w:top w:val="single" w:sz="0" w:space="0" w:color="231F20"/>
                <w:left w:val="single" w:sz="0" w:space="0" w:color="231F20"/>
                <w:bottom w:val="single" w:sz="0" w:space="0" w:color="231F20"/>
                <w:right w:val="single" w:sz="0" w:space="0" w:color="231F20"/>
              </w:pBdr>
              <w:shd w:val="clear" w:color="auto" w:fill="231F20"/>
              <w:spacing w:line="240" w:lineRule="auto"/>
              <w:ind w:firstLine="240"/>
              <w:rPr>
                <w:sz w:val="24"/>
                <w:szCs w:val="24"/>
              </w:rPr>
            </w:pPr>
            <w:r>
              <w:rPr>
                <w:rFonts w:ascii="Arial" w:eastAsia="Arial" w:hAnsi="Arial" w:cs="Arial"/>
                <w:b/>
                <w:bCs/>
                <w:color w:val="FFFFFF"/>
                <w:w w:val="70"/>
                <w:sz w:val="24"/>
                <w:szCs w:val="24"/>
              </w:rPr>
              <w:t>Patógenos posibles</w:t>
            </w:r>
          </w:p>
        </w:tc>
      </w:tr>
      <w:tr w:rsidR="00924992" w14:paraId="4A53135C" w14:textId="77777777">
        <w:tblPrEx>
          <w:tblCellMar>
            <w:top w:w="0" w:type="dxa"/>
            <w:bottom w:w="0" w:type="dxa"/>
          </w:tblCellMar>
        </w:tblPrEx>
        <w:trPr>
          <w:trHeight w:hRule="exact" w:val="614"/>
        </w:trPr>
        <w:tc>
          <w:tcPr>
            <w:tcW w:w="2611" w:type="dxa"/>
            <w:shd w:val="clear" w:color="auto" w:fill="FFFFFF"/>
            <w:vAlign w:val="center"/>
          </w:tcPr>
          <w:p w14:paraId="5C17840D" w14:textId="77777777" w:rsidR="00924992" w:rsidRDefault="00924992">
            <w:pPr>
              <w:pStyle w:val="Other0"/>
              <w:framePr w:w="5578" w:h="5726" w:wrap="none" w:hAnchor="page" w:x="668" w:y="404"/>
              <w:spacing w:line="283" w:lineRule="auto"/>
              <w:ind w:firstLine="0"/>
              <w:rPr>
                <w:sz w:val="16"/>
                <w:szCs w:val="16"/>
              </w:rPr>
            </w:pPr>
            <w:r>
              <w:rPr>
                <w:rFonts w:ascii="Times New Roman" w:eastAsia="Times New Roman" w:hAnsi="Times New Roman" w:cs="Times New Roman"/>
                <w:sz w:val="16"/>
                <w:szCs w:val="16"/>
              </w:rPr>
              <w:t>Neonatos (&lt;72 h de vida): todos los procedimientos mayores</w:t>
            </w:r>
          </w:p>
        </w:tc>
        <w:tc>
          <w:tcPr>
            <w:tcW w:w="2966" w:type="dxa"/>
            <w:shd w:val="clear" w:color="auto" w:fill="FFFFFF"/>
            <w:vAlign w:val="center"/>
          </w:tcPr>
          <w:p w14:paraId="0D31CB5B" w14:textId="77777777" w:rsidR="00924992" w:rsidRDefault="00924992">
            <w:pPr>
              <w:pStyle w:val="Other0"/>
              <w:framePr w:w="5578" w:h="5726" w:wrap="none" w:hAnchor="page" w:x="668" w:y="404"/>
              <w:spacing w:line="283" w:lineRule="auto"/>
              <w:ind w:left="360" w:hanging="100"/>
              <w:rPr>
                <w:sz w:val="16"/>
                <w:szCs w:val="16"/>
              </w:rPr>
            </w:pPr>
            <w:r>
              <w:rPr>
                <w:rFonts w:ascii="Times New Roman" w:eastAsia="Times New Roman" w:hAnsi="Times New Roman" w:cs="Times New Roman"/>
                <w:sz w:val="16"/>
                <w:szCs w:val="16"/>
              </w:rPr>
              <w:t>Estreptococos del grupo B, bacilos entéricos gramnegativos, enterococos</w:t>
            </w:r>
          </w:p>
        </w:tc>
      </w:tr>
      <w:tr w:rsidR="00924992" w14:paraId="7EE59964" w14:textId="77777777">
        <w:tblPrEx>
          <w:tblCellMar>
            <w:top w:w="0" w:type="dxa"/>
            <w:bottom w:w="0" w:type="dxa"/>
          </w:tblCellMar>
        </w:tblPrEx>
        <w:trPr>
          <w:trHeight w:hRule="exact" w:val="1080"/>
        </w:trPr>
        <w:tc>
          <w:tcPr>
            <w:tcW w:w="2611" w:type="dxa"/>
            <w:shd w:val="clear" w:color="auto" w:fill="FFFFFF"/>
          </w:tcPr>
          <w:p w14:paraId="701A9E30" w14:textId="77777777" w:rsidR="00924992" w:rsidRDefault="00924992">
            <w:pPr>
              <w:pStyle w:val="Other0"/>
              <w:framePr w:w="5578" w:h="5726" w:wrap="none" w:hAnchor="page" w:x="668" w:y="404"/>
              <w:spacing w:before="100" w:line="283" w:lineRule="auto"/>
              <w:ind w:firstLine="0"/>
              <w:rPr>
                <w:sz w:val="16"/>
                <w:szCs w:val="16"/>
              </w:rPr>
            </w:pPr>
            <w:r>
              <w:rPr>
                <w:rFonts w:ascii="Times New Roman" w:eastAsia="Times New Roman" w:hAnsi="Times New Roman" w:cs="Times New Roman"/>
                <w:sz w:val="16"/>
                <w:szCs w:val="16"/>
              </w:rPr>
              <w:t>Corazón (prótesis valvular o marcapaso)</w:t>
            </w:r>
          </w:p>
        </w:tc>
        <w:tc>
          <w:tcPr>
            <w:tcW w:w="2966" w:type="dxa"/>
            <w:shd w:val="clear" w:color="auto" w:fill="FFFFFF"/>
            <w:vAlign w:val="center"/>
          </w:tcPr>
          <w:p w14:paraId="48339B9C" w14:textId="77777777" w:rsidR="00924992" w:rsidRDefault="00924992">
            <w:pPr>
              <w:pStyle w:val="Other0"/>
              <w:framePr w:w="5578" w:h="5726" w:wrap="none" w:hAnchor="page" w:x="668" w:y="404"/>
              <w:spacing w:line="283" w:lineRule="auto"/>
              <w:ind w:left="360" w:hanging="100"/>
              <w:rPr>
                <w:sz w:val="16"/>
                <w:szCs w:val="16"/>
              </w:rPr>
            </w:pPr>
            <w:r>
              <w:rPr>
                <w:rFonts w:ascii="Times New Roman" w:eastAsia="Times New Roman" w:hAnsi="Times New Roman" w:cs="Times New Roman"/>
                <w:i/>
                <w:iCs/>
                <w:sz w:val="16"/>
                <w:szCs w:val="16"/>
              </w:rPr>
              <w:t>Staphylococcus epidermidis</w:t>
            </w:r>
            <w:r>
              <w:rPr>
                <w:rFonts w:ascii="Times New Roman" w:eastAsia="Times New Roman" w:hAnsi="Times New Roman" w:cs="Times New Roman"/>
                <w:i/>
                <w:iCs/>
                <w:sz w:val="15"/>
                <w:szCs w:val="15"/>
              </w:rPr>
              <w:t xml:space="preserve">, </w:t>
            </w:r>
            <w:r>
              <w:rPr>
                <w:rFonts w:ascii="Times New Roman" w:eastAsia="Times New Roman" w:hAnsi="Times New Roman" w:cs="Times New Roman"/>
                <w:i/>
                <w:iCs/>
                <w:sz w:val="16"/>
                <w:szCs w:val="16"/>
              </w:rPr>
              <w:t>Staphylococcus aureus</w:t>
            </w:r>
            <w:r>
              <w:rPr>
                <w:rFonts w:ascii="Times New Roman" w:eastAsia="Times New Roman" w:hAnsi="Times New Roman" w:cs="Times New Roman"/>
                <w:i/>
                <w:iCs/>
                <w:sz w:val="15"/>
                <w:szCs w:val="15"/>
              </w:rPr>
              <w:t>,</w:t>
            </w:r>
            <w:r>
              <w:rPr>
                <w:rFonts w:ascii="Times New Roman" w:eastAsia="Times New Roman" w:hAnsi="Times New Roman" w:cs="Times New Roman"/>
                <w:sz w:val="16"/>
                <w:szCs w:val="16"/>
              </w:rPr>
              <w:t xml:space="preserve"> especies de </w:t>
            </w:r>
            <w:r>
              <w:rPr>
                <w:rFonts w:ascii="Times New Roman" w:eastAsia="Times New Roman" w:hAnsi="Times New Roman" w:cs="Times New Roman"/>
                <w:i/>
                <w:iCs/>
                <w:sz w:val="16"/>
                <w:szCs w:val="16"/>
              </w:rPr>
              <w:t>Corynebacterium</w:t>
            </w:r>
            <w:r>
              <w:rPr>
                <w:rFonts w:ascii="Times New Roman" w:eastAsia="Times New Roman" w:hAnsi="Times New Roman" w:cs="Times New Roman"/>
                <w:i/>
                <w:iCs/>
                <w:sz w:val="15"/>
                <w:szCs w:val="15"/>
              </w:rPr>
              <w:t>,</w:t>
            </w:r>
            <w:r>
              <w:rPr>
                <w:rFonts w:ascii="Times New Roman" w:eastAsia="Times New Roman" w:hAnsi="Times New Roman" w:cs="Times New Roman"/>
                <w:sz w:val="16"/>
                <w:szCs w:val="16"/>
              </w:rPr>
              <w:t xml:space="preserve"> bacilos entéricos gramnegativos</w:t>
            </w:r>
          </w:p>
        </w:tc>
      </w:tr>
      <w:tr w:rsidR="00924992" w14:paraId="3C578B77" w14:textId="77777777">
        <w:tblPrEx>
          <w:tblCellMar>
            <w:top w:w="0" w:type="dxa"/>
            <w:bottom w:w="0" w:type="dxa"/>
          </w:tblCellMar>
        </w:tblPrEx>
        <w:trPr>
          <w:trHeight w:hRule="exact" w:val="2146"/>
        </w:trPr>
        <w:tc>
          <w:tcPr>
            <w:tcW w:w="2611" w:type="dxa"/>
            <w:shd w:val="clear" w:color="auto" w:fill="FFFFFF"/>
          </w:tcPr>
          <w:p w14:paraId="493A9CD8" w14:textId="77777777" w:rsidR="00924992" w:rsidRDefault="00924992">
            <w:pPr>
              <w:pStyle w:val="Other0"/>
              <w:framePr w:w="5578" w:h="5726" w:wrap="none" w:hAnchor="page" w:x="668" w:y="404"/>
              <w:spacing w:before="100" w:line="240" w:lineRule="auto"/>
              <w:ind w:firstLine="0"/>
              <w:rPr>
                <w:sz w:val="16"/>
                <w:szCs w:val="16"/>
              </w:rPr>
            </w:pPr>
            <w:r>
              <w:rPr>
                <w:rFonts w:ascii="Times New Roman" w:eastAsia="Times New Roman" w:hAnsi="Times New Roman" w:cs="Times New Roman"/>
                <w:sz w:val="16"/>
                <w:szCs w:val="16"/>
              </w:rPr>
              <w:t>Vías gastrointestinales</w:t>
            </w:r>
          </w:p>
          <w:p w14:paraId="689FECB3" w14:textId="77777777" w:rsidR="00924992" w:rsidRDefault="00924992">
            <w:pPr>
              <w:pStyle w:val="Other0"/>
              <w:framePr w:w="5578" w:h="5726" w:wrap="none" w:hAnchor="page" w:x="668" w:y="404"/>
              <w:spacing w:after="220" w:line="240" w:lineRule="auto"/>
              <w:ind w:firstLine="0"/>
              <w:rPr>
                <w:sz w:val="16"/>
                <w:szCs w:val="16"/>
              </w:rPr>
            </w:pPr>
            <w:r>
              <w:rPr>
                <w:rFonts w:ascii="Times New Roman" w:eastAsia="Times New Roman" w:hAnsi="Times New Roman" w:cs="Times New Roman"/>
                <w:sz w:val="16"/>
                <w:szCs w:val="16"/>
              </w:rPr>
              <w:t>Esófago</w:t>
            </w:r>
          </w:p>
          <w:p w14:paraId="5A486DE3" w14:textId="77777777" w:rsidR="00924992" w:rsidRDefault="00924992">
            <w:pPr>
              <w:pStyle w:val="Other0"/>
              <w:framePr w:w="5578" w:h="5726" w:wrap="none" w:hAnchor="page" w:x="668" w:y="404"/>
              <w:spacing w:line="240" w:lineRule="auto"/>
              <w:ind w:firstLine="0"/>
              <w:rPr>
                <w:sz w:val="16"/>
                <w:szCs w:val="16"/>
              </w:rPr>
            </w:pPr>
            <w:r>
              <w:rPr>
                <w:rFonts w:ascii="Times New Roman" w:eastAsia="Times New Roman" w:hAnsi="Times New Roman" w:cs="Times New Roman"/>
                <w:sz w:val="16"/>
                <w:szCs w:val="16"/>
              </w:rPr>
              <w:t>Estómago y duodeno</w:t>
            </w:r>
          </w:p>
          <w:p w14:paraId="27AC75A8" w14:textId="77777777" w:rsidR="00924992" w:rsidRDefault="00924992">
            <w:pPr>
              <w:pStyle w:val="Other0"/>
              <w:framePr w:w="5578" w:h="5726" w:wrap="none" w:hAnchor="page" w:x="668" w:y="404"/>
              <w:spacing w:line="240" w:lineRule="auto"/>
              <w:ind w:firstLine="0"/>
              <w:rPr>
                <w:sz w:val="16"/>
                <w:szCs w:val="16"/>
              </w:rPr>
            </w:pPr>
            <w:r>
              <w:rPr>
                <w:rFonts w:ascii="Times New Roman" w:eastAsia="Times New Roman" w:hAnsi="Times New Roman" w:cs="Times New Roman"/>
                <w:sz w:val="16"/>
                <w:szCs w:val="16"/>
              </w:rPr>
              <w:t>Vías biliares</w:t>
            </w:r>
          </w:p>
          <w:p w14:paraId="1E2A7FDB" w14:textId="77777777" w:rsidR="00924992" w:rsidRDefault="00924992">
            <w:pPr>
              <w:pStyle w:val="Other0"/>
              <w:framePr w:w="5578" w:h="5726" w:wrap="none" w:hAnchor="page" w:x="668" w:y="404"/>
              <w:spacing w:line="240" w:lineRule="auto"/>
              <w:ind w:firstLine="0"/>
              <w:rPr>
                <w:sz w:val="16"/>
                <w:szCs w:val="16"/>
              </w:rPr>
            </w:pPr>
            <w:r>
              <w:rPr>
                <w:rFonts w:ascii="Times New Roman" w:eastAsia="Times New Roman" w:hAnsi="Times New Roman" w:cs="Times New Roman"/>
                <w:sz w:val="16"/>
                <w:szCs w:val="16"/>
              </w:rPr>
              <w:t>Colon y recto o apendicectomía</w:t>
            </w:r>
          </w:p>
        </w:tc>
        <w:tc>
          <w:tcPr>
            <w:tcW w:w="2966" w:type="dxa"/>
            <w:shd w:val="clear" w:color="auto" w:fill="FFFFFF"/>
            <w:vAlign w:val="center"/>
          </w:tcPr>
          <w:p w14:paraId="5F77B585" w14:textId="77777777" w:rsidR="00924992" w:rsidRDefault="00924992">
            <w:pPr>
              <w:pStyle w:val="Other0"/>
              <w:framePr w:w="5578" w:h="5726" w:wrap="none" w:hAnchor="page" w:x="668" w:y="404"/>
              <w:spacing w:line="283" w:lineRule="auto"/>
              <w:ind w:left="360" w:hanging="100"/>
              <w:rPr>
                <w:sz w:val="16"/>
                <w:szCs w:val="16"/>
              </w:rPr>
            </w:pPr>
            <w:r>
              <w:rPr>
                <w:rFonts w:ascii="Times New Roman" w:eastAsia="Times New Roman" w:hAnsi="Times New Roman" w:cs="Times New Roman"/>
                <w:sz w:val="16"/>
                <w:szCs w:val="16"/>
              </w:rPr>
              <w:t>Cocos grampositivos, bacilos entéricos gramnegativos</w:t>
            </w:r>
          </w:p>
          <w:p w14:paraId="0E7B9BAB" w14:textId="77777777" w:rsidR="00924992" w:rsidRDefault="00924992">
            <w:pPr>
              <w:pStyle w:val="Other0"/>
              <w:framePr w:w="5578" w:h="5726" w:wrap="none" w:hAnchor="page" w:x="668" w:y="404"/>
              <w:spacing w:line="283" w:lineRule="auto"/>
              <w:ind w:left="360" w:hanging="100"/>
              <w:rPr>
                <w:sz w:val="16"/>
                <w:szCs w:val="16"/>
              </w:rPr>
            </w:pPr>
            <w:r>
              <w:rPr>
                <w:rFonts w:ascii="Times New Roman" w:eastAsia="Times New Roman" w:hAnsi="Times New Roman" w:cs="Times New Roman"/>
                <w:sz w:val="16"/>
                <w:szCs w:val="16"/>
              </w:rPr>
              <w:t>Cocos grampositivos, bacilos entéricos gramnegativos</w:t>
            </w:r>
          </w:p>
          <w:p w14:paraId="370F9543" w14:textId="77777777" w:rsidR="00924992" w:rsidRDefault="00924992">
            <w:pPr>
              <w:pStyle w:val="Other0"/>
              <w:framePr w:w="5578" w:h="5726" w:wrap="none" w:hAnchor="page" w:x="668" w:y="404"/>
              <w:spacing w:line="283" w:lineRule="auto"/>
              <w:ind w:firstLine="240"/>
              <w:rPr>
                <w:sz w:val="16"/>
                <w:szCs w:val="16"/>
              </w:rPr>
            </w:pPr>
            <w:r>
              <w:rPr>
                <w:rFonts w:ascii="Times New Roman" w:eastAsia="Times New Roman" w:hAnsi="Times New Roman" w:cs="Times New Roman"/>
                <w:sz w:val="16"/>
                <w:szCs w:val="16"/>
              </w:rPr>
              <w:t>Bacilos entéricos gramnegativos</w:t>
            </w:r>
          </w:p>
          <w:p w14:paraId="6BDDF046" w14:textId="77777777" w:rsidR="00924992" w:rsidRDefault="00924992">
            <w:pPr>
              <w:pStyle w:val="Other0"/>
              <w:framePr w:w="5578" w:h="5726" w:wrap="none" w:hAnchor="page" w:x="668" w:y="404"/>
              <w:spacing w:line="283" w:lineRule="auto"/>
              <w:ind w:left="360" w:hanging="100"/>
              <w:rPr>
                <w:sz w:val="16"/>
                <w:szCs w:val="16"/>
              </w:rPr>
            </w:pPr>
            <w:r>
              <w:rPr>
                <w:rFonts w:ascii="Times New Roman" w:eastAsia="Times New Roman" w:hAnsi="Times New Roman" w:cs="Times New Roman"/>
                <w:sz w:val="16"/>
                <w:szCs w:val="16"/>
              </w:rPr>
              <w:t>Bacilos entéricos gramnegativos, enterococos, anaerobios</w:t>
            </w:r>
          </w:p>
        </w:tc>
      </w:tr>
      <w:tr w:rsidR="00924992" w14:paraId="65DF24EA" w14:textId="77777777">
        <w:tblPrEx>
          <w:tblCellMar>
            <w:top w:w="0" w:type="dxa"/>
            <w:bottom w:w="0" w:type="dxa"/>
          </w:tblCellMar>
        </w:tblPrEx>
        <w:trPr>
          <w:trHeight w:hRule="exact" w:val="1651"/>
        </w:trPr>
        <w:tc>
          <w:tcPr>
            <w:tcW w:w="2611" w:type="dxa"/>
            <w:shd w:val="clear" w:color="auto" w:fill="FFFFFF"/>
            <w:vAlign w:val="bottom"/>
          </w:tcPr>
          <w:p w14:paraId="058E2C93" w14:textId="77777777" w:rsidR="00924992" w:rsidRDefault="00924992">
            <w:pPr>
              <w:pStyle w:val="Other0"/>
              <w:framePr w:w="5578" w:h="5726" w:wrap="none" w:hAnchor="page" w:x="668" w:y="404"/>
              <w:spacing w:after="200" w:line="283" w:lineRule="auto"/>
              <w:ind w:firstLine="0"/>
              <w:rPr>
                <w:sz w:val="16"/>
                <w:szCs w:val="16"/>
              </w:rPr>
            </w:pPr>
            <w:r>
              <w:rPr>
                <w:rFonts w:ascii="Times New Roman" w:eastAsia="Times New Roman" w:hAnsi="Times New Roman" w:cs="Times New Roman"/>
                <w:sz w:val="16"/>
                <w:szCs w:val="16"/>
              </w:rPr>
              <w:t>Vías genitourinarias</w:t>
            </w:r>
          </w:p>
          <w:p w14:paraId="3A50BCCC" w14:textId="77777777" w:rsidR="00924992" w:rsidRDefault="00924992">
            <w:pPr>
              <w:pStyle w:val="Other0"/>
              <w:framePr w:w="5578" w:h="5726" w:wrap="none" w:hAnchor="page" w:x="668" w:y="404"/>
              <w:spacing w:line="283" w:lineRule="auto"/>
              <w:ind w:firstLine="0"/>
              <w:rPr>
                <w:sz w:val="16"/>
                <w:szCs w:val="16"/>
              </w:rPr>
            </w:pPr>
            <w:r>
              <w:rPr>
                <w:rFonts w:ascii="Times New Roman" w:eastAsia="Times New Roman" w:hAnsi="Times New Roman" w:cs="Times New Roman"/>
                <w:sz w:val="16"/>
                <w:szCs w:val="16"/>
              </w:rPr>
              <w:t>Operaciones de cabeza y cuello (incisión a través de la mucosa de la boca)</w:t>
            </w:r>
          </w:p>
          <w:p w14:paraId="4667BD31" w14:textId="77777777" w:rsidR="00924992" w:rsidRDefault="00924992">
            <w:pPr>
              <w:pStyle w:val="Other0"/>
              <w:framePr w:w="5578" w:h="5726" w:wrap="none" w:hAnchor="page" w:x="668" w:y="404"/>
              <w:spacing w:line="283" w:lineRule="auto"/>
              <w:ind w:firstLine="0"/>
              <w:rPr>
                <w:sz w:val="16"/>
                <w:szCs w:val="16"/>
              </w:rPr>
            </w:pPr>
            <w:r>
              <w:rPr>
                <w:rFonts w:ascii="Times New Roman" w:eastAsia="Times New Roman" w:hAnsi="Times New Roman" w:cs="Times New Roman"/>
                <w:sz w:val="16"/>
                <w:szCs w:val="16"/>
              </w:rPr>
              <w:t>Neurocirugía (craneotomía)</w:t>
            </w:r>
          </w:p>
        </w:tc>
        <w:tc>
          <w:tcPr>
            <w:tcW w:w="2966" w:type="dxa"/>
            <w:shd w:val="clear" w:color="auto" w:fill="FFFFFF"/>
            <w:vAlign w:val="bottom"/>
          </w:tcPr>
          <w:p w14:paraId="14D1EDE6" w14:textId="77777777" w:rsidR="00924992" w:rsidRDefault="00924992">
            <w:pPr>
              <w:pStyle w:val="Other0"/>
              <w:framePr w:w="5578" w:h="5726" w:wrap="none" w:hAnchor="page" w:x="668" w:y="404"/>
              <w:spacing w:line="283" w:lineRule="auto"/>
              <w:ind w:left="360" w:hanging="100"/>
              <w:rPr>
                <w:sz w:val="16"/>
                <w:szCs w:val="16"/>
              </w:rPr>
            </w:pPr>
            <w:r>
              <w:rPr>
                <w:rFonts w:ascii="Times New Roman" w:eastAsia="Times New Roman" w:hAnsi="Times New Roman" w:cs="Times New Roman"/>
                <w:sz w:val="16"/>
                <w:szCs w:val="16"/>
              </w:rPr>
              <w:t>Bacilos entéricos gramnegativos, enterococos</w:t>
            </w:r>
          </w:p>
          <w:p w14:paraId="54A05603" w14:textId="77777777" w:rsidR="00924992" w:rsidRDefault="00924992">
            <w:pPr>
              <w:pStyle w:val="Other0"/>
              <w:framePr w:w="5578" w:h="5726" w:wrap="none" w:hAnchor="page" w:x="668" w:y="404"/>
              <w:spacing w:after="200" w:line="283" w:lineRule="auto"/>
              <w:ind w:firstLine="0"/>
              <w:jc w:val="center"/>
              <w:rPr>
                <w:sz w:val="16"/>
                <w:szCs w:val="16"/>
              </w:rPr>
            </w:pPr>
            <w:r>
              <w:rPr>
                <w:rFonts w:ascii="Times New Roman" w:eastAsia="Times New Roman" w:hAnsi="Times New Roman" w:cs="Times New Roman"/>
                <w:sz w:val="16"/>
                <w:szCs w:val="16"/>
              </w:rPr>
              <w:t xml:space="preserve">Anaerobios, bacilos entéricos gramnegativos, </w:t>
            </w:r>
            <w:r>
              <w:rPr>
                <w:rFonts w:ascii="Times New Roman" w:eastAsia="Times New Roman" w:hAnsi="Times New Roman" w:cs="Times New Roman"/>
                <w:i/>
                <w:iCs/>
                <w:sz w:val="16"/>
                <w:szCs w:val="16"/>
              </w:rPr>
              <w:t>S. aureus</w:t>
            </w:r>
          </w:p>
          <w:p w14:paraId="2610998B" w14:textId="77777777" w:rsidR="00924992" w:rsidRDefault="00924992">
            <w:pPr>
              <w:pStyle w:val="Other0"/>
              <w:framePr w:w="5578" w:h="5726" w:wrap="none" w:hAnchor="page" w:x="668" w:y="404"/>
              <w:spacing w:line="283" w:lineRule="auto"/>
              <w:ind w:firstLine="240"/>
              <w:rPr>
                <w:sz w:val="16"/>
                <w:szCs w:val="16"/>
              </w:rPr>
            </w:pPr>
            <w:r>
              <w:rPr>
                <w:rFonts w:ascii="Times New Roman" w:eastAsia="Times New Roman" w:hAnsi="Times New Roman" w:cs="Times New Roman"/>
                <w:i/>
                <w:iCs/>
                <w:sz w:val="16"/>
                <w:szCs w:val="16"/>
              </w:rPr>
              <w:t>S. epidermidis, S. aureus</w:t>
            </w:r>
          </w:p>
        </w:tc>
      </w:tr>
    </w:tbl>
    <w:p w14:paraId="3C98006C" w14:textId="77777777" w:rsidR="00924992" w:rsidRDefault="00924992">
      <w:pPr>
        <w:framePr w:w="5578" w:h="5726" w:wrap="none" w:hAnchor="page" w:x="668" w:y="404"/>
        <w:spacing w:line="1" w:lineRule="exact"/>
      </w:pPr>
    </w:p>
    <w:tbl>
      <w:tblPr>
        <w:tblOverlap w:val="never"/>
        <w:tblW w:w="0" w:type="auto"/>
        <w:tblLayout w:type="fixed"/>
        <w:tblCellMar>
          <w:left w:w="10" w:type="dxa"/>
          <w:right w:w="10" w:type="dxa"/>
        </w:tblCellMar>
        <w:tblLook w:val="04A0" w:firstRow="1" w:lastRow="0" w:firstColumn="1" w:lastColumn="0" w:noHBand="0" w:noVBand="1"/>
      </w:tblPr>
      <w:tblGrid>
        <w:gridCol w:w="2760"/>
        <w:gridCol w:w="1699"/>
      </w:tblGrid>
      <w:tr w:rsidR="00924992" w14:paraId="425C5219" w14:textId="77777777">
        <w:tblPrEx>
          <w:tblCellMar>
            <w:top w:w="0" w:type="dxa"/>
            <w:bottom w:w="0" w:type="dxa"/>
          </w:tblCellMar>
        </w:tblPrEx>
        <w:trPr>
          <w:trHeight w:hRule="exact" w:val="235"/>
        </w:trPr>
        <w:tc>
          <w:tcPr>
            <w:tcW w:w="2760" w:type="dxa"/>
            <w:shd w:val="clear" w:color="auto" w:fill="231F20"/>
          </w:tcPr>
          <w:p w14:paraId="2E54F9CA" w14:textId="77777777" w:rsidR="00924992" w:rsidRDefault="00924992">
            <w:pPr>
              <w:pStyle w:val="Other0"/>
              <w:framePr w:w="4459" w:h="6134" w:wrap="none" w:hAnchor="page" w:x="6342" w:y="404"/>
              <w:pBdr>
                <w:top w:val="single" w:sz="0" w:space="0" w:color="231F20"/>
                <w:left w:val="single" w:sz="0" w:space="0" w:color="231F20"/>
                <w:bottom w:val="single" w:sz="0" w:space="0" w:color="231F20"/>
                <w:right w:val="single" w:sz="0" w:space="0" w:color="231F20"/>
              </w:pBdr>
              <w:shd w:val="clear" w:color="auto" w:fill="231F20"/>
              <w:spacing w:line="240" w:lineRule="auto"/>
              <w:ind w:firstLine="0"/>
              <w:rPr>
                <w:sz w:val="24"/>
                <w:szCs w:val="24"/>
              </w:rPr>
            </w:pPr>
            <w:r>
              <w:rPr>
                <w:rFonts w:ascii="Arial" w:eastAsia="Arial" w:hAnsi="Arial" w:cs="Arial"/>
                <w:b/>
                <w:bCs/>
                <w:color w:val="FFFFFF"/>
                <w:w w:val="70"/>
                <w:sz w:val="24"/>
                <w:szCs w:val="24"/>
              </w:rPr>
              <w:t>Fármacos recomendados</w:t>
            </w:r>
          </w:p>
        </w:tc>
        <w:tc>
          <w:tcPr>
            <w:tcW w:w="1699" w:type="dxa"/>
            <w:shd w:val="clear" w:color="auto" w:fill="231F20"/>
          </w:tcPr>
          <w:p w14:paraId="0CFF89F6" w14:textId="77777777" w:rsidR="00924992" w:rsidRDefault="00924992">
            <w:pPr>
              <w:pStyle w:val="Other0"/>
              <w:framePr w:w="4459" w:h="6134" w:wrap="none" w:hAnchor="page" w:x="6342" w:y="404"/>
              <w:pBdr>
                <w:top w:val="single" w:sz="0" w:space="0" w:color="231F20"/>
                <w:left w:val="single" w:sz="0" w:space="0" w:color="231F20"/>
                <w:bottom w:val="single" w:sz="0" w:space="0" w:color="231F20"/>
                <w:right w:val="single" w:sz="0" w:space="0" w:color="231F20"/>
              </w:pBdr>
              <w:shd w:val="clear" w:color="auto" w:fill="231F20"/>
              <w:spacing w:line="240" w:lineRule="auto"/>
              <w:ind w:firstLine="0"/>
              <w:rPr>
                <w:sz w:val="24"/>
                <w:szCs w:val="24"/>
              </w:rPr>
            </w:pPr>
            <w:r>
              <w:rPr>
                <w:rFonts w:ascii="Arial" w:eastAsia="Arial" w:hAnsi="Arial" w:cs="Arial"/>
                <w:b/>
                <w:bCs/>
                <w:color w:val="FFFFFF"/>
                <w:w w:val="70"/>
                <w:sz w:val="24"/>
                <w:szCs w:val="24"/>
              </w:rPr>
              <w:t>Dosis preoperatoria</w:t>
            </w:r>
          </w:p>
        </w:tc>
      </w:tr>
      <w:tr w:rsidR="00924992" w14:paraId="012BFEC2" w14:textId="77777777">
        <w:tblPrEx>
          <w:tblCellMar>
            <w:top w:w="0" w:type="dxa"/>
            <w:bottom w:w="0" w:type="dxa"/>
          </w:tblCellMar>
        </w:tblPrEx>
        <w:trPr>
          <w:trHeight w:hRule="exact" w:val="288"/>
        </w:trPr>
        <w:tc>
          <w:tcPr>
            <w:tcW w:w="2760" w:type="dxa"/>
            <w:shd w:val="clear" w:color="auto" w:fill="FFFFFF"/>
            <w:vAlign w:val="bottom"/>
          </w:tcPr>
          <w:p w14:paraId="6AC6579B" w14:textId="77777777" w:rsidR="00924992" w:rsidRDefault="00924992">
            <w:pPr>
              <w:pStyle w:val="Other0"/>
              <w:framePr w:w="4459" w:h="6134" w:wrap="none" w:hAnchor="page" w:x="6342" w:y="404"/>
              <w:spacing w:line="240" w:lineRule="auto"/>
              <w:ind w:firstLine="0"/>
              <w:rPr>
                <w:sz w:val="16"/>
                <w:szCs w:val="16"/>
              </w:rPr>
            </w:pPr>
            <w:r>
              <w:rPr>
                <w:rFonts w:ascii="Times New Roman" w:eastAsia="Times New Roman" w:hAnsi="Times New Roman" w:cs="Times New Roman"/>
                <w:sz w:val="16"/>
                <w:szCs w:val="16"/>
              </w:rPr>
              <w:t>Ampicilina Y ADEMÁS</w:t>
            </w:r>
          </w:p>
        </w:tc>
        <w:tc>
          <w:tcPr>
            <w:tcW w:w="1699" w:type="dxa"/>
            <w:shd w:val="clear" w:color="auto" w:fill="FFFFFF"/>
            <w:vAlign w:val="bottom"/>
          </w:tcPr>
          <w:p w14:paraId="561BBCEF" w14:textId="77777777" w:rsidR="00924992" w:rsidRDefault="00924992">
            <w:pPr>
              <w:pStyle w:val="Other0"/>
              <w:framePr w:w="4459" w:h="6134" w:wrap="none" w:hAnchor="page" w:x="6342" w:y="404"/>
              <w:spacing w:line="240" w:lineRule="auto"/>
              <w:ind w:firstLine="0"/>
              <w:rPr>
                <w:sz w:val="16"/>
                <w:szCs w:val="16"/>
              </w:rPr>
            </w:pPr>
            <w:r>
              <w:rPr>
                <w:rFonts w:ascii="Times New Roman" w:eastAsia="Times New Roman" w:hAnsi="Times New Roman" w:cs="Times New Roman"/>
                <w:sz w:val="16"/>
                <w:szCs w:val="16"/>
              </w:rPr>
              <w:t>50 mg/kg</w:t>
            </w:r>
          </w:p>
        </w:tc>
      </w:tr>
      <w:tr w:rsidR="00924992" w14:paraId="5F0DBE52" w14:textId="77777777">
        <w:tblPrEx>
          <w:tblCellMar>
            <w:top w:w="0" w:type="dxa"/>
            <w:bottom w:w="0" w:type="dxa"/>
          </w:tblCellMar>
        </w:tblPrEx>
        <w:trPr>
          <w:trHeight w:hRule="exact" w:val="326"/>
        </w:trPr>
        <w:tc>
          <w:tcPr>
            <w:tcW w:w="2760" w:type="dxa"/>
            <w:shd w:val="clear" w:color="auto" w:fill="FFFFFF"/>
          </w:tcPr>
          <w:p w14:paraId="0FD91B77" w14:textId="77777777" w:rsidR="00924992" w:rsidRDefault="00924992">
            <w:pPr>
              <w:pStyle w:val="Other0"/>
              <w:framePr w:w="4459" w:h="6134" w:wrap="none" w:hAnchor="page" w:x="6342" w:y="404"/>
              <w:spacing w:line="240" w:lineRule="auto"/>
              <w:ind w:firstLine="0"/>
              <w:rPr>
                <w:sz w:val="16"/>
                <w:szCs w:val="16"/>
              </w:rPr>
            </w:pPr>
            <w:r>
              <w:rPr>
                <w:rFonts w:ascii="Times New Roman" w:eastAsia="Times New Roman" w:hAnsi="Times New Roman" w:cs="Times New Roman"/>
                <w:sz w:val="16"/>
                <w:szCs w:val="16"/>
              </w:rPr>
              <w:t>sulfato de gentamicina</w:t>
            </w:r>
          </w:p>
        </w:tc>
        <w:tc>
          <w:tcPr>
            <w:tcW w:w="1699" w:type="dxa"/>
            <w:shd w:val="clear" w:color="auto" w:fill="FFFFFF"/>
          </w:tcPr>
          <w:p w14:paraId="16FF668C" w14:textId="77777777" w:rsidR="00924992" w:rsidRDefault="00924992">
            <w:pPr>
              <w:pStyle w:val="Other0"/>
              <w:framePr w:w="4459" w:h="6134" w:wrap="none" w:hAnchor="page" w:x="6342" w:y="404"/>
              <w:spacing w:line="240" w:lineRule="auto"/>
              <w:ind w:firstLine="0"/>
              <w:rPr>
                <w:sz w:val="16"/>
                <w:szCs w:val="16"/>
              </w:rPr>
            </w:pPr>
            <w:r>
              <w:rPr>
                <w:rFonts w:ascii="Times New Roman" w:eastAsia="Times New Roman" w:hAnsi="Times New Roman" w:cs="Times New Roman"/>
                <w:sz w:val="16"/>
                <w:szCs w:val="16"/>
              </w:rPr>
              <w:t>2.5-3 mg/kg</w:t>
            </w:r>
          </w:p>
        </w:tc>
      </w:tr>
      <w:tr w:rsidR="00924992" w14:paraId="46DED697" w14:textId="77777777">
        <w:tblPrEx>
          <w:tblCellMar>
            <w:top w:w="0" w:type="dxa"/>
            <w:bottom w:w="0" w:type="dxa"/>
          </w:tblCellMar>
        </w:tblPrEx>
        <w:trPr>
          <w:trHeight w:hRule="exact" w:val="322"/>
        </w:trPr>
        <w:tc>
          <w:tcPr>
            <w:tcW w:w="2760" w:type="dxa"/>
            <w:shd w:val="clear" w:color="auto" w:fill="FFFFFF"/>
            <w:vAlign w:val="bottom"/>
          </w:tcPr>
          <w:p w14:paraId="2D4B2D7D" w14:textId="77777777" w:rsidR="00924992" w:rsidRDefault="00924992">
            <w:pPr>
              <w:pStyle w:val="Other0"/>
              <w:framePr w:w="4459" w:h="6134" w:wrap="none" w:hAnchor="page" w:x="6342" w:y="404"/>
              <w:spacing w:line="240" w:lineRule="auto"/>
              <w:ind w:firstLine="0"/>
              <w:rPr>
                <w:sz w:val="16"/>
                <w:szCs w:val="16"/>
              </w:rPr>
            </w:pPr>
            <w:r>
              <w:rPr>
                <w:rFonts w:ascii="Times New Roman" w:eastAsia="Times New Roman" w:hAnsi="Times New Roman" w:cs="Times New Roman"/>
                <w:sz w:val="16"/>
                <w:szCs w:val="16"/>
              </w:rPr>
              <w:t>Cefazolina sódica O, si es probable</w:t>
            </w:r>
          </w:p>
        </w:tc>
        <w:tc>
          <w:tcPr>
            <w:tcW w:w="1699" w:type="dxa"/>
            <w:shd w:val="clear" w:color="auto" w:fill="FFFFFF"/>
            <w:vAlign w:val="bottom"/>
          </w:tcPr>
          <w:p w14:paraId="381CE08A" w14:textId="77777777" w:rsidR="00924992" w:rsidRDefault="00924992">
            <w:pPr>
              <w:pStyle w:val="Other0"/>
              <w:framePr w:w="4459" w:h="6134" w:wrap="none" w:hAnchor="page" w:x="6342" w:y="404"/>
              <w:spacing w:line="240" w:lineRule="auto"/>
              <w:ind w:firstLine="0"/>
              <w:rPr>
                <w:sz w:val="16"/>
                <w:szCs w:val="16"/>
              </w:rPr>
            </w:pPr>
            <w:r>
              <w:rPr>
                <w:rFonts w:ascii="Times New Roman" w:eastAsia="Times New Roman" w:hAnsi="Times New Roman" w:cs="Times New Roman"/>
                <w:sz w:val="16"/>
                <w:szCs w:val="16"/>
              </w:rPr>
              <w:t>25 mg/kg</w:t>
            </w:r>
          </w:p>
        </w:tc>
      </w:tr>
      <w:tr w:rsidR="00924992" w14:paraId="3ED49C7F" w14:textId="77777777">
        <w:tblPrEx>
          <w:tblCellMar>
            <w:top w:w="0" w:type="dxa"/>
            <w:bottom w:w="0" w:type="dxa"/>
          </w:tblCellMar>
        </w:tblPrEx>
        <w:trPr>
          <w:trHeight w:hRule="exact" w:val="226"/>
        </w:trPr>
        <w:tc>
          <w:tcPr>
            <w:tcW w:w="2760" w:type="dxa"/>
            <w:shd w:val="clear" w:color="auto" w:fill="FFFFFF"/>
          </w:tcPr>
          <w:p w14:paraId="6DDB2B21" w14:textId="77777777" w:rsidR="00924992" w:rsidRDefault="00924992">
            <w:pPr>
              <w:pStyle w:val="Other0"/>
              <w:framePr w:w="4459" w:h="6134" w:wrap="none" w:hAnchor="page" w:x="6342" w:y="404"/>
              <w:spacing w:line="240" w:lineRule="auto"/>
              <w:ind w:firstLine="0"/>
              <w:rPr>
                <w:sz w:val="16"/>
                <w:szCs w:val="16"/>
              </w:rPr>
            </w:pPr>
            <w:r>
              <w:rPr>
                <w:rFonts w:ascii="Times New Roman" w:eastAsia="Times New Roman" w:hAnsi="Times New Roman" w:cs="Times New Roman"/>
                <w:sz w:val="16"/>
                <w:szCs w:val="16"/>
              </w:rPr>
              <w:t>la presencia de MRSA, clorhidrato</w:t>
            </w:r>
          </w:p>
        </w:tc>
        <w:tc>
          <w:tcPr>
            <w:tcW w:w="1699" w:type="dxa"/>
            <w:shd w:val="clear" w:color="auto" w:fill="FFFFFF"/>
          </w:tcPr>
          <w:p w14:paraId="0C128DBF" w14:textId="77777777" w:rsidR="00924992" w:rsidRDefault="00924992">
            <w:pPr>
              <w:pStyle w:val="Other0"/>
              <w:framePr w:w="4459" w:h="6134" w:wrap="none" w:hAnchor="page" w:x="6342" w:y="404"/>
              <w:spacing w:line="240" w:lineRule="auto"/>
              <w:ind w:firstLine="0"/>
              <w:rPr>
                <w:sz w:val="16"/>
                <w:szCs w:val="16"/>
              </w:rPr>
            </w:pPr>
            <w:r>
              <w:rPr>
                <w:rFonts w:ascii="Times New Roman" w:eastAsia="Times New Roman" w:hAnsi="Times New Roman" w:cs="Times New Roman"/>
                <w:sz w:val="16"/>
                <w:szCs w:val="16"/>
              </w:rPr>
              <w:t>10 mg/kg</w:t>
            </w:r>
          </w:p>
        </w:tc>
      </w:tr>
      <w:tr w:rsidR="00924992" w14:paraId="1CED2C02" w14:textId="77777777">
        <w:tblPrEx>
          <w:tblCellMar>
            <w:top w:w="0" w:type="dxa"/>
            <w:bottom w:w="0" w:type="dxa"/>
          </w:tblCellMar>
        </w:tblPrEx>
        <w:trPr>
          <w:trHeight w:hRule="exact" w:val="514"/>
        </w:trPr>
        <w:tc>
          <w:tcPr>
            <w:tcW w:w="2760" w:type="dxa"/>
            <w:shd w:val="clear" w:color="auto" w:fill="FFFFFF"/>
          </w:tcPr>
          <w:p w14:paraId="7D84923E" w14:textId="77777777" w:rsidR="00924992" w:rsidRDefault="00924992">
            <w:pPr>
              <w:pStyle w:val="Other0"/>
              <w:framePr w:w="4459" w:h="6134" w:wrap="none" w:hAnchor="page" w:x="6342" w:y="404"/>
              <w:spacing w:line="240" w:lineRule="auto"/>
              <w:ind w:firstLine="0"/>
              <w:rPr>
                <w:sz w:val="16"/>
                <w:szCs w:val="16"/>
              </w:rPr>
            </w:pPr>
            <w:r>
              <w:rPr>
                <w:rFonts w:ascii="Times New Roman" w:eastAsia="Times New Roman" w:hAnsi="Times New Roman" w:cs="Times New Roman"/>
                <w:sz w:val="16"/>
                <w:szCs w:val="16"/>
              </w:rPr>
              <w:t>de vancomicina</w:t>
            </w:r>
          </w:p>
        </w:tc>
        <w:tc>
          <w:tcPr>
            <w:tcW w:w="1699" w:type="dxa"/>
            <w:shd w:val="clear" w:color="auto" w:fill="FFFFFF"/>
          </w:tcPr>
          <w:p w14:paraId="61EB5A1E" w14:textId="77777777" w:rsidR="00924992" w:rsidRDefault="00924992">
            <w:pPr>
              <w:framePr w:w="4459" w:h="6134" w:wrap="none" w:hAnchor="page" w:x="6342" w:y="404"/>
              <w:rPr>
                <w:sz w:val="10"/>
                <w:szCs w:val="10"/>
              </w:rPr>
            </w:pPr>
          </w:p>
        </w:tc>
      </w:tr>
      <w:tr w:rsidR="00924992" w14:paraId="05543353" w14:textId="77777777">
        <w:tblPrEx>
          <w:tblCellMar>
            <w:top w:w="0" w:type="dxa"/>
            <w:bottom w:w="0" w:type="dxa"/>
          </w:tblCellMar>
        </w:tblPrEx>
        <w:trPr>
          <w:trHeight w:hRule="exact" w:val="658"/>
        </w:trPr>
        <w:tc>
          <w:tcPr>
            <w:tcW w:w="2760" w:type="dxa"/>
            <w:shd w:val="clear" w:color="auto" w:fill="FFFFFF"/>
            <w:vAlign w:val="bottom"/>
          </w:tcPr>
          <w:p w14:paraId="51BE0CE9" w14:textId="77777777" w:rsidR="00924992" w:rsidRDefault="00924992">
            <w:pPr>
              <w:pStyle w:val="Other0"/>
              <w:framePr w:w="4459" w:h="6134" w:wrap="none" w:hAnchor="page" w:x="6342" w:y="404"/>
              <w:spacing w:line="240" w:lineRule="auto"/>
              <w:ind w:firstLine="0"/>
              <w:rPr>
                <w:sz w:val="16"/>
                <w:szCs w:val="16"/>
              </w:rPr>
            </w:pPr>
            <w:r>
              <w:rPr>
                <w:rFonts w:ascii="Times New Roman" w:eastAsia="Times New Roman" w:hAnsi="Times New Roman" w:cs="Times New Roman"/>
                <w:sz w:val="16"/>
                <w:szCs w:val="16"/>
              </w:rPr>
              <w:t>Cefazolina</w:t>
            </w:r>
          </w:p>
        </w:tc>
        <w:tc>
          <w:tcPr>
            <w:tcW w:w="1699" w:type="dxa"/>
            <w:shd w:val="clear" w:color="auto" w:fill="FFFFFF"/>
            <w:vAlign w:val="bottom"/>
          </w:tcPr>
          <w:p w14:paraId="03022BBA" w14:textId="77777777" w:rsidR="00924992" w:rsidRDefault="00924992">
            <w:pPr>
              <w:pStyle w:val="Other0"/>
              <w:framePr w:w="4459" w:h="6134" w:wrap="none" w:hAnchor="page" w:x="6342" w:y="404"/>
              <w:spacing w:line="240" w:lineRule="auto"/>
              <w:ind w:firstLine="0"/>
              <w:rPr>
                <w:sz w:val="16"/>
                <w:szCs w:val="16"/>
              </w:rPr>
            </w:pPr>
            <w:r>
              <w:rPr>
                <w:rFonts w:ascii="Times New Roman" w:eastAsia="Times New Roman" w:hAnsi="Times New Roman" w:cs="Times New Roman"/>
                <w:sz w:val="16"/>
                <w:szCs w:val="16"/>
              </w:rPr>
              <w:t>25 mg/kg</w:t>
            </w:r>
          </w:p>
        </w:tc>
      </w:tr>
      <w:tr w:rsidR="00924992" w14:paraId="43530598" w14:textId="77777777">
        <w:tblPrEx>
          <w:tblCellMar>
            <w:top w:w="0" w:type="dxa"/>
            <w:bottom w:w="0" w:type="dxa"/>
          </w:tblCellMar>
        </w:tblPrEx>
        <w:trPr>
          <w:trHeight w:hRule="exact" w:val="322"/>
        </w:trPr>
        <w:tc>
          <w:tcPr>
            <w:tcW w:w="2760" w:type="dxa"/>
            <w:shd w:val="clear" w:color="auto" w:fill="FFFFFF"/>
            <w:vAlign w:val="bottom"/>
          </w:tcPr>
          <w:p w14:paraId="0A41A5D7" w14:textId="77777777" w:rsidR="00924992" w:rsidRDefault="00924992">
            <w:pPr>
              <w:pStyle w:val="Other0"/>
              <w:framePr w:w="4459" w:h="6134" w:wrap="none" w:hAnchor="page" w:x="6342" w:y="404"/>
              <w:spacing w:line="240" w:lineRule="auto"/>
              <w:ind w:firstLine="0"/>
              <w:rPr>
                <w:sz w:val="16"/>
                <w:szCs w:val="16"/>
              </w:rPr>
            </w:pPr>
            <w:r>
              <w:rPr>
                <w:rFonts w:ascii="Times New Roman" w:eastAsia="Times New Roman" w:hAnsi="Times New Roman" w:cs="Times New Roman"/>
                <w:sz w:val="16"/>
                <w:szCs w:val="16"/>
              </w:rPr>
              <w:t>Cefazolina</w:t>
            </w:r>
          </w:p>
        </w:tc>
        <w:tc>
          <w:tcPr>
            <w:tcW w:w="1699" w:type="dxa"/>
            <w:shd w:val="clear" w:color="auto" w:fill="FFFFFF"/>
            <w:vAlign w:val="bottom"/>
          </w:tcPr>
          <w:p w14:paraId="1383D36F" w14:textId="77777777" w:rsidR="00924992" w:rsidRDefault="00924992">
            <w:pPr>
              <w:pStyle w:val="Other0"/>
              <w:framePr w:w="4459" w:h="6134" w:wrap="none" w:hAnchor="page" w:x="6342" w:y="404"/>
              <w:spacing w:line="240" w:lineRule="auto"/>
              <w:ind w:firstLine="0"/>
              <w:rPr>
                <w:sz w:val="16"/>
                <w:szCs w:val="16"/>
              </w:rPr>
            </w:pPr>
            <w:r>
              <w:rPr>
                <w:rFonts w:ascii="Times New Roman" w:eastAsia="Times New Roman" w:hAnsi="Times New Roman" w:cs="Times New Roman"/>
                <w:sz w:val="16"/>
                <w:szCs w:val="16"/>
              </w:rPr>
              <w:t>25 mg/kg</w:t>
            </w:r>
          </w:p>
        </w:tc>
      </w:tr>
      <w:tr w:rsidR="00924992" w14:paraId="762966A3" w14:textId="77777777">
        <w:tblPrEx>
          <w:tblCellMar>
            <w:top w:w="0" w:type="dxa"/>
            <w:bottom w:w="0" w:type="dxa"/>
          </w:tblCellMar>
        </w:tblPrEx>
        <w:trPr>
          <w:trHeight w:hRule="exact" w:val="216"/>
        </w:trPr>
        <w:tc>
          <w:tcPr>
            <w:tcW w:w="2760" w:type="dxa"/>
            <w:shd w:val="clear" w:color="auto" w:fill="FFFFFF"/>
            <w:vAlign w:val="bottom"/>
          </w:tcPr>
          <w:p w14:paraId="630A7AF9" w14:textId="77777777" w:rsidR="00924992" w:rsidRDefault="00924992">
            <w:pPr>
              <w:pStyle w:val="Other0"/>
              <w:framePr w:w="4459" w:h="6134" w:wrap="none" w:hAnchor="page" w:x="6342" w:y="404"/>
              <w:spacing w:line="240" w:lineRule="auto"/>
              <w:ind w:firstLine="0"/>
              <w:rPr>
                <w:sz w:val="16"/>
                <w:szCs w:val="16"/>
              </w:rPr>
            </w:pPr>
            <w:r>
              <w:rPr>
                <w:rFonts w:ascii="Times New Roman" w:eastAsia="Times New Roman" w:hAnsi="Times New Roman" w:cs="Times New Roman"/>
                <w:sz w:val="16"/>
                <w:szCs w:val="16"/>
              </w:rPr>
              <w:t>Cefazolina</w:t>
            </w:r>
          </w:p>
        </w:tc>
        <w:tc>
          <w:tcPr>
            <w:tcW w:w="1699" w:type="dxa"/>
            <w:shd w:val="clear" w:color="auto" w:fill="FFFFFF"/>
            <w:vAlign w:val="bottom"/>
          </w:tcPr>
          <w:p w14:paraId="241C8BBC" w14:textId="77777777" w:rsidR="00924992" w:rsidRDefault="00924992">
            <w:pPr>
              <w:pStyle w:val="Other0"/>
              <w:framePr w:w="4459" w:h="6134" w:wrap="none" w:hAnchor="page" w:x="6342" w:y="404"/>
              <w:spacing w:line="240" w:lineRule="auto"/>
              <w:ind w:firstLine="0"/>
              <w:rPr>
                <w:sz w:val="16"/>
                <w:szCs w:val="16"/>
              </w:rPr>
            </w:pPr>
            <w:r>
              <w:rPr>
                <w:rFonts w:ascii="Times New Roman" w:eastAsia="Times New Roman" w:hAnsi="Times New Roman" w:cs="Times New Roman"/>
                <w:sz w:val="16"/>
                <w:szCs w:val="16"/>
              </w:rPr>
              <w:t>25 mg/kg</w:t>
            </w:r>
          </w:p>
        </w:tc>
      </w:tr>
      <w:tr w:rsidR="00924992" w14:paraId="36888AA1" w14:textId="77777777">
        <w:tblPrEx>
          <w:tblCellMar>
            <w:top w:w="0" w:type="dxa"/>
            <w:bottom w:w="0" w:type="dxa"/>
          </w:tblCellMar>
        </w:tblPrEx>
        <w:trPr>
          <w:trHeight w:hRule="exact" w:val="211"/>
        </w:trPr>
        <w:tc>
          <w:tcPr>
            <w:tcW w:w="2760" w:type="dxa"/>
            <w:shd w:val="clear" w:color="auto" w:fill="FFFFFF"/>
            <w:vAlign w:val="bottom"/>
          </w:tcPr>
          <w:p w14:paraId="2D537606" w14:textId="77777777" w:rsidR="00924992" w:rsidRDefault="00924992">
            <w:pPr>
              <w:pStyle w:val="Other0"/>
              <w:framePr w:w="4459" w:h="6134" w:wrap="none" w:hAnchor="page" w:x="6342" w:y="404"/>
              <w:spacing w:line="240" w:lineRule="auto"/>
              <w:ind w:firstLine="0"/>
              <w:rPr>
                <w:sz w:val="16"/>
                <w:szCs w:val="16"/>
              </w:rPr>
            </w:pPr>
            <w:r>
              <w:rPr>
                <w:rFonts w:ascii="Times New Roman" w:eastAsia="Times New Roman" w:hAnsi="Times New Roman" w:cs="Times New Roman"/>
                <w:sz w:val="16"/>
                <w:szCs w:val="16"/>
              </w:rPr>
              <w:t>Cefoxitina sódica O</w:t>
            </w:r>
          </w:p>
        </w:tc>
        <w:tc>
          <w:tcPr>
            <w:tcW w:w="1699" w:type="dxa"/>
            <w:shd w:val="clear" w:color="auto" w:fill="FFFFFF"/>
            <w:vAlign w:val="bottom"/>
          </w:tcPr>
          <w:p w14:paraId="75E392ED" w14:textId="77777777" w:rsidR="00924992" w:rsidRDefault="00924992">
            <w:pPr>
              <w:pStyle w:val="Other0"/>
              <w:framePr w:w="4459" w:h="6134" w:wrap="none" w:hAnchor="page" w:x="6342" w:y="404"/>
              <w:spacing w:line="240" w:lineRule="auto"/>
              <w:ind w:firstLine="0"/>
              <w:rPr>
                <w:sz w:val="16"/>
                <w:szCs w:val="16"/>
              </w:rPr>
            </w:pPr>
            <w:r>
              <w:rPr>
                <w:rFonts w:ascii="Times New Roman" w:eastAsia="Times New Roman" w:hAnsi="Times New Roman" w:cs="Times New Roman"/>
                <w:sz w:val="16"/>
                <w:szCs w:val="16"/>
              </w:rPr>
              <w:t>40 mg/kg</w:t>
            </w:r>
          </w:p>
        </w:tc>
      </w:tr>
      <w:tr w:rsidR="00924992" w14:paraId="366CA4F3" w14:textId="77777777">
        <w:tblPrEx>
          <w:tblCellMar>
            <w:top w:w="0" w:type="dxa"/>
            <w:bottom w:w="0" w:type="dxa"/>
          </w:tblCellMar>
        </w:tblPrEx>
        <w:trPr>
          <w:trHeight w:hRule="exact" w:val="221"/>
        </w:trPr>
        <w:tc>
          <w:tcPr>
            <w:tcW w:w="2760" w:type="dxa"/>
            <w:shd w:val="clear" w:color="auto" w:fill="FFFFFF"/>
            <w:vAlign w:val="bottom"/>
          </w:tcPr>
          <w:p w14:paraId="2F3B1822" w14:textId="77777777" w:rsidR="00924992" w:rsidRDefault="00924992">
            <w:pPr>
              <w:pStyle w:val="Other0"/>
              <w:framePr w:w="4459" w:h="6134" w:wrap="none" w:hAnchor="page" w:x="6342" w:y="404"/>
              <w:spacing w:line="240" w:lineRule="auto"/>
              <w:ind w:firstLine="0"/>
              <w:rPr>
                <w:sz w:val="16"/>
                <w:szCs w:val="16"/>
              </w:rPr>
            </w:pPr>
            <w:r>
              <w:rPr>
                <w:rFonts w:ascii="Times New Roman" w:eastAsia="Times New Roman" w:hAnsi="Times New Roman" w:cs="Times New Roman"/>
                <w:sz w:val="16"/>
                <w:szCs w:val="16"/>
              </w:rPr>
              <w:t>cefotetán disódico</w:t>
            </w:r>
            <w:r>
              <w:rPr>
                <w:rFonts w:ascii="Times New Roman" w:eastAsia="Times New Roman" w:hAnsi="Times New Roman" w:cs="Times New Roman"/>
                <w:sz w:val="16"/>
                <w:szCs w:val="16"/>
                <w:vertAlign w:val="superscript"/>
              </w:rPr>
              <w:t>2</w:t>
            </w:r>
            <w:r>
              <w:rPr>
                <w:rFonts w:ascii="Times New Roman" w:eastAsia="Times New Roman" w:hAnsi="Times New Roman" w:cs="Times New Roman"/>
                <w:sz w:val="16"/>
                <w:szCs w:val="16"/>
              </w:rPr>
              <w:t>;</w:t>
            </w:r>
          </w:p>
        </w:tc>
        <w:tc>
          <w:tcPr>
            <w:tcW w:w="1699" w:type="dxa"/>
            <w:shd w:val="clear" w:color="auto" w:fill="FFFFFF"/>
            <w:vAlign w:val="bottom"/>
          </w:tcPr>
          <w:p w14:paraId="09199B6F" w14:textId="77777777" w:rsidR="00924992" w:rsidRDefault="00924992">
            <w:pPr>
              <w:pStyle w:val="Other0"/>
              <w:framePr w:w="4459" w:h="6134" w:wrap="none" w:hAnchor="page" w:x="6342" w:y="404"/>
              <w:spacing w:line="240" w:lineRule="auto"/>
              <w:ind w:firstLine="0"/>
              <w:rPr>
                <w:sz w:val="16"/>
                <w:szCs w:val="16"/>
              </w:rPr>
            </w:pPr>
            <w:r>
              <w:rPr>
                <w:rFonts w:ascii="Times New Roman" w:eastAsia="Times New Roman" w:hAnsi="Times New Roman" w:cs="Times New Roman"/>
                <w:sz w:val="16"/>
                <w:szCs w:val="16"/>
              </w:rPr>
              <w:t>40 mg/kg</w:t>
            </w:r>
          </w:p>
        </w:tc>
      </w:tr>
      <w:tr w:rsidR="00924992" w14:paraId="3E9C3C03" w14:textId="77777777">
        <w:tblPrEx>
          <w:tblCellMar>
            <w:top w:w="0" w:type="dxa"/>
            <w:bottom w:w="0" w:type="dxa"/>
          </w:tblCellMar>
        </w:tblPrEx>
        <w:trPr>
          <w:trHeight w:hRule="exact" w:val="235"/>
        </w:trPr>
        <w:tc>
          <w:tcPr>
            <w:tcW w:w="2760" w:type="dxa"/>
            <w:shd w:val="clear" w:color="auto" w:fill="FFFFFF"/>
            <w:vAlign w:val="bottom"/>
          </w:tcPr>
          <w:p w14:paraId="0100DDE4" w14:textId="77777777" w:rsidR="00924992" w:rsidRDefault="00924992">
            <w:pPr>
              <w:pStyle w:val="Other0"/>
              <w:framePr w:w="4459" w:h="6134" w:wrap="none" w:hAnchor="page" w:x="6342" w:y="404"/>
              <w:spacing w:line="240" w:lineRule="auto"/>
              <w:ind w:firstLine="0"/>
              <w:rPr>
                <w:sz w:val="16"/>
                <w:szCs w:val="16"/>
              </w:rPr>
            </w:pPr>
            <w:r>
              <w:rPr>
                <w:rFonts w:ascii="Times New Roman" w:eastAsia="Times New Roman" w:hAnsi="Times New Roman" w:cs="Times New Roman"/>
                <w:sz w:val="16"/>
                <w:szCs w:val="16"/>
              </w:rPr>
              <w:t>si existe gran riesgo, utilizar</w:t>
            </w:r>
          </w:p>
        </w:tc>
        <w:tc>
          <w:tcPr>
            <w:tcW w:w="1699" w:type="dxa"/>
            <w:shd w:val="clear" w:color="auto" w:fill="FFFFFF"/>
            <w:vAlign w:val="bottom"/>
          </w:tcPr>
          <w:p w14:paraId="194D1E9D" w14:textId="77777777" w:rsidR="00924992" w:rsidRDefault="00924992">
            <w:pPr>
              <w:pStyle w:val="Other0"/>
              <w:framePr w:w="4459" w:h="6134" w:wrap="none" w:hAnchor="page" w:x="6342" w:y="404"/>
              <w:spacing w:line="240" w:lineRule="auto"/>
              <w:ind w:firstLine="0"/>
              <w:rPr>
                <w:sz w:val="16"/>
                <w:szCs w:val="16"/>
              </w:rPr>
            </w:pPr>
            <w:r>
              <w:rPr>
                <w:rFonts w:ascii="Times New Roman" w:eastAsia="Times New Roman" w:hAnsi="Times New Roman" w:cs="Times New Roman"/>
                <w:sz w:val="16"/>
                <w:szCs w:val="16"/>
              </w:rPr>
              <w:t>2 mg/kg</w:t>
            </w:r>
          </w:p>
        </w:tc>
      </w:tr>
      <w:tr w:rsidR="00924992" w14:paraId="523A1EBA" w14:textId="77777777">
        <w:tblPrEx>
          <w:tblCellMar>
            <w:top w:w="0" w:type="dxa"/>
            <w:bottom w:w="0" w:type="dxa"/>
          </w:tblCellMar>
        </w:tblPrEx>
        <w:trPr>
          <w:trHeight w:hRule="exact" w:val="211"/>
        </w:trPr>
        <w:tc>
          <w:tcPr>
            <w:tcW w:w="2760" w:type="dxa"/>
            <w:shd w:val="clear" w:color="auto" w:fill="FFFFFF"/>
            <w:vAlign w:val="bottom"/>
          </w:tcPr>
          <w:p w14:paraId="0AB70F4E" w14:textId="77777777" w:rsidR="00924992" w:rsidRDefault="00924992">
            <w:pPr>
              <w:pStyle w:val="Other0"/>
              <w:framePr w:w="4459" w:h="6134" w:wrap="none" w:hAnchor="page" w:x="6342" w:y="404"/>
              <w:spacing w:line="240" w:lineRule="auto"/>
              <w:ind w:firstLine="0"/>
              <w:rPr>
                <w:sz w:val="16"/>
                <w:szCs w:val="16"/>
              </w:rPr>
            </w:pPr>
            <w:r>
              <w:rPr>
                <w:rFonts w:ascii="Times New Roman" w:eastAsia="Times New Roman" w:hAnsi="Times New Roman" w:cs="Times New Roman"/>
                <w:sz w:val="16"/>
                <w:szCs w:val="16"/>
              </w:rPr>
              <w:t>gentamicina</w:t>
            </w:r>
          </w:p>
        </w:tc>
        <w:tc>
          <w:tcPr>
            <w:tcW w:w="1699" w:type="dxa"/>
            <w:shd w:val="clear" w:color="auto" w:fill="FFFFFF"/>
            <w:vAlign w:val="bottom"/>
          </w:tcPr>
          <w:p w14:paraId="2BD2D4CA" w14:textId="77777777" w:rsidR="00924992" w:rsidRDefault="00924992">
            <w:pPr>
              <w:pStyle w:val="Other0"/>
              <w:framePr w:w="4459" w:h="6134" w:wrap="none" w:hAnchor="page" w:x="6342" w:y="404"/>
              <w:spacing w:line="240" w:lineRule="auto"/>
              <w:ind w:firstLine="0"/>
              <w:rPr>
                <w:sz w:val="16"/>
                <w:szCs w:val="16"/>
              </w:rPr>
            </w:pPr>
            <w:r>
              <w:rPr>
                <w:rFonts w:ascii="Times New Roman" w:eastAsia="Times New Roman" w:hAnsi="Times New Roman" w:cs="Times New Roman"/>
                <w:sz w:val="16"/>
                <w:szCs w:val="16"/>
              </w:rPr>
              <w:t>10 mg/kg</w:t>
            </w:r>
          </w:p>
        </w:tc>
      </w:tr>
      <w:tr w:rsidR="00924992" w14:paraId="4AECA78C" w14:textId="77777777">
        <w:tblPrEx>
          <w:tblCellMar>
            <w:top w:w="0" w:type="dxa"/>
            <w:bottom w:w="0" w:type="dxa"/>
          </w:tblCellMar>
        </w:tblPrEx>
        <w:trPr>
          <w:trHeight w:hRule="exact" w:val="202"/>
        </w:trPr>
        <w:tc>
          <w:tcPr>
            <w:tcW w:w="2760" w:type="dxa"/>
            <w:shd w:val="clear" w:color="auto" w:fill="FFFFFF"/>
          </w:tcPr>
          <w:p w14:paraId="1AB99B24" w14:textId="77777777" w:rsidR="00924992" w:rsidRDefault="00924992">
            <w:pPr>
              <w:pStyle w:val="Other0"/>
              <w:framePr w:w="4459" w:h="6134" w:wrap="none" w:hAnchor="page" w:x="6342" w:y="404"/>
              <w:spacing w:line="240" w:lineRule="auto"/>
              <w:ind w:firstLine="0"/>
              <w:rPr>
                <w:sz w:val="16"/>
                <w:szCs w:val="16"/>
              </w:rPr>
            </w:pPr>
            <w:r>
              <w:rPr>
                <w:rFonts w:ascii="Times New Roman" w:eastAsia="Times New Roman" w:hAnsi="Times New Roman" w:cs="Times New Roman"/>
                <w:sz w:val="16"/>
                <w:szCs w:val="16"/>
              </w:rPr>
              <w:t>Y ADEMÁS clindamicina ±</w:t>
            </w:r>
          </w:p>
        </w:tc>
        <w:tc>
          <w:tcPr>
            <w:tcW w:w="1699" w:type="dxa"/>
            <w:shd w:val="clear" w:color="auto" w:fill="FFFFFF"/>
          </w:tcPr>
          <w:p w14:paraId="5D817830" w14:textId="77777777" w:rsidR="00924992" w:rsidRDefault="00924992">
            <w:pPr>
              <w:pStyle w:val="Other0"/>
              <w:framePr w:w="4459" w:h="6134" w:wrap="none" w:hAnchor="page" w:x="6342" w:y="404"/>
              <w:spacing w:line="240" w:lineRule="auto"/>
              <w:ind w:firstLine="0"/>
              <w:rPr>
                <w:sz w:val="16"/>
                <w:szCs w:val="16"/>
              </w:rPr>
            </w:pPr>
            <w:r>
              <w:rPr>
                <w:rFonts w:ascii="Times New Roman" w:eastAsia="Times New Roman" w:hAnsi="Times New Roman" w:cs="Times New Roman"/>
                <w:sz w:val="16"/>
                <w:szCs w:val="16"/>
              </w:rPr>
              <w:t>50 mg/kg</w:t>
            </w:r>
          </w:p>
        </w:tc>
      </w:tr>
      <w:tr w:rsidR="00924992" w14:paraId="4FDEBFB2" w14:textId="77777777">
        <w:tblPrEx>
          <w:tblCellMar>
            <w:top w:w="0" w:type="dxa"/>
            <w:bottom w:w="0" w:type="dxa"/>
          </w:tblCellMar>
        </w:tblPrEx>
        <w:trPr>
          <w:trHeight w:hRule="exact" w:val="226"/>
        </w:trPr>
        <w:tc>
          <w:tcPr>
            <w:tcW w:w="2760" w:type="dxa"/>
            <w:shd w:val="clear" w:color="auto" w:fill="FFFFFF"/>
            <w:vAlign w:val="bottom"/>
          </w:tcPr>
          <w:p w14:paraId="73E48517" w14:textId="77777777" w:rsidR="00924992" w:rsidRDefault="00924992">
            <w:pPr>
              <w:pStyle w:val="Other0"/>
              <w:framePr w:w="4459" w:h="6134" w:wrap="none" w:hAnchor="page" w:x="6342" w:y="404"/>
              <w:spacing w:line="240" w:lineRule="auto"/>
              <w:ind w:firstLine="0"/>
              <w:rPr>
                <w:sz w:val="16"/>
                <w:szCs w:val="16"/>
              </w:rPr>
            </w:pPr>
            <w:r>
              <w:rPr>
                <w:rFonts w:ascii="Times New Roman" w:eastAsia="Times New Roman" w:hAnsi="Times New Roman" w:cs="Times New Roman"/>
                <w:sz w:val="16"/>
                <w:szCs w:val="16"/>
              </w:rPr>
              <w:t>ampicilina</w:t>
            </w:r>
          </w:p>
        </w:tc>
        <w:tc>
          <w:tcPr>
            <w:tcW w:w="1699" w:type="dxa"/>
            <w:shd w:val="clear" w:color="auto" w:fill="FFFFFF"/>
            <w:vAlign w:val="bottom"/>
          </w:tcPr>
          <w:p w14:paraId="20D2BE64" w14:textId="77777777" w:rsidR="00924992" w:rsidRDefault="00924992">
            <w:pPr>
              <w:pStyle w:val="Other0"/>
              <w:framePr w:w="4459" w:h="6134" w:wrap="none" w:hAnchor="page" w:x="6342" w:y="404"/>
              <w:spacing w:line="240" w:lineRule="auto"/>
              <w:ind w:firstLine="0"/>
              <w:rPr>
                <w:sz w:val="16"/>
                <w:szCs w:val="16"/>
              </w:rPr>
            </w:pPr>
            <w:r>
              <w:rPr>
                <w:rFonts w:ascii="Times New Roman" w:eastAsia="Times New Roman" w:hAnsi="Times New Roman" w:cs="Times New Roman"/>
                <w:sz w:val="16"/>
                <w:szCs w:val="16"/>
              </w:rPr>
              <w:t>50 mg/kg</w:t>
            </w:r>
          </w:p>
        </w:tc>
      </w:tr>
      <w:tr w:rsidR="00924992" w14:paraId="17B31364" w14:textId="77777777">
        <w:tblPrEx>
          <w:tblCellMar>
            <w:top w:w="0" w:type="dxa"/>
            <w:bottom w:w="0" w:type="dxa"/>
          </w:tblCellMar>
        </w:tblPrEx>
        <w:trPr>
          <w:trHeight w:hRule="exact" w:val="226"/>
        </w:trPr>
        <w:tc>
          <w:tcPr>
            <w:tcW w:w="2760" w:type="dxa"/>
            <w:shd w:val="clear" w:color="auto" w:fill="FFFFFF"/>
          </w:tcPr>
          <w:p w14:paraId="2F6CE070" w14:textId="77777777" w:rsidR="00924992" w:rsidRDefault="00924992">
            <w:pPr>
              <w:pStyle w:val="Other0"/>
              <w:framePr w:w="4459" w:h="6134" w:wrap="none" w:hAnchor="page" w:x="6342" w:y="404"/>
              <w:spacing w:line="240" w:lineRule="auto"/>
              <w:ind w:firstLine="0"/>
              <w:rPr>
                <w:sz w:val="16"/>
                <w:szCs w:val="16"/>
              </w:rPr>
            </w:pPr>
            <w:r>
              <w:rPr>
                <w:rFonts w:ascii="Times New Roman" w:eastAsia="Times New Roman" w:hAnsi="Times New Roman" w:cs="Times New Roman"/>
                <w:sz w:val="16"/>
                <w:szCs w:val="16"/>
              </w:rPr>
              <w:t>Ampicilina Y ADEMÁS</w:t>
            </w:r>
          </w:p>
        </w:tc>
        <w:tc>
          <w:tcPr>
            <w:tcW w:w="1699" w:type="dxa"/>
            <w:shd w:val="clear" w:color="auto" w:fill="FFFFFF"/>
          </w:tcPr>
          <w:p w14:paraId="7EEAFB2E" w14:textId="77777777" w:rsidR="00924992" w:rsidRDefault="00924992">
            <w:pPr>
              <w:pStyle w:val="Other0"/>
              <w:framePr w:w="4459" w:h="6134" w:wrap="none" w:hAnchor="page" w:x="6342" w:y="404"/>
              <w:spacing w:line="240" w:lineRule="auto"/>
              <w:ind w:firstLine="0"/>
              <w:rPr>
                <w:sz w:val="16"/>
                <w:szCs w:val="16"/>
              </w:rPr>
            </w:pPr>
            <w:r>
              <w:rPr>
                <w:rFonts w:ascii="Times New Roman" w:eastAsia="Times New Roman" w:hAnsi="Times New Roman" w:cs="Times New Roman"/>
                <w:sz w:val="16"/>
                <w:szCs w:val="16"/>
              </w:rPr>
              <w:t>2 mg/kg</w:t>
            </w:r>
          </w:p>
        </w:tc>
      </w:tr>
      <w:tr w:rsidR="00924992" w14:paraId="7F033DBF" w14:textId="77777777">
        <w:tblPrEx>
          <w:tblCellMar>
            <w:top w:w="0" w:type="dxa"/>
            <w:bottom w:w="0" w:type="dxa"/>
          </w:tblCellMar>
        </w:tblPrEx>
        <w:trPr>
          <w:trHeight w:hRule="exact" w:val="211"/>
        </w:trPr>
        <w:tc>
          <w:tcPr>
            <w:tcW w:w="2760" w:type="dxa"/>
            <w:shd w:val="clear" w:color="auto" w:fill="FFFFFF"/>
            <w:vAlign w:val="bottom"/>
          </w:tcPr>
          <w:p w14:paraId="4BFBAA96" w14:textId="77777777" w:rsidR="00924992" w:rsidRDefault="00924992">
            <w:pPr>
              <w:pStyle w:val="Other0"/>
              <w:framePr w:w="4459" w:h="6134" w:wrap="none" w:hAnchor="page" w:x="6342" w:y="404"/>
              <w:spacing w:line="240" w:lineRule="auto"/>
              <w:ind w:firstLine="0"/>
              <w:rPr>
                <w:sz w:val="16"/>
                <w:szCs w:val="16"/>
              </w:rPr>
            </w:pPr>
            <w:r>
              <w:rPr>
                <w:rFonts w:ascii="Times New Roman" w:eastAsia="Times New Roman" w:hAnsi="Times New Roman" w:cs="Times New Roman"/>
                <w:sz w:val="16"/>
                <w:szCs w:val="16"/>
              </w:rPr>
              <w:t>gentamicina</w:t>
            </w:r>
          </w:p>
        </w:tc>
        <w:tc>
          <w:tcPr>
            <w:tcW w:w="1699" w:type="dxa"/>
            <w:shd w:val="clear" w:color="auto" w:fill="FFFFFF"/>
            <w:vAlign w:val="bottom"/>
          </w:tcPr>
          <w:p w14:paraId="10CC0C5E" w14:textId="77777777" w:rsidR="00924992" w:rsidRDefault="00924992">
            <w:pPr>
              <w:pStyle w:val="Other0"/>
              <w:framePr w:w="4459" w:h="6134" w:wrap="none" w:hAnchor="page" w:x="6342" w:y="404"/>
              <w:spacing w:line="240" w:lineRule="auto"/>
              <w:ind w:firstLine="0"/>
              <w:rPr>
                <w:sz w:val="16"/>
                <w:szCs w:val="16"/>
              </w:rPr>
            </w:pPr>
            <w:r>
              <w:rPr>
                <w:rFonts w:ascii="Times New Roman" w:eastAsia="Times New Roman" w:hAnsi="Times New Roman" w:cs="Times New Roman"/>
                <w:sz w:val="16"/>
                <w:szCs w:val="16"/>
              </w:rPr>
              <w:t>2 mg/kg</w:t>
            </w:r>
          </w:p>
        </w:tc>
      </w:tr>
      <w:tr w:rsidR="00924992" w14:paraId="6F7ED903" w14:textId="77777777">
        <w:tblPrEx>
          <w:tblCellMar>
            <w:top w:w="0" w:type="dxa"/>
            <w:bottom w:w="0" w:type="dxa"/>
          </w:tblCellMar>
        </w:tblPrEx>
        <w:trPr>
          <w:trHeight w:hRule="exact" w:val="197"/>
        </w:trPr>
        <w:tc>
          <w:tcPr>
            <w:tcW w:w="2760" w:type="dxa"/>
            <w:shd w:val="clear" w:color="auto" w:fill="FFFFFF"/>
          </w:tcPr>
          <w:p w14:paraId="3A64D328" w14:textId="77777777" w:rsidR="00924992" w:rsidRDefault="00924992">
            <w:pPr>
              <w:pStyle w:val="Other0"/>
              <w:framePr w:w="4459" w:h="6134" w:wrap="none" w:hAnchor="page" w:x="6342" w:y="404"/>
              <w:spacing w:line="240" w:lineRule="auto"/>
              <w:ind w:firstLine="0"/>
              <w:rPr>
                <w:sz w:val="16"/>
                <w:szCs w:val="16"/>
              </w:rPr>
            </w:pPr>
            <w:r>
              <w:rPr>
                <w:rFonts w:ascii="Times New Roman" w:eastAsia="Times New Roman" w:hAnsi="Times New Roman" w:cs="Times New Roman"/>
                <w:sz w:val="16"/>
                <w:szCs w:val="16"/>
              </w:rPr>
              <w:t>Gentamicina Y ADEMÁS</w:t>
            </w:r>
          </w:p>
        </w:tc>
        <w:tc>
          <w:tcPr>
            <w:tcW w:w="1699" w:type="dxa"/>
            <w:shd w:val="clear" w:color="auto" w:fill="FFFFFF"/>
          </w:tcPr>
          <w:p w14:paraId="4905684B" w14:textId="77777777" w:rsidR="00924992" w:rsidRDefault="00924992">
            <w:pPr>
              <w:pStyle w:val="Other0"/>
              <w:framePr w:w="4459" w:h="6134" w:wrap="none" w:hAnchor="page" w:x="6342" w:y="404"/>
              <w:spacing w:line="240" w:lineRule="auto"/>
              <w:ind w:firstLine="0"/>
              <w:rPr>
                <w:sz w:val="16"/>
                <w:szCs w:val="16"/>
              </w:rPr>
            </w:pPr>
            <w:r>
              <w:rPr>
                <w:rFonts w:ascii="Times New Roman" w:eastAsia="Times New Roman" w:hAnsi="Times New Roman" w:cs="Times New Roman"/>
                <w:sz w:val="16"/>
                <w:szCs w:val="16"/>
              </w:rPr>
              <w:t>10 mg/kg</w:t>
            </w:r>
          </w:p>
        </w:tc>
      </w:tr>
      <w:tr w:rsidR="00924992" w14:paraId="7DF0468C" w14:textId="77777777">
        <w:tblPrEx>
          <w:tblCellMar>
            <w:top w:w="0" w:type="dxa"/>
            <w:bottom w:w="0" w:type="dxa"/>
          </w:tblCellMar>
        </w:tblPrEx>
        <w:trPr>
          <w:trHeight w:hRule="exact" w:val="326"/>
        </w:trPr>
        <w:tc>
          <w:tcPr>
            <w:tcW w:w="2760" w:type="dxa"/>
            <w:shd w:val="clear" w:color="auto" w:fill="FFFFFF"/>
          </w:tcPr>
          <w:p w14:paraId="70584B23" w14:textId="77777777" w:rsidR="00924992" w:rsidRDefault="00924992">
            <w:pPr>
              <w:pStyle w:val="Other0"/>
              <w:framePr w:w="4459" w:h="6134" w:wrap="none" w:hAnchor="page" w:x="6342" w:y="404"/>
              <w:spacing w:line="240" w:lineRule="auto"/>
              <w:ind w:firstLine="0"/>
              <w:rPr>
                <w:sz w:val="16"/>
                <w:szCs w:val="16"/>
              </w:rPr>
            </w:pPr>
            <w:r>
              <w:rPr>
                <w:rFonts w:ascii="Times New Roman" w:eastAsia="Times New Roman" w:hAnsi="Times New Roman" w:cs="Times New Roman"/>
                <w:sz w:val="16"/>
                <w:szCs w:val="16"/>
              </w:rPr>
              <w:t>clindamicina</w:t>
            </w:r>
          </w:p>
        </w:tc>
        <w:tc>
          <w:tcPr>
            <w:tcW w:w="1699" w:type="dxa"/>
            <w:shd w:val="clear" w:color="auto" w:fill="FFFFFF"/>
          </w:tcPr>
          <w:p w14:paraId="06477215" w14:textId="77777777" w:rsidR="00924992" w:rsidRDefault="00924992">
            <w:pPr>
              <w:framePr w:w="4459" w:h="6134" w:wrap="none" w:hAnchor="page" w:x="6342" w:y="404"/>
              <w:rPr>
                <w:sz w:val="10"/>
                <w:szCs w:val="10"/>
              </w:rPr>
            </w:pPr>
          </w:p>
        </w:tc>
      </w:tr>
      <w:tr w:rsidR="00924992" w14:paraId="2B430C75" w14:textId="77777777">
        <w:tblPrEx>
          <w:tblCellMar>
            <w:top w:w="0" w:type="dxa"/>
            <w:bottom w:w="0" w:type="dxa"/>
          </w:tblCellMar>
        </w:tblPrEx>
        <w:trPr>
          <w:trHeight w:hRule="exact" w:val="336"/>
        </w:trPr>
        <w:tc>
          <w:tcPr>
            <w:tcW w:w="2760" w:type="dxa"/>
            <w:shd w:val="clear" w:color="auto" w:fill="FFFFFF"/>
            <w:vAlign w:val="bottom"/>
          </w:tcPr>
          <w:p w14:paraId="05CF6E89" w14:textId="77777777" w:rsidR="00924992" w:rsidRDefault="00924992">
            <w:pPr>
              <w:pStyle w:val="Other0"/>
              <w:framePr w:w="4459" w:h="6134" w:wrap="none" w:hAnchor="page" w:x="6342" w:y="404"/>
              <w:spacing w:line="240" w:lineRule="auto"/>
              <w:ind w:firstLine="0"/>
              <w:rPr>
                <w:sz w:val="16"/>
                <w:szCs w:val="16"/>
              </w:rPr>
            </w:pPr>
            <w:r>
              <w:rPr>
                <w:rFonts w:ascii="Times New Roman" w:eastAsia="Times New Roman" w:hAnsi="Times New Roman" w:cs="Times New Roman"/>
                <w:sz w:val="16"/>
                <w:szCs w:val="16"/>
              </w:rPr>
              <w:t>Cefazolina O</w:t>
            </w:r>
          </w:p>
        </w:tc>
        <w:tc>
          <w:tcPr>
            <w:tcW w:w="1699" w:type="dxa"/>
            <w:shd w:val="clear" w:color="auto" w:fill="FFFFFF"/>
            <w:vAlign w:val="bottom"/>
          </w:tcPr>
          <w:p w14:paraId="01D0330C" w14:textId="77777777" w:rsidR="00924992" w:rsidRDefault="00924992">
            <w:pPr>
              <w:pStyle w:val="Other0"/>
              <w:framePr w:w="4459" w:h="6134" w:wrap="none" w:hAnchor="page" w:x="6342" w:y="404"/>
              <w:spacing w:line="240" w:lineRule="auto"/>
              <w:ind w:firstLine="0"/>
              <w:rPr>
                <w:sz w:val="16"/>
                <w:szCs w:val="16"/>
              </w:rPr>
            </w:pPr>
            <w:r>
              <w:rPr>
                <w:rFonts w:ascii="Times New Roman" w:eastAsia="Times New Roman" w:hAnsi="Times New Roman" w:cs="Times New Roman"/>
                <w:sz w:val="16"/>
                <w:szCs w:val="16"/>
              </w:rPr>
              <w:t>25 mg/kg</w:t>
            </w:r>
          </w:p>
        </w:tc>
      </w:tr>
      <w:tr w:rsidR="00924992" w14:paraId="31038549" w14:textId="77777777">
        <w:tblPrEx>
          <w:tblCellMar>
            <w:top w:w="0" w:type="dxa"/>
            <w:bottom w:w="0" w:type="dxa"/>
          </w:tblCellMar>
        </w:tblPrEx>
        <w:trPr>
          <w:trHeight w:hRule="exact" w:val="226"/>
        </w:trPr>
        <w:tc>
          <w:tcPr>
            <w:tcW w:w="2760" w:type="dxa"/>
            <w:shd w:val="clear" w:color="auto" w:fill="FFFFFF"/>
            <w:vAlign w:val="bottom"/>
          </w:tcPr>
          <w:p w14:paraId="4641A7B8" w14:textId="77777777" w:rsidR="00924992" w:rsidRDefault="00924992">
            <w:pPr>
              <w:pStyle w:val="Other0"/>
              <w:framePr w:w="4459" w:h="6134" w:wrap="none" w:hAnchor="page" w:x="6342" w:y="404"/>
              <w:spacing w:line="240" w:lineRule="auto"/>
              <w:ind w:firstLine="0"/>
              <w:rPr>
                <w:sz w:val="16"/>
                <w:szCs w:val="16"/>
              </w:rPr>
            </w:pPr>
            <w:r>
              <w:rPr>
                <w:rFonts w:ascii="Times New Roman" w:eastAsia="Times New Roman" w:hAnsi="Times New Roman" w:cs="Times New Roman"/>
                <w:sz w:val="16"/>
                <w:szCs w:val="16"/>
              </w:rPr>
              <w:t>si es probable la presencia de MRSA,</w:t>
            </w:r>
          </w:p>
        </w:tc>
        <w:tc>
          <w:tcPr>
            <w:tcW w:w="1699" w:type="dxa"/>
            <w:shd w:val="clear" w:color="auto" w:fill="FFFFFF"/>
          </w:tcPr>
          <w:p w14:paraId="5FCC05B3" w14:textId="77777777" w:rsidR="00924992" w:rsidRDefault="00924992">
            <w:pPr>
              <w:framePr w:w="4459" w:h="6134" w:wrap="none" w:hAnchor="page" w:x="6342" w:y="404"/>
              <w:rPr>
                <w:sz w:val="10"/>
                <w:szCs w:val="10"/>
              </w:rPr>
            </w:pPr>
          </w:p>
        </w:tc>
      </w:tr>
      <w:tr w:rsidR="00924992" w14:paraId="72112502" w14:textId="77777777">
        <w:tblPrEx>
          <w:tblCellMar>
            <w:top w:w="0" w:type="dxa"/>
            <w:bottom w:w="0" w:type="dxa"/>
          </w:tblCellMar>
        </w:tblPrEx>
        <w:trPr>
          <w:trHeight w:hRule="exact" w:val="202"/>
        </w:trPr>
        <w:tc>
          <w:tcPr>
            <w:tcW w:w="2760" w:type="dxa"/>
            <w:shd w:val="clear" w:color="auto" w:fill="FFFFFF"/>
          </w:tcPr>
          <w:p w14:paraId="6F1D1284" w14:textId="77777777" w:rsidR="00924992" w:rsidRDefault="00924992">
            <w:pPr>
              <w:pStyle w:val="Other0"/>
              <w:framePr w:w="4459" w:h="6134" w:wrap="none" w:hAnchor="page" w:x="6342" w:y="404"/>
              <w:spacing w:line="240" w:lineRule="auto"/>
              <w:ind w:firstLine="0"/>
              <w:rPr>
                <w:sz w:val="16"/>
                <w:szCs w:val="16"/>
              </w:rPr>
            </w:pPr>
            <w:r>
              <w:rPr>
                <w:rFonts w:ascii="Times New Roman" w:eastAsia="Times New Roman" w:hAnsi="Times New Roman" w:cs="Times New Roman"/>
                <w:sz w:val="16"/>
                <w:szCs w:val="16"/>
              </w:rPr>
              <w:t>vancomicina</w:t>
            </w:r>
          </w:p>
        </w:tc>
        <w:tc>
          <w:tcPr>
            <w:tcW w:w="1699" w:type="dxa"/>
            <w:shd w:val="clear" w:color="auto" w:fill="FFFFFF"/>
          </w:tcPr>
          <w:p w14:paraId="495C395B" w14:textId="77777777" w:rsidR="00924992" w:rsidRDefault="00924992">
            <w:pPr>
              <w:pStyle w:val="Other0"/>
              <w:framePr w:w="4459" w:h="6134" w:wrap="none" w:hAnchor="page" w:x="6342" w:y="404"/>
              <w:spacing w:line="240" w:lineRule="auto"/>
              <w:ind w:firstLine="0"/>
              <w:rPr>
                <w:sz w:val="16"/>
                <w:szCs w:val="16"/>
              </w:rPr>
            </w:pPr>
            <w:r>
              <w:rPr>
                <w:rFonts w:ascii="Times New Roman" w:eastAsia="Times New Roman" w:hAnsi="Times New Roman" w:cs="Times New Roman"/>
                <w:sz w:val="16"/>
                <w:szCs w:val="16"/>
              </w:rPr>
              <w:t>10 mg/kg</w:t>
            </w:r>
          </w:p>
        </w:tc>
      </w:tr>
    </w:tbl>
    <w:p w14:paraId="16C5AC79" w14:textId="77777777" w:rsidR="00924992" w:rsidRDefault="00924992">
      <w:pPr>
        <w:framePr w:w="4459" w:h="6134" w:wrap="none" w:hAnchor="page" w:x="6342" w:y="404"/>
        <w:spacing w:line="1" w:lineRule="exact"/>
      </w:pPr>
    </w:p>
    <w:p w14:paraId="3876636B" w14:textId="77777777" w:rsidR="00924992" w:rsidRDefault="00924992">
      <w:pPr>
        <w:pStyle w:val="Bodytext80"/>
        <w:framePr w:w="192" w:h="4790" w:hRule="exact" w:wrap="none" w:hAnchor="page" w:x="12390" w:y="25"/>
        <w:tabs>
          <w:tab w:val="left" w:pos="2088"/>
        </w:tabs>
        <w:textDirection w:val="tbRl"/>
      </w:pPr>
      <w:r>
        <w:rPr>
          <w:sz w:val="16"/>
          <w:szCs w:val="16"/>
        </w:rPr>
        <w:t>816</w:t>
      </w:r>
      <w:r>
        <w:rPr>
          <w:sz w:val="16"/>
          <w:szCs w:val="16"/>
        </w:rPr>
        <w:tab/>
      </w:r>
      <w:r>
        <w:t>PREVENCIÓN DE OFTALMÍA NEONATAL</w:t>
      </w:r>
    </w:p>
    <w:p w14:paraId="30D0C1F6" w14:textId="77777777" w:rsidR="00924992" w:rsidRDefault="00924992">
      <w:pPr>
        <w:pStyle w:val="Bodytext20"/>
        <w:framePr w:w="701" w:h="245" w:wrap="none" w:hAnchor="page" w:x="11372" w:y="6884"/>
        <w:spacing w:line="240" w:lineRule="auto"/>
        <w:jc w:val="right"/>
      </w:pPr>
      <w:r>
        <w:rPr>
          <w:i/>
          <w:iCs/>
        </w:rPr>
        <w:t>continúa</w:t>
      </w:r>
    </w:p>
    <w:p w14:paraId="53ADB5C9" w14:textId="77777777" w:rsidR="00924992" w:rsidRDefault="00924992">
      <w:pPr>
        <w:spacing w:line="360" w:lineRule="exact"/>
      </w:pPr>
    </w:p>
    <w:p w14:paraId="4A23BB6F" w14:textId="77777777" w:rsidR="00924992" w:rsidRDefault="00924992">
      <w:pPr>
        <w:spacing w:line="360" w:lineRule="exact"/>
      </w:pPr>
    </w:p>
    <w:p w14:paraId="57DA5BE0" w14:textId="77777777" w:rsidR="00924992" w:rsidRDefault="00924992">
      <w:pPr>
        <w:spacing w:line="360" w:lineRule="exact"/>
      </w:pPr>
    </w:p>
    <w:p w14:paraId="6F03964F" w14:textId="77777777" w:rsidR="00924992" w:rsidRDefault="00924992">
      <w:pPr>
        <w:spacing w:line="360" w:lineRule="exact"/>
      </w:pPr>
    </w:p>
    <w:p w14:paraId="77AA5127" w14:textId="77777777" w:rsidR="00924992" w:rsidRDefault="00924992">
      <w:pPr>
        <w:spacing w:line="360" w:lineRule="exact"/>
      </w:pPr>
    </w:p>
    <w:p w14:paraId="5BF83A21" w14:textId="77777777" w:rsidR="00924992" w:rsidRDefault="00924992">
      <w:pPr>
        <w:spacing w:line="360" w:lineRule="exact"/>
      </w:pPr>
    </w:p>
    <w:p w14:paraId="5CDAF2A8" w14:textId="77777777" w:rsidR="00924992" w:rsidRDefault="00924992">
      <w:pPr>
        <w:spacing w:line="360" w:lineRule="exact"/>
      </w:pPr>
    </w:p>
    <w:p w14:paraId="569BFBBC" w14:textId="77777777" w:rsidR="00924992" w:rsidRDefault="00924992">
      <w:pPr>
        <w:spacing w:line="360" w:lineRule="exact"/>
      </w:pPr>
    </w:p>
    <w:p w14:paraId="391539EF" w14:textId="77777777" w:rsidR="00924992" w:rsidRDefault="00924992">
      <w:pPr>
        <w:spacing w:line="360" w:lineRule="exact"/>
      </w:pPr>
    </w:p>
    <w:p w14:paraId="7E5C491B" w14:textId="77777777" w:rsidR="00924992" w:rsidRDefault="00924992">
      <w:pPr>
        <w:spacing w:line="360" w:lineRule="exact"/>
      </w:pPr>
    </w:p>
    <w:p w14:paraId="356D955C" w14:textId="77777777" w:rsidR="00924992" w:rsidRDefault="00924992">
      <w:pPr>
        <w:spacing w:line="360" w:lineRule="exact"/>
      </w:pPr>
    </w:p>
    <w:p w14:paraId="4807AA56" w14:textId="77777777" w:rsidR="00924992" w:rsidRDefault="00924992">
      <w:pPr>
        <w:spacing w:line="360" w:lineRule="exact"/>
      </w:pPr>
    </w:p>
    <w:p w14:paraId="691E7CC2" w14:textId="77777777" w:rsidR="00924992" w:rsidRDefault="00924992">
      <w:pPr>
        <w:spacing w:line="360" w:lineRule="exact"/>
      </w:pPr>
    </w:p>
    <w:p w14:paraId="51A4FE4F" w14:textId="77777777" w:rsidR="00924992" w:rsidRDefault="00924992">
      <w:pPr>
        <w:spacing w:line="360" w:lineRule="exact"/>
      </w:pPr>
    </w:p>
    <w:p w14:paraId="41BD02C0" w14:textId="77777777" w:rsidR="00924992" w:rsidRDefault="00924992">
      <w:pPr>
        <w:spacing w:line="360" w:lineRule="exact"/>
      </w:pPr>
    </w:p>
    <w:p w14:paraId="0B1F68BA" w14:textId="77777777" w:rsidR="00924992" w:rsidRDefault="00924992">
      <w:pPr>
        <w:spacing w:line="360" w:lineRule="exact"/>
      </w:pPr>
    </w:p>
    <w:p w14:paraId="4F016D67" w14:textId="77777777" w:rsidR="00924992" w:rsidRDefault="00924992">
      <w:pPr>
        <w:spacing w:line="360" w:lineRule="exact"/>
      </w:pPr>
    </w:p>
    <w:p w14:paraId="04CEED5A" w14:textId="77777777" w:rsidR="00924992" w:rsidRDefault="00924992">
      <w:pPr>
        <w:spacing w:line="360" w:lineRule="exact"/>
      </w:pPr>
    </w:p>
    <w:p w14:paraId="11743C83" w14:textId="77777777" w:rsidR="00924992" w:rsidRDefault="00924992">
      <w:pPr>
        <w:spacing w:after="647" w:line="1" w:lineRule="exact"/>
      </w:pPr>
    </w:p>
    <w:p w14:paraId="33422483" w14:textId="77777777" w:rsidR="00924992" w:rsidRDefault="00924992">
      <w:pPr>
        <w:spacing w:line="1" w:lineRule="exact"/>
        <w:sectPr w:rsidR="00924992" w:rsidSect="00924992">
          <w:headerReference w:type="even" r:id="rId401"/>
          <w:headerReference w:type="default" r:id="rId402"/>
          <w:footerReference w:type="even" r:id="rId403"/>
          <w:footerReference w:type="default" r:id="rId404"/>
          <w:footnotePr>
            <w:numFmt w:val="chicago"/>
          </w:footnotePr>
          <w:pgSz w:w="13022" w:h="8501" w:orient="landscape"/>
          <w:pgMar w:top="480" w:right="442" w:bottom="480" w:left="653" w:header="52" w:footer="3" w:gutter="0"/>
          <w:pgNumType w:start="1002"/>
          <w:cols w:space="720"/>
          <w:noEndnote/>
          <w:docGrid w:linePitch="360"/>
          <w15:footnoteColumns w:val="1"/>
        </w:sectPr>
      </w:pPr>
    </w:p>
    <w:p w14:paraId="0B7F94E7" w14:textId="77777777" w:rsidR="00924992" w:rsidRDefault="00924992">
      <w:pPr>
        <w:pStyle w:val="Heading31"/>
        <w:keepNext/>
        <w:keepLines/>
        <w:framePr w:w="8630" w:h="322" w:wrap="none" w:hAnchor="page" w:x="2003" w:y="1"/>
        <w:rPr>
          <w:sz w:val="16"/>
          <w:szCs w:val="16"/>
        </w:rPr>
      </w:pPr>
      <w:bookmarkStart w:id="748" w:name="bookmark2148"/>
      <w:bookmarkStart w:id="749" w:name="bookmark2149"/>
      <w:bookmarkStart w:id="750" w:name="bookmark2150"/>
      <w:r>
        <w:rPr>
          <w:b w:val="0"/>
          <w:bCs w:val="0"/>
        </w:rPr>
        <w:t xml:space="preserve">Cuadro 5-1. </w:t>
      </w:r>
      <w:r>
        <w:t>Recomendaciones para la profilaxia preoperatoria con antimicrobianos</w:t>
      </w:r>
      <w:r>
        <w:rPr>
          <w:vertAlign w:val="superscript"/>
        </w:rPr>
        <w:t>1</w:t>
      </w:r>
      <w:r>
        <w:t xml:space="preserve"> </w:t>
      </w:r>
      <w:r>
        <w:rPr>
          <w:rFonts w:ascii="Times New Roman" w:eastAsia="Times New Roman" w:hAnsi="Times New Roman" w:cs="Times New Roman"/>
          <w:b w:val="0"/>
          <w:bCs w:val="0"/>
          <w:i/>
          <w:iCs/>
          <w:w w:val="100"/>
          <w:sz w:val="16"/>
          <w:szCs w:val="16"/>
        </w:rPr>
        <w:t>continuación</w:t>
      </w:r>
      <w:bookmarkEnd w:id="748"/>
      <w:bookmarkEnd w:id="749"/>
      <w:bookmarkEnd w:id="750"/>
    </w:p>
    <w:tbl>
      <w:tblPr>
        <w:tblOverlap w:val="never"/>
        <w:tblW w:w="0" w:type="auto"/>
        <w:tblLayout w:type="fixed"/>
        <w:tblCellMar>
          <w:left w:w="10" w:type="dxa"/>
          <w:right w:w="10" w:type="dxa"/>
        </w:tblCellMar>
        <w:tblLook w:val="04A0" w:firstRow="1" w:lastRow="0" w:firstColumn="1" w:lastColumn="0" w:noHBand="0" w:noVBand="1"/>
      </w:tblPr>
      <w:tblGrid>
        <w:gridCol w:w="2784"/>
        <w:gridCol w:w="2808"/>
        <w:gridCol w:w="2880"/>
        <w:gridCol w:w="2918"/>
      </w:tblGrid>
      <w:tr w:rsidR="00924992" w14:paraId="3FB59A03" w14:textId="77777777">
        <w:tblPrEx>
          <w:tblCellMar>
            <w:top w:w="0" w:type="dxa"/>
            <w:bottom w:w="0" w:type="dxa"/>
          </w:tblCellMar>
        </w:tblPrEx>
        <w:trPr>
          <w:trHeight w:hRule="exact" w:val="288"/>
        </w:trPr>
        <w:tc>
          <w:tcPr>
            <w:tcW w:w="2784" w:type="dxa"/>
            <w:shd w:val="clear" w:color="auto" w:fill="231F20"/>
            <w:vAlign w:val="bottom"/>
          </w:tcPr>
          <w:p w14:paraId="38801731" w14:textId="77777777" w:rsidR="00924992" w:rsidRDefault="00924992">
            <w:pPr>
              <w:pStyle w:val="Other0"/>
              <w:framePr w:w="11390" w:h="3701" w:vSpace="629" w:wrap="none" w:hAnchor="page" w:x="625" w:y="366"/>
              <w:pBdr>
                <w:top w:val="single" w:sz="0" w:space="0" w:color="231F20"/>
                <w:left w:val="single" w:sz="0" w:space="0" w:color="231F20"/>
                <w:bottom w:val="single" w:sz="0" w:space="0" w:color="231F20"/>
                <w:right w:val="single" w:sz="0" w:space="0" w:color="231F20"/>
              </w:pBdr>
              <w:shd w:val="clear" w:color="auto" w:fill="231F20"/>
              <w:spacing w:line="240" w:lineRule="auto"/>
              <w:ind w:firstLine="0"/>
              <w:rPr>
                <w:sz w:val="24"/>
                <w:szCs w:val="24"/>
              </w:rPr>
            </w:pPr>
            <w:r>
              <w:rPr>
                <w:rFonts w:ascii="Arial" w:eastAsia="Arial" w:hAnsi="Arial" w:cs="Arial"/>
                <w:b/>
                <w:bCs/>
                <w:color w:val="FFFFFF"/>
                <w:w w:val="70"/>
                <w:sz w:val="24"/>
                <w:szCs w:val="24"/>
              </w:rPr>
              <w:t>¡Operación</w:t>
            </w:r>
          </w:p>
        </w:tc>
        <w:tc>
          <w:tcPr>
            <w:tcW w:w="2808" w:type="dxa"/>
            <w:shd w:val="clear" w:color="auto" w:fill="231F20"/>
            <w:vAlign w:val="bottom"/>
          </w:tcPr>
          <w:p w14:paraId="25069243" w14:textId="77777777" w:rsidR="00924992" w:rsidRDefault="00924992">
            <w:pPr>
              <w:pStyle w:val="Other0"/>
              <w:framePr w:w="11390" w:h="3701" w:vSpace="629" w:wrap="none" w:hAnchor="page" w:x="625" w:y="366"/>
              <w:pBdr>
                <w:top w:val="single" w:sz="0" w:space="0" w:color="231F20"/>
                <w:left w:val="single" w:sz="0" w:space="0" w:color="231F20"/>
                <w:bottom w:val="single" w:sz="0" w:space="0" w:color="231F20"/>
                <w:right w:val="single" w:sz="0" w:space="0" w:color="231F20"/>
              </w:pBdr>
              <w:shd w:val="clear" w:color="auto" w:fill="231F20"/>
              <w:spacing w:line="240" w:lineRule="auto"/>
              <w:ind w:firstLine="0"/>
              <w:rPr>
                <w:sz w:val="24"/>
                <w:szCs w:val="24"/>
              </w:rPr>
            </w:pPr>
            <w:r>
              <w:rPr>
                <w:rFonts w:ascii="Arial" w:eastAsia="Arial" w:hAnsi="Arial" w:cs="Arial"/>
                <w:b/>
                <w:bCs/>
                <w:color w:val="FFFFFF"/>
                <w:w w:val="70"/>
                <w:sz w:val="24"/>
                <w:szCs w:val="24"/>
              </w:rPr>
              <w:t>Patógenos posibles</w:t>
            </w:r>
          </w:p>
        </w:tc>
        <w:tc>
          <w:tcPr>
            <w:tcW w:w="2880" w:type="dxa"/>
            <w:shd w:val="clear" w:color="auto" w:fill="231F20"/>
            <w:vAlign w:val="bottom"/>
          </w:tcPr>
          <w:p w14:paraId="0825D78E" w14:textId="77777777" w:rsidR="00924992" w:rsidRDefault="00924992">
            <w:pPr>
              <w:pStyle w:val="Other0"/>
              <w:framePr w:w="11390" w:h="3701" w:vSpace="629" w:wrap="none" w:hAnchor="page" w:x="625" w:y="366"/>
              <w:pBdr>
                <w:top w:val="single" w:sz="0" w:space="0" w:color="231F20"/>
                <w:left w:val="single" w:sz="0" w:space="0" w:color="231F20"/>
                <w:bottom w:val="single" w:sz="0" w:space="0" w:color="231F20"/>
                <w:right w:val="single" w:sz="0" w:space="0" w:color="231F20"/>
              </w:pBdr>
              <w:shd w:val="clear" w:color="auto" w:fill="231F20"/>
              <w:spacing w:line="240" w:lineRule="auto"/>
              <w:ind w:firstLine="0"/>
              <w:rPr>
                <w:sz w:val="24"/>
                <w:szCs w:val="24"/>
              </w:rPr>
            </w:pPr>
            <w:r>
              <w:rPr>
                <w:rFonts w:ascii="Arial" w:eastAsia="Arial" w:hAnsi="Arial" w:cs="Arial"/>
                <w:b/>
                <w:bCs/>
                <w:color w:val="FFFFFF"/>
                <w:w w:val="70"/>
                <w:sz w:val="24"/>
                <w:szCs w:val="24"/>
              </w:rPr>
              <w:t>Fármacos recomendados</w:t>
            </w:r>
          </w:p>
        </w:tc>
        <w:tc>
          <w:tcPr>
            <w:tcW w:w="2918" w:type="dxa"/>
            <w:shd w:val="clear" w:color="auto" w:fill="231F20"/>
            <w:vAlign w:val="bottom"/>
          </w:tcPr>
          <w:p w14:paraId="2ECB1371" w14:textId="77777777" w:rsidR="00924992" w:rsidRDefault="00924992">
            <w:pPr>
              <w:pStyle w:val="Other0"/>
              <w:framePr w:w="11390" w:h="3701" w:vSpace="629" w:wrap="none" w:hAnchor="page" w:x="625" w:y="366"/>
              <w:pBdr>
                <w:top w:val="single" w:sz="0" w:space="0" w:color="231F20"/>
                <w:left w:val="single" w:sz="0" w:space="0" w:color="231F20"/>
                <w:bottom w:val="single" w:sz="0" w:space="0" w:color="231F20"/>
                <w:right w:val="single" w:sz="0" w:space="0" w:color="231F20"/>
              </w:pBdr>
              <w:shd w:val="clear" w:color="auto" w:fill="231F20"/>
              <w:spacing w:line="240" w:lineRule="auto"/>
              <w:ind w:firstLine="0"/>
              <w:rPr>
                <w:sz w:val="24"/>
                <w:szCs w:val="24"/>
              </w:rPr>
            </w:pPr>
            <w:r>
              <w:rPr>
                <w:rFonts w:ascii="Arial" w:eastAsia="Arial" w:hAnsi="Arial" w:cs="Arial"/>
                <w:b/>
                <w:bCs/>
                <w:color w:val="FFFFFF"/>
                <w:w w:val="70"/>
                <w:sz w:val="24"/>
                <w:szCs w:val="24"/>
              </w:rPr>
              <w:t>Dosis preoperatoria</w:t>
            </w:r>
          </w:p>
        </w:tc>
      </w:tr>
      <w:tr w:rsidR="00924992" w14:paraId="220EEA7B" w14:textId="77777777">
        <w:tblPrEx>
          <w:tblCellMar>
            <w:top w:w="0" w:type="dxa"/>
            <w:bottom w:w="0" w:type="dxa"/>
          </w:tblCellMar>
        </w:tblPrEx>
        <w:trPr>
          <w:trHeight w:hRule="exact" w:val="288"/>
        </w:trPr>
        <w:tc>
          <w:tcPr>
            <w:tcW w:w="2784" w:type="dxa"/>
            <w:shd w:val="clear" w:color="auto" w:fill="FFFFFF"/>
            <w:vAlign w:val="bottom"/>
          </w:tcPr>
          <w:p w14:paraId="34E23544" w14:textId="77777777" w:rsidR="00924992" w:rsidRDefault="00924992">
            <w:pPr>
              <w:pStyle w:val="Other0"/>
              <w:framePr w:w="11390" w:h="3701" w:vSpace="629" w:wrap="none" w:hAnchor="page" w:x="625" w:y="366"/>
              <w:spacing w:line="240" w:lineRule="auto"/>
              <w:ind w:firstLine="0"/>
              <w:rPr>
                <w:sz w:val="16"/>
                <w:szCs w:val="16"/>
              </w:rPr>
            </w:pPr>
            <w:r>
              <w:rPr>
                <w:rFonts w:ascii="Times New Roman" w:eastAsia="Times New Roman" w:hAnsi="Times New Roman" w:cs="Times New Roman"/>
                <w:sz w:val="16"/>
                <w:szCs w:val="16"/>
              </w:rPr>
              <w:t>Ojos (métodos con apertura</w:t>
            </w:r>
          </w:p>
        </w:tc>
        <w:tc>
          <w:tcPr>
            <w:tcW w:w="2808" w:type="dxa"/>
            <w:shd w:val="clear" w:color="auto" w:fill="FFFFFF"/>
            <w:vAlign w:val="bottom"/>
          </w:tcPr>
          <w:p w14:paraId="652232D0" w14:textId="77777777" w:rsidR="00924992" w:rsidRDefault="00924992">
            <w:pPr>
              <w:pStyle w:val="Other0"/>
              <w:framePr w:w="11390" w:h="3701" w:vSpace="629" w:wrap="none" w:hAnchor="page" w:x="625" w:y="366"/>
              <w:spacing w:line="240" w:lineRule="auto"/>
              <w:ind w:firstLine="0"/>
              <w:rPr>
                <w:sz w:val="16"/>
                <w:szCs w:val="16"/>
              </w:rPr>
            </w:pPr>
            <w:r>
              <w:rPr>
                <w:rFonts w:ascii="Times New Roman" w:eastAsia="Times New Roman" w:hAnsi="Times New Roman" w:cs="Times New Roman"/>
                <w:i/>
                <w:iCs/>
                <w:sz w:val="16"/>
                <w:szCs w:val="16"/>
              </w:rPr>
              <w:t>S. epidermidis, S. aureus,</w:t>
            </w:r>
          </w:p>
        </w:tc>
        <w:tc>
          <w:tcPr>
            <w:tcW w:w="2880" w:type="dxa"/>
            <w:shd w:val="clear" w:color="auto" w:fill="FFFFFF"/>
            <w:vAlign w:val="bottom"/>
          </w:tcPr>
          <w:p w14:paraId="6C044FD8" w14:textId="77777777" w:rsidR="00924992" w:rsidRDefault="00924992">
            <w:pPr>
              <w:pStyle w:val="Other0"/>
              <w:framePr w:w="11390" w:h="3701" w:vSpace="629" w:wrap="none" w:hAnchor="page" w:x="625" w:y="366"/>
              <w:spacing w:line="240" w:lineRule="auto"/>
              <w:ind w:firstLine="0"/>
              <w:rPr>
                <w:sz w:val="16"/>
                <w:szCs w:val="16"/>
              </w:rPr>
            </w:pPr>
            <w:r>
              <w:rPr>
                <w:rFonts w:ascii="Times New Roman" w:eastAsia="Times New Roman" w:hAnsi="Times New Roman" w:cs="Times New Roman"/>
                <w:sz w:val="16"/>
                <w:szCs w:val="16"/>
              </w:rPr>
              <w:t>Gentamicina, ciprofloxacina,</w:t>
            </w:r>
          </w:p>
        </w:tc>
        <w:tc>
          <w:tcPr>
            <w:tcW w:w="2918" w:type="dxa"/>
            <w:shd w:val="clear" w:color="auto" w:fill="FFFFFF"/>
            <w:vAlign w:val="bottom"/>
          </w:tcPr>
          <w:p w14:paraId="7C77FC17" w14:textId="77777777" w:rsidR="00924992" w:rsidRDefault="00924992">
            <w:pPr>
              <w:pStyle w:val="Other0"/>
              <w:framePr w:w="11390" w:h="3701" w:vSpace="629" w:wrap="none" w:hAnchor="page" w:x="625" w:y="366"/>
              <w:spacing w:line="240" w:lineRule="auto"/>
              <w:ind w:firstLine="0"/>
              <w:rPr>
                <w:sz w:val="16"/>
                <w:szCs w:val="16"/>
              </w:rPr>
            </w:pPr>
            <w:r>
              <w:rPr>
                <w:rFonts w:ascii="Times New Roman" w:eastAsia="Times New Roman" w:hAnsi="Times New Roman" w:cs="Times New Roman"/>
                <w:sz w:val="16"/>
                <w:szCs w:val="16"/>
              </w:rPr>
              <w:t>Aplicación de múltiples gotas 2-24 h</w:t>
            </w:r>
          </w:p>
        </w:tc>
      </w:tr>
      <w:tr w:rsidR="00924992" w14:paraId="77F64FB4" w14:textId="77777777">
        <w:tblPrEx>
          <w:tblCellMar>
            <w:top w:w="0" w:type="dxa"/>
            <w:bottom w:w="0" w:type="dxa"/>
          </w:tblCellMar>
        </w:tblPrEx>
        <w:trPr>
          <w:trHeight w:hRule="exact" w:val="216"/>
        </w:trPr>
        <w:tc>
          <w:tcPr>
            <w:tcW w:w="2784" w:type="dxa"/>
            <w:shd w:val="clear" w:color="auto" w:fill="FFFFFF"/>
            <w:vAlign w:val="bottom"/>
          </w:tcPr>
          <w:p w14:paraId="3146285B" w14:textId="77777777" w:rsidR="00924992" w:rsidRDefault="00924992">
            <w:pPr>
              <w:pStyle w:val="Other0"/>
              <w:framePr w:w="11390" w:h="3701" w:vSpace="629" w:wrap="none" w:hAnchor="page" w:x="625" w:y="366"/>
              <w:spacing w:line="240" w:lineRule="auto"/>
              <w:ind w:firstLine="160"/>
              <w:rPr>
                <w:sz w:val="16"/>
                <w:szCs w:val="16"/>
              </w:rPr>
            </w:pPr>
            <w:r>
              <w:rPr>
                <w:rFonts w:ascii="Times New Roman" w:eastAsia="Times New Roman" w:hAnsi="Times New Roman" w:cs="Times New Roman"/>
                <w:sz w:val="16"/>
                <w:szCs w:val="16"/>
              </w:rPr>
              <w:t>de los globos)</w:t>
            </w:r>
          </w:p>
        </w:tc>
        <w:tc>
          <w:tcPr>
            <w:tcW w:w="2808" w:type="dxa"/>
            <w:shd w:val="clear" w:color="auto" w:fill="FFFFFF"/>
            <w:vAlign w:val="bottom"/>
          </w:tcPr>
          <w:p w14:paraId="6B870352" w14:textId="77777777" w:rsidR="00924992" w:rsidRDefault="00924992">
            <w:pPr>
              <w:pStyle w:val="Other0"/>
              <w:framePr w:w="11390" w:h="3701" w:vSpace="629" w:wrap="none" w:hAnchor="page" w:x="625" w:y="366"/>
              <w:spacing w:line="240" w:lineRule="auto"/>
              <w:ind w:firstLine="240"/>
              <w:rPr>
                <w:sz w:val="16"/>
                <w:szCs w:val="16"/>
              </w:rPr>
            </w:pPr>
            <w:r>
              <w:rPr>
                <w:rFonts w:ascii="Times New Roman" w:eastAsia="Times New Roman" w:hAnsi="Times New Roman" w:cs="Times New Roman"/>
                <w:sz w:val="16"/>
                <w:szCs w:val="16"/>
              </w:rPr>
              <w:t>estreptococos, bacilos entéricos</w:t>
            </w:r>
          </w:p>
        </w:tc>
        <w:tc>
          <w:tcPr>
            <w:tcW w:w="2880" w:type="dxa"/>
            <w:shd w:val="clear" w:color="auto" w:fill="FFFFFF"/>
            <w:vAlign w:val="bottom"/>
          </w:tcPr>
          <w:p w14:paraId="35975FF1" w14:textId="77777777" w:rsidR="00924992" w:rsidRDefault="00924992">
            <w:pPr>
              <w:pStyle w:val="Other0"/>
              <w:framePr w:w="11390" w:h="3701" w:vSpace="629" w:wrap="none" w:hAnchor="page" w:x="625" w:y="366"/>
              <w:spacing w:line="240" w:lineRule="auto"/>
              <w:ind w:firstLine="240"/>
              <w:rPr>
                <w:sz w:val="16"/>
                <w:szCs w:val="16"/>
              </w:rPr>
            </w:pPr>
            <w:r>
              <w:rPr>
                <w:rFonts w:ascii="Times New Roman" w:eastAsia="Times New Roman" w:hAnsi="Times New Roman" w:cs="Times New Roman"/>
                <w:sz w:val="16"/>
                <w:szCs w:val="16"/>
              </w:rPr>
              <w:t>ofloxacina, tobramicina o neomicina-</w:t>
            </w:r>
          </w:p>
        </w:tc>
        <w:tc>
          <w:tcPr>
            <w:tcW w:w="2918" w:type="dxa"/>
            <w:shd w:val="clear" w:color="auto" w:fill="FFFFFF"/>
            <w:vAlign w:val="bottom"/>
          </w:tcPr>
          <w:p w14:paraId="0B4883D6" w14:textId="77777777" w:rsidR="00924992" w:rsidRDefault="00924992">
            <w:pPr>
              <w:pStyle w:val="Other0"/>
              <w:framePr w:w="11390" w:h="3701" w:vSpace="629" w:wrap="none" w:hAnchor="page" w:x="625" w:y="366"/>
              <w:spacing w:line="240" w:lineRule="auto"/>
              <w:ind w:firstLine="200"/>
              <w:rPr>
                <w:sz w:val="16"/>
                <w:szCs w:val="16"/>
              </w:rPr>
            </w:pPr>
            <w:r>
              <w:rPr>
                <w:rFonts w:ascii="Times New Roman" w:eastAsia="Times New Roman" w:hAnsi="Times New Roman" w:cs="Times New Roman"/>
                <w:sz w:val="16"/>
                <w:szCs w:val="16"/>
              </w:rPr>
              <w:t>antes del método quirúrgico</w:t>
            </w:r>
          </w:p>
        </w:tc>
      </w:tr>
      <w:tr w:rsidR="00924992" w14:paraId="06CF1FAE" w14:textId="77777777">
        <w:tblPrEx>
          <w:tblCellMar>
            <w:top w:w="0" w:type="dxa"/>
            <w:bottom w:w="0" w:type="dxa"/>
          </w:tblCellMar>
        </w:tblPrEx>
        <w:trPr>
          <w:trHeight w:hRule="exact" w:val="221"/>
        </w:trPr>
        <w:tc>
          <w:tcPr>
            <w:tcW w:w="2784" w:type="dxa"/>
            <w:shd w:val="clear" w:color="auto" w:fill="FFFFFF"/>
          </w:tcPr>
          <w:p w14:paraId="3F5C979D" w14:textId="77777777" w:rsidR="00924992" w:rsidRDefault="00924992">
            <w:pPr>
              <w:framePr w:w="11390" w:h="3701" w:vSpace="629" w:wrap="none" w:hAnchor="page" w:x="625" w:y="366"/>
              <w:rPr>
                <w:sz w:val="10"/>
                <w:szCs w:val="10"/>
              </w:rPr>
            </w:pPr>
          </w:p>
        </w:tc>
        <w:tc>
          <w:tcPr>
            <w:tcW w:w="2808" w:type="dxa"/>
            <w:shd w:val="clear" w:color="auto" w:fill="FFFFFF"/>
            <w:vAlign w:val="bottom"/>
          </w:tcPr>
          <w:p w14:paraId="5E31392D" w14:textId="77777777" w:rsidR="00924992" w:rsidRDefault="00924992">
            <w:pPr>
              <w:pStyle w:val="Other0"/>
              <w:framePr w:w="11390" w:h="3701" w:vSpace="629" w:wrap="none" w:hAnchor="page" w:x="625" w:y="366"/>
              <w:spacing w:line="240" w:lineRule="auto"/>
              <w:ind w:firstLine="240"/>
              <w:rPr>
                <w:sz w:val="16"/>
                <w:szCs w:val="16"/>
              </w:rPr>
            </w:pPr>
            <w:r>
              <w:rPr>
                <w:rFonts w:ascii="Times New Roman" w:eastAsia="Times New Roman" w:hAnsi="Times New Roman" w:cs="Times New Roman"/>
                <w:sz w:val="16"/>
                <w:szCs w:val="16"/>
              </w:rPr>
              <w:t>gramnegativos, especies de</w:t>
            </w:r>
          </w:p>
        </w:tc>
        <w:tc>
          <w:tcPr>
            <w:tcW w:w="2880" w:type="dxa"/>
            <w:shd w:val="clear" w:color="auto" w:fill="FFFFFF"/>
            <w:vAlign w:val="bottom"/>
          </w:tcPr>
          <w:p w14:paraId="216B56B4" w14:textId="77777777" w:rsidR="00924992" w:rsidRDefault="00924992">
            <w:pPr>
              <w:pStyle w:val="Other0"/>
              <w:framePr w:w="11390" w:h="3701" w:vSpace="629" w:wrap="none" w:hAnchor="page" w:x="625" w:y="366"/>
              <w:spacing w:line="240" w:lineRule="auto"/>
              <w:ind w:firstLine="240"/>
              <w:rPr>
                <w:sz w:val="16"/>
                <w:szCs w:val="16"/>
              </w:rPr>
            </w:pPr>
            <w:r>
              <w:rPr>
                <w:rFonts w:ascii="Times New Roman" w:eastAsia="Times New Roman" w:hAnsi="Times New Roman" w:cs="Times New Roman"/>
                <w:sz w:val="16"/>
                <w:szCs w:val="16"/>
              </w:rPr>
              <w:t>gramicidina-sulfato de polimixina B</w:t>
            </w:r>
          </w:p>
        </w:tc>
        <w:tc>
          <w:tcPr>
            <w:tcW w:w="2918" w:type="dxa"/>
            <w:shd w:val="clear" w:color="auto" w:fill="FFFFFF"/>
          </w:tcPr>
          <w:p w14:paraId="2DEA0BB0" w14:textId="77777777" w:rsidR="00924992" w:rsidRDefault="00924992">
            <w:pPr>
              <w:framePr w:w="11390" w:h="3701" w:vSpace="629" w:wrap="none" w:hAnchor="page" w:x="625" w:y="366"/>
              <w:rPr>
                <w:sz w:val="10"/>
                <w:szCs w:val="10"/>
              </w:rPr>
            </w:pPr>
          </w:p>
        </w:tc>
      </w:tr>
      <w:tr w:rsidR="00924992" w14:paraId="39561B94" w14:textId="77777777">
        <w:tblPrEx>
          <w:tblCellMar>
            <w:top w:w="0" w:type="dxa"/>
            <w:bottom w:w="0" w:type="dxa"/>
          </w:tblCellMar>
        </w:tblPrEx>
        <w:trPr>
          <w:trHeight w:hRule="exact" w:val="211"/>
        </w:trPr>
        <w:tc>
          <w:tcPr>
            <w:tcW w:w="2784" w:type="dxa"/>
            <w:shd w:val="clear" w:color="auto" w:fill="FFFFFF"/>
          </w:tcPr>
          <w:p w14:paraId="52FF074A" w14:textId="77777777" w:rsidR="00924992" w:rsidRDefault="00924992">
            <w:pPr>
              <w:framePr w:w="11390" w:h="3701" w:vSpace="629" w:wrap="none" w:hAnchor="page" w:x="625" w:y="366"/>
              <w:rPr>
                <w:sz w:val="10"/>
                <w:szCs w:val="10"/>
              </w:rPr>
            </w:pPr>
          </w:p>
        </w:tc>
        <w:tc>
          <w:tcPr>
            <w:tcW w:w="2808" w:type="dxa"/>
            <w:shd w:val="clear" w:color="auto" w:fill="FFFFFF"/>
          </w:tcPr>
          <w:p w14:paraId="1CC77AC0" w14:textId="77777777" w:rsidR="00924992" w:rsidRDefault="00924992">
            <w:pPr>
              <w:pStyle w:val="Other0"/>
              <w:framePr w:w="11390" w:h="3701" w:vSpace="629" w:wrap="none" w:hAnchor="page" w:x="625" w:y="366"/>
              <w:spacing w:line="240" w:lineRule="auto"/>
              <w:ind w:firstLine="240"/>
              <w:rPr>
                <w:sz w:val="16"/>
                <w:szCs w:val="16"/>
              </w:rPr>
            </w:pPr>
            <w:r>
              <w:rPr>
                <w:rFonts w:ascii="Times New Roman" w:eastAsia="Times New Roman" w:hAnsi="Times New Roman" w:cs="Times New Roman"/>
                <w:i/>
                <w:iCs/>
                <w:sz w:val="16"/>
                <w:szCs w:val="16"/>
              </w:rPr>
              <w:t>Pseudomonas</w:t>
            </w:r>
          </w:p>
        </w:tc>
        <w:tc>
          <w:tcPr>
            <w:tcW w:w="2880" w:type="dxa"/>
            <w:shd w:val="clear" w:color="auto" w:fill="FFFFFF"/>
          </w:tcPr>
          <w:p w14:paraId="2BBCDB90" w14:textId="77777777" w:rsidR="00924992" w:rsidRDefault="00924992">
            <w:pPr>
              <w:pStyle w:val="Other0"/>
              <w:framePr w:w="11390" w:h="3701" w:vSpace="629" w:wrap="none" w:hAnchor="page" w:x="625" w:y="366"/>
              <w:spacing w:line="240" w:lineRule="auto"/>
              <w:ind w:firstLine="240"/>
              <w:rPr>
                <w:sz w:val="16"/>
                <w:szCs w:val="16"/>
              </w:rPr>
            </w:pPr>
            <w:r>
              <w:rPr>
                <w:rFonts w:ascii="Times New Roman" w:eastAsia="Times New Roman" w:hAnsi="Times New Roman" w:cs="Times New Roman"/>
                <w:sz w:val="16"/>
                <w:szCs w:val="16"/>
              </w:rPr>
              <w:t>O cefazolina</w:t>
            </w:r>
          </w:p>
        </w:tc>
        <w:tc>
          <w:tcPr>
            <w:tcW w:w="2918" w:type="dxa"/>
            <w:shd w:val="clear" w:color="auto" w:fill="FFFFFF"/>
          </w:tcPr>
          <w:p w14:paraId="073FE58E" w14:textId="77777777" w:rsidR="00924992" w:rsidRDefault="00924992">
            <w:pPr>
              <w:pStyle w:val="Other0"/>
              <w:framePr w:w="11390" w:h="3701" w:vSpace="629" w:wrap="none" w:hAnchor="page" w:x="625" w:y="366"/>
              <w:spacing w:line="240" w:lineRule="auto"/>
              <w:ind w:firstLine="0"/>
              <w:rPr>
                <w:sz w:val="16"/>
                <w:szCs w:val="16"/>
              </w:rPr>
            </w:pPr>
            <w:r>
              <w:rPr>
                <w:rFonts w:ascii="Times New Roman" w:eastAsia="Times New Roman" w:hAnsi="Times New Roman" w:cs="Times New Roman"/>
                <w:sz w:val="16"/>
                <w:szCs w:val="16"/>
              </w:rPr>
              <w:t>100 mg en plano subconjuntival</w:t>
            </w:r>
          </w:p>
        </w:tc>
      </w:tr>
      <w:tr w:rsidR="00924992" w14:paraId="057D0068" w14:textId="77777777">
        <w:tblPrEx>
          <w:tblCellMar>
            <w:top w:w="0" w:type="dxa"/>
            <w:bottom w:w="0" w:type="dxa"/>
          </w:tblCellMar>
        </w:tblPrEx>
        <w:trPr>
          <w:trHeight w:hRule="exact" w:val="216"/>
        </w:trPr>
        <w:tc>
          <w:tcPr>
            <w:tcW w:w="2784" w:type="dxa"/>
            <w:shd w:val="clear" w:color="auto" w:fill="FFFFFF"/>
            <w:vAlign w:val="bottom"/>
          </w:tcPr>
          <w:p w14:paraId="376CCFF0" w14:textId="77777777" w:rsidR="00924992" w:rsidRDefault="00924992">
            <w:pPr>
              <w:pStyle w:val="Other0"/>
              <w:framePr w:w="11390" w:h="3701" w:vSpace="629" w:wrap="none" w:hAnchor="page" w:x="625" w:y="366"/>
              <w:spacing w:line="240" w:lineRule="auto"/>
              <w:ind w:firstLine="0"/>
              <w:rPr>
                <w:sz w:val="16"/>
                <w:szCs w:val="16"/>
              </w:rPr>
            </w:pPr>
            <w:r>
              <w:rPr>
                <w:rFonts w:ascii="Times New Roman" w:eastAsia="Times New Roman" w:hAnsi="Times New Roman" w:cs="Times New Roman"/>
                <w:sz w:val="16"/>
                <w:szCs w:val="16"/>
              </w:rPr>
              <w:t>Ortopedia (fijación interna de</w:t>
            </w:r>
          </w:p>
        </w:tc>
        <w:tc>
          <w:tcPr>
            <w:tcW w:w="2808" w:type="dxa"/>
            <w:shd w:val="clear" w:color="auto" w:fill="FFFFFF"/>
            <w:vAlign w:val="bottom"/>
          </w:tcPr>
          <w:p w14:paraId="6471F57D" w14:textId="77777777" w:rsidR="00924992" w:rsidRDefault="00924992">
            <w:pPr>
              <w:pStyle w:val="Other0"/>
              <w:framePr w:w="11390" w:h="3701" w:vSpace="629" w:wrap="none" w:hAnchor="page" w:x="625" w:y="366"/>
              <w:spacing w:line="240" w:lineRule="auto"/>
              <w:ind w:firstLine="0"/>
              <w:rPr>
                <w:sz w:val="16"/>
                <w:szCs w:val="16"/>
              </w:rPr>
            </w:pPr>
            <w:r>
              <w:rPr>
                <w:rFonts w:ascii="Times New Roman" w:eastAsia="Times New Roman" w:hAnsi="Times New Roman" w:cs="Times New Roman"/>
                <w:i/>
                <w:iCs/>
                <w:sz w:val="16"/>
                <w:szCs w:val="16"/>
              </w:rPr>
              <w:t>S. epidermidis, S. aureus</w:t>
            </w:r>
          </w:p>
        </w:tc>
        <w:tc>
          <w:tcPr>
            <w:tcW w:w="2880" w:type="dxa"/>
            <w:shd w:val="clear" w:color="auto" w:fill="FFFFFF"/>
            <w:vAlign w:val="bottom"/>
          </w:tcPr>
          <w:p w14:paraId="02E3AB4F" w14:textId="77777777" w:rsidR="00924992" w:rsidRDefault="00924992">
            <w:pPr>
              <w:pStyle w:val="Other0"/>
              <w:framePr w:w="11390" w:h="3701" w:vSpace="629" w:wrap="none" w:hAnchor="page" w:x="625" w:y="366"/>
              <w:spacing w:line="240" w:lineRule="auto"/>
              <w:ind w:firstLine="0"/>
              <w:rPr>
                <w:sz w:val="16"/>
                <w:szCs w:val="16"/>
              </w:rPr>
            </w:pPr>
            <w:r>
              <w:rPr>
                <w:rFonts w:ascii="Times New Roman" w:eastAsia="Times New Roman" w:hAnsi="Times New Roman" w:cs="Times New Roman"/>
                <w:sz w:val="16"/>
                <w:szCs w:val="16"/>
              </w:rPr>
              <w:t>Cefazolina O si es posible la</w:t>
            </w:r>
          </w:p>
        </w:tc>
        <w:tc>
          <w:tcPr>
            <w:tcW w:w="2918" w:type="dxa"/>
            <w:shd w:val="clear" w:color="auto" w:fill="FFFFFF"/>
            <w:vAlign w:val="bottom"/>
          </w:tcPr>
          <w:p w14:paraId="732FA294" w14:textId="77777777" w:rsidR="00924992" w:rsidRDefault="00924992">
            <w:pPr>
              <w:pStyle w:val="Other0"/>
              <w:framePr w:w="11390" w:h="3701" w:vSpace="629" w:wrap="none" w:hAnchor="page" w:x="625" w:y="366"/>
              <w:spacing w:line="240" w:lineRule="auto"/>
              <w:ind w:firstLine="0"/>
              <w:rPr>
                <w:sz w:val="16"/>
                <w:szCs w:val="16"/>
              </w:rPr>
            </w:pPr>
            <w:r>
              <w:rPr>
                <w:rFonts w:ascii="Times New Roman" w:eastAsia="Times New Roman" w:hAnsi="Times New Roman" w:cs="Times New Roman"/>
                <w:sz w:val="16"/>
                <w:szCs w:val="16"/>
                <w:vertAlign w:val="superscript"/>
              </w:rPr>
              <w:t>25 m</w:t>
            </w:r>
            <w:r>
              <w:rPr>
                <w:rFonts w:ascii="Times New Roman" w:eastAsia="Times New Roman" w:hAnsi="Times New Roman" w:cs="Times New Roman"/>
                <w:sz w:val="16"/>
                <w:szCs w:val="16"/>
              </w:rPr>
              <w:t>g</w:t>
            </w:r>
            <w:r>
              <w:rPr>
                <w:rFonts w:ascii="Times New Roman" w:eastAsia="Times New Roman" w:hAnsi="Times New Roman" w:cs="Times New Roman"/>
                <w:sz w:val="16"/>
                <w:szCs w:val="16"/>
                <w:vertAlign w:val="superscript"/>
              </w:rPr>
              <w:t>/k</w:t>
            </w:r>
            <w:r>
              <w:rPr>
                <w:rFonts w:ascii="Times New Roman" w:eastAsia="Times New Roman" w:hAnsi="Times New Roman" w:cs="Times New Roman"/>
                <w:sz w:val="16"/>
                <w:szCs w:val="16"/>
              </w:rPr>
              <w:t>g</w:t>
            </w:r>
          </w:p>
        </w:tc>
      </w:tr>
      <w:tr w:rsidR="00924992" w14:paraId="0FB12DB4" w14:textId="77777777">
        <w:tblPrEx>
          <w:tblCellMar>
            <w:top w:w="0" w:type="dxa"/>
            <w:bottom w:w="0" w:type="dxa"/>
          </w:tblCellMar>
        </w:tblPrEx>
        <w:trPr>
          <w:trHeight w:hRule="exact" w:val="216"/>
        </w:trPr>
        <w:tc>
          <w:tcPr>
            <w:tcW w:w="2784" w:type="dxa"/>
            <w:shd w:val="clear" w:color="auto" w:fill="FFFFFF"/>
            <w:vAlign w:val="bottom"/>
          </w:tcPr>
          <w:p w14:paraId="27854AE8" w14:textId="77777777" w:rsidR="00924992" w:rsidRDefault="00924992">
            <w:pPr>
              <w:pStyle w:val="Other0"/>
              <w:framePr w:w="11390" w:h="3701" w:vSpace="629" w:wrap="none" w:hAnchor="page" w:x="625" w:y="366"/>
              <w:spacing w:line="240" w:lineRule="auto"/>
              <w:ind w:firstLine="160"/>
              <w:rPr>
                <w:sz w:val="16"/>
                <w:szCs w:val="16"/>
              </w:rPr>
            </w:pPr>
            <w:r>
              <w:rPr>
                <w:rFonts w:ascii="Times New Roman" w:eastAsia="Times New Roman" w:hAnsi="Times New Roman" w:cs="Times New Roman"/>
                <w:sz w:val="16"/>
                <w:szCs w:val="16"/>
              </w:rPr>
              <w:t>fracturas o articulaciones protésicas)</w:t>
            </w:r>
          </w:p>
        </w:tc>
        <w:tc>
          <w:tcPr>
            <w:tcW w:w="2808" w:type="dxa"/>
            <w:shd w:val="clear" w:color="auto" w:fill="FFFFFF"/>
          </w:tcPr>
          <w:p w14:paraId="3F9777CE" w14:textId="77777777" w:rsidR="00924992" w:rsidRDefault="00924992">
            <w:pPr>
              <w:framePr w:w="11390" w:h="3701" w:vSpace="629" w:wrap="none" w:hAnchor="page" w:x="625" w:y="366"/>
              <w:rPr>
                <w:sz w:val="10"/>
                <w:szCs w:val="10"/>
              </w:rPr>
            </w:pPr>
          </w:p>
        </w:tc>
        <w:tc>
          <w:tcPr>
            <w:tcW w:w="2880" w:type="dxa"/>
            <w:shd w:val="clear" w:color="auto" w:fill="FFFFFF"/>
            <w:vAlign w:val="bottom"/>
          </w:tcPr>
          <w:p w14:paraId="30DBE54A" w14:textId="77777777" w:rsidR="00924992" w:rsidRDefault="00924992">
            <w:pPr>
              <w:pStyle w:val="Other0"/>
              <w:framePr w:w="11390" w:h="3701" w:vSpace="629" w:wrap="none" w:hAnchor="page" w:x="625" w:y="366"/>
              <w:spacing w:line="240" w:lineRule="auto"/>
              <w:ind w:firstLine="240"/>
              <w:rPr>
                <w:sz w:val="16"/>
                <w:szCs w:val="16"/>
              </w:rPr>
            </w:pPr>
            <w:r>
              <w:rPr>
                <w:rFonts w:ascii="Times New Roman" w:eastAsia="Times New Roman" w:hAnsi="Times New Roman" w:cs="Times New Roman"/>
                <w:sz w:val="16"/>
                <w:szCs w:val="16"/>
              </w:rPr>
              <w:t>presencia de MRSA, vancomicina</w:t>
            </w:r>
          </w:p>
        </w:tc>
        <w:tc>
          <w:tcPr>
            <w:tcW w:w="2918" w:type="dxa"/>
            <w:shd w:val="clear" w:color="auto" w:fill="FFFFFF"/>
            <w:vAlign w:val="bottom"/>
          </w:tcPr>
          <w:p w14:paraId="7EF81E59" w14:textId="77777777" w:rsidR="00924992" w:rsidRDefault="00924992">
            <w:pPr>
              <w:pStyle w:val="Other0"/>
              <w:framePr w:w="11390" w:h="3701" w:vSpace="629" w:wrap="none" w:hAnchor="page" w:x="625" w:y="366"/>
              <w:spacing w:line="240" w:lineRule="auto"/>
              <w:ind w:firstLine="0"/>
              <w:rPr>
                <w:sz w:val="16"/>
                <w:szCs w:val="16"/>
              </w:rPr>
            </w:pPr>
            <w:r>
              <w:rPr>
                <w:rFonts w:ascii="Times New Roman" w:eastAsia="Times New Roman" w:hAnsi="Times New Roman" w:cs="Times New Roman"/>
                <w:sz w:val="16"/>
                <w:szCs w:val="16"/>
              </w:rPr>
              <w:t>10 mg/kg</w:t>
            </w:r>
          </w:p>
        </w:tc>
      </w:tr>
      <w:tr w:rsidR="00924992" w14:paraId="028CB3BC" w14:textId="77777777">
        <w:tblPrEx>
          <w:tblCellMar>
            <w:top w:w="0" w:type="dxa"/>
            <w:bottom w:w="0" w:type="dxa"/>
          </w:tblCellMar>
        </w:tblPrEx>
        <w:trPr>
          <w:trHeight w:hRule="exact" w:val="216"/>
        </w:trPr>
        <w:tc>
          <w:tcPr>
            <w:tcW w:w="2784" w:type="dxa"/>
            <w:shd w:val="clear" w:color="auto" w:fill="FFFFFF"/>
          </w:tcPr>
          <w:p w14:paraId="1B32FF20" w14:textId="77777777" w:rsidR="00924992" w:rsidRDefault="00924992">
            <w:pPr>
              <w:pStyle w:val="Other0"/>
              <w:framePr w:w="11390" w:h="3701" w:vSpace="629" w:wrap="none" w:hAnchor="page" w:x="625" w:y="366"/>
              <w:spacing w:line="240" w:lineRule="auto"/>
              <w:ind w:firstLine="0"/>
              <w:rPr>
                <w:sz w:val="16"/>
                <w:szCs w:val="16"/>
              </w:rPr>
            </w:pPr>
            <w:r>
              <w:rPr>
                <w:rFonts w:ascii="Times New Roman" w:eastAsia="Times New Roman" w:hAnsi="Times New Roman" w:cs="Times New Roman"/>
                <w:sz w:val="16"/>
                <w:szCs w:val="16"/>
              </w:rPr>
              <w:t>Tórax (extracardiacos)</w:t>
            </w:r>
          </w:p>
        </w:tc>
        <w:tc>
          <w:tcPr>
            <w:tcW w:w="2808" w:type="dxa"/>
            <w:shd w:val="clear" w:color="auto" w:fill="FFFFFF"/>
          </w:tcPr>
          <w:p w14:paraId="0E7232F7" w14:textId="77777777" w:rsidR="00924992" w:rsidRDefault="00924992">
            <w:pPr>
              <w:pStyle w:val="Other0"/>
              <w:framePr w:w="11390" w:h="3701" w:vSpace="629" w:wrap="none" w:hAnchor="page" w:x="625" w:y="366"/>
              <w:spacing w:line="240" w:lineRule="auto"/>
              <w:ind w:firstLine="0"/>
              <w:rPr>
                <w:sz w:val="16"/>
                <w:szCs w:val="16"/>
              </w:rPr>
            </w:pPr>
            <w:r>
              <w:rPr>
                <w:rFonts w:ascii="Times New Roman" w:eastAsia="Times New Roman" w:hAnsi="Times New Roman" w:cs="Times New Roman"/>
                <w:i/>
                <w:iCs/>
                <w:sz w:val="16"/>
                <w:szCs w:val="16"/>
              </w:rPr>
              <w:t>S. epidermidis, S. aureus</w:t>
            </w:r>
          </w:p>
        </w:tc>
        <w:tc>
          <w:tcPr>
            <w:tcW w:w="2880" w:type="dxa"/>
            <w:shd w:val="clear" w:color="auto" w:fill="FFFFFF"/>
          </w:tcPr>
          <w:p w14:paraId="4E19D405" w14:textId="77777777" w:rsidR="00924992" w:rsidRDefault="00924992">
            <w:pPr>
              <w:pStyle w:val="Other0"/>
              <w:framePr w:w="11390" w:h="3701" w:vSpace="629" w:wrap="none" w:hAnchor="page" w:x="625" w:y="366"/>
              <w:spacing w:line="240" w:lineRule="auto"/>
              <w:ind w:firstLine="0"/>
              <w:rPr>
                <w:sz w:val="16"/>
                <w:szCs w:val="16"/>
              </w:rPr>
            </w:pPr>
            <w:r>
              <w:rPr>
                <w:rFonts w:ascii="Times New Roman" w:eastAsia="Times New Roman" w:hAnsi="Times New Roman" w:cs="Times New Roman"/>
                <w:sz w:val="16"/>
                <w:szCs w:val="16"/>
              </w:rPr>
              <w:t>Cefazolina O</w:t>
            </w:r>
          </w:p>
        </w:tc>
        <w:tc>
          <w:tcPr>
            <w:tcW w:w="2918" w:type="dxa"/>
            <w:shd w:val="clear" w:color="auto" w:fill="FFFFFF"/>
          </w:tcPr>
          <w:p w14:paraId="4FE796B0" w14:textId="77777777" w:rsidR="00924992" w:rsidRDefault="00924992">
            <w:pPr>
              <w:pStyle w:val="Other0"/>
              <w:framePr w:w="11390" w:h="3701" w:vSpace="629" w:wrap="none" w:hAnchor="page" w:x="625" w:y="366"/>
              <w:spacing w:line="240" w:lineRule="auto"/>
              <w:ind w:firstLine="0"/>
              <w:rPr>
                <w:sz w:val="16"/>
                <w:szCs w:val="16"/>
              </w:rPr>
            </w:pPr>
            <w:r>
              <w:rPr>
                <w:rFonts w:ascii="Times New Roman" w:eastAsia="Times New Roman" w:hAnsi="Times New Roman" w:cs="Times New Roman"/>
                <w:sz w:val="16"/>
                <w:szCs w:val="16"/>
              </w:rPr>
              <w:t>25 mg/kg</w:t>
            </w:r>
          </w:p>
        </w:tc>
      </w:tr>
      <w:tr w:rsidR="00924992" w14:paraId="79BBFBAA" w14:textId="77777777">
        <w:tblPrEx>
          <w:tblCellMar>
            <w:top w:w="0" w:type="dxa"/>
            <w:bottom w:w="0" w:type="dxa"/>
          </w:tblCellMar>
        </w:tblPrEx>
        <w:trPr>
          <w:trHeight w:hRule="exact" w:val="418"/>
        </w:trPr>
        <w:tc>
          <w:tcPr>
            <w:tcW w:w="2784" w:type="dxa"/>
            <w:shd w:val="clear" w:color="auto" w:fill="FFFFFF"/>
          </w:tcPr>
          <w:p w14:paraId="6AD7E5F2" w14:textId="77777777" w:rsidR="00924992" w:rsidRDefault="00924992">
            <w:pPr>
              <w:framePr w:w="11390" w:h="3701" w:vSpace="629" w:wrap="none" w:hAnchor="page" w:x="625" w:y="366"/>
              <w:rPr>
                <w:sz w:val="10"/>
                <w:szCs w:val="10"/>
              </w:rPr>
            </w:pPr>
          </w:p>
        </w:tc>
        <w:tc>
          <w:tcPr>
            <w:tcW w:w="2808" w:type="dxa"/>
            <w:shd w:val="clear" w:color="auto" w:fill="FFFFFF"/>
          </w:tcPr>
          <w:p w14:paraId="779D6D06" w14:textId="77777777" w:rsidR="00924992" w:rsidRDefault="00924992">
            <w:pPr>
              <w:framePr w:w="11390" w:h="3701" w:vSpace="629" w:wrap="none" w:hAnchor="page" w:x="625" w:y="366"/>
              <w:rPr>
                <w:sz w:val="10"/>
                <w:szCs w:val="10"/>
              </w:rPr>
            </w:pPr>
          </w:p>
        </w:tc>
        <w:tc>
          <w:tcPr>
            <w:tcW w:w="2880" w:type="dxa"/>
            <w:shd w:val="clear" w:color="auto" w:fill="FFFFFF"/>
          </w:tcPr>
          <w:p w14:paraId="6D6C768A" w14:textId="77777777" w:rsidR="00924992" w:rsidRDefault="00924992">
            <w:pPr>
              <w:pStyle w:val="Other0"/>
              <w:framePr w:w="11390" w:h="3701" w:vSpace="629" w:wrap="none" w:hAnchor="page" w:x="625" w:y="366"/>
              <w:spacing w:line="283" w:lineRule="auto"/>
              <w:ind w:left="240" w:firstLine="0"/>
              <w:rPr>
                <w:sz w:val="16"/>
                <w:szCs w:val="16"/>
              </w:rPr>
            </w:pPr>
            <w:r>
              <w:rPr>
                <w:rFonts w:ascii="Times New Roman" w:eastAsia="Times New Roman" w:hAnsi="Times New Roman" w:cs="Times New Roman"/>
                <w:sz w:val="16"/>
                <w:szCs w:val="16"/>
              </w:rPr>
              <w:t>si es posible la presencia de MRSA, vancomicina</w:t>
            </w:r>
          </w:p>
        </w:tc>
        <w:tc>
          <w:tcPr>
            <w:tcW w:w="2918" w:type="dxa"/>
            <w:shd w:val="clear" w:color="auto" w:fill="FFFFFF"/>
            <w:vAlign w:val="bottom"/>
          </w:tcPr>
          <w:p w14:paraId="750C739B" w14:textId="77777777" w:rsidR="00924992" w:rsidRDefault="00924992">
            <w:pPr>
              <w:pStyle w:val="Other0"/>
              <w:framePr w:w="11390" w:h="3701" w:vSpace="629" w:wrap="none" w:hAnchor="page" w:x="625" w:y="366"/>
              <w:spacing w:line="240" w:lineRule="auto"/>
              <w:ind w:firstLine="0"/>
              <w:rPr>
                <w:sz w:val="16"/>
                <w:szCs w:val="16"/>
              </w:rPr>
            </w:pPr>
            <w:r>
              <w:rPr>
                <w:rFonts w:ascii="Times New Roman" w:eastAsia="Times New Roman" w:hAnsi="Times New Roman" w:cs="Times New Roman"/>
                <w:sz w:val="16"/>
                <w:szCs w:val="16"/>
              </w:rPr>
              <w:t>10 mg/kg</w:t>
            </w:r>
          </w:p>
        </w:tc>
      </w:tr>
      <w:tr w:rsidR="00924992" w14:paraId="66545426" w14:textId="77777777">
        <w:tblPrEx>
          <w:tblCellMar>
            <w:top w:w="0" w:type="dxa"/>
            <w:bottom w:w="0" w:type="dxa"/>
          </w:tblCellMar>
        </w:tblPrEx>
        <w:trPr>
          <w:trHeight w:hRule="exact" w:val="226"/>
        </w:trPr>
        <w:tc>
          <w:tcPr>
            <w:tcW w:w="2784" w:type="dxa"/>
            <w:shd w:val="clear" w:color="auto" w:fill="FFFFFF"/>
            <w:vAlign w:val="bottom"/>
          </w:tcPr>
          <w:p w14:paraId="3BB29A6D" w14:textId="77777777" w:rsidR="00924992" w:rsidRDefault="00924992">
            <w:pPr>
              <w:pStyle w:val="Other0"/>
              <w:framePr w:w="11390" w:h="3701" w:vSpace="629" w:wrap="none" w:hAnchor="page" w:x="625" w:y="366"/>
              <w:spacing w:line="240" w:lineRule="auto"/>
              <w:ind w:firstLine="0"/>
              <w:rPr>
                <w:sz w:val="16"/>
                <w:szCs w:val="16"/>
              </w:rPr>
            </w:pPr>
            <w:r>
              <w:rPr>
                <w:rFonts w:ascii="Times New Roman" w:eastAsia="Times New Roman" w:hAnsi="Times New Roman" w:cs="Times New Roman"/>
                <w:sz w:val="16"/>
                <w:szCs w:val="16"/>
              </w:rPr>
              <w:t>Rotura de víscera hueca</w:t>
            </w:r>
          </w:p>
        </w:tc>
        <w:tc>
          <w:tcPr>
            <w:tcW w:w="2808" w:type="dxa"/>
            <w:shd w:val="clear" w:color="auto" w:fill="FFFFFF"/>
            <w:vAlign w:val="bottom"/>
          </w:tcPr>
          <w:p w14:paraId="4DDB1034" w14:textId="77777777" w:rsidR="00924992" w:rsidRDefault="00924992">
            <w:pPr>
              <w:pStyle w:val="Other0"/>
              <w:framePr w:w="11390" w:h="3701" w:vSpace="629" w:wrap="none" w:hAnchor="page" w:x="625" w:y="366"/>
              <w:spacing w:line="240" w:lineRule="auto"/>
              <w:ind w:firstLine="0"/>
              <w:rPr>
                <w:sz w:val="16"/>
                <w:szCs w:val="16"/>
              </w:rPr>
            </w:pPr>
            <w:r>
              <w:rPr>
                <w:rFonts w:ascii="Times New Roman" w:eastAsia="Times New Roman" w:hAnsi="Times New Roman" w:cs="Times New Roman"/>
                <w:sz w:val="16"/>
                <w:szCs w:val="16"/>
              </w:rPr>
              <w:t>Bacilos entéricos gramnegativos,</w:t>
            </w:r>
          </w:p>
        </w:tc>
        <w:tc>
          <w:tcPr>
            <w:tcW w:w="2880" w:type="dxa"/>
            <w:shd w:val="clear" w:color="auto" w:fill="FFFFFF"/>
            <w:vAlign w:val="bottom"/>
          </w:tcPr>
          <w:p w14:paraId="6809751A" w14:textId="77777777" w:rsidR="00924992" w:rsidRDefault="00924992">
            <w:pPr>
              <w:pStyle w:val="Other0"/>
              <w:framePr w:w="11390" w:h="3701" w:vSpace="629" w:wrap="none" w:hAnchor="page" w:x="625" w:y="366"/>
              <w:spacing w:line="240" w:lineRule="auto"/>
              <w:ind w:firstLine="0"/>
              <w:rPr>
                <w:sz w:val="16"/>
                <w:szCs w:val="16"/>
              </w:rPr>
            </w:pPr>
            <w:r>
              <w:rPr>
                <w:rFonts w:ascii="Times New Roman" w:eastAsia="Times New Roman" w:hAnsi="Times New Roman" w:cs="Times New Roman"/>
                <w:sz w:val="16"/>
                <w:szCs w:val="16"/>
              </w:rPr>
              <w:t>Cefoxitina o cefotetán</w:t>
            </w:r>
            <w:r>
              <w:rPr>
                <w:rFonts w:ascii="Times New Roman" w:eastAsia="Times New Roman" w:hAnsi="Times New Roman" w:cs="Times New Roman"/>
                <w:sz w:val="16"/>
                <w:szCs w:val="16"/>
                <w:vertAlign w:val="superscript"/>
              </w:rPr>
              <w:t>2</w:t>
            </w:r>
          </w:p>
        </w:tc>
        <w:tc>
          <w:tcPr>
            <w:tcW w:w="2918" w:type="dxa"/>
            <w:shd w:val="clear" w:color="auto" w:fill="FFFFFF"/>
            <w:vAlign w:val="bottom"/>
          </w:tcPr>
          <w:p w14:paraId="4DDE5AF5" w14:textId="77777777" w:rsidR="00924992" w:rsidRDefault="00924992">
            <w:pPr>
              <w:pStyle w:val="Other0"/>
              <w:framePr w:w="11390" w:h="3701" w:vSpace="629" w:wrap="none" w:hAnchor="page" w:x="625" w:y="366"/>
              <w:spacing w:line="240" w:lineRule="auto"/>
              <w:ind w:firstLine="0"/>
              <w:rPr>
                <w:sz w:val="16"/>
                <w:szCs w:val="16"/>
              </w:rPr>
            </w:pPr>
            <w:r>
              <w:rPr>
                <w:rFonts w:ascii="Times New Roman" w:eastAsia="Times New Roman" w:hAnsi="Times New Roman" w:cs="Times New Roman"/>
                <w:sz w:val="16"/>
                <w:szCs w:val="16"/>
              </w:rPr>
              <w:t>40 mg/kg</w:t>
            </w:r>
          </w:p>
        </w:tc>
      </w:tr>
      <w:tr w:rsidR="00924992" w14:paraId="158DB63C" w14:textId="77777777">
        <w:tblPrEx>
          <w:tblCellMar>
            <w:top w:w="0" w:type="dxa"/>
            <w:bottom w:w="0" w:type="dxa"/>
          </w:tblCellMar>
        </w:tblPrEx>
        <w:trPr>
          <w:trHeight w:hRule="exact" w:val="221"/>
        </w:trPr>
        <w:tc>
          <w:tcPr>
            <w:tcW w:w="2784" w:type="dxa"/>
            <w:shd w:val="clear" w:color="auto" w:fill="FFFFFF"/>
          </w:tcPr>
          <w:p w14:paraId="4C2D2C44" w14:textId="77777777" w:rsidR="00924992" w:rsidRDefault="00924992">
            <w:pPr>
              <w:framePr w:w="11390" w:h="3701" w:vSpace="629" w:wrap="none" w:hAnchor="page" w:x="625" w:y="366"/>
              <w:rPr>
                <w:sz w:val="10"/>
                <w:szCs w:val="10"/>
              </w:rPr>
            </w:pPr>
          </w:p>
        </w:tc>
        <w:tc>
          <w:tcPr>
            <w:tcW w:w="2808" w:type="dxa"/>
            <w:shd w:val="clear" w:color="auto" w:fill="FFFFFF"/>
            <w:vAlign w:val="bottom"/>
          </w:tcPr>
          <w:p w14:paraId="7C080D35" w14:textId="77777777" w:rsidR="00924992" w:rsidRDefault="00924992">
            <w:pPr>
              <w:pStyle w:val="Other0"/>
              <w:framePr w:w="11390" w:h="3701" w:vSpace="629" w:wrap="none" w:hAnchor="page" w:x="625" w:y="366"/>
              <w:spacing w:line="240" w:lineRule="auto"/>
              <w:ind w:firstLine="240"/>
              <w:rPr>
                <w:sz w:val="16"/>
                <w:szCs w:val="16"/>
              </w:rPr>
            </w:pPr>
            <w:r>
              <w:rPr>
                <w:rFonts w:ascii="Times New Roman" w:eastAsia="Times New Roman" w:hAnsi="Times New Roman" w:cs="Times New Roman"/>
                <w:sz w:val="16"/>
                <w:szCs w:val="16"/>
              </w:rPr>
              <w:t>anaerobios, enterococos</w:t>
            </w:r>
          </w:p>
        </w:tc>
        <w:tc>
          <w:tcPr>
            <w:tcW w:w="2880" w:type="dxa"/>
            <w:shd w:val="clear" w:color="auto" w:fill="FFFFFF"/>
            <w:vAlign w:val="bottom"/>
          </w:tcPr>
          <w:p w14:paraId="5BEFA8A8" w14:textId="77777777" w:rsidR="00924992" w:rsidRDefault="00924992">
            <w:pPr>
              <w:pStyle w:val="Other0"/>
              <w:framePr w:w="11390" w:h="3701" w:vSpace="629" w:wrap="none" w:hAnchor="page" w:x="625" w:y="366"/>
              <w:spacing w:line="240" w:lineRule="auto"/>
              <w:ind w:firstLine="240"/>
              <w:rPr>
                <w:sz w:val="16"/>
                <w:szCs w:val="16"/>
              </w:rPr>
            </w:pPr>
            <w:r>
              <w:rPr>
                <w:rFonts w:ascii="Times New Roman" w:eastAsia="Times New Roman" w:hAnsi="Times New Roman" w:cs="Times New Roman"/>
                <w:sz w:val="16"/>
                <w:szCs w:val="16"/>
              </w:rPr>
              <w:t>± gentamicina O</w:t>
            </w:r>
          </w:p>
        </w:tc>
        <w:tc>
          <w:tcPr>
            <w:tcW w:w="2918" w:type="dxa"/>
            <w:shd w:val="clear" w:color="auto" w:fill="FFFFFF"/>
            <w:vAlign w:val="bottom"/>
          </w:tcPr>
          <w:p w14:paraId="14261F5C" w14:textId="77777777" w:rsidR="00924992" w:rsidRDefault="00924992">
            <w:pPr>
              <w:pStyle w:val="Other0"/>
              <w:framePr w:w="11390" w:h="3701" w:vSpace="629" w:wrap="none" w:hAnchor="page" w:x="625" w:y="366"/>
              <w:spacing w:line="240" w:lineRule="auto"/>
              <w:ind w:firstLine="0"/>
              <w:rPr>
                <w:sz w:val="16"/>
                <w:szCs w:val="16"/>
              </w:rPr>
            </w:pPr>
            <w:r>
              <w:rPr>
                <w:rFonts w:ascii="Times New Roman" w:eastAsia="Times New Roman" w:hAnsi="Times New Roman" w:cs="Times New Roman"/>
                <w:sz w:val="16"/>
                <w:szCs w:val="16"/>
              </w:rPr>
              <w:t>2 mg/kg</w:t>
            </w:r>
          </w:p>
        </w:tc>
      </w:tr>
      <w:tr w:rsidR="00924992" w14:paraId="434FE502" w14:textId="77777777">
        <w:tblPrEx>
          <w:tblCellMar>
            <w:top w:w="0" w:type="dxa"/>
            <w:bottom w:w="0" w:type="dxa"/>
          </w:tblCellMar>
        </w:tblPrEx>
        <w:trPr>
          <w:trHeight w:hRule="exact" w:val="221"/>
        </w:trPr>
        <w:tc>
          <w:tcPr>
            <w:tcW w:w="2784" w:type="dxa"/>
            <w:shd w:val="clear" w:color="auto" w:fill="FFFFFF"/>
          </w:tcPr>
          <w:p w14:paraId="7894DCE8" w14:textId="77777777" w:rsidR="00924992" w:rsidRDefault="00924992">
            <w:pPr>
              <w:framePr w:w="11390" w:h="3701" w:vSpace="629" w:wrap="none" w:hAnchor="page" w:x="625" w:y="366"/>
              <w:rPr>
                <w:sz w:val="10"/>
                <w:szCs w:val="10"/>
              </w:rPr>
            </w:pPr>
          </w:p>
        </w:tc>
        <w:tc>
          <w:tcPr>
            <w:tcW w:w="2808" w:type="dxa"/>
            <w:shd w:val="clear" w:color="auto" w:fill="FFFFFF"/>
          </w:tcPr>
          <w:p w14:paraId="01EBAA91" w14:textId="77777777" w:rsidR="00924992" w:rsidRDefault="00924992">
            <w:pPr>
              <w:framePr w:w="11390" w:h="3701" w:vSpace="629" w:wrap="none" w:hAnchor="page" w:x="625" w:y="366"/>
              <w:rPr>
                <w:sz w:val="10"/>
                <w:szCs w:val="10"/>
              </w:rPr>
            </w:pPr>
          </w:p>
        </w:tc>
        <w:tc>
          <w:tcPr>
            <w:tcW w:w="2880" w:type="dxa"/>
            <w:shd w:val="clear" w:color="auto" w:fill="FFFFFF"/>
            <w:vAlign w:val="bottom"/>
          </w:tcPr>
          <w:p w14:paraId="48FB40EF" w14:textId="77777777" w:rsidR="00924992" w:rsidRDefault="00924992">
            <w:pPr>
              <w:pStyle w:val="Other0"/>
              <w:framePr w:w="11390" w:h="3701" w:vSpace="629" w:wrap="none" w:hAnchor="page" w:x="625" w:y="366"/>
              <w:spacing w:line="240" w:lineRule="auto"/>
              <w:ind w:firstLine="240"/>
              <w:rPr>
                <w:sz w:val="16"/>
                <w:szCs w:val="16"/>
              </w:rPr>
            </w:pPr>
            <w:r>
              <w:rPr>
                <w:rFonts w:ascii="Times New Roman" w:eastAsia="Times New Roman" w:hAnsi="Times New Roman" w:cs="Times New Roman"/>
                <w:sz w:val="16"/>
                <w:szCs w:val="16"/>
              </w:rPr>
              <w:t>gentamicina Y ADEMAS</w:t>
            </w:r>
          </w:p>
        </w:tc>
        <w:tc>
          <w:tcPr>
            <w:tcW w:w="2918" w:type="dxa"/>
            <w:shd w:val="clear" w:color="auto" w:fill="FFFFFF"/>
            <w:vAlign w:val="bottom"/>
          </w:tcPr>
          <w:p w14:paraId="69F6FCDF" w14:textId="77777777" w:rsidR="00924992" w:rsidRDefault="00924992">
            <w:pPr>
              <w:pStyle w:val="Other0"/>
              <w:framePr w:w="11390" w:h="3701" w:vSpace="629" w:wrap="none" w:hAnchor="page" w:x="625" w:y="366"/>
              <w:spacing w:line="240" w:lineRule="auto"/>
              <w:ind w:firstLine="0"/>
              <w:rPr>
                <w:sz w:val="16"/>
                <w:szCs w:val="16"/>
              </w:rPr>
            </w:pPr>
            <w:r>
              <w:rPr>
                <w:rFonts w:ascii="Times New Roman" w:eastAsia="Times New Roman" w:hAnsi="Times New Roman" w:cs="Times New Roman"/>
                <w:sz w:val="16"/>
                <w:szCs w:val="16"/>
              </w:rPr>
              <w:t>2 mg/kg</w:t>
            </w:r>
          </w:p>
        </w:tc>
      </w:tr>
      <w:tr w:rsidR="00924992" w14:paraId="09CD8871" w14:textId="77777777">
        <w:tblPrEx>
          <w:tblCellMar>
            <w:top w:w="0" w:type="dxa"/>
            <w:bottom w:w="0" w:type="dxa"/>
          </w:tblCellMar>
        </w:tblPrEx>
        <w:trPr>
          <w:trHeight w:hRule="exact" w:val="202"/>
        </w:trPr>
        <w:tc>
          <w:tcPr>
            <w:tcW w:w="2784" w:type="dxa"/>
            <w:shd w:val="clear" w:color="auto" w:fill="FFFFFF"/>
          </w:tcPr>
          <w:p w14:paraId="6B114A14" w14:textId="77777777" w:rsidR="00924992" w:rsidRDefault="00924992">
            <w:pPr>
              <w:framePr w:w="11390" w:h="3701" w:vSpace="629" w:wrap="none" w:hAnchor="page" w:x="625" w:y="366"/>
              <w:rPr>
                <w:sz w:val="10"/>
                <w:szCs w:val="10"/>
              </w:rPr>
            </w:pPr>
          </w:p>
        </w:tc>
        <w:tc>
          <w:tcPr>
            <w:tcW w:w="2808" w:type="dxa"/>
            <w:shd w:val="clear" w:color="auto" w:fill="FFFFFF"/>
          </w:tcPr>
          <w:p w14:paraId="1153BEA1" w14:textId="77777777" w:rsidR="00924992" w:rsidRDefault="00924992">
            <w:pPr>
              <w:framePr w:w="11390" w:h="3701" w:vSpace="629" w:wrap="none" w:hAnchor="page" w:x="625" w:y="366"/>
              <w:rPr>
                <w:sz w:val="10"/>
                <w:szCs w:val="10"/>
              </w:rPr>
            </w:pPr>
          </w:p>
        </w:tc>
        <w:tc>
          <w:tcPr>
            <w:tcW w:w="2880" w:type="dxa"/>
            <w:shd w:val="clear" w:color="auto" w:fill="FFFFFF"/>
            <w:vAlign w:val="bottom"/>
          </w:tcPr>
          <w:p w14:paraId="54C4E68D" w14:textId="77777777" w:rsidR="00924992" w:rsidRDefault="00924992">
            <w:pPr>
              <w:pStyle w:val="Other0"/>
              <w:framePr w:w="11390" w:h="3701" w:vSpace="629" w:wrap="none" w:hAnchor="page" w:x="625" w:y="366"/>
              <w:spacing w:line="240" w:lineRule="auto"/>
              <w:ind w:firstLine="240"/>
              <w:rPr>
                <w:sz w:val="16"/>
                <w:szCs w:val="16"/>
              </w:rPr>
            </w:pPr>
            <w:r>
              <w:rPr>
                <w:rFonts w:ascii="Times New Roman" w:eastAsia="Times New Roman" w:hAnsi="Times New Roman" w:cs="Times New Roman"/>
                <w:sz w:val="16"/>
                <w:szCs w:val="16"/>
              </w:rPr>
              <w:t>clindamicina</w:t>
            </w:r>
          </w:p>
        </w:tc>
        <w:tc>
          <w:tcPr>
            <w:tcW w:w="2918" w:type="dxa"/>
            <w:shd w:val="clear" w:color="auto" w:fill="FFFFFF"/>
            <w:vAlign w:val="bottom"/>
          </w:tcPr>
          <w:p w14:paraId="20CD94AE" w14:textId="77777777" w:rsidR="00924992" w:rsidRDefault="00924992">
            <w:pPr>
              <w:pStyle w:val="Other0"/>
              <w:framePr w:w="11390" w:h="3701" w:vSpace="629" w:wrap="none" w:hAnchor="page" w:x="625" w:y="366"/>
              <w:spacing w:line="240" w:lineRule="auto"/>
              <w:ind w:firstLine="0"/>
              <w:rPr>
                <w:sz w:val="16"/>
                <w:szCs w:val="16"/>
              </w:rPr>
            </w:pPr>
            <w:r>
              <w:rPr>
                <w:rFonts w:ascii="Times New Roman" w:eastAsia="Times New Roman" w:hAnsi="Times New Roman" w:cs="Times New Roman"/>
                <w:sz w:val="16"/>
                <w:szCs w:val="16"/>
              </w:rPr>
              <w:t>10 mg/kg</w:t>
            </w:r>
          </w:p>
        </w:tc>
      </w:tr>
      <w:tr w:rsidR="00924992" w14:paraId="5A22C2BF" w14:textId="77777777">
        <w:tblPrEx>
          <w:tblCellMar>
            <w:top w:w="0" w:type="dxa"/>
            <w:bottom w:w="0" w:type="dxa"/>
          </w:tblCellMar>
        </w:tblPrEx>
        <w:trPr>
          <w:trHeight w:hRule="exact" w:val="230"/>
        </w:trPr>
        <w:tc>
          <w:tcPr>
            <w:tcW w:w="2784" w:type="dxa"/>
            <w:shd w:val="clear" w:color="auto" w:fill="FFFFFF"/>
            <w:vAlign w:val="bottom"/>
          </w:tcPr>
          <w:p w14:paraId="2CF8177E" w14:textId="77777777" w:rsidR="00924992" w:rsidRDefault="00924992">
            <w:pPr>
              <w:pStyle w:val="Other0"/>
              <w:framePr w:w="11390" w:h="3701" w:vSpace="629" w:wrap="none" w:hAnchor="page" w:x="625" w:y="366"/>
              <w:spacing w:line="240" w:lineRule="auto"/>
              <w:ind w:firstLine="0"/>
              <w:rPr>
                <w:sz w:val="16"/>
                <w:szCs w:val="16"/>
              </w:rPr>
            </w:pPr>
            <w:r>
              <w:rPr>
                <w:rFonts w:ascii="Times New Roman" w:eastAsia="Times New Roman" w:hAnsi="Times New Roman" w:cs="Times New Roman"/>
                <w:sz w:val="16"/>
                <w:szCs w:val="16"/>
              </w:rPr>
              <w:t>Heridas traumáticas (diferentes</w:t>
            </w:r>
          </w:p>
        </w:tc>
        <w:tc>
          <w:tcPr>
            <w:tcW w:w="2808" w:type="dxa"/>
            <w:shd w:val="clear" w:color="auto" w:fill="FFFFFF"/>
            <w:vAlign w:val="bottom"/>
          </w:tcPr>
          <w:p w14:paraId="44A9F857" w14:textId="77777777" w:rsidR="00924992" w:rsidRDefault="00924992">
            <w:pPr>
              <w:pStyle w:val="Other0"/>
              <w:framePr w:w="11390" w:h="3701" w:vSpace="629" w:wrap="none" w:hAnchor="page" w:x="625" w:y="366"/>
              <w:spacing w:line="240" w:lineRule="auto"/>
              <w:ind w:firstLine="0"/>
              <w:rPr>
                <w:sz w:val="16"/>
                <w:szCs w:val="16"/>
              </w:rPr>
            </w:pPr>
            <w:r>
              <w:rPr>
                <w:rFonts w:ascii="Times New Roman" w:eastAsia="Times New Roman" w:hAnsi="Times New Roman" w:cs="Times New Roman"/>
                <w:i/>
                <w:iCs/>
                <w:sz w:val="16"/>
                <w:szCs w:val="16"/>
              </w:rPr>
              <w:t>S. aureus</w:t>
            </w:r>
            <w:r>
              <w:rPr>
                <w:rFonts w:ascii="Times New Roman" w:eastAsia="Times New Roman" w:hAnsi="Times New Roman" w:cs="Times New Roman"/>
                <w:sz w:val="16"/>
                <w:szCs w:val="16"/>
              </w:rPr>
              <w:t>, estreptococos del grupo A,</w:t>
            </w:r>
          </w:p>
        </w:tc>
        <w:tc>
          <w:tcPr>
            <w:tcW w:w="2880" w:type="dxa"/>
            <w:shd w:val="clear" w:color="auto" w:fill="FFFFFF"/>
            <w:vAlign w:val="bottom"/>
          </w:tcPr>
          <w:p w14:paraId="47A90AF4" w14:textId="77777777" w:rsidR="00924992" w:rsidRDefault="00924992">
            <w:pPr>
              <w:pStyle w:val="Other0"/>
              <w:framePr w:w="11390" w:h="3701" w:vSpace="629" w:wrap="none" w:hAnchor="page" w:x="625" w:y="366"/>
              <w:spacing w:line="240" w:lineRule="auto"/>
              <w:ind w:firstLine="0"/>
              <w:rPr>
                <w:sz w:val="16"/>
                <w:szCs w:val="16"/>
              </w:rPr>
            </w:pPr>
            <w:r>
              <w:rPr>
                <w:rFonts w:ascii="Times New Roman" w:eastAsia="Times New Roman" w:hAnsi="Times New Roman" w:cs="Times New Roman"/>
                <w:sz w:val="16"/>
                <w:szCs w:val="16"/>
              </w:rPr>
              <w:t>Cefazolina</w:t>
            </w:r>
          </w:p>
        </w:tc>
        <w:tc>
          <w:tcPr>
            <w:tcW w:w="2918" w:type="dxa"/>
            <w:shd w:val="clear" w:color="auto" w:fill="FFFFFF"/>
            <w:vAlign w:val="bottom"/>
          </w:tcPr>
          <w:p w14:paraId="3B161B51" w14:textId="77777777" w:rsidR="00924992" w:rsidRDefault="00924992">
            <w:pPr>
              <w:pStyle w:val="Other0"/>
              <w:framePr w:w="11390" w:h="3701" w:vSpace="629" w:wrap="none" w:hAnchor="page" w:x="625" w:y="366"/>
              <w:spacing w:line="240" w:lineRule="auto"/>
              <w:ind w:firstLine="0"/>
              <w:rPr>
                <w:sz w:val="16"/>
                <w:szCs w:val="16"/>
              </w:rPr>
            </w:pPr>
            <w:r>
              <w:rPr>
                <w:rFonts w:ascii="Times New Roman" w:eastAsia="Times New Roman" w:hAnsi="Times New Roman" w:cs="Times New Roman"/>
                <w:sz w:val="16"/>
                <w:szCs w:val="16"/>
              </w:rPr>
              <w:t>25 mg/kg</w:t>
            </w:r>
          </w:p>
        </w:tc>
      </w:tr>
      <w:tr w:rsidR="00924992" w14:paraId="10844724" w14:textId="77777777">
        <w:tblPrEx>
          <w:tblCellMar>
            <w:top w:w="0" w:type="dxa"/>
            <w:bottom w:w="0" w:type="dxa"/>
          </w:tblCellMar>
        </w:tblPrEx>
        <w:trPr>
          <w:trHeight w:hRule="exact" w:val="312"/>
        </w:trPr>
        <w:tc>
          <w:tcPr>
            <w:tcW w:w="2784" w:type="dxa"/>
            <w:tcBorders>
              <w:bottom w:val="single" w:sz="4" w:space="0" w:color="auto"/>
            </w:tcBorders>
            <w:shd w:val="clear" w:color="auto" w:fill="FFFFFF"/>
          </w:tcPr>
          <w:p w14:paraId="02960ECE" w14:textId="77777777" w:rsidR="00924992" w:rsidRDefault="00924992">
            <w:pPr>
              <w:pStyle w:val="Other0"/>
              <w:framePr w:w="11390" w:h="3701" w:vSpace="629" w:wrap="none" w:hAnchor="page" w:x="625" w:y="366"/>
              <w:spacing w:line="240" w:lineRule="auto"/>
              <w:ind w:firstLine="0"/>
              <w:rPr>
                <w:sz w:val="16"/>
                <w:szCs w:val="16"/>
              </w:rPr>
            </w:pPr>
            <w:r>
              <w:rPr>
                <w:rFonts w:ascii="Times New Roman" w:eastAsia="Times New Roman" w:hAnsi="Times New Roman" w:cs="Times New Roman"/>
                <w:sz w:val="16"/>
                <w:szCs w:val="16"/>
              </w:rPr>
              <w:t>de las mordeduras)</w:t>
            </w:r>
          </w:p>
        </w:tc>
        <w:tc>
          <w:tcPr>
            <w:tcW w:w="2808" w:type="dxa"/>
            <w:tcBorders>
              <w:bottom w:val="single" w:sz="4" w:space="0" w:color="auto"/>
            </w:tcBorders>
            <w:shd w:val="clear" w:color="auto" w:fill="FFFFFF"/>
          </w:tcPr>
          <w:p w14:paraId="51C29A26" w14:textId="77777777" w:rsidR="00924992" w:rsidRDefault="00924992">
            <w:pPr>
              <w:pStyle w:val="Other0"/>
              <w:framePr w:w="11390" w:h="3701" w:vSpace="629" w:wrap="none" w:hAnchor="page" w:x="625" w:y="366"/>
              <w:spacing w:line="240" w:lineRule="auto"/>
              <w:ind w:firstLine="240"/>
              <w:rPr>
                <w:sz w:val="16"/>
                <w:szCs w:val="16"/>
              </w:rPr>
            </w:pPr>
            <w:r>
              <w:rPr>
                <w:rFonts w:ascii="Times New Roman" w:eastAsia="Times New Roman" w:hAnsi="Times New Roman" w:cs="Times New Roman"/>
                <w:sz w:val="16"/>
                <w:szCs w:val="16"/>
              </w:rPr>
              <w:t xml:space="preserve">especies de </w:t>
            </w:r>
            <w:r>
              <w:rPr>
                <w:rFonts w:ascii="Times New Roman" w:eastAsia="Times New Roman" w:hAnsi="Times New Roman" w:cs="Times New Roman"/>
                <w:i/>
                <w:iCs/>
                <w:sz w:val="16"/>
                <w:szCs w:val="16"/>
              </w:rPr>
              <w:t>Clostridium</w:t>
            </w:r>
          </w:p>
        </w:tc>
        <w:tc>
          <w:tcPr>
            <w:tcW w:w="2880" w:type="dxa"/>
            <w:tcBorders>
              <w:bottom w:val="single" w:sz="4" w:space="0" w:color="auto"/>
            </w:tcBorders>
            <w:shd w:val="clear" w:color="auto" w:fill="FFFFFF"/>
          </w:tcPr>
          <w:p w14:paraId="31A08F2E" w14:textId="77777777" w:rsidR="00924992" w:rsidRDefault="00924992">
            <w:pPr>
              <w:framePr w:w="11390" w:h="3701" w:vSpace="629" w:wrap="none" w:hAnchor="page" w:x="625" w:y="366"/>
              <w:rPr>
                <w:sz w:val="10"/>
                <w:szCs w:val="10"/>
              </w:rPr>
            </w:pPr>
          </w:p>
        </w:tc>
        <w:tc>
          <w:tcPr>
            <w:tcW w:w="2918" w:type="dxa"/>
            <w:tcBorders>
              <w:bottom w:val="single" w:sz="4" w:space="0" w:color="auto"/>
            </w:tcBorders>
            <w:shd w:val="clear" w:color="auto" w:fill="FFFFFF"/>
          </w:tcPr>
          <w:p w14:paraId="77A1AD5A" w14:textId="77777777" w:rsidR="00924992" w:rsidRDefault="00924992">
            <w:pPr>
              <w:framePr w:w="11390" w:h="3701" w:vSpace="629" w:wrap="none" w:hAnchor="page" w:x="625" w:y="366"/>
              <w:rPr>
                <w:sz w:val="10"/>
                <w:szCs w:val="10"/>
              </w:rPr>
            </w:pPr>
          </w:p>
        </w:tc>
      </w:tr>
    </w:tbl>
    <w:p w14:paraId="3DA9E3DB" w14:textId="77777777" w:rsidR="00924992" w:rsidRDefault="00924992">
      <w:pPr>
        <w:framePr w:w="11390" w:h="3701" w:vSpace="629" w:wrap="none" w:hAnchor="page" w:x="625" w:y="366"/>
        <w:spacing w:line="1" w:lineRule="exact"/>
      </w:pPr>
    </w:p>
    <w:p w14:paraId="39970FBE" w14:textId="77777777" w:rsidR="00924992" w:rsidRDefault="00924992">
      <w:pPr>
        <w:pStyle w:val="Tablecaption0"/>
        <w:framePr w:w="6043" w:h="571" w:wrap="none" w:hAnchor="page" w:x="678" w:y="4124"/>
        <w:spacing w:line="240" w:lineRule="auto"/>
        <w:ind w:left="0" w:firstLine="180"/>
      </w:pPr>
      <w:r>
        <w:t xml:space="preserve">MRSA, </w:t>
      </w:r>
      <w:r>
        <w:rPr>
          <w:i/>
          <w:iCs/>
        </w:rPr>
        <w:t>Staphylococcus aureus</w:t>
      </w:r>
      <w:r>
        <w:t xml:space="preserve"> resistente a meticilina </w:t>
      </w:r>
      <w:r>
        <w:rPr>
          <w:i/>
          <w:iCs/>
        </w:rPr>
        <w:t>(methicillin-resistant Staphylococcus aureus).</w:t>
      </w:r>
    </w:p>
    <w:p w14:paraId="7343B4ED" w14:textId="77777777" w:rsidR="00924992" w:rsidRDefault="00924992">
      <w:pPr>
        <w:pStyle w:val="Tablecaption0"/>
        <w:framePr w:w="6043" w:h="571" w:wrap="none" w:hAnchor="page" w:x="678" w:y="4124"/>
        <w:numPr>
          <w:ilvl w:val="0"/>
          <w:numId w:val="145"/>
        </w:numPr>
        <w:tabs>
          <w:tab w:val="left" w:pos="163"/>
        </w:tabs>
        <w:spacing w:line="240" w:lineRule="auto"/>
        <w:ind w:left="0"/>
      </w:pPr>
      <w:r>
        <w:t xml:space="preserve">Profilaxia con antimicrobianos en cirugía. </w:t>
      </w:r>
      <w:r>
        <w:rPr>
          <w:i/>
          <w:iCs/>
        </w:rPr>
        <w:t>Med Lett Drugs Ther.</w:t>
      </w:r>
      <w:r>
        <w:t xml:space="preserve"> 1999;41:75-79.</w:t>
      </w:r>
    </w:p>
    <w:p w14:paraId="0780DE30" w14:textId="77777777" w:rsidR="00924992" w:rsidRDefault="00924992">
      <w:pPr>
        <w:pStyle w:val="Tablecaption0"/>
        <w:framePr w:w="6043" w:h="571" w:wrap="none" w:hAnchor="page" w:x="678" w:y="4124"/>
        <w:numPr>
          <w:ilvl w:val="0"/>
          <w:numId w:val="145"/>
        </w:numPr>
        <w:tabs>
          <w:tab w:val="left" w:pos="168"/>
        </w:tabs>
        <w:spacing w:line="240" w:lineRule="auto"/>
        <w:ind w:left="0"/>
      </w:pPr>
      <w:r>
        <w:t>No se han definido en niños la inocuidad y la eficacia del cefotetán.</w:t>
      </w:r>
    </w:p>
    <w:p w14:paraId="75D8951A" w14:textId="77777777" w:rsidR="00924992" w:rsidRDefault="00924992">
      <w:pPr>
        <w:pStyle w:val="Bodytext80"/>
        <w:framePr w:w="192" w:h="4776" w:hRule="exact" w:wrap="none" w:hAnchor="page" w:x="12390" w:y="2118"/>
        <w:tabs>
          <w:tab w:val="left" w:pos="4459"/>
        </w:tabs>
        <w:textDirection w:val="tbRl"/>
        <w:rPr>
          <w:sz w:val="16"/>
          <w:szCs w:val="16"/>
        </w:rPr>
      </w:pPr>
      <w:r>
        <w:t>PREVENCIÓN DE OFTALMÍA NEONATAL</w:t>
      </w:r>
      <w:r>
        <w:tab/>
      </w:r>
      <w:r>
        <w:rPr>
          <w:sz w:val="16"/>
          <w:szCs w:val="16"/>
        </w:rPr>
        <w:t>817</w:t>
      </w:r>
    </w:p>
    <w:p w14:paraId="10DCF318" w14:textId="77777777" w:rsidR="00924992" w:rsidRDefault="00924992">
      <w:pPr>
        <w:spacing w:line="360" w:lineRule="exact"/>
      </w:pPr>
    </w:p>
    <w:p w14:paraId="0766A1E2" w14:textId="77777777" w:rsidR="00924992" w:rsidRDefault="00924992">
      <w:pPr>
        <w:spacing w:line="360" w:lineRule="exact"/>
      </w:pPr>
    </w:p>
    <w:p w14:paraId="075D1D7E" w14:textId="77777777" w:rsidR="00924992" w:rsidRDefault="00924992">
      <w:pPr>
        <w:spacing w:line="360" w:lineRule="exact"/>
      </w:pPr>
    </w:p>
    <w:p w14:paraId="1A411BB4" w14:textId="77777777" w:rsidR="00924992" w:rsidRDefault="00924992">
      <w:pPr>
        <w:spacing w:line="360" w:lineRule="exact"/>
      </w:pPr>
    </w:p>
    <w:p w14:paraId="4ED09351" w14:textId="77777777" w:rsidR="00924992" w:rsidRDefault="00924992">
      <w:pPr>
        <w:spacing w:line="360" w:lineRule="exact"/>
      </w:pPr>
    </w:p>
    <w:p w14:paraId="32B07CD8" w14:textId="77777777" w:rsidR="00924992" w:rsidRDefault="00924992">
      <w:pPr>
        <w:spacing w:line="360" w:lineRule="exact"/>
      </w:pPr>
    </w:p>
    <w:p w14:paraId="37B22BF5" w14:textId="77777777" w:rsidR="00924992" w:rsidRDefault="00924992">
      <w:pPr>
        <w:spacing w:line="360" w:lineRule="exact"/>
      </w:pPr>
    </w:p>
    <w:p w14:paraId="494D2667" w14:textId="77777777" w:rsidR="00924992" w:rsidRDefault="00924992">
      <w:pPr>
        <w:spacing w:line="360" w:lineRule="exact"/>
      </w:pPr>
    </w:p>
    <w:p w14:paraId="2FC71370" w14:textId="77777777" w:rsidR="00924992" w:rsidRDefault="00924992">
      <w:pPr>
        <w:spacing w:line="360" w:lineRule="exact"/>
      </w:pPr>
    </w:p>
    <w:p w14:paraId="03417740" w14:textId="77777777" w:rsidR="00924992" w:rsidRDefault="00924992">
      <w:pPr>
        <w:spacing w:line="360" w:lineRule="exact"/>
      </w:pPr>
    </w:p>
    <w:p w14:paraId="01887146" w14:textId="77777777" w:rsidR="00924992" w:rsidRDefault="00924992">
      <w:pPr>
        <w:spacing w:line="360" w:lineRule="exact"/>
      </w:pPr>
    </w:p>
    <w:p w14:paraId="6A6E458C" w14:textId="77777777" w:rsidR="00924992" w:rsidRDefault="00924992">
      <w:pPr>
        <w:spacing w:line="360" w:lineRule="exact"/>
      </w:pPr>
    </w:p>
    <w:p w14:paraId="236F08C3" w14:textId="77777777" w:rsidR="00924992" w:rsidRDefault="00924992">
      <w:pPr>
        <w:spacing w:line="360" w:lineRule="exact"/>
      </w:pPr>
    </w:p>
    <w:p w14:paraId="75AFDFB4" w14:textId="77777777" w:rsidR="00924992" w:rsidRDefault="00924992">
      <w:pPr>
        <w:spacing w:line="360" w:lineRule="exact"/>
      </w:pPr>
    </w:p>
    <w:p w14:paraId="7725E570" w14:textId="77777777" w:rsidR="00924992" w:rsidRDefault="00924992">
      <w:pPr>
        <w:spacing w:line="360" w:lineRule="exact"/>
      </w:pPr>
    </w:p>
    <w:p w14:paraId="03DFED02" w14:textId="77777777" w:rsidR="00924992" w:rsidRDefault="00924992">
      <w:pPr>
        <w:spacing w:line="360" w:lineRule="exact"/>
      </w:pPr>
    </w:p>
    <w:p w14:paraId="409407D2" w14:textId="77777777" w:rsidR="00924992" w:rsidRDefault="00924992">
      <w:pPr>
        <w:spacing w:line="360" w:lineRule="exact"/>
      </w:pPr>
    </w:p>
    <w:p w14:paraId="09FCCF92" w14:textId="77777777" w:rsidR="00924992" w:rsidRDefault="00924992">
      <w:pPr>
        <w:spacing w:line="360" w:lineRule="exact"/>
      </w:pPr>
    </w:p>
    <w:p w14:paraId="42B3C411" w14:textId="77777777" w:rsidR="00924992" w:rsidRDefault="00924992">
      <w:pPr>
        <w:spacing w:after="412" w:line="1" w:lineRule="exact"/>
      </w:pPr>
    </w:p>
    <w:p w14:paraId="0575AA94" w14:textId="77777777" w:rsidR="00924992" w:rsidRDefault="00924992">
      <w:pPr>
        <w:spacing w:line="1" w:lineRule="exact"/>
        <w:sectPr w:rsidR="00924992" w:rsidSect="00924992">
          <w:footnotePr>
            <w:numFmt w:val="chicago"/>
          </w:footnotePr>
          <w:pgSz w:w="13022" w:h="8501" w:orient="landscape"/>
          <w:pgMar w:top="1104" w:right="442" w:bottom="304" w:left="624" w:header="676" w:footer="3" w:gutter="0"/>
          <w:cols w:space="720"/>
          <w:noEndnote/>
          <w:docGrid w:linePitch="360"/>
          <w15:footnoteColumns w:val="1"/>
        </w:sectPr>
      </w:pPr>
    </w:p>
    <w:p w14:paraId="0E1DA08C" w14:textId="77777777" w:rsidR="00924992" w:rsidRDefault="00924992">
      <w:pPr>
        <w:pStyle w:val="Heading31"/>
        <w:keepNext/>
        <w:keepLines/>
        <w:framePr w:w="7310" w:h="317" w:wrap="none" w:hAnchor="page" w:x="2670" w:y="1"/>
      </w:pPr>
      <w:bookmarkStart w:id="751" w:name="bookmark2151"/>
      <w:bookmarkStart w:id="752" w:name="bookmark2152"/>
      <w:bookmarkStart w:id="753" w:name="bookmark2153"/>
      <w:r>
        <w:rPr>
          <w:b w:val="0"/>
          <w:bCs w:val="0"/>
        </w:rPr>
        <w:t xml:space="preserve">Cuadro 5-2. </w:t>
      </w:r>
      <w:r>
        <w:t>Trastornos y métodos en corazón que se acompañan de endocarditis</w:t>
      </w:r>
      <w:bookmarkEnd w:id="751"/>
      <w:bookmarkEnd w:id="752"/>
      <w:bookmarkEnd w:id="753"/>
    </w:p>
    <w:p w14:paraId="21A4D7DA" w14:textId="77777777" w:rsidR="00924992" w:rsidRDefault="00924992">
      <w:pPr>
        <w:pStyle w:val="Heading41"/>
        <w:keepNext/>
        <w:keepLines/>
        <w:framePr w:w="2458" w:h="298" w:wrap="none" w:hAnchor="page" w:x="5079" w:y="342"/>
        <w:pBdr>
          <w:top w:val="single" w:sz="0" w:space="0" w:color="231F20"/>
          <w:left w:val="single" w:sz="0" w:space="0" w:color="231F20"/>
          <w:bottom w:val="single" w:sz="0" w:space="0" w:color="231F20"/>
          <w:right w:val="single" w:sz="0" w:space="0" w:color="231F20"/>
        </w:pBdr>
        <w:shd w:val="clear" w:color="auto" w:fill="231F20"/>
        <w:jc w:val="center"/>
      </w:pPr>
      <w:bookmarkStart w:id="754" w:name="bookmark2154"/>
      <w:bookmarkStart w:id="755" w:name="bookmark2155"/>
      <w:bookmarkStart w:id="756" w:name="bookmark2156"/>
      <w:r>
        <w:rPr>
          <w:color w:val="FFFFFF"/>
        </w:rPr>
        <w:t>Profilaxia contra endocarditis</w:t>
      </w:r>
      <w:bookmarkEnd w:id="754"/>
      <w:bookmarkEnd w:id="755"/>
      <w:bookmarkEnd w:id="756"/>
    </w:p>
    <w:p w14:paraId="4BF99A7D" w14:textId="77777777" w:rsidR="00924992" w:rsidRDefault="00924992">
      <w:pPr>
        <w:pStyle w:val="Bodytext20"/>
        <w:framePr w:w="1080" w:h="230" w:wrap="none" w:hAnchor="page" w:x="3169" w:y="707"/>
        <w:pBdr>
          <w:bottom w:val="single" w:sz="4" w:space="0" w:color="auto"/>
        </w:pBdr>
        <w:spacing w:line="240" w:lineRule="auto"/>
        <w:rPr>
          <w:sz w:val="17"/>
          <w:szCs w:val="17"/>
        </w:rPr>
      </w:pPr>
      <w:r>
        <w:rPr>
          <w:b/>
          <w:bCs/>
          <w:i/>
          <w:iCs/>
          <w:sz w:val="17"/>
          <w:szCs w:val="17"/>
        </w:rPr>
        <w:t>Recomendada</w:t>
      </w:r>
    </w:p>
    <w:p w14:paraId="41A89483" w14:textId="77777777" w:rsidR="00924992" w:rsidRDefault="00924992">
      <w:pPr>
        <w:pStyle w:val="Bodytext20"/>
        <w:framePr w:w="1296" w:h="230" w:wrap="none" w:hAnchor="page" w:x="9183" w:y="707"/>
        <w:pBdr>
          <w:bottom w:val="single" w:sz="4" w:space="0" w:color="auto"/>
        </w:pBdr>
        <w:spacing w:line="240" w:lineRule="auto"/>
        <w:jc w:val="right"/>
        <w:rPr>
          <w:sz w:val="17"/>
          <w:szCs w:val="17"/>
        </w:rPr>
      </w:pPr>
      <w:r>
        <w:rPr>
          <w:b/>
          <w:bCs/>
          <w:i/>
          <w:iCs/>
          <w:sz w:val="17"/>
          <w:szCs w:val="17"/>
        </w:rPr>
        <w:t>No recomendada</w:t>
      </w:r>
    </w:p>
    <w:p w14:paraId="7B563D07" w14:textId="77777777" w:rsidR="00924992" w:rsidRDefault="00924992">
      <w:pPr>
        <w:pStyle w:val="Bodytext20"/>
        <w:framePr w:w="3360" w:h="1982" w:wrap="none" w:hAnchor="page" w:x="659" w:y="1143"/>
        <w:spacing w:line="269" w:lineRule="auto"/>
        <w:rPr>
          <w:sz w:val="17"/>
          <w:szCs w:val="17"/>
        </w:rPr>
      </w:pPr>
      <w:r>
        <w:rPr>
          <w:b/>
          <w:bCs/>
          <w:i/>
          <w:iCs/>
          <w:sz w:val="17"/>
          <w:szCs w:val="17"/>
        </w:rPr>
        <w:t>ALTO RIESGO</w:t>
      </w:r>
    </w:p>
    <w:p w14:paraId="367034C6" w14:textId="77777777" w:rsidR="00924992" w:rsidRDefault="00924992">
      <w:pPr>
        <w:pStyle w:val="Bodytext20"/>
        <w:framePr w:w="3360" w:h="1982" w:wrap="none" w:hAnchor="page" w:x="659" w:y="1143"/>
        <w:ind w:left="140" w:hanging="140"/>
      </w:pPr>
      <w:r>
        <w:t>Prótesis valvulares del corazón incluidas las bioprótesis y homoinjertos</w:t>
      </w:r>
    </w:p>
    <w:p w14:paraId="09A553E5" w14:textId="77777777" w:rsidR="00924992" w:rsidRDefault="00924992">
      <w:pPr>
        <w:pStyle w:val="Bodytext20"/>
        <w:framePr w:w="3360" w:h="1982" w:wrap="none" w:hAnchor="page" w:x="659" w:y="1143"/>
        <w:ind w:left="140" w:hanging="140"/>
      </w:pPr>
      <w:r>
        <w:t>Endocarditis bacteriana previa</w:t>
      </w:r>
    </w:p>
    <w:p w14:paraId="26902201" w14:textId="77777777" w:rsidR="00924992" w:rsidRDefault="00924992">
      <w:pPr>
        <w:pStyle w:val="Bodytext20"/>
        <w:framePr w:w="3360" w:h="1982" w:wrap="none" w:hAnchor="page" w:x="659" w:y="1143"/>
        <w:ind w:left="140" w:hanging="140"/>
      </w:pPr>
      <w:r>
        <w:t>Cardiopatia congénita cianótica compleja (ventrículo único, transposición de grandes arterias, tetralogia de Fallot) quirúrgicamente entre la circulación sistémica y la pulmonar</w:t>
      </w:r>
    </w:p>
    <w:p w14:paraId="0275417B" w14:textId="77777777" w:rsidR="00924992" w:rsidRDefault="00924992">
      <w:pPr>
        <w:pStyle w:val="Bodytext20"/>
        <w:framePr w:w="3446" w:h="1982" w:wrap="none" w:hAnchor="page" w:x="4302" w:y="1143"/>
        <w:spacing w:line="269" w:lineRule="auto"/>
        <w:rPr>
          <w:sz w:val="17"/>
          <w:szCs w:val="17"/>
        </w:rPr>
      </w:pPr>
      <w:r>
        <w:rPr>
          <w:b/>
          <w:bCs/>
          <w:i/>
          <w:iCs/>
          <w:sz w:val="17"/>
          <w:szCs w:val="17"/>
        </w:rPr>
        <w:t>RIESGO MODERADO</w:t>
      </w:r>
    </w:p>
    <w:p w14:paraId="675DB93D" w14:textId="77777777" w:rsidR="00924992" w:rsidRDefault="00924992">
      <w:pPr>
        <w:pStyle w:val="Bodytext20"/>
        <w:framePr w:w="3446" w:h="1982" w:wrap="none" w:hAnchor="page" w:x="4302" w:y="1143"/>
        <w:spacing w:line="286" w:lineRule="auto"/>
      </w:pPr>
      <w:r>
        <w:t>Casi todas las demás malformaciones congénitas del corazón (distintas de las de las categorías de riesgo alto o insignificante)</w:t>
      </w:r>
    </w:p>
    <w:p w14:paraId="119843CA" w14:textId="77777777" w:rsidR="00924992" w:rsidRDefault="00924992">
      <w:pPr>
        <w:pStyle w:val="Bodytext20"/>
        <w:framePr w:w="3446" w:h="1982" w:wrap="none" w:hAnchor="page" w:x="4302" w:y="1143"/>
        <w:spacing w:line="286" w:lineRule="auto"/>
      </w:pPr>
      <w:r>
        <w:t>Disfunción valvular adquirida</w:t>
      </w:r>
    </w:p>
    <w:p w14:paraId="196D52B5" w14:textId="77777777" w:rsidR="00924992" w:rsidRDefault="00924992">
      <w:pPr>
        <w:pStyle w:val="Bodytext20"/>
        <w:framePr w:w="3446" w:h="1982" w:wrap="none" w:hAnchor="page" w:x="4302" w:y="1143"/>
        <w:spacing w:line="286" w:lineRule="auto"/>
      </w:pPr>
      <w:r>
        <w:t>(como la cardiopatía reumática)</w:t>
      </w:r>
    </w:p>
    <w:p w14:paraId="120AB7AF" w14:textId="77777777" w:rsidR="00924992" w:rsidRDefault="00924992">
      <w:pPr>
        <w:pStyle w:val="Bodytext20"/>
        <w:framePr w:w="3446" w:h="1982" w:wrap="none" w:hAnchor="page" w:x="4302" w:y="1143"/>
        <w:spacing w:line="286" w:lineRule="auto"/>
      </w:pPr>
      <w:r>
        <w:t>Miocardiopatía hipertrófica valvular, engrosamiento de valvas o ambos cuadros</w:t>
      </w:r>
      <w:r>
        <w:rPr>
          <w:vertAlign w:val="superscript"/>
        </w:rPr>
        <w:t>2</w:t>
      </w:r>
    </w:p>
    <w:p w14:paraId="40356474" w14:textId="77777777" w:rsidR="00924992" w:rsidRDefault="00924992">
      <w:pPr>
        <w:pStyle w:val="Bodytext20"/>
        <w:framePr w:w="3912" w:h="3518" w:wrap="none" w:hAnchor="page" w:x="7988" w:y="1134"/>
        <w:spacing w:line="266" w:lineRule="auto"/>
      </w:pPr>
      <w:r>
        <w:rPr>
          <w:b/>
          <w:bCs/>
          <w:i/>
          <w:iCs/>
          <w:sz w:val="17"/>
          <w:szCs w:val="17"/>
        </w:rPr>
        <w:t>RIESGO INSIGNIFICANTE</w:t>
      </w:r>
      <w:r>
        <w:rPr>
          <w:b/>
          <w:bCs/>
          <w:i/>
          <w:iCs/>
          <w:vertAlign w:val="superscript"/>
        </w:rPr>
        <w:t>1</w:t>
      </w:r>
    </w:p>
    <w:p w14:paraId="5B5B929A" w14:textId="77777777" w:rsidR="00924992" w:rsidRDefault="00924992">
      <w:pPr>
        <w:pStyle w:val="Bodytext20"/>
        <w:framePr w:w="3912" w:h="3518" w:wrap="none" w:hAnchor="page" w:x="7988" w:y="1134"/>
      </w:pPr>
      <w:r>
        <w:t>Defecto del tabique auricular de tipo secundum aislado Reparación quirúrgica del defecto del tabique interauricular, del tabique interventricular o del conducto arterioso persistente (sin secuelas y después Derivaciones o conductos elaborados</w:t>
      </w:r>
    </w:p>
    <w:p w14:paraId="6313FD54" w14:textId="77777777" w:rsidR="00924992" w:rsidRDefault="00924992">
      <w:pPr>
        <w:pStyle w:val="Bodytext20"/>
        <w:framePr w:w="3912" w:h="3518" w:wrap="none" w:hAnchor="page" w:x="7988" w:y="1134"/>
      </w:pPr>
      <w:r>
        <w:t>Prolapso de válvula mitral con regurgitación de los 6 meses de vida)</w:t>
      </w:r>
    </w:p>
    <w:p w14:paraId="10EA6220" w14:textId="77777777" w:rsidR="00924992" w:rsidRDefault="00924992">
      <w:pPr>
        <w:pStyle w:val="Bodytext20"/>
        <w:framePr w:w="3912" w:h="3518" w:wrap="none" w:hAnchor="page" w:x="7988" w:y="1134"/>
      </w:pPr>
      <w:r>
        <w:t>Una operación previa de colocación de injertos por derivación de arteria coronaria</w:t>
      </w:r>
    </w:p>
    <w:p w14:paraId="0AC31A9A" w14:textId="77777777" w:rsidR="00924992" w:rsidRDefault="00924992">
      <w:pPr>
        <w:pStyle w:val="Bodytext20"/>
        <w:framePr w:w="3912" w:h="3518" w:wrap="none" w:hAnchor="page" w:x="7988" w:y="1134"/>
        <w:pBdr>
          <w:bottom w:val="single" w:sz="4" w:space="0" w:color="auto"/>
        </w:pBdr>
      </w:pPr>
      <w:r>
        <w:t>Prolapso de válvula mitral sin regurgitación valvular</w:t>
      </w:r>
      <w:r>
        <w:rPr>
          <w:vertAlign w:val="superscript"/>
        </w:rPr>
        <w:t xml:space="preserve">2 </w:t>
      </w:r>
      <w:r>
        <w:t xml:space="preserve">Soplos fisiológicos, funcionales o “inocentes” </w:t>
      </w:r>
      <w:r>
        <w:rPr>
          <w:vertAlign w:val="superscript"/>
        </w:rPr>
        <w:t xml:space="preserve">2 </w:t>
      </w:r>
      <w:r>
        <w:t>Síndrome de Kawasaki previo sin disfunción valvular Fiebre reumática previa sin disfunción valvular Marcapasos cardiacos (intravasculares y epicárdicos) y desfibriladores implantados</w:t>
      </w:r>
    </w:p>
    <w:p w14:paraId="79E04987" w14:textId="77777777" w:rsidR="00924992" w:rsidRDefault="00924992">
      <w:pPr>
        <w:pStyle w:val="Bodytext80"/>
        <w:framePr w:w="192" w:h="4790" w:hRule="exact" w:wrap="none" w:hAnchor="page" w:x="12390" w:y="35"/>
        <w:tabs>
          <w:tab w:val="left" w:pos="2088"/>
        </w:tabs>
        <w:textDirection w:val="tbRl"/>
      </w:pPr>
      <w:r>
        <w:rPr>
          <w:sz w:val="16"/>
          <w:szCs w:val="16"/>
        </w:rPr>
        <w:t>818</w:t>
      </w:r>
      <w:r>
        <w:rPr>
          <w:sz w:val="16"/>
          <w:szCs w:val="16"/>
        </w:rPr>
        <w:tab/>
      </w:r>
      <w:r>
        <w:t>PREVENCIÓN DE OFTALMÍA NEONATAL</w:t>
      </w:r>
    </w:p>
    <w:p w14:paraId="2C71BA1A" w14:textId="77777777" w:rsidR="00924992" w:rsidRDefault="00924992">
      <w:pPr>
        <w:pStyle w:val="Bodytext20"/>
        <w:framePr w:w="10570" w:h="590" w:wrap="none" w:hAnchor="page" w:x="673" w:y="4801"/>
        <w:numPr>
          <w:ilvl w:val="0"/>
          <w:numId w:val="146"/>
        </w:numPr>
        <w:tabs>
          <w:tab w:val="left" w:pos="158"/>
        </w:tabs>
        <w:spacing w:line="240" w:lineRule="auto"/>
      </w:pPr>
      <w:bookmarkStart w:id="757" w:name="bookmark2157"/>
      <w:bookmarkEnd w:id="757"/>
      <w:r>
        <w:t>El riesgo no es mayor que el de la población general.</w:t>
      </w:r>
    </w:p>
    <w:p w14:paraId="21FD4D3E" w14:textId="77777777" w:rsidR="00924992" w:rsidRDefault="00924992">
      <w:pPr>
        <w:pStyle w:val="Bodytext20"/>
        <w:framePr w:w="10570" w:h="590" w:wrap="none" w:hAnchor="page" w:x="673" w:y="4801"/>
        <w:numPr>
          <w:ilvl w:val="0"/>
          <w:numId w:val="146"/>
        </w:numPr>
        <w:tabs>
          <w:tab w:val="left" w:pos="173"/>
        </w:tabs>
        <w:spacing w:line="240" w:lineRule="auto"/>
        <w:ind w:left="180" w:hanging="180"/>
      </w:pPr>
      <w:bookmarkStart w:id="758" w:name="bookmark2158"/>
      <w:bookmarkEnd w:id="758"/>
      <w:r>
        <w:t xml:space="preserve">Para mayores detalles véase Dajani AS, Taubert KA, Wilson W, et al. Prevention of bacterial endocarditis. Recommendations by the American Heart Association. </w:t>
      </w:r>
      <w:r>
        <w:rPr>
          <w:i/>
          <w:iCs/>
        </w:rPr>
        <w:t>JAMA.</w:t>
      </w:r>
      <w:r>
        <w:t xml:space="preserve"> 1997;277:1794-1801.</w:t>
      </w:r>
    </w:p>
    <w:p w14:paraId="0D88F62E" w14:textId="77777777" w:rsidR="00924992" w:rsidRDefault="00924992">
      <w:pPr>
        <w:spacing w:line="360" w:lineRule="exact"/>
      </w:pPr>
    </w:p>
    <w:p w14:paraId="5A58EE18" w14:textId="77777777" w:rsidR="00924992" w:rsidRDefault="00924992">
      <w:pPr>
        <w:spacing w:line="360" w:lineRule="exact"/>
      </w:pPr>
    </w:p>
    <w:p w14:paraId="20B2EF14" w14:textId="77777777" w:rsidR="00924992" w:rsidRDefault="00924992">
      <w:pPr>
        <w:spacing w:line="360" w:lineRule="exact"/>
      </w:pPr>
    </w:p>
    <w:p w14:paraId="0B8A9C60" w14:textId="77777777" w:rsidR="00924992" w:rsidRDefault="00924992">
      <w:pPr>
        <w:spacing w:line="360" w:lineRule="exact"/>
      </w:pPr>
    </w:p>
    <w:p w14:paraId="5F9DB4A3" w14:textId="77777777" w:rsidR="00924992" w:rsidRDefault="00924992">
      <w:pPr>
        <w:spacing w:line="360" w:lineRule="exact"/>
      </w:pPr>
    </w:p>
    <w:p w14:paraId="4027C009" w14:textId="77777777" w:rsidR="00924992" w:rsidRDefault="00924992">
      <w:pPr>
        <w:spacing w:line="360" w:lineRule="exact"/>
      </w:pPr>
    </w:p>
    <w:p w14:paraId="4FFEE58C" w14:textId="77777777" w:rsidR="00924992" w:rsidRDefault="00924992">
      <w:pPr>
        <w:spacing w:line="360" w:lineRule="exact"/>
      </w:pPr>
    </w:p>
    <w:p w14:paraId="00B90242" w14:textId="77777777" w:rsidR="00924992" w:rsidRDefault="00924992">
      <w:pPr>
        <w:spacing w:line="360" w:lineRule="exact"/>
      </w:pPr>
    </w:p>
    <w:p w14:paraId="54983BA6" w14:textId="77777777" w:rsidR="00924992" w:rsidRDefault="00924992">
      <w:pPr>
        <w:spacing w:line="360" w:lineRule="exact"/>
      </w:pPr>
    </w:p>
    <w:p w14:paraId="6F352672" w14:textId="77777777" w:rsidR="00924992" w:rsidRDefault="00924992">
      <w:pPr>
        <w:spacing w:line="360" w:lineRule="exact"/>
      </w:pPr>
    </w:p>
    <w:p w14:paraId="6510D23B" w14:textId="77777777" w:rsidR="00924992" w:rsidRDefault="00924992">
      <w:pPr>
        <w:spacing w:line="360" w:lineRule="exact"/>
      </w:pPr>
    </w:p>
    <w:p w14:paraId="515E1426" w14:textId="77777777" w:rsidR="00924992" w:rsidRDefault="00924992">
      <w:pPr>
        <w:spacing w:line="360" w:lineRule="exact"/>
      </w:pPr>
    </w:p>
    <w:p w14:paraId="2137D32B" w14:textId="77777777" w:rsidR="00924992" w:rsidRDefault="00924992">
      <w:pPr>
        <w:spacing w:line="360" w:lineRule="exact"/>
      </w:pPr>
    </w:p>
    <w:p w14:paraId="75ACD888" w14:textId="77777777" w:rsidR="00924992" w:rsidRDefault="00924992">
      <w:pPr>
        <w:spacing w:after="709" w:line="1" w:lineRule="exact"/>
      </w:pPr>
    </w:p>
    <w:p w14:paraId="02FBD74A" w14:textId="77777777" w:rsidR="00924992" w:rsidRDefault="00924992">
      <w:pPr>
        <w:spacing w:line="1" w:lineRule="exact"/>
        <w:sectPr w:rsidR="00924992" w:rsidSect="00924992">
          <w:footnotePr>
            <w:numFmt w:val="chicago"/>
          </w:footnotePr>
          <w:pgSz w:w="13022" w:h="8501" w:orient="landscape"/>
          <w:pgMar w:top="470" w:right="442" w:bottom="470" w:left="653" w:header="42" w:footer="3" w:gutter="0"/>
          <w:cols w:space="720"/>
          <w:noEndnote/>
          <w:docGrid w:linePitch="360"/>
          <w15:footnoteColumns w:val="1"/>
        </w:sectPr>
      </w:pPr>
    </w:p>
    <w:p w14:paraId="127EEB5B" w14:textId="77777777" w:rsidR="00924992" w:rsidRDefault="00924992">
      <w:pPr>
        <w:pStyle w:val="Heading31"/>
        <w:keepNext/>
        <w:keepLines/>
        <w:spacing w:after="40"/>
        <w:ind w:left="2620"/>
      </w:pPr>
      <w:bookmarkStart w:id="759" w:name="bookmark2159"/>
      <w:bookmarkStart w:id="760" w:name="bookmark2160"/>
      <w:bookmarkStart w:id="761" w:name="bookmark2161"/>
      <w:r>
        <w:rPr>
          <w:b w:val="0"/>
          <w:bCs w:val="0"/>
        </w:rPr>
        <w:t xml:space="preserve">Cuadro 5-3. </w:t>
      </w:r>
      <w:r>
        <w:t>Métodos odontológicos y profilaxia contra endocarditis</w:t>
      </w:r>
      <w:bookmarkEnd w:id="759"/>
      <w:bookmarkEnd w:id="760"/>
      <w:bookmarkEnd w:id="761"/>
    </w:p>
    <w:p w14:paraId="2A17C1C0" w14:textId="77777777" w:rsidR="00924992" w:rsidRDefault="00924992">
      <w:pPr>
        <w:pStyle w:val="Heading41"/>
        <w:keepNext/>
        <w:keepLines/>
        <w:pBdr>
          <w:top w:val="single" w:sz="0" w:space="0" w:color="231F20"/>
          <w:left w:val="single" w:sz="0" w:space="0" w:color="231F20"/>
          <w:bottom w:val="single" w:sz="0" w:space="3" w:color="231F20"/>
          <w:right w:val="single" w:sz="0" w:space="0" w:color="231F20"/>
        </w:pBdr>
        <w:shd w:val="clear" w:color="auto" w:fill="231F20"/>
        <w:spacing w:after="18"/>
        <w:ind w:left="4380"/>
      </w:pPr>
      <w:bookmarkStart w:id="762" w:name="bookmark2162"/>
      <w:bookmarkStart w:id="763" w:name="bookmark2163"/>
      <w:bookmarkStart w:id="764" w:name="bookmark2164"/>
      <w:r>
        <w:rPr>
          <w:color w:val="FFFFFF"/>
        </w:rPr>
        <w:t>Profilaxia contra endocarditis</w:t>
      </w:r>
      <w:bookmarkEnd w:id="762"/>
      <w:bookmarkEnd w:id="763"/>
      <w:bookmarkEnd w:id="764"/>
    </w:p>
    <w:p w14:paraId="6C70BC5D" w14:textId="77777777" w:rsidR="00924992" w:rsidRDefault="00924992">
      <w:pPr>
        <w:pStyle w:val="Bodytext20"/>
        <w:spacing w:line="240" w:lineRule="auto"/>
        <w:ind w:left="4380"/>
        <w:sectPr w:rsidR="00924992" w:rsidSect="00924992">
          <w:footnotePr>
            <w:numFmt w:val="chicago"/>
          </w:footnotePr>
          <w:pgSz w:w="13022" w:h="8501" w:orient="landscape"/>
          <w:pgMar w:top="1099" w:right="1464" w:bottom="304" w:left="677" w:header="671" w:footer="3" w:gutter="0"/>
          <w:cols w:space="720"/>
          <w:noEndnote/>
          <w:docGrid w:linePitch="360"/>
          <w15:footnoteColumns w:val="1"/>
        </w:sectPr>
      </w:pPr>
      <w:r>
        <w:rPr>
          <w:noProof/>
        </w:rPr>
        <mc:AlternateContent>
          <mc:Choice Requires="wps">
            <w:drawing>
              <wp:anchor distT="0" distB="0" distL="114300" distR="114300" simplePos="0" relativeHeight="251745280" behindDoc="0" locked="0" layoutInCell="1" allowOverlap="1" wp14:anchorId="6A6C1B49" wp14:editId="505FB1B6">
                <wp:simplePos x="0" y="0"/>
                <wp:positionH relativeFrom="page">
                  <wp:posOffset>429895</wp:posOffset>
                </wp:positionH>
                <wp:positionV relativeFrom="paragraph">
                  <wp:posOffset>12700</wp:posOffset>
                </wp:positionV>
                <wp:extent cx="719455" cy="143510"/>
                <wp:effectExtent l="0" t="0" r="0" b="0"/>
                <wp:wrapSquare wrapText="bothSides"/>
                <wp:docPr id="2527" name="Shape 2527"/>
                <wp:cNvGraphicFramePr/>
                <a:graphic xmlns:a="http://schemas.openxmlformats.org/drawingml/2006/main">
                  <a:graphicData uri="http://schemas.microsoft.com/office/word/2010/wordprocessingShape">
                    <wps:wsp>
                      <wps:cNvSpPr txBox="1"/>
                      <wps:spPr>
                        <a:xfrm>
                          <a:off x="0" y="0"/>
                          <a:ext cx="719455" cy="143510"/>
                        </a:xfrm>
                        <a:prstGeom prst="rect">
                          <a:avLst/>
                        </a:prstGeom>
                        <a:noFill/>
                      </wps:spPr>
                      <wps:txbx>
                        <w:txbxContent>
                          <w:p w14:paraId="025117B0" w14:textId="77777777" w:rsidR="00924992" w:rsidRDefault="00924992">
                            <w:pPr>
                              <w:pStyle w:val="Bodytext20"/>
                              <w:spacing w:line="240" w:lineRule="auto"/>
                            </w:pPr>
                            <w:r>
                              <w:rPr>
                                <w:b/>
                                <w:bCs/>
                              </w:rPr>
                              <w:t>Recomendada</w:t>
                            </w:r>
                            <w:r>
                              <w:rPr>
                                <w:b/>
                                <w:bCs/>
                                <w:vertAlign w:val="superscript"/>
                              </w:rPr>
                              <w:t>1</w:t>
                            </w:r>
                          </w:p>
                        </w:txbxContent>
                      </wps:txbx>
                      <wps:bodyPr wrap="none" lIns="0" tIns="0" rIns="0" bIns="0"/>
                    </wps:wsp>
                  </a:graphicData>
                </a:graphic>
              </wp:anchor>
            </w:drawing>
          </mc:Choice>
          <mc:Fallback>
            <w:pict>
              <v:shape w14:anchorId="6A6C1B49" id="Shape 2527" o:spid="_x0000_s1127" type="#_x0000_t202" style="position:absolute;left:0;text-align:left;margin-left:33.85pt;margin-top:1pt;width:56.65pt;height:11.3pt;z-index:251745280;visibility:visible;mso-wrap-style:none;mso-wrap-distance-left:9pt;mso-wrap-distance-top:0;mso-wrap-distance-right:9pt;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" filled="f" stroked="f">
                <v:textbox inset="0,0,0,0">
                  <w:txbxContent>
                    <w:p w14:paraId="025117B0" w14:textId="77777777" w:rsidR="00924992" w:rsidRDefault="00924992">
                      <w:pPr>
                        <w:pStyle w:val="Bodytext20"/>
                        <w:spacing w:line="240" w:lineRule="auto"/>
                      </w:pPr>
                      <w:r>
                        <w:rPr>
                          <w:b/>
                          <w:bCs/>
                        </w:rPr>
                        <w:t>Recomendada</w:t>
                      </w:r>
                      <w:r>
                        <w:rPr>
                          <w:b/>
                          <w:bCs/>
                          <w:vertAlign w:val="superscript"/>
                        </w:rPr>
                        <w:t>1</w:t>
                      </w:r>
                    </w:p>
                  </w:txbxContent>
                </v:textbox>
                <w10:wrap type="square" anchorx="page"/>
              </v:shape>
            </w:pict>
          </mc:Fallback>
        </mc:AlternateContent>
      </w:r>
      <w:r>
        <w:rPr>
          <w:b/>
          <w:bCs/>
        </w:rPr>
        <w:t>No recomendada</w:t>
      </w:r>
    </w:p>
    <w:p w14:paraId="3BF71EEA" w14:textId="77777777" w:rsidR="00924992" w:rsidRDefault="00924992">
      <w:pPr>
        <w:spacing w:line="79" w:lineRule="exact"/>
        <w:rPr>
          <w:sz w:val="6"/>
          <w:szCs w:val="6"/>
        </w:rPr>
      </w:pPr>
    </w:p>
    <w:p w14:paraId="1269DCD7" w14:textId="77777777" w:rsidR="00924992" w:rsidRDefault="00924992">
      <w:pPr>
        <w:spacing w:line="1" w:lineRule="exact"/>
        <w:sectPr w:rsidR="00924992" w:rsidSect="00924992">
          <w:footnotePr>
            <w:numFmt w:val="chicago"/>
          </w:footnotePr>
          <w:type w:val="continuous"/>
          <w:pgSz w:w="13022" w:h="8501" w:orient="landscape"/>
          <w:pgMar w:top="1099" w:right="0" w:bottom="304" w:left="0" w:header="0" w:footer="3" w:gutter="0"/>
          <w:cols w:space="720"/>
          <w:noEndnote/>
          <w:docGrid w:linePitch="360"/>
          <w15:footnoteColumns w:val="1"/>
        </w:sectPr>
      </w:pPr>
    </w:p>
    <w:p w14:paraId="0249D1D1" w14:textId="77777777" w:rsidR="00924992" w:rsidRDefault="00924992">
      <w:pPr>
        <w:spacing w:line="1" w:lineRule="exact"/>
      </w:pPr>
      <w:r>
        <w:rPr>
          <w:noProof/>
        </w:rPr>
        <mc:AlternateContent>
          <mc:Choice Requires="wps">
            <w:drawing>
              <wp:anchor distT="38100" distB="1625600" distL="114300" distR="114300" simplePos="0" relativeHeight="251746304" behindDoc="0" locked="0" layoutInCell="1" allowOverlap="1" wp14:anchorId="02316611" wp14:editId="3C255093">
                <wp:simplePos x="0" y="0"/>
                <wp:positionH relativeFrom="page">
                  <wp:posOffset>429895</wp:posOffset>
                </wp:positionH>
                <wp:positionV relativeFrom="paragraph">
                  <wp:posOffset>1913890</wp:posOffset>
                </wp:positionV>
                <wp:extent cx="4758055" cy="365760"/>
                <wp:effectExtent l="0" t="0" r="0" b="0"/>
                <wp:wrapTopAndBottom/>
                <wp:docPr id="2529" name="Shape 2529"/>
                <wp:cNvGraphicFramePr/>
                <a:graphic xmlns:a="http://schemas.openxmlformats.org/drawingml/2006/main">
                  <a:graphicData uri="http://schemas.microsoft.com/office/word/2010/wordprocessingShape">
                    <wps:wsp>
                      <wps:cNvSpPr txBox="1"/>
                      <wps:spPr>
                        <a:xfrm>
                          <a:off x="0" y="0"/>
                          <a:ext cx="4758055" cy="365760"/>
                        </a:xfrm>
                        <a:prstGeom prst="rect">
                          <a:avLst/>
                        </a:prstGeom>
                        <a:noFill/>
                      </wps:spPr>
                      <wps:txbx>
                        <w:txbxContent>
                          <w:p w14:paraId="1DFA67DB" w14:textId="77777777" w:rsidR="00924992" w:rsidRDefault="00924992">
                            <w:pPr>
                              <w:pStyle w:val="Bodytext20"/>
                              <w:numPr>
                                <w:ilvl w:val="0"/>
                                <w:numId w:val="147"/>
                              </w:numPr>
                              <w:tabs>
                                <w:tab w:val="left" w:pos="163"/>
                              </w:tabs>
                              <w:spacing w:line="240" w:lineRule="auto"/>
                              <w:rPr>
                                <w:sz w:val="15"/>
                                <w:szCs w:val="15"/>
                              </w:rPr>
                            </w:pPr>
                            <w:bookmarkStart w:id="765" w:name="bookmark2165"/>
                            <w:bookmarkEnd w:id="765"/>
                            <w:r>
                              <w:rPr>
                                <w:sz w:val="15"/>
                                <w:szCs w:val="15"/>
                              </w:rPr>
                              <w:t>Se recomienda la profilaxia en niños con trastornos cardiovasculares de riesgo alto y moderado.</w:t>
                            </w:r>
                          </w:p>
                          <w:p w14:paraId="2A6F0936" w14:textId="77777777" w:rsidR="00924992" w:rsidRDefault="00924992">
                            <w:pPr>
                              <w:pStyle w:val="Bodytext20"/>
                              <w:numPr>
                                <w:ilvl w:val="0"/>
                                <w:numId w:val="147"/>
                              </w:numPr>
                              <w:tabs>
                                <w:tab w:val="left" w:pos="173"/>
                              </w:tabs>
                              <w:spacing w:line="240" w:lineRule="auto"/>
                              <w:rPr>
                                <w:sz w:val="15"/>
                                <w:szCs w:val="15"/>
                              </w:rPr>
                            </w:pPr>
                            <w:bookmarkStart w:id="766" w:name="bookmark2166"/>
                            <w:bookmarkEnd w:id="766"/>
                            <w:r>
                              <w:rPr>
                                <w:sz w:val="15"/>
                                <w:szCs w:val="15"/>
                              </w:rPr>
                              <w:t>Incluye la restauración de caries (relleno de cavidades) y recolocación de piezas faltantes.</w:t>
                            </w:r>
                          </w:p>
                          <w:p w14:paraId="00C12F7E" w14:textId="77777777" w:rsidR="00924992" w:rsidRDefault="00924992">
                            <w:pPr>
                              <w:pStyle w:val="Bodytext20"/>
                              <w:numPr>
                                <w:ilvl w:val="0"/>
                                <w:numId w:val="147"/>
                              </w:numPr>
                              <w:tabs>
                                <w:tab w:val="left" w:pos="168"/>
                              </w:tabs>
                              <w:spacing w:line="240" w:lineRule="auto"/>
                              <w:rPr>
                                <w:sz w:val="15"/>
                                <w:szCs w:val="15"/>
                              </w:rPr>
                            </w:pPr>
                            <w:bookmarkStart w:id="767" w:name="bookmark2167"/>
                            <w:bookmarkEnd w:id="767"/>
                            <w:r>
                              <w:rPr>
                                <w:sz w:val="15"/>
                                <w:szCs w:val="15"/>
                              </w:rPr>
                              <w:t>El juicio clínico indicará el uso de antimicrobianos en algunas circunstancias en que puede surgir hemorragia intensa.</w:t>
                            </w:r>
                          </w:p>
                        </w:txbxContent>
                      </wps:txbx>
                      <wps:bodyPr lIns="0" tIns="0" rIns="0" bIns="0"/>
                    </wps:wsp>
                  </a:graphicData>
                </a:graphic>
              </wp:anchor>
            </w:drawing>
          </mc:Choice>
          <mc:Fallback>
            <w:pict>
              <v:shape w14:anchorId="02316611" id="Shape 2529" o:spid="_x0000_s1128" type="#_x0000_t202" style="position:absolute;margin-left:33.85pt;margin-top:150.7pt;width:374.65pt;height:28.8pt;z-index:251746304;visibility:visible;mso-wrap-style:square;mso-wrap-distance-left:9pt;mso-wrap-distance-top:3pt;mso-wrap-distance-right:9pt;mso-wrap-distance-bottom:128pt;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" filled="f" stroked="f">
                <v:textbox inset="0,0,0,0">
                  <w:txbxContent>
                    <w:p w14:paraId="1DFA67DB" w14:textId="77777777" w:rsidR="00924992" w:rsidRDefault="00924992">
                      <w:pPr>
                        <w:pStyle w:val="Bodytext20"/>
                        <w:numPr>
                          <w:ilvl w:val="0"/>
                          <w:numId w:val="147"/>
                        </w:numPr>
                        <w:tabs>
                          <w:tab w:val="left" w:pos="163"/>
                        </w:tabs>
                        <w:spacing w:line="240" w:lineRule="auto"/>
                        <w:rPr>
                          <w:sz w:val="15"/>
                          <w:szCs w:val="15"/>
                        </w:rPr>
                      </w:pPr>
                      <w:bookmarkStart w:id="768" w:name="bookmark2165"/>
                      <w:bookmarkEnd w:id="768"/>
                      <w:r>
                        <w:rPr>
                          <w:sz w:val="15"/>
                          <w:szCs w:val="15"/>
                        </w:rPr>
                        <w:t>Se recomienda la profilaxia en niños con trastornos cardiovasculares de riesgo alto y moderado.</w:t>
                      </w:r>
                    </w:p>
                    <w:p w14:paraId="2A6F0936" w14:textId="77777777" w:rsidR="00924992" w:rsidRDefault="00924992">
                      <w:pPr>
                        <w:pStyle w:val="Bodytext20"/>
                        <w:numPr>
                          <w:ilvl w:val="0"/>
                          <w:numId w:val="147"/>
                        </w:numPr>
                        <w:tabs>
                          <w:tab w:val="left" w:pos="173"/>
                        </w:tabs>
                        <w:spacing w:line="240" w:lineRule="auto"/>
                        <w:rPr>
                          <w:sz w:val="15"/>
                          <w:szCs w:val="15"/>
                        </w:rPr>
                      </w:pPr>
                      <w:bookmarkStart w:id="769" w:name="bookmark2166"/>
                      <w:bookmarkEnd w:id="769"/>
                      <w:r>
                        <w:rPr>
                          <w:sz w:val="15"/>
                          <w:szCs w:val="15"/>
                        </w:rPr>
                        <w:t>Incluye la restauración de caries (relleno de cavidades) y recolocación de piezas faltantes.</w:t>
                      </w:r>
                    </w:p>
                    <w:p w14:paraId="00C12F7E" w14:textId="77777777" w:rsidR="00924992" w:rsidRDefault="00924992">
                      <w:pPr>
                        <w:pStyle w:val="Bodytext20"/>
                        <w:numPr>
                          <w:ilvl w:val="0"/>
                          <w:numId w:val="147"/>
                        </w:numPr>
                        <w:tabs>
                          <w:tab w:val="left" w:pos="168"/>
                        </w:tabs>
                        <w:spacing w:line="240" w:lineRule="auto"/>
                        <w:rPr>
                          <w:sz w:val="15"/>
                          <w:szCs w:val="15"/>
                        </w:rPr>
                      </w:pPr>
                      <w:bookmarkStart w:id="770" w:name="bookmark2167"/>
                      <w:bookmarkEnd w:id="770"/>
                      <w:r>
                        <w:rPr>
                          <w:sz w:val="15"/>
                          <w:szCs w:val="15"/>
                        </w:rPr>
                        <w:t>El juicio clínico indicará el uso de antimicrobianos en algunas circunstancias en que puede surgir hemorragia intensa.</w:t>
                      </w:r>
                    </w:p>
                  </w:txbxContent>
                </v:textbox>
                <w10:wrap type="topAndBottom" anchorx="page"/>
              </v:shape>
            </w:pict>
          </mc:Fallback>
        </mc:AlternateContent>
      </w:r>
      <w:r>
        <w:rPr>
          <w:noProof/>
        </w:rPr>
        <mc:AlternateContent>
          <mc:Choice Requires="wps">
            <w:drawing>
              <wp:anchor distT="0" distB="0" distL="114300" distR="114300" simplePos="0" relativeHeight="251747328" behindDoc="0" locked="0" layoutInCell="1" allowOverlap="1" wp14:anchorId="7E90EC4C" wp14:editId="18C608BD">
                <wp:simplePos x="0" y="0"/>
                <wp:positionH relativeFrom="page">
                  <wp:posOffset>7867015</wp:posOffset>
                </wp:positionH>
                <wp:positionV relativeFrom="paragraph">
                  <wp:posOffset>618490</wp:posOffset>
                </wp:positionV>
                <wp:extent cx="121920" cy="3032760"/>
                <wp:effectExtent l="0" t="0" r="0" b="0"/>
                <wp:wrapSquare wrapText="bothSides"/>
                <wp:docPr id="2531" name="Shape 2531"/>
                <wp:cNvGraphicFramePr/>
                <a:graphic xmlns:a="http://schemas.openxmlformats.org/drawingml/2006/main">
                  <a:graphicData uri="http://schemas.microsoft.com/office/word/2010/wordprocessingShape">
                    <wps:wsp>
                      <wps:cNvSpPr txBox="1"/>
                      <wps:spPr>
                        <a:xfrm>
                          <a:off x="0" y="0"/>
                          <a:ext cx="121920" cy="3032760"/>
                        </a:xfrm>
                        <a:prstGeom prst="rect">
                          <a:avLst/>
                        </a:prstGeom>
                        <a:noFill/>
                      </wps:spPr>
                      <wps:txbx>
                        <w:txbxContent>
                          <w:p w14:paraId="6D7337E7" w14:textId="77777777" w:rsidR="00924992" w:rsidRDefault="00924992">
                            <w:pPr>
                              <w:pStyle w:val="Bodytext80"/>
                              <w:tabs>
                                <w:tab w:val="left" w:pos="4459"/>
                              </w:tabs>
                              <w:rPr>
                                <w:sz w:val="16"/>
                                <w:szCs w:val="16"/>
                              </w:rPr>
                            </w:pPr>
                            <w:r>
                              <w:t>PREVENCIÓN DE OFTALMÍA NEONATAL</w:t>
                            </w:r>
                            <w:r>
                              <w:tab/>
                            </w:r>
                            <w:r>
                              <w:rPr>
                                <w:sz w:val="16"/>
                                <w:szCs w:val="16"/>
                              </w:rPr>
                              <w:t>819</w:t>
                            </w:r>
                          </w:p>
                        </w:txbxContent>
                      </wps:txbx>
                      <wps:bodyPr vert="vert" lIns="0" tIns="0" rIns="0" bIns="0" upright="1"/>
                    </wps:wsp>
                  </a:graphicData>
                </a:graphic>
              </wp:anchor>
            </w:drawing>
          </mc:Choice>
          <mc:Fallback>
            <w:pict>
              <v:shape w14:anchorId="7E90EC4C" id="Shape 2531" o:spid="_x0000_s1129" type="#_x0000_t202" style="position:absolute;margin-left:619.45pt;margin-top:48.7pt;width:9.6pt;height:238.8pt;z-index:251747328;visibility:visible;mso-wrap-style:square;mso-wrap-distance-left:9pt;mso-wrap-distance-top:0;mso-wrap-distance-right:9pt;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" filled="f" stroked="f">
                <v:textbox style="layout-flow:vertical" inset="0,0,0,0">
                  <w:txbxContent>
                    <w:p w14:paraId="6D7337E7" w14:textId="77777777" w:rsidR="00924992" w:rsidRDefault="00924992">
                      <w:pPr>
                        <w:pStyle w:val="Bodytext80"/>
                        <w:tabs>
                          <w:tab w:val="left" w:pos="4459"/>
                        </w:tabs>
                        <w:rPr>
                          <w:sz w:val="16"/>
                          <w:szCs w:val="16"/>
                        </w:rPr>
                      </w:pPr>
                      <w:r>
                        <w:t>PREVENCIÓN DE OFTALMÍA NEONATAL</w:t>
                      </w:r>
                      <w:r>
                        <w:tab/>
                      </w:r>
                      <w:r>
                        <w:rPr>
                          <w:sz w:val="16"/>
                          <w:szCs w:val="16"/>
                        </w:rPr>
                        <w:t>819</w:t>
                      </w:r>
                    </w:p>
                  </w:txbxContent>
                </v:textbox>
                <w10:wrap type="square" anchorx="page"/>
              </v:shape>
            </w:pict>
          </mc:Fallback>
        </mc:AlternateContent>
      </w:r>
    </w:p>
    <w:p w14:paraId="6502EAC2" w14:textId="77777777" w:rsidR="00924992" w:rsidRDefault="00924992">
      <w:pPr>
        <w:pStyle w:val="Bodytext20"/>
      </w:pPr>
      <w:r>
        <w:t>Extracciones dentales</w:t>
      </w:r>
    </w:p>
    <w:p w14:paraId="3BF4F849" w14:textId="77777777" w:rsidR="00924992" w:rsidRDefault="00924992">
      <w:pPr>
        <w:pStyle w:val="Bodytext20"/>
      </w:pPr>
      <w:r>
        <w:t>Métodos periodontales que incluyen operaciones, limpieza del tártaro y cepillado de raíces, introducción de sondas y mantenimiento sistemático</w:t>
      </w:r>
    </w:p>
    <w:p w14:paraId="3FE5D0E7" w14:textId="77777777" w:rsidR="00924992" w:rsidRDefault="00924992">
      <w:pPr>
        <w:pStyle w:val="Bodytext20"/>
      </w:pPr>
      <w:r>
        <w:t>Colocación de implantes dentales y reimplante de dientes desprendidos</w:t>
      </w:r>
    </w:p>
    <w:p w14:paraId="6E8BF339" w14:textId="77777777" w:rsidR="00924992" w:rsidRDefault="00924992">
      <w:pPr>
        <w:pStyle w:val="Bodytext20"/>
      </w:pPr>
      <w:r>
        <w:t>Instrumentación o cirugía endodóncica (canal de las raíces) sólo</w:t>
      </w:r>
    </w:p>
    <w:p w14:paraId="09FED296" w14:textId="77777777" w:rsidR="00924992" w:rsidRDefault="00924992">
      <w:pPr>
        <w:pStyle w:val="Bodytext20"/>
      </w:pPr>
      <w:r>
        <w:t>más allá del ápice</w:t>
      </w:r>
    </w:p>
    <w:p w14:paraId="0FE18828" w14:textId="77777777" w:rsidR="00924992" w:rsidRDefault="00924992">
      <w:pPr>
        <w:pStyle w:val="Bodytext20"/>
      </w:pPr>
      <w:r>
        <w:t>Colocación subgingival de fibras o tiras con antimicrobianos</w:t>
      </w:r>
    </w:p>
    <w:p w14:paraId="5A311AD4" w14:textId="77777777" w:rsidR="00924992" w:rsidRDefault="00924992">
      <w:pPr>
        <w:pStyle w:val="Bodytext20"/>
      </w:pPr>
      <w:r>
        <w:t>Colocación inicial de bandas ortodóncicas pero no frenos dentales</w:t>
      </w:r>
    </w:p>
    <w:p w14:paraId="28DF2EFA" w14:textId="77777777" w:rsidR="00924992" w:rsidRDefault="00924992">
      <w:pPr>
        <w:pStyle w:val="Bodytext20"/>
      </w:pPr>
      <w:r>
        <w:t>Inyecciones intraligamentarias y anestésicos locales</w:t>
      </w:r>
    </w:p>
    <w:p w14:paraId="1519FF3F" w14:textId="77777777" w:rsidR="00924992" w:rsidRDefault="00924992">
      <w:pPr>
        <w:pStyle w:val="Bodytext20"/>
      </w:pPr>
      <w:r>
        <w:t>Limpieza profiláctica de piezas dentales o implantes durante la cual</w:t>
      </w:r>
    </w:p>
    <w:p w14:paraId="2161BFDF" w14:textId="77777777" w:rsidR="00924992" w:rsidRDefault="00924992">
      <w:pPr>
        <w:pStyle w:val="Bodytext20"/>
      </w:pPr>
      <w:r>
        <w:t>se prevé que surgirá hemorragia</w:t>
      </w:r>
    </w:p>
    <w:p w14:paraId="3E0A9964" w14:textId="77777777" w:rsidR="00924992" w:rsidRDefault="00924992">
      <w:pPr>
        <w:pStyle w:val="Bodytext20"/>
        <w:spacing w:line="286" w:lineRule="auto"/>
      </w:pPr>
      <w:r>
        <w:t>Operaciones de restauración dental</w:t>
      </w:r>
      <w:r>
        <w:rPr>
          <w:vertAlign w:val="superscript"/>
        </w:rPr>
        <w:t>2</w:t>
      </w:r>
      <w:r>
        <w:t xml:space="preserve"> (operatorias y de prostodoncia) con cordón de retracción o sin él</w:t>
      </w:r>
      <w:r>
        <w:rPr>
          <w:vertAlign w:val="superscript"/>
        </w:rPr>
        <w:t>3</w:t>
      </w:r>
    </w:p>
    <w:p w14:paraId="37AB60D4" w14:textId="77777777" w:rsidR="00924992" w:rsidRDefault="00924992">
      <w:pPr>
        <w:pStyle w:val="Bodytext20"/>
        <w:spacing w:line="286" w:lineRule="auto"/>
        <w:jc w:val="both"/>
      </w:pPr>
      <w:r>
        <w:t>Inyecciones de anestésicos locales (no intraligamentaria)</w:t>
      </w:r>
    </w:p>
    <w:p w14:paraId="44AE7424" w14:textId="77777777" w:rsidR="00924992" w:rsidRDefault="00924992">
      <w:pPr>
        <w:pStyle w:val="Bodytext20"/>
        <w:spacing w:line="286" w:lineRule="auto"/>
      </w:pPr>
      <w:r>
        <w:t>Tratamiento endodóncico del interior de canales; después de la colocación e integración</w:t>
      </w:r>
    </w:p>
    <w:p w14:paraId="73AA5BB9" w14:textId="77777777" w:rsidR="00924992" w:rsidRDefault="00924992">
      <w:pPr>
        <w:pStyle w:val="Bodytext20"/>
        <w:spacing w:line="286" w:lineRule="auto"/>
        <w:jc w:val="both"/>
      </w:pPr>
      <w:r>
        <w:t>Colocación de diques de caucho</w:t>
      </w:r>
    </w:p>
    <w:p w14:paraId="698DAF75" w14:textId="77777777" w:rsidR="00924992" w:rsidRDefault="00924992">
      <w:pPr>
        <w:pStyle w:val="Bodytext20"/>
        <w:spacing w:line="286" w:lineRule="auto"/>
        <w:jc w:val="both"/>
      </w:pPr>
      <w:r>
        <w:t>Extracción posoperatoria de suturas</w:t>
      </w:r>
    </w:p>
    <w:p w14:paraId="7B910107" w14:textId="77777777" w:rsidR="00924992" w:rsidRDefault="00924992">
      <w:pPr>
        <w:pStyle w:val="Bodytext20"/>
        <w:spacing w:line="286" w:lineRule="auto"/>
        <w:jc w:val="both"/>
      </w:pPr>
      <w:r>
        <w:t>Colocación de dispositivos de prostodoncia u ortodoncia removibles</w:t>
      </w:r>
    </w:p>
    <w:p w14:paraId="04E16E78" w14:textId="77777777" w:rsidR="00924992" w:rsidRDefault="00924992">
      <w:pPr>
        <w:pStyle w:val="Bodytext20"/>
        <w:spacing w:line="286" w:lineRule="auto"/>
        <w:jc w:val="both"/>
      </w:pPr>
      <w:r>
        <w:t>Realización de impresiones odontológicas</w:t>
      </w:r>
    </w:p>
    <w:p w14:paraId="5757AE0F" w14:textId="77777777" w:rsidR="00924992" w:rsidRDefault="00924992">
      <w:pPr>
        <w:pStyle w:val="Bodytext20"/>
        <w:spacing w:line="286" w:lineRule="auto"/>
        <w:jc w:val="both"/>
      </w:pPr>
      <w:r>
        <w:t>Tratamientos con fluoruro</w:t>
      </w:r>
    </w:p>
    <w:p w14:paraId="59BD65B1" w14:textId="77777777" w:rsidR="00924992" w:rsidRDefault="00924992">
      <w:pPr>
        <w:pStyle w:val="Bodytext20"/>
        <w:spacing w:line="286" w:lineRule="auto"/>
        <w:jc w:val="both"/>
      </w:pPr>
      <w:r>
        <w:t>Hechura de radiografías de la boca</w:t>
      </w:r>
    </w:p>
    <w:p w14:paraId="51F314E3" w14:textId="77777777" w:rsidR="00924992" w:rsidRDefault="00924992">
      <w:pPr>
        <w:pStyle w:val="Bodytext20"/>
        <w:spacing w:line="286" w:lineRule="auto"/>
        <w:jc w:val="both"/>
      </w:pPr>
      <w:r>
        <w:t>Ajuste de prótesis ortodóncicas</w:t>
      </w:r>
    </w:p>
    <w:p w14:paraId="75751D48" w14:textId="77777777" w:rsidR="00924992" w:rsidRDefault="00924992">
      <w:pPr>
        <w:pStyle w:val="Bodytext20"/>
        <w:pBdr>
          <w:bottom w:val="single" w:sz="4" w:space="0" w:color="auto"/>
        </w:pBdr>
        <w:spacing w:line="286" w:lineRule="auto"/>
        <w:jc w:val="both"/>
        <w:sectPr w:rsidR="00924992" w:rsidSect="00924992">
          <w:footnotePr>
            <w:numFmt w:val="chicago"/>
          </w:footnotePr>
          <w:type w:val="continuous"/>
          <w:pgSz w:w="13022" w:h="8501" w:orient="landscape"/>
          <w:pgMar w:top="1099" w:right="1464" w:bottom="304" w:left="677" w:header="0" w:footer="3" w:gutter="0"/>
          <w:cols w:num="2" w:space="338"/>
          <w:noEndnote/>
          <w:docGrid w:linePitch="360"/>
          <w15:footnoteColumns w:val="1"/>
        </w:sectPr>
      </w:pPr>
      <w:r>
        <w:t>Extracción de dientes primarios</w:t>
      </w:r>
    </w:p>
    <w:p w14:paraId="28F144AD" w14:textId="77777777" w:rsidR="00924992" w:rsidRDefault="00924992">
      <w:pPr>
        <w:pStyle w:val="Heading31"/>
        <w:keepNext/>
        <w:keepLines/>
        <w:framePr w:w="5309" w:h="322" w:wrap="none" w:hAnchor="page" w:x="3668" w:y="1"/>
      </w:pPr>
      <w:bookmarkStart w:id="771" w:name="bookmark2168"/>
      <w:bookmarkStart w:id="772" w:name="bookmark2169"/>
      <w:bookmarkStart w:id="773" w:name="bookmark2170"/>
      <w:r>
        <w:rPr>
          <w:b w:val="0"/>
          <w:bCs w:val="0"/>
        </w:rPr>
        <w:t xml:space="preserve">Cuadro 5-4. </w:t>
      </w:r>
      <w:r>
        <w:t>Otros métodos y profilaxia contra endocarditis</w:t>
      </w:r>
      <w:bookmarkEnd w:id="771"/>
      <w:bookmarkEnd w:id="772"/>
      <w:bookmarkEnd w:id="773"/>
    </w:p>
    <w:tbl>
      <w:tblPr>
        <w:tblOverlap w:val="never"/>
        <w:tblW w:w="0" w:type="auto"/>
        <w:tblLayout w:type="fixed"/>
        <w:tblCellMar>
          <w:left w:w="10" w:type="dxa"/>
          <w:right w:w="10" w:type="dxa"/>
        </w:tblCellMar>
        <w:tblLook w:val="04A0" w:firstRow="1" w:lastRow="0" w:firstColumn="1" w:lastColumn="0" w:noHBand="0" w:noVBand="1"/>
      </w:tblPr>
      <w:tblGrid>
        <w:gridCol w:w="1954"/>
        <w:gridCol w:w="4742"/>
        <w:gridCol w:w="4680"/>
      </w:tblGrid>
      <w:tr w:rsidR="00924992" w14:paraId="3597B969" w14:textId="77777777">
        <w:tblPrEx>
          <w:tblCellMar>
            <w:top w:w="0" w:type="dxa"/>
            <w:bottom w:w="0" w:type="dxa"/>
          </w:tblCellMar>
        </w:tblPrEx>
        <w:trPr>
          <w:trHeight w:hRule="exact" w:val="293"/>
        </w:trPr>
        <w:tc>
          <w:tcPr>
            <w:tcW w:w="11376" w:type="dxa"/>
            <w:gridSpan w:val="3"/>
            <w:shd w:val="clear" w:color="auto" w:fill="231F20"/>
          </w:tcPr>
          <w:p w14:paraId="4AE45B84" w14:textId="77777777" w:rsidR="00924992" w:rsidRDefault="00924992">
            <w:pPr>
              <w:pStyle w:val="Other0"/>
              <w:framePr w:w="11376" w:h="6077" w:vSpace="634" w:wrap="none" w:hAnchor="page" w:x="625" w:y="351"/>
              <w:pBdr>
                <w:top w:val="single" w:sz="0" w:space="0" w:color="231F20"/>
                <w:left w:val="single" w:sz="0" w:space="0" w:color="231F20"/>
                <w:bottom w:val="single" w:sz="0" w:space="0" w:color="231F20"/>
                <w:right w:val="single" w:sz="0" w:space="0" w:color="231F20"/>
              </w:pBdr>
              <w:shd w:val="clear" w:color="auto" w:fill="231F20"/>
              <w:spacing w:line="240" w:lineRule="auto"/>
              <w:ind w:firstLine="0"/>
              <w:jc w:val="center"/>
              <w:rPr>
                <w:sz w:val="24"/>
                <w:szCs w:val="24"/>
              </w:rPr>
            </w:pPr>
            <w:r>
              <w:rPr>
                <w:rFonts w:ascii="Arial" w:eastAsia="Arial" w:hAnsi="Arial" w:cs="Arial"/>
                <w:b/>
                <w:bCs/>
                <w:color w:val="FFFFFF"/>
                <w:w w:val="70"/>
                <w:sz w:val="24"/>
                <w:szCs w:val="24"/>
              </w:rPr>
              <w:t>Profilaxia contra endocarditis</w:t>
            </w:r>
          </w:p>
        </w:tc>
      </w:tr>
      <w:tr w:rsidR="00924992" w14:paraId="6A6E10DC" w14:textId="77777777">
        <w:tblPrEx>
          <w:tblCellMar>
            <w:top w:w="0" w:type="dxa"/>
            <w:bottom w:w="0" w:type="dxa"/>
          </w:tblCellMar>
        </w:tblPrEx>
        <w:trPr>
          <w:trHeight w:hRule="exact" w:val="259"/>
        </w:trPr>
        <w:tc>
          <w:tcPr>
            <w:tcW w:w="1954" w:type="dxa"/>
            <w:shd w:val="clear" w:color="auto" w:fill="FFFFFF"/>
          </w:tcPr>
          <w:p w14:paraId="18B0BE8C" w14:textId="77777777" w:rsidR="00924992" w:rsidRDefault="00924992">
            <w:pPr>
              <w:framePr w:w="11376" w:h="6077" w:vSpace="634" w:wrap="none" w:hAnchor="page" w:x="625" w:y="351"/>
              <w:rPr>
                <w:sz w:val="10"/>
                <w:szCs w:val="10"/>
              </w:rPr>
            </w:pPr>
          </w:p>
        </w:tc>
        <w:tc>
          <w:tcPr>
            <w:tcW w:w="4742" w:type="dxa"/>
            <w:shd w:val="clear" w:color="auto" w:fill="FFFFFF"/>
            <w:vAlign w:val="bottom"/>
          </w:tcPr>
          <w:p w14:paraId="4F8ACCB0" w14:textId="77777777" w:rsidR="00924992" w:rsidRDefault="00924992">
            <w:pPr>
              <w:pStyle w:val="Other0"/>
              <w:framePr w:w="11376" w:h="6077" w:vSpace="634" w:wrap="none" w:hAnchor="page" w:x="625" w:y="351"/>
              <w:spacing w:line="240" w:lineRule="auto"/>
              <w:ind w:firstLine="320"/>
              <w:rPr>
                <w:sz w:val="16"/>
                <w:szCs w:val="16"/>
              </w:rPr>
            </w:pPr>
            <w:r>
              <w:rPr>
                <w:rFonts w:ascii="Times New Roman" w:eastAsia="Times New Roman" w:hAnsi="Times New Roman" w:cs="Times New Roman"/>
                <w:b/>
                <w:bCs/>
                <w:sz w:val="16"/>
                <w:szCs w:val="16"/>
              </w:rPr>
              <w:t>Recomendada</w:t>
            </w:r>
            <w:r>
              <w:rPr>
                <w:rFonts w:ascii="Times New Roman" w:eastAsia="Times New Roman" w:hAnsi="Times New Roman" w:cs="Times New Roman"/>
                <w:b/>
                <w:bCs/>
                <w:sz w:val="16"/>
                <w:szCs w:val="16"/>
                <w:vertAlign w:val="superscript"/>
              </w:rPr>
              <w:t>1</w:t>
            </w:r>
          </w:p>
        </w:tc>
        <w:tc>
          <w:tcPr>
            <w:tcW w:w="4680" w:type="dxa"/>
            <w:shd w:val="clear" w:color="auto" w:fill="FFFFFF"/>
            <w:vAlign w:val="bottom"/>
          </w:tcPr>
          <w:p w14:paraId="1ADB4EE3" w14:textId="77777777" w:rsidR="00924992" w:rsidRDefault="00924992">
            <w:pPr>
              <w:pStyle w:val="Other0"/>
              <w:framePr w:w="11376" w:h="6077" w:vSpace="634" w:wrap="none" w:hAnchor="page" w:x="625" w:y="351"/>
              <w:spacing w:line="240" w:lineRule="auto"/>
              <w:ind w:firstLine="0"/>
              <w:rPr>
                <w:sz w:val="16"/>
                <w:szCs w:val="16"/>
              </w:rPr>
            </w:pPr>
            <w:r>
              <w:rPr>
                <w:rFonts w:ascii="Times New Roman" w:eastAsia="Times New Roman" w:hAnsi="Times New Roman" w:cs="Times New Roman"/>
                <w:b/>
                <w:bCs/>
                <w:sz w:val="16"/>
                <w:szCs w:val="16"/>
              </w:rPr>
              <w:t>No recomendada</w:t>
            </w:r>
          </w:p>
        </w:tc>
      </w:tr>
      <w:tr w:rsidR="00924992" w14:paraId="1CEA76D8" w14:textId="77777777">
        <w:tblPrEx>
          <w:tblCellMar>
            <w:top w:w="0" w:type="dxa"/>
            <w:bottom w:w="0" w:type="dxa"/>
          </w:tblCellMar>
        </w:tblPrEx>
        <w:trPr>
          <w:trHeight w:hRule="exact" w:val="427"/>
        </w:trPr>
        <w:tc>
          <w:tcPr>
            <w:tcW w:w="1954" w:type="dxa"/>
            <w:shd w:val="clear" w:color="auto" w:fill="FFFFFF"/>
            <w:vAlign w:val="bottom"/>
          </w:tcPr>
          <w:p w14:paraId="1B89C32E" w14:textId="77777777" w:rsidR="00924992" w:rsidRDefault="00924992">
            <w:pPr>
              <w:pStyle w:val="Other0"/>
              <w:framePr w:w="11376" w:h="6077" w:vSpace="634" w:wrap="none" w:hAnchor="page" w:x="625" w:y="351"/>
              <w:spacing w:line="240" w:lineRule="auto"/>
              <w:ind w:firstLine="0"/>
              <w:rPr>
                <w:sz w:val="16"/>
                <w:szCs w:val="16"/>
              </w:rPr>
            </w:pPr>
            <w:r>
              <w:rPr>
                <w:rFonts w:ascii="Times New Roman" w:eastAsia="Times New Roman" w:hAnsi="Times New Roman" w:cs="Times New Roman"/>
                <w:sz w:val="16"/>
                <w:szCs w:val="16"/>
              </w:rPr>
              <w:t>Vías respiratorias</w:t>
            </w:r>
          </w:p>
        </w:tc>
        <w:tc>
          <w:tcPr>
            <w:tcW w:w="4742" w:type="dxa"/>
            <w:tcBorders>
              <w:top w:val="single" w:sz="4" w:space="0" w:color="auto"/>
            </w:tcBorders>
            <w:shd w:val="clear" w:color="auto" w:fill="FFFFFF"/>
            <w:vAlign w:val="bottom"/>
          </w:tcPr>
          <w:p w14:paraId="0F118DD6" w14:textId="77777777" w:rsidR="00924992" w:rsidRDefault="00924992">
            <w:pPr>
              <w:pStyle w:val="Other0"/>
              <w:framePr w:w="11376" w:h="6077" w:vSpace="634" w:wrap="none" w:hAnchor="page" w:x="625" w:y="351"/>
              <w:spacing w:line="240" w:lineRule="auto"/>
              <w:ind w:firstLine="320"/>
              <w:rPr>
                <w:sz w:val="16"/>
                <w:szCs w:val="16"/>
              </w:rPr>
            </w:pPr>
            <w:r>
              <w:rPr>
                <w:rFonts w:ascii="Times New Roman" w:eastAsia="Times New Roman" w:hAnsi="Times New Roman" w:cs="Times New Roman"/>
                <w:sz w:val="16"/>
                <w:szCs w:val="16"/>
              </w:rPr>
              <w:t>Amigdalectomía, adenoidectomía o ambas</w:t>
            </w:r>
          </w:p>
        </w:tc>
        <w:tc>
          <w:tcPr>
            <w:tcW w:w="4680" w:type="dxa"/>
            <w:tcBorders>
              <w:top w:val="single" w:sz="4" w:space="0" w:color="auto"/>
            </w:tcBorders>
            <w:shd w:val="clear" w:color="auto" w:fill="FFFFFF"/>
            <w:vAlign w:val="bottom"/>
          </w:tcPr>
          <w:p w14:paraId="2F7B0137" w14:textId="77777777" w:rsidR="00924992" w:rsidRDefault="00924992">
            <w:pPr>
              <w:pStyle w:val="Other0"/>
              <w:framePr w:w="11376" w:h="6077" w:vSpace="634" w:wrap="none" w:hAnchor="page" w:x="625" w:y="351"/>
              <w:spacing w:line="240" w:lineRule="auto"/>
              <w:ind w:firstLine="0"/>
              <w:rPr>
                <w:sz w:val="16"/>
                <w:szCs w:val="16"/>
              </w:rPr>
            </w:pPr>
            <w:r>
              <w:rPr>
                <w:rFonts w:ascii="Times New Roman" w:eastAsia="Times New Roman" w:hAnsi="Times New Roman" w:cs="Times New Roman"/>
                <w:sz w:val="16"/>
                <w:szCs w:val="16"/>
              </w:rPr>
              <w:t>Intubación endotraqueal</w:t>
            </w:r>
          </w:p>
        </w:tc>
      </w:tr>
      <w:tr w:rsidR="00924992" w14:paraId="76F4E31A" w14:textId="77777777">
        <w:tblPrEx>
          <w:tblCellMar>
            <w:top w:w="0" w:type="dxa"/>
            <w:bottom w:w="0" w:type="dxa"/>
          </w:tblCellMar>
        </w:tblPrEx>
        <w:trPr>
          <w:trHeight w:hRule="exact" w:val="202"/>
        </w:trPr>
        <w:tc>
          <w:tcPr>
            <w:tcW w:w="1954" w:type="dxa"/>
            <w:shd w:val="clear" w:color="auto" w:fill="FFFFFF"/>
          </w:tcPr>
          <w:p w14:paraId="69DE0A78" w14:textId="77777777" w:rsidR="00924992" w:rsidRDefault="00924992">
            <w:pPr>
              <w:framePr w:w="11376" w:h="6077" w:vSpace="634" w:wrap="none" w:hAnchor="page" w:x="625" w:y="351"/>
              <w:rPr>
                <w:sz w:val="10"/>
                <w:szCs w:val="10"/>
              </w:rPr>
            </w:pPr>
          </w:p>
        </w:tc>
        <w:tc>
          <w:tcPr>
            <w:tcW w:w="4742" w:type="dxa"/>
            <w:shd w:val="clear" w:color="auto" w:fill="FFFFFF"/>
            <w:vAlign w:val="bottom"/>
          </w:tcPr>
          <w:p w14:paraId="06447ACF" w14:textId="77777777" w:rsidR="00924992" w:rsidRDefault="00924992">
            <w:pPr>
              <w:pStyle w:val="Other0"/>
              <w:framePr w:w="11376" w:h="6077" w:vSpace="634" w:wrap="none" w:hAnchor="page" w:x="625" w:y="351"/>
              <w:spacing w:line="240" w:lineRule="auto"/>
              <w:ind w:firstLine="320"/>
              <w:rPr>
                <w:sz w:val="16"/>
                <w:szCs w:val="16"/>
              </w:rPr>
            </w:pPr>
            <w:r>
              <w:rPr>
                <w:rFonts w:ascii="Times New Roman" w:eastAsia="Times New Roman" w:hAnsi="Times New Roman" w:cs="Times New Roman"/>
                <w:sz w:val="16"/>
                <w:szCs w:val="16"/>
              </w:rPr>
              <w:t>Operaciones quirúrgicas que abarcan la mucosa</w:t>
            </w:r>
          </w:p>
        </w:tc>
        <w:tc>
          <w:tcPr>
            <w:tcW w:w="4680" w:type="dxa"/>
            <w:shd w:val="clear" w:color="auto" w:fill="FFFFFF"/>
            <w:vAlign w:val="bottom"/>
          </w:tcPr>
          <w:p w14:paraId="0C28092E" w14:textId="77777777" w:rsidR="00924992" w:rsidRDefault="00924992">
            <w:pPr>
              <w:pStyle w:val="Other0"/>
              <w:framePr w:w="11376" w:h="6077" w:vSpace="634" w:wrap="none" w:hAnchor="page" w:x="625" w:y="351"/>
              <w:spacing w:line="240" w:lineRule="auto"/>
              <w:ind w:firstLine="0"/>
              <w:rPr>
                <w:sz w:val="16"/>
                <w:szCs w:val="16"/>
              </w:rPr>
            </w:pPr>
            <w:r>
              <w:rPr>
                <w:rFonts w:ascii="Times New Roman" w:eastAsia="Times New Roman" w:hAnsi="Times New Roman" w:cs="Times New Roman"/>
                <w:sz w:val="16"/>
                <w:szCs w:val="16"/>
              </w:rPr>
              <w:t>Broncoscopia con aparato flexible, con toma de material de</w:t>
            </w:r>
          </w:p>
        </w:tc>
      </w:tr>
      <w:tr w:rsidR="00924992" w14:paraId="7B2412ED" w14:textId="77777777">
        <w:tblPrEx>
          <w:tblCellMar>
            <w:top w:w="0" w:type="dxa"/>
            <w:bottom w:w="0" w:type="dxa"/>
          </w:tblCellMar>
        </w:tblPrEx>
        <w:trPr>
          <w:trHeight w:hRule="exact" w:val="197"/>
        </w:trPr>
        <w:tc>
          <w:tcPr>
            <w:tcW w:w="1954" w:type="dxa"/>
            <w:shd w:val="clear" w:color="auto" w:fill="FFFFFF"/>
          </w:tcPr>
          <w:p w14:paraId="2BB961E5" w14:textId="77777777" w:rsidR="00924992" w:rsidRDefault="00924992">
            <w:pPr>
              <w:framePr w:w="11376" w:h="6077" w:vSpace="634" w:wrap="none" w:hAnchor="page" w:x="625" w:y="351"/>
              <w:rPr>
                <w:sz w:val="10"/>
                <w:szCs w:val="10"/>
              </w:rPr>
            </w:pPr>
          </w:p>
        </w:tc>
        <w:tc>
          <w:tcPr>
            <w:tcW w:w="4742" w:type="dxa"/>
            <w:shd w:val="clear" w:color="auto" w:fill="FFFFFF"/>
          </w:tcPr>
          <w:p w14:paraId="01ED5501" w14:textId="77777777" w:rsidR="00924992" w:rsidRDefault="00924992">
            <w:pPr>
              <w:pStyle w:val="Other0"/>
              <w:framePr w:w="11376" w:h="6077" w:vSpace="634" w:wrap="none" w:hAnchor="page" w:x="625" w:y="351"/>
              <w:spacing w:line="240" w:lineRule="auto"/>
              <w:ind w:firstLine="420"/>
              <w:rPr>
                <w:sz w:val="16"/>
                <w:szCs w:val="16"/>
              </w:rPr>
            </w:pPr>
            <w:r>
              <w:rPr>
                <w:rFonts w:ascii="Times New Roman" w:eastAsia="Times New Roman" w:hAnsi="Times New Roman" w:cs="Times New Roman"/>
                <w:sz w:val="16"/>
                <w:szCs w:val="16"/>
              </w:rPr>
              <w:t>de vías respiratorias</w:t>
            </w:r>
          </w:p>
        </w:tc>
        <w:tc>
          <w:tcPr>
            <w:tcW w:w="4680" w:type="dxa"/>
            <w:shd w:val="clear" w:color="auto" w:fill="FFFFFF"/>
          </w:tcPr>
          <w:p w14:paraId="08E2AD6E" w14:textId="77777777" w:rsidR="00924992" w:rsidRDefault="00924992">
            <w:pPr>
              <w:pStyle w:val="Other0"/>
              <w:framePr w:w="11376" w:h="6077" w:vSpace="634" w:wrap="none" w:hAnchor="page" w:x="625" w:y="351"/>
              <w:spacing w:line="240" w:lineRule="auto"/>
              <w:ind w:firstLine="220"/>
              <w:rPr>
                <w:sz w:val="16"/>
                <w:szCs w:val="16"/>
              </w:rPr>
            </w:pPr>
            <w:r>
              <w:rPr>
                <w:rFonts w:ascii="Times New Roman" w:eastAsia="Times New Roman" w:hAnsi="Times New Roman" w:cs="Times New Roman"/>
                <w:sz w:val="16"/>
                <w:szCs w:val="16"/>
              </w:rPr>
              <w:t>biopsia</w:t>
            </w:r>
            <w:r>
              <w:rPr>
                <w:rFonts w:ascii="Times New Roman" w:eastAsia="Times New Roman" w:hAnsi="Times New Roman" w:cs="Times New Roman"/>
                <w:sz w:val="16"/>
                <w:szCs w:val="16"/>
                <w:vertAlign w:val="superscript"/>
              </w:rPr>
              <w:t>2</w:t>
            </w:r>
            <w:r>
              <w:rPr>
                <w:rFonts w:ascii="Times New Roman" w:eastAsia="Times New Roman" w:hAnsi="Times New Roman" w:cs="Times New Roman"/>
                <w:sz w:val="16"/>
                <w:szCs w:val="16"/>
              </w:rPr>
              <w:t xml:space="preserve"> o sin ella</w:t>
            </w:r>
          </w:p>
        </w:tc>
      </w:tr>
      <w:tr w:rsidR="00924992" w14:paraId="7720B033" w14:textId="77777777">
        <w:tblPrEx>
          <w:tblCellMar>
            <w:top w:w="0" w:type="dxa"/>
            <w:bottom w:w="0" w:type="dxa"/>
          </w:tblCellMar>
        </w:tblPrEx>
        <w:trPr>
          <w:trHeight w:hRule="exact" w:val="202"/>
        </w:trPr>
        <w:tc>
          <w:tcPr>
            <w:tcW w:w="1954" w:type="dxa"/>
            <w:shd w:val="clear" w:color="auto" w:fill="FFFFFF"/>
          </w:tcPr>
          <w:p w14:paraId="31F70740" w14:textId="77777777" w:rsidR="00924992" w:rsidRDefault="00924992">
            <w:pPr>
              <w:framePr w:w="11376" w:h="6077" w:vSpace="634" w:wrap="none" w:hAnchor="page" w:x="625" w:y="351"/>
              <w:rPr>
                <w:sz w:val="10"/>
                <w:szCs w:val="10"/>
              </w:rPr>
            </w:pPr>
          </w:p>
        </w:tc>
        <w:tc>
          <w:tcPr>
            <w:tcW w:w="4742" w:type="dxa"/>
            <w:shd w:val="clear" w:color="auto" w:fill="FFFFFF"/>
            <w:vAlign w:val="bottom"/>
          </w:tcPr>
          <w:p w14:paraId="6CDDE1DD" w14:textId="77777777" w:rsidR="00924992" w:rsidRDefault="00924992">
            <w:pPr>
              <w:pStyle w:val="Other0"/>
              <w:framePr w:w="11376" w:h="6077" w:vSpace="634" w:wrap="none" w:hAnchor="page" w:x="625" w:y="351"/>
              <w:spacing w:line="240" w:lineRule="auto"/>
              <w:ind w:firstLine="320"/>
              <w:rPr>
                <w:sz w:val="16"/>
                <w:szCs w:val="16"/>
              </w:rPr>
            </w:pPr>
            <w:r>
              <w:rPr>
                <w:rFonts w:ascii="Times New Roman" w:eastAsia="Times New Roman" w:hAnsi="Times New Roman" w:cs="Times New Roman"/>
                <w:sz w:val="16"/>
                <w:szCs w:val="16"/>
              </w:rPr>
              <w:t>Broncoscopia (aparato rígido)</w:t>
            </w:r>
          </w:p>
        </w:tc>
        <w:tc>
          <w:tcPr>
            <w:tcW w:w="4680" w:type="dxa"/>
            <w:shd w:val="clear" w:color="auto" w:fill="FFFFFF"/>
            <w:vAlign w:val="bottom"/>
          </w:tcPr>
          <w:p w14:paraId="172EBD4B" w14:textId="77777777" w:rsidR="00924992" w:rsidRDefault="00924992">
            <w:pPr>
              <w:pStyle w:val="Other0"/>
              <w:framePr w:w="11376" w:h="6077" w:vSpace="634" w:wrap="none" w:hAnchor="page" w:x="625" w:y="351"/>
              <w:spacing w:line="240" w:lineRule="auto"/>
              <w:ind w:firstLine="0"/>
              <w:rPr>
                <w:sz w:val="16"/>
                <w:szCs w:val="16"/>
              </w:rPr>
            </w:pPr>
            <w:r>
              <w:rPr>
                <w:rFonts w:ascii="Times New Roman" w:eastAsia="Times New Roman" w:hAnsi="Times New Roman" w:cs="Times New Roman"/>
                <w:sz w:val="16"/>
                <w:szCs w:val="16"/>
              </w:rPr>
              <w:t>Introducción de sonda de timpanostomía</w:t>
            </w:r>
          </w:p>
        </w:tc>
      </w:tr>
      <w:tr w:rsidR="00924992" w14:paraId="0C74745E" w14:textId="77777777">
        <w:tblPrEx>
          <w:tblCellMar>
            <w:top w:w="0" w:type="dxa"/>
            <w:bottom w:w="0" w:type="dxa"/>
          </w:tblCellMar>
        </w:tblPrEx>
        <w:trPr>
          <w:trHeight w:hRule="exact" w:val="202"/>
        </w:trPr>
        <w:tc>
          <w:tcPr>
            <w:tcW w:w="1954" w:type="dxa"/>
            <w:shd w:val="clear" w:color="auto" w:fill="FFFFFF"/>
            <w:vAlign w:val="bottom"/>
          </w:tcPr>
          <w:p w14:paraId="3C147915" w14:textId="77777777" w:rsidR="00924992" w:rsidRDefault="00924992">
            <w:pPr>
              <w:pStyle w:val="Other0"/>
              <w:framePr w:w="11376" w:h="6077" w:vSpace="634" w:wrap="none" w:hAnchor="page" w:x="625" w:y="351"/>
              <w:spacing w:line="240" w:lineRule="auto"/>
              <w:ind w:firstLine="0"/>
              <w:rPr>
                <w:sz w:val="16"/>
                <w:szCs w:val="16"/>
              </w:rPr>
            </w:pPr>
            <w:r>
              <w:rPr>
                <w:rFonts w:ascii="Times New Roman" w:eastAsia="Times New Roman" w:hAnsi="Times New Roman" w:cs="Times New Roman"/>
                <w:sz w:val="16"/>
                <w:szCs w:val="16"/>
              </w:rPr>
              <w:t>Vías gastrointestinales</w:t>
            </w:r>
            <w:r>
              <w:rPr>
                <w:rFonts w:ascii="Times New Roman" w:eastAsia="Times New Roman" w:hAnsi="Times New Roman" w:cs="Times New Roman"/>
                <w:sz w:val="16"/>
                <w:szCs w:val="16"/>
                <w:vertAlign w:val="superscript"/>
              </w:rPr>
              <w:t>3</w:t>
            </w:r>
          </w:p>
        </w:tc>
        <w:tc>
          <w:tcPr>
            <w:tcW w:w="4742" w:type="dxa"/>
            <w:shd w:val="clear" w:color="auto" w:fill="FFFFFF"/>
            <w:vAlign w:val="bottom"/>
          </w:tcPr>
          <w:p w14:paraId="7875EB79" w14:textId="77777777" w:rsidR="00924992" w:rsidRDefault="00924992">
            <w:pPr>
              <w:pStyle w:val="Other0"/>
              <w:framePr w:w="11376" w:h="6077" w:vSpace="634" w:wrap="none" w:hAnchor="page" w:x="625" w:y="351"/>
              <w:spacing w:line="240" w:lineRule="auto"/>
              <w:ind w:firstLine="320"/>
              <w:rPr>
                <w:sz w:val="16"/>
                <w:szCs w:val="16"/>
              </w:rPr>
            </w:pPr>
            <w:r>
              <w:rPr>
                <w:rFonts w:ascii="Times New Roman" w:eastAsia="Times New Roman" w:hAnsi="Times New Roman" w:cs="Times New Roman"/>
                <w:sz w:val="16"/>
                <w:szCs w:val="16"/>
              </w:rPr>
              <w:t>Escleroterapia para tratar várices esofágicas</w:t>
            </w:r>
          </w:p>
        </w:tc>
        <w:tc>
          <w:tcPr>
            <w:tcW w:w="4680" w:type="dxa"/>
            <w:shd w:val="clear" w:color="auto" w:fill="FFFFFF"/>
            <w:vAlign w:val="bottom"/>
          </w:tcPr>
          <w:p w14:paraId="5ED780C8" w14:textId="77777777" w:rsidR="00924992" w:rsidRDefault="00924992">
            <w:pPr>
              <w:pStyle w:val="Other0"/>
              <w:framePr w:w="11376" w:h="6077" w:vSpace="634" w:wrap="none" w:hAnchor="page" w:x="625" w:y="351"/>
              <w:spacing w:line="240" w:lineRule="auto"/>
              <w:ind w:firstLine="0"/>
              <w:rPr>
                <w:sz w:val="16"/>
                <w:szCs w:val="16"/>
              </w:rPr>
            </w:pPr>
            <w:r>
              <w:rPr>
                <w:rFonts w:ascii="Times New Roman" w:eastAsia="Times New Roman" w:hAnsi="Times New Roman" w:cs="Times New Roman"/>
                <w:sz w:val="16"/>
                <w:szCs w:val="16"/>
              </w:rPr>
              <w:t>Ecocardiografía transesofágica</w:t>
            </w:r>
            <w:r>
              <w:rPr>
                <w:rFonts w:ascii="Times New Roman" w:eastAsia="Times New Roman" w:hAnsi="Times New Roman" w:cs="Times New Roman"/>
                <w:sz w:val="16"/>
                <w:szCs w:val="16"/>
                <w:vertAlign w:val="superscript"/>
              </w:rPr>
              <w:t>2</w:t>
            </w:r>
          </w:p>
        </w:tc>
      </w:tr>
      <w:tr w:rsidR="00924992" w14:paraId="43D9042B" w14:textId="77777777">
        <w:tblPrEx>
          <w:tblCellMar>
            <w:top w:w="0" w:type="dxa"/>
            <w:bottom w:w="0" w:type="dxa"/>
          </w:tblCellMar>
        </w:tblPrEx>
        <w:trPr>
          <w:trHeight w:hRule="exact" w:val="182"/>
        </w:trPr>
        <w:tc>
          <w:tcPr>
            <w:tcW w:w="1954" w:type="dxa"/>
            <w:shd w:val="clear" w:color="auto" w:fill="FFFFFF"/>
          </w:tcPr>
          <w:p w14:paraId="6AA0E95A" w14:textId="77777777" w:rsidR="00924992" w:rsidRDefault="00924992">
            <w:pPr>
              <w:framePr w:w="11376" w:h="6077" w:vSpace="634" w:wrap="none" w:hAnchor="page" w:x="625" w:y="351"/>
              <w:rPr>
                <w:sz w:val="10"/>
                <w:szCs w:val="10"/>
              </w:rPr>
            </w:pPr>
          </w:p>
        </w:tc>
        <w:tc>
          <w:tcPr>
            <w:tcW w:w="4742" w:type="dxa"/>
            <w:shd w:val="clear" w:color="auto" w:fill="FFFFFF"/>
            <w:vAlign w:val="bottom"/>
          </w:tcPr>
          <w:p w14:paraId="3A250C2B" w14:textId="77777777" w:rsidR="00924992" w:rsidRDefault="00924992">
            <w:pPr>
              <w:pStyle w:val="Other0"/>
              <w:framePr w:w="11376" w:h="6077" w:vSpace="634" w:wrap="none" w:hAnchor="page" w:x="625" w:y="351"/>
              <w:spacing w:line="240" w:lineRule="auto"/>
              <w:ind w:firstLine="320"/>
              <w:rPr>
                <w:sz w:val="16"/>
                <w:szCs w:val="16"/>
              </w:rPr>
            </w:pPr>
            <w:r>
              <w:rPr>
                <w:rFonts w:ascii="Times New Roman" w:eastAsia="Times New Roman" w:hAnsi="Times New Roman" w:cs="Times New Roman"/>
                <w:sz w:val="16"/>
                <w:szCs w:val="16"/>
              </w:rPr>
              <w:t>Dilatación de estenosis en esófago</w:t>
            </w:r>
          </w:p>
        </w:tc>
        <w:tc>
          <w:tcPr>
            <w:tcW w:w="4680" w:type="dxa"/>
            <w:shd w:val="clear" w:color="auto" w:fill="FFFFFF"/>
            <w:vAlign w:val="bottom"/>
          </w:tcPr>
          <w:p w14:paraId="3A50ABBB" w14:textId="77777777" w:rsidR="00924992" w:rsidRDefault="00924992">
            <w:pPr>
              <w:pStyle w:val="Other0"/>
              <w:framePr w:w="11376" w:h="6077" w:vSpace="634" w:wrap="none" w:hAnchor="page" w:x="625" w:y="351"/>
              <w:spacing w:line="240" w:lineRule="auto"/>
              <w:ind w:firstLine="0"/>
              <w:rPr>
                <w:sz w:val="16"/>
                <w:szCs w:val="16"/>
              </w:rPr>
            </w:pPr>
            <w:r>
              <w:rPr>
                <w:rFonts w:ascii="Times New Roman" w:eastAsia="Times New Roman" w:hAnsi="Times New Roman" w:cs="Times New Roman"/>
                <w:sz w:val="16"/>
                <w:szCs w:val="16"/>
              </w:rPr>
              <w:t>Endoscopia con toma de material de biopsia de vías</w:t>
            </w:r>
          </w:p>
        </w:tc>
      </w:tr>
      <w:tr w:rsidR="00924992" w14:paraId="1D68875B" w14:textId="77777777">
        <w:tblPrEx>
          <w:tblCellMar>
            <w:top w:w="0" w:type="dxa"/>
            <w:bottom w:w="0" w:type="dxa"/>
          </w:tblCellMar>
        </w:tblPrEx>
        <w:trPr>
          <w:trHeight w:hRule="exact" w:val="1018"/>
        </w:trPr>
        <w:tc>
          <w:tcPr>
            <w:tcW w:w="1954" w:type="dxa"/>
            <w:shd w:val="clear" w:color="auto" w:fill="FFFFFF"/>
          </w:tcPr>
          <w:p w14:paraId="7781BA49" w14:textId="77777777" w:rsidR="00924992" w:rsidRDefault="00924992">
            <w:pPr>
              <w:framePr w:w="11376" w:h="6077" w:vSpace="634" w:wrap="none" w:hAnchor="page" w:x="625" w:y="351"/>
              <w:rPr>
                <w:sz w:val="10"/>
                <w:szCs w:val="10"/>
              </w:rPr>
            </w:pPr>
          </w:p>
        </w:tc>
        <w:tc>
          <w:tcPr>
            <w:tcW w:w="4742" w:type="dxa"/>
            <w:shd w:val="clear" w:color="auto" w:fill="FFFFFF"/>
            <w:vAlign w:val="bottom"/>
          </w:tcPr>
          <w:p w14:paraId="46D48C76" w14:textId="77777777" w:rsidR="00924992" w:rsidRDefault="00924992">
            <w:pPr>
              <w:pStyle w:val="Other0"/>
              <w:framePr w:w="11376" w:h="6077" w:vSpace="634" w:wrap="none" w:hAnchor="page" w:x="625" w:y="351"/>
              <w:spacing w:line="264" w:lineRule="auto"/>
              <w:ind w:left="420" w:hanging="100"/>
              <w:rPr>
                <w:sz w:val="16"/>
                <w:szCs w:val="16"/>
              </w:rPr>
            </w:pPr>
            <w:r>
              <w:rPr>
                <w:rFonts w:ascii="Times New Roman" w:eastAsia="Times New Roman" w:hAnsi="Times New Roman" w:cs="Times New Roman"/>
                <w:sz w:val="16"/>
                <w:szCs w:val="16"/>
              </w:rPr>
              <w:t>Colangiografía retrógrada endoscópica con obstrucción de vías biliares</w:t>
            </w:r>
          </w:p>
          <w:p w14:paraId="631D7424" w14:textId="77777777" w:rsidR="00924992" w:rsidRDefault="00924992">
            <w:pPr>
              <w:pStyle w:val="Other0"/>
              <w:framePr w:w="11376" w:h="6077" w:vSpace="634" w:wrap="none" w:hAnchor="page" w:x="625" w:y="351"/>
              <w:spacing w:line="264" w:lineRule="auto"/>
              <w:ind w:firstLine="320"/>
              <w:rPr>
                <w:sz w:val="16"/>
                <w:szCs w:val="16"/>
              </w:rPr>
            </w:pPr>
            <w:r>
              <w:rPr>
                <w:rFonts w:ascii="Times New Roman" w:eastAsia="Times New Roman" w:hAnsi="Times New Roman" w:cs="Times New Roman"/>
                <w:sz w:val="16"/>
                <w:szCs w:val="16"/>
              </w:rPr>
              <w:t>Operaciones de vías biliares</w:t>
            </w:r>
          </w:p>
          <w:p w14:paraId="7BFD6AC8" w14:textId="77777777" w:rsidR="00924992" w:rsidRDefault="00924992">
            <w:pPr>
              <w:pStyle w:val="Other0"/>
              <w:framePr w:w="11376" w:h="6077" w:vSpace="634" w:wrap="none" w:hAnchor="page" w:x="625" w:y="351"/>
              <w:spacing w:line="264" w:lineRule="auto"/>
              <w:ind w:firstLine="320"/>
              <w:rPr>
                <w:sz w:val="16"/>
                <w:szCs w:val="16"/>
              </w:rPr>
            </w:pPr>
            <w:r>
              <w:rPr>
                <w:rFonts w:ascii="Times New Roman" w:eastAsia="Times New Roman" w:hAnsi="Times New Roman" w:cs="Times New Roman"/>
                <w:sz w:val="16"/>
                <w:szCs w:val="16"/>
              </w:rPr>
              <w:t>Operaciones quirúrgicas que incluyen la mucosa de intestinos</w:t>
            </w:r>
          </w:p>
          <w:p w14:paraId="43F67577" w14:textId="77777777" w:rsidR="00924992" w:rsidRDefault="00924992">
            <w:pPr>
              <w:pStyle w:val="Other0"/>
              <w:framePr w:w="11376" w:h="6077" w:vSpace="634" w:wrap="none" w:hAnchor="page" w:x="625" w:y="351"/>
              <w:spacing w:line="264" w:lineRule="auto"/>
              <w:ind w:firstLine="320"/>
              <w:rPr>
                <w:sz w:val="16"/>
                <w:szCs w:val="16"/>
              </w:rPr>
            </w:pPr>
            <w:r>
              <w:rPr>
                <w:rFonts w:ascii="Times New Roman" w:eastAsia="Times New Roman" w:hAnsi="Times New Roman" w:cs="Times New Roman"/>
                <w:sz w:val="16"/>
                <w:szCs w:val="16"/>
              </w:rPr>
              <w:t>Operaciones de próstata</w:t>
            </w:r>
          </w:p>
        </w:tc>
        <w:tc>
          <w:tcPr>
            <w:tcW w:w="4680" w:type="dxa"/>
            <w:shd w:val="clear" w:color="auto" w:fill="FFFFFF"/>
          </w:tcPr>
          <w:p w14:paraId="610524FA" w14:textId="77777777" w:rsidR="00924992" w:rsidRDefault="00924992">
            <w:pPr>
              <w:pStyle w:val="Other0"/>
              <w:framePr w:w="11376" w:h="6077" w:vSpace="634" w:wrap="none" w:hAnchor="page" w:x="625" w:y="351"/>
              <w:spacing w:line="240" w:lineRule="auto"/>
              <w:ind w:firstLine="220"/>
              <w:rPr>
                <w:sz w:val="16"/>
                <w:szCs w:val="16"/>
              </w:rPr>
            </w:pPr>
            <w:r>
              <w:rPr>
                <w:rFonts w:ascii="Times New Roman" w:eastAsia="Times New Roman" w:hAnsi="Times New Roman" w:cs="Times New Roman"/>
                <w:sz w:val="16"/>
                <w:szCs w:val="16"/>
              </w:rPr>
              <w:t>gastrointestinales o sin ella</w:t>
            </w:r>
            <w:r>
              <w:rPr>
                <w:rFonts w:ascii="Times New Roman" w:eastAsia="Times New Roman" w:hAnsi="Times New Roman" w:cs="Times New Roman"/>
                <w:sz w:val="16"/>
                <w:szCs w:val="16"/>
                <w:vertAlign w:val="superscript"/>
              </w:rPr>
              <w:t>2</w:t>
            </w:r>
          </w:p>
        </w:tc>
      </w:tr>
      <w:tr w:rsidR="00924992" w14:paraId="6193FF84" w14:textId="77777777">
        <w:tblPrEx>
          <w:tblCellMar>
            <w:top w:w="0" w:type="dxa"/>
            <w:bottom w:w="0" w:type="dxa"/>
          </w:tblCellMar>
        </w:tblPrEx>
        <w:trPr>
          <w:trHeight w:hRule="exact" w:val="197"/>
        </w:trPr>
        <w:tc>
          <w:tcPr>
            <w:tcW w:w="1954" w:type="dxa"/>
            <w:shd w:val="clear" w:color="auto" w:fill="FFFFFF"/>
            <w:vAlign w:val="bottom"/>
          </w:tcPr>
          <w:p w14:paraId="4E1D5D30" w14:textId="77777777" w:rsidR="00924992" w:rsidRDefault="00924992">
            <w:pPr>
              <w:pStyle w:val="Other0"/>
              <w:framePr w:w="11376" w:h="6077" w:vSpace="634" w:wrap="none" w:hAnchor="page" w:x="625" w:y="351"/>
              <w:spacing w:line="240" w:lineRule="auto"/>
              <w:ind w:firstLine="0"/>
              <w:rPr>
                <w:sz w:val="16"/>
                <w:szCs w:val="16"/>
              </w:rPr>
            </w:pPr>
            <w:r>
              <w:rPr>
                <w:rFonts w:ascii="Times New Roman" w:eastAsia="Times New Roman" w:hAnsi="Times New Roman" w:cs="Times New Roman"/>
                <w:sz w:val="16"/>
                <w:szCs w:val="16"/>
              </w:rPr>
              <w:t>Vías genitourinarias</w:t>
            </w:r>
          </w:p>
        </w:tc>
        <w:tc>
          <w:tcPr>
            <w:tcW w:w="4742" w:type="dxa"/>
            <w:shd w:val="clear" w:color="auto" w:fill="FFFFFF"/>
            <w:vAlign w:val="bottom"/>
          </w:tcPr>
          <w:p w14:paraId="578CDDF1" w14:textId="77777777" w:rsidR="00924992" w:rsidRDefault="00924992">
            <w:pPr>
              <w:pStyle w:val="Other0"/>
              <w:framePr w:w="11376" w:h="6077" w:vSpace="634" w:wrap="none" w:hAnchor="page" w:x="625" w:y="351"/>
              <w:spacing w:line="240" w:lineRule="auto"/>
              <w:ind w:firstLine="320"/>
              <w:rPr>
                <w:sz w:val="16"/>
                <w:szCs w:val="16"/>
              </w:rPr>
            </w:pPr>
            <w:r>
              <w:rPr>
                <w:rFonts w:ascii="Times New Roman" w:eastAsia="Times New Roman" w:hAnsi="Times New Roman" w:cs="Times New Roman"/>
                <w:sz w:val="16"/>
                <w:szCs w:val="16"/>
              </w:rPr>
              <w:t>Cistoscopia</w:t>
            </w:r>
          </w:p>
        </w:tc>
        <w:tc>
          <w:tcPr>
            <w:tcW w:w="4680" w:type="dxa"/>
            <w:shd w:val="clear" w:color="auto" w:fill="FFFFFF"/>
            <w:vAlign w:val="bottom"/>
          </w:tcPr>
          <w:p w14:paraId="522B48C8" w14:textId="77777777" w:rsidR="00924992" w:rsidRDefault="00924992">
            <w:pPr>
              <w:pStyle w:val="Other0"/>
              <w:framePr w:w="11376" w:h="6077" w:vSpace="634" w:wrap="none" w:hAnchor="page" w:x="625" w:y="351"/>
              <w:spacing w:line="240" w:lineRule="auto"/>
              <w:ind w:firstLine="0"/>
              <w:rPr>
                <w:sz w:val="16"/>
                <w:szCs w:val="16"/>
              </w:rPr>
            </w:pPr>
            <w:r>
              <w:rPr>
                <w:rFonts w:ascii="Times New Roman" w:eastAsia="Times New Roman" w:hAnsi="Times New Roman" w:cs="Times New Roman"/>
                <w:sz w:val="16"/>
                <w:szCs w:val="16"/>
              </w:rPr>
              <w:t>Histerectomía vaginal</w:t>
            </w:r>
            <w:r>
              <w:rPr>
                <w:rFonts w:ascii="Times New Roman" w:eastAsia="Times New Roman" w:hAnsi="Times New Roman" w:cs="Times New Roman"/>
                <w:sz w:val="16"/>
                <w:szCs w:val="16"/>
                <w:vertAlign w:val="superscript"/>
              </w:rPr>
              <w:t>2</w:t>
            </w:r>
          </w:p>
        </w:tc>
      </w:tr>
      <w:tr w:rsidR="00924992" w14:paraId="352839E3" w14:textId="77777777">
        <w:tblPrEx>
          <w:tblCellMar>
            <w:top w:w="0" w:type="dxa"/>
            <w:bottom w:w="0" w:type="dxa"/>
          </w:tblCellMar>
        </w:tblPrEx>
        <w:trPr>
          <w:trHeight w:hRule="exact" w:val="1584"/>
        </w:trPr>
        <w:tc>
          <w:tcPr>
            <w:tcW w:w="1954" w:type="dxa"/>
            <w:shd w:val="clear" w:color="auto" w:fill="FFFFFF"/>
          </w:tcPr>
          <w:p w14:paraId="05BE4326" w14:textId="77777777" w:rsidR="00924992" w:rsidRDefault="00924992">
            <w:pPr>
              <w:framePr w:w="11376" w:h="6077" w:vSpace="634" w:wrap="none" w:hAnchor="page" w:x="625" w:y="351"/>
              <w:rPr>
                <w:sz w:val="10"/>
                <w:szCs w:val="10"/>
              </w:rPr>
            </w:pPr>
          </w:p>
        </w:tc>
        <w:tc>
          <w:tcPr>
            <w:tcW w:w="4742" w:type="dxa"/>
            <w:shd w:val="clear" w:color="auto" w:fill="FFFFFF"/>
          </w:tcPr>
          <w:p w14:paraId="6F22B443" w14:textId="77777777" w:rsidR="00924992" w:rsidRDefault="00924992">
            <w:pPr>
              <w:pStyle w:val="Other0"/>
              <w:framePr w:w="11376" w:h="6077" w:vSpace="634" w:wrap="none" w:hAnchor="page" w:x="625" w:y="351"/>
              <w:spacing w:line="240" w:lineRule="auto"/>
              <w:ind w:firstLine="320"/>
              <w:rPr>
                <w:sz w:val="16"/>
                <w:szCs w:val="16"/>
              </w:rPr>
            </w:pPr>
            <w:r>
              <w:rPr>
                <w:rFonts w:ascii="Times New Roman" w:eastAsia="Times New Roman" w:hAnsi="Times New Roman" w:cs="Times New Roman"/>
                <w:sz w:val="16"/>
                <w:szCs w:val="16"/>
              </w:rPr>
              <w:t>Dilatación uretral</w:t>
            </w:r>
          </w:p>
        </w:tc>
        <w:tc>
          <w:tcPr>
            <w:tcW w:w="4680" w:type="dxa"/>
            <w:shd w:val="clear" w:color="auto" w:fill="FFFFFF"/>
            <w:vAlign w:val="bottom"/>
          </w:tcPr>
          <w:p w14:paraId="216A55AB" w14:textId="77777777" w:rsidR="00924992" w:rsidRDefault="00924992">
            <w:pPr>
              <w:pStyle w:val="Other0"/>
              <w:framePr w:w="11376" w:h="6077" w:vSpace="634" w:wrap="none" w:hAnchor="page" w:x="625" w:y="351"/>
              <w:spacing w:line="240" w:lineRule="auto"/>
              <w:ind w:firstLine="0"/>
              <w:rPr>
                <w:sz w:val="16"/>
                <w:szCs w:val="16"/>
              </w:rPr>
            </w:pPr>
            <w:r>
              <w:rPr>
                <w:rFonts w:ascii="Times New Roman" w:eastAsia="Times New Roman" w:hAnsi="Times New Roman" w:cs="Times New Roman"/>
                <w:sz w:val="16"/>
                <w:szCs w:val="16"/>
              </w:rPr>
              <w:t>Parto vaginal</w:t>
            </w:r>
            <w:r>
              <w:rPr>
                <w:rFonts w:ascii="Times New Roman" w:eastAsia="Times New Roman" w:hAnsi="Times New Roman" w:cs="Times New Roman"/>
                <w:sz w:val="16"/>
                <w:szCs w:val="16"/>
                <w:vertAlign w:val="superscript"/>
              </w:rPr>
              <w:t>2</w:t>
            </w:r>
          </w:p>
          <w:p w14:paraId="0765472F" w14:textId="77777777" w:rsidR="00924992" w:rsidRDefault="00924992">
            <w:pPr>
              <w:pStyle w:val="Other0"/>
              <w:framePr w:w="11376" w:h="6077" w:vSpace="634" w:wrap="none" w:hAnchor="page" w:x="625" w:y="351"/>
              <w:spacing w:line="240" w:lineRule="auto"/>
              <w:ind w:firstLine="0"/>
              <w:rPr>
                <w:sz w:val="16"/>
                <w:szCs w:val="16"/>
              </w:rPr>
            </w:pPr>
            <w:r>
              <w:rPr>
                <w:rFonts w:ascii="Times New Roman" w:eastAsia="Times New Roman" w:hAnsi="Times New Roman" w:cs="Times New Roman"/>
                <w:sz w:val="16"/>
                <w:szCs w:val="16"/>
              </w:rPr>
              <w:t>Nacimiento por cesárea</w:t>
            </w:r>
          </w:p>
          <w:p w14:paraId="5368832E" w14:textId="77777777" w:rsidR="00924992" w:rsidRDefault="00924992">
            <w:pPr>
              <w:pStyle w:val="Other0"/>
              <w:framePr w:w="11376" w:h="6077" w:vSpace="634" w:wrap="none" w:hAnchor="page" w:x="625" w:y="351"/>
              <w:spacing w:line="240" w:lineRule="auto"/>
              <w:ind w:firstLine="0"/>
              <w:rPr>
                <w:sz w:val="16"/>
                <w:szCs w:val="16"/>
              </w:rPr>
            </w:pPr>
            <w:r>
              <w:rPr>
                <w:rFonts w:ascii="Times New Roman" w:eastAsia="Times New Roman" w:hAnsi="Times New Roman" w:cs="Times New Roman"/>
                <w:sz w:val="16"/>
                <w:szCs w:val="16"/>
              </w:rPr>
              <w:t>En tejido no infectado:</w:t>
            </w:r>
          </w:p>
          <w:p w14:paraId="6B7D62E3" w14:textId="77777777" w:rsidR="00924992" w:rsidRDefault="00924992">
            <w:pPr>
              <w:pStyle w:val="Other0"/>
              <w:framePr w:w="11376" w:h="6077" w:vSpace="634" w:wrap="none" w:hAnchor="page" w:x="625" w:y="351"/>
              <w:spacing w:line="240" w:lineRule="auto"/>
              <w:ind w:firstLine="220"/>
              <w:rPr>
                <w:sz w:val="16"/>
                <w:szCs w:val="16"/>
              </w:rPr>
            </w:pPr>
            <w:r>
              <w:rPr>
                <w:rFonts w:ascii="Times New Roman" w:eastAsia="Times New Roman" w:hAnsi="Times New Roman" w:cs="Times New Roman"/>
                <w:sz w:val="16"/>
                <w:szCs w:val="16"/>
              </w:rPr>
              <w:t>Sondeo vesical</w:t>
            </w:r>
          </w:p>
          <w:p w14:paraId="44477CE0" w14:textId="77777777" w:rsidR="00924992" w:rsidRDefault="00924992">
            <w:pPr>
              <w:pStyle w:val="Other0"/>
              <w:framePr w:w="11376" w:h="6077" w:vSpace="634" w:wrap="none" w:hAnchor="page" w:x="625" w:y="351"/>
              <w:spacing w:line="240" w:lineRule="auto"/>
              <w:ind w:firstLine="220"/>
              <w:rPr>
                <w:sz w:val="16"/>
                <w:szCs w:val="16"/>
              </w:rPr>
            </w:pPr>
            <w:r>
              <w:rPr>
                <w:rFonts w:ascii="Times New Roman" w:eastAsia="Times New Roman" w:hAnsi="Times New Roman" w:cs="Times New Roman"/>
                <w:sz w:val="16"/>
                <w:szCs w:val="16"/>
              </w:rPr>
              <w:t>Dilatación y legrado uterinos</w:t>
            </w:r>
          </w:p>
          <w:p w14:paraId="058E721F" w14:textId="77777777" w:rsidR="00924992" w:rsidRDefault="00924992">
            <w:pPr>
              <w:pStyle w:val="Other0"/>
              <w:framePr w:w="11376" w:h="6077" w:vSpace="634" w:wrap="none" w:hAnchor="page" w:x="625" w:y="351"/>
              <w:spacing w:line="240" w:lineRule="auto"/>
              <w:ind w:firstLine="220"/>
              <w:rPr>
                <w:sz w:val="16"/>
                <w:szCs w:val="16"/>
              </w:rPr>
            </w:pPr>
            <w:r>
              <w:rPr>
                <w:rFonts w:ascii="Times New Roman" w:eastAsia="Times New Roman" w:hAnsi="Times New Roman" w:cs="Times New Roman"/>
                <w:sz w:val="16"/>
                <w:szCs w:val="16"/>
              </w:rPr>
              <w:t>Aborto terapéutico</w:t>
            </w:r>
          </w:p>
          <w:p w14:paraId="44BCD372" w14:textId="77777777" w:rsidR="00924992" w:rsidRDefault="00924992">
            <w:pPr>
              <w:pStyle w:val="Other0"/>
              <w:framePr w:w="11376" w:h="6077" w:vSpace="634" w:wrap="none" w:hAnchor="page" w:x="625" w:y="351"/>
              <w:spacing w:line="240" w:lineRule="auto"/>
              <w:ind w:firstLine="220"/>
              <w:rPr>
                <w:sz w:val="16"/>
                <w:szCs w:val="16"/>
              </w:rPr>
            </w:pPr>
            <w:r>
              <w:rPr>
                <w:rFonts w:ascii="Times New Roman" w:eastAsia="Times New Roman" w:hAnsi="Times New Roman" w:cs="Times New Roman"/>
                <w:sz w:val="16"/>
                <w:szCs w:val="16"/>
              </w:rPr>
              <w:t>Métodos de esterilización</w:t>
            </w:r>
          </w:p>
          <w:p w14:paraId="1B08A17F" w14:textId="77777777" w:rsidR="00924992" w:rsidRDefault="00924992">
            <w:pPr>
              <w:pStyle w:val="Other0"/>
              <w:framePr w:w="11376" w:h="6077" w:vSpace="634" w:wrap="none" w:hAnchor="page" w:x="625" w:y="351"/>
              <w:spacing w:line="240" w:lineRule="auto"/>
              <w:ind w:firstLine="220"/>
              <w:rPr>
                <w:sz w:val="16"/>
                <w:szCs w:val="16"/>
              </w:rPr>
            </w:pPr>
            <w:r>
              <w:rPr>
                <w:rFonts w:ascii="Times New Roman" w:eastAsia="Times New Roman" w:hAnsi="Times New Roman" w:cs="Times New Roman"/>
                <w:sz w:val="16"/>
                <w:szCs w:val="16"/>
              </w:rPr>
              <w:t>Colocación o extracción de dispositivos intrauterinos</w:t>
            </w:r>
          </w:p>
        </w:tc>
      </w:tr>
      <w:tr w:rsidR="00924992" w14:paraId="3CB1E234" w14:textId="77777777">
        <w:tblPrEx>
          <w:tblCellMar>
            <w:top w:w="0" w:type="dxa"/>
            <w:bottom w:w="0" w:type="dxa"/>
          </w:tblCellMar>
        </w:tblPrEx>
        <w:trPr>
          <w:trHeight w:hRule="exact" w:val="1315"/>
        </w:trPr>
        <w:tc>
          <w:tcPr>
            <w:tcW w:w="1954" w:type="dxa"/>
            <w:tcBorders>
              <w:bottom w:val="single" w:sz="4" w:space="0" w:color="auto"/>
            </w:tcBorders>
            <w:shd w:val="clear" w:color="auto" w:fill="FFFFFF"/>
          </w:tcPr>
          <w:p w14:paraId="63418E82" w14:textId="77777777" w:rsidR="00924992" w:rsidRDefault="00924992">
            <w:pPr>
              <w:pStyle w:val="Other0"/>
              <w:framePr w:w="11376" w:h="6077" w:vSpace="634" w:wrap="none" w:hAnchor="page" w:x="625" w:y="351"/>
              <w:spacing w:line="240" w:lineRule="auto"/>
              <w:ind w:firstLine="0"/>
              <w:rPr>
                <w:sz w:val="16"/>
                <w:szCs w:val="16"/>
              </w:rPr>
            </w:pPr>
            <w:r>
              <w:rPr>
                <w:rFonts w:ascii="Times New Roman" w:eastAsia="Times New Roman" w:hAnsi="Times New Roman" w:cs="Times New Roman"/>
                <w:sz w:val="16"/>
                <w:szCs w:val="16"/>
              </w:rPr>
              <w:t>Otras</w:t>
            </w:r>
          </w:p>
        </w:tc>
        <w:tc>
          <w:tcPr>
            <w:tcW w:w="4742" w:type="dxa"/>
            <w:tcBorders>
              <w:bottom w:val="single" w:sz="4" w:space="0" w:color="auto"/>
            </w:tcBorders>
            <w:shd w:val="clear" w:color="auto" w:fill="FFFFFF"/>
          </w:tcPr>
          <w:p w14:paraId="6504F148" w14:textId="77777777" w:rsidR="00924992" w:rsidRDefault="00924992">
            <w:pPr>
              <w:framePr w:w="11376" w:h="6077" w:vSpace="634" w:wrap="none" w:hAnchor="page" w:x="625" w:y="351"/>
              <w:rPr>
                <w:sz w:val="10"/>
                <w:szCs w:val="10"/>
              </w:rPr>
            </w:pPr>
          </w:p>
        </w:tc>
        <w:tc>
          <w:tcPr>
            <w:tcW w:w="4680" w:type="dxa"/>
            <w:tcBorders>
              <w:bottom w:val="single" w:sz="4" w:space="0" w:color="auto"/>
            </w:tcBorders>
            <w:shd w:val="clear" w:color="auto" w:fill="FFFFFF"/>
          </w:tcPr>
          <w:p w14:paraId="09A9521E" w14:textId="77777777" w:rsidR="00924992" w:rsidRDefault="00924992">
            <w:pPr>
              <w:pStyle w:val="Other0"/>
              <w:framePr w:w="11376" w:h="6077" w:vSpace="634" w:wrap="none" w:hAnchor="page" w:x="625" w:y="351"/>
              <w:spacing w:line="264" w:lineRule="auto"/>
              <w:ind w:firstLine="0"/>
              <w:rPr>
                <w:sz w:val="16"/>
                <w:szCs w:val="16"/>
              </w:rPr>
            </w:pPr>
            <w:r>
              <w:rPr>
                <w:rFonts w:ascii="Times New Roman" w:eastAsia="Times New Roman" w:hAnsi="Times New Roman" w:cs="Times New Roman"/>
                <w:sz w:val="16"/>
                <w:szCs w:val="16"/>
              </w:rPr>
              <w:t>Cateterismo cardiaco que incluye angioplastia con balón Implantación de marcapasos, de desfibriladores y de endoprótesis en coronarias</w:t>
            </w:r>
          </w:p>
          <w:p w14:paraId="3FBFFF26" w14:textId="77777777" w:rsidR="00924992" w:rsidRDefault="00924992">
            <w:pPr>
              <w:pStyle w:val="Other0"/>
              <w:framePr w:w="11376" w:h="6077" w:vSpace="634" w:wrap="none" w:hAnchor="page" w:x="625" w:y="351"/>
              <w:spacing w:line="264" w:lineRule="auto"/>
              <w:ind w:left="220" w:hanging="220"/>
              <w:rPr>
                <w:sz w:val="16"/>
                <w:szCs w:val="16"/>
              </w:rPr>
            </w:pPr>
            <w:r>
              <w:rPr>
                <w:rFonts w:ascii="Times New Roman" w:eastAsia="Times New Roman" w:hAnsi="Times New Roman" w:cs="Times New Roman"/>
                <w:sz w:val="16"/>
                <w:szCs w:val="16"/>
              </w:rPr>
              <w:t>Incisión o toma de material de biopsia en la piel preparada asépticamente</w:t>
            </w:r>
          </w:p>
          <w:p w14:paraId="43AC1BC3" w14:textId="77777777" w:rsidR="00924992" w:rsidRDefault="00924992">
            <w:pPr>
              <w:pStyle w:val="Other0"/>
              <w:framePr w:w="11376" w:h="6077" w:vSpace="634" w:wrap="none" w:hAnchor="page" w:x="625" w:y="351"/>
              <w:spacing w:line="264" w:lineRule="auto"/>
              <w:ind w:firstLine="0"/>
              <w:rPr>
                <w:sz w:val="16"/>
                <w:szCs w:val="16"/>
              </w:rPr>
            </w:pPr>
            <w:r>
              <w:rPr>
                <w:rFonts w:ascii="Times New Roman" w:eastAsia="Times New Roman" w:hAnsi="Times New Roman" w:cs="Times New Roman"/>
                <w:sz w:val="16"/>
                <w:szCs w:val="16"/>
              </w:rPr>
              <w:t>Circuncisión</w:t>
            </w:r>
          </w:p>
        </w:tc>
      </w:tr>
    </w:tbl>
    <w:p w14:paraId="0F3FC0FB" w14:textId="77777777" w:rsidR="00924992" w:rsidRDefault="00924992">
      <w:pPr>
        <w:framePr w:w="11376" w:h="6077" w:vSpace="634" w:wrap="none" w:hAnchor="page" w:x="625" w:y="351"/>
        <w:spacing w:line="1" w:lineRule="exact"/>
      </w:pPr>
    </w:p>
    <w:p w14:paraId="1BDB19BA" w14:textId="77777777" w:rsidR="00924992" w:rsidRDefault="00924992">
      <w:pPr>
        <w:pStyle w:val="Tablecaption0"/>
        <w:framePr w:w="5789" w:h="576" w:wrap="none" w:hAnchor="page" w:x="678" w:y="6485"/>
        <w:numPr>
          <w:ilvl w:val="0"/>
          <w:numId w:val="148"/>
        </w:numPr>
        <w:tabs>
          <w:tab w:val="left" w:pos="163"/>
        </w:tabs>
        <w:spacing w:line="240" w:lineRule="auto"/>
        <w:ind w:left="0"/>
      </w:pPr>
      <w:r>
        <w:t>Se recomienda la profilaxia en trastornos cardiacos y de riesgo alto y moderado.</w:t>
      </w:r>
    </w:p>
    <w:p w14:paraId="3F76C56B" w14:textId="77777777" w:rsidR="00924992" w:rsidRDefault="00924992">
      <w:pPr>
        <w:pStyle w:val="Tablecaption0"/>
        <w:framePr w:w="5789" w:h="576" w:wrap="none" w:hAnchor="page" w:x="678" w:y="6485"/>
        <w:numPr>
          <w:ilvl w:val="0"/>
          <w:numId w:val="148"/>
        </w:numPr>
        <w:tabs>
          <w:tab w:val="left" w:pos="173"/>
        </w:tabs>
        <w:spacing w:line="240" w:lineRule="auto"/>
        <w:ind w:left="0"/>
      </w:pPr>
      <w:r>
        <w:t>La profilaxia es opcional en pacientes de alto riesgo.</w:t>
      </w:r>
    </w:p>
    <w:p w14:paraId="4A807356" w14:textId="77777777" w:rsidR="00924992" w:rsidRDefault="00924992">
      <w:pPr>
        <w:pStyle w:val="Tablecaption0"/>
        <w:framePr w:w="5789" w:h="576" w:wrap="none" w:hAnchor="page" w:x="678" w:y="6485"/>
        <w:numPr>
          <w:ilvl w:val="0"/>
          <w:numId w:val="148"/>
        </w:numPr>
        <w:tabs>
          <w:tab w:val="left" w:pos="168"/>
        </w:tabs>
        <w:spacing w:line="240" w:lineRule="auto"/>
        <w:ind w:left="0"/>
      </w:pPr>
      <w:r>
        <w:t>Se recomienda la profilaxia en pacientes de alto riesgo; es opcional si el riesgo es mediano.</w:t>
      </w:r>
    </w:p>
    <w:p w14:paraId="3CD57F70" w14:textId="77777777" w:rsidR="00924992" w:rsidRDefault="00924992">
      <w:pPr>
        <w:pStyle w:val="Bodytext80"/>
        <w:framePr w:w="192" w:h="4790" w:hRule="exact" w:wrap="none" w:hAnchor="page" w:x="12390" w:y="15"/>
        <w:tabs>
          <w:tab w:val="left" w:pos="2088"/>
        </w:tabs>
        <w:textDirection w:val="tbRl"/>
      </w:pPr>
      <w:r>
        <w:rPr>
          <w:sz w:val="16"/>
          <w:szCs w:val="16"/>
        </w:rPr>
        <w:t>820</w:t>
      </w:r>
      <w:r>
        <w:rPr>
          <w:sz w:val="16"/>
          <w:szCs w:val="16"/>
        </w:rPr>
        <w:tab/>
      </w:r>
      <w:r>
        <w:t>PREVENCIÓN DE OFTALMÍA NEONATAL</w:t>
      </w:r>
    </w:p>
    <w:p w14:paraId="6586B351" w14:textId="77777777" w:rsidR="00924992" w:rsidRDefault="00924992">
      <w:pPr>
        <w:spacing w:line="360" w:lineRule="exact"/>
      </w:pPr>
    </w:p>
    <w:p w14:paraId="7B9A1D23" w14:textId="77777777" w:rsidR="00924992" w:rsidRDefault="00924992">
      <w:pPr>
        <w:spacing w:line="360" w:lineRule="exact"/>
      </w:pPr>
    </w:p>
    <w:p w14:paraId="625CCB70" w14:textId="77777777" w:rsidR="00924992" w:rsidRDefault="00924992">
      <w:pPr>
        <w:spacing w:line="360" w:lineRule="exact"/>
      </w:pPr>
    </w:p>
    <w:p w14:paraId="1CF56E1E" w14:textId="77777777" w:rsidR="00924992" w:rsidRDefault="00924992">
      <w:pPr>
        <w:spacing w:line="360" w:lineRule="exact"/>
      </w:pPr>
    </w:p>
    <w:p w14:paraId="0E8E33FE" w14:textId="77777777" w:rsidR="00924992" w:rsidRDefault="00924992">
      <w:pPr>
        <w:spacing w:line="360" w:lineRule="exact"/>
      </w:pPr>
    </w:p>
    <w:p w14:paraId="006D4881" w14:textId="77777777" w:rsidR="00924992" w:rsidRDefault="00924992">
      <w:pPr>
        <w:spacing w:line="360" w:lineRule="exact"/>
      </w:pPr>
    </w:p>
    <w:p w14:paraId="7B833D4C" w14:textId="77777777" w:rsidR="00924992" w:rsidRDefault="00924992">
      <w:pPr>
        <w:spacing w:line="360" w:lineRule="exact"/>
      </w:pPr>
    </w:p>
    <w:p w14:paraId="74D394E7" w14:textId="77777777" w:rsidR="00924992" w:rsidRDefault="00924992">
      <w:pPr>
        <w:spacing w:line="360" w:lineRule="exact"/>
      </w:pPr>
    </w:p>
    <w:p w14:paraId="740456E1" w14:textId="77777777" w:rsidR="00924992" w:rsidRDefault="00924992">
      <w:pPr>
        <w:spacing w:line="360" w:lineRule="exact"/>
      </w:pPr>
    </w:p>
    <w:p w14:paraId="6585E468" w14:textId="77777777" w:rsidR="00924992" w:rsidRDefault="00924992">
      <w:pPr>
        <w:spacing w:line="360" w:lineRule="exact"/>
      </w:pPr>
    </w:p>
    <w:p w14:paraId="5C984E8F" w14:textId="77777777" w:rsidR="00924992" w:rsidRDefault="00924992">
      <w:pPr>
        <w:spacing w:line="360" w:lineRule="exact"/>
      </w:pPr>
    </w:p>
    <w:p w14:paraId="5A0AA98D" w14:textId="77777777" w:rsidR="00924992" w:rsidRDefault="00924992">
      <w:pPr>
        <w:spacing w:line="360" w:lineRule="exact"/>
      </w:pPr>
    </w:p>
    <w:p w14:paraId="66176BC0" w14:textId="77777777" w:rsidR="00924992" w:rsidRDefault="00924992">
      <w:pPr>
        <w:spacing w:line="360" w:lineRule="exact"/>
      </w:pPr>
    </w:p>
    <w:p w14:paraId="2B8D8350" w14:textId="77777777" w:rsidR="00924992" w:rsidRDefault="00924992">
      <w:pPr>
        <w:spacing w:line="360" w:lineRule="exact"/>
      </w:pPr>
    </w:p>
    <w:p w14:paraId="6EF35061" w14:textId="77777777" w:rsidR="00924992" w:rsidRDefault="00924992">
      <w:pPr>
        <w:spacing w:line="360" w:lineRule="exact"/>
      </w:pPr>
    </w:p>
    <w:p w14:paraId="075F7B8C" w14:textId="77777777" w:rsidR="00924992" w:rsidRDefault="00924992">
      <w:pPr>
        <w:spacing w:line="360" w:lineRule="exact"/>
      </w:pPr>
    </w:p>
    <w:p w14:paraId="75136952" w14:textId="77777777" w:rsidR="00924992" w:rsidRDefault="00924992">
      <w:pPr>
        <w:spacing w:line="360" w:lineRule="exact"/>
      </w:pPr>
    </w:p>
    <w:p w14:paraId="04BC693A" w14:textId="77777777" w:rsidR="00924992" w:rsidRDefault="00924992">
      <w:pPr>
        <w:spacing w:line="360" w:lineRule="exact"/>
      </w:pPr>
    </w:p>
    <w:p w14:paraId="4B1D820E" w14:textId="77777777" w:rsidR="00924992" w:rsidRDefault="00924992">
      <w:pPr>
        <w:spacing w:after="580" w:line="1" w:lineRule="exact"/>
      </w:pPr>
    </w:p>
    <w:p w14:paraId="46131E77" w14:textId="77777777" w:rsidR="00924992" w:rsidRDefault="00924992">
      <w:pPr>
        <w:spacing w:line="1" w:lineRule="exact"/>
        <w:sectPr w:rsidR="00924992" w:rsidSect="00924992">
          <w:footnotePr>
            <w:numFmt w:val="chicago"/>
          </w:footnotePr>
          <w:pgSz w:w="13022" w:h="8501" w:orient="landscape"/>
          <w:pgMar w:top="490" w:right="442" w:bottom="490" w:left="624" w:header="62" w:footer="3" w:gutter="0"/>
          <w:cols w:space="720"/>
          <w:noEndnote/>
          <w:docGrid w:linePitch="360"/>
          <w15:footnoteColumns w:val="1"/>
        </w:sectPr>
      </w:pPr>
    </w:p>
    <w:p w14:paraId="66848ABA" w14:textId="77777777" w:rsidR="00924992" w:rsidRDefault="00924992">
      <w:pPr>
        <w:pStyle w:val="Heading31"/>
        <w:keepNext/>
        <w:keepLines/>
        <w:framePr w:w="10877" w:h="322" w:wrap="none" w:hAnchor="page" w:x="913" w:y="1"/>
      </w:pPr>
      <w:bookmarkStart w:id="774" w:name="bookmark2171"/>
      <w:bookmarkStart w:id="775" w:name="bookmark2172"/>
      <w:bookmarkStart w:id="776" w:name="bookmark2173"/>
      <w:r>
        <w:rPr>
          <w:b w:val="0"/>
          <w:bCs w:val="0"/>
        </w:rPr>
        <w:t xml:space="preserve">Cuadro 5-5. </w:t>
      </w:r>
      <w:r>
        <w:t>Regímenes profilácticos en caso de procedimientos odontológicos, de la boca, de vías respiratorias o de esófago</w:t>
      </w:r>
      <w:bookmarkEnd w:id="774"/>
      <w:bookmarkEnd w:id="775"/>
      <w:bookmarkEnd w:id="776"/>
    </w:p>
    <w:p w14:paraId="05CAF710" w14:textId="77777777" w:rsidR="00924992" w:rsidRDefault="00924992">
      <w:pPr>
        <w:pStyle w:val="Heading41"/>
        <w:keepNext/>
        <w:keepLines/>
        <w:framePr w:w="5371" w:h="298" w:wrap="none" w:hAnchor="page" w:x="663" w:y="342"/>
        <w:pBdr>
          <w:top w:val="single" w:sz="0" w:space="0" w:color="231F20"/>
          <w:left w:val="single" w:sz="0" w:space="0" w:color="231F20"/>
          <w:bottom w:val="single" w:sz="0" w:space="0" w:color="231F20"/>
          <w:right w:val="single" w:sz="0" w:space="0" w:color="231F20"/>
        </w:pBdr>
        <w:shd w:val="clear" w:color="auto" w:fill="231F20"/>
        <w:tabs>
          <w:tab w:val="left" w:pos="2261"/>
          <w:tab w:val="left" w:pos="4536"/>
        </w:tabs>
        <w:rPr>
          <w:sz w:val="8"/>
          <w:szCs w:val="8"/>
        </w:rPr>
      </w:pPr>
      <w:bookmarkStart w:id="777" w:name="bookmark2174"/>
      <w:bookmarkStart w:id="778" w:name="bookmark2175"/>
      <w:bookmarkStart w:id="779" w:name="bookmark2176"/>
      <w:r>
        <w:rPr>
          <w:color w:val="FFFFFF"/>
        </w:rPr>
        <w:t>Situación</w:t>
      </w:r>
      <w:r>
        <w:rPr>
          <w:color w:val="FFFFFF"/>
        </w:rPr>
        <w:tab/>
        <w:t>Agente</w:t>
      </w:r>
      <w:r>
        <w:rPr>
          <w:color w:val="FFFFFF"/>
        </w:rPr>
        <w:tab/>
        <w:t>Régimen</w:t>
      </w:r>
      <w:r>
        <w:rPr>
          <w:rFonts w:ascii="Times New Roman" w:eastAsia="Times New Roman" w:hAnsi="Times New Roman" w:cs="Times New Roman"/>
          <w:b w:val="0"/>
          <w:bCs w:val="0"/>
          <w:color w:val="FFFFFF"/>
          <w:w w:val="100"/>
          <w:sz w:val="8"/>
          <w:szCs w:val="8"/>
          <w:vertAlign w:val="superscript"/>
        </w:rPr>
        <w:t>1</w:t>
      </w:r>
      <w:bookmarkEnd w:id="777"/>
      <w:bookmarkEnd w:id="778"/>
      <w:bookmarkEnd w:id="779"/>
    </w:p>
    <w:tbl>
      <w:tblPr>
        <w:tblOverlap w:val="never"/>
        <w:tblW w:w="0" w:type="auto"/>
        <w:tblLayout w:type="fixed"/>
        <w:tblCellMar>
          <w:left w:w="10" w:type="dxa"/>
          <w:right w:w="10" w:type="dxa"/>
        </w:tblCellMar>
        <w:tblLook w:val="04A0" w:firstRow="1" w:lastRow="0" w:firstColumn="1" w:lastColumn="0" w:noHBand="0" w:noVBand="1"/>
      </w:tblPr>
      <w:tblGrid>
        <w:gridCol w:w="2150"/>
        <w:gridCol w:w="9216"/>
      </w:tblGrid>
      <w:tr w:rsidR="00924992" w14:paraId="6CDFF20D" w14:textId="77777777">
        <w:tblPrEx>
          <w:tblCellMar>
            <w:top w:w="0" w:type="dxa"/>
            <w:bottom w:w="0" w:type="dxa"/>
          </w:tblCellMar>
        </w:tblPrEx>
        <w:trPr>
          <w:trHeight w:hRule="exact" w:val="1738"/>
        </w:trPr>
        <w:tc>
          <w:tcPr>
            <w:tcW w:w="2150" w:type="dxa"/>
            <w:shd w:val="clear" w:color="auto" w:fill="FFFFFF"/>
          </w:tcPr>
          <w:p w14:paraId="5674CD18" w14:textId="77777777" w:rsidR="00924992" w:rsidRDefault="00924992">
            <w:pPr>
              <w:pStyle w:val="Other0"/>
              <w:framePr w:w="11366" w:h="3139" w:vSpace="490" w:wrap="none" w:hAnchor="page" w:x="668" w:y="707"/>
              <w:spacing w:line="283" w:lineRule="auto"/>
              <w:ind w:firstLine="0"/>
              <w:rPr>
                <w:sz w:val="16"/>
                <w:szCs w:val="16"/>
              </w:rPr>
            </w:pPr>
            <w:r>
              <w:rPr>
                <w:rFonts w:ascii="Times New Roman" w:eastAsia="Times New Roman" w:hAnsi="Times New Roman" w:cs="Times New Roman"/>
                <w:sz w:val="16"/>
                <w:szCs w:val="16"/>
              </w:rPr>
              <w:t>Profilaxia general corriente Persona que no puede ingerir medicamentos</w:t>
            </w:r>
          </w:p>
          <w:p w14:paraId="59ECF8F8" w14:textId="77777777" w:rsidR="00924992" w:rsidRDefault="00924992">
            <w:pPr>
              <w:pStyle w:val="Other0"/>
              <w:framePr w:w="11366" w:h="3139" w:vSpace="490" w:wrap="none" w:hAnchor="page" w:x="668" w:y="707"/>
              <w:spacing w:line="283" w:lineRule="auto"/>
              <w:ind w:firstLine="0"/>
              <w:rPr>
                <w:sz w:val="16"/>
                <w:szCs w:val="16"/>
              </w:rPr>
            </w:pPr>
            <w:r>
              <w:rPr>
                <w:rFonts w:ascii="Times New Roman" w:eastAsia="Times New Roman" w:hAnsi="Times New Roman" w:cs="Times New Roman"/>
                <w:sz w:val="16"/>
                <w:szCs w:val="16"/>
              </w:rPr>
              <w:t>Niño alérgico a la penicilina</w:t>
            </w:r>
          </w:p>
        </w:tc>
        <w:tc>
          <w:tcPr>
            <w:tcW w:w="9216" w:type="dxa"/>
            <w:shd w:val="clear" w:color="auto" w:fill="FFFFFF"/>
            <w:vAlign w:val="bottom"/>
          </w:tcPr>
          <w:p w14:paraId="73182778" w14:textId="77777777" w:rsidR="00924992" w:rsidRDefault="00924992">
            <w:pPr>
              <w:pStyle w:val="Other0"/>
              <w:framePr w:w="11366" w:h="3139" w:vSpace="490" w:wrap="none" w:hAnchor="page" w:x="668" w:y="707"/>
              <w:tabs>
                <w:tab w:val="left" w:pos="2237"/>
              </w:tabs>
              <w:spacing w:line="240" w:lineRule="auto"/>
              <w:ind w:firstLine="0"/>
              <w:rPr>
                <w:sz w:val="16"/>
                <w:szCs w:val="16"/>
              </w:rPr>
            </w:pPr>
            <w:r>
              <w:rPr>
                <w:rFonts w:ascii="Times New Roman" w:eastAsia="Times New Roman" w:hAnsi="Times New Roman" w:cs="Times New Roman"/>
                <w:sz w:val="16"/>
                <w:szCs w:val="16"/>
              </w:rPr>
              <w:t>Amoxicilina</w:t>
            </w:r>
            <w:r>
              <w:rPr>
                <w:rFonts w:ascii="Times New Roman" w:eastAsia="Times New Roman" w:hAnsi="Times New Roman" w:cs="Times New Roman"/>
                <w:sz w:val="16"/>
                <w:szCs w:val="16"/>
              </w:rPr>
              <w:tab/>
              <w:t>Adultos: 2.0 g; niños: 50 mg/kg de peso, por vía oral 1 h antes del procedimiento</w:t>
            </w:r>
          </w:p>
          <w:p w14:paraId="00AF1D96" w14:textId="77777777" w:rsidR="00924992" w:rsidRDefault="00924992">
            <w:pPr>
              <w:pStyle w:val="Other0"/>
              <w:framePr w:w="11366" w:h="3139" w:vSpace="490" w:wrap="none" w:hAnchor="page" w:x="668" w:y="707"/>
              <w:tabs>
                <w:tab w:val="left" w:pos="2237"/>
              </w:tabs>
              <w:spacing w:line="240" w:lineRule="auto"/>
              <w:ind w:firstLine="0"/>
              <w:rPr>
                <w:sz w:val="16"/>
                <w:szCs w:val="16"/>
              </w:rPr>
            </w:pPr>
            <w:r>
              <w:rPr>
                <w:rFonts w:ascii="Times New Roman" w:eastAsia="Times New Roman" w:hAnsi="Times New Roman" w:cs="Times New Roman"/>
                <w:sz w:val="16"/>
                <w:szCs w:val="16"/>
              </w:rPr>
              <w:t>Ampicilina</w:t>
            </w:r>
            <w:r>
              <w:rPr>
                <w:rFonts w:ascii="Times New Roman" w:eastAsia="Times New Roman" w:hAnsi="Times New Roman" w:cs="Times New Roman"/>
                <w:sz w:val="16"/>
                <w:szCs w:val="16"/>
              </w:rPr>
              <w:tab/>
              <w:t>Adultos: 2.0 g por vía intramuscular (IM) o intravenosa (IV); niños: 50 mg/kg, IM o IV en un</w:t>
            </w:r>
          </w:p>
          <w:p w14:paraId="590EA1B0" w14:textId="77777777" w:rsidR="00924992" w:rsidRDefault="00924992">
            <w:pPr>
              <w:pStyle w:val="Other0"/>
              <w:framePr w:w="11366" w:h="3139" w:vSpace="490" w:wrap="none" w:hAnchor="page" w:x="668" w:y="707"/>
              <w:spacing w:line="240" w:lineRule="auto"/>
              <w:ind w:left="2460" w:firstLine="0"/>
              <w:rPr>
                <w:sz w:val="16"/>
                <w:szCs w:val="16"/>
              </w:rPr>
            </w:pPr>
            <w:r>
              <w:rPr>
                <w:rFonts w:ascii="Times New Roman" w:eastAsia="Times New Roman" w:hAnsi="Times New Roman" w:cs="Times New Roman"/>
                <w:sz w:val="16"/>
                <w:szCs w:val="16"/>
              </w:rPr>
              <w:t>lapso no mayor de 30 min antes del procedimiento</w:t>
            </w:r>
          </w:p>
          <w:p w14:paraId="215DBE7F" w14:textId="77777777" w:rsidR="00924992" w:rsidRDefault="00924992">
            <w:pPr>
              <w:pStyle w:val="Other0"/>
              <w:framePr w:w="11366" w:h="3139" w:vSpace="490" w:wrap="none" w:hAnchor="page" w:x="668" w:y="707"/>
              <w:tabs>
                <w:tab w:val="left" w:pos="2251"/>
              </w:tabs>
              <w:spacing w:line="240" w:lineRule="auto"/>
              <w:ind w:firstLine="0"/>
              <w:rPr>
                <w:sz w:val="16"/>
                <w:szCs w:val="16"/>
              </w:rPr>
            </w:pPr>
            <w:r>
              <w:rPr>
                <w:rFonts w:ascii="Times New Roman" w:eastAsia="Times New Roman" w:hAnsi="Times New Roman" w:cs="Times New Roman"/>
                <w:sz w:val="16"/>
                <w:szCs w:val="16"/>
              </w:rPr>
              <w:t>Clindamicina</w:t>
            </w:r>
            <w:r>
              <w:rPr>
                <w:rFonts w:ascii="Times New Roman" w:eastAsia="Times New Roman" w:hAnsi="Times New Roman" w:cs="Times New Roman"/>
                <w:sz w:val="16"/>
                <w:szCs w:val="16"/>
              </w:rPr>
              <w:tab/>
              <w:t>Adultos: 600 mg; niños: 20 mg/kg, por vía oral, 1 h antes del procedimiento</w:t>
            </w:r>
          </w:p>
          <w:p w14:paraId="2461E01C" w14:textId="77777777" w:rsidR="00924992" w:rsidRDefault="00924992">
            <w:pPr>
              <w:pStyle w:val="Other0"/>
              <w:framePr w:w="11366" w:h="3139" w:vSpace="490" w:wrap="none" w:hAnchor="page" w:x="668" w:y="707"/>
              <w:spacing w:line="240" w:lineRule="auto"/>
              <w:ind w:firstLine="0"/>
              <w:rPr>
                <w:sz w:val="16"/>
                <w:szCs w:val="16"/>
              </w:rPr>
            </w:pPr>
            <w:r>
              <w:rPr>
                <w:rFonts w:ascii="Times New Roman" w:eastAsia="Times New Roman" w:hAnsi="Times New Roman" w:cs="Times New Roman"/>
                <w:b/>
                <w:bCs/>
                <w:sz w:val="16"/>
                <w:szCs w:val="16"/>
              </w:rPr>
              <w:t>O</w:t>
            </w:r>
          </w:p>
          <w:p w14:paraId="59DF6112" w14:textId="77777777" w:rsidR="00924992" w:rsidRDefault="00924992">
            <w:pPr>
              <w:pStyle w:val="Other0"/>
              <w:framePr w:w="11366" w:h="3139" w:vSpace="490" w:wrap="none" w:hAnchor="page" w:x="668" w:y="707"/>
              <w:tabs>
                <w:tab w:val="left" w:pos="2222"/>
              </w:tabs>
              <w:spacing w:line="240" w:lineRule="auto"/>
              <w:ind w:firstLine="0"/>
              <w:rPr>
                <w:sz w:val="16"/>
                <w:szCs w:val="16"/>
              </w:rPr>
            </w:pPr>
            <w:r>
              <w:rPr>
                <w:rFonts w:ascii="Times New Roman" w:eastAsia="Times New Roman" w:hAnsi="Times New Roman" w:cs="Times New Roman"/>
                <w:sz w:val="16"/>
                <w:szCs w:val="16"/>
              </w:rPr>
              <w:t>Cefalexina</w:t>
            </w:r>
            <w:r>
              <w:rPr>
                <w:rFonts w:ascii="Times New Roman" w:eastAsia="Times New Roman" w:hAnsi="Times New Roman" w:cs="Times New Roman"/>
                <w:sz w:val="16"/>
                <w:szCs w:val="16"/>
                <w:vertAlign w:val="superscript"/>
              </w:rPr>
              <w:t>2</w:t>
            </w:r>
            <w:r>
              <w:rPr>
                <w:rFonts w:ascii="Times New Roman" w:eastAsia="Times New Roman" w:hAnsi="Times New Roman" w:cs="Times New Roman"/>
                <w:sz w:val="16"/>
                <w:szCs w:val="16"/>
              </w:rPr>
              <w:t xml:space="preserve"> o cefadroxil</w:t>
            </w:r>
            <w:r>
              <w:rPr>
                <w:rFonts w:ascii="Times New Roman" w:eastAsia="Times New Roman" w:hAnsi="Times New Roman" w:cs="Times New Roman"/>
                <w:sz w:val="16"/>
                <w:szCs w:val="16"/>
                <w:vertAlign w:val="superscript"/>
              </w:rPr>
              <w:t>2</w:t>
            </w:r>
            <w:r>
              <w:rPr>
                <w:rFonts w:ascii="Times New Roman" w:eastAsia="Times New Roman" w:hAnsi="Times New Roman" w:cs="Times New Roman"/>
                <w:sz w:val="16"/>
                <w:szCs w:val="16"/>
              </w:rPr>
              <w:tab/>
              <w:t>Adultos: 2.0 g; niños: 50 mg/kg, por vía oral, 1 h antes del procedimiento</w:t>
            </w:r>
          </w:p>
          <w:p w14:paraId="699BD3A4" w14:textId="77777777" w:rsidR="00924992" w:rsidRDefault="00924992">
            <w:pPr>
              <w:pStyle w:val="Other0"/>
              <w:framePr w:w="11366" w:h="3139" w:vSpace="490" w:wrap="none" w:hAnchor="page" w:x="668" w:y="707"/>
              <w:spacing w:line="240" w:lineRule="auto"/>
              <w:ind w:firstLine="0"/>
              <w:rPr>
                <w:sz w:val="16"/>
                <w:szCs w:val="16"/>
              </w:rPr>
            </w:pPr>
            <w:r>
              <w:rPr>
                <w:rFonts w:ascii="Times New Roman" w:eastAsia="Times New Roman" w:hAnsi="Times New Roman" w:cs="Times New Roman"/>
                <w:b/>
                <w:bCs/>
                <w:sz w:val="16"/>
                <w:szCs w:val="16"/>
              </w:rPr>
              <w:t>O</w:t>
            </w:r>
          </w:p>
          <w:p w14:paraId="1A132E32" w14:textId="77777777" w:rsidR="00924992" w:rsidRDefault="00924992">
            <w:pPr>
              <w:pStyle w:val="Other0"/>
              <w:framePr w:w="11366" w:h="3139" w:vSpace="490" w:wrap="none" w:hAnchor="page" w:x="668" w:y="707"/>
              <w:spacing w:line="240" w:lineRule="auto"/>
              <w:ind w:firstLine="0"/>
              <w:rPr>
                <w:sz w:val="16"/>
                <w:szCs w:val="16"/>
              </w:rPr>
            </w:pPr>
            <w:r>
              <w:rPr>
                <w:rFonts w:ascii="Times New Roman" w:eastAsia="Times New Roman" w:hAnsi="Times New Roman" w:cs="Times New Roman"/>
                <w:sz w:val="16"/>
                <w:szCs w:val="16"/>
              </w:rPr>
              <w:t>Azitromicina o claritromicina Adultos: 500 mg; niños: 15 mg/kg, por vía oral, 1 h antes del procedimiento</w:t>
            </w:r>
          </w:p>
        </w:tc>
      </w:tr>
      <w:tr w:rsidR="00924992" w14:paraId="00B2F128" w14:textId="77777777">
        <w:tblPrEx>
          <w:tblCellMar>
            <w:top w:w="0" w:type="dxa"/>
            <w:bottom w:w="0" w:type="dxa"/>
          </w:tblCellMar>
        </w:tblPrEx>
        <w:trPr>
          <w:trHeight w:hRule="exact" w:val="1402"/>
        </w:trPr>
        <w:tc>
          <w:tcPr>
            <w:tcW w:w="2150" w:type="dxa"/>
            <w:tcBorders>
              <w:bottom w:val="single" w:sz="4" w:space="0" w:color="auto"/>
            </w:tcBorders>
            <w:shd w:val="clear" w:color="auto" w:fill="FFFFFF"/>
          </w:tcPr>
          <w:p w14:paraId="6655DE46" w14:textId="77777777" w:rsidR="00924992" w:rsidRDefault="00924992">
            <w:pPr>
              <w:pStyle w:val="Other0"/>
              <w:framePr w:w="11366" w:h="3139" w:vSpace="490" w:wrap="none" w:hAnchor="page" w:x="668" w:y="707"/>
              <w:spacing w:line="283" w:lineRule="auto"/>
              <w:ind w:firstLine="0"/>
              <w:rPr>
                <w:sz w:val="16"/>
                <w:szCs w:val="16"/>
              </w:rPr>
            </w:pPr>
            <w:r>
              <w:rPr>
                <w:rFonts w:ascii="Times New Roman" w:eastAsia="Times New Roman" w:hAnsi="Times New Roman" w:cs="Times New Roman"/>
                <w:sz w:val="16"/>
                <w:szCs w:val="16"/>
              </w:rPr>
              <w:t>Niño alérgico a la penicilina y que no puede ingerir medicamentos</w:t>
            </w:r>
          </w:p>
        </w:tc>
        <w:tc>
          <w:tcPr>
            <w:tcW w:w="9216" w:type="dxa"/>
            <w:tcBorders>
              <w:bottom w:val="single" w:sz="4" w:space="0" w:color="auto"/>
            </w:tcBorders>
            <w:shd w:val="clear" w:color="auto" w:fill="FFFFFF"/>
          </w:tcPr>
          <w:p w14:paraId="073CFF85" w14:textId="77777777" w:rsidR="00924992" w:rsidRDefault="00924992">
            <w:pPr>
              <w:pStyle w:val="Other0"/>
              <w:framePr w:w="11366" w:h="3139" w:vSpace="490" w:wrap="none" w:hAnchor="page" w:x="668" w:y="707"/>
              <w:tabs>
                <w:tab w:val="left" w:pos="2246"/>
              </w:tabs>
              <w:spacing w:line="240" w:lineRule="auto"/>
              <w:ind w:firstLine="0"/>
              <w:rPr>
                <w:sz w:val="16"/>
                <w:szCs w:val="16"/>
              </w:rPr>
            </w:pPr>
            <w:r>
              <w:rPr>
                <w:rFonts w:ascii="Times New Roman" w:eastAsia="Times New Roman" w:hAnsi="Times New Roman" w:cs="Times New Roman"/>
                <w:sz w:val="16"/>
                <w:szCs w:val="16"/>
              </w:rPr>
              <w:t>Clindamicina</w:t>
            </w:r>
            <w:r>
              <w:rPr>
                <w:rFonts w:ascii="Times New Roman" w:eastAsia="Times New Roman" w:hAnsi="Times New Roman" w:cs="Times New Roman"/>
                <w:sz w:val="16"/>
                <w:szCs w:val="16"/>
              </w:rPr>
              <w:tab/>
              <w:t>Adultos: 600 mg; niños: 20 mg/kg IV en un lapso que no exceda los 30 min antes</w:t>
            </w:r>
          </w:p>
          <w:p w14:paraId="4A234DDC" w14:textId="77777777" w:rsidR="00924992" w:rsidRDefault="00924992">
            <w:pPr>
              <w:pStyle w:val="Other0"/>
              <w:framePr w:w="11366" w:h="3139" w:vSpace="490" w:wrap="none" w:hAnchor="page" w:x="668" w:y="707"/>
              <w:spacing w:after="220" w:line="240" w:lineRule="auto"/>
              <w:ind w:left="2460" w:firstLine="0"/>
              <w:rPr>
                <w:sz w:val="16"/>
                <w:szCs w:val="16"/>
              </w:rPr>
            </w:pPr>
            <w:r>
              <w:rPr>
                <w:rFonts w:ascii="Times New Roman" w:eastAsia="Times New Roman" w:hAnsi="Times New Roman" w:cs="Times New Roman"/>
                <w:sz w:val="16"/>
                <w:szCs w:val="16"/>
              </w:rPr>
              <w:t>del procedimiento</w:t>
            </w:r>
          </w:p>
          <w:p w14:paraId="476EC1C5" w14:textId="77777777" w:rsidR="00924992" w:rsidRDefault="00924992">
            <w:pPr>
              <w:pStyle w:val="Other0"/>
              <w:framePr w:w="11366" w:h="3139" w:vSpace="490" w:wrap="none" w:hAnchor="page" w:x="668" w:y="707"/>
              <w:spacing w:line="240" w:lineRule="auto"/>
              <w:ind w:firstLine="0"/>
              <w:rPr>
                <w:sz w:val="16"/>
                <w:szCs w:val="16"/>
              </w:rPr>
            </w:pPr>
            <w:r>
              <w:rPr>
                <w:rFonts w:ascii="Times New Roman" w:eastAsia="Times New Roman" w:hAnsi="Times New Roman" w:cs="Times New Roman"/>
                <w:b/>
                <w:bCs/>
                <w:sz w:val="16"/>
                <w:szCs w:val="16"/>
              </w:rPr>
              <w:t>O</w:t>
            </w:r>
          </w:p>
          <w:p w14:paraId="7F0C7C07" w14:textId="77777777" w:rsidR="00924992" w:rsidRDefault="00924992">
            <w:pPr>
              <w:pStyle w:val="Other0"/>
              <w:framePr w:w="11366" w:h="3139" w:vSpace="490" w:wrap="none" w:hAnchor="page" w:x="668" w:y="707"/>
              <w:tabs>
                <w:tab w:val="left" w:pos="2213"/>
              </w:tabs>
              <w:spacing w:line="240" w:lineRule="auto"/>
              <w:ind w:firstLine="0"/>
              <w:rPr>
                <w:sz w:val="16"/>
                <w:szCs w:val="16"/>
              </w:rPr>
            </w:pPr>
            <w:r>
              <w:rPr>
                <w:rFonts w:ascii="Times New Roman" w:eastAsia="Times New Roman" w:hAnsi="Times New Roman" w:cs="Times New Roman"/>
                <w:sz w:val="16"/>
                <w:szCs w:val="16"/>
              </w:rPr>
              <w:t>Cefazolina</w:t>
            </w:r>
            <w:r>
              <w:rPr>
                <w:rFonts w:ascii="Times New Roman" w:eastAsia="Times New Roman" w:hAnsi="Times New Roman" w:cs="Times New Roman"/>
                <w:sz w:val="16"/>
                <w:szCs w:val="16"/>
                <w:vertAlign w:val="superscript"/>
              </w:rPr>
              <w:t>2</w:t>
            </w:r>
            <w:r>
              <w:rPr>
                <w:rFonts w:ascii="Times New Roman" w:eastAsia="Times New Roman" w:hAnsi="Times New Roman" w:cs="Times New Roman"/>
                <w:sz w:val="16"/>
                <w:szCs w:val="16"/>
              </w:rPr>
              <w:tab/>
              <w:t>Adultos: 1.0 g; niños: 25 mg/kg IM o IV en un lapso que no exceda los 30 min antes del</w:t>
            </w:r>
          </w:p>
          <w:p w14:paraId="1CFF141A" w14:textId="77777777" w:rsidR="00924992" w:rsidRDefault="00924992">
            <w:pPr>
              <w:pStyle w:val="Other0"/>
              <w:framePr w:w="11366" w:h="3139" w:vSpace="490" w:wrap="none" w:hAnchor="page" w:x="668" w:y="707"/>
              <w:spacing w:line="240" w:lineRule="auto"/>
              <w:ind w:left="2460" w:firstLine="0"/>
              <w:rPr>
                <w:sz w:val="16"/>
                <w:szCs w:val="16"/>
              </w:rPr>
            </w:pPr>
            <w:r>
              <w:rPr>
                <w:rFonts w:ascii="Times New Roman" w:eastAsia="Times New Roman" w:hAnsi="Times New Roman" w:cs="Times New Roman"/>
                <w:sz w:val="16"/>
                <w:szCs w:val="16"/>
              </w:rPr>
              <w:t>procedimiento</w:t>
            </w:r>
          </w:p>
        </w:tc>
      </w:tr>
    </w:tbl>
    <w:p w14:paraId="6BDA387C" w14:textId="77777777" w:rsidR="00924992" w:rsidRDefault="00924992">
      <w:pPr>
        <w:framePr w:w="11366" w:h="3139" w:vSpace="490" w:wrap="none" w:hAnchor="page" w:x="668" w:y="707"/>
        <w:spacing w:line="1" w:lineRule="exact"/>
      </w:pPr>
    </w:p>
    <w:p w14:paraId="2DB5ECA7" w14:textId="77777777" w:rsidR="00924992" w:rsidRDefault="00924992">
      <w:pPr>
        <w:pStyle w:val="Tablecaption0"/>
        <w:framePr w:w="8822" w:h="394" w:wrap="none" w:hAnchor="page" w:x="678" w:y="3942"/>
        <w:numPr>
          <w:ilvl w:val="0"/>
          <w:numId w:val="149"/>
        </w:numPr>
        <w:tabs>
          <w:tab w:val="left" w:pos="163"/>
        </w:tabs>
        <w:spacing w:line="240" w:lineRule="auto"/>
        <w:ind w:left="0"/>
      </w:pPr>
      <w:r>
        <w:t>La dosis total de niños no debe exceder de la de los adultos.</w:t>
      </w:r>
    </w:p>
    <w:p w14:paraId="37448E92" w14:textId="77777777" w:rsidR="00924992" w:rsidRDefault="00924992">
      <w:pPr>
        <w:pStyle w:val="Tablecaption0"/>
        <w:framePr w:w="8822" w:h="394" w:wrap="none" w:hAnchor="page" w:x="678" w:y="3942"/>
        <w:numPr>
          <w:ilvl w:val="0"/>
          <w:numId w:val="149"/>
        </w:numPr>
        <w:tabs>
          <w:tab w:val="left" w:pos="168"/>
        </w:tabs>
        <w:spacing w:line="240" w:lineRule="auto"/>
        <w:ind w:left="0"/>
      </w:pPr>
      <w:r>
        <w:t>No se utilizarán cefalosporinas en niños con reacciones de hipersensibilidad inmediata (urticaria, angioedema o anafilaxia) a las penicilinas.</w:t>
      </w:r>
    </w:p>
    <w:p w14:paraId="5C1E50F4" w14:textId="77777777" w:rsidR="00924992" w:rsidRDefault="00924992">
      <w:pPr>
        <w:pStyle w:val="Bodytext80"/>
        <w:framePr w:w="192" w:h="4752" w:hRule="exact" w:wrap="none" w:hAnchor="page" w:x="12390" w:y="2127"/>
        <w:tabs>
          <w:tab w:val="left" w:pos="4459"/>
        </w:tabs>
        <w:textDirection w:val="tbRl"/>
        <w:rPr>
          <w:sz w:val="16"/>
          <w:szCs w:val="16"/>
        </w:rPr>
      </w:pPr>
      <w:r>
        <w:t>PREVENCIÓN DE OFTALMÍA NEONATAL</w:t>
      </w:r>
      <w:r>
        <w:tab/>
      </w:r>
      <w:r>
        <w:rPr>
          <w:sz w:val="16"/>
          <w:szCs w:val="16"/>
        </w:rPr>
        <w:t>821</w:t>
      </w:r>
    </w:p>
    <w:p w14:paraId="12147949" w14:textId="77777777" w:rsidR="00924992" w:rsidRDefault="00924992">
      <w:pPr>
        <w:spacing w:line="360" w:lineRule="exact"/>
      </w:pPr>
    </w:p>
    <w:p w14:paraId="367D946D" w14:textId="77777777" w:rsidR="00924992" w:rsidRDefault="00924992">
      <w:pPr>
        <w:spacing w:line="360" w:lineRule="exact"/>
      </w:pPr>
    </w:p>
    <w:p w14:paraId="0AB3E833" w14:textId="77777777" w:rsidR="00924992" w:rsidRDefault="00924992">
      <w:pPr>
        <w:spacing w:line="360" w:lineRule="exact"/>
      </w:pPr>
    </w:p>
    <w:p w14:paraId="32DFB4C2" w14:textId="77777777" w:rsidR="00924992" w:rsidRDefault="00924992">
      <w:pPr>
        <w:spacing w:line="360" w:lineRule="exact"/>
      </w:pPr>
    </w:p>
    <w:p w14:paraId="4B265436" w14:textId="77777777" w:rsidR="00924992" w:rsidRDefault="00924992">
      <w:pPr>
        <w:spacing w:line="360" w:lineRule="exact"/>
      </w:pPr>
    </w:p>
    <w:p w14:paraId="18797E60" w14:textId="77777777" w:rsidR="00924992" w:rsidRDefault="00924992">
      <w:pPr>
        <w:spacing w:line="360" w:lineRule="exact"/>
      </w:pPr>
    </w:p>
    <w:p w14:paraId="07F1EBCA" w14:textId="77777777" w:rsidR="00924992" w:rsidRDefault="00924992">
      <w:pPr>
        <w:spacing w:line="360" w:lineRule="exact"/>
      </w:pPr>
    </w:p>
    <w:p w14:paraId="66EF5FB9" w14:textId="77777777" w:rsidR="00924992" w:rsidRDefault="00924992">
      <w:pPr>
        <w:spacing w:line="360" w:lineRule="exact"/>
      </w:pPr>
    </w:p>
    <w:p w14:paraId="08383705" w14:textId="77777777" w:rsidR="00924992" w:rsidRDefault="00924992">
      <w:pPr>
        <w:spacing w:line="360" w:lineRule="exact"/>
      </w:pPr>
    </w:p>
    <w:p w14:paraId="6FA36320" w14:textId="77777777" w:rsidR="00924992" w:rsidRDefault="00924992">
      <w:pPr>
        <w:spacing w:line="360" w:lineRule="exact"/>
      </w:pPr>
    </w:p>
    <w:p w14:paraId="6A1EB82F" w14:textId="77777777" w:rsidR="00924992" w:rsidRDefault="00924992">
      <w:pPr>
        <w:spacing w:line="360" w:lineRule="exact"/>
      </w:pPr>
    </w:p>
    <w:p w14:paraId="378CE321" w14:textId="77777777" w:rsidR="00924992" w:rsidRDefault="00924992">
      <w:pPr>
        <w:spacing w:line="360" w:lineRule="exact"/>
      </w:pPr>
    </w:p>
    <w:p w14:paraId="32F22CB9" w14:textId="77777777" w:rsidR="00924992" w:rsidRDefault="00924992">
      <w:pPr>
        <w:spacing w:line="360" w:lineRule="exact"/>
      </w:pPr>
    </w:p>
    <w:p w14:paraId="0FAA96D8" w14:textId="77777777" w:rsidR="00924992" w:rsidRDefault="00924992">
      <w:pPr>
        <w:spacing w:line="360" w:lineRule="exact"/>
      </w:pPr>
    </w:p>
    <w:p w14:paraId="1E698395" w14:textId="77777777" w:rsidR="00924992" w:rsidRDefault="00924992">
      <w:pPr>
        <w:spacing w:line="360" w:lineRule="exact"/>
      </w:pPr>
    </w:p>
    <w:p w14:paraId="50E9BDED" w14:textId="77777777" w:rsidR="00924992" w:rsidRDefault="00924992">
      <w:pPr>
        <w:spacing w:line="360" w:lineRule="exact"/>
      </w:pPr>
    </w:p>
    <w:p w14:paraId="3227FBEC" w14:textId="77777777" w:rsidR="00924992" w:rsidRDefault="00924992">
      <w:pPr>
        <w:spacing w:line="360" w:lineRule="exact"/>
      </w:pPr>
    </w:p>
    <w:p w14:paraId="42F869DF" w14:textId="77777777" w:rsidR="00924992" w:rsidRDefault="00924992">
      <w:pPr>
        <w:spacing w:line="360" w:lineRule="exact"/>
      </w:pPr>
    </w:p>
    <w:p w14:paraId="4F026162" w14:textId="77777777" w:rsidR="00924992" w:rsidRDefault="00924992">
      <w:pPr>
        <w:spacing w:after="397" w:line="1" w:lineRule="exact"/>
      </w:pPr>
    </w:p>
    <w:p w14:paraId="295ED07C" w14:textId="77777777" w:rsidR="00924992" w:rsidRDefault="00924992">
      <w:pPr>
        <w:spacing w:line="1" w:lineRule="exact"/>
        <w:sectPr w:rsidR="00924992" w:rsidSect="00924992">
          <w:footnotePr>
            <w:numFmt w:val="chicago"/>
          </w:footnotePr>
          <w:pgSz w:w="13022" w:h="8501" w:orient="landscape"/>
          <w:pgMar w:top="1094" w:right="442" w:bottom="328" w:left="648" w:header="666" w:footer="3" w:gutter="0"/>
          <w:cols w:space="720"/>
          <w:noEndnote/>
          <w:docGrid w:linePitch="360"/>
          <w15:footnoteColumns w:val="1"/>
        </w:sectPr>
      </w:pPr>
    </w:p>
    <w:p w14:paraId="3570DD65" w14:textId="77777777" w:rsidR="00924992" w:rsidRDefault="00924992">
      <w:pPr>
        <w:pStyle w:val="Heading31"/>
        <w:keepNext/>
        <w:keepLines/>
        <w:framePr w:w="10464" w:h="317" w:wrap="none" w:hAnchor="page" w:x="1119" w:y="1"/>
      </w:pPr>
      <w:bookmarkStart w:id="780" w:name="bookmark2177"/>
      <w:bookmarkStart w:id="781" w:name="bookmark2178"/>
      <w:bookmarkStart w:id="782" w:name="bookmark2179"/>
      <w:r>
        <w:rPr>
          <w:b w:val="0"/>
          <w:bCs w:val="0"/>
        </w:rPr>
        <w:t xml:space="preserve">Cuadro 5-6. </w:t>
      </w:r>
      <w:r>
        <w:t>Regímenes profilácticos en procedimientos en vías genitourinarias y gastrointestinales (excluido el esófago)</w:t>
      </w:r>
      <w:bookmarkEnd w:id="780"/>
      <w:bookmarkEnd w:id="781"/>
      <w:bookmarkEnd w:id="782"/>
    </w:p>
    <w:tbl>
      <w:tblPr>
        <w:tblOverlap w:val="never"/>
        <w:tblW w:w="0" w:type="auto"/>
        <w:tblLayout w:type="fixed"/>
        <w:tblCellMar>
          <w:left w:w="10" w:type="dxa"/>
          <w:right w:w="10" w:type="dxa"/>
        </w:tblCellMar>
        <w:tblLook w:val="04A0" w:firstRow="1" w:lastRow="0" w:firstColumn="1" w:lastColumn="0" w:noHBand="0" w:noVBand="1"/>
      </w:tblPr>
      <w:tblGrid>
        <w:gridCol w:w="2198"/>
        <w:gridCol w:w="2194"/>
        <w:gridCol w:w="7042"/>
      </w:tblGrid>
      <w:tr w:rsidR="00924992" w14:paraId="3B29AD15" w14:textId="77777777">
        <w:tblPrEx>
          <w:tblCellMar>
            <w:top w:w="0" w:type="dxa"/>
            <w:bottom w:w="0" w:type="dxa"/>
          </w:tblCellMar>
        </w:tblPrEx>
        <w:trPr>
          <w:trHeight w:hRule="exact" w:val="288"/>
        </w:trPr>
        <w:tc>
          <w:tcPr>
            <w:tcW w:w="2198" w:type="dxa"/>
            <w:shd w:val="clear" w:color="auto" w:fill="231F20"/>
            <w:vAlign w:val="bottom"/>
          </w:tcPr>
          <w:p w14:paraId="45EA35F2" w14:textId="77777777" w:rsidR="00924992" w:rsidRDefault="00924992">
            <w:pPr>
              <w:pStyle w:val="Other0"/>
              <w:framePr w:w="11434" w:h="4987" w:vSpace="494" w:wrap="none" w:hAnchor="page" w:x="625" w:y="351"/>
              <w:pBdr>
                <w:top w:val="single" w:sz="0" w:space="0" w:color="231F20"/>
                <w:left w:val="single" w:sz="0" w:space="0" w:color="231F20"/>
                <w:bottom w:val="single" w:sz="0" w:space="0" w:color="231F20"/>
                <w:right w:val="single" w:sz="0" w:space="0" w:color="231F20"/>
              </w:pBdr>
              <w:shd w:val="clear" w:color="auto" w:fill="231F20"/>
              <w:spacing w:line="240" w:lineRule="auto"/>
              <w:ind w:firstLine="0"/>
              <w:rPr>
                <w:sz w:val="24"/>
                <w:szCs w:val="24"/>
              </w:rPr>
            </w:pPr>
            <w:r>
              <w:rPr>
                <w:rFonts w:ascii="Arial" w:eastAsia="Arial" w:hAnsi="Arial" w:cs="Arial"/>
                <w:b/>
                <w:bCs/>
                <w:color w:val="FFFFFF"/>
                <w:w w:val="70"/>
                <w:sz w:val="24"/>
                <w:szCs w:val="24"/>
              </w:rPr>
              <w:t>¡Situación</w:t>
            </w:r>
          </w:p>
        </w:tc>
        <w:tc>
          <w:tcPr>
            <w:tcW w:w="2194" w:type="dxa"/>
            <w:shd w:val="clear" w:color="auto" w:fill="231F20"/>
            <w:vAlign w:val="bottom"/>
          </w:tcPr>
          <w:p w14:paraId="45245EFA" w14:textId="77777777" w:rsidR="00924992" w:rsidRDefault="00924992">
            <w:pPr>
              <w:pStyle w:val="Other0"/>
              <w:framePr w:w="11434" w:h="4987" w:vSpace="494" w:wrap="none" w:hAnchor="page" w:x="625" w:y="351"/>
              <w:pBdr>
                <w:top w:val="single" w:sz="0" w:space="0" w:color="231F20"/>
                <w:left w:val="single" w:sz="0" w:space="0" w:color="231F20"/>
                <w:bottom w:val="single" w:sz="0" w:space="0" w:color="231F20"/>
                <w:right w:val="single" w:sz="0" w:space="0" w:color="231F20"/>
              </w:pBdr>
              <w:shd w:val="clear" w:color="auto" w:fill="231F20"/>
              <w:spacing w:line="240" w:lineRule="auto"/>
              <w:ind w:firstLine="0"/>
              <w:rPr>
                <w:sz w:val="8"/>
                <w:szCs w:val="8"/>
              </w:rPr>
            </w:pPr>
            <w:r>
              <w:rPr>
                <w:rFonts w:ascii="Arial" w:eastAsia="Arial" w:hAnsi="Arial" w:cs="Arial"/>
                <w:b/>
                <w:bCs/>
                <w:color w:val="FFFFFF"/>
                <w:w w:val="70"/>
                <w:sz w:val="24"/>
                <w:szCs w:val="24"/>
              </w:rPr>
              <w:t>Agentes</w:t>
            </w:r>
            <w:r>
              <w:rPr>
                <w:rFonts w:ascii="Times New Roman" w:eastAsia="Times New Roman" w:hAnsi="Times New Roman" w:cs="Times New Roman"/>
                <w:color w:val="FFFFFF"/>
                <w:sz w:val="8"/>
                <w:szCs w:val="8"/>
                <w:vertAlign w:val="superscript"/>
              </w:rPr>
              <w:t>1</w:t>
            </w:r>
          </w:p>
        </w:tc>
        <w:tc>
          <w:tcPr>
            <w:tcW w:w="7042" w:type="dxa"/>
            <w:shd w:val="clear" w:color="auto" w:fill="231F20"/>
            <w:vAlign w:val="bottom"/>
          </w:tcPr>
          <w:p w14:paraId="1F5C8366" w14:textId="77777777" w:rsidR="00924992" w:rsidRDefault="00924992">
            <w:pPr>
              <w:pStyle w:val="Other0"/>
              <w:framePr w:w="11434" w:h="4987" w:vSpace="494" w:wrap="none" w:hAnchor="page" w:x="625" w:y="351"/>
              <w:pBdr>
                <w:top w:val="single" w:sz="0" w:space="0" w:color="231F20"/>
                <w:left w:val="single" w:sz="0" w:space="0" w:color="231F20"/>
                <w:bottom w:val="single" w:sz="0" w:space="0" w:color="231F20"/>
                <w:right w:val="single" w:sz="0" w:space="0" w:color="231F20"/>
              </w:pBdr>
              <w:shd w:val="clear" w:color="auto" w:fill="231F20"/>
              <w:spacing w:line="240" w:lineRule="auto"/>
              <w:ind w:firstLine="140"/>
              <w:rPr>
                <w:sz w:val="8"/>
                <w:szCs w:val="8"/>
              </w:rPr>
            </w:pPr>
            <w:r>
              <w:rPr>
                <w:rFonts w:ascii="Arial" w:eastAsia="Arial" w:hAnsi="Arial" w:cs="Arial"/>
                <w:b/>
                <w:bCs/>
                <w:color w:val="FFFFFF"/>
                <w:w w:val="70"/>
                <w:sz w:val="24"/>
                <w:szCs w:val="24"/>
              </w:rPr>
              <w:t>Régimen</w:t>
            </w:r>
            <w:r>
              <w:rPr>
                <w:rFonts w:ascii="Times New Roman" w:eastAsia="Times New Roman" w:hAnsi="Times New Roman" w:cs="Times New Roman"/>
                <w:color w:val="FFFFFF"/>
                <w:sz w:val="8"/>
                <w:szCs w:val="8"/>
                <w:vertAlign w:val="superscript"/>
              </w:rPr>
              <w:t>2</w:t>
            </w:r>
          </w:p>
        </w:tc>
      </w:tr>
      <w:tr w:rsidR="00924992" w14:paraId="5BF7CFE8" w14:textId="77777777">
        <w:tblPrEx>
          <w:tblCellMar>
            <w:top w:w="0" w:type="dxa"/>
            <w:bottom w:w="0" w:type="dxa"/>
          </w:tblCellMar>
        </w:tblPrEx>
        <w:trPr>
          <w:trHeight w:hRule="exact" w:val="1584"/>
        </w:trPr>
        <w:tc>
          <w:tcPr>
            <w:tcW w:w="2198" w:type="dxa"/>
            <w:shd w:val="clear" w:color="auto" w:fill="FFFFFF"/>
          </w:tcPr>
          <w:p w14:paraId="48E1CDFA" w14:textId="77777777" w:rsidR="00924992" w:rsidRDefault="00924992">
            <w:pPr>
              <w:pStyle w:val="Other0"/>
              <w:framePr w:w="11434" w:h="4987" w:vSpace="494" w:wrap="none" w:hAnchor="page" w:x="625" w:y="351"/>
              <w:spacing w:line="240" w:lineRule="auto"/>
              <w:ind w:firstLine="0"/>
              <w:rPr>
                <w:sz w:val="16"/>
                <w:szCs w:val="16"/>
              </w:rPr>
            </w:pPr>
            <w:r>
              <w:rPr>
                <w:rFonts w:ascii="Times New Roman" w:eastAsia="Times New Roman" w:hAnsi="Times New Roman" w:cs="Times New Roman"/>
                <w:sz w:val="16"/>
                <w:szCs w:val="16"/>
              </w:rPr>
              <w:t>Pacientes de alto riesgo</w:t>
            </w:r>
          </w:p>
        </w:tc>
        <w:tc>
          <w:tcPr>
            <w:tcW w:w="2194" w:type="dxa"/>
            <w:shd w:val="clear" w:color="auto" w:fill="FFFFFF"/>
          </w:tcPr>
          <w:p w14:paraId="19A7D760" w14:textId="77777777" w:rsidR="00924992" w:rsidRDefault="00924992">
            <w:pPr>
              <w:pStyle w:val="Other0"/>
              <w:framePr w:w="11434" w:h="4987" w:vSpace="494" w:wrap="none" w:hAnchor="page" w:x="625" w:y="351"/>
              <w:spacing w:line="240" w:lineRule="auto"/>
              <w:ind w:firstLine="0"/>
              <w:rPr>
                <w:sz w:val="16"/>
                <w:szCs w:val="16"/>
              </w:rPr>
            </w:pPr>
            <w:r>
              <w:rPr>
                <w:rFonts w:ascii="Times New Roman" w:eastAsia="Times New Roman" w:hAnsi="Times New Roman" w:cs="Times New Roman"/>
                <w:sz w:val="16"/>
                <w:szCs w:val="16"/>
              </w:rPr>
              <w:t>Ampicilina</w:t>
            </w:r>
          </w:p>
          <w:p w14:paraId="56FE3266" w14:textId="77777777" w:rsidR="00924992" w:rsidRDefault="00924992">
            <w:pPr>
              <w:pStyle w:val="Other0"/>
              <w:framePr w:w="11434" w:h="4987" w:vSpace="494" w:wrap="none" w:hAnchor="page" w:x="625" w:y="351"/>
              <w:spacing w:line="240" w:lineRule="auto"/>
              <w:ind w:firstLine="0"/>
              <w:rPr>
                <w:sz w:val="16"/>
                <w:szCs w:val="16"/>
              </w:rPr>
            </w:pPr>
            <w:r>
              <w:rPr>
                <w:rFonts w:ascii="Times New Roman" w:eastAsia="Times New Roman" w:hAnsi="Times New Roman" w:cs="Times New Roman"/>
                <w:b/>
                <w:bCs/>
                <w:sz w:val="16"/>
                <w:szCs w:val="16"/>
              </w:rPr>
              <w:t>Y ADEMÁS</w:t>
            </w:r>
          </w:p>
          <w:p w14:paraId="70E0598E" w14:textId="77777777" w:rsidR="00924992" w:rsidRDefault="00924992">
            <w:pPr>
              <w:pStyle w:val="Other0"/>
              <w:framePr w:w="11434" w:h="4987" w:vSpace="494" w:wrap="none" w:hAnchor="page" w:x="625" w:y="351"/>
              <w:spacing w:line="240" w:lineRule="auto"/>
              <w:ind w:firstLine="180"/>
              <w:rPr>
                <w:sz w:val="16"/>
                <w:szCs w:val="16"/>
              </w:rPr>
            </w:pPr>
            <w:r>
              <w:rPr>
                <w:rFonts w:ascii="Times New Roman" w:eastAsia="Times New Roman" w:hAnsi="Times New Roman" w:cs="Times New Roman"/>
                <w:sz w:val="16"/>
                <w:szCs w:val="16"/>
              </w:rPr>
              <w:t>sulfato</w:t>
            </w:r>
          </w:p>
          <w:p w14:paraId="69D88901" w14:textId="77777777" w:rsidR="00924992" w:rsidRDefault="00924992">
            <w:pPr>
              <w:pStyle w:val="Other0"/>
              <w:framePr w:w="11434" w:h="4987" w:vSpace="494" w:wrap="none" w:hAnchor="page" w:x="625" w:y="351"/>
              <w:spacing w:line="240" w:lineRule="auto"/>
              <w:ind w:firstLine="180"/>
              <w:rPr>
                <w:sz w:val="16"/>
                <w:szCs w:val="16"/>
              </w:rPr>
            </w:pPr>
            <w:r>
              <w:rPr>
                <w:rFonts w:ascii="Times New Roman" w:eastAsia="Times New Roman" w:hAnsi="Times New Roman" w:cs="Times New Roman"/>
                <w:sz w:val="16"/>
                <w:szCs w:val="16"/>
              </w:rPr>
              <w:t>de gentamicina</w:t>
            </w:r>
          </w:p>
        </w:tc>
        <w:tc>
          <w:tcPr>
            <w:tcW w:w="7042" w:type="dxa"/>
            <w:shd w:val="clear" w:color="auto" w:fill="FFFFFF"/>
            <w:vAlign w:val="bottom"/>
          </w:tcPr>
          <w:p w14:paraId="330CE546" w14:textId="77777777" w:rsidR="00924992" w:rsidRDefault="00924992">
            <w:pPr>
              <w:pStyle w:val="Other0"/>
              <w:framePr w:w="11434" w:h="4987" w:vSpace="494" w:wrap="none" w:hAnchor="page" w:x="625" w:y="351"/>
              <w:spacing w:line="283" w:lineRule="auto"/>
              <w:ind w:left="260" w:hanging="100"/>
              <w:rPr>
                <w:sz w:val="16"/>
                <w:szCs w:val="16"/>
              </w:rPr>
            </w:pPr>
            <w:r>
              <w:rPr>
                <w:rFonts w:ascii="Times New Roman" w:eastAsia="Times New Roman" w:hAnsi="Times New Roman" w:cs="Times New Roman"/>
                <w:sz w:val="16"/>
                <w:szCs w:val="16"/>
              </w:rPr>
              <w:t>Adultos: ampicilina, 2.0 g, por vías intramuscular (IM) o intravenosa (IV), y además gentamicina, 1.5 mg/kg (dosis máxima, 120 mg) en un lapso no mayor de 30 min de haber comenzado el procedimiento; 6 h más tarde: ampicilina, 1 g por vías IM o IV o amoxicilina, 1 g por vía oral</w:t>
            </w:r>
          </w:p>
          <w:p w14:paraId="10C47637" w14:textId="77777777" w:rsidR="00924992" w:rsidRDefault="00924992">
            <w:pPr>
              <w:pStyle w:val="Other0"/>
              <w:framePr w:w="11434" w:h="4987" w:vSpace="494" w:wrap="none" w:hAnchor="page" w:x="625" w:y="351"/>
              <w:spacing w:line="283" w:lineRule="auto"/>
              <w:ind w:left="260" w:hanging="100"/>
              <w:rPr>
                <w:sz w:val="16"/>
                <w:szCs w:val="16"/>
              </w:rPr>
            </w:pPr>
            <w:r>
              <w:rPr>
                <w:rFonts w:ascii="Times New Roman" w:eastAsia="Times New Roman" w:hAnsi="Times New Roman" w:cs="Times New Roman"/>
                <w:sz w:val="16"/>
                <w:szCs w:val="16"/>
              </w:rPr>
              <w:t>Niños: ampicilina, 50 mg/kg, IM o IV (dosis máxima 2.0 g) y además gentamicina, 1.5 mg/kg en un lapso no mayor a 30 min de haber comenzado el método; 6 h más tarde: ampicilina, 25 mg/kg por vías IM o IV o amoxicilina, 25 mg/kg por vía oral</w:t>
            </w:r>
          </w:p>
        </w:tc>
      </w:tr>
      <w:tr w:rsidR="00924992" w14:paraId="3301CC6F" w14:textId="77777777">
        <w:tblPrEx>
          <w:tblCellMar>
            <w:top w:w="0" w:type="dxa"/>
            <w:bottom w:w="0" w:type="dxa"/>
          </w:tblCellMar>
        </w:tblPrEx>
        <w:trPr>
          <w:trHeight w:hRule="exact" w:val="206"/>
        </w:trPr>
        <w:tc>
          <w:tcPr>
            <w:tcW w:w="2198" w:type="dxa"/>
            <w:shd w:val="clear" w:color="auto" w:fill="FFFFFF"/>
            <w:vAlign w:val="bottom"/>
          </w:tcPr>
          <w:p w14:paraId="4CEFCC66" w14:textId="77777777" w:rsidR="00924992" w:rsidRDefault="00924992">
            <w:pPr>
              <w:pStyle w:val="Other0"/>
              <w:framePr w:w="11434" w:h="4987" w:vSpace="494" w:wrap="none" w:hAnchor="page" w:x="625" w:y="351"/>
              <w:spacing w:line="240" w:lineRule="auto"/>
              <w:ind w:firstLine="0"/>
              <w:rPr>
                <w:sz w:val="16"/>
                <w:szCs w:val="16"/>
              </w:rPr>
            </w:pPr>
            <w:r>
              <w:rPr>
                <w:rFonts w:ascii="Times New Roman" w:eastAsia="Times New Roman" w:hAnsi="Times New Roman" w:cs="Times New Roman"/>
                <w:sz w:val="16"/>
                <w:szCs w:val="16"/>
              </w:rPr>
              <w:t>Pacientes de alto riesgo</w:t>
            </w:r>
          </w:p>
        </w:tc>
        <w:tc>
          <w:tcPr>
            <w:tcW w:w="2194" w:type="dxa"/>
            <w:shd w:val="clear" w:color="auto" w:fill="FFFFFF"/>
            <w:vAlign w:val="bottom"/>
          </w:tcPr>
          <w:p w14:paraId="26814C15" w14:textId="77777777" w:rsidR="00924992" w:rsidRDefault="00924992">
            <w:pPr>
              <w:pStyle w:val="Other0"/>
              <w:framePr w:w="11434" w:h="4987" w:vSpace="494" w:wrap="none" w:hAnchor="page" w:x="625" w:y="351"/>
              <w:spacing w:line="240" w:lineRule="auto"/>
              <w:ind w:firstLine="0"/>
              <w:rPr>
                <w:sz w:val="16"/>
                <w:szCs w:val="16"/>
              </w:rPr>
            </w:pPr>
            <w:r>
              <w:rPr>
                <w:rFonts w:ascii="Times New Roman" w:eastAsia="Times New Roman" w:hAnsi="Times New Roman" w:cs="Times New Roman"/>
                <w:sz w:val="16"/>
                <w:szCs w:val="16"/>
              </w:rPr>
              <w:t>Clorhidrato de vancomicina</w:t>
            </w:r>
          </w:p>
        </w:tc>
        <w:tc>
          <w:tcPr>
            <w:tcW w:w="7042" w:type="dxa"/>
            <w:shd w:val="clear" w:color="auto" w:fill="FFFFFF"/>
            <w:vAlign w:val="bottom"/>
          </w:tcPr>
          <w:p w14:paraId="4950921A" w14:textId="77777777" w:rsidR="00924992" w:rsidRDefault="00924992">
            <w:pPr>
              <w:pStyle w:val="Other0"/>
              <w:framePr w:w="11434" w:h="4987" w:vSpace="494" w:wrap="none" w:hAnchor="page" w:x="625" w:y="351"/>
              <w:spacing w:line="240" w:lineRule="auto"/>
              <w:ind w:firstLine="140"/>
              <w:rPr>
                <w:sz w:val="16"/>
                <w:szCs w:val="16"/>
              </w:rPr>
            </w:pPr>
            <w:r>
              <w:rPr>
                <w:rFonts w:ascii="Times New Roman" w:eastAsia="Times New Roman" w:hAnsi="Times New Roman" w:cs="Times New Roman"/>
                <w:sz w:val="16"/>
                <w:szCs w:val="16"/>
              </w:rPr>
              <w:t>Adultos: vancomicina, 1.0 g por vía IV en un lapso de 1-2 h, y además gentamicina, 1.5 mg/kg</w:t>
            </w:r>
          </w:p>
        </w:tc>
      </w:tr>
      <w:tr w:rsidR="00924992" w14:paraId="38C957CB" w14:textId="77777777">
        <w:tblPrEx>
          <w:tblCellMar>
            <w:top w:w="0" w:type="dxa"/>
            <w:bottom w:w="0" w:type="dxa"/>
          </w:tblCellMar>
        </w:tblPrEx>
        <w:trPr>
          <w:trHeight w:hRule="exact" w:val="226"/>
        </w:trPr>
        <w:tc>
          <w:tcPr>
            <w:tcW w:w="2198" w:type="dxa"/>
            <w:shd w:val="clear" w:color="auto" w:fill="FFFFFF"/>
          </w:tcPr>
          <w:p w14:paraId="670C81C2" w14:textId="77777777" w:rsidR="00924992" w:rsidRDefault="00924992">
            <w:pPr>
              <w:pStyle w:val="Other0"/>
              <w:framePr w:w="11434" w:h="4987" w:vSpace="494" w:wrap="none" w:hAnchor="page" w:x="625" w:y="351"/>
              <w:spacing w:line="240" w:lineRule="auto"/>
              <w:ind w:firstLine="160"/>
              <w:rPr>
                <w:sz w:val="16"/>
                <w:szCs w:val="16"/>
              </w:rPr>
            </w:pPr>
            <w:r>
              <w:rPr>
                <w:rFonts w:ascii="Times New Roman" w:eastAsia="Times New Roman" w:hAnsi="Times New Roman" w:cs="Times New Roman"/>
                <w:sz w:val="16"/>
                <w:szCs w:val="16"/>
              </w:rPr>
              <w:t>alérgicos a ampicilina</w:t>
            </w:r>
          </w:p>
        </w:tc>
        <w:tc>
          <w:tcPr>
            <w:tcW w:w="2194" w:type="dxa"/>
            <w:shd w:val="clear" w:color="auto" w:fill="FFFFFF"/>
          </w:tcPr>
          <w:p w14:paraId="65DADB99" w14:textId="77777777" w:rsidR="00924992" w:rsidRDefault="00924992">
            <w:pPr>
              <w:pStyle w:val="Other0"/>
              <w:framePr w:w="11434" w:h="4987" w:vSpace="494" w:wrap="none" w:hAnchor="page" w:x="625" w:y="351"/>
              <w:spacing w:line="240" w:lineRule="auto"/>
              <w:ind w:firstLine="180"/>
              <w:rPr>
                <w:sz w:val="16"/>
                <w:szCs w:val="16"/>
              </w:rPr>
            </w:pPr>
            <w:r>
              <w:rPr>
                <w:rFonts w:ascii="Times New Roman" w:eastAsia="Times New Roman" w:hAnsi="Times New Roman" w:cs="Times New Roman"/>
                <w:b/>
                <w:bCs/>
                <w:sz w:val="16"/>
                <w:szCs w:val="16"/>
              </w:rPr>
              <w:t>Y ADEMÁS</w:t>
            </w:r>
          </w:p>
        </w:tc>
        <w:tc>
          <w:tcPr>
            <w:tcW w:w="7042" w:type="dxa"/>
            <w:shd w:val="clear" w:color="auto" w:fill="FFFFFF"/>
          </w:tcPr>
          <w:p w14:paraId="18275A8B" w14:textId="77777777" w:rsidR="00924992" w:rsidRDefault="00924992">
            <w:pPr>
              <w:pStyle w:val="Other0"/>
              <w:framePr w:w="11434" w:h="4987" w:vSpace="494" w:wrap="none" w:hAnchor="page" w:x="625" w:y="351"/>
              <w:spacing w:line="240" w:lineRule="auto"/>
              <w:ind w:firstLine="260"/>
              <w:rPr>
                <w:sz w:val="16"/>
                <w:szCs w:val="16"/>
              </w:rPr>
            </w:pPr>
            <w:r>
              <w:rPr>
                <w:rFonts w:ascii="Times New Roman" w:eastAsia="Times New Roman" w:hAnsi="Times New Roman" w:cs="Times New Roman"/>
                <w:sz w:val="16"/>
                <w:szCs w:val="16"/>
              </w:rPr>
              <w:t>por vías IV o IM (dosis máxima, 120 mg), completar la inyección/goteo en venoclisis en</w:t>
            </w:r>
          </w:p>
        </w:tc>
      </w:tr>
      <w:tr w:rsidR="00924992" w14:paraId="65738149" w14:textId="77777777">
        <w:tblPrEx>
          <w:tblCellMar>
            <w:top w:w="0" w:type="dxa"/>
            <w:bottom w:w="0" w:type="dxa"/>
          </w:tblCellMar>
        </w:tblPrEx>
        <w:trPr>
          <w:trHeight w:hRule="exact" w:val="869"/>
        </w:trPr>
        <w:tc>
          <w:tcPr>
            <w:tcW w:w="2198" w:type="dxa"/>
            <w:shd w:val="clear" w:color="auto" w:fill="FFFFFF"/>
          </w:tcPr>
          <w:p w14:paraId="1F39E3A9" w14:textId="77777777" w:rsidR="00924992" w:rsidRDefault="00924992">
            <w:pPr>
              <w:pStyle w:val="Other0"/>
              <w:framePr w:w="11434" w:h="4987" w:vSpace="494" w:wrap="none" w:hAnchor="page" w:x="625" w:y="351"/>
              <w:spacing w:line="240" w:lineRule="auto"/>
              <w:ind w:firstLine="160"/>
              <w:rPr>
                <w:sz w:val="16"/>
                <w:szCs w:val="16"/>
              </w:rPr>
            </w:pPr>
            <w:r>
              <w:rPr>
                <w:rFonts w:ascii="Times New Roman" w:eastAsia="Times New Roman" w:hAnsi="Times New Roman" w:cs="Times New Roman"/>
                <w:sz w:val="16"/>
                <w:szCs w:val="16"/>
              </w:rPr>
              <w:t>o amoxicilina</w:t>
            </w:r>
          </w:p>
        </w:tc>
        <w:tc>
          <w:tcPr>
            <w:tcW w:w="2194" w:type="dxa"/>
            <w:shd w:val="clear" w:color="auto" w:fill="FFFFFF"/>
          </w:tcPr>
          <w:p w14:paraId="0ADF86DE" w14:textId="77777777" w:rsidR="00924992" w:rsidRDefault="00924992">
            <w:pPr>
              <w:pStyle w:val="Other0"/>
              <w:framePr w:w="11434" w:h="4987" w:vSpace="494" w:wrap="none" w:hAnchor="page" w:x="625" w:y="351"/>
              <w:spacing w:line="240" w:lineRule="auto"/>
              <w:ind w:firstLine="180"/>
              <w:rPr>
                <w:sz w:val="16"/>
                <w:szCs w:val="16"/>
              </w:rPr>
            </w:pPr>
            <w:r>
              <w:rPr>
                <w:rFonts w:ascii="Times New Roman" w:eastAsia="Times New Roman" w:hAnsi="Times New Roman" w:cs="Times New Roman"/>
                <w:sz w:val="16"/>
                <w:szCs w:val="16"/>
              </w:rPr>
              <w:t>gentamicina</w:t>
            </w:r>
          </w:p>
        </w:tc>
        <w:tc>
          <w:tcPr>
            <w:tcW w:w="7042" w:type="dxa"/>
            <w:shd w:val="clear" w:color="auto" w:fill="FFFFFF"/>
            <w:vAlign w:val="bottom"/>
          </w:tcPr>
          <w:p w14:paraId="3C45962A" w14:textId="77777777" w:rsidR="00924992" w:rsidRDefault="00924992">
            <w:pPr>
              <w:pStyle w:val="Other0"/>
              <w:framePr w:w="11434" w:h="4987" w:vSpace="494" w:wrap="none" w:hAnchor="page" w:x="625" w:y="351"/>
              <w:spacing w:line="283" w:lineRule="auto"/>
              <w:ind w:firstLine="260"/>
              <w:rPr>
                <w:sz w:val="16"/>
                <w:szCs w:val="16"/>
              </w:rPr>
            </w:pPr>
            <w:r>
              <w:rPr>
                <w:rFonts w:ascii="Times New Roman" w:eastAsia="Times New Roman" w:hAnsi="Times New Roman" w:cs="Times New Roman"/>
                <w:sz w:val="16"/>
                <w:szCs w:val="16"/>
              </w:rPr>
              <w:t>término de 30 min de haber comenzado el procedimiento</w:t>
            </w:r>
          </w:p>
          <w:p w14:paraId="549EA6D8" w14:textId="77777777" w:rsidR="00924992" w:rsidRDefault="00924992">
            <w:pPr>
              <w:pStyle w:val="Other0"/>
              <w:framePr w:w="11434" w:h="4987" w:vSpace="494" w:wrap="none" w:hAnchor="page" w:x="625" w:y="351"/>
              <w:spacing w:line="283" w:lineRule="auto"/>
              <w:ind w:left="260" w:hanging="100"/>
              <w:rPr>
                <w:sz w:val="16"/>
                <w:szCs w:val="16"/>
              </w:rPr>
            </w:pPr>
            <w:r>
              <w:rPr>
                <w:rFonts w:ascii="Times New Roman" w:eastAsia="Times New Roman" w:hAnsi="Times New Roman" w:cs="Times New Roman"/>
                <w:sz w:val="16"/>
                <w:szCs w:val="16"/>
              </w:rPr>
              <w:t>Niños: vancomicina, 20 mg/kg IV en un lapso de 1-2 h, y además gentamicina, 1.5 mg/kg por vías IV o IM; completar la inyección/goteo en término de 30 min de haber comenzado el procedimiento</w:t>
            </w:r>
          </w:p>
        </w:tc>
      </w:tr>
      <w:tr w:rsidR="00924992" w14:paraId="05DFCD6A" w14:textId="77777777">
        <w:tblPrEx>
          <w:tblCellMar>
            <w:top w:w="0" w:type="dxa"/>
            <w:bottom w:w="0" w:type="dxa"/>
          </w:tblCellMar>
        </w:tblPrEx>
        <w:trPr>
          <w:trHeight w:hRule="exact" w:val="859"/>
        </w:trPr>
        <w:tc>
          <w:tcPr>
            <w:tcW w:w="2198" w:type="dxa"/>
            <w:shd w:val="clear" w:color="auto" w:fill="FFFFFF"/>
          </w:tcPr>
          <w:p w14:paraId="1B33BF0A" w14:textId="77777777" w:rsidR="00924992" w:rsidRDefault="00924992">
            <w:pPr>
              <w:pStyle w:val="Other0"/>
              <w:framePr w:w="11434" w:h="4987" w:vSpace="494" w:wrap="none" w:hAnchor="page" w:x="625" w:y="351"/>
              <w:spacing w:line="240" w:lineRule="auto"/>
              <w:ind w:firstLine="0"/>
              <w:rPr>
                <w:sz w:val="16"/>
                <w:szCs w:val="16"/>
              </w:rPr>
            </w:pPr>
            <w:r>
              <w:rPr>
                <w:rFonts w:ascii="Times New Roman" w:eastAsia="Times New Roman" w:hAnsi="Times New Roman" w:cs="Times New Roman"/>
                <w:sz w:val="16"/>
                <w:szCs w:val="16"/>
              </w:rPr>
              <w:t>Pacientes de riesgo moderado</w:t>
            </w:r>
          </w:p>
        </w:tc>
        <w:tc>
          <w:tcPr>
            <w:tcW w:w="2194" w:type="dxa"/>
            <w:shd w:val="clear" w:color="auto" w:fill="FFFFFF"/>
          </w:tcPr>
          <w:p w14:paraId="2B349D3A" w14:textId="77777777" w:rsidR="00924992" w:rsidRDefault="00924992">
            <w:pPr>
              <w:pStyle w:val="Other0"/>
              <w:framePr w:w="11434" w:h="4987" w:vSpace="494" w:wrap="none" w:hAnchor="page" w:x="625" w:y="351"/>
              <w:spacing w:line="283" w:lineRule="auto"/>
              <w:ind w:firstLine="0"/>
              <w:rPr>
                <w:sz w:val="16"/>
                <w:szCs w:val="16"/>
              </w:rPr>
            </w:pPr>
            <w:r>
              <w:rPr>
                <w:rFonts w:ascii="Times New Roman" w:eastAsia="Times New Roman" w:hAnsi="Times New Roman" w:cs="Times New Roman"/>
                <w:sz w:val="16"/>
                <w:szCs w:val="16"/>
              </w:rPr>
              <w:t xml:space="preserve">Amoxicilina </w:t>
            </w:r>
            <w:r>
              <w:rPr>
                <w:rFonts w:ascii="Times New Roman" w:eastAsia="Times New Roman" w:hAnsi="Times New Roman" w:cs="Times New Roman"/>
                <w:b/>
                <w:bCs/>
                <w:sz w:val="16"/>
                <w:szCs w:val="16"/>
              </w:rPr>
              <w:t xml:space="preserve">O </w:t>
            </w:r>
            <w:r>
              <w:rPr>
                <w:rFonts w:ascii="Times New Roman" w:eastAsia="Times New Roman" w:hAnsi="Times New Roman" w:cs="Times New Roman"/>
                <w:sz w:val="16"/>
                <w:szCs w:val="16"/>
              </w:rPr>
              <w:t>ampicilina</w:t>
            </w:r>
          </w:p>
        </w:tc>
        <w:tc>
          <w:tcPr>
            <w:tcW w:w="7042" w:type="dxa"/>
            <w:shd w:val="clear" w:color="auto" w:fill="FFFFFF"/>
            <w:vAlign w:val="bottom"/>
          </w:tcPr>
          <w:p w14:paraId="1C80958F" w14:textId="77777777" w:rsidR="00924992" w:rsidRDefault="00924992">
            <w:pPr>
              <w:pStyle w:val="Other0"/>
              <w:framePr w:w="11434" w:h="4987" w:vSpace="494" w:wrap="none" w:hAnchor="page" w:x="625" w:y="351"/>
              <w:spacing w:line="283" w:lineRule="auto"/>
              <w:ind w:left="260" w:hanging="100"/>
              <w:rPr>
                <w:sz w:val="16"/>
                <w:szCs w:val="16"/>
              </w:rPr>
            </w:pPr>
            <w:r>
              <w:rPr>
                <w:rFonts w:ascii="Times New Roman" w:eastAsia="Times New Roman" w:hAnsi="Times New Roman" w:cs="Times New Roman"/>
                <w:sz w:val="16"/>
                <w:szCs w:val="16"/>
              </w:rPr>
              <w:t>Adultos: amoxicilina, 2.0 g por vía oral, 1 h antes del procedimiento, o ampicilina, 2.0 g IM o IV en término de 30 min de haber comenzado el procedimiento</w:t>
            </w:r>
          </w:p>
          <w:p w14:paraId="0BF6607A" w14:textId="77777777" w:rsidR="00924992" w:rsidRDefault="00924992">
            <w:pPr>
              <w:pStyle w:val="Other0"/>
              <w:framePr w:w="11434" w:h="4987" w:vSpace="494" w:wrap="none" w:hAnchor="page" w:x="625" w:y="351"/>
              <w:spacing w:line="283" w:lineRule="auto"/>
              <w:ind w:left="260" w:hanging="100"/>
              <w:rPr>
                <w:sz w:val="16"/>
                <w:szCs w:val="16"/>
              </w:rPr>
            </w:pPr>
            <w:r>
              <w:rPr>
                <w:rFonts w:ascii="Times New Roman" w:eastAsia="Times New Roman" w:hAnsi="Times New Roman" w:cs="Times New Roman"/>
                <w:sz w:val="16"/>
                <w:szCs w:val="16"/>
              </w:rPr>
              <w:t>Niños: amoxicilina, 50 mg/kg de peso por vía oral 1 h antes del método o 50 mg/kg de ampicilina por vías IM o IV, en término de 30 min de haber comenzado el procedimiento</w:t>
            </w:r>
          </w:p>
        </w:tc>
      </w:tr>
      <w:tr w:rsidR="00924992" w14:paraId="05435C98" w14:textId="77777777">
        <w:tblPrEx>
          <w:tblCellMar>
            <w:top w:w="0" w:type="dxa"/>
            <w:bottom w:w="0" w:type="dxa"/>
          </w:tblCellMar>
        </w:tblPrEx>
        <w:trPr>
          <w:trHeight w:hRule="exact" w:val="955"/>
        </w:trPr>
        <w:tc>
          <w:tcPr>
            <w:tcW w:w="2198" w:type="dxa"/>
            <w:tcBorders>
              <w:bottom w:val="single" w:sz="4" w:space="0" w:color="auto"/>
            </w:tcBorders>
            <w:shd w:val="clear" w:color="auto" w:fill="FFFFFF"/>
          </w:tcPr>
          <w:p w14:paraId="75D80B9C" w14:textId="77777777" w:rsidR="00924992" w:rsidRDefault="00924992">
            <w:pPr>
              <w:pStyle w:val="Other0"/>
              <w:framePr w:w="11434" w:h="4987" w:vSpace="494" w:wrap="none" w:hAnchor="page" w:x="625" w:y="351"/>
              <w:spacing w:line="283" w:lineRule="auto"/>
              <w:ind w:left="160" w:hanging="160"/>
              <w:rPr>
                <w:sz w:val="16"/>
                <w:szCs w:val="16"/>
              </w:rPr>
            </w:pPr>
            <w:r>
              <w:rPr>
                <w:rFonts w:ascii="Times New Roman" w:eastAsia="Times New Roman" w:hAnsi="Times New Roman" w:cs="Times New Roman"/>
                <w:sz w:val="16"/>
                <w:szCs w:val="16"/>
              </w:rPr>
              <w:t>Pacientes de riesgo moderado alérgicos a la ampicilina o la amoxicilina</w:t>
            </w:r>
          </w:p>
        </w:tc>
        <w:tc>
          <w:tcPr>
            <w:tcW w:w="2194" w:type="dxa"/>
            <w:tcBorders>
              <w:bottom w:val="single" w:sz="4" w:space="0" w:color="auto"/>
            </w:tcBorders>
            <w:shd w:val="clear" w:color="auto" w:fill="FFFFFF"/>
          </w:tcPr>
          <w:p w14:paraId="7C425109" w14:textId="77777777" w:rsidR="00924992" w:rsidRDefault="00924992">
            <w:pPr>
              <w:pStyle w:val="Other0"/>
              <w:framePr w:w="11434" w:h="4987" w:vSpace="494" w:wrap="none" w:hAnchor="page" w:x="625" w:y="351"/>
              <w:spacing w:line="240" w:lineRule="auto"/>
              <w:ind w:firstLine="0"/>
              <w:rPr>
                <w:sz w:val="16"/>
                <w:szCs w:val="16"/>
              </w:rPr>
            </w:pPr>
            <w:r>
              <w:rPr>
                <w:rFonts w:ascii="Times New Roman" w:eastAsia="Times New Roman" w:hAnsi="Times New Roman" w:cs="Times New Roman"/>
                <w:sz w:val="16"/>
                <w:szCs w:val="16"/>
              </w:rPr>
              <w:t>Vancomicina</w:t>
            </w:r>
          </w:p>
        </w:tc>
        <w:tc>
          <w:tcPr>
            <w:tcW w:w="7042" w:type="dxa"/>
            <w:tcBorders>
              <w:bottom w:val="single" w:sz="4" w:space="0" w:color="auto"/>
            </w:tcBorders>
            <w:shd w:val="clear" w:color="auto" w:fill="FFFFFF"/>
          </w:tcPr>
          <w:p w14:paraId="172BBFBB" w14:textId="77777777" w:rsidR="00924992" w:rsidRDefault="00924992">
            <w:pPr>
              <w:pStyle w:val="Other0"/>
              <w:framePr w:w="11434" w:h="4987" w:vSpace="494" w:wrap="none" w:hAnchor="page" w:x="625" w:y="351"/>
              <w:spacing w:line="283" w:lineRule="auto"/>
              <w:ind w:left="260" w:hanging="100"/>
              <w:rPr>
                <w:sz w:val="16"/>
                <w:szCs w:val="16"/>
              </w:rPr>
            </w:pPr>
            <w:r>
              <w:rPr>
                <w:rFonts w:ascii="Times New Roman" w:eastAsia="Times New Roman" w:hAnsi="Times New Roman" w:cs="Times New Roman"/>
                <w:sz w:val="16"/>
                <w:szCs w:val="16"/>
              </w:rPr>
              <w:t>Adultos: vancomicina, 1.0 g IV en término de 1-2 h; completar goteo en término de 30 min de haber comenzado el procedimiento</w:t>
            </w:r>
          </w:p>
          <w:p w14:paraId="04672D59" w14:textId="77777777" w:rsidR="00924992" w:rsidRDefault="00924992">
            <w:pPr>
              <w:pStyle w:val="Other0"/>
              <w:framePr w:w="11434" w:h="4987" w:vSpace="494" w:wrap="none" w:hAnchor="page" w:x="625" w:y="351"/>
              <w:spacing w:line="283" w:lineRule="auto"/>
              <w:ind w:left="260" w:hanging="100"/>
              <w:rPr>
                <w:sz w:val="16"/>
                <w:szCs w:val="16"/>
              </w:rPr>
            </w:pPr>
            <w:r>
              <w:rPr>
                <w:rFonts w:ascii="Times New Roman" w:eastAsia="Times New Roman" w:hAnsi="Times New Roman" w:cs="Times New Roman"/>
                <w:sz w:val="16"/>
                <w:szCs w:val="16"/>
              </w:rPr>
              <w:t>Niños: vancomicina, 20 mg/kg IV en término de 1-2 h; completar goteo en término de 30 min de haber comenzado el procedimiento</w:t>
            </w:r>
          </w:p>
        </w:tc>
      </w:tr>
    </w:tbl>
    <w:p w14:paraId="0443DB9C" w14:textId="77777777" w:rsidR="00924992" w:rsidRDefault="00924992">
      <w:pPr>
        <w:framePr w:w="11434" w:h="4987" w:vSpace="494" w:wrap="none" w:hAnchor="page" w:x="625" w:y="351"/>
        <w:spacing w:line="1" w:lineRule="exact"/>
      </w:pPr>
    </w:p>
    <w:p w14:paraId="3A4C9F7A" w14:textId="77777777" w:rsidR="00924992" w:rsidRDefault="00924992">
      <w:pPr>
        <w:pStyle w:val="Tablecaption0"/>
        <w:framePr w:w="4920" w:h="398" w:wrap="none" w:hAnchor="page" w:x="678" w:y="5434"/>
        <w:numPr>
          <w:ilvl w:val="0"/>
          <w:numId w:val="150"/>
        </w:numPr>
        <w:tabs>
          <w:tab w:val="left" w:pos="163"/>
        </w:tabs>
        <w:spacing w:line="240" w:lineRule="auto"/>
        <w:ind w:left="0"/>
      </w:pPr>
      <w:r>
        <w:t>La dosis total para niños no debe exceder de la de los adultos.</w:t>
      </w:r>
    </w:p>
    <w:p w14:paraId="288EE0D1" w14:textId="77777777" w:rsidR="00924992" w:rsidRDefault="00924992">
      <w:pPr>
        <w:pStyle w:val="Tablecaption0"/>
        <w:framePr w:w="4920" w:h="398" w:wrap="none" w:hAnchor="page" w:x="678" w:y="5434"/>
        <w:numPr>
          <w:ilvl w:val="0"/>
          <w:numId w:val="150"/>
        </w:numPr>
        <w:tabs>
          <w:tab w:val="left" w:pos="168"/>
        </w:tabs>
        <w:spacing w:line="240" w:lineRule="auto"/>
        <w:ind w:left="0"/>
      </w:pPr>
      <w:r>
        <w:t>No se recomienda aplicar una segunda dosis de vancomicina o gentamicina.</w:t>
      </w:r>
    </w:p>
    <w:p w14:paraId="0C536F12" w14:textId="77777777" w:rsidR="00924992" w:rsidRDefault="00924992">
      <w:pPr>
        <w:pStyle w:val="Bodytext80"/>
        <w:framePr w:w="192" w:h="4790" w:hRule="exact" w:wrap="none" w:hAnchor="page" w:x="12390" w:y="35"/>
        <w:tabs>
          <w:tab w:val="left" w:pos="2088"/>
        </w:tabs>
        <w:textDirection w:val="tbRl"/>
      </w:pPr>
      <w:r>
        <w:rPr>
          <w:sz w:val="16"/>
          <w:szCs w:val="16"/>
        </w:rPr>
        <w:t>822</w:t>
      </w:r>
      <w:r>
        <w:rPr>
          <w:sz w:val="16"/>
          <w:szCs w:val="16"/>
        </w:rPr>
        <w:tab/>
      </w:r>
      <w:r>
        <w:t>PREVENCIÓN DE OFTALMÍA NEONATAL</w:t>
      </w:r>
    </w:p>
    <w:p w14:paraId="77D8C167" w14:textId="77777777" w:rsidR="00924992" w:rsidRDefault="00924992">
      <w:pPr>
        <w:spacing w:line="360" w:lineRule="exact"/>
      </w:pPr>
    </w:p>
    <w:p w14:paraId="518091A4" w14:textId="77777777" w:rsidR="00924992" w:rsidRDefault="00924992">
      <w:pPr>
        <w:spacing w:line="360" w:lineRule="exact"/>
      </w:pPr>
    </w:p>
    <w:p w14:paraId="4C6018EB" w14:textId="77777777" w:rsidR="00924992" w:rsidRDefault="00924992">
      <w:pPr>
        <w:spacing w:line="360" w:lineRule="exact"/>
      </w:pPr>
    </w:p>
    <w:p w14:paraId="1DA8CF22" w14:textId="77777777" w:rsidR="00924992" w:rsidRDefault="00924992">
      <w:pPr>
        <w:spacing w:line="360" w:lineRule="exact"/>
      </w:pPr>
    </w:p>
    <w:p w14:paraId="701F0412" w14:textId="77777777" w:rsidR="00924992" w:rsidRDefault="00924992">
      <w:pPr>
        <w:spacing w:line="360" w:lineRule="exact"/>
      </w:pPr>
    </w:p>
    <w:p w14:paraId="70EC13A2" w14:textId="77777777" w:rsidR="00924992" w:rsidRDefault="00924992">
      <w:pPr>
        <w:spacing w:line="360" w:lineRule="exact"/>
      </w:pPr>
    </w:p>
    <w:p w14:paraId="2BBA19AD" w14:textId="77777777" w:rsidR="00924992" w:rsidRDefault="00924992">
      <w:pPr>
        <w:spacing w:line="360" w:lineRule="exact"/>
      </w:pPr>
    </w:p>
    <w:p w14:paraId="1D77C403" w14:textId="77777777" w:rsidR="00924992" w:rsidRDefault="00924992">
      <w:pPr>
        <w:spacing w:line="360" w:lineRule="exact"/>
      </w:pPr>
    </w:p>
    <w:p w14:paraId="16A7697B" w14:textId="77777777" w:rsidR="00924992" w:rsidRDefault="00924992">
      <w:pPr>
        <w:spacing w:line="360" w:lineRule="exact"/>
      </w:pPr>
    </w:p>
    <w:p w14:paraId="2F86449D" w14:textId="77777777" w:rsidR="00924992" w:rsidRDefault="00924992">
      <w:pPr>
        <w:spacing w:line="360" w:lineRule="exact"/>
      </w:pPr>
    </w:p>
    <w:p w14:paraId="4D0305F7" w14:textId="77777777" w:rsidR="00924992" w:rsidRDefault="00924992">
      <w:pPr>
        <w:spacing w:line="360" w:lineRule="exact"/>
      </w:pPr>
    </w:p>
    <w:p w14:paraId="0808A0C9" w14:textId="77777777" w:rsidR="00924992" w:rsidRDefault="00924992">
      <w:pPr>
        <w:spacing w:line="360" w:lineRule="exact"/>
      </w:pPr>
    </w:p>
    <w:p w14:paraId="4E0D0082" w14:textId="77777777" w:rsidR="00924992" w:rsidRDefault="00924992">
      <w:pPr>
        <w:spacing w:line="360" w:lineRule="exact"/>
      </w:pPr>
    </w:p>
    <w:p w14:paraId="63D94B9F" w14:textId="77777777" w:rsidR="00924992" w:rsidRDefault="00924992">
      <w:pPr>
        <w:spacing w:line="360" w:lineRule="exact"/>
      </w:pPr>
    </w:p>
    <w:p w14:paraId="22370F25" w14:textId="77777777" w:rsidR="00924992" w:rsidRDefault="00924992">
      <w:pPr>
        <w:spacing w:line="360" w:lineRule="exact"/>
      </w:pPr>
    </w:p>
    <w:p w14:paraId="354CC600" w14:textId="77777777" w:rsidR="00924992" w:rsidRDefault="00924992">
      <w:pPr>
        <w:spacing w:after="431" w:line="1" w:lineRule="exact"/>
      </w:pPr>
    </w:p>
    <w:p w14:paraId="5D54B362" w14:textId="77777777" w:rsidR="00924992" w:rsidRDefault="00924992">
      <w:pPr>
        <w:spacing w:line="1" w:lineRule="exact"/>
        <w:sectPr w:rsidR="00924992" w:rsidSect="00924992">
          <w:footnotePr>
            <w:numFmt w:val="chicago"/>
          </w:footnotePr>
          <w:pgSz w:w="13022" w:h="8501" w:orient="landscape"/>
          <w:pgMar w:top="470" w:right="442" w:bottom="470" w:left="624" w:header="42" w:footer="3" w:gutter="0"/>
          <w:cols w:space="720"/>
          <w:noEndnote/>
          <w:docGrid w:linePitch="360"/>
          <w15:footnoteColumns w:val="1"/>
        </w:sectPr>
      </w:pPr>
    </w:p>
    <w:p w14:paraId="15729816" w14:textId="77777777" w:rsidR="00924992" w:rsidRDefault="00924992">
      <w:pPr>
        <w:pStyle w:val="Heading31"/>
        <w:keepNext/>
        <w:keepLines/>
        <w:framePr w:w="6384" w:h="317" w:wrap="none" w:hAnchor="page" w:x="3131" w:y="1"/>
      </w:pPr>
      <w:bookmarkStart w:id="783" w:name="bookmark2180"/>
      <w:bookmarkStart w:id="784" w:name="bookmark2181"/>
      <w:bookmarkStart w:id="785" w:name="bookmark2182"/>
      <w:r>
        <w:rPr>
          <w:b w:val="0"/>
          <w:bCs w:val="0"/>
        </w:rPr>
        <w:t xml:space="preserve">Cuadro 5-7. </w:t>
      </w:r>
      <w:r>
        <w:t>Patógenos mayores y menores en la oftalmía de neonatos</w:t>
      </w:r>
      <w:bookmarkEnd w:id="783"/>
      <w:bookmarkEnd w:id="784"/>
      <w:bookmarkEnd w:id="785"/>
    </w:p>
    <w:tbl>
      <w:tblPr>
        <w:tblOverlap w:val="never"/>
        <w:tblW w:w="0" w:type="auto"/>
        <w:tblLayout w:type="fixed"/>
        <w:tblCellMar>
          <w:left w:w="10" w:type="dxa"/>
          <w:right w:w="10" w:type="dxa"/>
        </w:tblCellMar>
        <w:tblLook w:val="04A0" w:firstRow="1" w:lastRow="0" w:firstColumn="1" w:lastColumn="0" w:noHBand="0" w:noVBand="1"/>
      </w:tblPr>
      <w:tblGrid>
        <w:gridCol w:w="2203"/>
        <w:gridCol w:w="2174"/>
        <w:gridCol w:w="2050"/>
        <w:gridCol w:w="1944"/>
        <w:gridCol w:w="3010"/>
      </w:tblGrid>
      <w:tr w:rsidR="00924992" w14:paraId="7A5B62E7" w14:textId="77777777">
        <w:tblPrEx>
          <w:tblCellMar>
            <w:top w:w="0" w:type="dxa"/>
            <w:bottom w:w="0" w:type="dxa"/>
          </w:tblCellMar>
        </w:tblPrEx>
        <w:trPr>
          <w:trHeight w:hRule="exact" w:val="571"/>
        </w:trPr>
        <w:tc>
          <w:tcPr>
            <w:tcW w:w="2203" w:type="dxa"/>
            <w:shd w:val="clear" w:color="auto" w:fill="231F20"/>
            <w:vAlign w:val="bottom"/>
          </w:tcPr>
          <w:p w14:paraId="68414387" w14:textId="77777777" w:rsidR="00924992" w:rsidRDefault="00924992">
            <w:pPr>
              <w:pStyle w:val="Other0"/>
              <w:framePr w:w="11381" w:h="3120" w:vSpace="672" w:wrap="none" w:hAnchor="page" w:x="625" w:y="351"/>
              <w:pBdr>
                <w:top w:val="single" w:sz="0" w:space="0" w:color="231F20"/>
                <w:left w:val="single" w:sz="0" w:space="0" w:color="231F20"/>
                <w:bottom w:val="single" w:sz="0" w:space="0" w:color="231F20"/>
                <w:right w:val="single" w:sz="0" w:space="0" w:color="231F20"/>
              </w:pBdr>
              <w:shd w:val="clear" w:color="auto" w:fill="231F20"/>
              <w:spacing w:line="214" w:lineRule="auto"/>
              <w:ind w:firstLine="0"/>
              <w:rPr>
                <w:sz w:val="24"/>
                <w:szCs w:val="24"/>
              </w:rPr>
            </w:pPr>
            <w:r>
              <w:rPr>
                <w:rFonts w:ascii="Arial" w:eastAsia="Arial" w:hAnsi="Arial" w:cs="Arial"/>
                <w:b/>
                <w:bCs/>
                <w:color w:val="FFFFFF"/>
                <w:w w:val="70"/>
                <w:sz w:val="24"/>
                <w:szCs w:val="24"/>
              </w:rPr>
              <w:t>Causas de la oftalmía del neonato</w:t>
            </w:r>
          </w:p>
        </w:tc>
        <w:tc>
          <w:tcPr>
            <w:tcW w:w="2174" w:type="dxa"/>
            <w:shd w:val="clear" w:color="auto" w:fill="231F20"/>
            <w:vAlign w:val="bottom"/>
          </w:tcPr>
          <w:p w14:paraId="2AC89372" w14:textId="77777777" w:rsidR="00924992" w:rsidRDefault="00924992">
            <w:pPr>
              <w:pStyle w:val="Other0"/>
              <w:framePr w:w="11381" w:h="3120" w:vSpace="672" w:wrap="none" w:hAnchor="page" w:x="625" w:y="351"/>
              <w:pBdr>
                <w:top w:val="single" w:sz="0" w:space="0" w:color="231F20"/>
                <w:left w:val="single" w:sz="0" w:space="0" w:color="231F20"/>
                <w:bottom w:val="single" w:sz="0" w:space="0" w:color="231F20"/>
                <w:right w:val="single" w:sz="0" w:space="0" w:color="231F20"/>
              </w:pBdr>
              <w:shd w:val="clear" w:color="auto" w:fill="231F20"/>
              <w:spacing w:line="214" w:lineRule="auto"/>
              <w:ind w:firstLine="0"/>
              <w:rPr>
                <w:sz w:val="24"/>
                <w:szCs w:val="24"/>
              </w:rPr>
            </w:pPr>
            <w:r>
              <w:rPr>
                <w:rFonts w:ascii="Arial" w:eastAsia="Arial" w:hAnsi="Arial" w:cs="Arial"/>
                <w:b/>
                <w:bCs/>
                <w:color w:val="FFFFFF"/>
                <w:w w:val="70"/>
                <w:sz w:val="24"/>
                <w:szCs w:val="24"/>
              </w:rPr>
              <w:t>Porcentaje de casos</w:t>
            </w:r>
          </w:p>
        </w:tc>
        <w:tc>
          <w:tcPr>
            <w:tcW w:w="2050" w:type="dxa"/>
            <w:shd w:val="clear" w:color="auto" w:fill="231F20"/>
            <w:vAlign w:val="bottom"/>
          </w:tcPr>
          <w:p w14:paraId="6BCD4A7D" w14:textId="77777777" w:rsidR="00924992" w:rsidRDefault="00924992">
            <w:pPr>
              <w:pStyle w:val="Other0"/>
              <w:framePr w:w="11381" w:h="3120" w:vSpace="672" w:wrap="none" w:hAnchor="page" w:x="625" w:y="351"/>
              <w:pBdr>
                <w:top w:val="single" w:sz="0" w:space="0" w:color="231F20"/>
                <w:left w:val="single" w:sz="0" w:space="0" w:color="231F20"/>
                <w:bottom w:val="single" w:sz="0" w:space="0" w:color="231F20"/>
                <w:right w:val="single" w:sz="0" w:space="0" w:color="231F20"/>
              </w:pBdr>
              <w:shd w:val="clear" w:color="auto" w:fill="231F20"/>
              <w:spacing w:line="209" w:lineRule="auto"/>
              <w:ind w:left="220" w:firstLine="0"/>
              <w:rPr>
                <w:sz w:val="24"/>
                <w:szCs w:val="24"/>
              </w:rPr>
            </w:pPr>
            <w:r>
              <w:rPr>
                <w:rFonts w:ascii="Arial" w:eastAsia="Arial" w:hAnsi="Arial" w:cs="Arial"/>
                <w:b/>
                <w:bCs/>
                <w:color w:val="FFFFFF"/>
                <w:w w:val="70"/>
                <w:sz w:val="24"/>
                <w:szCs w:val="24"/>
              </w:rPr>
              <w:t>Periodo de incubación (días)</w:t>
            </w:r>
          </w:p>
        </w:tc>
        <w:tc>
          <w:tcPr>
            <w:tcW w:w="1944" w:type="dxa"/>
            <w:shd w:val="clear" w:color="auto" w:fill="231F20"/>
            <w:vAlign w:val="bottom"/>
          </w:tcPr>
          <w:p w14:paraId="3DAF8197" w14:textId="77777777" w:rsidR="00924992" w:rsidRDefault="00924992">
            <w:pPr>
              <w:pStyle w:val="Other0"/>
              <w:framePr w:w="11381" w:h="3120" w:vSpace="672" w:wrap="none" w:hAnchor="page" w:x="625" w:y="351"/>
              <w:pBdr>
                <w:top w:val="single" w:sz="0" w:space="0" w:color="231F20"/>
                <w:left w:val="single" w:sz="0" w:space="0" w:color="231F20"/>
                <w:bottom w:val="single" w:sz="0" w:space="0" w:color="231F20"/>
                <w:right w:val="single" w:sz="0" w:space="0" w:color="231F20"/>
              </w:pBdr>
              <w:shd w:val="clear" w:color="auto" w:fill="231F20"/>
              <w:spacing w:line="218" w:lineRule="auto"/>
              <w:ind w:left="420" w:firstLine="0"/>
              <w:rPr>
                <w:sz w:val="8"/>
                <w:szCs w:val="8"/>
              </w:rPr>
            </w:pPr>
            <w:r>
              <w:rPr>
                <w:rFonts w:ascii="Arial" w:eastAsia="Arial" w:hAnsi="Arial" w:cs="Arial"/>
                <w:b/>
                <w:bCs/>
                <w:color w:val="FFFFFF"/>
                <w:w w:val="70"/>
                <w:sz w:val="24"/>
                <w:szCs w:val="24"/>
              </w:rPr>
              <w:t>Intensidad de la conjuntivitis</w:t>
            </w:r>
            <w:r>
              <w:rPr>
                <w:rFonts w:ascii="Times New Roman" w:eastAsia="Times New Roman" w:hAnsi="Times New Roman" w:cs="Times New Roman"/>
                <w:color w:val="FFFFFF"/>
                <w:sz w:val="8"/>
                <w:szCs w:val="8"/>
                <w:vertAlign w:val="superscript"/>
              </w:rPr>
              <w:t>1</w:t>
            </w:r>
          </w:p>
        </w:tc>
        <w:tc>
          <w:tcPr>
            <w:tcW w:w="3010" w:type="dxa"/>
            <w:shd w:val="clear" w:color="auto" w:fill="231F20"/>
            <w:vAlign w:val="bottom"/>
          </w:tcPr>
          <w:p w14:paraId="110B5227" w14:textId="77777777" w:rsidR="00924992" w:rsidRDefault="00924992">
            <w:pPr>
              <w:pStyle w:val="Other0"/>
              <w:framePr w:w="11381" w:h="3120" w:vSpace="672" w:wrap="none" w:hAnchor="page" w:x="625" w:y="351"/>
              <w:pBdr>
                <w:top w:val="single" w:sz="0" w:space="0" w:color="231F20"/>
                <w:left w:val="single" w:sz="0" w:space="0" w:color="231F20"/>
                <w:bottom w:val="single" w:sz="0" w:space="0" w:color="231F20"/>
                <w:right w:val="single" w:sz="0" w:space="0" w:color="231F20"/>
              </w:pBdr>
              <w:shd w:val="clear" w:color="auto" w:fill="231F20"/>
              <w:spacing w:line="240" w:lineRule="auto"/>
              <w:ind w:firstLine="300"/>
              <w:rPr>
                <w:sz w:val="24"/>
                <w:szCs w:val="24"/>
              </w:rPr>
            </w:pPr>
            <w:r>
              <w:rPr>
                <w:rFonts w:ascii="Arial" w:eastAsia="Arial" w:hAnsi="Arial" w:cs="Arial"/>
                <w:b/>
                <w:bCs/>
                <w:color w:val="FFFFFF"/>
                <w:w w:val="70"/>
                <w:sz w:val="24"/>
                <w:szCs w:val="24"/>
              </w:rPr>
              <w:t>Problemas concomitantes</w:t>
            </w:r>
          </w:p>
        </w:tc>
      </w:tr>
      <w:tr w:rsidR="00924992" w14:paraId="6F072810" w14:textId="77777777">
        <w:tblPrEx>
          <w:tblCellMar>
            <w:top w:w="0" w:type="dxa"/>
            <w:bottom w:w="0" w:type="dxa"/>
          </w:tblCellMar>
        </w:tblPrEx>
        <w:trPr>
          <w:trHeight w:hRule="exact" w:val="706"/>
        </w:trPr>
        <w:tc>
          <w:tcPr>
            <w:tcW w:w="2203" w:type="dxa"/>
            <w:shd w:val="clear" w:color="auto" w:fill="FFFFFF"/>
          </w:tcPr>
          <w:p w14:paraId="1EEE35BA" w14:textId="77777777" w:rsidR="00924992" w:rsidRDefault="00924992">
            <w:pPr>
              <w:pStyle w:val="Other0"/>
              <w:framePr w:w="11381" w:h="3120" w:vSpace="672" w:wrap="none" w:hAnchor="page" w:x="625" w:y="351"/>
              <w:spacing w:line="240" w:lineRule="auto"/>
              <w:ind w:firstLine="0"/>
              <w:rPr>
                <w:sz w:val="16"/>
                <w:szCs w:val="16"/>
              </w:rPr>
            </w:pPr>
            <w:r>
              <w:rPr>
                <w:rFonts w:ascii="Times New Roman" w:eastAsia="Times New Roman" w:hAnsi="Times New Roman" w:cs="Times New Roman"/>
                <w:i/>
                <w:iCs/>
                <w:sz w:val="16"/>
                <w:szCs w:val="16"/>
              </w:rPr>
              <w:t>Chlamydia trachomatis</w:t>
            </w:r>
          </w:p>
        </w:tc>
        <w:tc>
          <w:tcPr>
            <w:tcW w:w="2174" w:type="dxa"/>
            <w:shd w:val="clear" w:color="auto" w:fill="FFFFFF"/>
          </w:tcPr>
          <w:p w14:paraId="338FD326" w14:textId="77777777" w:rsidR="00924992" w:rsidRDefault="00924992">
            <w:pPr>
              <w:pStyle w:val="Other0"/>
              <w:framePr w:w="11381" w:h="3120" w:vSpace="672" w:wrap="none" w:hAnchor="page" w:x="625" w:y="351"/>
              <w:spacing w:line="240" w:lineRule="auto"/>
              <w:ind w:firstLine="0"/>
              <w:rPr>
                <w:sz w:val="16"/>
                <w:szCs w:val="16"/>
              </w:rPr>
            </w:pPr>
            <w:r>
              <w:rPr>
                <w:rFonts w:ascii="Times New Roman" w:eastAsia="Times New Roman" w:hAnsi="Times New Roman" w:cs="Times New Roman"/>
                <w:sz w:val="16"/>
                <w:szCs w:val="16"/>
              </w:rPr>
              <w:t>2-40</w:t>
            </w:r>
          </w:p>
        </w:tc>
        <w:tc>
          <w:tcPr>
            <w:tcW w:w="2050" w:type="dxa"/>
            <w:shd w:val="clear" w:color="auto" w:fill="FFFFFF"/>
          </w:tcPr>
          <w:p w14:paraId="2FA42396" w14:textId="77777777" w:rsidR="00924992" w:rsidRDefault="00924992">
            <w:pPr>
              <w:pStyle w:val="Other0"/>
              <w:framePr w:w="11381" w:h="3120" w:vSpace="672" w:wrap="none" w:hAnchor="page" w:x="625" w:y="351"/>
              <w:spacing w:line="240" w:lineRule="auto"/>
              <w:ind w:firstLine="220"/>
              <w:rPr>
                <w:sz w:val="16"/>
                <w:szCs w:val="16"/>
              </w:rPr>
            </w:pPr>
            <w:r>
              <w:rPr>
                <w:rFonts w:ascii="Times New Roman" w:eastAsia="Times New Roman" w:hAnsi="Times New Roman" w:cs="Times New Roman"/>
                <w:sz w:val="16"/>
                <w:szCs w:val="16"/>
              </w:rPr>
              <w:t>5-14</w:t>
            </w:r>
          </w:p>
        </w:tc>
        <w:tc>
          <w:tcPr>
            <w:tcW w:w="1944" w:type="dxa"/>
            <w:shd w:val="clear" w:color="auto" w:fill="FFFFFF"/>
          </w:tcPr>
          <w:p w14:paraId="46F5EF9C" w14:textId="77777777" w:rsidR="00924992" w:rsidRDefault="00924992">
            <w:pPr>
              <w:pStyle w:val="Other0"/>
              <w:framePr w:w="11381" w:h="3120" w:vSpace="672" w:wrap="none" w:hAnchor="page" w:x="625" w:y="351"/>
              <w:spacing w:line="240" w:lineRule="auto"/>
              <w:ind w:firstLine="420"/>
              <w:rPr>
                <w:sz w:val="16"/>
                <w:szCs w:val="16"/>
              </w:rPr>
            </w:pPr>
            <w:r>
              <w:rPr>
                <w:rFonts w:ascii="Times New Roman" w:eastAsia="Times New Roman" w:hAnsi="Times New Roman" w:cs="Times New Roman"/>
                <w:sz w:val="16"/>
                <w:szCs w:val="16"/>
              </w:rPr>
              <w:t>+</w:t>
            </w:r>
          </w:p>
        </w:tc>
        <w:tc>
          <w:tcPr>
            <w:tcW w:w="3010" w:type="dxa"/>
            <w:shd w:val="clear" w:color="auto" w:fill="FFFFFF"/>
            <w:vAlign w:val="bottom"/>
          </w:tcPr>
          <w:p w14:paraId="63F5FD66" w14:textId="77777777" w:rsidR="00924992" w:rsidRDefault="00924992">
            <w:pPr>
              <w:pStyle w:val="Other0"/>
              <w:framePr w:w="11381" w:h="3120" w:vSpace="672" w:wrap="none" w:hAnchor="page" w:x="625" w:y="351"/>
              <w:spacing w:line="283" w:lineRule="auto"/>
              <w:ind w:left="420" w:hanging="100"/>
              <w:rPr>
                <w:sz w:val="16"/>
                <w:szCs w:val="16"/>
              </w:rPr>
            </w:pPr>
            <w:r>
              <w:rPr>
                <w:rFonts w:ascii="Times New Roman" w:eastAsia="Times New Roman" w:hAnsi="Times New Roman" w:cs="Times New Roman"/>
                <w:sz w:val="16"/>
                <w:szCs w:val="16"/>
              </w:rPr>
              <w:t>Neumonitis que aparece 3 semanas a 3 meses después (véase “Clamidiasis”, sección 3)</w:t>
            </w:r>
          </w:p>
        </w:tc>
      </w:tr>
      <w:tr w:rsidR="00924992" w14:paraId="533727FB" w14:textId="77777777">
        <w:tblPrEx>
          <w:tblCellMar>
            <w:top w:w="0" w:type="dxa"/>
            <w:bottom w:w="0" w:type="dxa"/>
          </w:tblCellMar>
        </w:tblPrEx>
        <w:trPr>
          <w:trHeight w:hRule="exact" w:val="432"/>
        </w:trPr>
        <w:tc>
          <w:tcPr>
            <w:tcW w:w="2203" w:type="dxa"/>
            <w:shd w:val="clear" w:color="auto" w:fill="FFFFFF"/>
          </w:tcPr>
          <w:p w14:paraId="0098F13E" w14:textId="77777777" w:rsidR="00924992" w:rsidRDefault="00924992">
            <w:pPr>
              <w:pStyle w:val="Other0"/>
              <w:framePr w:w="11381" w:h="3120" w:vSpace="672" w:wrap="none" w:hAnchor="page" w:x="625" w:y="351"/>
              <w:spacing w:line="240" w:lineRule="auto"/>
              <w:ind w:firstLine="0"/>
              <w:rPr>
                <w:sz w:val="16"/>
                <w:szCs w:val="16"/>
              </w:rPr>
            </w:pPr>
            <w:r>
              <w:rPr>
                <w:rFonts w:ascii="Times New Roman" w:eastAsia="Times New Roman" w:hAnsi="Times New Roman" w:cs="Times New Roman"/>
                <w:i/>
                <w:iCs/>
                <w:sz w:val="16"/>
                <w:szCs w:val="16"/>
              </w:rPr>
              <w:t>Neisseria gonorrhoeae</w:t>
            </w:r>
          </w:p>
        </w:tc>
        <w:tc>
          <w:tcPr>
            <w:tcW w:w="2174" w:type="dxa"/>
            <w:shd w:val="clear" w:color="auto" w:fill="FFFFFF"/>
          </w:tcPr>
          <w:p w14:paraId="066B7BB8" w14:textId="77777777" w:rsidR="00924992" w:rsidRDefault="00924992">
            <w:pPr>
              <w:pStyle w:val="Other0"/>
              <w:framePr w:w="11381" w:h="3120" w:vSpace="672" w:wrap="none" w:hAnchor="page" w:x="625" w:y="351"/>
              <w:spacing w:line="240" w:lineRule="auto"/>
              <w:ind w:firstLine="0"/>
              <w:rPr>
                <w:sz w:val="16"/>
                <w:szCs w:val="16"/>
              </w:rPr>
            </w:pPr>
            <w:r>
              <w:rPr>
                <w:rFonts w:ascii="Times New Roman" w:eastAsia="Times New Roman" w:hAnsi="Times New Roman" w:cs="Times New Roman"/>
                <w:sz w:val="16"/>
                <w:szCs w:val="16"/>
              </w:rPr>
              <w:t>&lt;1</w:t>
            </w:r>
          </w:p>
        </w:tc>
        <w:tc>
          <w:tcPr>
            <w:tcW w:w="2050" w:type="dxa"/>
            <w:shd w:val="clear" w:color="auto" w:fill="FFFFFF"/>
          </w:tcPr>
          <w:p w14:paraId="6475EB0E" w14:textId="77777777" w:rsidR="00924992" w:rsidRDefault="00924992">
            <w:pPr>
              <w:pStyle w:val="Other0"/>
              <w:framePr w:w="11381" w:h="3120" w:vSpace="672" w:wrap="none" w:hAnchor="page" w:x="625" w:y="351"/>
              <w:spacing w:line="240" w:lineRule="auto"/>
              <w:ind w:firstLine="220"/>
              <w:rPr>
                <w:sz w:val="16"/>
                <w:szCs w:val="16"/>
              </w:rPr>
            </w:pPr>
            <w:r>
              <w:rPr>
                <w:rFonts w:ascii="Times New Roman" w:eastAsia="Times New Roman" w:hAnsi="Times New Roman" w:cs="Times New Roman"/>
                <w:sz w:val="16"/>
                <w:szCs w:val="16"/>
              </w:rPr>
              <w:t>2-7</w:t>
            </w:r>
          </w:p>
        </w:tc>
        <w:tc>
          <w:tcPr>
            <w:tcW w:w="1944" w:type="dxa"/>
            <w:shd w:val="clear" w:color="auto" w:fill="FFFFFF"/>
          </w:tcPr>
          <w:p w14:paraId="1AC759AE" w14:textId="77777777" w:rsidR="00924992" w:rsidRDefault="00924992">
            <w:pPr>
              <w:pStyle w:val="Other0"/>
              <w:framePr w:w="11381" w:h="3120" w:vSpace="672" w:wrap="none" w:hAnchor="page" w:x="625" w:y="351"/>
              <w:spacing w:line="240" w:lineRule="auto"/>
              <w:ind w:firstLine="420"/>
              <w:rPr>
                <w:sz w:val="16"/>
                <w:szCs w:val="16"/>
              </w:rPr>
            </w:pPr>
            <w:r>
              <w:rPr>
                <w:rFonts w:ascii="Times New Roman" w:eastAsia="Times New Roman" w:hAnsi="Times New Roman" w:cs="Times New Roman"/>
                <w:sz w:val="16"/>
                <w:szCs w:val="16"/>
              </w:rPr>
              <w:t>+++</w:t>
            </w:r>
          </w:p>
        </w:tc>
        <w:tc>
          <w:tcPr>
            <w:tcW w:w="3010" w:type="dxa"/>
            <w:shd w:val="clear" w:color="auto" w:fill="FFFFFF"/>
            <w:vAlign w:val="bottom"/>
          </w:tcPr>
          <w:p w14:paraId="6CC8176A" w14:textId="77777777" w:rsidR="00924992" w:rsidRDefault="00924992">
            <w:pPr>
              <w:pStyle w:val="Other0"/>
              <w:framePr w:w="11381" w:h="3120" w:vSpace="672" w:wrap="none" w:hAnchor="page" w:x="625" w:y="351"/>
              <w:spacing w:line="283" w:lineRule="auto"/>
              <w:ind w:left="420" w:hanging="100"/>
              <w:rPr>
                <w:sz w:val="16"/>
                <w:szCs w:val="16"/>
              </w:rPr>
            </w:pPr>
            <w:r>
              <w:rPr>
                <w:rFonts w:ascii="Times New Roman" w:eastAsia="Times New Roman" w:hAnsi="Times New Roman" w:cs="Times New Roman"/>
                <w:sz w:val="16"/>
                <w:szCs w:val="16"/>
              </w:rPr>
              <w:t>Infección diseminada (véase “Gonococos, infecciones”, sección 3)</w:t>
            </w:r>
          </w:p>
        </w:tc>
      </w:tr>
      <w:tr w:rsidR="00924992" w14:paraId="20CE8536" w14:textId="77777777">
        <w:tblPrEx>
          <w:tblCellMar>
            <w:top w:w="0" w:type="dxa"/>
            <w:bottom w:w="0" w:type="dxa"/>
          </w:tblCellMar>
        </w:tblPrEx>
        <w:trPr>
          <w:trHeight w:hRule="exact" w:val="216"/>
        </w:trPr>
        <w:tc>
          <w:tcPr>
            <w:tcW w:w="2203" w:type="dxa"/>
            <w:shd w:val="clear" w:color="auto" w:fill="FFFFFF"/>
            <w:vAlign w:val="bottom"/>
          </w:tcPr>
          <w:p w14:paraId="0605A65F" w14:textId="77777777" w:rsidR="00924992" w:rsidRDefault="00924992">
            <w:pPr>
              <w:pStyle w:val="Other0"/>
              <w:framePr w:w="11381" w:h="3120" w:vSpace="672" w:wrap="none" w:hAnchor="page" w:x="625" w:y="351"/>
              <w:spacing w:line="240" w:lineRule="auto"/>
              <w:ind w:firstLine="0"/>
              <w:rPr>
                <w:sz w:val="16"/>
                <w:szCs w:val="16"/>
              </w:rPr>
            </w:pPr>
            <w:r>
              <w:rPr>
                <w:rFonts w:ascii="Times New Roman" w:eastAsia="Times New Roman" w:hAnsi="Times New Roman" w:cs="Times New Roman"/>
                <w:sz w:val="16"/>
                <w:szCs w:val="16"/>
              </w:rPr>
              <w:t>Otros microbios bacterianos</w:t>
            </w:r>
            <w:r>
              <w:rPr>
                <w:rFonts w:ascii="Times New Roman" w:eastAsia="Times New Roman" w:hAnsi="Times New Roman" w:cs="Times New Roman"/>
                <w:sz w:val="16"/>
                <w:szCs w:val="16"/>
                <w:vertAlign w:val="superscript"/>
              </w:rPr>
              <w:t>2</w:t>
            </w:r>
          </w:p>
        </w:tc>
        <w:tc>
          <w:tcPr>
            <w:tcW w:w="2174" w:type="dxa"/>
            <w:shd w:val="clear" w:color="auto" w:fill="FFFFFF"/>
            <w:vAlign w:val="bottom"/>
          </w:tcPr>
          <w:p w14:paraId="21CC4A5A" w14:textId="77777777" w:rsidR="00924992" w:rsidRDefault="00924992">
            <w:pPr>
              <w:pStyle w:val="Other0"/>
              <w:framePr w:w="11381" w:h="3120" w:vSpace="672" w:wrap="none" w:hAnchor="page" w:x="625" w:y="351"/>
              <w:spacing w:line="240" w:lineRule="auto"/>
              <w:ind w:firstLine="0"/>
              <w:rPr>
                <w:sz w:val="16"/>
                <w:szCs w:val="16"/>
              </w:rPr>
            </w:pPr>
            <w:r>
              <w:rPr>
                <w:rFonts w:ascii="Times New Roman" w:eastAsia="Times New Roman" w:hAnsi="Times New Roman" w:cs="Times New Roman"/>
                <w:sz w:val="16"/>
                <w:szCs w:val="16"/>
              </w:rPr>
              <w:t>30-50</w:t>
            </w:r>
          </w:p>
        </w:tc>
        <w:tc>
          <w:tcPr>
            <w:tcW w:w="2050" w:type="dxa"/>
            <w:shd w:val="clear" w:color="auto" w:fill="FFFFFF"/>
            <w:vAlign w:val="bottom"/>
          </w:tcPr>
          <w:p w14:paraId="354D2F3F" w14:textId="77777777" w:rsidR="00924992" w:rsidRDefault="00924992">
            <w:pPr>
              <w:pStyle w:val="Other0"/>
              <w:framePr w:w="11381" w:h="3120" w:vSpace="672" w:wrap="none" w:hAnchor="page" w:x="625" w:y="351"/>
              <w:spacing w:line="240" w:lineRule="auto"/>
              <w:ind w:firstLine="220"/>
              <w:rPr>
                <w:sz w:val="16"/>
                <w:szCs w:val="16"/>
              </w:rPr>
            </w:pPr>
            <w:r>
              <w:rPr>
                <w:rFonts w:ascii="Times New Roman" w:eastAsia="Times New Roman" w:hAnsi="Times New Roman" w:cs="Times New Roman"/>
                <w:sz w:val="16"/>
                <w:szCs w:val="16"/>
              </w:rPr>
              <w:t>5-14</w:t>
            </w:r>
          </w:p>
        </w:tc>
        <w:tc>
          <w:tcPr>
            <w:tcW w:w="1944" w:type="dxa"/>
            <w:shd w:val="clear" w:color="auto" w:fill="FFFFFF"/>
            <w:vAlign w:val="bottom"/>
          </w:tcPr>
          <w:p w14:paraId="6D1A417A" w14:textId="77777777" w:rsidR="00924992" w:rsidRDefault="00924992">
            <w:pPr>
              <w:pStyle w:val="Other0"/>
              <w:framePr w:w="11381" w:h="3120" w:vSpace="672" w:wrap="none" w:hAnchor="page" w:x="625" w:y="351"/>
              <w:spacing w:line="240" w:lineRule="auto"/>
              <w:ind w:firstLine="420"/>
              <w:rPr>
                <w:sz w:val="16"/>
                <w:szCs w:val="16"/>
              </w:rPr>
            </w:pPr>
            <w:r>
              <w:rPr>
                <w:rFonts w:ascii="Times New Roman" w:eastAsia="Times New Roman" w:hAnsi="Times New Roman" w:cs="Times New Roman"/>
                <w:sz w:val="16"/>
                <w:szCs w:val="16"/>
              </w:rPr>
              <w:t>+</w:t>
            </w:r>
          </w:p>
        </w:tc>
        <w:tc>
          <w:tcPr>
            <w:tcW w:w="3010" w:type="dxa"/>
            <w:shd w:val="clear" w:color="auto" w:fill="FFFFFF"/>
            <w:vAlign w:val="bottom"/>
          </w:tcPr>
          <w:p w14:paraId="234ECB00" w14:textId="77777777" w:rsidR="00924992" w:rsidRDefault="00924992">
            <w:pPr>
              <w:pStyle w:val="Other0"/>
              <w:framePr w:w="11381" w:h="3120" w:vSpace="672" w:wrap="none" w:hAnchor="page" w:x="625" w:y="351"/>
              <w:spacing w:line="240" w:lineRule="auto"/>
              <w:ind w:firstLine="300"/>
              <w:rPr>
                <w:sz w:val="16"/>
                <w:szCs w:val="16"/>
              </w:rPr>
            </w:pPr>
            <w:r>
              <w:rPr>
                <w:rFonts w:ascii="Times New Roman" w:eastAsia="Times New Roman" w:hAnsi="Times New Roman" w:cs="Times New Roman"/>
                <w:sz w:val="16"/>
                <w:szCs w:val="16"/>
              </w:rPr>
              <w:t>Variable</w:t>
            </w:r>
          </w:p>
        </w:tc>
      </w:tr>
      <w:tr w:rsidR="00924992" w14:paraId="5D31D0B4" w14:textId="77777777">
        <w:tblPrEx>
          <w:tblCellMar>
            <w:top w:w="0" w:type="dxa"/>
            <w:bottom w:w="0" w:type="dxa"/>
          </w:tblCellMar>
        </w:tblPrEx>
        <w:trPr>
          <w:trHeight w:hRule="exact" w:val="672"/>
        </w:trPr>
        <w:tc>
          <w:tcPr>
            <w:tcW w:w="2203" w:type="dxa"/>
            <w:shd w:val="clear" w:color="auto" w:fill="FFFFFF"/>
          </w:tcPr>
          <w:p w14:paraId="2DD923AA" w14:textId="77777777" w:rsidR="00924992" w:rsidRDefault="00924992">
            <w:pPr>
              <w:pStyle w:val="Other0"/>
              <w:framePr w:w="11381" w:h="3120" w:vSpace="672" w:wrap="none" w:hAnchor="page" w:x="625" w:y="351"/>
              <w:spacing w:line="240" w:lineRule="auto"/>
              <w:ind w:firstLine="0"/>
              <w:rPr>
                <w:sz w:val="16"/>
                <w:szCs w:val="16"/>
              </w:rPr>
            </w:pPr>
            <w:r>
              <w:rPr>
                <w:rFonts w:ascii="Times New Roman" w:eastAsia="Times New Roman" w:hAnsi="Times New Roman" w:cs="Times New Roman"/>
                <w:sz w:val="16"/>
                <w:szCs w:val="16"/>
              </w:rPr>
              <w:t>Virus del herpes simple</w:t>
            </w:r>
          </w:p>
        </w:tc>
        <w:tc>
          <w:tcPr>
            <w:tcW w:w="2174" w:type="dxa"/>
            <w:shd w:val="clear" w:color="auto" w:fill="FFFFFF"/>
          </w:tcPr>
          <w:p w14:paraId="7E39E953" w14:textId="77777777" w:rsidR="00924992" w:rsidRDefault="00924992">
            <w:pPr>
              <w:pStyle w:val="Other0"/>
              <w:framePr w:w="11381" w:h="3120" w:vSpace="672" w:wrap="none" w:hAnchor="page" w:x="625" w:y="351"/>
              <w:spacing w:line="240" w:lineRule="auto"/>
              <w:ind w:firstLine="0"/>
              <w:rPr>
                <w:sz w:val="16"/>
                <w:szCs w:val="16"/>
              </w:rPr>
            </w:pPr>
            <w:r>
              <w:rPr>
                <w:rFonts w:ascii="Times New Roman" w:eastAsia="Times New Roman" w:hAnsi="Times New Roman" w:cs="Times New Roman"/>
                <w:sz w:val="16"/>
                <w:szCs w:val="16"/>
              </w:rPr>
              <w:t>&lt;1</w:t>
            </w:r>
          </w:p>
        </w:tc>
        <w:tc>
          <w:tcPr>
            <w:tcW w:w="2050" w:type="dxa"/>
            <w:shd w:val="clear" w:color="auto" w:fill="FFFFFF"/>
          </w:tcPr>
          <w:p w14:paraId="0EB91AAE" w14:textId="77777777" w:rsidR="00924992" w:rsidRDefault="00924992">
            <w:pPr>
              <w:pStyle w:val="Other0"/>
              <w:framePr w:w="11381" w:h="3120" w:vSpace="672" w:wrap="none" w:hAnchor="page" w:x="625" w:y="351"/>
              <w:spacing w:line="240" w:lineRule="auto"/>
              <w:ind w:firstLine="220"/>
              <w:rPr>
                <w:sz w:val="16"/>
                <w:szCs w:val="16"/>
              </w:rPr>
            </w:pPr>
            <w:r>
              <w:rPr>
                <w:rFonts w:ascii="Times New Roman" w:eastAsia="Times New Roman" w:hAnsi="Times New Roman" w:cs="Times New Roman"/>
                <w:sz w:val="16"/>
                <w:szCs w:val="16"/>
              </w:rPr>
              <w:t>6-14</w:t>
            </w:r>
          </w:p>
        </w:tc>
        <w:tc>
          <w:tcPr>
            <w:tcW w:w="1944" w:type="dxa"/>
            <w:shd w:val="clear" w:color="auto" w:fill="FFFFFF"/>
          </w:tcPr>
          <w:p w14:paraId="6E412CB2" w14:textId="77777777" w:rsidR="00924992" w:rsidRDefault="00924992">
            <w:pPr>
              <w:pStyle w:val="Other0"/>
              <w:framePr w:w="11381" w:h="3120" w:vSpace="672" w:wrap="none" w:hAnchor="page" w:x="625" w:y="351"/>
              <w:spacing w:line="240" w:lineRule="auto"/>
              <w:ind w:firstLine="420"/>
              <w:rPr>
                <w:sz w:val="16"/>
                <w:szCs w:val="16"/>
              </w:rPr>
            </w:pPr>
            <w:r>
              <w:rPr>
                <w:rFonts w:ascii="Times New Roman" w:eastAsia="Times New Roman" w:hAnsi="Times New Roman" w:cs="Times New Roman"/>
                <w:sz w:val="16"/>
                <w:szCs w:val="16"/>
              </w:rPr>
              <w:t>+</w:t>
            </w:r>
          </w:p>
        </w:tc>
        <w:tc>
          <w:tcPr>
            <w:tcW w:w="3010" w:type="dxa"/>
            <w:shd w:val="clear" w:color="auto" w:fill="FFFFFF"/>
            <w:vAlign w:val="bottom"/>
          </w:tcPr>
          <w:p w14:paraId="555C9E4D" w14:textId="77777777" w:rsidR="00924992" w:rsidRDefault="00924992">
            <w:pPr>
              <w:pStyle w:val="Other0"/>
              <w:framePr w:w="11381" w:h="3120" w:vSpace="672" w:wrap="none" w:hAnchor="page" w:x="625" w:y="351"/>
              <w:spacing w:line="283" w:lineRule="auto"/>
              <w:ind w:left="420" w:hanging="100"/>
              <w:rPr>
                <w:sz w:val="16"/>
                <w:szCs w:val="16"/>
              </w:rPr>
            </w:pPr>
            <w:r>
              <w:rPr>
                <w:rFonts w:ascii="Times New Roman" w:eastAsia="Times New Roman" w:hAnsi="Times New Roman" w:cs="Times New Roman"/>
                <w:sz w:val="16"/>
                <w:szCs w:val="16"/>
              </w:rPr>
              <w:t>Infección diseminada (véase “Herpes simple”, sección 3); también es posible que surjan queratitis y úlcera</w:t>
            </w:r>
          </w:p>
        </w:tc>
      </w:tr>
      <w:tr w:rsidR="00924992" w14:paraId="0E2DCBC5" w14:textId="77777777">
        <w:tblPrEx>
          <w:tblCellMar>
            <w:top w:w="0" w:type="dxa"/>
            <w:bottom w:w="0" w:type="dxa"/>
          </w:tblCellMar>
        </w:tblPrEx>
        <w:trPr>
          <w:trHeight w:hRule="exact" w:val="523"/>
        </w:trPr>
        <w:tc>
          <w:tcPr>
            <w:tcW w:w="2203" w:type="dxa"/>
            <w:tcBorders>
              <w:bottom w:val="single" w:sz="4" w:space="0" w:color="auto"/>
            </w:tcBorders>
            <w:shd w:val="clear" w:color="auto" w:fill="FFFFFF"/>
          </w:tcPr>
          <w:p w14:paraId="5B207656" w14:textId="77777777" w:rsidR="00924992" w:rsidRDefault="00924992">
            <w:pPr>
              <w:pStyle w:val="Other0"/>
              <w:framePr w:w="11381" w:h="3120" w:vSpace="672" w:wrap="none" w:hAnchor="page" w:x="625" w:y="351"/>
              <w:spacing w:line="240" w:lineRule="auto"/>
              <w:ind w:firstLine="0"/>
              <w:rPr>
                <w:sz w:val="16"/>
                <w:szCs w:val="16"/>
              </w:rPr>
            </w:pPr>
            <w:r>
              <w:rPr>
                <w:rFonts w:ascii="Times New Roman" w:eastAsia="Times New Roman" w:hAnsi="Times New Roman" w:cs="Times New Roman"/>
                <w:sz w:val="16"/>
                <w:szCs w:val="16"/>
              </w:rPr>
              <w:t>Sustancias químicas</w:t>
            </w:r>
          </w:p>
        </w:tc>
        <w:tc>
          <w:tcPr>
            <w:tcW w:w="2174" w:type="dxa"/>
            <w:tcBorders>
              <w:bottom w:val="single" w:sz="4" w:space="0" w:color="auto"/>
            </w:tcBorders>
            <w:shd w:val="clear" w:color="auto" w:fill="FFFFFF"/>
          </w:tcPr>
          <w:p w14:paraId="07689F22" w14:textId="77777777" w:rsidR="00924992" w:rsidRDefault="00924992">
            <w:pPr>
              <w:pStyle w:val="Other0"/>
              <w:framePr w:w="11381" w:h="3120" w:vSpace="672" w:wrap="none" w:hAnchor="page" w:x="625" w:y="351"/>
              <w:spacing w:line="283" w:lineRule="auto"/>
              <w:ind w:left="220" w:hanging="220"/>
              <w:rPr>
                <w:sz w:val="16"/>
                <w:szCs w:val="16"/>
              </w:rPr>
            </w:pPr>
            <w:r>
              <w:rPr>
                <w:rFonts w:ascii="Times New Roman" w:eastAsia="Times New Roman" w:hAnsi="Times New Roman" w:cs="Times New Roman"/>
                <w:sz w:val="16"/>
                <w:szCs w:val="16"/>
              </w:rPr>
              <w:t>Varía con el uso de nitrato de plata</w:t>
            </w:r>
          </w:p>
        </w:tc>
        <w:tc>
          <w:tcPr>
            <w:tcW w:w="2050" w:type="dxa"/>
            <w:tcBorders>
              <w:bottom w:val="single" w:sz="4" w:space="0" w:color="auto"/>
            </w:tcBorders>
            <w:shd w:val="clear" w:color="auto" w:fill="FFFFFF"/>
          </w:tcPr>
          <w:p w14:paraId="53AD7F51" w14:textId="77777777" w:rsidR="00924992" w:rsidRDefault="00924992">
            <w:pPr>
              <w:pStyle w:val="Other0"/>
              <w:framePr w:w="11381" w:h="3120" w:vSpace="672" w:wrap="none" w:hAnchor="page" w:x="625" w:y="351"/>
              <w:spacing w:line="240" w:lineRule="auto"/>
              <w:ind w:firstLine="220"/>
              <w:rPr>
                <w:sz w:val="16"/>
                <w:szCs w:val="16"/>
              </w:rPr>
            </w:pPr>
            <w:r>
              <w:rPr>
                <w:rFonts w:ascii="Times New Roman" w:eastAsia="Times New Roman" w:hAnsi="Times New Roman" w:cs="Times New Roman"/>
                <w:sz w:val="16"/>
                <w:szCs w:val="16"/>
              </w:rPr>
              <w:t>1</w:t>
            </w:r>
          </w:p>
        </w:tc>
        <w:tc>
          <w:tcPr>
            <w:tcW w:w="1944" w:type="dxa"/>
            <w:tcBorders>
              <w:bottom w:val="single" w:sz="4" w:space="0" w:color="auto"/>
            </w:tcBorders>
            <w:shd w:val="clear" w:color="auto" w:fill="FFFFFF"/>
          </w:tcPr>
          <w:p w14:paraId="41FA2775" w14:textId="77777777" w:rsidR="00924992" w:rsidRDefault="00924992">
            <w:pPr>
              <w:pStyle w:val="Other0"/>
              <w:framePr w:w="11381" w:h="3120" w:vSpace="672" w:wrap="none" w:hAnchor="page" w:x="625" w:y="351"/>
              <w:spacing w:line="240" w:lineRule="auto"/>
              <w:ind w:firstLine="420"/>
              <w:rPr>
                <w:sz w:val="16"/>
                <w:szCs w:val="16"/>
              </w:rPr>
            </w:pPr>
            <w:r>
              <w:rPr>
                <w:rFonts w:ascii="Times New Roman" w:eastAsia="Times New Roman" w:hAnsi="Times New Roman" w:cs="Times New Roman"/>
                <w:sz w:val="16"/>
                <w:szCs w:val="16"/>
              </w:rPr>
              <w:t>+</w:t>
            </w:r>
          </w:p>
        </w:tc>
        <w:tc>
          <w:tcPr>
            <w:tcW w:w="3010" w:type="dxa"/>
            <w:tcBorders>
              <w:bottom w:val="single" w:sz="4" w:space="0" w:color="auto"/>
            </w:tcBorders>
            <w:shd w:val="clear" w:color="auto" w:fill="FFFFFF"/>
          </w:tcPr>
          <w:p w14:paraId="34C895F6" w14:textId="77777777" w:rsidR="00924992" w:rsidRDefault="00924992">
            <w:pPr>
              <w:framePr w:w="11381" w:h="3120" w:vSpace="672" w:wrap="none" w:hAnchor="page" w:x="625" w:y="351"/>
              <w:rPr>
                <w:sz w:val="10"/>
                <w:szCs w:val="10"/>
              </w:rPr>
            </w:pPr>
          </w:p>
        </w:tc>
      </w:tr>
    </w:tbl>
    <w:p w14:paraId="0DEF1066" w14:textId="77777777" w:rsidR="00924992" w:rsidRDefault="00924992">
      <w:pPr>
        <w:framePr w:w="11381" w:h="3120" w:vSpace="672" w:wrap="none" w:hAnchor="page" w:x="625" w:y="351"/>
        <w:spacing w:line="1" w:lineRule="exact"/>
      </w:pPr>
    </w:p>
    <w:p w14:paraId="2754C5A4" w14:textId="77777777" w:rsidR="00924992" w:rsidRDefault="00924992">
      <w:pPr>
        <w:pStyle w:val="Tablecaption0"/>
        <w:framePr w:w="11237" w:h="576" w:wrap="none" w:hAnchor="page" w:x="683" w:y="3567"/>
        <w:numPr>
          <w:ilvl w:val="0"/>
          <w:numId w:val="151"/>
        </w:numPr>
        <w:tabs>
          <w:tab w:val="left" w:pos="154"/>
        </w:tabs>
        <w:spacing w:line="254" w:lineRule="auto"/>
        <w:ind w:left="0"/>
      </w:pPr>
      <w:r>
        <w:t>+, leve; +++, grave</w:t>
      </w:r>
    </w:p>
    <w:p w14:paraId="7A2EDAF9" w14:textId="77777777" w:rsidR="00924992" w:rsidRDefault="00924992">
      <w:pPr>
        <w:pStyle w:val="Tablecaption0"/>
        <w:framePr w:w="11237" w:h="576" w:wrap="none" w:hAnchor="page" w:x="683" w:y="3567"/>
        <w:numPr>
          <w:ilvl w:val="0"/>
          <w:numId w:val="151"/>
        </w:numPr>
        <w:tabs>
          <w:tab w:val="left" w:pos="168"/>
        </w:tabs>
        <w:spacing w:line="254" w:lineRule="auto"/>
        <w:ind w:left="180" w:hanging="180"/>
        <w:jc w:val="both"/>
      </w:pPr>
      <w:r>
        <w:t xml:space="preserve">Especie de </w:t>
      </w:r>
      <w:r>
        <w:rPr>
          <w:i/>
          <w:iCs/>
        </w:rPr>
        <w:t>Staphylococcus; Streptococcus pneumoniae; Haemophilus influenzae,</w:t>
      </w:r>
      <w:r>
        <w:t xml:space="preserve"> imposible tipificación; </w:t>
      </w:r>
      <w:r>
        <w:rPr>
          <w:i/>
          <w:iCs/>
        </w:rPr>
        <w:t>Streptococcus mitis;</w:t>
      </w:r>
      <w:r>
        <w:t xml:space="preserve"> estreptococos de grupos A y B; </w:t>
      </w:r>
      <w:r>
        <w:rPr>
          <w:i/>
          <w:iCs/>
        </w:rPr>
        <w:t>Neisseria cinerea';</w:t>
      </w:r>
      <w:r>
        <w:t xml:space="preserve"> especies de </w:t>
      </w:r>
      <w:r>
        <w:rPr>
          <w:i/>
          <w:iCs/>
        </w:rPr>
        <w:t>Corynebacterium; Moraxella catarrhalis; Escherichia coli; Klebsiella pneumoniae; Pseudomonas aeruginosa.</w:t>
      </w:r>
    </w:p>
    <w:p w14:paraId="72937DB6" w14:textId="77777777" w:rsidR="00924992" w:rsidRDefault="00924992">
      <w:pPr>
        <w:pStyle w:val="Bodytext80"/>
        <w:framePr w:w="192" w:h="4776" w:hRule="exact" w:wrap="none" w:hAnchor="page" w:x="12390" w:y="2123"/>
        <w:tabs>
          <w:tab w:val="left" w:pos="4459"/>
        </w:tabs>
        <w:textDirection w:val="tbRl"/>
        <w:rPr>
          <w:sz w:val="16"/>
          <w:szCs w:val="16"/>
        </w:rPr>
      </w:pPr>
      <w:r>
        <w:t>PREVENCIÓN DE OFTALMÍA NEONATAL</w:t>
      </w:r>
      <w:r>
        <w:tab/>
      </w:r>
      <w:r>
        <w:rPr>
          <w:sz w:val="16"/>
          <w:szCs w:val="16"/>
        </w:rPr>
        <w:t>823</w:t>
      </w:r>
    </w:p>
    <w:p w14:paraId="1F4AA7AE" w14:textId="77777777" w:rsidR="00924992" w:rsidRDefault="00924992">
      <w:pPr>
        <w:spacing w:line="360" w:lineRule="exact"/>
      </w:pPr>
    </w:p>
    <w:p w14:paraId="0E0F7BBB" w14:textId="77777777" w:rsidR="00924992" w:rsidRDefault="00924992">
      <w:pPr>
        <w:spacing w:line="360" w:lineRule="exact"/>
      </w:pPr>
    </w:p>
    <w:p w14:paraId="030A6D49" w14:textId="77777777" w:rsidR="00924992" w:rsidRDefault="00924992">
      <w:pPr>
        <w:spacing w:line="360" w:lineRule="exact"/>
      </w:pPr>
    </w:p>
    <w:p w14:paraId="420F2D69" w14:textId="77777777" w:rsidR="00924992" w:rsidRDefault="00924992">
      <w:pPr>
        <w:spacing w:line="360" w:lineRule="exact"/>
      </w:pPr>
    </w:p>
    <w:p w14:paraId="5B4DEF36" w14:textId="77777777" w:rsidR="00924992" w:rsidRDefault="00924992">
      <w:pPr>
        <w:spacing w:line="360" w:lineRule="exact"/>
      </w:pPr>
    </w:p>
    <w:p w14:paraId="57DEC1D5" w14:textId="77777777" w:rsidR="00924992" w:rsidRDefault="00924992">
      <w:pPr>
        <w:spacing w:line="360" w:lineRule="exact"/>
      </w:pPr>
    </w:p>
    <w:p w14:paraId="17BEF2B4" w14:textId="77777777" w:rsidR="00924992" w:rsidRDefault="00924992">
      <w:pPr>
        <w:spacing w:line="360" w:lineRule="exact"/>
      </w:pPr>
    </w:p>
    <w:p w14:paraId="1371B391" w14:textId="77777777" w:rsidR="00924992" w:rsidRDefault="00924992">
      <w:pPr>
        <w:spacing w:line="360" w:lineRule="exact"/>
      </w:pPr>
    </w:p>
    <w:p w14:paraId="0C0282CB" w14:textId="77777777" w:rsidR="00924992" w:rsidRDefault="00924992">
      <w:pPr>
        <w:spacing w:line="360" w:lineRule="exact"/>
      </w:pPr>
    </w:p>
    <w:p w14:paraId="5760534D" w14:textId="77777777" w:rsidR="00924992" w:rsidRDefault="00924992">
      <w:pPr>
        <w:spacing w:line="360" w:lineRule="exact"/>
      </w:pPr>
    </w:p>
    <w:p w14:paraId="25689B99" w14:textId="77777777" w:rsidR="00924992" w:rsidRDefault="00924992">
      <w:pPr>
        <w:spacing w:line="360" w:lineRule="exact"/>
      </w:pPr>
    </w:p>
    <w:p w14:paraId="39260244" w14:textId="77777777" w:rsidR="00924992" w:rsidRDefault="00924992">
      <w:pPr>
        <w:spacing w:line="360" w:lineRule="exact"/>
      </w:pPr>
    </w:p>
    <w:p w14:paraId="0231C1B3" w14:textId="77777777" w:rsidR="00924992" w:rsidRDefault="00924992">
      <w:pPr>
        <w:spacing w:line="360" w:lineRule="exact"/>
      </w:pPr>
    </w:p>
    <w:p w14:paraId="49E09F15" w14:textId="77777777" w:rsidR="00924992" w:rsidRDefault="00924992">
      <w:pPr>
        <w:spacing w:line="360" w:lineRule="exact"/>
      </w:pPr>
    </w:p>
    <w:p w14:paraId="4943C52B" w14:textId="77777777" w:rsidR="00924992" w:rsidRDefault="00924992">
      <w:pPr>
        <w:spacing w:line="360" w:lineRule="exact"/>
      </w:pPr>
    </w:p>
    <w:p w14:paraId="47EFD99D" w14:textId="77777777" w:rsidR="00924992" w:rsidRDefault="00924992">
      <w:pPr>
        <w:spacing w:line="360" w:lineRule="exact"/>
      </w:pPr>
    </w:p>
    <w:p w14:paraId="577C3174" w14:textId="77777777" w:rsidR="00924992" w:rsidRDefault="00924992">
      <w:pPr>
        <w:spacing w:line="360" w:lineRule="exact"/>
      </w:pPr>
    </w:p>
    <w:p w14:paraId="52820BAD" w14:textId="77777777" w:rsidR="00924992" w:rsidRDefault="00924992">
      <w:pPr>
        <w:spacing w:line="360" w:lineRule="exact"/>
      </w:pPr>
    </w:p>
    <w:p w14:paraId="6206D233" w14:textId="77777777" w:rsidR="00924992" w:rsidRDefault="00924992">
      <w:pPr>
        <w:spacing w:after="417" w:line="1" w:lineRule="exact"/>
      </w:pPr>
    </w:p>
    <w:p w14:paraId="3ABACD03" w14:textId="77777777" w:rsidR="00924992" w:rsidRDefault="00924992">
      <w:pPr>
        <w:spacing w:line="1" w:lineRule="exact"/>
        <w:sectPr w:rsidR="00924992" w:rsidSect="00924992">
          <w:footnotePr>
            <w:numFmt w:val="chicago"/>
          </w:footnotePr>
          <w:pgSz w:w="13022" w:h="8501" w:orient="landscape"/>
          <w:pgMar w:top="1099" w:right="442" w:bottom="304" w:left="624" w:header="671" w:footer="3" w:gutter="0"/>
          <w:cols w:space="720"/>
          <w:noEndnote/>
          <w:docGrid w:linePitch="360"/>
          <w15:footnoteColumns w:val="1"/>
        </w:sectPr>
      </w:pPr>
    </w:p>
    <w:p w14:paraId="2B57C7CE" w14:textId="77777777" w:rsidR="00924992" w:rsidRDefault="00924992">
      <w:pPr>
        <w:pStyle w:val="Bodytext70"/>
      </w:pPr>
      <w:r>
        <w:t>Oftalmía no gonocócica ni clamidiásica</w:t>
      </w:r>
    </w:p>
    <w:p w14:paraId="6198E9E6" w14:textId="77777777" w:rsidR="00924992" w:rsidRDefault="00924992">
      <w:pPr>
        <w:pStyle w:val="BodyText"/>
        <w:ind w:firstLine="0"/>
      </w:pPr>
      <w:r>
        <w:t>Fármacos como el nitrato de plata, la polividona y quizá la eritromicina son eficaces para evitar la conjuntivitis no gonocócica ni clamidiásica en las primeras dos semanas de vida.</w:t>
      </w:r>
    </w:p>
    <w:p w14:paraId="42520202" w14:textId="77777777" w:rsidR="00924992" w:rsidRDefault="00924992">
      <w:pPr>
        <w:pStyle w:val="BodyText"/>
        <w:ind w:firstLine="360"/>
      </w:pPr>
      <w:r>
        <w:rPr>
          <w:rFonts w:ascii="Times New Roman" w:eastAsia="Times New Roman" w:hAnsi="Times New Roman" w:cs="Times New Roman"/>
          <w:b/>
          <w:bCs/>
          <w:i/>
          <w:iCs/>
          <w:sz w:val="16"/>
          <w:szCs w:val="16"/>
        </w:rPr>
        <w:t>Profilaxia oftálmica del neonato.</w:t>
      </w:r>
      <w:r>
        <w:t xml:space="preserve"> Antes de emprender la profilaxia local hay que limpiar suavemente cada párpado con algodón estéril. El operador depositará en cada saco conjuntival interior dos gotas de solución de nitrato de plata al 1% o un segmento de 1 cm de la pomada con antimicrobianos (eritromicina al 0.5% o tetraciclina al 1%). Como medida siguiente hará un suave masaje en los párpados para que se extienda la solución o la pomada. Después de 1 min eliminará con algodón estéril la solución o la pomada sobrante. Una vez administrados los agentes profilácticos no se eliminarán por lavado en los ojos porque tal maniobra puede disminuir la eficacia de la profilaxia.</w:t>
      </w:r>
    </w:p>
    <w:p w14:paraId="5F23DE51" w14:textId="77777777" w:rsidR="00924992" w:rsidRDefault="00924992">
      <w:pPr>
        <w:pStyle w:val="BodyText"/>
        <w:ind w:firstLine="360"/>
      </w:pPr>
      <w:r>
        <w:t>Los pequeños que nacen por cesárea también deben ser sometidos a profilaxia contra la oftalmía gonocócica del neonato. A pesar de que las infecciones por gonococos y clamidias generalmente son transmitidas al producto al pasar por el conducto del parto, también se sabe de casos de infección por la vía ascendente.</w:t>
      </w:r>
    </w:p>
    <w:p w14:paraId="7E14B039" w14:textId="77777777" w:rsidR="00924992" w:rsidRDefault="00924992">
      <w:pPr>
        <w:pStyle w:val="BodyText"/>
        <w:ind w:firstLine="360"/>
        <w:sectPr w:rsidR="00924992" w:rsidSect="00924992">
          <w:headerReference w:type="even" r:id="rId405"/>
          <w:headerReference w:type="default" r:id="rId406"/>
          <w:footerReference w:type="even" r:id="rId407"/>
          <w:footerReference w:type="default" r:id="rId408"/>
          <w:footnotePr>
            <w:numFmt w:val="chicago"/>
          </w:footnotePr>
          <w:pgSz w:w="8501" w:h="13022"/>
          <w:pgMar w:top="1051" w:right="1162" w:bottom="1051" w:left="504" w:header="0" w:footer="623" w:gutter="0"/>
          <w:pgNumType w:start="824"/>
          <w:cols w:space="720"/>
          <w:noEndnote/>
          <w:docGrid w:linePitch="360"/>
          <w15:footnoteColumns w:val="1"/>
        </w:sectPr>
      </w:pPr>
      <w:r>
        <w:t>La profilaxia debe emprenderse poco después del nacimiento. Algunos expertos sugieren que puede hacerse con mayor eficacia en la sala de cunas que en la de partos. Retrasar la profilaxia 1 h después del nacimiento para facilitar el vínculo entre padres e hijos quizá no influya en la eficacia. No se ha estudiado la repercusión de retrasos más largos en la eficacia del método. Los hospitales deben establecer un sistema que asegure que se practica profilaxia a todos los recién nacidos.</w:t>
      </w:r>
    </w:p>
    <w:p w14:paraId="7AB98300" w14:textId="77777777" w:rsidR="00924992" w:rsidRDefault="00924992">
      <w:pPr>
        <w:pStyle w:val="Heading31"/>
        <w:keepNext/>
        <w:keepLines/>
        <w:framePr w:w="2102" w:h="317" w:wrap="none" w:hAnchor="page" w:x="4739" w:y="1"/>
      </w:pPr>
      <w:bookmarkStart w:id="786" w:name="bookmark2183"/>
      <w:bookmarkStart w:id="787" w:name="bookmark2184"/>
      <w:bookmarkStart w:id="788" w:name="bookmark2185"/>
      <w:r>
        <w:t>Directorio de recursos</w:t>
      </w:r>
      <w:r>
        <w:rPr>
          <w:vertAlign w:val="superscript"/>
        </w:rPr>
        <w:t>1</w:t>
      </w:r>
      <w:bookmarkEnd w:id="786"/>
      <w:bookmarkEnd w:id="787"/>
      <w:bookmarkEnd w:id="788"/>
    </w:p>
    <w:tbl>
      <w:tblPr>
        <w:tblOverlap w:val="never"/>
        <w:tblW w:w="0" w:type="auto"/>
        <w:tblLayout w:type="fixed"/>
        <w:tblCellMar>
          <w:left w:w="10" w:type="dxa"/>
          <w:right w:w="10" w:type="dxa"/>
        </w:tblCellMar>
        <w:tblLook w:val="04A0" w:firstRow="1" w:lastRow="0" w:firstColumn="1" w:lastColumn="0" w:noHBand="0" w:noVBand="1"/>
      </w:tblPr>
      <w:tblGrid>
        <w:gridCol w:w="2717"/>
        <w:gridCol w:w="2885"/>
        <w:gridCol w:w="2803"/>
      </w:tblGrid>
      <w:tr w:rsidR="00924992" w14:paraId="5942FBDD" w14:textId="77777777">
        <w:tblPrEx>
          <w:tblCellMar>
            <w:top w:w="0" w:type="dxa"/>
            <w:bottom w:w="0" w:type="dxa"/>
          </w:tblCellMar>
        </w:tblPrEx>
        <w:trPr>
          <w:trHeight w:hRule="exact" w:val="264"/>
        </w:trPr>
        <w:tc>
          <w:tcPr>
            <w:tcW w:w="2717" w:type="dxa"/>
            <w:shd w:val="clear" w:color="auto" w:fill="231F20"/>
          </w:tcPr>
          <w:p w14:paraId="39E3806D" w14:textId="77777777" w:rsidR="00924992" w:rsidRDefault="00924992">
            <w:pPr>
              <w:pStyle w:val="Other0"/>
              <w:framePr w:w="8405" w:h="6394" w:wrap="none" w:hAnchor="page" w:x="663" w:y="375"/>
              <w:pBdr>
                <w:top w:val="single" w:sz="0" w:space="0" w:color="231F20"/>
                <w:left w:val="single" w:sz="0" w:space="0" w:color="231F20"/>
                <w:bottom w:val="single" w:sz="0" w:space="0" w:color="231F20"/>
                <w:right w:val="single" w:sz="0" w:space="0" w:color="231F20"/>
              </w:pBdr>
              <w:shd w:val="clear" w:color="auto" w:fill="231F20"/>
              <w:spacing w:line="240" w:lineRule="auto"/>
              <w:ind w:firstLine="0"/>
              <w:rPr>
                <w:sz w:val="24"/>
                <w:szCs w:val="24"/>
              </w:rPr>
            </w:pPr>
            <w:r>
              <w:rPr>
                <w:rFonts w:ascii="Arial" w:eastAsia="Arial" w:hAnsi="Arial" w:cs="Arial"/>
                <w:b/>
                <w:bCs/>
                <w:color w:val="FFFFFF"/>
                <w:w w:val="70"/>
                <w:sz w:val="24"/>
                <w:szCs w:val="24"/>
              </w:rPr>
              <w:t>Organización</w:t>
            </w:r>
          </w:p>
        </w:tc>
        <w:tc>
          <w:tcPr>
            <w:tcW w:w="2885" w:type="dxa"/>
            <w:shd w:val="clear" w:color="auto" w:fill="231F20"/>
          </w:tcPr>
          <w:p w14:paraId="67C29EF3" w14:textId="77777777" w:rsidR="00924992" w:rsidRDefault="00924992">
            <w:pPr>
              <w:pStyle w:val="Other0"/>
              <w:framePr w:w="8405" w:h="6394" w:wrap="none" w:hAnchor="page" w:x="663" w:y="375"/>
              <w:pBdr>
                <w:top w:val="single" w:sz="0" w:space="0" w:color="231F20"/>
                <w:left w:val="single" w:sz="0" w:space="0" w:color="231F20"/>
                <w:bottom w:val="single" w:sz="0" w:space="0" w:color="231F20"/>
                <w:right w:val="single" w:sz="0" w:space="0" w:color="231F20"/>
              </w:pBdr>
              <w:shd w:val="clear" w:color="auto" w:fill="231F20"/>
              <w:spacing w:line="240" w:lineRule="auto"/>
              <w:ind w:firstLine="0"/>
              <w:rPr>
                <w:sz w:val="24"/>
                <w:szCs w:val="24"/>
              </w:rPr>
            </w:pPr>
            <w:r>
              <w:rPr>
                <w:rFonts w:ascii="Arial" w:eastAsia="Arial" w:hAnsi="Arial" w:cs="Arial"/>
                <w:b/>
                <w:bCs/>
                <w:color w:val="FFFFFF"/>
                <w:w w:val="70"/>
                <w:sz w:val="24"/>
                <w:szCs w:val="24"/>
              </w:rPr>
              <w:t>Números de teléfono/fax</w:t>
            </w:r>
          </w:p>
        </w:tc>
        <w:tc>
          <w:tcPr>
            <w:tcW w:w="2803" w:type="dxa"/>
            <w:shd w:val="clear" w:color="auto" w:fill="231F20"/>
          </w:tcPr>
          <w:p w14:paraId="3058C9D0" w14:textId="77777777" w:rsidR="00924992" w:rsidRDefault="00924992">
            <w:pPr>
              <w:pStyle w:val="Other0"/>
              <w:framePr w:w="8405" w:h="6394" w:wrap="none" w:hAnchor="page" w:x="663" w:y="375"/>
              <w:pBdr>
                <w:top w:val="single" w:sz="0" w:space="0" w:color="231F20"/>
                <w:left w:val="single" w:sz="0" w:space="0" w:color="231F20"/>
                <w:bottom w:val="single" w:sz="0" w:space="0" w:color="231F20"/>
                <w:right w:val="single" w:sz="0" w:space="0" w:color="231F20"/>
              </w:pBdr>
              <w:shd w:val="clear" w:color="auto" w:fill="231F20"/>
              <w:spacing w:line="240" w:lineRule="auto"/>
              <w:ind w:firstLine="0"/>
              <w:rPr>
                <w:sz w:val="24"/>
                <w:szCs w:val="24"/>
              </w:rPr>
            </w:pPr>
            <w:r>
              <w:rPr>
                <w:rFonts w:ascii="Arial" w:eastAsia="Arial" w:hAnsi="Arial" w:cs="Arial"/>
                <w:b/>
                <w:bCs/>
                <w:color w:val="FFFFFF"/>
                <w:w w:val="70"/>
                <w:sz w:val="24"/>
                <w:szCs w:val="24"/>
              </w:rPr>
              <w:t>Página Web</w:t>
            </w:r>
          </w:p>
        </w:tc>
      </w:tr>
      <w:tr w:rsidR="00924992" w14:paraId="1BBEE813" w14:textId="77777777">
        <w:tblPrEx>
          <w:tblCellMar>
            <w:top w:w="0" w:type="dxa"/>
            <w:bottom w:w="0" w:type="dxa"/>
          </w:tblCellMar>
        </w:tblPrEx>
        <w:trPr>
          <w:trHeight w:hRule="exact" w:val="264"/>
        </w:trPr>
        <w:tc>
          <w:tcPr>
            <w:tcW w:w="2717" w:type="dxa"/>
            <w:shd w:val="clear" w:color="auto" w:fill="FFFFFF"/>
            <w:vAlign w:val="bottom"/>
          </w:tcPr>
          <w:p w14:paraId="79C53C2D" w14:textId="77777777" w:rsidR="00924992" w:rsidRDefault="00924992">
            <w:pPr>
              <w:pStyle w:val="Other0"/>
              <w:framePr w:w="8405" w:h="6394" w:wrap="none" w:hAnchor="page" w:x="663" w:y="375"/>
              <w:spacing w:line="240" w:lineRule="auto"/>
              <w:ind w:firstLine="0"/>
              <w:rPr>
                <w:sz w:val="16"/>
                <w:szCs w:val="16"/>
              </w:rPr>
            </w:pPr>
            <w:r>
              <w:rPr>
                <w:rFonts w:ascii="Times New Roman" w:eastAsia="Times New Roman" w:hAnsi="Times New Roman" w:cs="Times New Roman"/>
                <w:b/>
                <w:bCs/>
                <w:sz w:val="16"/>
                <w:szCs w:val="16"/>
              </w:rPr>
              <w:t>AIDSinfo (SIDAinfo)</w:t>
            </w:r>
          </w:p>
        </w:tc>
        <w:tc>
          <w:tcPr>
            <w:tcW w:w="2885" w:type="dxa"/>
            <w:shd w:val="clear" w:color="auto" w:fill="FFFFFF"/>
            <w:vAlign w:val="bottom"/>
          </w:tcPr>
          <w:p w14:paraId="1EA283F5" w14:textId="77777777" w:rsidR="00924992" w:rsidRDefault="00924992">
            <w:pPr>
              <w:pStyle w:val="Other0"/>
              <w:framePr w:w="8405" w:h="6394" w:wrap="none" w:hAnchor="page" w:x="663" w:y="375"/>
              <w:spacing w:line="240" w:lineRule="auto"/>
              <w:ind w:firstLine="0"/>
              <w:rPr>
                <w:sz w:val="16"/>
                <w:szCs w:val="16"/>
              </w:rPr>
            </w:pPr>
            <w:r>
              <w:rPr>
                <w:rFonts w:ascii="Times New Roman" w:eastAsia="Times New Roman" w:hAnsi="Times New Roman" w:cs="Times New Roman"/>
                <w:sz w:val="16"/>
                <w:szCs w:val="16"/>
              </w:rPr>
              <w:t>1-800-HIV-0440 (1-800-448-0440,</w:t>
            </w:r>
          </w:p>
        </w:tc>
        <w:tc>
          <w:tcPr>
            <w:tcW w:w="2803" w:type="dxa"/>
            <w:shd w:val="clear" w:color="auto" w:fill="FFFFFF"/>
            <w:vAlign w:val="bottom"/>
          </w:tcPr>
          <w:p w14:paraId="5BAD2059" w14:textId="77777777" w:rsidR="00924992" w:rsidRDefault="00924992">
            <w:pPr>
              <w:pStyle w:val="Other0"/>
              <w:framePr w:w="8405" w:h="6394" w:wrap="none" w:hAnchor="page" w:x="663" w:y="375"/>
              <w:spacing w:line="240" w:lineRule="auto"/>
              <w:ind w:firstLine="0"/>
              <w:rPr>
                <w:sz w:val="16"/>
                <w:szCs w:val="16"/>
              </w:rPr>
            </w:pPr>
            <w:hyperlink r:id="rId409" w:history="1">
              <w:r>
                <w:rPr>
                  <w:rFonts w:ascii="Times New Roman" w:eastAsia="Times New Roman" w:hAnsi="Times New Roman" w:cs="Times New Roman"/>
                  <w:sz w:val="16"/>
                  <w:szCs w:val="16"/>
                </w:rPr>
                <w:t>www.aidsinfo.nih.gov</w:t>
              </w:r>
            </w:hyperlink>
          </w:p>
        </w:tc>
      </w:tr>
      <w:tr w:rsidR="00924992" w14:paraId="0ACA5555" w14:textId="77777777">
        <w:tblPrEx>
          <w:tblCellMar>
            <w:top w:w="0" w:type="dxa"/>
            <w:bottom w:w="0" w:type="dxa"/>
          </w:tblCellMar>
        </w:tblPrEx>
        <w:trPr>
          <w:trHeight w:hRule="exact" w:val="206"/>
        </w:trPr>
        <w:tc>
          <w:tcPr>
            <w:tcW w:w="2717" w:type="dxa"/>
            <w:shd w:val="clear" w:color="auto" w:fill="FFFFFF"/>
            <w:vAlign w:val="bottom"/>
          </w:tcPr>
          <w:p w14:paraId="05D9F068" w14:textId="77777777" w:rsidR="00924992" w:rsidRDefault="00924992">
            <w:pPr>
              <w:pStyle w:val="Other0"/>
              <w:framePr w:w="8405" w:h="6394" w:wrap="none" w:hAnchor="page" w:x="663" w:y="375"/>
              <w:spacing w:line="240" w:lineRule="auto"/>
              <w:ind w:firstLine="0"/>
              <w:rPr>
                <w:sz w:val="16"/>
                <w:szCs w:val="16"/>
              </w:rPr>
            </w:pPr>
            <w:r>
              <w:rPr>
                <w:rFonts w:ascii="Times New Roman" w:eastAsia="Times New Roman" w:hAnsi="Times New Roman" w:cs="Times New Roman"/>
                <w:sz w:val="16"/>
                <w:szCs w:val="16"/>
              </w:rPr>
              <w:t>PO Box 6303</w:t>
            </w:r>
          </w:p>
        </w:tc>
        <w:tc>
          <w:tcPr>
            <w:tcW w:w="2885" w:type="dxa"/>
            <w:shd w:val="clear" w:color="auto" w:fill="FFFFFF"/>
            <w:vAlign w:val="bottom"/>
          </w:tcPr>
          <w:p w14:paraId="14E86E8C" w14:textId="77777777" w:rsidR="00924992" w:rsidRDefault="00924992">
            <w:pPr>
              <w:pStyle w:val="Other0"/>
              <w:framePr w:w="8405" w:h="6394" w:wrap="none" w:hAnchor="page" w:x="663" w:y="375"/>
              <w:spacing w:line="240" w:lineRule="auto"/>
              <w:ind w:firstLine="220"/>
              <w:rPr>
                <w:sz w:val="16"/>
                <w:szCs w:val="16"/>
              </w:rPr>
            </w:pPr>
            <w:r>
              <w:rPr>
                <w:rFonts w:ascii="Times New Roman" w:eastAsia="Times New Roman" w:hAnsi="Times New Roman" w:cs="Times New Roman"/>
                <w:sz w:val="16"/>
                <w:szCs w:val="16"/>
              </w:rPr>
              <w:t>USA &amp; Canadá)</w:t>
            </w:r>
          </w:p>
        </w:tc>
        <w:tc>
          <w:tcPr>
            <w:tcW w:w="2803" w:type="dxa"/>
            <w:shd w:val="clear" w:color="auto" w:fill="FFFFFF"/>
          </w:tcPr>
          <w:p w14:paraId="33E59D25" w14:textId="77777777" w:rsidR="00924992" w:rsidRDefault="00924992">
            <w:pPr>
              <w:framePr w:w="8405" w:h="6394" w:wrap="none" w:hAnchor="page" w:x="663" w:y="375"/>
              <w:rPr>
                <w:sz w:val="10"/>
                <w:szCs w:val="10"/>
              </w:rPr>
            </w:pPr>
          </w:p>
        </w:tc>
      </w:tr>
      <w:tr w:rsidR="00924992" w14:paraId="6FBF299A" w14:textId="77777777">
        <w:tblPrEx>
          <w:tblCellMar>
            <w:top w:w="0" w:type="dxa"/>
            <w:bottom w:w="0" w:type="dxa"/>
          </w:tblCellMar>
        </w:tblPrEx>
        <w:trPr>
          <w:trHeight w:hRule="exact" w:val="216"/>
        </w:trPr>
        <w:tc>
          <w:tcPr>
            <w:tcW w:w="2717" w:type="dxa"/>
            <w:shd w:val="clear" w:color="auto" w:fill="FFFFFF"/>
            <w:vAlign w:val="bottom"/>
          </w:tcPr>
          <w:p w14:paraId="0F385CE6" w14:textId="77777777" w:rsidR="00924992" w:rsidRDefault="00924992">
            <w:pPr>
              <w:pStyle w:val="Other0"/>
              <w:framePr w:w="8405" w:h="6394" w:wrap="none" w:hAnchor="page" w:x="663" w:y="375"/>
              <w:spacing w:line="240" w:lineRule="auto"/>
              <w:ind w:firstLine="0"/>
              <w:rPr>
                <w:sz w:val="16"/>
                <w:szCs w:val="16"/>
              </w:rPr>
            </w:pPr>
            <w:r>
              <w:rPr>
                <w:rFonts w:ascii="Times New Roman" w:eastAsia="Times New Roman" w:hAnsi="Times New Roman" w:cs="Times New Roman"/>
                <w:sz w:val="16"/>
                <w:szCs w:val="16"/>
              </w:rPr>
              <w:t>Rockville, MD 20849-6303</w:t>
            </w:r>
          </w:p>
        </w:tc>
        <w:tc>
          <w:tcPr>
            <w:tcW w:w="2885" w:type="dxa"/>
            <w:shd w:val="clear" w:color="auto" w:fill="FFFFFF"/>
            <w:vAlign w:val="bottom"/>
          </w:tcPr>
          <w:p w14:paraId="00508DD2" w14:textId="77777777" w:rsidR="00924992" w:rsidRDefault="00924992">
            <w:pPr>
              <w:pStyle w:val="Other0"/>
              <w:framePr w:w="8405" w:h="6394" w:wrap="none" w:hAnchor="page" w:x="663" w:y="375"/>
              <w:spacing w:line="240" w:lineRule="auto"/>
              <w:ind w:firstLine="0"/>
              <w:rPr>
                <w:sz w:val="16"/>
                <w:szCs w:val="16"/>
              </w:rPr>
            </w:pPr>
            <w:r>
              <w:rPr>
                <w:rFonts w:ascii="Times New Roman" w:eastAsia="Times New Roman" w:hAnsi="Times New Roman" w:cs="Times New Roman"/>
                <w:sz w:val="16"/>
                <w:szCs w:val="16"/>
              </w:rPr>
              <w:t>1-301-519-0459 (Internacional)</w:t>
            </w:r>
          </w:p>
        </w:tc>
        <w:tc>
          <w:tcPr>
            <w:tcW w:w="2803" w:type="dxa"/>
            <w:shd w:val="clear" w:color="auto" w:fill="FFFFFF"/>
          </w:tcPr>
          <w:p w14:paraId="2D5D4F7D" w14:textId="77777777" w:rsidR="00924992" w:rsidRDefault="00924992">
            <w:pPr>
              <w:framePr w:w="8405" w:h="6394" w:wrap="none" w:hAnchor="page" w:x="663" w:y="375"/>
              <w:rPr>
                <w:sz w:val="10"/>
                <w:szCs w:val="10"/>
              </w:rPr>
            </w:pPr>
          </w:p>
        </w:tc>
      </w:tr>
      <w:tr w:rsidR="00924992" w14:paraId="4A1A85DA" w14:textId="77777777">
        <w:tblPrEx>
          <w:tblCellMar>
            <w:top w:w="0" w:type="dxa"/>
            <w:bottom w:w="0" w:type="dxa"/>
          </w:tblCellMar>
        </w:tblPrEx>
        <w:trPr>
          <w:trHeight w:hRule="exact" w:val="202"/>
        </w:trPr>
        <w:tc>
          <w:tcPr>
            <w:tcW w:w="2717" w:type="dxa"/>
            <w:shd w:val="clear" w:color="auto" w:fill="FFFFFF"/>
          </w:tcPr>
          <w:p w14:paraId="13ABF435" w14:textId="77777777" w:rsidR="00924992" w:rsidRDefault="00924992">
            <w:pPr>
              <w:pStyle w:val="Other0"/>
              <w:framePr w:w="8405" w:h="6394" w:wrap="none" w:hAnchor="page" w:x="663" w:y="375"/>
              <w:spacing w:line="240" w:lineRule="auto"/>
              <w:ind w:firstLine="0"/>
              <w:rPr>
                <w:sz w:val="22"/>
                <w:szCs w:val="22"/>
              </w:rPr>
            </w:pPr>
            <w:r>
              <w:rPr>
                <w:rFonts w:ascii="Book Antiqua" w:eastAsia="Book Antiqua" w:hAnsi="Book Antiqua" w:cs="Book Antiqua"/>
                <w:smallCaps/>
                <w:sz w:val="22"/>
                <w:szCs w:val="22"/>
              </w:rPr>
              <w:t>usa</w:t>
            </w:r>
          </w:p>
        </w:tc>
        <w:tc>
          <w:tcPr>
            <w:tcW w:w="2885" w:type="dxa"/>
            <w:shd w:val="clear" w:color="auto" w:fill="FFFFFF"/>
          </w:tcPr>
          <w:p w14:paraId="46C44116" w14:textId="77777777" w:rsidR="00924992" w:rsidRDefault="00924992">
            <w:pPr>
              <w:pStyle w:val="Other0"/>
              <w:framePr w:w="8405" w:h="6394" w:wrap="none" w:hAnchor="page" w:x="663" w:y="375"/>
              <w:spacing w:line="240" w:lineRule="auto"/>
              <w:ind w:firstLine="0"/>
              <w:rPr>
                <w:sz w:val="16"/>
                <w:szCs w:val="16"/>
              </w:rPr>
            </w:pPr>
            <w:r>
              <w:rPr>
                <w:rFonts w:ascii="Times New Roman" w:eastAsia="Times New Roman" w:hAnsi="Times New Roman" w:cs="Times New Roman"/>
                <w:sz w:val="16"/>
                <w:szCs w:val="16"/>
              </w:rPr>
              <w:t>TTY:1-888-480-3739</w:t>
            </w:r>
          </w:p>
        </w:tc>
        <w:tc>
          <w:tcPr>
            <w:tcW w:w="2803" w:type="dxa"/>
            <w:shd w:val="clear" w:color="auto" w:fill="FFFFFF"/>
          </w:tcPr>
          <w:p w14:paraId="7201CCCB" w14:textId="77777777" w:rsidR="00924992" w:rsidRDefault="00924992">
            <w:pPr>
              <w:framePr w:w="8405" w:h="6394" w:wrap="none" w:hAnchor="page" w:x="663" w:y="375"/>
              <w:rPr>
                <w:sz w:val="10"/>
                <w:szCs w:val="10"/>
              </w:rPr>
            </w:pPr>
          </w:p>
        </w:tc>
      </w:tr>
      <w:tr w:rsidR="00924992" w14:paraId="564A92B2" w14:textId="77777777">
        <w:tblPrEx>
          <w:tblCellMar>
            <w:top w:w="0" w:type="dxa"/>
            <w:bottom w:w="0" w:type="dxa"/>
          </w:tblCellMar>
        </w:tblPrEx>
        <w:trPr>
          <w:trHeight w:hRule="exact" w:val="437"/>
        </w:trPr>
        <w:tc>
          <w:tcPr>
            <w:tcW w:w="5602" w:type="dxa"/>
            <w:gridSpan w:val="2"/>
            <w:shd w:val="clear" w:color="auto" w:fill="FFFFFF"/>
            <w:vAlign w:val="bottom"/>
          </w:tcPr>
          <w:p w14:paraId="768DCAA4" w14:textId="77777777" w:rsidR="00924992" w:rsidRDefault="00924992">
            <w:pPr>
              <w:pStyle w:val="Other0"/>
              <w:framePr w:w="8405" w:h="6394" w:wrap="none" w:hAnchor="page" w:x="663" w:y="375"/>
              <w:spacing w:line="240" w:lineRule="auto"/>
              <w:ind w:left="2840" w:firstLine="0"/>
              <w:rPr>
                <w:sz w:val="16"/>
                <w:szCs w:val="16"/>
              </w:rPr>
            </w:pPr>
            <w:r>
              <w:rPr>
                <w:rFonts w:ascii="Times New Roman" w:eastAsia="Times New Roman" w:hAnsi="Times New Roman" w:cs="Times New Roman"/>
                <w:sz w:val="16"/>
                <w:szCs w:val="16"/>
              </w:rPr>
              <w:t>1-301-519-6616 (Fax)</w:t>
            </w:r>
          </w:p>
          <w:p w14:paraId="38A3FC9A" w14:textId="77777777" w:rsidR="00924992" w:rsidRDefault="00924992">
            <w:pPr>
              <w:pStyle w:val="Other0"/>
              <w:framePr w:w="8405" w:h="6394" w:wrap="none" w:hAnchor="page" w:x="663" w:y="375"/>
              <w:spacing w:line="240" w:lineRule="auto"/>
              <w:ind w:firstLine="0"/>
              <w:rPr>
                <w:sz w:val="16"/>
                <w:szCs w:val="16"/>
              </w:rPr>
            </w:pPr>
            <w:r>
              <w:rPr>
                <w:rFonts w:ascii="Times New Roman" w:eastAsia="Times New Roman" w:hAnsi="Times New Roman" w:cs="Times New Roman"/>
                <w:b/>
                <w:bCs/>
                <w:sz w:val="16"/>
                <w:szCs w:val="16"/>
              </w:rPr>
              <w:t xml:space="preserve">American Academy of Pediatrics (AAP) </w:t>
            </w:r>
            <w:r>
              <w:rPr>
                <w:rFonts w:ascii="Times New Roman" w:eastAsia="Times New Roman" w:hAnsi="Times New Roman" w:cs="Times New Roman"/>
                <w:sz w:val="16"/>
                <w:szCs w:val="16"/>
              </w:rPr>
              <w:t>1-847-434-4000</w:t>
            </w:r>
          </w:p>
        </w:tc>
        <w:tc>
          <w:tcPr>
            <w:tcW w:w="2803" w:type="dxa"/>
            <w:shd w:val="clear" w:color="auto" w:fill="FFFFFF"/>
            <w:vAlign w:val="bottom"/>
          </w:tcPr>
          <w:p w14:paraId="061E5FB7" w14:textId="77777777" w:rsidR="00924992" w:rsidRDefault="00924992">
            <w:pPr>
              <w:pStyle w:val="Other0"/>
              <w:framePr w:w="8405" w:h="6394" w:wrap="none" w:hAnchor="page" w:x="663" w:y="375"/>
              <w:spacing w:line="240" w:lineRule="auto"/>
              <w:ind w:firstLine="0"/>
              <w:rPr>
                <w:sz w:val="16"/>
                <w:szCs w:val="16"/>
              </w:rPr>
            </w:pPr>
            <w:hyperlink r:id="rId410" w:history="1">
              <w:r>
                <w:rPr>
                  <w:rFonts w:ascii="Times New Roman" w:eastAsia="Times New Roman" w:hAnsi="Times New Roman" w:cs="Times New Roman"/>
                  <w:sz w:val="16"/>
                  <w:szCs w:val="16"/>
                </w:rPr>
                <w:t>www.aap.org</w:t>
              </w:r>
            </w:hyperlink>
          </w:p>
        </w:tc>
      </w:tr>
      <w:tr w:rsidR="00924992" w14:paraId="4D9D5CA5" w14:textId="77777777">
        <w:tblPrEx>
          <w:tblCellMar>
            <w:top w:w="0" w:type="dxa"/>
            <w:bottom w:w="0" w:type="dxa"/>
          </w:tblCellMar>
        </w:tblPrEx>
        <w:trPr>
          <w:trHeight w:hRule="exact" w:val="192"/>
        </w:trPr>
        <w:tc>
          <w:tcPr>
            <w:tcW w:w="2717" w:type="dxa"/>
            <w:shd w:val="clear" w:color="auto" w:fill="FFFFFF"/>
          </w:tcPr>
          <w:p w14:paraId="05EA9EBE" w14:textId="77777777" w:rsidR="00924992" w:rsidRDefault="00924992">
            <w:pPr>
              <w:pStyle w:val="Other0"/>
              <w:framePr w:w="8405" w:h="6394" w:wrap="none" w:hAnchor="page" w:x="663" w:y="375"/>
              <w:spacing w:line="240" w:lineRule="auto"/>
              <w:ind w:firstLine="0"/>
              <w:rPr>
                <w:sz w:val="16"/>
                <w:szCs w:val="16"/>
              </w:rPr>
            </w:pPr>
            <w:r>
              <w:rPr>
                <w:rFonts w:ascii="Times New Roman" w:eastAsia="Times New Roman" w:hAnsi="Times New Roman" w:cs="Times New Roman"/>
                <w:sz w:val="16"/>
                <w:szCs w:val="16"/>
              </w:rPr>
              <w:t>141 Northwest Point Blvd</w:t>
            </w:r>
          </w:p>
        </w:tc>
        <w:tc>
          <w:tcPr>
            <w:tcW w:w="2885" w:type="dxa"/>
            <w:shd w:val="clear" w:color="auto" w:fill="FFFFFF"/>
          </w:tcPr>
          <w:p w14:paraId="14D89DF7" w14:textId="77777777" w:rsidR="00924992" w:rsidRDefault="00924992">
            <w:pPr>
              <w:pStyle w:val="Other0"/>
              <w:framePr w:w="8405" w:h="6394" w:wrap="none" w:hAnchor="page" w:x="663" w:y="375"/>
              <w:spacing w:line="240" w:lineRule="auto"/>
              <w:ind w:firstLine="0"/>
              <w:rPr>
                <w:sz w:val="16"/>
                <w:szCs w:val="16"/>
              </w:rPr>
            </w:pPr>
            <w:r>
              <w:rPr>
                <w:rFonts w:ascii="Times New Roman" w:eastAsia="Times New Roman" w:hAnsi="Times New Roman" w:cs="Times New Roman"/>
                <w:sz w:val="16"/>
                <w:szCs w:val="16"/>
              </w:rPr>
              <w:t>1-847-434-8000 (Fax)</w:t>
            </w:r>
          </w:p>
        </w:tc>
        <w:tc>
          <w:tcPr>
            <w:tcW w:w="2803" w:type="dxa"/>
            <w:shd w:val="clear" w:color="auto" w:fill="FFFFFF"/>
          </w:tcPr>
          <w:p w14:paraId="5530D662" w14:textId="77777777" w:rsidR="00924992" w:rsidRDefault="00924992">
            <w:pPr>
              <w:framePr w:w="8405" w:h="6394" w:wrap="none" w:hAnchor="page" w:x="663" w:y="375"/>
              <w:rPr>
                <w:sz w:val="10"/>
                <w:szCs w:val="10"/>
              </w:rPr>
            </w:pPr>
          </w:p>
        </w:tc>
      </w:tr>
      <w:tr w:rsidR="00924992" w14:paraId="57E82E60" w14:textId="77777777">
        <w:tblPrEx>
          <w:tblCellMar>
            <w:top w:w="0" w:type="dxa"/>
            <w:bottom w:w="0" w:type="dxa"/>
          </w:tblCellMar>
        </w:tblPrEx>
        <w:trPr>
          <w:trHeight w:hRule="exact" w:val="211"/>
        </w:trPr>
        <w:tc>
          <w:tcPr>
            <w:tcW w:w="2717" w:type="dxa"/>
            <w:shd w:val="clear" w:color="auto" w:fill="FFFFFF"/>
            <w:vAlign w:val="bottom"/>
          </w:tcPr>
          <w:p w14:paraId="28F80720" w14:textId="77777777" w:rsidR="00924992" w:rsidRDefault="00924992">
            <w:pPr>
              <w:pStyle w:val="Other0"/>
              <w:framePr w:w="8405" w:h="6394" w:wrap="none" w:hAnchor="page" w:x="663" w:y="375"/>
              <w:spacing w:line="240" w:lineRule="auto"/>
              <w:ind w:firstLine="0"/>
              <w:rPr>
                <w:sz w:val="16"/>
                <w:szCs w:val="16"/>
              </w:rPr>
            </w:pPr>
            <w:r>
              <w:rPr>
                <w:rFonts w:ascii="Times New Roman" w:eastAsia="Times New Roman" w:hAnsi="Times New Roman" w:cs="Times New Roman"/>
                <w:sz w:val="16"/>
                <w:szCs w:val="16"/>
              </w:rPr>
              <w:t>Elk Grove Village, IL 60007-1098</w:t>
            </w:r>
          </w:p>
        </w:tc>
        <w:tc>
          <w:tcPr>
            <w:tcW w:w="2885" w:type="dxa"/>
            <w:shd w:val="clear" w:color="auto" w:fill="FFFFFF"/>
            <w:vAlign w:val="bottom"/>
          </w:tcPr>
          <w:p w14:paraId="4E3620A7" w14:textId="77777777" w:rsidR="00924992" w:rsidRDefault="00924992">
            <w:pPr>
              <w:pStyle w:val="Other0"/>
              <w:framePr w:w="8405" w:h="6394" w:wrap="none" w:hAnchor="page" w:x="663" w:y="375"/>
              <w:spacing w:line="240" w:lineRule="auto"/>
              <w:ind w:firstLine="0"/>
              <w:rPr>
                <w:sz w:val="16"/>
                <w:szCs w:val="16"/>
              </w:rPr>
            </w:pPr>
            <w:r>
              <w:rPr>
                <w:rFonts w:ascii="Times New Roman" w:eastAsia="Times New Roman" w:hAnsi="Times New Roman" w:cs="Times New Roman"/>
                <w:sz w:val="16"/>
                <w:szCs w:val="16"/>
              </w:rPr>
              <w:t>Publicaciones/Servicio a clientes:</w:t>
            </w:r>
          </w:p>
        </w:tc>
        <w:tc>
          <w:tcPr>
            <w:tcW w:w="2803" w:type="dxa"/>
            <w:shd w:val="clear" w:color="auto" w:fill="FFFFFF"/>
          </w:tcPr>
          <w:p w14:paraId="0D8F9232" w14:textId="77777777" w:rsidR="00924992" w:rsidRDefault="00924992">
            <w:pPr>
              <w:framePr w:w="8405" w:h="6394" w:wrap="none" w:hAnchor="page" w:x="663" w:y="375"/>
              <w:rPr>
                <w:sz w:val="10"/>
                <w:szCs w:val="10"/>
              </w:rPr>
            </w:pPr>
          </w:p>
        </w:tc>
      </w:tr>
      <w:tr w:rsidR="00924992" w14:paraId="66371EBD" w14:textId="77777777">
        <w:tblPrEx>
          <w:tblCellMar>
            <w:top w:w="0" w:type="dxa"/>
            <w:bottom w:w="0" w:type="dxa"/>
          </w:tblCellMar>
        </w:tblPrEx>
        <w:trPr>
          <w:trHeight w:hRule="exact" w:val="211"/>
        </w:trPr>
        <w:tc>
          <w:tcPr>
            <w:tcW w:w="2717" w:type="dxa"/>
            <w:shd w:val="clear" w:color="auto" w:fill="FFFFFF"/>
          </w:tcPr>
          <w:p w14:paraId="01480B25" w14:textId="77777777" w:rsidR="00924992" w:rsidRDefault="00924992">
            <w:pPr>
              <w:pStyle w:val="Other0"/>
              <w:framePr w:w="8405" w:h="6394" w:wrap="none" w:hAnchor="page" w:x="663" w:y="375"/>
              <w:spacing w:line="240" w:lineRule="auto"/>
              <w:ind w:firstLine="0"/>
              <w:rPr>
                <w:sz w:val="16"/>
                <w:szCs w:val="16"/>
              </w:rPr>
            </w:pPr>
            <w:r>
              <w:rPr>
                <w:rFonts w:ascii="Times New Roman" w:eastAsia="Times New Roman" w:hAnsi="Times New Roman" w:cs="Times New Roman"/>
                <w:sz w:val="16"/>
                <w:szCs w:val="16"/>
              </w:rPr>
              <w:t>USA</w:t>
            </w:r>
          </w:p>
        </w:tc>
        <w:tc>
          <w:tcPr>
            <w:tcW w:w="2885" w:type="dxa"/>
            <w:shd w:val="clear" w:color="auto" w:fill="FFFFFF"/>
          </w:tcPr>
          <w:p w14:paraId="43E03DFE" w14:textId="77777777" w:rsidR="00924992" w:rsidRDefault="00924992">
            <w:pPr>
              <w:pStyle w:val="Other0"/>
              <w:framePr w:w="8405" w:h="6394" w:wrap="none" w:hAnchor="page" w:x="663" w:y="375"/>
              <w:spacing w:line="240" w:lineRule="auto"/>
              <w:ind w:firstLine="220"/>
              <w:rPr>
                <w:sz w:val="16"/>
                <w:szCs w:val="16"/>
              </w:rPr>
            </w:pPr>
            <w:r>
              <w:rPr>
                <w:rFonts w:ascii="Times New Roman" w:eastAsia="Times New Roman" w:hAnsi="Times New Roman" w:cs="Times New Roman"/>
                <w:sz w:val="16"/>
                <w:szCs w:val="16"/>
              </w:rPr>
              <w:t>1-866-THEAAP1</w:t>
            </w:r>
          </w:p>
        </w:tc>
        <w:tc>
          <w:tcPr>
            <w:tcW w:w="2803" w:type="dxa"/>
            <w:shd w:val="clear" w:color="auto" w:fill="FFFFFF"/>
          </w:tcPr>
          <w:p w14:paraId="0CB711EB" w14:textId="77777777" w:rsidR="00924992" w:rsidRDefault="00924992">
            <w:pPr>
              <w:framePr w:w="8405" w:h="6394" w:wrap="none" w:hAnchor="page" w:x="663" w:y="375"/>
              <w:rPr>
                <w:sz w:val="10"/>
                <w:szCs w:val="10"/>
              </w:rPr>
            </w:pPr>
          </w:p>
        </w:tc>
      </w:tr>
      <w:tr w:rsidR="00924992" w14:paraId="3567BA0E" w14:textId="77777777">
        <w:tblPrEx>
          <w:tblCellMar>
            <w:top w:w="0" w:type="dxa"/>
            <w:bottom w:w="0" w:type="dxa"/>
          </w:tblCellMar>
        </w:tblPrEx>
        <w:trPr>
          <w:trHeight w:hRule="exact" w:val="427"/>
        </w:trPr>
        <w:tc>
          <w:tcPr>
            <w:tcW w:w="2717" w:type="dxa"/>
            <w:shd w:val="clear" w:color="auto" w:fill="FFFFFF"/>
            <w:vAlign w:val="bottom"/>
          </w:tcPr>
          <w:p w14:paraId="6BA3259B" w14:textId="77777777" w:rsidR="00924992" w:rsidRDefault="00924992">
            <w:pPr>
              <w:pStyle w:val="Other0"/>
              <w:framePr w:w="8405" w:h="6394" w:wrap="none" w:hAnchor="page" w:x="663" w:y="375"/>
              <w:spacing w:line="240" w:lineRule="auto"/>
              <w:ind w:firstLine="0"/>
              <w:rPr>
                <w:sz w:val="16"/>
                <w:szCs w:val="16"/>
              </w:rPr>
            </w:pPr>
            <w:r>
              <w:rPr>
                <w:rFonts w:ascii="Times New Roman" w:eastAsia="Times New Roman" w:hAnsi="Times New Roman" w:cs="Times New Roman"/>
                <w:b/>
                <w:bCs/>
                <w:sz w:val="16"/>
                <w:szCs w:val="16"/>
              </w:rPr>
              <w:t>Canadian Paediatric Society (CPS)</w:t>
            </w:r>
          </w:p>
        </w:tc>
        <w:tc>
          <w:tcPr>
            <w:tcW w:w="2885" w:type="dxa"/>
            <w:shd w:val="clear" w:color="auto" w:fill="FFFFFF"/>
            <w:vAlign w:val="bottom"/>
          </w:tcPr>
          <w:p w14:paraId="6CE68931" w14:textId="77777777" w:rsidR="00924992" w:rsidRDefault="00924992">
            <w:pPr>
              <w:pStyle w:val="Other0"/>
              <w:framePr w:w="8405" w:h="6394" w:wrap="none" w:hAnchor="page" w:x="663" w:y="375"/>
              <w:spacing w:line="240" w:lineRule="auto"/>
              <w:ind w:firstLine="220"/>
              <w:rPr>
                <w:sz w:val="16"/>
                <w:szCs w:val="16"/>
              </w:rPr>
            </w:pPr>
            <w:r>
              <w:rPr>
                <w:rFonts w:ascii="Times New Roman" w:eastAsia="Times New Roman" w:hAnsi="Times New Roman" w:cs="Times New Roman"/>
                <w:sz w:val="16"/>
                <w:szCs w:val="16"/>
              </w:rPr>
              <w:t>(1-866-843-2271)</w:t>
            </w:r>
          </w:p>
          <w:p w14:paraId="632A0D91" w14:textId="77777777" w:rsidR="00924992" w:rsidRDefault="00924992">
            <w:pPr>
              <w:pStyle w:val="Other0"/>
              <w:framePr w:w="8405" w:h="6394" w:wrap="none" w:hAnchor="page" w:x="663" w:y="375"/>
              <w:spacing w:line="240" w:lineRule="auto"/>
              <w:ind w:firstLine="0"/>
              <w:rPr>
                <w:sz w:val="16"/>
                <w:szCs w:val="16"/>
              </w:rPr>
            </w:pPr>
            <w:r>
              <w:rPr>
                <w:rFonts w:ascii="Times New Roman" w:eastAsia="Times New Roman" w:hAnsi="Times New Roman" w:cs="Times New Roman"/>
                <w:sz w:val="16"/>
                <w:szCs w:val="16"/>
              </w:rPr>
              <w:t>1-613-526-9397</w:t>
            </w:r>
          </w:p>
        </w:tc>
        <w:tc>
          <w:tcPr>
            <w:tcW w:w="2803" w:type="dxa"/>
            <w:shd w:val="clear" w:color="auto" w:fill="FFFFFF"/>
            <w:vAlign w:val="bottom"/>
          </w:tcPr>
          <w:p w14:paraId="5F575BC0" w14:textId="77777777" w:rsidR="00924992" w:rsidRDefault="00924992">
            <w:pPr>
              <w:pStyle w:val="Other0"/>
              <w:framePr w:w="8405" w:h="6394" w:wrap="none" w:hAnchor="page" w:x="663" w:y="375"/>
              <w:spacing w:line="240" w:lineRule="auto"/>
              <w:ind w:firstLine="0"/>
              <w:rPr>
                <w:sz w:val="16"/>
                <w:szCs w:val="16"/>
              </w:rPr>
            </w:pPr>
            <w:hyperlink r:id="rId411" w:history="1">
              <w:r>
                <w:rPr>
                  <w:rFonts w:ascii="Times New Roman" w:eastAsia="Times New Roman" w:hAnsi="Times New Roman" w:cs="Times New Roman"/>
                  <w:sz w:val="16"/>
                  <w:szCs w:val="16"/>
                </w:rPr>
                <w:t>www.cps.ca</w:t>
              </w:r>
            </w:hyperlink>
          </w:p>
        </w:tc>
      </w:tr>
      <w:tr w:rsidR="00924992" w14:paraId="2DB95082" w14:textId="77777777">
        <w:tblPrEx>
          <w:tblCellMar>
            <w:top w:w="0" w:type="dxa"/>
            <w:bottom w:w="0" w:type="dxa"/>
          </w:tblCellMar>
        </w:tblPrEx>
        <w:trPr>
          <w:trHeight w:hRule="exact" w:val="211"/>
        </w:trPr>
        <w:tc>
          <w:tcPr>
            <w:tcW w:w="2717" w:type="dxa"/>
            <w:shd w:val="clear" w:color="auto" w:fill="FFFFFF"/>
            <w:vAlign w:val="bottom"/>
          </w:tcPr>
          <w:p w14:paraId="675974BD" w14:textId="77777777" w:rsidR="00924992" w:rsidRDefault="00924992">
            <w:pPr>
              <w:pStyle w:val="Other0"/>
              <w:framePr w:w="8405" w:h="6394" w:wrap="none" w:hAnchor="page" w:x="663" w:y="375"/>
              <w:spacing w:line="240" w:lineRule="auto"/>
              <w:ind w:firstLine="0"/>
              <w:rPr>
                <w:sz w:val="16"/>
                <w:szCs w:val="16"/>
              </w:rPr>
            </w:pPr>
            <w:r>
              <w:rPr>
                <w:rFonts w:ascii="Times New Roman" w:eastAsia="Times New Roman" w:hAnsi="Times New Roman" w:cs="Times New Roman"/>
                <w:sz w:val="16"/>
                <w:szCs w:val="16"/>
              </w:rPr>
              <w:t>2204 Walkley Rd, Ste 100</w:t>
            </w:r>
          </w:p>
        </w:tc>
        <w:tc>
          <w:tcPr>
            <w:tcW w:w="2885" w:type="dxa"/>
            <w:shd w:val="clear" w:color="auto" w:fill="FFFFFF"/>
            <w:vAlign w:val="bottom"/>
          </w:tcPr>
          <w:p w14:paraId="6DE065B4" w14:textId="77777777" w:rsidR="00924992" w:rsidRDefault="00924992">
            <w:pPr>
              <w:pStyle w:val="Other0"/>
              <w:framePr w:w="8405" w:h="6394" w:wrap="none" w:hAnchor="page" w:x="663" w:y="375"/>
              <w:spacing w:line="240" w:lineRule="auto"/>
              <w:ind w:firstLine="0"/>
              <w:rPr>
                <w:sz w:val="16"/>
                <w:szCs w:val="16"/>
              </w:rPr>
            </w:pPr>
            <w:r>
              <w:rPr>
                <w:rFonts w:ascii="Times New Roman" w:eastAsia="Times New Roman" w:hAnsi="Times New Roman" w:cs="Times New Roman"/>
                <w:sz w:val="16"/>
                <w:szCs w:val="16"/>
              </w:rPr>
              <w:t>1-613-526-3332 (Fax)</w:t>
            </w:r>
          </w:p>
        </w:tc>
        <w:tc>
          <w:tcPr>
            <w:tcW w:w="2803" w:type="dxa"/>
            <w:shd w:val="clear" w:color="auto" w:fill="FFFFFF"/>
          </w:tcPr>
          <w:p w14:paraId="54AA8B92" w14:textId="77777777" w:rsidR="00924992" w:rsidRDefault="00924992">
            <w:pPr>
              <w:framePr w:w="8405" w:h="6394" w:wrap="none" w:hAnchor="page" w:x="663" w:y="375"/>
              <w:rPr>
                <w:sz w:val="10"/>
                <w:szCs w:val="10"/>
              </w:rPr>
            </w:pPr>
          </w:p>
        </w:tc>
      </w:tr>
      <w:tr w:rsidR="00924992" w14:paraId="113427D4" w14:textId="77777777">
        <w:tblPrEx>
          <w:tblCellMar>
            <w:top w:w="0" w:type="dxa"/>
            <w:bottom w:w="0" w:type="dxa"/>
          </w:tblCellMar>
        </w:tblPrEx>
        <w:trPr>
          <w:trHeight w:hRule="exact" w:val="413"/>
        </w:trPr>
        <w:tc>
          <w:tcPr>
            <w:tcW w:w="2717" w:type="dxa"/>
            <w:shd w:val="clear" w:color="auto" w:fill="FFFFFF"/>
          </w:tcPr>
          <w:p w14:paraId="3952575B" w14:textId="77777777" w:rsidR="00924992" w:rsidRDefault="00924992">
            <w:pPr>
              <w:pStyle w:val="Other0"/>
              <w:framePr w:w="8405" w:h="6394" w:wrap="none" w:hAnchor="page" w:x="663" w:y="375"/>
              <w:spacing w:line="240" w:lineRule="auto"/>
              <w:ind w:firstLine="0"/>
              <w:rPr>
                <w:sz w:val="16"/>
                <w:szCs w:val="16"/>
              </w:rPr>
            </w:pPr>
            <w:r>
              <w:rPr>
                <w:rFonts w:ascii="Times New Roman" w:eastAsia="Times New Roman" w:hAnsi="Times New Roman" w:cs="Times New Roman"/>
                <w:sz w:val="16"/>
                <w:szCs w:val="16"/>
              </w:rPr>
              <w:t>Ottawa, Ontario K1G 4G8</w:t>
            </w:r>
          </w:p>
          <w:p w14:paraId="26EE0684" w14:textId="77777777" w:rsidR="00924992" w:rsidRDefault="00924992">
            <w:pPr>
              <w:pStyle w:val="Other0"/>
              <w:framePr w:w="8405" w:h="6394" w:wrap="none" w:hAnchor="page" w:x="663" w:y="375"/>
              <w:spacing w:line="240" w:lineRule="auto"/>
              <w:ind w:firstLine="0"/>
              <w:rPr>
                <w:sz w:val="16"/>
                <w:szCs w:val="16"/>
              </w:rPr>
            </w:pPr>
            <w:r>
              <w:rPr>
                <w:rFonts w:ascii="Times New Roman" w:eastAsia="Times New Roman" w:hAnsi="Times New Roman" w:cs="Times New Roman"/>
                <w:sz w:val="16"/>
                <w:szCs w:val="16"/>
              </w:rPr>
              <w:t>Canadá</w:t>
            </w:r>
          </w:p>
        </w:tc>
        <w:tc>
          <w:tcPr>
            <w:tcW w:w="5688" w:type="dxa"/>
            <w:gridSpan w:val="2"/>
            <w:shd w:val="clear" w:color="auto" w:fill="FFFFFF"/>
          </w:tcPr>
          <w:p w14:paraId="147CC23C" w14:textId="77777777" w:rsidR="00924992" w:rsidRDefault="00924992">
            <w:pPr>
              <w:framePr w:w="8405" w:h="6394" w:wrap="none" w:hAnchor="page" w:x="663" w:y="375"/>
              <w:rPr>
                <w:sz w:val="10"/>
                <w:szCs w:val="10"/>
              </w:rPr>
            </w:pPr>
          </w:p>
        </w:tc>
      </w:tr>
      <w:tr w:rsidR="00924992" w14:paraId="142E19E0" w14:textId="77777777">
        <w:tblPrEx>
          <w:tblCellMar>
            <w:top w:w="0" w:type="dxa"/>
            <w:bottom w:w="0" w:type="dxa"/>
          </w:tblCellMar>
        </w:tblPrEx>
        <w:trPr>
          <w:trHeight w:hRule="exact" w:val="211"/>
        </w:trPr>
        <w:tc>
          <w:tcPr>
            <w:tcW w:w="2717" w:type="dxa"/>
            <w:shd w:val="clear" w:color="auto" w:fill="FFFFFF"/>
            <w:vAlign w:val="bottom"/>
          </w:tcPr>
          <w:p w14:paraId="18E8B40E" w14:textId="77777777" w:rsidR="00924992" w:rsidRDefault="00924992">
            <w:pPr>
              <w:pStyle w:val="Other0"/>
              <w:framePr w:w="8405" w:h="6394" w:wrap="none" w:hAnchor="page" w:x="663" w:y="375"/>
              <w:spacing w:line="240" w:lineRule="auto"/>
              <w:ind w:firstLine="0"/>
              <w:rPr>
                <w:sz w:val="16"/>
                <w:szCs w:val="16"/>
              </w:rPr>
            </w:pPr>
            <w:r>
              <w:rPr>
                <w:rFonts w:ascii="Times New Roman" w:eastAsia="Times New Roman" w:hAnsi="Times New Roman" w:cs="Times New Roman"/>
                <w:b/>
                <w:bCs/>
                <w:sz w:val="16"/>
                <w:szCs w:val="16"/>
              </w:rPr>
              <w:t>Centers for Disease Control and</w:t>
            </w:r>
          </w:p>
        </w:tc>
        <w:tc>
          <w:tcPr>
            <w:tcW w:w="2885" w:type="dxa"/>
            <w:shd w:val="clear" w:color="auto" w:fill="FFFFFF"/>
            <w:vAlign w:val="bottom"/>
          </w:tcPr>
          <w:p w14:paraId="32502DDE" w14:textId="77777777" w:rsidR="00924992" w:rsidRDefault="00924992">
            <w:pPr>
              <w:pStyle w:val="Other0"/>
              <w:framePr w:w="8405" w:h="6394" w:wrap="none" w:hAnchor="page" w:x="663" w:y="375"/>
              <w:spacing w:line="240" w:lineRule="auto"/>
              <w:ind w:firstLine="0"/>
              <w:rPr>
                <w:sz w:val="16"/>
                <w:szCs w:val="16"/>
              </w:rPr>
            </w:pPr>
            <w:r>
              <w:rPr>
                <w:rFonts w:ascii="Times New Roman" w:eastAsia="Times New Roman" w:hAnsi="Times New Roman" w:cs="Times New Roman"/>
                <w:sz w:val="16"/>
                <w:szCs w:val="16"/>
              </w:rPr>
              <w:t>1-404-639-3311</w:t>
            </w:r>
          </w:p>
        </w:tc>
        <w:tc>
          <w:tcPr>
            <w:tcW w:w="2803" w:type="dxa"/>
            <w:shd w:val="clear" w:color="auto" w:fill="FFFFFF"/>
            <w:vAlign w:val="bottom"/>
          </w:tcPr>
          <w:p w14:paraId="48FC5AA4" w14:textId="77777777" w:rsidR="00924992" w:rsidRDefault="00924992">
            <w:pPr>
              <w:pStyle w:val="Other0"/>
              <w:framePr w:w="8405" w:h="6394" w:wrap="none" w:hAnchor="page" w:x="663" w:y="375"/>
              <w:spacing w:line="240" w:lineRule="auto"/>
              <w:ind w:firstLine="0"/>
              <w:rPr>
                <w:sz w:val="16"/>
                <w:szCs w:val="16"/>
              </w:rPr>
            </w:pPr>
            <w:hyperlink r:id="rId412" w:history="1">
              <w:r>
                <w:rPr>
                  <w:rFonts w:ascii="Times New Roman" w:eastAsia="Times New Roman" w:hAnsi="Times New Roman" w:cs="Times New Roman"/>
                  <w:sz w:val="16"/>
                  <w:szCs w:val="16"/>
                </w:rPr>
                <w:t>www.cdc.gov</w:t>
              </w:r>
            </w:hyperlink>
          </w:p>
        </w:tc>
      </w:tr>
      <w:tr w:rsidR="00924992" w14:paraId="20727E44" w14:textId="77777777">
        <w:tblPrEx>
          <w:tblCellMar>
            <w:top w:w="0" w:type="dxa"/>
            <w:bottom w:w="0" w:type="dxa"/>
          </w:tblCellMar>
        </w:tblPrEx>
        <w:trPr>
          <w:trHeight w:hRule="exact" w:val="835"/>
        </w:trPr>
        <w:tc>
          <w:tcPr>
            <w:tcW w:w="2717" w:type="dxa"/>
            <w:shd w:val="clear" w:color="auto" w:fill="FFFFFF"/>
          </w:tcPr>
          <w:p w14:paraId="47A3671D" w14:textId="77777777" w:rsidR="00924992" w:rsidRDefault="00924992">
            <w:pPr>
              <w:pStyle w:val="Other0"/>
              <w:framePr w:w="8405" w:h="6394" w:wrap="none" w:hAnchor="page" w:x="663" w:y="375"/>
              <w:spacing w:line="240" w:lineRule="auto"/>
              <w:ind w:firstLine="0"/>
              <w:rPr>
                <w:sz w:val="16"/>
                <w:szCs w:val="16"/>
              </w:rPr>
            </w:pPr>
            <w:r>
              <w:rPr>
                <w:rFonts w:ascii="Times New Roman" w:eastAsia="Times New Roman" w:hAnsi="Times New Roman" w:cs="Times New Roman"/>
                <w:b/>
                <w:bCs/>
                <w:sz w:val="16"/>
                <w:szCs w:val="16"/>
              </w:rPr>
              <w:t>Prevention (CDC)</w:t>
            </w:r>
          </w:p>
          <w:p w14:paraId="62B79AFA" w14:textId="77777777" w:rsidR="00924992" w:rsidRDefault="00924992">
            <w:pPr>
              <w:pStyle w:val="Other0"/>
              <w:framePr w:w="8405" w:h="6394" w:wrap="none" w:hAnchor="page" w:x="663" w:y="375"/>
              <w:spacing w:line="240" w:lineRule="auto"/>
              <w:ind w:firstLine="0"/>
              <w:rPr>
                <w:sz w:val="16"/>
                <w:szCs w:val="16"/>
              </w:rPr>
            </w:pPr>
            <w:r>
              <w:rPr>
                <w:rFonts w:ascii="Times New Roman" w:eastAsia="Times New Roman" w:hAnsi="Times New Roman" w:cs="Times New Roman"/>
                <w:sz w:val="16"/>
                <w:szCs w:val="16"/>
              </w:rPr>
              <w:t>1600 Clifton Rd</w:t>
            </w:r>
          </w:p>
          <w:p w14:paraId="38C141B0" w14:textId="77777777" w:rsidR="00924992" w:rsidRDefault="00924992">
            <w:pPr>
              <w:pStyle w:val="Other0"/>
              <w:framePr w:w="8405" w:h="6394" w:wrap="none" w:hAnchor="page" w:x="663" w:y="375"/>
              <w:spacing w:line="240" w:lineRule="auto"/>
              <w:ind w:firstLine="0"/>
              <w:rPr>
                <w:sz w:val="16"/>
                <w:szCs w:val="16"/>
              </w:rPr>
            </w:pPr>
            <w:r>
              <w:rPr>
                <w:rFonts w:ascii="Times New Roman" w:eastAsia="Times New Roman" w:hAnsi="Times New Roman" w:cs="Times New Roman"/>
                <w:sz w:val="16"/>
                <w:szCs w:val="16"/>
              </w:rPr>
              <w:t>Atlanta, GA 30333</w:t>
            </w:r>
          </w:p>
          <w:p w14:paraId="6901C0BF" w14:textId="77777777" w:rsidR="00924992" w:rsidRDefault="00924992">
            <w:pPr>
              <w:pStyle w:val="Other0"/>
              <w:framePr w:w="8405" w:h="6394" w:wrap="none" w:hAnchor="page" w:x="663" w:y="375"/>
              <w:spacing w:line="240" w:lineRule="auto"/>
              <w:ind w:firstLine="0"/>
              <w:rPr>
                <w:sz w:val="16"/>
                <w:szCs w:val="16"/>
              </w:rPr>
            </w:pPr>
            <w:r>
              <w:rPr>
                <w:rFonts w:ascii="Times New Roman" w:eastAsia="Times New Roman" w:hAnsi="Times New Roman" w:cs="Times New Roman"/>
                <w:sz w:val="16"/>
                <w:szCs w:val="16"/>
              </w:rPr>
              <w:t>USA</w:t>
            </w:r>
          </w:p>
        </w:tc>
        <w:tc>
          <w:tcPr>
            <w:tcW w:w="5688" w:type="dxa"/>
            <w:gridSpan w:val="2"/>
            <w:shd w:val="clear" w:color="auto" w:fill="FFFFFF"/>
          </w:tcPr>
          <w:p w14:paraId="034C47FE" w14:textId="77777777" w:rsidR="00924992" w:rsidRDefault="00924992">
            <w:pPr>
              <w:framePr w:w="8405" w:h="6394" w:wrap="none" w:hAnchor="page" w:x="663" w:y="375"/>
              <w:rPr>
                <w:sz w:val="10"/>
                <w:szCs w:val="10"/>
              </w:rPr>
            </w:pPr>
          </w:p>
        </w:tc>
      </w:tr>
      <w:tr w:rsidR="00924992" w14:paraId="798200B3" w14:textId="77777777">
        <w:tblPrEx>
          <w:tblCellMar>
            <w:top w:w="0" w:type="dxa"/>
            <w:bottom w:w="0" w:type="dxa"/>
          </w:tblCellMar>
        </w:tblPrEx>
        <w:trPr>
          <w:trHeight w:hRule="exact" w:val="211"/>
        </w:trPr>
        <w:tc>
          <w:tcPr>
            <w:tcW w:w="2717" w:type="dxa"/>
            <w:shd w:val="clear" w:color="auto" w:fill="FFFFFF"/>
          </w:tcPr>
          <w:p w14:paraId="6362C9E0" w14:textId="77777777" w:rsidR="00924992" w:rsidRDefault="00924992">
            <w:pPr>
              <w:pStyle w:val="Other0"/>
              <w:framePr w:w="8405" w:h="6394" w:wrap="none" w:hAnchor="page" w:x="663" w:y="375"/>
              <w:spacing w:line="240" w:lineRule="auto"/>
              <w:ind w:firstLine="0"/>
              <w:rPr>
                <w:sz w:val="16"/>
                <w:szCs w:val="16"/>
              </w:rPr>
            </w:pPr>
            <w:r>
              <w:rPr>
                <w:rFonts w:ascii="Times New Roman" w:eastAsia="Times New Roman" w:hAnsi="Times New Roman" w:cs="Times New Roman"/>
                <w:sz w:val="16"/>
                <w:szCs w:val="16"/>
              </w:rPr>
              <w:t>• Servicio las 24 h</w:t>
            </w:r>
          </w:p>
        </w:tc>
        <w:tc>
          <w:tcPr>
            <w:tcW w:w="2885" w:type="dxa"/>
            <w:shd w:val="clear" w:color="auto" w:fill="FFFFFF"/>
          </w:tcPr>
          <w:p w14:paraId="5FE778AE" w14:textId="77777777" w:rsidR="00924992" w:rsidRDefault="00924992">
            <w:pPr>
              <w:pStyle w:val="Other0"/>
              <w:framePr w:w="8405" w:h="6394" w:wrap="none" w:hAnchor="page" w:x="663" w:y="375"/>
              <w:spacing w:line="240" w:lineRule="auto"/>
              <w:ind w:firstLine="0"/>
              <w:rPr>
                <w:sz w:val="16"/>
                <w:szCs w:val="16"/>
              </w:rPr>
            </w:pPr>
            <w:r>
              <w:rPr>
                <w:rFonts w:ascii="Times New Roman" w:eastAsia="Times New Roman" w:hAnsi="Times New Roman" w:cs="Times New Roman"/>
                <w:sz w:val="16"/>
                <w:szCs w:val="16"/>
              </w:rPr>
              <w:t>1-404-639-2888</w:t>
            </w:r>
          </w:p>
        </w:tc>
        <w:tc>
          <w:tcPr>
            <w:tcW w:w="2803" w:type="dxa"/>
            <w:shd w:val="clear" w:color="auto" w:fill="FFFFFF"/>
          </w:tcPr>
          <w:p w14:paraId="4E0D910A" w14:textId="77777777" w:rsidR="00924992" w:rsidRDefault="00924992">
            <w:pPr>
              <w:framePr w:w="8405" w:h="6394" w:wrap="none" w:hAnchor="page" w:x="663" w:y="375"/>
              <w:rPr>
                <w:sz w:val="10"/>
                <w:szCs w:val="10"/>
              </w:rPr>
            </w:pPr>
          </w:p>
        </w:tc>
      </w:tr>
      <w:tr w:rsidR="00924992" w14:paraId="779BE8F5" w14:textId="77777777">
        <w:tblPrEx>
          <w:tblCellMar>
            <w:top w:w="0" w:type="dxa"/>
            <w:bottom w:w="0" w:type="dxa"/>
          </w:tblCellMar>
        </w:tblPrEx>
        <w:trPr>
          <w:trHeight w:hRule="exact" w:val="226"/>
        </w:trPr>
        <w:tc>
          <w:tcPr>
            <w:tcW w:w="2717" w:type="dxa"/>
            <w:shd w:val="clear" w:color="auto" w:fill="FFFFFF"/>
            <w:vAlign w:val="bottom"/>
          </w:tcPr>
          <w:p w14:paraId="0B61CB97" w14:textId="77777777" w:rsidR="00924992" w:rsidRDefault="00924992">
            <w:pPr>
              <w:pStyle w:val="Other0"/>
              <w:framePr w:w="8405" w:h="6394" w:wrap="none" w:hAnchor="page" w:x="663" w:y="375"/>
              <w:spacing w:line="240" w:lineRule="auto"/>
              <w:ind w:firstLine="0"/>
              <w:rPr>
                <w:sz w:val="16"/>
                <w:szCs w:val="16"/>
              </w:rPr>
            </w:pPr>
            <w:r>
              <w:rPr>
                <w:rFonts w:ascii="Times New Roman" w:eastAsia="Times New Roman" w:hAnsi="Times New Roman" w:cs="Times New Roman"/>
                <w:sz w:val="16"/>
                <w:szCs w:val="16"/>
              </w:rPr>
              <w:t>• División, bacterianas y</w:t>
            </w:r>
          </w:p>
        </w:tc>
        <w:tc>
          <w:tcPr>
            <w:tcW w:w="2885" w:type="dxa"/>
            <w:shd w:val="clear" w:color="auto" w:fill="FFFFFF"/>
            <w:vAlign w:val="bottom"/>
          </w:tcPr>
          <w:p w14:paraId="41CC1D5F" w14:textId="77777777" w:rsidR="00924992" w:rsidRDefault="00924992">
            <w:pPr>
              <w:pStyle w:val="Other0"/>
              <w:framePr w:w="8405" w:h="6394" w:wrap="none" w:hAnchor="page" w:x="663" w:y="375"/>
              <w:spacing w:line="240" w:lineRule="auto"/>
              <w:ind w:firstLine="0"/>
              <w:rPr>
                <w:sz w:val="16"/>
                <w:szCs w:val="16"/>
              </w:rPr>
            </w:pPr>
            <w:r>
              <w:rPr>
                <w:rFonts w:ascii="Times New Roman" w:eastAsia="Times New Roman" w:hAnsi="Times New Roman" w:cs="Times New Roman"/>
                <w:sz w:val="16"/>
                <w:szCs w:val="16"/>
              </w:rPr>
              <w:t>1-404-639-1603</w:t>
            </w:r>
          </w:p>
        </w:tc>
        <w:tc>
          <w:tcPr>
            <w:tcW w:w="2803" w:type="dxa"/>
            <w:shd w:val="clear" w:color="auto" w:fill="FFFFFF"/>
            <w:vAlign w:val="bottom"/>
          </w:tcPr>
          <w:p w14:paraId="4E8FA438" w14:textId="77777777" w:rsidR="00924992" w:rsidRDefault="00924992">
            <w:pPr>
              <w:pStyle w:val="Other0"/>
              <w:framePr w:w="8405" w:h="6394" w:wrap="none" w:hAnchor="page" w:x="663" w:y="375"/>
              <w:spacing w:line="240" w:lineRule="auto"/>
              <w:ind w:firstLine="0"/>
              <w:rPr>
                <w:sz w:val="16"/>
                <w:szCs w:val="16"/>
              </w:rPr>
            </w:pPr>
            <w:hyperlink r:id="rId413" w:history="1">
              <w:r>
                <w:rPr>
                  <w:rFonts w:ascii="Times New Roman" w:eastAsia="Times New Roman" w:hAnsi="Times New Roman" w:cs="Times New Roman"/>
                  <w:sz w:val="16"/>
                  <w:szCs w:val="16"/>
                </w:rPr>
                <w:t>www.cdc.gov/ncidod/dbmd</w:t>
              </w:r>
            </w:hyperlink>
          </w:p>
        </w:tc>
      </w:tr>
      <w:tr w:rsidR="00924992" w14:paraId="43CF0BE7" w14:textId="77777777">
        <w:tblPrEx>
          <w:tblCellMar>
            <w:top w:w="0" w:type="dxa"/>
            <w:bottom w:w="0" w:type="dxa"/>
          </w:tblCellMar>
        </w:tblPrEx>
        <w:trPr>
          <w:trHeight w:hRule="exact" w:val="192"/>
        </w:trPr>
        <w:tc>
          <w:tcPr>
            <w:tcW w:w="2717" w:type="dxa"/>
            <w:shd w:val="clear" w:color="auto" w:fill="FFFFFF"/>
            <w:vAlign w:val="bottom"/>
          </w:tcPr>
          <w:p w14:paraId="3344FF6F" w14:textId="77777777" w:rsidR="00924992" w:rsidRDefault="00924992">
            <w:pPr>
              <w:pStyle w:val="Other0"/>
              <w:framePr w:w="8405" w:h="6394" w:wrap="none" w:hAnchor="page" w:x="663" w:y="375"/>
              <w:spacing w:line="240" w:lineRule="auto"/>
              <w:ind w:firstLine="280"/>
              <w:rPr>
                <w:sz w:val="16"/>
                <w:szCs w:val="16"/>
              </w:rPr>
            </w:pPr>
            <w:r>
              <w:rPr>
                <w:rFonts w:ascii="Times New Roman" w:eastAsia="Times New Roman" w:hAnsi="Times New Roman" w:cs="Times New Roman"/>
                <w:sz w:val="16"/>
                <w:szCs w:val="16"/>
              </w:rPr>
              <w:t>micóticas, enfermedades</w:t>
            </w:r>
          </w:p>
        </w:tc>
        <w:tc>
          <w:tcPr>
            <w:tcW w:w="5688" w:type="dxa"/>
            <w:gridSpan w:val="2"/>
            <w:shd w:val="clear" w:color="auto" w:fill="FFFFFF"/>
          </w:tcPr>
          <w:p w14:paraId="790805AF" w14:textId="77777777" w:rsidR="00924992" w:rsidRDefault="00924992">
            <w:pPr>
              <w:framePr w:w="8405" w:h="6394" w:wrap="none" w:hAnchor="page" w:x="663" w:y="375"/>
              <w:rPr>
                <w:sz w:val="10"/>
                <w:szCs w:val="10"/>
              </w:rPr>
            </w:pPr>
          </w:p>
        </w:tc>
      </w:tr>
      <w:tr w:rsidR="00924992" w14:paraId="181D2AD9" w14:textId="77777777">
        <w:tblPrEx>
          <w:tblCellMar>
            <w:top w:w="0" w:type="dxa"/>
            <w:bottom w:w="0" w:type="dxa"/>
          </w:tblCellMar>
        </w:tblPrEx>
        <w:trPr>
          <w:trHeight w:hRule="exact" w:val="226"/>
        </w:trPr>
        <w:tc>
          <w:tcPr>
            <w:tcW w:w="2717" w:type="dxa"/>
            <w:shd w:val="clear" w:color="auto" w:fill="FFFFFF"/>
            <w:vAlign w:val="bottom"/>
          </w:tcPr>
          <w:p w14:paraId="7908642C" w14:textId="77777777" w:rsidR="00924992" w:rsidRDefault="00924992">
            <w:pPr>
              <w:pStyle w:val="Other0"/>
              <w:framePr w:w="8405" w:h="6394" w:wrap="none" w:hAnchor="page" w:x="663" w:y="375"/>
              <w:spacing w:line="240" w:lineRule="auto"/>
              <w:ind w:firstLine="0"/>
              <w:rPr>
                <w:sz w:val="16"/>
                <w:szCs w:val="16"/>
              </w:rPr>
            </w:pPr>
            <w:r>
              <w:rPr>
                <w:rFonts w:ascii="Times New Roman" w:eastAsia="Times New Roman" w:hAnsi="Times New Roman" w:cs="Times New Roman"/>
                <w:sz w:val="16"/>
                <w:szCs w:val="16"/>
              </w:rPr>
              <w:t>• División, parasitarias,</w:t>
            </w:r>
          </w:p>
        </w:tc>
        <w:tc>
          <w:tcPr>
            <w:tcW w:w="2885" w:type="dxa"/>
            <w:shd w:val="clear" w:color="auto" w:fill="FFFFFF"/>
            <w:vAlign w:val="bottom"/>
          </w:tcPr>
          <w:p w14:paraId="51F7E238" w14:textId="77777777" w:rsidR="00924992" w:rsidRDefault="00924992">
            <w:pPr>
              <w:pStyle w:val="Other0"/>
              <w:framePr w:w="8405" w:h="6394" w:wrap="none" w:hAnchor="page" w:x="663" w:y="375"/>
              <w:spacing w:line="240" w:lineRule="auto"/>
              <w:ind w:firstLine="0"/>
              <w:rPr>
                <w:sz w:val="16"/>
                <w:szCs w:val="16"/>
              </w:rPr>
            </w:pPr>
            <w:r>
              <w:rPr>
                <w:rFonts w:ascii="Times New Roman" w:eastAsia="Times New Roman" w:hAnsi="Times New Roman" w:cs="Times New Roman"/>
                <w:sz w:val="16"/>
                <w:szCs w:val="16"/>
              </w:rPr>
              <w:t>1-770-488-7775 O 1-770-488-7760</w:t>
            </w:r>
          </w:p>
        </w:tc>
        <w:tc>
          <w:tcPr>
            <w:tcW w:w="2803" w:type="dxa"/>
            <w:shd w:val="clear" w:color="auto" w:fill="FFFFFF"/>
            <w:vAlign w:val="bottom"/>
          </w:tcPr>
          <w:p w14:paraId="2DAE7076" w14:textId="77777777" w:rsidR="00924992" w:rsidRDefault="00924992">
            <w:pPr>
              <w:pStyle w:val="Other0"/>
              <w:framePr w:w="8405" w:h="6394" w:wrap="none" w:hAnchor="page" w:x="663" w:y="375"/>
              <w:spacing w:line="240" w:lineRule="auto"/>
              <w:ind w:firstLine="0"/>
              <w:rPr>
                <w:sz w:val="16"/>
                <w:szCs w:val="16"/>
              </w:rPr>
            </w:pPr>
            <w:hyperlink r:id="rId414" w:history="1">
              <w:r>
                <w:rPr>
                  <w:rFonts w:ascii="Times New Roman" w:eastAsia="Times New Roman" w:hAnsi="Times New Roman" w:cs="Times New Roman"/>
                  <w:sz w:val="16"/>
                  <w:szCs w:val="16"/>
                </w:rPr>
                <w:t>www.cdc.gov/ncidod/dpd/default.htm</w:t>
              </w:r>
            </w:hyperlink>
          </w:p>
        </w:tc>
      </w:tr>
      <w:tr w:rsidR="00924992" w14:paraId="7A15C99F" w14:textId="77777777">
        <w:tblPrEx>
          <w:tblCellMar>
            <w:top w:w="0" w:type="dxa"/>
            <w:bottom w:w="0" w:type="dxa"/>
          </w:tblCellMar>
        </w:tblPrEx>
        <w:trPr>
          <w:trHeight w:hRule="exact" w:val="197"/>
        </w:trPr>
        <w:tc>
          <w:tcPr>
            <w:tcW w:w="2717" w:type="dxa"/>
            <w:shd w:val="clear" w:color="auto" w:fill="FFFFFF"/>
          </w:tcPr>
          <w:p w14:paraId="3201815A" w14:textId="77777777" w:rsidR="00924992" w:rsidRDefault="00924992">
            <w:pPr>
              <w:pStyle w:val="Other0"/>
              <w:framePr w:w="8405" w:h="6394" w:wrap="none" w:hAnchor="page" w:x="663" w:y="375"/>
              <w:spacing w:line="240" w:lineRule="auto"/>
              <w:ind w:firstLine="280"/>
              <w:rPr>
                <w:sz w:val="16"/>
                <w:szCs w:val="16"/>
              </w:rPr>
            </w:pPr>
            <w:r>
              <w:rPr>
                <w:rFonts w:ascii="Times New Roman" w:eastAsia="Times New Roman" w:hAnsi="Times New Roman" w:cs="Times New Roman"/>
                <w:sz w:val="16"/>
                <w:szCs w:val="16"/>
              </w:rPr>
              <w:t>enfermedades</w:t>
            </w:r>
          </w:p>
        </w:tc>
        <w:tc>
          <w:tcPr>
            <w:tcW w:w="5688" w:type="dxa"/>
            <w:gridSpan w:val="2"/>
            <w:shd w:val="clear" w:color="auto" w:fill="FFFFFF"/>
          </w:tcPr>
          <w:p w14:paraId="7ECC2E36" w14:textId="77777777" w:rsidR="00924992" w:rsidRDefault="00924992">
            <w:pPr>
              <w:framePr w:w="8405" w:h="6394" w:wrap="none" w:hAnchor="page" w:x="663" w:y="375"/>
              <w:rPr>
                <w:sz w:val="10"/>
                <w:szCs w:val="10"/>
              </w:rPr>
            </w:pPr>
          </w:p>
        </w:tc>
      </w:tr>
      <w:tr w:rsidR="00924992" w14:paraId="63947292" w14:textId="77777777">
        <w:tblPrEx>
          <w:tblCellMar>
            <w:top w:w="0" w:type="dxa"/>
            <w:bottom w:w="0" w:type="dxa"/>
          </w:tblCellMar>
        </w:tblPrEx>
        <w:trPr>
          <w:trHeight w:hRule="exact" w:val="226"/>
        </w:trPr>
        <w:tc>
          <w:tcPr>
            <w:tcW w:w="2717" w:type="dxa"/>
            <w:shd w:val="clear" w:color="auto" w:fill="FFFFFF"/>
            <w:vAlign w:val="bottom"/>
          </w:tcPr>
          <w:p w14:paraId="30E4CA48" w14:textId="77777777" w:rsidR="00924992" w:rsidRDefault="00924992">
            <w:pPr>
              <w:pStyle w:val="Other0"/>
              <w:framePr w:w="8405" w:h="6394" w:wrap="none" w:hAnchor="page" w:x="663" w:y="375"/>
              <w:spacing w:line="240" w:lineRule="auto"/>
              <w:ind w:firstLine="0"/>
              <w:rPr>
                <w:sz w:val="16"/>
                <w:szCs w:val="16"/>
              </w:rPr>
            </w:pPr>
            <w:r>
              <w:rPr>
                <w:rFonts w:ascii="Times New Roman" w:eastAsia="Times New Roman" w:hAnsi="Times New Roman" w:cs="Times New Roman"/>
                <w:sz w:val="16"/>
                <w:szCs w:val="16"/>
              </w:rPr>
              <w:t>• División, tuberculosis,</w:t>
            </w:r>
          </w:p>
        </w:tc>
        <w:tc>
          <w:tcPr>
            <w:tcW w:w="2885" w:type="dxa"/>
            <w:shd w:val="clear" w:color="auto" w:fill="FFFFFF"/>
            <w:vAlign w:val="bottom"/>
          </w:tcPr>
          <w:p w14:paraId="5430E6D3" w14:textId="77777777" w:rsidR="00924992" w:rsidRDefault="00924992">
            <w:pPr>
              <w:pStyle w:val="Other0"/>
              <w:framePr w:w="8405" w:h="6394" w:wrap="none" w:hAnchor="page" w:x="663" w:y="375"/>
              <w:spacing w:line="240" w:lineRule="auto"/>
              <w:ind w:firstLine="0"/>
              <w:rPr>
                <w:sz w:val="16"/>
                <w:szCs w:val="16"/>
              </w:rPr>
            </w:pPr>
            <w:r>
              <w:rPr>
                <w:rFonts w:ascii="Times New Roman" w:eastAsia="Times New Roman" w:hAnsi="Times New Roman" w:cs="Times New Roman"/>
                <w:sz w:val="16"/>
                <w:szCs w:val="16"/>
              </w:rPr>
              <w:t>1-404-639-8120</w:t>
            </w:r>
          </w:p>
        </w:tc>
        <w:tc>
          <w:tcPr>
            <w:tcW w:w="2803" w:type="dxa"/>
            <w:shd w:val="clear" w:color="auto" w:fill="FFFFFF"/>
            <w:vAlign w:val="bottom"/>
          </w:tcPr>
          <w:p w14:paraId="73140F1B" w14:textId="77777777" w:rsidR="00924992" w:rsidRDefault="00924992">
            <w:pPr>
              <w:pStyle w:val="Other0"/>
              <w:framePr w:w="8405" w:h="6394" w:wrap="none" w:hAnchor="page" w:x="663" w:y="375"/>
              <w:spacing w:line="240" w:lineRule="auto"/>
              <w:ind w:firstLine="0"/>
              <w:rPr>
                <w:sz w:val="16"/>
                <w:szCs w:val="16"/>
              </w:rPr>
            </w:pPr>
            <w:hyperlink r:id="rId415" w:history="1">
              <w:r>
                <w:rPr>
                  <w:rFonts w:ascii="Times New Roman" w:eastAsia="Times New Roman" w:hAnsi="Times New Roman" w:cs="Times New Roman"/>
                  <w:sz w:val="16"/>
                  <w:szCs w:val="16"/>
                </w:rPr>
                <w:t>www.cdc.gov/nchstp/tb/default.htm</w:t>
              </w:r>
            </w:hyperlink>
          </w:p>
        </w:tc>
      </w:tr>
      <w:tr w:rsidR="00924992" w14:paraId="699176E3" w14:textId="77777777">
        <w:tblPrEx>
          <w:tblCellMar>
            <w:top w:w="0" w:type="dxa"/>
            <w:bottom w:w="0" w:type="dxa"/>
          </w:tblCellMar>
        </w:tblPrEx>
        <w:trPr>
          <w:trHeight w:hRule="exact" w:val="197"/>
        </w:trPr>
        <w:tc>
          <w:tcPr>
            <w:tcW w:w="2717" w:type="dxa"/>
            <w:shd w:val="clear" w:color="auto" w:fill="FFFFFF"/>
          </w:tcPr>
          <w:p w14:paraId="50FC3D4E" w14:textId="77777777" w:rsidR="00924992" w:rsidRDefault="00924992">
            <w:pPr>
              <w:pStyle w:val="Other0"/>
              <w:framePr w:w="8405" w:h="6394" w:wrap="none" w:hAnchor="page" w:x="663" w:y="375"/>
              <w:spacing w:line="240" w:lineRule="auto"/>
              <w:ind w:firstLine="280"/>
              <w:rPr>
                <w:sz w:val="16"/>
                <w:szCs w:val="16"/>
              </w:rPr>
            </w:pPr>
            <w:r>
              <w:rPr>
                <w:rFonts w:ascii="Times New Roman" w:eastAsia="Times New Roman" w:hAnsi="Times New Roman" w:cs="Times New Roman"/>
                <w:sz w:val="16"/>
                <w:szCs w:val="16"/>
              </w:rPr>
              <w:t>erradicación</w:t>
            </w:r>
          </w:p>
        </w:tc>
        <w:tc>
          <w:tcPr>
            <w:tcW w:w="5688" w:type="dxa"/>
            <w:gridSpan w:val="2"/>
            <w:shd w:val="clear" w:color="auto" w:fill="FFFFFF"/>
          </w:tcPr>
          <w:p w14:paraId="77C8B33F" w14:textId="77777777" w:rsidR="00924992" w:rsidRDefault="00924992">
            <w:pPr>
              <w:framePr w:w="8405" w:h="6394" w:wrap="none" w:hAnchor="page" w:x="663" w:y="375"/>
              <w:rPr>
                <w:sz w:val="10"/>
                <w:szCs w:val="10"/>
              </w:rPr>
            </w:pPr>
          </w:p>
        </w:tc>
      </w:tr>
      <w:tr w:rsidR="00924992" w14:paraId="270774C7" w14:textId="77777777">
        <w:tblPrEx>
          <w:tblCellMar>
            <w:top w:w="0" w:type="dxa"/>
            <w:bottom w:w="0" w:type="dxa"/>
          </w:tblCellMar>
        </w:tblPrEx>
        <w:trPr>
          <w:trHeight w:hRule="exact" w:val="221"/>
        </w:trPr>
        <w:tc>
          <w:tcPr>
            <w:tcW w:w="2717" w:type="dxa"/>
            <w:shd w:val="clear" w:color="auto" w:fill="FFFFFF"/>
            <w:vAlign w:val="bottom"/>
          </w:tcPr>
          <w:p w14:paraId="0C8ADE2D" w14:textId="77777777" w:rsidR="00924992" w:rsidRDefault="00924992">
            <w:pPr>
              <w:pStyle w:val="Other0"/>
              <w:framePr w:w="8405" w:h="6394" w:wrap="none" w:hAnchor="page" w:x="663" w:y="375"/>
              <w:spacing w:line="240" w:lineRule="auto"/>
              <w:ind w:firstLine="0"/>
              <w:rPr>
                <w:sz w:val="16"/>
                <w:szCs w:val="16"/>
              </w:rPr>
            </w:pPr>
            <w:r>
              <w:rPr>
                <w:rFonts w:ascii="Times New Roman" w:eastAsia="Times New Roman" w:hAnsi="Times New Roman" w:cs="Times New Roman"/>
                <w:sz w:val="16"/>
                <w:szCs w:val="16"/>
              </w:rPr>
              <w:t>• División, vírica, hepatitis</w:t>
            </w:r>
          </w:p>
        </w:tc>
        <w:tc>
          <w:tcPr>
            <w:tcW w:w="2885" w:type="dxa"/>
            <w:shd w:val="clear" w:color="auto" w:fill="FFFFFF"/>
            <w:vAlign w:val="bottom"/>
          </w:tcPr>
          <w:p w14:paraId="467A138D" w14:textId="77777777" w:rsidR="00924992" w:rsidRDefault="00924992">
            <w:pPr>
              <w:pStyle w:val="Other0"/>
              <w:framePr w:w="8405" w:h="6394" w:wrap="none" w:hAnchor="page" w:x="663" w:y="375"/>
              <w:spacing w:line="240" w:lineRule="auto"/>
              <w:ind w:firstLine="0"/>
              <w:rPr>
                <w:sz w:val="16"/>
                <w:szCs w:val="16"/>
              </w:rPr>
            </w:pPr>
            <w:r>
              <w:rPr>
                <w:rFonts w:ascii="Times New Roman" w:eastAsia="Times New Roman" w:hAnsi="Times New Roman" w:cs="Times New Roman"/>
                <w:sz w:val="16"/>
                <w:szCs w:val="16"/>
              </w:rPr>
              <w:t>1-888-4-HEP-CDC(1-888-443-7232)</w:t>
            </w:r>
          </w:p>
        </w:tc>
        <w:tc>
          <w:tcPr>
            <w:tcW w:w="2803" w:type="dxa"/>
            <w:shd w:val="clear" w:color="auto" w:fill="FFFFFF"/>
            <w:vAlign w:val="bottom"/>
          </w:tcPr>
          <w:p w14:paraId="544CF2B2" w14:textId="77777777" w:rsidR="00924992" w:rsidRDefault="00924992">
            <w:pPr>
              <w:pStyle w:val="Other0"/>
              <w:framePr w:w="8405" w:h="6394" w:wrap="none" w:hAnchor="page" w:x="663" w:y="375"/>
              <w:spacing w:line="240" w:lineRule="auto"/>
              <w:ind w:firstLine="0"/>
              <w:rPr>
                <w:sz w:val="16"/>
                <w:szCs w:val="16"/>
              </w:rPr>
            </w:pPr>
            <w:hyperlink r:id="rId416" w:history="1">
              <w:r>
                <w:rPr>
                  <w:rFonts w:ascii="Times New Roman" w:eastAsia="Times New Roman" w:hAnsi="Times New Roman" w:cs="Times New Roman"/>
                  <w:sz w:val="16"/>
                  <w:szCs w:val="16"/>
                </w:rPr>
                <w:t>www.cdc.gov/ncidod/diseases/hepatitis</w:t>
              </w:r>
            </w:hyperlink>
          </w:p>
        </w:tc>
      </w:tr>
      <w:tr w:rsidR="00924992" w14:paraId="5E1B031F" w14:textId="77777777">
        <w:tblPrEx>
          <w:tblCellMar>
            <w:top w:w="0" w:type="dxa"/>
            <w:bottom w:w="0" w:type="dxa"/>
          </w:tblCellMar>
        </w:tblPrEx>
        <w:trPr>
          <w:trHeight w:hRule="exact" w:val="206"/>
        </w:trPr>
        <w:tc>
          <w:tcPr>
            <w:tcW w:w="2717" w:type="dxa"/>
            <w:shd w:val="clear" w:color="auto" w:fill="FFFFFF"/>
            <w:vAlign w:val="bottom"/>
          </w:tcPr>
          <w:p w14:paraId="6417AF29" w14:textId="77777777" w:rsidR="00924992" w:rsidRDefault="00924992">
            <w:pPr>
              <w:pStyle w:val="Other0"/>
              <w:framePr w:w="8405" w:h="6394" w:wrap="none" w:hAnchor="page" w:x="663" w:y="375"/>
              <w:spacing w:line="240" w:lineRule="auto"/>
              <w:ind w:firstLine="0"/>
              <w:rPr>
                <w:sz w:val="16"/>
                <w:szCs w:val="16"/>
              </w:rPr>
            </w:pPr>
            <w:r>
              <w:rPr>
                <w:rFonts w:ascii="Times New Roman" w:eastAsia="Times New Roman" w:hAnsi="Times New Roman" w:cs="Times New Roman"/>
                <w:sz w:val="16"/>
                <w:szCs w:val="16"/>
              </w:rPr>
              <w:t>• División, víricas y rickettsiosis,</w:t>
            </w:r>
          </w:p>
        </w:tc>
        <w:tc>
          <w:tcPr>
            <w:tcW w:w="2885" w:type="dxa"/>
            <w:shd w:val="clear" w:color="auto" w:fill="FFFFFF"/>
            <w:vAlign w:val="bottom"/>
          </w:tcPr>
          <w:p w14:paraId="7BA7B2EC" w14:textId="77777777" w:rsidR="00924992" w:rsidRDefault="00924992">
            <w:pPr>
              <w:pStyle w:val="Other0"/>
              <w:framePr w:w="8405" w:h="6394" w:wrap="none" w:hAnchor="page" w:x="663" w:y="375"/>
              <w:spacing w:line="240" w:lineRule="auto"/>
              <w:ind w:firstLine="0"/>
              <w:rPr>
                <w:sz w:val="16"/>
                <w:szCs w:val="16"/>
              </w:rPr>
            </w:pPr>
            <w:r>
              <w:rPr>
                <w:rFonts w:ascii="Times New Roman" w:eastAsia="Times New Roman" w:hAnsi="Times New Roman" w:cs="Times New Roman"/>
                <w:sz w:val="16"/>
                <w:szCs w:val="16"/>
              </w:rPr>
              <w:t>1-404-639-3574</w:t>
            </w:r>
          </w:p>
        </w:tc>
        <w:tc>
          <w:tcPr>
            <w:tcW w:w="2803" w:type="dxa"/>
            <w:shd w:val="clear" w:color="auto" w:fill="FFFFFF"/>
            <w:vAlign w:val="bottom"/>
          </w:tcPr>
          <w:p w14:paraId="6B8811AD" w14:textId="77777777" w:rsidR="00924992" w:rsidRDefault="00924992">
            <w:pPr>
              <w:pStyle w:val="Other0"/>
              <w:framePr w:w="8405" w:h="6394" w:wrap="none" w:hAnchor="page" w:x="663" w:y="375"/>
              <w:spacing w:line="240" w:lineRule="auto"/>
              <w:ind w:firstLine="0"/>
              <w:rPr>
                <w:sz w:val="16"/>
                <w:szCs w:val="16"/>
              </w:rPr>
            </w:pPr>
            <w:hyperlink r:id="rId417" w:history="1">
              <w:r>
                <w:rPr>
                  <w:rFonts w:ascii="Times New Roman" w:eastAsia="Times New Roman" w:hAnsi="Times New Roman" w:cs="Times New Roman"/>
                  <w:sz w:val="16"/>
                  <w:szCs w:val="16"/>
                </w:rPr>
                <w:t>www.cdc.gov/ncidod/dvrd/index.htm</w:t>
              </w:r>
            </w:hyperlink>
          </w:p>
        </w:tc>
      </w:tr>
      <w:tr w:rsidR="00924992" w14:paraId="6AD471B2" w14:textId="77777777">
        <w:tblPrEx>
          <w:tblCellMar>
            <w:top w:w="0" w:type="dxa"/>
            <w:bottom w:w="0" w:type="dxa"/>
          </w:tblCellMar>
        </w:tblPrEx>
        <w:trPr>
          <w:trHeight w:hRule="exact" w:val="192"/>
        </w:trPr>
        <w:tc>
          <w:tcPr>
            <w:tcW w:w="2717" w:type="dxa"/>
            <w:shd w:val="clear" w:color="auto" w:fill="FFFFFF"/>
          </w:tcPr>
          <w:p w14:paraId="4D539E0B" w14:textId="77777777" w:rsidR="00924992" w:rsidRDefault="00924992">
            <w:pPr>
              <w:pStyle w:val="Other0"/>
              <w:framePr w:w="8405" w:h="6394" w:wrap="none" w:hAnchor="page" w:x="663" w:y="375"/>
              <w:spacing w:line="240" w:lineRule="auto"/>
              <w:ind w:firstLine="280"/>
              <w:rPr>
                <w:sz w:val="16"/>
                <w:szCs w:val="16"/>
              </w:rPr>
            </w:pPr>
            <w:r>
              <w:rPr>
                <w:rFonts w:ascii="Times New Roman" w:eastAsia="Times New Roman" w:hAnsi="Times New Roman" w:cs="Times New Roman"/>
                <w:sz w:val="16"/>
                <w:szCs w:val="16"/>
              </w:rPr>
              <w:t>enfermedades</w:t>
            </w:r>
          </w:p>
        </w:tc>
        <w:tc>
          <w:tcPr>
            <w:tcW w:w="5688" w:type="dxa"/>
            <w:gridSpan w:val="2"/>
            <w:shd w:val="clear" w:color="auto" w:fill="FFFFFF"/>
          </w:tcPr>
          <w:p w14:paraId="1BE2E769" w14:textId="77777777" w:rsidR="00924992" w:rsidRDefault="00924992">
            <w:pPr>
              <w:framePr w:w="8405" w:h="6394" w:wrap="none" w:hAnchor="page" w:x="663" w:y="375"/>
              <w:rPr>
                <w:sz w:val="10"/>
                <w:szCs w:val="10"/>
              </w:rPr>
            </w:pPr>
          </w:p>
        </w:tc>
      </w:tr>
    </w:tbl>
    <w:p w14:paraId="731AAF99" w14:textId="77777777" w:rsidR="00924992" w:rsidRDefault="00924992">
      <w:pPr>
        <w:framePr w:w="8405" w:h="6394" w:wrap="none" w:hAnchor="page" w:x="663" w:y="375"/>
        <w:spacing w:line="1" w:lineRule="exact"/>
      </w:pPr>
    </w:p>
    <w:p w14:paraId="61CF7D30" w14:textId="77777777" w:rsidR="00924992" w:rsidRDefault="00924992">
      <w:pPr>
        <w:pStyle w:val="Bodytext20"/>
        <w:framePr w:w="701" w:h="250" w:wrap="none" w:hAnchor="page" w:x="10220" w:y="6735"/>
        <w:spacing w:line="240" w:lineRule="auto"/>
      </w:pPr>
      <w:r>
        <w:rPr>
          <w:i/>
          <w:iCs/>
        </w:rPr>
        <w:t>continúa</w:t>
      </w:r>
    </w:p>
    <w:p w14:paraId="700276F9" w14:textId="77777777" w:rsidR="00924992" w:rsidRDefault="00924992">
      <w:pPr>
        <w:pStyle w:val="Other0"/>
        <w:framePr w:w="221" w:h="1066" w:hRule="exact" w:wrap="none" w:hAnchor="page" w:x="12159" w:y="20"/>
        <w:spacing w:line="240" w:lineRule="auto"/>
        <w:ind w:firstLine="0"/>
        <w:textDirection w:val="tbRl"/>
        <w:rPr>
          <w:sz w:val="22"/>
          <w:szCs w:val="22"/>
        </w:rPr>
      </w:pPr>
      <w:r>
        <w:rPr>
          <w:rFonts w:ascii="Book Antiqua" w:eastAsia="Book Antiqua" w:hAnsi="Book Antiqua" w:cs="Book Antiqua"/>
          <w:smallCaps/>
          <w:sz w:val="22"/>
          <w:szCs w:val="22"/>
        </w:rPr>
        <w:t>Apéndices</w:t>
      </w:r>
    </w:p>
    <w:p w14:paraId="299B14D0" w14:textId="77777777" w:rsidR="00924992" w:rsidRDefault="00924992">
      <w:pPr>
        <w:spacing w:line="360" w:lineRule="exact"/>
      </w:pPr>
    </w:p>
    <w:p w14:paraId="3D7A27D6" w14:textId="77777777" w:rsidR="00924992" w:rsidRDefault="00924992">
      <w:pPr>
        <w:spacing w:line="360" w:lineRule="exact"/>
      </w:pPr>
    </w:p>
    <w:p w14:paraId="12570008" w14:textId="77777777" w:rsidR="00924992" w:rsidRDefault="00924992">
      <w:pPr>
        <w:spacing w:line="360" w:lineRule="exact"/>
      </w:pPr>
    </w:p>
    <w:p w14:paraId="2EA8EABB" w14:textId="77777777" w:rsidR="00924992" w:rsidRDefault="00924992">
      <w:pPr>
        <w:spacing w:line="360" w:lineRule="exact"/>
      </w:pPr>
    </w:p>
    <w:p w14:paraId="2141C7C6" w14:textId="77777777" w:rsidR="00924992" w:rsidRDefault="00924992">
      <w:pPr>
        <w:spacing w:line="360" w:lineRule="exact"/>
      </w:pPr>
    </w:p>
    <w:p w14:paraId="7399C77A" w14:textId="77777777" w:rsidR="00924992" w:rsidRDefault="00924992">
      <w:pPr>
        <w:spacing w:line="360" w:lineRule="exact"/>
      </w:pPr>
    </w:p>
    <w:p w14:paraId="6D867746" w14:textId="77777777" w:rsidR="00924992" w:rsidRDefault="00924992">
      <w:pPr>
        <w:spacing w:line="360" w:lineRule="exact"/>
      </w:pPr>
    </w:p>
    <w:p w14:paraId="5A9A9E42" w14:textId="77777777" w:rsidR="00924992" w:rsidRDefault="00924992">
      <w:pPr>
        <w:spacing w:line="360" w:lineRule="exact"/>
      </w:pPr>
    </w:p>
    <w:p w14:paraId="78B61E1E" w14:textId="77777777" w:rsidR="00924992" w:rsidRDefault="00924992">
      <w:pPr>
        <w:spacing w:line="360" w:lineRule="exact"/>
      </w:pPr>
    </w:p>
    <w:p w14:paraId="7DAE646C" w14:textId="77777777" w:rsidR="00924992" w:rsidRDefault="00924992">
      <w:pPr>
        <w:spacing w:line="360" w:lineRule="exact"/>
      </w:pPr>
    </w:p>
    <w:p w14:paraId="264F896F" w14:textId="77777777" w:rsidR="00924992" w:rsidRDefault="00924992">
      <w:pPr>
        <w:spacing w:line="360" w:lineRule="exact"/>
      </w:pPr>
    </w:p>
    <w:p w14:paraId="54582716" w14:textId="77777777" w:rsidR="00924992" w:rsidRDefault="00924992">
      <w:pPr>
        <w:spacing w:line="360" w:lineRule="exact"/>
      </w:pPr>
    </w:p>
    <w:p w14:paraId="54E066EF" w14:textId="77777777" w:rsidR="00924992" w:rsidRDefault="00924992">
      <w:pPr>
        <w:spacing w:line="360" w:lineRule="exact"/>
      </w:pPr>
    </w:p>
    <w:p w14:paraId="3FD9C6E6" w14:textId="77777777" w:rsidR="00924992" w:rsidRDefault="00924992">
      <w:pPr>
        <w:spacing w:line="360" w:lineRule="exact"/>
      </w:pPr>
    </w:p>
    <w:p w14:paraId="20B04ADC" w14:textId="77777777" w:rsidR="00924992" w:rsidRDefault="00924992">
      <w:pPr>
        <w:spacing w:line="360" w:lineRule="exact"/>
      </w:pPr>
    </w:p>
    <w:p w14:paraId="2634A394" w14:textId="77777777" w:rsidR="00924992" w:rsidRDefault="00924992">
      <w:pPr>
        <w:spacing w:line="360" w:lineRule="exact"/>
      </w:pPr>
    </w:p>
    <w:p w14:paraId="4C742D72" w14:textId="77777777" w:rsidR="00924992" w:rsidRDefault="00924992">
      <w:pPr>
        <w:spacing w:line="360" w:lineRule="exact"/>
      </w:pPr>
    </w:p>
    <w:p w14:paraId="20004F99" w14:textId="77777777" w:rsidR="00924992" w:rsidRDefault="00924992">
      <w:pPr>
        <w:spacing w:line="360" w:lineRule="exact"/>
      </w:pPr>
    </w:p>
    <w:p w14:paraId="46FA6A9C" w14:textId="77777777" w:rsidR="00924992" w:rsidRDefault="00924992">
      <w:pPr>
        <w:spacing w:after="503" w:line="1" w:lineRule="exact"/>
      </w:pPr>
    </w:p>
    <w:p w14:paraId="0FD8CE32" w14:textId="77777777" w:rsidR="00924992" w:rsidRDefault="00924992">
      <w:pPr>
        <w:spacing w:line="1" w:lineRule="exact"/>
        <w:sectPr w:rsidR="00924992" w:rsidSect="00924992">
          <w:headerReference w:type="even" r:id="rId418"/>
          <w:headerReference w:type="default" r:id="rId419"/>
          <w:footerReference w:type="even" r:id="rId420"/>
          <w:footerReference w:type="default" r:id="rId421"/>
          <w:footnotePr>
            <w:numFmt w:val="chicago"/>
          </w:footnotePr>
          <w:pgSz w:w="13022" w:h="8501" w:orient="landscape"/>
          <w:pgMar w:top="1104" w:right="643" w:bottom="213" w:left="653" w:header="676" w:footer="3" w:gutter="0"/>
          <w:pgNumType w:start="1011"/>
          <w:cols w:space="720"/>
          <w:noEndnote/>
          <w:docGrid w:linePitch="360"/>
          <w15:footnoteColumns w:val="1"/>
        </w:sectPr>
      </w:pPr>
    </w:p>
    <w:p w14:paraId="0B6B20BF" w14:textId="77777777" w:rsidR="00924992" w:rsidRDefault="00924992">
      <w:pPr>
        <w:spacing w:line="1" w:lineRule="exact"/>
      </w:pPr>
      <w:r>
        <w:rPr>
          <w:noProof/>
        </w:rPr>
        <mc:AlternateContent>
          <mc:Choice Requires="wps">
            <w:drawing>
              <wp:anchor distT="0" distB="0" distL="114300" distR="114300" simplePos="0" relativeHeight="251748352" behindDoc="0" locked="0" layoutInCell="1" allowOverlap="1" wp14:anchorId="0049E825" wp14:editId="2E5B90BC">
                <wp:simplePos x="0" y="0"/>
                <wp:positionH relativeFrom="page">
                  <wp:posOffset>3051175</wp:posOffset>
                </wp:positionH>
                <wp:positionV relativeFrom="paragraph">
                  <wp:posOffset>12700</wp:posOffset>
                </wp:positionV>
                <wp:extent cx="1962785" cy="204470"/>
                <wp:effectExtent l="0" t="0" r="0" b="0"/>
                <wp:wrapTopAndBottom/>
                <wp:docPr id="2539" name="Shape 2539"/>
                <wp:cNvGraphicFramePr/>
                <a:graphic xmlns:a="http://schemas.openxmlformats.org/drawingml/2006/main">
                  <a:graphicData uri="http://schemas.microsoft.com/office/word/2010/wordprocessingShape">
                    <wps:wsp>
                      <wps:cNvSpPr txBox="1"/>
                      <wps:spPr>
                        <a:xfrm>
                          <a:off x="0" y="0"/>
                          <a:ext cx="1962785" cy="204470"/>
                        </a:xfrm>
                        <a:prstGeom prst="rect">
                          <a:avLst/>
                        </a:prstGeom>
                        <a:noFill/>
                      </wps:spPr>
                      <wps:txbx>
                        <w:txbxContent>
                          <w:p w14:paraId="1565D62A" w14:textId="77777777" w:rsidR="00924992" w:rsidRDefault="00924992">
                            <w:pPr>
                              <w:pStyle w:val="Heading31"/>
                              <w:keepNext/>
                              <w:keepLines/>
                              <w:rPr>
                                <w:sz w:val="16"/>
                                <w:szCs w:val="16"/>
                              </w:rPr>
                            </w:pPr>
                            <w:bookmarkStart w:id="789" w:name="bookmark2186"/>
                            <w:bookmarkStart w:id="790" w:name="bookmark2187"/>
                            <w:bookmarkStart w:id="791" w:name="bookmark2188"/>
                            <w:r>
                              <w:t>Directorio de recursos</w:t>
                            </w:r>
                            <w:r>
                              <w:rPr>
                                <w:vertAlign w:val="superscript"/>
                              </w:rPr>
                              <w:t>1</w:t>
                            </w:r>
                            <w:r>
                              <w:t xml:space="preserve"> </w:t>
                            </w:r>
                            <w:r>
                              <w:rPr>
                                <w:rFonts w:ascii="Times New Roman" w:eastAsia="Times New Roman" w:hAnsi="Times New Roman" w:cs="Times New Roman"/>
                                <w:b w:val="0"/>
                                <w:bCs w:val="0"/>
                                <w:i/>
                                <w:iCs/>
                                <w:w w:val="100"/>
                                <w:sz w:val="16"/>
                                <w:szCs w:val="16"/>
                              </w:rPr>
                              <w:t>continuación</w:t>
                            </w:r>
                            <w:bookmarkEnd w:id="789"/>
                            <w:bookmarkEnd w:id="790"/>
                            <w:bookmarkEnd w:id="791"/>
                          </w:p>
                        </w:txbxContent>
                      </wps:txbx>
                      <wps:bodyPr wrap="none" lIns="0" tIns="0" rIns="0" bIns="0"/>
                    </wps:wsp>
                  </a:graphicData>
                </a:graphic>
              </wp:anchor>
            </w:drawing>
          </mc:Choice>
          <mc:Fallback>
            <w:pict>
              <v:shape w14:anchorId="0049E825" id="Shape 2539" o:spid="_x0000_s1130" type="#_x0000_t202" style="position:absolute;margin-left:240.25pt;margin-top:1pt;width:154.55pt;height:16.1pt;z-index:251748352;visibility:visible;mso-wrap-style:none;mso-wrap-distance-left:9pt;mso-wrap-distance-top:0;mso-wrap-distance-right:9pt;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" filled="f" stroked="f">
                <v:textbox inset="0,0,0,0">
                  <w:txbxContent>
                    <w:p w14:paraId="1565D62A" w14:textId="77777777" w:rsidR="00924992" w:rsidRDefault="00924992">
                      <w:pPr>
                        <w:pStyle w:val="Heading31"/>
                        <w:keepNext/>
                        <w:keepLines/>
                        <w:rPr>
                          <w:sz w:val="16"/>
                          <w:szCs w:val="16"/>
                        </w:rPr>
                      </w:pPr>
                      <w:bookmarkStart w:id="792" w:name="bookmark2186"/>
                      <w:bookmarkStart w:id="793" w:name="bookmark2187"/>
                      <w:bookmarkStart w:id="794" w:name="bookmark2188"/>
                      <w:r>
                        <w:t>Directorio de recursos</w:t>
                      </w:r>
                      <w:r>
                        <w:rPr>
                          <w:vertAlign w:val="superscript"/>
                        </w:rPr>
                        <w:t>1</w:t>
                      </w:r>
                      <w:r>
                        <w:t xml:space="preserve"> </w:t>
                      </w:r>
                      <w:r>
                        <w:rPr>
                          <w:rFonts w:ascii="Times New Roman" w:eastAsia="Times New Roman" w:hAnsi="Times New Roman" w:cs="Times New Roman"/>
                          <w:b w:val="0"/>
                          <w:bCs w:val="0"/>
                          <w:i/>
                          <w:iCs/>
                          <w:w w:val="100"/>
                          <w:sz w:val="16"/>
                          <w:szCs w:val="16"/>
                        </w:rPr>
                        <w:t>continuación</w:t>
                      </w:r>
                      <w:bookmarkEnd w:id="792"/>
                      <w:bookmarkEnd w:id="793"/>
                      <w:bookmarkEnd w:id="794"/>
                    </w:p>
                  </w:txbxContent>
                </v:textbox>
                <w10:wrap type="topAndBottom" anchorx="page"/>
              </v:shape>
            </w:pict>
          </mc:Fallback>
        </mc:AlternateContent>
      </w:r>
      <w:r>
        <w:rPr>
          <w:noProof/>
        </w:rPr>
        <mc:AlternateContent>
          <mc:Choice Requires="wps">
            <w:drawing>
              <wp:anchor distT="0" distB="0" distL="114300" distR="114300" simplePos="0" relativeHeight="251749376" behindDoc="0" locked="0" layoutInCell="1" allowOverlap="1" wp14:anchorId="09CC461B" wp14:editId="7CAA3872">
                <wp:simplePos x="0" y="0"/>
                <wp:positionH relativeFrom="page">
                  <wp:posOffset>7867015</wp:posOffset>
                </wp:positionH>
                <wp:positionV relativeFrom="paragraph">
                  <wp:posOffset>27305</wp:posOffset>
                </wp:positionV>
                <wp:extent cx="106680" cy="2856230"/>
                <wp:effectExtent l="0" t="0" r="0" b="0"/>
                <wp:wrapSquare wrapText="bothSides"/>
                <wp:docPr id="2541" name="Shape 2541"/>
                <wp:cNvGraphicFramePr/>
                <a:graphic xmlns:a="http://schemas.openxmlformats.org/drawingml/2006/main">
                  <a:graphicData uri="http://schemas.microsoft.com/office/word/2010/wordprocessingShape">
                    <wps:wsp>
                      <wps:cNvSpPr txBox="1"/>
                      <wps:spPr>
                        <a:xfrm>
                          <a:off x="0" y="0"/>
                          <a:ext cx="106680" cy="2856230"/>
                        </a:xfrm>
                        <a:prstGeom prst="rect">
                          <a:avLst/>
                        </a:prstGeom>
                        <a:noFill/>
                      </wps:spPr>
                      <wps:txbx>
                        <w:txbxContent>
                          <w:p w14:paraId="6ADE3123" w14:textId="77777777" w:rsidR="00924992" w:rsidRDefault="00924992">
                            <w:pPr>
                              <w:pStyle w:val="Bodytext80"/>
                              <w:tabs>
                                <w:tab w:val="left" w:pos="2381"/>
                              </w:tabs>
                            </w:pPr>
                            <w:r>
                              <w:rPr>
                                <w:sz w:val="16"/>
                                <w:szCs w:val="16"/>
                              </w:rPr>
                              <w:t>826</w:t>
                            </w:r>
                            <w:r>
                              <w:rPr>
                                <w:sz w:val="16"/>
                                <w:szCs w:val="16"/>
                              </w:rPr>
                              <w:tab/>
                            </w:r>
                            <w:r>
                              <w:t>PROFILAXIA ANTIMICROBIANA</w:t>
                            </w:r>
                          </w:p>
                        </w:txbxContent>
                      </wps:txbx>
                      <wps:bodyPr vert="vert" lIns="0" tIns="0" rIns="0" bIns="0" upright="1"/>
                    </wps:wsp>
                  </a:graphicData>
                </a:graphic>
              </wp:anchor>
            </w:drawing>
          </mc:Choice>
          <mc:Fallback>
            <w:pict>
              <v:shape w14:anchorId="09CC461B" id="Shape 2541" o:spid="_x0000_s1131" type="#_x0000_t202" style="position:absolute;margin-left:619.45pt;margin-top:2.15pt;width:8.4pt;height:224.9pt;z-index:251749376;visibility:visible;mso-wrap-style:square;mso-wrap-distance-left:9pt;mso-wrap-distance-top:0;mso-wrap-distance-right:9pt;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" filled="f" stroked="f">
                <v:textbox style="layout-flow:vertical" inset="0,0,0,0">
                  <w:txbxContent>
                    <w:p w14:paraId="6ADE3123" w14:textId="77777777" w:rsidR="00924992" w:rsidRDefault="00924992">
                      <w:pPr>
                        <w:pStyle w:val="Bodytext80"/>
                        <w:tabs>
                          <w:tab w:val="left" w:pos="2381"/>
                        </w:tabs>
                      </w:pPr>
                      <w:r>
                        <w:rPr>
                          <w:sz w:val="16"/>
                          <w:szCs w:val="16"/>
                        </w:rPr>
                        <w:t>826</w:t>
                      </w:r>
                      <w:r>
                        <w:rPr>
                          <w:sz w:val="16"/>
                          <w:szCs w:val="16"/>
                        </w:rPr>
                        <w:tab/>
                      </w:r>
                      <w:r>
                        <w:t>PROFILAXIA ANTIMICROBIANA</w:t>
                      </w:r>
                    </w:p>
                  </w:txbxContent>
                </v:textbox>
                <w10:wrap type="square" anchorx="page"/>
              </v:shape>
            </w:pict>
          </mc:Fallback>
        </mc:AlternateContent>
      </w:r>
    </w:p>
    <w:p w14:paraId="27D3E4ED" w14:textId="77777777" w:rsidR="00924992" w:rsidRDefault="00924992">
      <w:pPr>
        <w:pStyle w:val="Heading41"/>
        <w:keepNext/>
        <w:keepLines/>
        <w:pBdr>
          <w:top w:val="single" w:sz="0" w:space="0" w:color="231F20"/>
          <w:left w:val="single" w:sz="0" w:space="0" w:color="231F20"/>
          <w:bottom w:val="single" w:sz="0" w:space="0" w:color="231F20"/>
          <w:right w:val="single" w:sz="0" w:space="0" w:color="231F20"/>
        </w:pBdr>
        <w:shd w:val="clear" w:color="auto" w:fill="231F20"/>
        <w:spacing w:after="80"/>
      </w:pPr>
      <w:bookmarkStart w:id="795" w:name="bookmark2189"/>
      <w:bookmarkStart w:id="796" w:name="bookmark2190"/>
      <w:bookmarkStart w:id="797" w:name="bookmark2191"/>
      <w:r>
        <w:rPr>
          <w:color w:val="FFFFFF"/>
        </w:rPr>
        <w:t>Organización</w:t>
      </w:r>
      <w:bookmarkEnd w:id="795"/>
      <w:bookmarkEnd w:id="796"/>
      <w:bookmarkEnd w:id="797"/>
    </w:p>
    <w:p w14:paraId="07023204" w14:textId="77777777" w:rsidR="00924992" w:rsidRDefault="00924992">
      <w:pPr>
        <w:pStyle w:val="Bodytext20"/>
        <w:numPr>
          <w:ilvl w:val="0"/>
          <w:numId w:val="152"/>
        </w:numPr>
        <w:tabs>
          <w:tab w:val="left" w:pos="248"/>
        </w:tabs>
        <w:spacing w:line="240" w:lineRule="auto"/>
      </w:pPr>
      <w:bookmarkStart w:id="798" w:name="bookmark2192"/>
      <w:bookmarkEnd w:id="798"/>
      <w:r>
        <w:t>Exantematosas, grupo de valoración</w:t>
      </w:r>
    </w:p>
    <w:p w14:paraId="7A4575BA" w14:textId="77777777" w:rsidR="00924992" w:rsidRDefault="00924992">
      <w:pPr>
        <w:pStyle w:val="Bodytext20"/>
        <w:spacing w:line="240" w:lineRule="auto"/>
        <w:ind w:firstLine="280"/>
      </w:pPr>
      <w:r>
        <w:t>de enfermedades</w:t>
      </w:r>
    </w:p>
    <w:p w14:paraId="55C25C33" w14:textId="77777777" w:rsidR="00924992" w:rsidRDefault="00924992">
      <w:pPr>
        <w:pStyle w:val="Bodytext20"/>
        <w:numPr>
          <w:ilvl w:val="0"/>
          <w:numId w:val="152"/>
        </w:numPr>
        <w:tabs>
          <w:tab w:val="left" w:pos="248"/>
        </w:tabs>
        <w:spacing w:line="240" w:lineRule="auto"/>
      </w:pPr>
      <w:bookmarkStart w:id="799" w:name="bookmark2193"/>
      <w:bookmarkEnd w:id="799"/>
      <w:r>
        <w:t>Farmacia, servicio (fines de semana,</w:t>
      </w:r>
    </w:p>
    <w:p w14:paraId="1C5805A5" w14:textId="77777777" w:rsidR="00924992" w:rsidRDefault="00924992">
      <w:pPr>
        <w:pStyle w:val="Bodytext20"/>
        <w:spacing w:line="240" w:lineRule="auto"/>
        <w:ind w:firstLine="280"/>
      </w:pPr>
      <w:r>
        <w:t>de 8:00 a 16:30 horas ET)</w:t>
      </w:r>
    </w:p>
    <w:p w14:paraId="77DD3ABE" w14:textId="77777777" w:rsidR="00924992" w:rsidRDefault="00924992">
      <w:pPr>
        <w:pStyle w:val="Bodytext20"/>
        <w:numPr>
          <w:ilvl w:val="0"/>
          <w:numId w:val="152"/>
        </w:numPr>
        <w:tabs>
          <w:tab w:val="left" w:pos="248"/>
        </w:tabs>
        <w:spacing w:line="240" w:lineRule="auto"/>
      </w:pPr>
      <w:bookmarkStart w:id="800" w:name="bookmark2194"/>
      <w:bookmarkEnd w:id="800"/>
      <w:r>
        <w:t>Farmacia, servicio (fines de semana, noches</w:t>
      </w:r>
    </w:p>
    <w:p w14:paraId="7D2386E0" w14:textId="77777777" w:rsidR="00924992" w:rsidRDefault="00924992">
      <w:pPr>
        <w:pStyle w:val="Bodytext20"/>
        <w:spacing w:line="240" w:lineRule="auto"/>
        <w:ind w:firstLine="280"/>
      </w:pPr>
      <w:r>
        <w:t>y días festivos)</w:t>
      </w:r>
    </w:p>
    <w:p w14:paraId="56FA4951" w14:textId="77777777" w:rsidR="00924992" w:rsidRDefault="00924992">
      <w:pPr>
        <w:pStyle w:val="Bodytext20"/>
        <w:numPr>
          <w:ilvl w:val="0"/>
          <w:numId w:val="152"/>
        </w:numPr>
        <w:tabs>
          <w:tab w:val="left" w:pos="248"/>
        </w:tabs>
        <w:spacing w:line="240" w:lineRule="auto"/>
      </w:pPr>
      <w:bookmarkStart w:id="801" w:name="bookmark2195"/>
      <w:bookmarkEnd w:id="801"/>
      <w:r>
        <w:t>National Center for Infectious Diseases</w:t>
      </w:r>
    </w:p>
    <w:p w14:paraId="5ADB91B3" w14:textId="77777777" w:rsidR="00924992" w:rsidRDefault="00924992">
      <w:pPr>
        <w:pStyle w:val="Bodytext20"/>
        <w:numPr>
          <w:ilvl w:val="0"/>
          <w:numId w:val="152"/>
        </w:numPr>
        <w:tabs>
          <w:tab w:val="left" w:pos="248"/>
        </w:tabs>
        <w:spacing w:line="240" w:lineRule="auto"/>
      </w:pPr>
      <w:bookmarkStart w:id="802" w:name="bookmark2196"/>
      <w:bookmarkEnd w:id="802"/>
      <w:r>
        <w:t>National HIV and AIDS Hotline</w:t>
      </w:r>
    </w:p>
    <w:p w14:paraId="347161BC" w14:textId="77777777" w:rsidR="00924992" w:rsidRDefault="00924992">
      <w:pPr>
        <w:pStyle w:val="Bodytext20"/>
        <w:numPr>
          <w:ilvl w:val="0"/>
          <w:numId w:val="152"/>
        </w:numPr>
        <w:tabs>
          <w:tab w:val="left" w:pos="248"/>
        </w:tabs>
        <w:spacing w:after="660" w:line="240" w:lineRule="auto"/>
      </w:pPr>
      <w:bookmarkStart w:id="803" w:name="bookmark2197"/>
      <w:bookmarkEnd w:id="803"/>
      <w:r>
        <w:t>National Immunization Program</w:t>
      </w:r>
    </w:p>
    <w:p w14:paraId="7CBF3DBD" w14:textId="77777777" w:rsidR="00924992" w:rsidRDefault="00924992">
      <w:pPr>
        <w:pStyle w:val="Bodytext20"/>
        <w:numPr>
          <w:ilvl w:val="0"/>
          <w:numId w:val="152"/>
        </w:numPr>
        <w:tabs>
          <w:tab w:val="left" w:pos="248"/>
        </w:tabs>
      </w:pPr>
      <w:bookmarkStart w:id="804" w:name="bookmark2198"/>
      <w:bookmarkEnd w:id="804"/>
      <w:r>
        <w:t>National Prevention Information</w:t>
      </w:r>
    </w:p>
    <w:p w14:paraId="4FB070B3" w14:textId="77777777" w:rsidR="00924992" w:rsidRDefault="00924992">
      <w:pPr>
        <w:pStyle w:val="Bodytext20"/>
        <w:ind w:firstLine="280"/>
      </w:pPr>
      <w:r>
        <w:t>Network</w:t>
      </w:r>
    </w:p>
    <w:p w14:paraId="3EE05260" w14:textId="77777777" w:rsidR="00924992" w:rsidRDefault="00924992">
      <w:pPr>
        <w:pStyle w:val="Bodytext20"/>
        <w:numPr>
          <w:ilvl w:val="0"/>
          <w:numId w:val="152"/>
        </w:numPr>
        <w:tabs>
          <w:tab w:val="left" w:pos="248"/>
        </w:tabs>
      </w:pPr>
      <w:bookmarkStart w:id="805" w:name="bookmark2199"/>
      <w:bookmarkEnd w:id="805"/>
      <w:r>
        <w:t>National Vaccine Injury Compensation</w:t>
      </w:r>
    </w:p>
    <w:p w14:paraId="3EC5146D" w14:textId="77777777" w:rsidR="00924992" w:rsidRDefault="00924992">
      <w:pPr>
        <w:pStyle w:val="Bodytext20"/>
        <w:ind w:left="280"/>
      </w:pPr>
      <w:r>
        <w:t>Program (para información sobre la elaboración de demandas legales)</w:t>
      </w:r>
    </w:p>
    <w:p w14:paraId="29AD747D" w14:textId="77777777" w:rsidR="00924992" w:rsidRDefault="00924992">
      <w:pPr>
        <w:pStyle w:val="Bodytext20"/>
        <w:numPr>
          <w:ilvl w:val="0"/>
          <w:numId w:val="152"/>
        </w:numPr>
        <w:tabs>
          <w:tab w:val="left" w:pos="248"/>
        </w:tabs>
      </w:pPr>
      <w:bookmarkStart w:id="806" w:name="bookmark2200"/>
      <w:bookmarkEnd w:id="806"/>
      <w:r>
        <w:t>Paludismo, línea directa sobre</w:t>
      </w:r>
    </w:p>
    <w:p w14:paraId="7E5A9F8C" w14:textId="77777777" w:rsidR="00924992" w:rsidRDefault="00924992">
      <w:pPr>
        <w:pStyle w:val="Bodytext20"/>
        <w:numPr>
          <w:ilvl w:val="0"/>
          <w:numId w:val="152"/>
        </w:numPr>
        <w:tabs>
          <w:tab w:val="left" w:pos="248"/>
        </w:tabs>
        <w:spacing w:after="200"/>
      </w:pPr>
      <w:bookmarkStart w:id="807" w:name="bookmark2201"/>
      <w:bookmarkEnd w:id="807"/>
      <w:r>
        <w:t>Publicaciones</w:t>
      </w:r>
    </w:p>
    <w:p w14:paraId="75A7AA47" w14:textId="77777777" w:rsidR="00924992" w:rsidRDefault="00924992">
      <w:pPr>
        <w:pStyle w:val="Bodytext20"/>
        <w:numPr>
          <w:ilvl w:val="0"/>
          <w:numId w:val="152"/>
        </w:numPr>
        <w:tabs>
          <w:tab w:val="left" w:pos="248"/>
        </w:tabs>
      </w:pPr>
      <w:bookmarkStart w:id="808" w:name="bookmark2202"/>
      <w:bookmarkEnd w:id="808"/>
      <w:r>
        <w:t>Públicas, encuestas o solicitudes</w:t>
      </w:r>
    </w:p>
    <w:p w14:paraId="3C3C5FB4" w14:textId="77777777" w:rsidR="00924992" w:rsidRDefault="00924992">
      <w:pPr>
        <w:pStyle w:val="Bodytext20"/>
        <w:numPr>
          <w:ilvl w:val="0"/>
          <w:numId w:val="152"/>
        </w:numPr>
        <w:tabs>
          <w:tab w:val="left" w:pos="248"/>
        </w:tabs>
      </w:pPr>
      <w:bookmarkStart w:id="809" w:name="bookmark2203"/>
      <w:bookmarkEnd w:id="809"/>
      <w:r>
        <w:t>Software (programas de computación)</w:t>
      </w:r>
    </w:p>
    <w:p w14:paraId="7330443E" w14:textId="77777777" w:rsidR="00924992" w:rsidRDefault="00924992">
      <w:pPr>
        <w:pStyle w:val="Bodytext20"/>
        <w:numPr>
          <w:ilvl w:val="0"/>
          <w:numId w:val="152"/>
        </w:numPr>
        <w:tabs>
          <w:tab w:val="left" w:pos="248"/>
        </w:tabs>
      </w:pPr>
      <w:bookmarkStart w:id="810" w:name="bookmark2204"/>
      <w:bookmarkEnd w:id="810"/>
      <w:r>
        <w:t>Vacunación, enfermedades infecciosas</w:t>
      </w:r>
    </w:p>
    <w:p w14:paraId="1DB70625" w14:textId="77777777" w:rsidR="00924992" w:rsidRDefault="00924992">
      <w:pPr>
        <w:pStyle w:val="Bodytext20"/>
        <w:ind w:left="280"/>
      </w:pPr>
      <w:r>
        <w:t>y otra información sanitaria-sistema de información por voz</w:t>
      </w:r>
    </w:p>
    <w:p w14:paraId="11738A98" w14:textId="77777777" w:rsidR="00924992" w:rsidRDefault="00924992">
      <w:pPr>
        <w:pStyle w:val="Bodytext20"/>
        <w:numPr>
          <w:ilvl w:val="0"/>
          <w:numId w:val="152"/>
        </w:numPr>
        <w:tabs>
          <w:tab w:val="left" w:pos="248"/>
        </w:tabs>
      </w:pPr>
      <w:bookmarkStart w:id="811" w:name="bookmark2205"/>
      <w:bookmarkEnd w:id="811"/>
      <w:r>
        <w:t>Vectores, enfermedades infecciosas</w:t>
      </w:r>
    </w:p>
    <w:p w14:paraId="189891D5" w14:textId="77777777" w:rsidR="00924992" w:rsidRDefault="00924992">
      <w:pPr>
        <w:pStyle w:val="Bodytext20"/>
        <w:ind w:firstLine="280"/>
      </w:pPr>
      <w:r>
        <w:t>transmitidas</w:t>
      </w:r>
    </w:p>
    <w:p w14:paraId="301F5D17" w14:textId="77777777" w:rsidR="00924992" w:rsidRDefault="00924992">
      <w:pPr>
        <w:pStyle w:val="Bodytext20"/>
        <w:numPr>
          <w:ilvl w:val="0"/>
          <w:numId w:val="152"/>
        </w:numPr>
        <w:tabs>
          <w:tab w:val="left" w:pos="248"/>
        </w:tabs>
      </w:pPr>
      <w:bookmarkStart w:id="812" w:name="bookmark2206"/>
      <w:bookmarkEnd w:id="812"/>
      <w:r>
        <w:t>Viajeros, línea directa y fax para</w:t>
      </w:r>
    </w:p>
    <w:p w14:paraId="3E43047C" w14:textId="77777777" w:rsidR="00924992" w:rsidRDefault="00924992">
      <w:pPr>
        <w:spacing w:line="1" w:lineRule="exact"/>
        <w:rPr>
          <w:sz w:val="2"/>
          <w:szCs w:val="2"/>
        </w:rPr>
      </w:pPr>
      <w:r>
        <w:br w:type="column"/>
      </w:r>
    </w:p>
    <w:p w14:paraId="2C0FEDAD" w14:textId="77777777" w:rsidR="00924992" w:rsidRDefault="00924992">
      <w:pPr>
        <w:pStyle w:val="Heading41"/>
        <w:keepNext/>
        <w:keepLines/>
        <w:pBdr>
          <w:top w:val="single" w:sz="0" w:space="0" w:color="231F20"/>
          <w:left w:val="single" w:sz="0" w:space="0" w:color="231F20"/>
          <w:bottom w:val="single" w:sz="0" w:space="0" w:color="231F20"/>
          <w:right w:val="single" w:sz="0" w:space="0" w:color="231F20"/>
        </w:pBdr>
        <w:shd w:val="clear" w:color="auto" w:fill="231F20"/>
        <w:spacing w:after="80"/>
      </w:pPr>
      <w:bookmarkStart w:id="813" w:name="bookmark2207"/>
      <w:bookmarkStart w:id="814" w:name="bookmark2208"/>
      <w:bookmarkStart w:id="815" w:name="bookmark2209"/>
      <w:r>
        <w:rPr>
          <w:color w:val="FFFFFF"/>
        </w:rPr>
        <w:t>Números de teléfono/fax</w:t>
      </w:r>
      <w:bookmarkEnd w:id="813"/>
      <w:bookmarkEnd w:id="814"/>
      <w:bookmarkEnd w:id="815"/>
    </w:p>
    <w:p w14:paraId="7A1DDD83" w14:textId="77777777" w:rsidR="00924992" w:rsidRDefault="00924992">
      <w:pPr>
        <w:pStyle w:val="Bodytext20"/>
        <w:spacing w:after="240" w:line="240" w:lineRule="auto"/>
      </w:pPr>
      <w:r>
        <w:t>1-770-488-7100</w:t>
      </w:r>
    </w:p>
    <w:p w14:paraId="66C7D85C" w14:textId="77777777" w:rsidR="00924992" w:rsidRDefault="00924992">
      <w:pPr>
        <w:pStyle w:val="Bodytext20"/>
        <w:spacing w:after="240" w:line="240" w:lineRule="auto"/>
      </w:pPr>
      <w:r>
        <w:t>1-404-639-3670</w:t>
      </w:r>
    </w:p>
    <w:p w14:paraId="1BC41F4F" w14:textId="77777777" w:rsidR="00924992" w:rsidRDefault="00924992">
      <w:pPr>
        <w:pStyle w:val="Bodytext20"/>
        <w:spacing w:line="240" w:lineRule="auto"/>
      </w:pPr>
      <w:r>
        <w:t>1-404-639-2888 1-404-639-3401</w:t>
      </w:r>
    </w:p>
    <w:p w14:paraId="4DF1E407" w14:textId="77777777" w:rsidR="00924992" w:rsidRDefault="00924992">
      <w:pPr>
        <w:pStyle w:val="Bodytext20"/>
        <w:spacing w:line="276" w:lineRule="auto"/>
      </w:pPr>
      <w:r>
        <w:t>1-800-342-AIDS (1-800-342-2437) 1-404-639-8200</w:t>
      </w:r>
    </w:p>
    <w:p w14:paraId="53C5C193" w14:textId="77777777" w:rsidR="00924992" w:rsidRDefault="00924992">
      <w:pPr>
        <w:pStyle w:val="Bodytext20"/>
        <w:spacing w:line="276" w:lineRule="auto"/>
      </w:pPr>
      <w:r>
        <w:t>Línea directa en inglés: 1-800-232-2522</w:t>
      </w:r>
    </w:p>
    <w:p w14:paraId="64A006DB" w14:textId="77777777" w:rsidR="00924992" w:rsidRDefault="00924992">
      <w:pPr>
        <w:pStyle w:val="Bodytext20"/>
        <w:spacing w:after="460" w:line="276" w:lineRule="auto"/>
      </w:pPr>
      <w:r>
        <w:t>Línea directa en español: 1-800-232-0233 1-888-CDC-FAXX (Fax) (1-888-232-3299) 1-800-458-5231 1-800-338-2382</w:t>
      </w:r>
    </w:p>
    <w:p w14:paraId="6A33F352" w14:textId="77777777" w:rsidR="00924992" w:rsidRDefault="00924992">
      <w:pPr>
        <w:pStyle w:val="Bodytext20"/>
        <w:spacing w:line="240" w:lineRule="auto"/>
      </w:pPr>
      <w:r>
        <w:t>1-770-488-7788</w:t>
      </w:r>
    </w:p>
    <w:p w14:paraId="660A82FA" w14:textId="77777777" w:rsidR="00924992" w:rsidRDefault="00924992">
      <w:pPr>
        <w:pStyle w:val="Bodytext20"/>
        <w:spacing w:line="240" w:lineRule="auto"/>
      </w:pPr>
      <w:r>
        <w:t>1-800-232-2522</w:t>
      </w:r>
    </w:p>
    <w:p w14:paraId="3C4FAA21" w14:textId="77777777" w:rsidR="00924992" w:rsidRDefault="00924992">
      <w:pPr>
        <w:pStyle w:val="Bodytext20"/>
        <w:spacing w:line="240" w:lineRule="auto"/>
      </w:pPr>
      <w:r>
        <w:t>1-404-639-8828 (Fax)</w:t>
      </w:r>
    </w:p>
    <w:p w14:paraId="573E90C0" w14:textId="77777777" w:rsidR="00924992" w:rsidRDefault="00924992">
      <w:pPr>
        <w:pStyle w:val="Bodytext20"/>
        <w:spacing w:after="240" w:line="240" w:lineRule="auto"/>
      </w:pPr>
      <w:r>
        <w:t>1-404-639-3534</w:t>
      </w:r>
    </w:p>
    <w:p w14:paraId="1643EAA6" w14:textId="77777777" w:rsidR="00924992" w:rsidRDefault="00924992">
      <w:pPr>
        <w:pStyle w:val="Bodytext20"/>
        <w:spacing w:after="460" w:line="240" w:lineRule="auto"/>
      </w:pPr>
      <w:r>
        <w:t>1-800-232-SHOT (1-800-232-7468)</w:t>
      </w:r>
    </w:p>
    <w:p w14:paraId="468D8E10" w14:textId="77777777" w:rsidR="00924992" w:rsidRDefault="00924992">
      <w:pPr>
        <w:pStyle w:val="Bodytext20"/>
        <w:spacing w:after="240" w:line="240" w:lineRule="auto"/>
      </w:pPr>
      <w:r>
        <w:t>1-970-221-6400</w:t>
      </w:r>
    </w:p>
    <w:p w14:paraId="3F8FD8A6" w14:textId="77777777" w:rsidR="00924992" w:rsidRDefault="00924992">
      <w:pPr>
        <w:pStyle w:val="Bodytext20"/>
        <w:spacing w:line="240" w:lineRule="auto"/>
      </w:pPr>
      <w:r>
        <w:t>1-877-FYI-TRIP (877-394-8747)</w:t>
      </w:r>
    </w:p>
    <w:p w14:paraId="0C77342C" w14:textId="77777777" w:rsidR="00924992" w:rsidRDefault="00924992">
      <w:pPr>
        <w:pStyle w:val="Bodytext20"/>
        <w:spacing w:after="160" w:line="240" w:lineRule="auto"/>
      </w:pPr>
      <w:r>
        <w:t>1-888-232-3299 (Fax gratuito)</w:t>
      </w:r>
    </w:p>
    <w:p w14:paraId="5419239F" w14:textId="77777777" w:rsidR="00924992" w:rsidRDefault="00924992">
      <w:pPr>
        <w:spacing w:line="1" w:lineRule="exact"/>
        <w:rPr>
          <w:sz w:val="2"/>
          <w:szCs w:val="2"/>
        </w:rPr>
      </w:pPr>
      <w:r>
        <w:br w:type="column"/>
      </w:r>
    </w:p>
    <w:p w14:paraId="637867F8" w14:textId="77777777" w:rsidR="00924992" w:rsidRDefault="00924992">
      <w:pPr>
        <w:pStyle w:val="Heading41"/>
        <w:keepNext/>
        <w:keepLines/>
        <w:pBdr>
          <w:top w:val="single" w:sz="0" w:space="0" w:color="231F20"/>
          <w:left w:val="single" w:sz="0" w:space="0" w:color="231F20"/>
          <w:bottom w:val="single" w:sz="0" w:space="0" w:color="231F20"/>
          <w:right w:val="single" w:sz="0" w:space="0" w:color="231F20"/>
        </w:pBdr>
        <w:shd w:val="clear" w:color="auto" w:fill="231F20"/>
        <w:spacing w:after="520"/>
      </w:pPr>
      <w:bookmarkStart w:id="816" w:name="bookmark2210"/>
      <w:bookmarkStart w:id="817" w:name="bookmark2211"/>
      <w:bookmarkStart w:id="818" w:name="bookmark2212"/>
      <w:r>
        <w:rPr>
          <w:color w:val="FFFFFF"/>
        </w:rPr>
        <w:t>Página Web</w:t>
      </w:r>
      <w:bookmarkEnd w:id="816"/>
      <w:bookmarkEnd w:id="817"/>
      <w:bookmarkEnd w:id="818"/>
    </w:p>
    <w:p w14:paraId="1D3993CD" w14:textId="77777777" w:rsidR="00924992" w:rsidRDefault="00924992">
      <w:pPr>
        <w:pStyle w:val="Bodytext20"/>
        <w:spacing w:after="220" w:line="240" w:lineRule="auto"/>
      </w:pPr>
      <w:hyperlink r:id="rId422" w:history="1">
        <w:r>
          <w:t>www.cdc.gov/ncidod/srp/drugservice/index.htm</w:t>
        </w:r>
      </w:hyperlink>
    </w:p>
    <w:p w14:paraId="44E7D8DE" w14:textId="77777777" w:rsidR="00924992" w:rsidRDefault="00924992">
      <w:pPr>
        <w:pStyle w:val="Bodytext20"/>
        <w:spacing w:line="240" w:lineRule="auto"/>
      </w:pPr>
      <w:hyperlink r:id="rId423" w:history="1">
        <w:r>
          <w:t>www.cdc.gov/ncidod/srp/drugservice/index.htmwww.cdc.gov/ncidod</w:t>
        </w:r>
      </w:hyperlink>
    </w:p>
    <w:p w14:paraId="0D779BBC" w14:textId="77777777" w:rsidR="00924992" w:rsidRDefault="00924992">
      <w:pPr>
        <w:pStyle w:val="Bodytext20"/>
        <w:spacing w:line="240" w:lineRule="auto"/>
      </w:pPr>
      <w:hyperlink r:id="rId424" w:history="1">
        <w:r>
          <w:t>www.ashastd.org/nah</w:t>
        </w:r>
      </w:hyperlink>
    </w:p>
    <w:p w14:paraId="409E4208" w14:textId="77777777" w:rsidR="00924992" w:rsidRDefault="00924992">
      <w:pPr>
        <w:pStyle w:val="Bodytext20"/>
        <w:spacing w:after="660" w:line="240" w:lineRule="auto"/>
      </w:pPr>
      <w:hyperlink r:id="rId425" w:history="1">
        <w:r>
          <w:t>www.cdc.gov/nip</w:t>
        </w:r>
      </w:hyperlink>
    </w:p>
    <w:p w14:paraId="1257F25E" w14:textId="77777777" w:rsidR="00924992" w:rsidRDefault="00924992">
      <w:pPr>
        <w:pStyle w:val="Bodytext20"/>
        <w:spacing w:after="220" w:line="240" w:lineRule="auto"/>
      </w:pPr>
      <w:hyperlink r:id="rId426" w:history="1">
        <w:r>
          <w:t>www.cdc.gov/hiv/hivinfo/npin.htm</w:t>
        </w:r>
      </w:hyperlink>
    </w:p>
    <w:p w14:paraId="52F9C23C" w14:textId="77777777" w:rsidR="00924992" w:rsidRDefault="00924992">
      <w:pPr>
        <w:pStyle w:val="Bodytext20"/>
        <w:spacing w:after="660" w:line="240" w:lineRule="auto"/>
      </w:pPr>
      <w:hyperlink r:id="rId427" w:history="1">
        <w:r>
          <w:t>www.cdc.gov/od/nvpo/vacsafe.htm</w:t>
        </w:r>
      </w:hyperlink>
    </w:p>
    <w:p w14:paraId="529D5994" w14:textId="77777777" w:rsidR="00924992" w:rsidRDefault="00924992">
      <w:pPr>
        <w:pStyle w:val="Bodytext20"/>
        <w:spacing w:after="440" w:line="240" w:lineRule="auto"/>
      </w:pPr>
      <w:hyperlink r:id="rId428" w:history="1">
        <w:r>
          <w:t>www.cdc.gov/publications.htm#pubs</w:t>
        </w:r>
      </w:hyperlink>
    </w:p>
    <w:p w14:paraId="79825E2D" w14:textId="77777777" w:rsidR="00924992" w:rsidRDefault="00924992">
      <w:pPr>
        <w:pStyle w:val="Bodytext20"/>
        <w:spacing w:after="660" w:line="240" w:lineRule="auto"/>
      </w:pPr>
      <w:hyperlink r:id="rId429" w:history="1">
        <w:r>
          <w:t>www.cdc.gov/publications.htm#soft</w:t>
        </w:r>
      </w:hyperlink>
    </w:p>
    <w:p w14:paraId="1963D544" w14:textId="77777777" w:rsidR="00924992" w:rsidRDefault="00924992">
      <w:pPr>
        <w:pStyle w:val="Bodytext20"/>
        <w:spacing w:after="220" w:line="240" w:lineRule="auto"/>
      </w:pPr>
      <w:hyperlink r:id="rId430" w:history="1">
        <w:r>
          <w:t>www.cdc.gov/ncidod/dvbid/index.htm</w:t>
        </w:r>
      </w:hyperlink>
    </w:p>
    <w:p w14:paraId="25F9615B" w14:textId="77777777" w:rsidR="00924992" w:rsidRDefault="00924992">
      <w:pPr>
        <w:pStyle w:val="Bodytext20"/>
        <w:spacing w:after="340" w:line="240" w:lineRule="auto"/>
        <w:sectPr w:rsidR="00924992" w:rsidSect="00924992">
          <w:headerReference w:type="even" r:id="rId431"/>
          <w:headerReference w:type="default" r:id="rId432"/>
          <w:footerReference w:type="even" r:id="rId433"/>
          <w:footerReference w:type="default" r:id="rId434"/>
          <w:footnotePr>
            <w:numFmt w:val="chicago"/>
          </w:footnotePr>
          <w:pgSz w:w="13022" w:h="8501" w:orient="landscape"/>
          <w:pgMar w:top="461" w:right="2253" w:bottom="842" w:left="682" w:header="33" w:footer="3" w:gutter="0"/>
          <w:cols w:num="3" w:space="100"/>
          <w:noEndnote/>
          <w:docGrid w:linePitch="360"/>
          <w15:footnoteColumns w:val="1"/>
        </w:sectPr>
      </w:pPr>
      <w:hyperlink r:id="rId435" w:history="1">
        <w:r>
          <w:t>www.cdc.gov/travel</w:t>
        </w:r>
      </w:hyperlink>
    </w:p>
    <w:p w14:paraId="6B1896C1" w14:textId="77777777" w:rsidR="00924992" w:rsidRDefault="00924992">
      <w:pPr>
        <w:pStyle w:val="Heading31"/>
        <w:keepNext/>
        <w:keepLines/>
        <w:spacing w:after="60"/>
        <w:jc w:val="center"/>
        <w:rPr>
          <w:sz w:val="16"/>
          <w:szCs w:val="16"/>
        </w:rPr>
      </w:pPr>
      <w:bookmarkStart w:id="819" w:name="bookmark2213"/>
      <w:bookmarkStart w:id="820" w:name="bookmark2214"/>
      <w:bookmarkStart w:id="821" w:name="bookmark2215"/>
      <w:r>
        <w:t>Directorio de recursos</w:t>
      </w:r>
      <w:r>
        <w:rPr>
          <w:vertAlign w:val="superscript"/>
        </w:rPr>
        <w:t>1</w:t>
      </w:r>
      <w:r>
        <w:t xml:space="preserve"> </w:t>
      </w:r>
      <w:r>
        <w:rPr>
          <w:rFonts w:ascii="Times New Roman" w:eastAsia="Times New Roman" w:hAnsi="Times New Roman" w:cs="Times New Roman"/>
          <w:b w:val="0"/>
          <w:bCs w:val="0"/>
          <w:i/>
          <w:iCs/>
          <w:w w:val="100"/>
          <w:sz w:val="16"/>
          <w:szCs w:val="16"/>
        </w:rPr>
        <w:t>continuación</w:t>
      </w:r>
      <w:bookmarkEnd w:id="819"/>
      <w:bookmarkEnd w:id="820"/>
      <w:bookmarkEnd w:id="821"/>
    </w:p>
    <w:tbl>
      <w:tblPr>
        <w:tblOverlap w:val="never"/>
        <w:tblW w:w="0" w:type="auto"/>
        <w:tblLayout w:type="fixed"/>
        <w:tblCellMar>
          <w:left w:w="10" w:type="dxa"/>
          <w:right w:w="10" w:type="dxa"/>
        </w:tblCellMar>
        <w:tblLook w:val="04A0" w:firstRow="1" w:lastRow="0" w:firstColumn="1" w:lastColumn="0" w:noHBand="0" w:noVBand="1"/>
      </w:tblPr>
      <w:tblGrid>
        <w:gridCol w:w="3389"/>
        <w:gridCol w:w="3053"/>
        <w:gridCol w:w="5309"/>
      </w:tblGrid>
      <w:tr w:rsidR="00924992" w14:paraId="0BAB774E" w14:textId="77777777">
        <w:tblPrEx>
          <w:tblCellMar>
            <w:top w:w="0" w:type="dxa"/>
            <w:bottom w:w="0" w:type="dxa"/>
          </w:tblCellMar>
        </w:tblPrEx>
        <w:trPr>
          <w:trHeight w:hRule="exact" w:val="288"/>
        </w:trPr>
        <w:tc>
          <w:tcPr>
            <w:tcW w:w="3389" w:type="dxa"/>
            <w:shd w:val="clear" w:color="auto" w:fill="231F20"/>
            <w:vAlign w:val="bottom"/>
          </w:tcPr>
          <w:p w14:paraId="295C5AE2" w14:textId="77777777" w:rsidR="00924992" w:rsidRDefault="00924992">
            <w:pPr>
              <w:pStyle w:val="Other0"/>
              <w:framePr w:w="11750" w:h="6211" w:hSpace="182" w:vSpace="418" w:wrap="notBeside" w:vAnchor="text" w:hAnchor="text" w:y="1"/>
              <w:pBdr>
                <w:top w:val="single" w:sz="0" w:space="0" w:color="231F20"/>
                <w:left w:val="single" w:sz="0" w:space="0" w:color="231F20"/>
                <w:bottom w:val="single" w:sz="0" w:space="0" w:color="231F20"/>
                <w:right w:val="single" w:sz="0" w:space="0" w:color="231F20"/>
              </w:pBdr>
              <w:shd w:val="clear" w:color="auto" w:fill="231F20"/>
              <w:spacing w:line="240" w:lineRule="auto"/>
              <w:ind w:firstLine="0"/>
              <w:rPr>
                <w:sz w:val="24"/>
                <w:szCs w:val="24"/>
              </w:rPr>
            </w:pPr>
            <w:r>
              <w:rPr>
                <w:rFonts w:ascii="Arial" w:eastAsia="Arial" w:hAnsi="Arial" w:cs="Arial"/>
                <w:b/>
                <w:bCs/>
                <w:color w:val="FFFFFF"/>
                <w:w w:val="70"/>
                <w:sz w:val="24"/>
                <w:szCs w:val="24"/>
              </w:rPr>
              <w:t>¡Organización</w:t>
            </w:r>
          </w:p>
        </w:tc>
        <w:tc>
          <w:tcPr>
            <w:tcW w:w="3053" w:type="dxa"/>
            <w:shd w:val="clear" w:color="auto" w:fill="231F20"/>
            <w:vAlign w:val="bottom"/>
          </w:tcPr>
          <w:p w14:paraId="571751D0" w14:textId="77777777" w:rsidR="00924992" w:rsidRDefault="00924992">
            <w:pPr>
              <w:pStyle w:val="Other0"/>
              <w:framePr w:w="11750" w:h="6211" w:hSpace="182" w:vSpace="418" w:wrap="notBeside" w:vAnchor="text" w:hAnchor="text" w:y="1"/>
              <w:pBdr>
                <w:top w:val="single" w:sz="0" w:space="0" w:color="231F20"/>
                <w:left w:val="single" w:sz="0" w:space="0" w:color="231F20"/>
                <w:bottom w:val="single" w:sz="0" w:space="0" w:color="231F20"/>
                <w:right w:val="single" w:sz="0" w:space="0" w:color="231F20"/>
              </w:pBdr>
              <w:shd w:val="clear" w:color="auto" w:fill="231F20"/>
              <w:spacing w:line="240" w:lineRule="auto"/>
              <w:ind w:firstLine="0"/>
              <w:rPr>
                <w:sz w:val="24"/>
                <w:szCs w:val="24"/>
              </w:rPr>
            </w:pPr>
            <w:r>
              <w:rPr>
                <w:rFonts w:ascii="Arial" w:eastAsia="Arial" w:hAnsi="Arial" w:cs="Arial"/>
                <w:b/>
                <w:bCs/>
                <w:color w:val="FFFFFF"/>
                <w:w w:val="70"/>
                <w:sz w:val="24"/>
                <w:szCs w:val="24"/>
              </w:rPr>
              <w:t>Números de teléfono/fax</w:t>
            </w:r>
          </w:p>
        </w:tc>
        <w:tc>
          <w:tcPr>
            <w:tcW w:w="5309" w:type="dxa"/>
            <w:tcBorders>
              <w:right w:val="single" w:sz="4" w:space="0" w:color="auto"/>
            </w:tcBorders>
            <w:shd w:val="clear" w:color="auto" w:fill="231F20"/>
            <w:vAlign w:val="bottom"/>
          </w:tcPr>
          <w:p w14:paraId="34AA7DDE" w14:textId="77777777" w:rsidR="00924992" w:rsidRDefault="00924992">
            <w:pPr>
              <w:pStyle w:val="Other0"/>
              <w:framePr w:w="11750" w:h="6211" w:hSpace="182" w:vSpace="418" w:wrap="notBeside" w:vAnchor="text" w:hAnchor="text" w:y="1"/>
              <w:pBdr>
                <w:top w:val="single" w:sz="0" w:space="0" w:color="231F20"/>
                <w:left w:val="single" w:sz="0" w:space="0" w:color="231F20"/>
                <w:bottom w:val="single" w:sz="0" w:space="0" w:color="231F20"/>
                <w:right w:val="single" w:sz="0" w:space="0" w:color="231F20"/>
              </w:pBdr>
              <w:shd w:val="clear" w:color="auto" w:fill="231F20"/>
              <w:spacing w:line="240" w:lineRule="auto"/>
              <w:ind w:firstLine="420"/>
              <w:rPr>
                <w:sz w:val="24"/>
                <w:szCs w:val="24"/>
              </w:rPr>
            </w:pPr>
            <w:r>
              <w:rPr>
                <w:rFonts w:ascii="Arial" w:eastAsia="Arial" w:hAnsi="Arial" w:cs="Arial"/>
                <w:b/>
                <w:bCs/>
                <w:color w:val="FFFFFF"/>
                <w:w w:val="70"/>
                <w:sz w:val="24"/>
                <w:szCs w:val="24"/>
              </w:rPr>
              <w:t>Página Web</w:t>
            </w:r>
          </w:p>
        </w:tc>
      </w:tr>
      <w:tr w:rsidR="00924992" w14:paraId="794B7F0B" w14:textId="77777777">
        <w:tblPrEx>
          <w:tblCellMar>
            <w:top w:w="0" w:type="dxa"/>
            <w:bottom w:w="0" w:type="dxa"/>
          </w:tblCellMar>
        </w:tblPrEx>
        <w:trPr>
          <w:trHeight w:hRule="exact" w:val="490"/>
        </w:trPr>
        <w:tc>
          <w:tcPr>
            <w:tcW w:w="3389" w:type="dxa"/>
            <w:shd w:val="clear" w:color="auto" w:fill="FFFFFF"/>
            <w:vAlign w:val="bottom"/>
          </w:tcPr>
          <w:p w14:paraId="4C0CB404" w14:textId="77777777" w:rsidR="00924992" w:rsidRDefault="00924992">
            <w:pPr>
              <w:pStyle w:val="Other0"/>
              <w:framePr w:w="11750" w:h="6211" w:hSpace="182" w:vSpace="418" w:wrap="notBeside" w:vAnchor="text" w:hAnchor="text" w:y="1"/>
              <w:spacing w:line="283" w:lineRule="auto"/>
              <w:ind w:left="340" w:hanging="340"/>
              <w:rPr>
                <w:sz w:val="16"/>
                <w:szCs w:val="16"/>
              </w:rPr>
            </w:pPr>
            <w:r>
              <w:rPr>
                <w:rFonts w:ascii="Times New Roman" w:eastAsia="Times New Roman" w:hAnsi="Times New Roman" w:cs="Times New Roman"/>
                <w:sz w:val="16"/>
                <w:szCs w:val="16"/>
              </w:rPr>
              <w:t>• Viruela, línea para información clínica de reacciones adversas</w:t>
            </w:r>
          </w:p>
        </w:tc>
        <w:tc>
          <w:tcPr>
            <w:tcW w:w="3053" w:type="dxa"/>
            <w:shd w:val="clear" w:color="auto" w:fill="FFFFFF"/>
          </w:tcPr>
          <w:p w14:paraId="1E62DEA3" w14:textId="77777777" w:rsidR="00924992" w:rsidRDefault="00924992">
            <w:pPr>
              <w:pStyle w:val="Other0"/>
              <w:framePr w:w="11750" w:h="6211" w:hSpace="182" w:vSpace="418" w:wrap="notBeside" w:vAnchor="text" w:hAnchor="text" w:y="1"/>
              <w:spacing w:line="240" w:lineRule="auto"/>
              <w:ind w:firstLine="0"/>
              <w:rPr>
                <w:sz w:val="16"/>
                <w:szCs w:val="16"/>
              </w:rPr>
            </w:pPr>
            <w:r>
              <w:rPr>
                <w:rFonts w:ascii="Times New Roman" w:eastAsia="Times New Roman" w:hAnsi="Times New Roman" w:cs="Times New Roman"/>
                <w:sz w:val="16"/>
                <w:szCs w:val="16"/>
              </w:rPr>
              <w:t>1-877-554-4225</w:t>
            </w:r>
          </w:p>
        </w:tc>
        <w:tc>
          <w:tcPr>
            <w:tcW w:w="5309" w:type="dxa"/>
            <w:tcBorders>
              <w:right w:val="single" w:sz="4" w:space="0" w:color="auto"/>
            </w:tcBorders>
            <w:shd w:val="clear" w:color="auto" w:fill="FFFFFF"/>
          </w:tcPr>
          <w:p w14:paraId="5203DD3E" w14:textId="77777777" w:rsidR="00924992" w:rsidRDefault="00924992">
            <w:pPr>
              <w:framePr w:w="11750" w:h="6211" w:hSpace="182" w:vSpace="418" w:wrap="notBeside" w:vAnchor="text" w:hAnchor="text" w:y="1"/>
              <w:rPr>
                <w:sz w:val="10"/>
                <w:szCs w:val="10"/>
              </w:rPr>
            </w:pPr>
          </w:p>
        </w:tc>
      </w:tr>
      <w:tr w:rsidR="00924992" w14:paraId="0ADC617E" w14:textId="77777777">
        <w:tblPrEx>
          <w:tblCellMar>
            <w:top w:w="0" w:type="dxa"/>
            <w:bottom w:w="0" w:type="dxa"/>
          </w:tblCellMar>
        </w:tblPrEx>
        <w:trPr>
          <w:trHeight w:hRule="exact" w:val="230"/>
        </w:trPr>
        <w:tc>
          <w:tcPr>
            <w:tcW w:w="3389" w:type="dxa"/>
            <w:shd w:val="clear" w:color="auto" w:fill="FFFFFF"/>
            <w:vAlign w:val="bottom"/>
          </w:tcPr>
          <w:p w14:paraId="6055BBEF" w14:textId="77777777" w:rsidR="00924992" w:rsidRDefault="00924992">
            <w:pPr>
              <w:pStyle w:val="Other0"/>
              <w:framePr w:w="11750" w:h="6211" w:hSpace="182" w:vSpace="418" w:wrap="notBeside" w:vAnchor="text" w:hAnchor="text" w:y="1"/>
              <w:spacing w:line="240" w:lineRule="auto"/>
              <w:ind w:firstLine="0"/>
              <w:rPr>
                <w:sz w:val="16"/>
                <w:szCs w:val="16"/>
              </w:rPr>
            </w:pPr>
            <w:r>
              <w:rPr>
                <w:rFonts w:ascii="Times New Roman" w:eastAsia="Times New Roman" w:hAnsi="Times New Roman" w:cs="Times New Roman"/>
                <w:sz w:val="16"/>
                <w:szCs w:val="16"/>
              </w:rPr>
              <w:t>• Voz/fax, servicios de información de</w:t>
            </w:r>
          </w:p>
        </w:tc>
        <w:tc>
          <w:tcPr>
            <w:tcW w:w="3053" w:type="dxa"/>
            <w:shd w:val="clear" w:color="auto" w:fill="FFFFFF"/>
            <w:vAlign w:val="bottom"/>
          </w:tcPr>
          <w:p w14:paraId="5417B23D" w14:textId="77777777" w:rsidR="00924992" w:rsidRDefault="00924992">
            <w:pPr>
              <w:pStyle w:val="Other0"/>
              <w:framePr w:w="11750" w:h="6211" w:hSpace="182" w:vSpace="418" w:wrap="notBeside" w:vAnchor="text" w:hAnchor="text" w:y="1"/>
              <w:spacing w:line="240" w:lineRule="auto"/>
              <w:ind w:firstLine="0"/>
              <w:rPr>
                <w:sz w:val="16"/>
                <w:szCs w:val="16"/>
              </w:rPr>
            </w:pPr>
            <w:r>
              <w:rPr>
                <w:rFonts w:ascii="Times New Roman" w:eastAsia="Times New Roman" w:hAnsi="Times New Roman" w:cs="Times New Roman"/>
                <w:sz w:val="16"/>
                <w:szCs w:val="16"/>
              </w:rPr>
              <w:t>1-404-332-4555(Voz)</w:t>
            </w:r>
          </w:p>
        </w:tc>
        <w:tc>
          <w:tcPr>
            <w:tcW w:w="5309" w:type="dxa"/>
            <w:tcBorders>
              <w:right w:val="single" w:sz="4" w:space="0" w:color="auto"/>
            </w:tcBorders>
            <w:shd w:val="clear" w:color="auto" w:fill="FFFFFF"/>
            <w:vAlign w:val="bottom"/>
          </w:tcPr>
          <w:p w14:paraId="2C1DB603" w14:textId="77777777" w:rsidR="00924992" w:rsidRDefault="00924992">
            <w:pPr>
              <w:pStyle w:val="Other0"/>
              <w:framePr w:w="11750" w:h="6211" w:hSpace="182" w:vSpace="418" w:wrap="notBeside" w:vAnchor="text" w:hAnchor="text" w:y="1"/>
              <w:spacing w:line="240" w:lineRule="auto"/>
              <w:ind w:firstLine="420"/>
              <w:rPr>
                <w:sz w:val="16"/>
                <w:szCs w:val="16"/>
              </w:rPr>
            </w:pPr>
            <w:hyperlink r:id="rId436" w:history="1">
              <w:r>
                <w:rPr>
                  <w:rFonts w:ascii="Times New Roman" w:eastAsia="Times New Roman" w:hAnsi="Times New Roman" w:cs="Times New Roman"/>
                  <w:sz w:val="16"/>
                  <w:szCs w:val="16"/>
                </w:rPr>
                <w:t>www.cdc.gov/epo/mmwr/preview/</w:t>
              </w:r>
            </w:hyperlink>
          </w:p>
        </w:tc>
      </w:tr>
      <w:tr w:rsidR="00924992" w14:paraId="0EE35C83" w14:textId="77777777">
        <w:tblPrEx>
          <w:tblCellMar>
            <w:top w:w="0" w:type="dxa"/>
            <w:bottom w:w="0" w:type="dxa"/>
          </w:tblCellMar>
        </w:tblPrEx>
        <w:trPr>
          <w:trHeight w:hRule="exact" w:val="427"/>
        </w:trPr>
        <w:tc>
          <w:tcPr>
            <w:tcW w:w="3389" w:type="dxa"/>
            <w:shd w:val="clear" w:color="auto" w:fill="FFFFFF"/>
            <w:vAlign w:val="bottom"/>
          </w:tcPr>
          <w:p w14:paraId="4394CE6E" w14:textId="77777777" w:rsidR="00924992" w:rsidRDefault="00924992">
            <w:pPr>
              <w:pStyle w:val="Other0"/>
              <w:framePr w:w="11750" w:h="6211" w:hSpace="182" w:vSpace="418" w:wrap="notBeside" w:vAnchor="text" w:hAnchor="text" w:y="1"/>
              <w:spacing w:line="283" w:lineRule="auto"/>
              <w:ind w:left="340" w:firstLine="0"/>
              <w:rPr>
                <w:sz w:val="16"/>
                <w:szCs w:val="16"/>
              </w:rPr>
            </w:pPr>
            <w:r>
              <w:rPr>
                <w:rFonts w:ascii="Times New Roman" w:eastAsia="Times New Roman" w:hAnsi="Times New Roman" w:cs="Times New Roman"/>
                <w:sz w:val="16"/>
                <w:szCs w:val="16"/>
              </w:rPr>
              <w:t>(incluidos viajes internacionales y vacunaciones)</w:t>
            </w:r>
          </w:p>
        </w:tc>
        <w:tc>
          <w:tcPr>
            <w:tcW w:w="3053" w:type="dxa"/>
            <w:shd w:val="clear" w:color="auto" w:fill="FFFFFF"/>
          </w:tcPr>
          <w:p w14:paraId="3EC01985" w14:textId="77777777" w:rsidR="00924992" w:rsidRDefault="00924992">
            <w:pPr>
              <w:pStyle w:val="Other0"/>
              <w:framePr w:w="11750" w:h="6211" w:hSpace="182" w:vSpace="418" w:wrap="notBeside" w:vAnchor="text" w:hAnchor="text" w:y="1"/>
              <w:spacing w:line="240" w:lineRule="auto"/>
              <w:ind w:firstLine="0"/>
              <w:rPr>
                <w:sz w:val="16"/>
                <w:szCs w:val="16"/>
              </w:rPr>
            </w:pPr>
            <w:r>
              <w:rPr>
                <w:rFonts w:ascii="Times New Roman" w:eastAsia="Times New Roman" w:hAnsi="Times New Roman" w:cs="Times New Roman"/>
                <w:sz w:val="16"/>
                <w:szCs w:val="16"/>
              </w:rPr>
              <w:t>1-404-332-4565 (Fax)</w:t>
            </w:r>
          </w:p>
        </w:tc>
        <w:tc>
          <w:tcPr>
            <w:tcW w:w="5309" w:type="dxa"/>
            <w:tcBorders>
              <w:right w:val="single" w:sz="4" w:space="0" w:color="auto"/>
            </w:tcBorders>
            <w:shd w:val="clear" w:color="auto" w:fill="FFFFFF"/>
          </w:tcPr>
          <w:p w14:paraId="6A9FC8B3" w14:textId="77777777" w:rsidR="00924992" w:rsidRDefault="00924992">
            <w:pPr>
              <w:pStyle w:val="Other0"/>
              <w:framePr w:w="11750" w:h="6211" w:hSpace="182" w:vSpace="418" w:wrap="notBeside" w:vAnchor="text" w:hAnchor="text" w:y="1"/>
              <w:spacing w:line="240" w:lineRule="auto"/>
              <w:ind w:firstLine="420"/>
              <w:jc w:val="both"/>
              <w:rPr>
                <w:sz w:val="16"/>
                <w:szCs w:val="16"/>
              </w:rPr>
            </w:pPr>
            <w:r>
              <w:rPr>
                <w:rFonts w:ascii="Times New Roman" w:eastAsia="Times New Roman" w:hAnsi="Times New Roman" w:cs="Times New Roman"/>
                <w:sz w:val="16"/>
                <w:szCs w:val="16"/>
              </w:rPr>
              <w:t>mmwrhtml/00033199.htm</w:t>
            </w:r>
          </w:p>
        </w:tc>
      </w:tr>
      <w:tr w:rsidR="00924992" w14:paraId="259E2C41" w14:textId="77777777">
        <w:tblPrEx>
          <w:tblCellMar>
            <w:top w:w="0" w:type="dxa"/>
            <w:bottom w:w="0" w:type="dxa"/>
          </w:tblCellMar>
        </w:tblPrEx>
        <w:trPr>
          <w:trHeight w:hRule="exact" w:val="850"/>
        </w:trPr>
        <w:tc>
          <w:tcPr>
            <w:tcW w:w="3389" w:type="dxa"/>
            <w:shd w:val="clear" w:color="auto" w:fill="FFFFFF"/>
          </w:tcPr>
          <w:p w14:paraId="4360CD21" w14:textId="77777777" w:rsidR="00924992" w:rsidRDefault="00924992">
            <w:pPr>
              <w:pStyle w:val="Other0"/>
              <w:framePr w:w="11750" w:h="6211" w:hSpace="182" w:vSpace="418" w:wrap="notBeside" w:vAnchor="text" w:hAnchor="text" w:y="1"/>
              <w:spacing w:line="240" w:lineRule="auto"/>
              <w:ind w:firstLine="0"/>
              <w:rPr>
                <w:sz w:val="16"/>
                <w:szCs w:val="16"/>
              </w:rPr>
            </w:pPr>
            <w:r>
              <w:rPr>
                <w:rFonts w:ascii="Times New Roman" w:eastAsia="Times New Roman" w:hAnsi="Times New Roman" w:cs="Times New Roman"/>
                <w:b/>
                <w:bCs/>
                <w:sz w:val="16"/>
                <w:szCs w:val="16"/>
              </w:rPr>
              <w:t>Food and Drug Administration (FDA)</w:t>
            </w:r>
          </w:p>
          <w:p w14:paraId="73AA4606" w14:textId="77777777" w:rsidR="00924992" w:rsidRDefault="00924992">
            <w:pPr>
              <w:pStyle w:val="Other0"/>
              <w:framePr w:w="11750" w:h="6211" w:hSpace="182" w:vSpace="418" w:wrap="notBeside" w:vAnchor="text" w:hAnchor="text" w:y="1"/>
              <w:spacing w:line="240" w:lineRule="auto"/>
              <w:ind w:firstLine="0"/>
              <w:rPr>
                <w:sz w:val="16"/>
                <w:szCs w:val="16"/>
              </w:rPr>
            </w:pPr>
            <w:r>
              <w:rPr>
                <w:rFonts w:ascii="Times New Roman" w:eastAsia="Times New Roman" w:hAnsi="Times New Roman" w:cs="Times New Roman"/>
                <w:sz w:val="16"/>
                <w:szCs w:val="16"/>
              </w:rPr>
              <w:t>5600 Fishers Ln</w:t>
            </w:r>
          </w:p>
          <w:p w14:paraId="664D489E" w14:textId="77777777" w:rsidR="00924992" w:rsidRDefault="00924992">
            <w:pPr>
              <w:pStyle w:val="Other0"/>
              <w:framePr w:w="11750" w:h="6211" w:hSpace="182" w:vSpace="418" w:wrap="notBeside" w:vAnchor="text" w:hAnchor="text" w:y="1"/>
              <w:spacing w:line="240" w:lineRule="auto"/>
              <w:ind w:firstLine="0"/>
              <w:rPr>
                <w:sz w:val="16"/>
                <w:szCs w:val="16"/>
              </w:rPr>
            </w:pPr>
            <w:r>
              <w:rPr>
                <w:rFonts w:ascii="Times New Roman" w:eastAsia="Times New Roman" w:hAnsi="Times New Roman" w:cs="Times New Roman"/>
                <w:sz w:val="16"/>
                <w:szCs w:val="16"/>
              </w:rPr>
              <w:t>Rockville, MD 20857-0001</w:t>
            </w:r>
          </w:p>
          <w:p w14:paraId="3DE7B9BA" w14:textId="77777777" w:rsidR="00924992" w:rsidRDefault="00924992">
            <w:pPr>
              <w:pStyle w:val="Other0"/>
              <w:framePr w:w="11750" w:h="6211" w:hSpace="182" w:vSpace="418" w:wrap="notBeside" w:vAnchor="text" w:hAnchor="text" w:y="1"/>
              <w:spacing w:line="240" w:lineRule="auto"/>
              <w:ind w:firstLine="0"/>
              <w:rPr>
                <w:sz w:val="16"/>
                <w:szCs w:val="16"/>
              </w:rPr>
            </w:pPr>
            <w:r>
              <w:rPr>
                <w:rFonts w:ascii="Times New Roman" w:eastAsia="Times New Roman" w:hAnsi="Times New Roman" w:cs="Times New Roman"/>
                <w:sz w:val="16"/>
                <w:szCs w:val="16"/>
              </w:rPr>
              <w:t>USA</w:t>
            </w:r>
          </w:p>
        </w:tc>
        <w:tc>
          <w:tcPr>
            <w:tcW w:w="3053" w:type="dxa"/>
            <w:shd w:val="clear" w:color="auto" w:fill="FFFFFF"/>
          </w:tcPr>
          <w:p w14:paraId="7DCCF6B9" w14:textId="77777777" w:rsidR="00924992" w:rsidRDefault="00924992">
            <w:pPr>
              <w:pStyle w:val="Other0"/>
              <w:framePr w:w="11750" w:h="6211" w:hSpace="182" w:vSpace="418" w:wrap="notBeside" w:vAnchor="text" w:hAnchor="text" w:y="1"/>
              <w:spacing w:line="240" w:lineRule="auto"/>
              <w:ind w:firstLine="0"/>
              <w:rPr>
                <w:sz w:val="16"/>
                <w:szCs w:val="16"/>
              </w:rPr>
            </w:pPr>
            <w:r>
              <w:rPr>
                <w:rFonts w:ascii="Times New Roman" w:eastAsia="Times New Roman" w:hAnsi="Times New Roman" w:cs="Times New Roman"/>
                <w:sz w:val="16"/>
                <w:szCs w:val="16"/>
              </w:rPr>
              <w:t>1-888-463-6332</w:t>
            </w:r>
          </w:p>
        </w:tc>
        <w:tc>
          <w:tcPr>
            <w:tcW w:w="5309" w:type="dxa"/>
            <w:tcBorders>
              <w:right w:val="single" w:sz="4" w:space="0" w:color="auto"/>
            </w:tcBorders>
            <w:shd w:val="clear" w:color="auto" w:fill="FFFFFF"/>
          </w:tcPr>
          <w:p w14:paraId="3B221576" w14:textId="77777777" w:rsidR="00924992" w:rsidRDefault="00924992">
            <w:pPr>
              <w:pStyle w:val="Other0"/>
              <w:framePr w:w="11750" w:h="6211" w:hSpace="182" w:vSpace="418" w:wrap="notBeside" w:vAnchor="text" w:hAnchor="text" w:y="1"/>
              <w:spacing w:line="240" w:lineRule="auto"/>
              <w:ind w:firstLine="420"/>
              <w:rPr>
                <w:sz w:val="16"/>
                <w:szCs w:val="16"/>
              </w:rPr>
            </w:pPr>
            <w:hyperlink r:id="rId437" w:history="1">
              <w:r>
                <w:rPr>
                  <w:rFonts w:ascii="Times New Roman" w:eastAsia="Times New Roman" w:hAnsi="Times New Roman" w:cs="Times New Roman"/>
                  <w:sz w:val="16"/>
                  <w:szCs w:val="16"/>
                </w:rPr>
                <w:t>www.fda.gov</w:t>
              </w:r>
            </w:hyperlink>
          </w:p>
        </w:tc>
      </w:tr>
      <w:tr w:rsidR="00924992" w14:paraId="63B8C929" w14:textId="77777777">
        <w:tblPrEx>
          <w:tblCellMar>
            <w:top w:w="0" w:type="dxa"/>
            <w:bottom w:w="0" w:type="dxa"/>
          </w:tblCellMar>
        </w:tblPrEx>
        <w:trPr>
          <w:trHeight w:hRule="exact" w:val="432"/>
        </w:trPr>
        <w:tc>
          <w:tcPr>
            <w:tcW w:w="3389" w:type="dxa"/>
            <w:shd w:val="clear" w:color="auto" w:fill="FFFFFF"/>
          </w:tcPr>
          <w:p w14:paraId="40149207" w14:textId="77777777" w:rsidR="00924992" w:rsidRDefault="00924992">
            <w:pPr>
              <w:pStyle w:val="Other0"/>
              <w:framePr w:w="11750" w:h="6211" w:hSpace="182" w:vSpace="418" w:wrap="notBeside" w:vAnchor="text" w:hAnchor="text" w:y="1"/>
              <w:spacing w:line="283" w:lineRule="auto"/>
              <w:ind w:left="340" w:hanging="340"/>
              <w:rPr>
                <w:sz w:val="16"/>
                <w:szCs w:val="16"/>
              </w:rPr>
            </w:pPr>
            <w:r>
              <w:rPr>
                <w:rFonts w:ascii="Times New Roman" w:eastAsia="Times New Roman" w:hAnsi="Times New Roman" w:cs="Times New Roman"/>
                <w:sz w:val="16"/>
                <w:szCs w:val="16"/>
              </w:rPr>
              <w:t>• Center for Biologics Evaluation and Research</w:t>
            </w:r>
          </w:p>
        </w:tc>
        <w:tc>
          <w:tcPr>
            <w:tcW w:w="3053" w:type="dxa"/>
            <w:shd w:val="clear" w:color="auto" w:fill="FFFFFF"/>
          </w:tcPr>
          <w:p w14:paraId="7032FD44" w14:textId="77777777" w:rsidR="00924992" w:rsidRDefault="00924992">
            <w:pPr>
              <w:pStyle w:val="Other0"/>
              <w:framePr w:w="11750" w:h="6211" w:hSpace="182" w:vSpace="418" w:wrap="notBeside" w:vAnchor="text" w:hAnchor="text" w:y="1"/>
              <w:spacing w:line="240" w:lineRule="auto"/>
              <w:ind w:firstLine="0"/>
              <w:rPr>
                <w:sz w:val="16"/>
                <w:szCs w:val="16"/>
              </w:rPr>
            </w:pPr>
            <w:r>
              <w:rPr>
                <w:rFonts w:ascii="Times New Roman" w:eastAsia="Times New Roman" w:hAnsi="Times New Roman" w:cs="Times New Roman"/>
                <w:sz w:val="16"/>
                <w:szCs w:val="16"/>
              </w:rPr>
              <w:t>1-301-827-2000 O 1-800-835-4709</w:t>
            </w:r>
          </w:p>
        </w:tc>
        <w:tc>
          <w:tcPr>
            <w:tcW w:w="5309" w:type="dxa"/>
            <w:tcBorders>
              <w:right w:val="single" w:sz="4" w:space="0" w:color="auto"/>
            </w:tcBorders>
            <w:shd w:val="clear" w:color="auto" w:fill="FFFFFF"/>
          </w:tcPr>
          <w:p w14:paraId="6F2B1B07" w14:textId="77777777" w:rsidR="00924992" w:rsidRDefault="00924992">
            <w:pPr>
              <w:pStyle w:val="Other0"/>
              <w:framePr w:w="11750" w:h="6211" w:hSpace="182" w:vSpace="418" w:wrap="notBeside" w:vAnchor="text" w:hAnchor="text" w:y="1"/>
              <w:spacing w:line="240" w:lineRule="auto"/>
              <w:ind w:firstLine="420"/>
              <w:jc w:val="both"/>
              <w:rPr>
                <w:sz w:val="16"/>
                <w:szCs w:val="16"/>
              </w:rPr>
            </w:pPr>
            <w:hyperlink r:id="rId438" w:history="1">
              <w:r>
                <w:rPr>
                  <w:rFonts w:ascii="Times New Roman" w:eastAsia="Times New Roman" w:hAnsi="Times New Roman" w:cs="Times New Roman"/>
                  <w:sz w:val="16"/>
                  <w:szCs w:val="16"/>
                </w:rPr>
                <w:t>www.fda.gov/cber</w:t>
              </w:r>
            </w:hyperlink>
          </w:p>
        </w:tc>
      </w:tr>
      <w:tr w:rsidR="00924992" w14:paraId="41853B66" w14:textId="77777777">
        <w:tblPrEx>
          <w:tblCellMar>
            <w:top w:w="0" w:type="dxa"/>
            <w:bottom w:w="0" w:type="dxa"/>
          </w:tblCellMar>
        </w:tblPrEx>
        <w:trPr>
          <w:trHeight w:hRule="exact" w:val="235"/>
        </w:trPr>
        <w:tc>
          <w:tcPr>
            <w:tcW w:w="3389" w:type="dxa"/>
            <w:shd w:val="clear" w:color="auto" w:fill="FFFFFF"/>
            <w:vAlign w:val="bottom"/>
          </w:tcPr>
          <w:p w14:paraId="430A2035" w14:textId="77777777" w:rsidR="00924992" w:rsidRDefault="00924992">
            <w:pPr>
              <w:pStyle w:val="Other0"/>
              <w:framePr w:w="11750" w:h="6211" w:hSpace="182" w:vSpace="418" w:wrap="notBeside" w:vAnchor="text" w:hAnchor="text" w:y="1"/>
              <w:spacing w:line="240" w:lineRule="auto"/>
              <w:ind w:firstLine="0"/>
              <w:rPr>
                <w:sz w:val="16"/>
                <w:szCs w:val="16"/>
              </w:rPr>
            </w:pPr>
            <w:r>
              <w:rPr>
                <w:rFonts w:ascii="Times New Roman" w:eastAsia="Times New Roman" w:hAnsi="Times New Roman" w:cs="Times New Roman"/>
                <w:sz w:val="16"/>
                <w:szCs w:val="16"/>
              </w:rPr>
              <w:t>• Center for Drug Evaluation and Research</w:t>
            </w:r>
          </w:p>
        </w:tc>
        <w:tc>
          <w:tcPr>
            <w:tcW w:w="3053" w:type="dxa"/>
            <w:shd w:val="clear" w:color="auto" w:fill="FFFFFF"/>
            <w:vAlign w:val="bottom"/>
          </w:tcPr>
          <w:p w14:paraId="768263D2" w14:textId="77777777" w:rsidR="00924992" w:rsidRDefault="00924992">
            <w:pPr>
              <w:pStyle w:val="Other0"/>
              <w:framePr w:w="11750" w:h="6211" w:hSpace="182" w:vSpace="418" w:wrap="notBeside" w:vAnchor="text" w:hAnchor="text" w:y="1"/>
              <w:spacing w:line="240" w:lineRule="auto"/>
              <w:ind w:firstLine="0"/>
              <w:rPr>
                <w:sz w:val="16"/>
                <w:szCs w:val="16"/>
              </w:rPr>
            </w:pPr>
            <w:r>
              <w:rPr>
                <w:rFonts w:ascii="Times New Roman" w:eastAsia="Times New Roman" w:hAnsi="Times New Roman" w:cs="Times New Roman"/>
                <w:sz w:val="16"/>
                <w:szCs w:val="16"/>
              </w:rPr>
              <w:t>1-301-594-6740</w:t>
            </w:r>
          </w:p>
        </w:tc>
        <w:tc>
          <w:tcPr>
            <w:tcW w:w="5309" w:type="dxa"/>
            <w:tcBorders>
              <w:right w:val="single" w:sz="4" w:space="0" w:color="auto"/>
            </w:tcBorders>
            <w:shd w:val="clear" w:color="auto" w:fill="FFFFFF"/>
            <w:vAlign w:val="bottom"/>
          </w:tcPr>
          <w:p w14:paraId="033C75F0" w14:textId="77777777" w:rsidR="00924992" w:rsidRDefault="00924992">
            <w:pPr>
              <w:pStyle w:val="Other0"/>
              <w:framePr w:w="11750" w:h="6211" w:hSpace="182" w:vSpace="418" w:wrap="notBeside" w:vAnchor="text" w:hAnchor="text" w:y="1"/>
              <w:spacing w:line="240" w:lineRule="auto"/>
              <w:ind w:firstLine="420"/>
              <w:jc w:val="both"/>
              <w:rPr>
                <w:sz w:val="16"/>
                <w:szCs w:val="16"/>
              </w:rPr>
            </w:pPr>
            <w:hyperlink r:id="rId439" w:history="1">
              <w:r>
                <w:rPr>
                  <w:rFonts w:ascii="Times New Roman" w:eastAsia="Times New Roman" w:hAnsi="Times New Roman" w:cs="Times New Roman"/>
                  <w:sz w:val="16"/>
                  <w:szCs w:val="16"/>
                </w:rPr>
                <w:t>www.fda.gov/cder</w:t>
              </w:r>
            </w:hyperlink>
          </w:p>
        </w:tc>
      </w:tr>
      <w:tr w:rsidR="00924992" w14:paraId="1B40027D" w14:textId="77777777">
        <w:tblPrEx>
          <w:tblCellMar>
            <w:top w:w="0" w:type="dxa"/>
            <w:bottom w:w="0" w:type="dxa"/>
          </w:tblCellMar>
        </w:tblPrEx>
        <w:trPr>
          <w:trHeight w:hRule="exact" w:val="216"/>
        </w:trPr>
        <w:tc>
          <w:tcPr>
            <w:tcW w:w="3389" w:type="dxa"/>
            <w:shd w:val="clear" w:color="auto" w:fill="FFFFFF"/>
          </w:tcPr>
          <w:p w14:paraId="2F448F46" w14:textId="77777777" w:rsidR="00924992" w:rsidRDefault="00924992">
            <w:pPr>
              <w:pStyle w:val="Other0"/>
              <w:framePr w:w="11750" w:h="6211" w:hSpace="182" w:vSpace="418" w:wrap="notBeside" w:vAnchor="text" w:hAnchor="text" w:y="1"/>
              <w:spacing w:line="240" w:lineRule="auto"/>
              <w:ind w:firstLine="0"/>
              <w:rPr>
                <w:sz w:val="16"/>
                <w:szCs w:val="16"/>
              </w:rPr>
            </w:pPr>
            <w:r>
              <w:rPr>
                <w:rFonts w:ascii="Times New Roman" w:eastAsia="Times New Roman" w:hAnsi="Times New Roman" w:cs="Times New Roman"/>
                <w:sz w:val="16"/>
                <w:szCs w:val="16"/>
              </w:rPr>
              <w:t>• Division of Special Pathogen</w:t>
            </w:r>
          </w:p>
        </w:tc>
        <w:tc>
          <w:tcPr>
            <w:tcW w:w="3053" w:type="dxa"/>
            <w:shd w:val="clear" w:color="auto" w:fill="FFFFFF"/>
          </w:tcPr>
          <w:p w14:paraId="74394B64" w14:textId="77777777" w:rsidR="00924992" w:rsidRDefault="00924992">
            <w:pPr>
              <w:pStyle w:val="Other0"/>
              <w:framePr w:w="11750" w:h="6211" w:hSpace="182" w:vSpace="418" w:wrap="notBeside" w:vAnchor="text" w:hAnchor="text" w:y="1"/>
              <w:spacing w:line="240" w:lineRule="auto"/>
              <w:ind w:firstLine="0"/>
              <w:rPr>
                <w:sz w:val="16"/>
                <w:szCs w:val="16"/>
              </w:rPr>
            </w:pPr>
            <w:r>
              <w:rPr>
                <w:rFonts w:ascii="Times New Roman" w:eastAsia="Times New Roman" w:hAnsi="Times New Roman" w:cs="Times New Roman"/>
                <w:sz w:val="16"/>
                <w:szCs w:val="16"/>
              </w:rPr>
              <w:t>1-301-827-2127</w:t>
            </w:r>
          </w:p>
        </w:tc>
        <w:tc>
          <w:tcPr>
            <w:tcW w:w="5309" w:type="dxa"/>
            <w:tcBorders>
              <w:right w:val="single" w:sz="4" w:space="0" w:color="auto"/>
            </w:tcBorders>
            <w:shd w:val="clear" w:color="auto" w:fill="FFFFFF"/>
          </w:tcPr>
          <w:p w14:paraId="550E28CC" w14:textId="77777777" w:rsidR="00924992" w:rsidRDefault="00924992">
            <w:pPr>
              <w:framePr w:w="11750" w:h="6211" w:hSpace="182" w:vSpace="418" w:wrap="notBeside" w:vAnchor="text" w:hAnchor="text" w:y="1"/>
              <w:rPr>
                <w:sz w:val="10"/>
                <w:szCs w:val="10"/>
              </w:rPr>
            </w:pPr>
          </w:p>
        </w:tc>
      </w:tr>
      <w:tr w:rsidR="00924992" w14:paraId="607489AC" w14:textId="77777777">
        <w:tblPrEx>
          <w:tblCellMar>
            <w:top w:w="0" w:type="dxa"/>
            <w:bottom w:w="0" w:type="dxa"/>
          </w:tblCellMar>
        </w:tblPrEx>
        <w:trPr>
          <w:trHeight w:hRule="exact" w:val="216"/>
        </w:trPr>
        <w:tc>
          <w:tcPr>
            <w:tcW w:w="3389" w:type="dxa"/>
            <w:shd w:val="clear" w:color="auto" w:fill="FFFFFF"/>
          </w:tcPr>
          <w:p w14:paraId="01AC29DD" w14:textId="77777777" w:rsidR="00924992" w:rsidRDefault="00924992">
            <w:pPr>
              <w:pStyle w:val="Other0"/>
              <w:framePr w:w="11750" w:h="6211" w:hSpace="182" w:vSpace="418" w:wrap="notBeside" w:vAnchor="text" w:hAnchor="text" w:y="1"/>
              <w:spacing w:line="240" w:lineRule="auto"/>
              <w:ind w:firstLine="340"/>
              <w:rPr>
                <w:sz w:val="16"/>
                <w:szCs w:val="16"/>
              </w:rPr>
            </w:pPr>
            <w:r>
              <w:rPr>
                <w:rFonts w:ascii="Times New Roman" w:eastAsia="Times New Roman" w:hAnsi="Times New Roman" w:cs="Times New Roman"/>
                <w:sz w:val="16"/>
                <w:szCs w:val="16"/>
              </w:rPr>
              <w:t>and Immunologic Drug Products</w:t>
            </w:r>
          </w:p>
        </w:tc>
        <w:tc>
          <w:tcPr>
            <w:tcW w:w="3053" w:type="dxa"/>
            <w:shd w:val="clear" w:color="auto" w:fill="FFFFFF"/>
          </w:tcPr>
          <w:p w14:paraId="44CEBC75" w14:textId="77777777" w:rsidR="00924992" w:rsidRDefault="00924992">
            <w:pPr>
              <w:pStyle w:val="Other0"/>
              <w:framePr w:w="11750" w:h="6211" w:hSpace="182" w:vSpace="418" w:wrap="notBeside" w:vAnchor="text" w:hAnchor="text" w:y="1"/>
              <w:spacing w:line="240" w:lineRule="auto"/>
              <w:ind w:firstLine="0"/>
              <w:rPr>
                <w:sz w:val="16"/>
                <w:szCs w:val="16"/>
              </w:rPr>
            </w:pPr>
            <w:r>
              <w:rPr>
                <w:rFonts w:ascii="Times New Roman" w:eastAsia="Times New Roman" w:hAnsi="Times New Roman" w:cs="Times New Roman"/>
                <w:sz w:val="16"/>
                <w:szCs w:val="16"/>
              </w:rPr>
              <w:t>1-301-827-2475 (Fax)</w:t>
            </w:r>
          </w:p>
        </w:tc>
        <w:tc>
          <w:tcPr>
            <w:tcW w:w="5309" w:type="dxa"/>
            <w:tcBorders>
              <w:right w:val="single" w:sz="4" w:space="0" w:color="auto"/>
            </w:tcBorders>
            <w:shd w:val="clear" w:color="auto" w:fill="FFFFFF"/>
          </w:tcPr>
          <w:p w14:paraId="4A209EAF" w14:textId="77777777" w:rsidR="00924992" w:rsidRDefault="00924992">
            <w:pPr>
              <w:framePr w:w="11750" w:h="6211" w:hSpace="182" w:vSpace="418" w:wrap="notBeside" w:vAnchor="text" w:hAnchor="text" w:y="1"/>
              <w:rPr>
                <w:sz w:val="10"/>
                <w:szCs w:val="10"/>
              </w:rPr>
            </w:pPr>
          </w:p>
        </w:tc>
      </w:tr>
      <w:tr w:rsidR="00924992" w14:paraId="2CE1630D" w14:textId="77777777">
        <w:tblPrEx>
          <w:tblCellMar>
            <w:top w:w="0" w:type="dxa"/>
            <w:bottom w:w="0" w:type="dxa"/>
          </w:tblCellMar>
        </w:tblPrEx>
        <w:trPr>
          <w:trHeight w:hRule="exact" w:val="216"/>
        </w:trPr>
        <w:tc>
          <w:tcPr>
            <w:tcW w:w="3389" w:type="dxa"/>
            <w:shd w:val="clear" w:color="auto" w:fill="FFFFFF"/>
          </w:tcPr>
          <w:p w14:paraId="71D26D1D" w14:textId="77777777" w:rsidR="00924992" w:rsidRDefault="00924992">
            <w:pPr>
              <w:pStyle w:val="Other0"/>
              <w:framePr w:w="11750" w:h="6211" w:hSpace="182" w:vSpace="418" w:wrap="notBeside" w:vAnchor="text" w:hAnchor="text" w:y="1"/>
              <w:spacing w:line="240" w:lineRule="auto"/>
              <w:ind w:firstLine="0"/>
              <w:rPr>
                <w:sz w:val="16"/>
                <w:szCs w:val="16"/>
              </w:rPr>
            </w:pPr>
            <w:r>
              <w:rPr>
                <w:rFonts w:ascii="Times New Roman" w:eastAsia="Times New Roman" w:hAnsi="Times New Roman" w:cs="Times New Roman"/>
                <w:sz w:val="16"/>
                <w:szCs w:val="16"/>
              </w:rPr>
              <w:t>• HIV/AIDS Office of Special Health Issues</w:t>
            </w:r>
          </w:p>
        </w:tc>
        <w:tc>
          <w:tcPr>
            <w:tcW w:w="3053" w:type="dxa"/>
            <w:shd w:val="clear" w:color="auto" w:fill="FFFFFF"/>
          </w:tcPr>
          <w:p w14:paraId="30B0E560" w14:textId="77777777" w:rsidR="00924992" w:rsidRDefault="00924992">
            <w:pPr>
              <w:pStyle w:val="Other0"/>
              <w:framePr w:w="11750" w:h="6211" w:hSpace="182" w:vSpace="418" w:wrap="notBeside" w:vAnchor="text" w:hAnchor="text" w:y="1"/>
              <w:spacing w:line="240" w:lineRule="auto"/>
              <w:ind w:firstLine="0"/>
              <w:rPr>
                <w:sz w:val="16"/>
                <w:szCs w:val="16"/>
              </w:rPr>
            </w:pPr>
            <w:r>
              <w:rPr>
                <w:rFonts w:ascii="Times New Roman" w:eastAsia="Times New Roman" w:hAnsi="Times New Roman" w:cs="Times New Roman"/>
                <w:sz w:val="16"/>
                <w:szCs w:val="16"/>
              </w:rPr>
              <w:t>1-301-827-4460</w:t>
            </w:r>
          </w:p>
        </w:tc>
        <w:tc>
          <w:tcPr>
            <w:tcW w:w="5309" w:type="dxa"/>
            <w:tcBorders>
              <w:right w:val="single" w:sz="4" w:space="0" w:color="auto"/>
            </w:tcBorders>
            <w:shd w:val="clear" w:color="auto" w:fill="FFFFFF"/>
          </w:tcPr>
          <w:p w14:paraId="0D5C66D3" w14:textId="77777777" w:rsidR="00924992" w:rsidRDefault="00924992">
            <w:pPr>
              <w:pStyle w:val="Other0"/>
              <w:framePr w:w="11750" w:h="6211" w:hSpace="182" w:vSpace="418" w:wrap="notBeside" w:vAnchor="text" w:hAnchor="text" w:y="1"/>
              <w:spacing w:line="240" w:lineRule="auto"/>
              <w:ind w:firstLine="420"/>
              <w:jc w:val="both"/>
              <w:rPr>
                <w:sz w:val="16"/>
                <w:szCs w:val="16"/>
              </w:rPr>
            </w:pPr>
            <w:hyperlink r:id="rId440" w:history="1">
              <w:r>
                <w:rPr>
                  <w:rFonts w:ascii="Times New Roman" w:eastAsia="Times New Roman" w:hAnsi="Times New Roman" w:cs="Times New Roman"/>
                  <w:sz w:val="16"/>
                  <w:szCs w:val="16"/>
                </w:rPr>
                <w:t>www.fda.gov/oashi/aids/hiv.html</w:t>
              </w:r>
            </w:hyperlink>
          </w:p>
        </w:tc>
      </w:tr>
      <w:tr w:rsidR="00924992" w14:paraId="293E817E" w14:textId="77777777">
        <w:tblPrEx>
          <w:tblCellMar>
            <w:top w:w="0" w:type="dxa"/>
            <w:bottom w:w="0" w:type="dxa"/>
          </w:tblCellMar>
        </w:tblPrEx>
        <w:trPr>
          <w:trHeight w:hRule="exact" w:val="638"/>
        </w:trPr>
        <w:tc>
          <w:tcPr>
            <w:tcW w:w="3389" w:type="dxa"/>
            <w:shd w:val="clear" w:color="auto" w:fill="FFFFFF"/>
          </w:tcPr>
          <w:p w14:paraId="5DA1BE9D" w14:textId="77777777" w:rsidR="00924992" w:rsidRDefault="00924992">
            <w:pPr>
              <w:pStyle w:val="Other0"/>
              <w:framePr w:w="11750" w:h="6211" w:hSpace="182" w:vSpace="418" w:wrap="notBeside" w:vAnchor="text" w:hAnchor="text" w:y="1"/>
              <w:spacing w:line="240" w:lineRule="auto"/>
              <w:ind w:firstLine="0"/>
              <w:rPr>
                <w:sz w:val="16"/>
                <w:szCs w:val="16"/>
              </w:rPr>
            </w:pPr>
            <w:r>
              <w:rPr>
                <w:rFonts w:ascii="Times New Roman" w:eastAsia="Times New Roman" w:hAnsi="Times New Roman" w:cs="Times New Roman"/>
                <w:sz w:val="16"/>
                <w:szCs w:val="16"/>
              </w:rPr>
              <w:t xml:space="preserve">• </w:t>
            </w:r>
            <w:r>
              <w:rPr>
                <w:rFonts w:ascii="Times New Roman" w:eastAsia="Times New Roman" w:hAnsi="Times New Roman" w:cs="Times New Roman"/>
                <w:smallCaps/>
                <w:sz w:val="16"/>
                <w:szCs w:val="16"/>
              </w:rPr>
              <w:t>Med</w:t>
            </w:r>
            <w:r>
              <w:rPr>
                <w:rFonts w:ascii="Book Antiqua" w:eastAsia="Book Antiqua" w:hAnsi="Book Antiqua" w:cs="Book Antiqua"/>
                <w:smallCaps/>
                <w:sz w:val="22"/>
                <w:szCs w:val="22"/>
              </w:rPr>
              <w:t>W</w:t>
            </w:r>
            <w:r>
              <w:rPr>
                <w:rFonts w:ascii="Times New Roman" w:eastAsia="Times New Roman" w:hAnsi="Times New Roman" w:cs="Times New Roman"/>
                <w:smallCaps/>
                <w:sz w:val="16"/>
                <w:szCs w:val="16"/>
              </w:rPr>
              <w:t>atch</w:t>
            </w:r>
          </w:p>
        </w:tc>
        <w:tc>
          <w:tcPr>
            <w:tcW w:w="3053" w:type="dxa"/>
            <w:shd w:val="clear" w:color="auto" w:fill="FFFFFF"/>
            <w:vAlign w:val="bottom"/>
          </w:tcPr>
          <w:p w14:paraId="211A8586" w14:textId="77777777" w:rsidR="00924992" w:rsidRDefault="00924992">
            <w:pPr>
              <w:pStyle w:val="Other0"/>
              <w:framePr w:w="11750" w:h="6211" w:hSpace="182" w:vSpace="418" w:wrap="notBeside" w:vAnchor="text" w:hAnchor="text" w:y="1"/>
              <w:spacing w:line="240" w:lineRule="auto"/>
              <w:ind w:firstLine="0"/>
              <w:rPr>
                <w:sz w:val="16"/>
                <w:szCs w:val="16"/>
              </w:rPr>
            </w:pPr>
            <w:r>
              <w:rPr>
                <w:rFonts w:ascii="Times New Roman" w:eastAsia="Times New Roman" w:hAnsi="Times New Roman" w:cs="Times New Roman"/>
                <w:sz w:val="16"/>
                <w:szCs w:val="16"/>
              </w:rPr>
              <w:t>1-800-FDA-1088 (1-800-332-1088)</w:t>
            </w:r>
          </w:p>
          <w:p w14:paraId="11811C28" w14:textId="77777777" w:rsidR="00924992" w:rsidRDefault="00924992">
            <w:pPr>
              <w:pStyle w:val="Other0"/>
              <w:framePr w:w="11750" w:h="6211" w:hSpace="182" w:vSpace="418" w:wrap="notBeside" w:vAnchor="text" w:hAnchor="text" w:y="1"/>
              <w:spacing w:line="240" w:lineRule="auto"/>
              <w:ind w:firstLine="0"/>
              <w:rPr>
                <w:sz w:val="16"/>
                <w:szCs w:val="16"/>
              </w:rPr>
            </w:pPr>
            <w:r>
              <w:rPr>
                <w:rFonts w:ascii="Times New Roman" w:eastAsia="Times New Roman" w:hAnsi="Times New Roman" w:cs="Times New Roman"/>
                <w:sz w:val="16"/>
                <w:szCs w:val="16"/>
              </w:rPr>
              <w:t>1-800-FDA-0178 (Fax)</w:t>
            </w:r>
          </w:p>
          <w:p w14:paraId="2121E008" w14:textId="77777777" w:rsidR="00924992" w:rsidRDefault="00924992">
            <w:pPr>
              <w:pStyle w:val="Other0"/>
              <w:framePr w:w="11750" w:h="6211" w:hSpace="182" w:vSpace="418" w:wrap="notBeside" w:vAnchor="text" w:hAnchor="text" w:y="1"/>
              <w:spacing w:line="240" w:lineRule="auto"/>
              <w:ind w:firstLine="0"/>
              <w:rPr>
                <w:sz w:val="16"/>
                <w:szCs w:val="16"/>
              </w:rPr>
            </w:pPr>
            <w:r>
              <w:rPr>
                <w:rFonts w:ascii="Times New Roman" w:eastAsia="Times New Roman" w:hAnsi="Times New Roman" w:cs="Times New Roman"/>
                <w:sz w:val="16"/>
                <w:szCs w:val="16"/>
              </w:rPr>
              <w:t>(1-800-332-0178)</w:t>
            </w:r>
          </w:p>
        </w:tc>
        <w:tc>
          <w:tcPr>
            <w:tcW w:w="5309" w:type="dxa"/>
            <w:tcBorders>
              <w:right w:val="single" w:sz="4" w:space="0" w:color="auto"/>
            </w:tcBorders>
            <w:shd w:val="clear" w:color="auto" w:fill="FFFFFF"/>
          </w:tcPr>
          <w:p w14:paraId="2B9C60E8" w14:textId="77777777" w:rsidR="00924992" w:rsidRDefault="00924992">
            <w:pPr>
              <w:pStyle w:val="Other0"/>
              <w:framePr w:w="11750" w:h="6211" w:hSpace="182" w:vSpace="418" w:wrap="notBeside" w:vAnchor="text" w:hAnchor="text" w:y="1"/>
              <w:spacing w:line="240" w:lineRule="auto"/>
              <w:ind w:firstLine="420"/>
              <w:jc w:val="both"/>
              <w:rPr>
                <w:sz w:val="16"/>
                <w:szCs w:val="16"/>
              </w:rPr>
            </w:pPr>
            <w:hyperlink r:id="rId441" w:history="1">
              <w:r>
                <w:rPr>
                  <w:rFonts w:ascii="Times New Roman" w:eastAsia="Times New Roman" w:hAnsi="Times New Roman" w:cs="Times New Roman"/>
                  <w:sz w:val="16"/>
                  <w:szCs w:val="16"/>
                </w:rPr>
                <w:t>www.fda.gov/medwatch</w:t>
              </w:r>
            </w:hyperlink>
          </w:p>
        </w:tc>
      </w:tr>
      <w:tr w:rsidR="00924992" w14:paraId="56BD9AAF" w14:textId="77777777">
        <w:tblPrEx>
          <w:tblCellMar>
            <w:top w:w="0" w:type="dxa"/>
            <w:bottom w:w="0" w:type="dxa"/>
          </w:tblCellMar>
        </w:tblPrEx>
        <w:trPr>
          <w:trHeight w:hRule="exact" w:val="226"/>
        </w:trPr>
        <w:tc>
          <w:tcPr>
            <w:tcW w:w="3389" w:type="dxa"/>
            <w:shd w:val="clear" w:color="auto" w:fill="FFFFFF"/>
            <w:vAlign w:val="bottom"/>
          </w:tcPr>
          <w:p w14:paraId="5DFA971D" w14:textId="77777777" w:rsidR="00924992" w:rsidRDefault="00924992">
            <w:pPr>
              <w:pStyle w:val="Other0"/>
              <w:framePr w:w="11750" w:h="6211" w:hSpace="182" w:vSpace="418" w:wrap="notBeside" w:vAnchor="text" w:hAnchor="text" w:y="1"/>
              <w:spacing w:line="240" w:lineRule="auto"/>
              <w:ind w:firstLine="0"/>
              <w:rPr>
                <w:sz w:val="16"/>
                <w:szCs w:val="16"/>
              </w:rPr>
            </w:pPr>
            <w:r>
              <w:rPr>
                <w:rFonts w:ascii="Times New Roman" w:eastAsia="Times New Roman" w:hAnsi="Times New Roman" w:cs="Times New Roman"/>
                <w:sz w:val="16"/>
                <w:szCs w:val="16"/>
              </w:rPr>
              <w:t>• Niños, vacunaciones en</w:t>
            </w:r>
          </w:p>
        </w:tc>
        <w:tc>
          <w:tcPr>
            <w:tcW w:w="3053" w:type="dxa"/>
            <w:shd w:val="clear" w:color="auto" w:fill="FFFFFF"/>
          </w:tcPr>
          <w:p w14:paraId="7184134A" w14:textId="77777777" w:rsidR="00924992" w:rsidRDefault="00924992">
            <w:pPr>
              <w:framePr w:w="11750" w:h="6211" w:hSpace="182" w:vSpace="418" w:wrap="notBeside" w:vAnchor="text" w:hAnchor="text" w:y="1"/>
              <w:rPr>
                <w:sz w:val="10"/>
                <w:szCs w:val="10"/>
              </w:rPr>
            </w:pPr>
          </w:p>
        </w:tc>
        <w:tc>
          <w:tcPr>
            <w:tcW w:w="5309" w:type="dxa"/>
            <w:tcBorders>
              <w:right w:val="single" w:sz="4" w:space="0" w:color="auto"/>
            </w:tcBorders>
            <w:shd w:val="clear" w:color="auto" w:fill="FFFFFF"/>
            <w:vAlign w:val="bottom"/>
          </w:tcPr>
          <w:p w14:paraId="72E50354" w14:textId="77777777" w:rsidR="00924992" w:rsidRDefault="00924992">
            <w:pPr>
              <w:pStyle w:val="Other0"/>
              <w:framePr w:w="11750" w:h="6211" w:hSpace="182" w:vSpace="418" w:wrap="notBeside" w:vAnchor="text" w:hAnchor="text" w:y="1"/>
              <w:spacing w:line="240" w:lineRule="auto"/>
              <w:ind w:firstLine="420"/>
              <w:jc w:val="both"/>
              <w:rPr>
                <w:sz w:val="16"/>
                <w:szCs w:val="16"/>
              </w:rPr>
            </w:pPr>
            <w:hyperlink r:id="rId442" w:history="1">
              <w:r>
                <w:rPr>
                  <w:rFonts w:ascii="Times New Roman" w:eastAsia="Times New Roman" w:hAnsi="Times New Roman" w:cs="Times New Roman"/>
                  <w:sz w:val="16"/>
                  <w:szCs w:val="16"/>
                </w:rPr>
                <w:t>www.fda.gov/fdac/reprints/vaccine.html</w:t>
              </w:r>
            </w:hyperlink>
          </w:p>
        </w:tc>
      </w:tr>
      <w:tr w:rsidR="00924992" w14:paraId="04CACA66" w14:textId="77777777">
        <w:tblPrEx>
          <w:tblCellMar>
            <w:top w:w="0" w:type="dxa"/>
            <w:bottom w:w="0" w:type="dxa"/>
          </w:tblCellMar>
        </w:tblPrEx>
        <w:trPr>
          <w:trHeight w:hRule="exact" w:val="432"/>
        </w:trPr>
        <w:tc>
          <w:tcPr>
            <w:tcW w:w="3389" w:type="dxa"/>
            <w:shd w:val="clear" w:color="auto" w:fill="FFFFFF"/>
          </w:tcPr>
          <w:p w14:paraId="42E41E70" w14:textId="77777777" w:rsidR="00924992" w:rsidRDefault="00924992">
            <w:pPr>
              <w:pStyle w:val="Other0"/>
              <w:framePr w:w="11750" w:h="6211" w:hSpace="182" w:vSpace="418" w:wrap="notBeside" w:vAnchor="text" w:hAnchor="text" w:y="1"/>
              <w:spacing w:line="283" w:lineRule="auto"/>
              <w:ind w:left="340" w:hanging="340"/>
              <w:rPr>
                <w:sz w:val="16"/>
                <w:szCs w:val="16"/>
              </w:rPr>
            </w:pPr>
            <w:r>
              <w:rPr>
                <w:rFonts w:ascii="Times New Roman" w:eastAsia="Times New Roman" w:hAnsi="Times New Roman" w:cs="Times New Roman"/>
                <w:sz w:val="16"/>
                <w:szCs w:val="16"/>
              </w:rPr>
              <w:t>• Vaccine Adverse Events Reporting System (VAERS)</w:t>
            </w:r>
          </w:p>
        </w:tc>
        <w:tc>
          <w:tcPr>
            <w:tcW w:w="3053" w:type="dxa"/>
            <w:shd w:val="clear" w:color="auto" w:fill="FFFFFF"/>
          </w:tcPr>
          <w:p w14:paraId="447099FC" w14:textId="77777777" w:rsidR="00924992" w:rsidRDefault="00924992">
            <w:pPr>
              <w:pStyle w:val="Other0"/>
              <w:framePr w:w="11750" w:h="6211" w:hSpace="182" w:vSpace="418" w:wrap="notBeside" w:vAnchor="text" w:hAnchor="text" w:y="1"/>
              <w:spacing w:line="240" w:lineRule="auto"/>
              <w:ind w:firstLine="0"/>
              <w:rPr>
                <w:sz w:val="16"/>
                <w:szCs w:val="16"/>
              </w:rPr>
            </w:pPr>
            <w:r>
              <w:rPr>
                <w:rFonts w:ascii="Times New Roman" w:eastAsia="Times New Roman" w:hAnsi="Times New Roman" w:cs="Times New Roman"/>
                <w:sz w:val="16"/>
                <w:szCs w:val="16"/>
              </w:rPr>
              <w:t>1-800-822-7967</w:t>
            </w:r>
          </w:p>
        </w:tc>
        <w:tc>
          <w:tcPr>
            <w:tcW w:w="5309" w:type="dxa"/>
            <w:tcBorders>
              <w:right w:val="single" w:sz="4" w:space="0" w:color="auto"/>
            </w:tcBorders>
            <w:shd w:val="clear" w:color="auto" w:fill="FFFFFF"/>
          </w:tcPr>
          <w:p w14:paraId="2ED03695" w14:textId="77777777" w:rsidR="00924992" w:rsidRDefault="00924992">
            <w:pPr>
              <w:pStyle w:val="Other0"/>
              <w:framePr w:w="11750" w:h="6211" w:hSpace="182" w:vSpace="418" w:wrap="notBeside" w:vAnchor="text" w:hAnchor="text" w:y="1"/>
              <w:spacing w:line="240" w:lineRule="auto"/>
              <w:ind w:firstLine="420"/>
              <w:jc w:val="both"/>
              <w:rPr>
                <w:sz w:val="16"/>
                <w:szCs w:val="16"/>
              </w:rPr>
            </w:pPr>
            <w:hyperlink r:id="rId443" w:history="1">
              <w:r>
                <w:rPr>
                  <w:rFonts w:ascii="Times New Roman" w:eastAsia="Times New Roman" w:hAnsi="Times New Roman" w:cs="Times New Roman"/>
                  <w:sz w:val="16"/>
                  <w:szCs w:val="16"/>
                </w:rPr>
                <w:t>www.fda.gov/cber/vaers/vaers.htm</w:t>
              </w:r>
            </w:hyperlink>
          </w:p>
        </w:tc>
      </w:tr>
      <w:tr w:rsidR="00924992" w14:paraId="51C3F16B" w14:textId="77777777">
        <w:tblPrEx>
          <w:tblCellMar>
            <w:top w:w="0" w:type="dxa"/>
            <w:bottom w:w="0" w:type="dxa"/>
          </w:tblCellMar>
        </w:tblPrEx>
        <w:trPr>
          <w:trHeight w:hRule="exact" w:val="206"/>
        </w:trPr>
        <w:tc>
          <w:tcPr>
            <w:tcW w:w="3389" w:type="dxa"/>
            <w:shd w:val="clear" w:color="auto" w:fill="FFFFFF"/>
            <w:vAlign w:val="bottom"/>
          </w:tcPr>
          <w:p w14:paraId="72C35D7B" w14:textId="77777777" w:rsidR="00924992" w:rsidRDefault="00924992">
            <w:pPr>
              <w:pStyle w:val="Other0"/>
              <w:framePr w:w="11750" w:h="6211" w:hSpace="182" w:vSpace="418" w:wrap="notBeside" w:vAnchor="text" w:hAnchor="text" w:y="1"/>
              <w:spacing w:line="240" w:lineRule="auto"/>
              <w:ind w:firstLine="0"/>
              <w:rPr>
                <w:sz w:val="16"/>
                <w:szCs w:val="16"/>
              </w:rPr>
            </w:pPr>
            <w:r>
              <w:rPr>
                <w:rFonts w:ascii="Times New Roman" w:eastAsia="Times New Roman" w:hAnsi="Times New Roman" w:cs="Times New Roman"/>
                <w:b/>
                <w:bCs/>
                <w:sz w:val="16"/>
                <w:szCs w:val="16"/>
              </w:rPr>
              <w:t>Immunization Action Coalition (IAC)</w:t>
            </w:r>
          </w:p>
        </w:tc>
        <w:tc>
          <w:tcPr>
            <w:tcW w:w="3053" w:type="dxa"/>
            <w:shd w:val="clear" w:color="auto" w:fill="FFFFFF"/>
            <w:vAlign w:val="bottom"/>
          </w:tcPr>
          <w:p w14:paraId="4BE61AE3" w14:textId="77777777" w:rsidR="00924992" w:rsidRDefault="00924992">
            <w:pPr>
              <w:pStyle w:val="Other0"/>
              <w:framePr w:w="11750" w:h="6211" w:hSpace="182" w:vSpace="418" w:wrap="notBeside" w:vAnchor="text" w:hAnchor="text" w:y="1"/>
              <w:spacing w:line="240" w:lineRule="auto"/>
              <w:ind w:firstLine="0"/>
              <w:rPr>
                <w:sz w:val="16"/>
                <w:szCs w:val="16"/>
              </w:rPr>
            </w:pPr>
            <w:r>
              <w:rPr>
                <w:rFonts w:ascii="Times New Roman" w:eastAsia="Times New Roman" w:hAnsi="Times New Roman" w:cs="Times New Roman"/>
                <w:sz w:val="16"/>
                <w:szCs w:val="16"/>
              </w:rPr>
              <w:t>1-651-647-9009</w:t>
            </w:r>
          </w:p>
        </w:tc>
        <w:tc>
          <w:tcPr>
            <w:tcW w:w="5309" w:type="dxa"/>
            <w:tcBorders>
              <w:right w:val="single" w:sz="4" w:space="0" w:color="auto"/>
            </w:tcBorders>
            <w:shd w:val="clear" w:color="auto" w:fill="FFFFFF"/>
            <w:vAlign w:val="bottom"/>
          </w:tcPr>
          <w:p w14:paraId="55A2632F" w14:textId="77777777" w:rsidR="00924992" w:rsidRDefault="00924992">
            <w:pPr>
              <w:pStyle w:val="Other0"/>
              <w:framePr w:w="11750" w:h="6211" w:hSpace="182" w:vSpace="418" w:wrap="notBeside" w:vAnchor="text" w:hAnchor="text" w:y="1"/>
              <w:spacing w:line="240" w:lineRule="auto"/>
              <w:ind w:firstLine="420"/>
              <w:jc w:val="both"/>
              <w:rPr>
                <w:sz w:val="16"/>
                <w:szCs w:val="16"/>
              </w:rPr>
            </w:pPr>
            <w:hyperlink r:id="rId444" w:history="1">
              <w:r>
                <w:rPr>
                  <w:rFonts w:ascii="Times New Roman" w:eastAsia="Times New Roman" w:hAnsi="Times New Roman" w:cs="Times New Roman"/>
                  <w:sz w:val="16"/>
                  <w:szCs w:val="16"/>
                </w:rPr>
                <w:t>www.immunize.org</w:t>
              </w:r>
            </w:hyperlink>
          </w:p>
        </w:tc>
      </w:tr>
      <w:tr w:rsidR="00924992" w14:paraId="7F770E7F" w14:textId="77777777">
        <w:tblPrEx>
          <w:tblCellMar>
            <w:top w:w="0" w:type="dxa"/>
            <w:bottom w:w="0" w:type="dxa"/>
          </w:tblCellMar>
        </w:tblPrEx>
        <w:trPr>
          <w:trHeight w:hRule="exact" w:val="638"/>
        </w:trPr>
        <w:tc>
          <w:tcPr>
            <w:tcW w:w="3389" w:type="dxa"/>
            <w:shd w:val="clear" w:color="auto" w:fill="FFFFFF"/>
          </w:tcPr>
          <w:p w14:paraId="65116C90" w14:textId="77777777" w:rsidR="00924992" w:rsidRDefault="00924992">
            <w:pPr>
              <w:pStyle w:val="Other0"/>
              <w:framePr w:w="11750" w:h="6211" w:hSpace="182" w:vSpace="418" w:wrap="notBeside" w:vAnchor="text" w:hAnchor="text" w:y="1"/>
              <w:spacing w:line="240" w:lineRule="auto"/>
              <w:ind w:firstLine="0"/>
              <w:rPr>
                <w:sz w:val="16"/>
                <w:szCs w:val="16"/>
              </w:rPr>
            </w:pPr>
            <w:r>
              <w:rPr>
                <w:rFonts w:ascii="Times New Roman" w:eastAsia="Times New Roman" w:hAnsi="Times New Roman" w:cs="Times New Roman"/>
                <w:sz w:val="16"/>
                <w:szCs w:val="16"/>
              </w:rPr>
              <w:t>1573 Selby Ave, Ste 234</w:t>
            </w:r>
          </w:p>
          <w:p w14:paraId="687EB038" w14:textId="77777777" w:rsidR="00924992" w:rsidRDefault="00924992">
            <w:pPr>
              <w:pStyle w:val="Other0"/>
              <w:framePr w:w="11750" w:h="6211" w:hSpace="182" w:vSpace="418" w:wrap="notBeside" w:vAnchor="text" w:hAnchor="text" w:y="1"/>
              <w:spacing w:line="240" w:lineRule="auto"/>
              <w:ind w:firstLine="0"/>
              <w:rPr>
                <w:sz w:val="16"/>
                <w:szCs w:val="16"/>
              </w:rPr>
            </w:pPr>
            <w:r>
              <w:rPr>
                <w:rFonts w:ascii="Times New Roman" w:eastAsia="Times New Roman" w:hAnsi="Times New Roman" w:cs="Times New Roman"/>
                <w:sz w:val="16"/>
                <w:szCs w:val="16"/>
              </w:rPr>
              <w:t>St Paul, MN 55104</w:t>
            </w:r>
          </w:p>
          <w:p w14:paraId="5F3B415D" w14:textId="77777777" w:rsidR="00924992" w:rsidRDefault="00924992">
            <w:pPr>
              <w:pStyle w:val="Other0"/>
              <w:framePr w:w="11750" w:h="6211" w:hSpace="182" w:vSpace="418" w:wrap="notBeside" w:vAnchor="text" w:hAnchor="text" w:y="1"/>
              <w:spacing w:line="240" w:lineRule="auto"/>
              <w:ind w:firstLine="0"/>
              <w:rPr>
                <w:sz w:val="16"/>
                <w:szCs w:val="16"/>
              </w:rPr>
            </w:pPr>
            <w:r>
              <w:rPr>
                <w:rFonts w:ascii="Times New Roman" w:eastAsia="Times New Roman" w:hAnsi="Times New Roman" w:cs="Times New Roman"/>
                <w:sz w:val="16"/>
                <w:szCs w:val="16"/>
              </w:rPr>
              <w:t>USA</w:t>
            </w:r>
          </w:p>
        </w:tc>
        <w:tc>
          <w:tcPr>
            <w:tcW w:w="3053" w:type="dxa"/>
            <w:shd w:val="clear" w:color="auto" w:fill="FFFFFF"/>
          </w:tcPr>
          <w:p w14:paraId="7F4771A3" w14:textId="77777777" w:rsidR="00924992" w:rsidRDefault="00924992">
            <w:pPr>
              <w:pStyle w:val="Other0"/>
              <w:framePr w:w="11750" w:h="6211" w:hSpace="182" w:vSpace="418" w:wrap="notBeside" w:vAnchor="text" w:hAnchor="text" w:y="1"/>
              <w:spacing w:line="240" w:lineRule="auto"/>
              <w:ind w:firstLine="0"/>
              <w:rPr>
                <w:sz w:val="16"/>
                <w:szCs w:val="16"/>
              </w:rPr>
            </w:pPr>
            <w:r>
              <w:rPr>
                <w:rFonts w:ascii="Times New Roman" w:eastAsia="Times New Roman" w:hAnsi="Times New Roman" w:cs="Times New Roman"/>
                <w:sz w:val="16"/>
                <w:szCs w:val="16"/>
              </w:rPr>
              <w:t>1-651-647-9131 (Fax)</w:t>
            </w:r>
          </w:p>
        </w:tc>
        <w:tc>
          <w:tcPr>
            <w:tcW w:w="5309" w:type="dxa"/>
            <w:tcBorders>
              <w:right w:val="single" w:sz="4" w:space="0" w:color="auto"/>
            </w:tcBorders>
            <w:shd w:val="clear" w:color="auto" w:fill="FFFFFF"/>
          </w:tcPr>
          <w:p w14:paraId="72DF66C8" w14:textId="77777777" w:rsidR="00924992" w:rsidRDefault="00924992">
            <w:pPr>
              <w:framePr w:w="11750" w:h="6211" w:hSpace="182" w:vSpace="418" w:wrap="notBeside" w:vAnchor="text" w:hAnchor="text" w:y="1"/>
              <w:rPr>
                <w:sz w:val="10"/>
                <w:szCs w:val="10"/>
              </w:rPr>
            </w:pPr>
          </w:p>
        </w:tc>
      </w:tr>
      <w:tr w:rsidR="00924992" w14:paraId="136BF60B" w14:textId="77777777">
        <w:tblPrEx>
          <w:tblCellMar>
            <w:top w:w="0" w:type="dxa"/>
            <w:bottom w:w="0" w:type="dxa"/>
          </w:tblCellMar>
        </w:tblPrEx>
        <w:trPr>
          <w:trHeight w:hRule="exact" w:val="235"/>
        </w:trPr>
        <w:tc>
          <w:tcPr>
            <w:tcW w:w="3389" w:type="dxa"/>
            <w:shd w:val="clear" w:color="auto" w:fill="FFFFFF"/>
            <w:vAlign w:val="bottom"/>
          </w:tcPr>
          <w:p w14:paraId="15742A7B" w14:textId="77777777" w:rsidR="00924992" w:rsidRDefault="00924992">
            <w:pPr>
              <w:pStyle w:val="Other0"/>
              <w:framePr w:w="11750" w:h="6211" w:hSpace="182" w:vSpace="418" w:wrap="notBeside" w:vAnchor="text" w:hAnchor="text" w:y="1"/>
              <w:spacing w:line="240" w:lineRule="auto"/>
              <w:ind w:firstLine="0"/>
              <w:rPr>
                <w:sz w:val="16"/>
                <w:szCs w:val="16"/>
              </w:rPr>
            </w:pPr>
            <w:r>
              <w:rPr>
                <w:rFonts w:ascii="Times New Roman" w:eastAsia="Times New Roman" w:hAnsi="Times New Roman" w:cs="Times New Roman"/>
                <w:b/>
                <w:bCs/>
                <w:sz w:val="16"/>
                <w:szCs w:val="16"/>
              </w:rPr>
              <w:t>Infectious Diseases Society of America (IDSA)</w:t>
            </w:r>
          </w:p>
        </w:tc>
        <w:tc>
          <w:tcPr>
            <w:tcW w:w="3053" w:type="dxa"/>
            <w:shd w:val="clear" w:color="auto" w:fill="FFFFFF"/>
            <w:vAlign w:val="bottom"/>
          </w:tcPr>
          <w:p w14:paraId="248E6C67" w14:textId="77777777" w:rsidR="00924992" w:rsidRDefault="00924992">
            <w:pPr>
              <w:pStyle w:val="Other0"/>
              <w:framePr w:w="11750" w:h="6211" w:hSpace="182" w:vSpace="418" w:wrap="notBeside" w:vAnchor="text" w:hAnchor="text" w:y="1"/>
              <w:spacing w:line="240" w:lineRule="auto"/>
              <w:ind w:firstLine="0"/>
              <w:rPr>
                <w:sz w:val="16"/>
                <w:szCs w:val="16"/>
              </w:rPr>
            </w:pPr>
            <w:r>
              <w:rPr>
                <w:rFonts w:ascii="Times New Roman" w:eastAsia="Times New Roman" w:hAnsi="Times New Roman" w:cs="Times New Roman"/>
                <w:sz w:val="16"/>
                <w:szCs w:val="16"/>
              </w:rPr>
              <w:t>1-703-299-0200</w:t>
            </w:r>
          </w:p>
        </w:tc>
        <w:tc>
          <w:tcPr>
            <w:tcW w:w="5309" w:type="dxa"/>
            <w:tcBorders>
              <w:right w:val="single" w:sz="4" w:space="0" w:color="auto"/>
            </w:tcBorders>
            <w:shd w:val="clear" w:color="auto" w:fill="FFFFFF"/>
            <w:vAlign w:val="bottom"/>
          </w:tcPr>
          <w:p w14:paraId="06E17C58" w14:textId="77777777" w:rsidR="00924992" w:rsidRDefault="00924992">
            <w:pPr>
              <w:pStyle w:val="Other0"/>
              <w:framePr w:w="11750" w:h="6211" w:hSpace="182" w:vSpace="418" w:wrap="notBeside" w:vAnchor="text" w:hAnchor="text" w:y="1"/>
              <w:spacing w:line="240" w:lineRule="auto"/>
              <w:ind w:firstLine="420"/>
              <w:rPr>
                <w:sz w:val="16"/>
                <w:szCs w:val="16"/>
              </w:rPr>
            </w:pPr>
            <w:hyperlink r:id="rId445" w:history="1">
              <w:r>
                <w:rPr>
                  <w:rFonts w:ascii="Times New Roman" w:eastAsia="Times New Roman" w:hAnsi="Times New Roman" w:cs="Times New Roman"/>
                  <w:sz w:val="16"/>
                  <w:szCs w:val="16"/>
                </w:rPr>
                <w:t>www.idsociety.org</w:t>
              </w:r>
            </w:hyperlink>
          </w:p>
        </w:tc>
      </w:tr>
      <w:tr w:rsidR="00924992" w14:paraId="0753B13E" w14:textId="77777777">
        <w:tblPrEx>
          <w:tblCellMar>
            <w:top w:w="0" w:type="dxa"/>
            <w:bottom w:w="0" w:type="dxa"/>
          </w:tblCellMar>
        </w:tblPrEx>
        <w:trPr>
          <w:trHeight w:hRule="exact" w:val="235"/>
        </w:trPr>
        <w:tc>
          <w:tcPr>
            <w:tcW w:w="3389" w:type="dxa"/>
            <w:shd w:val="clear" w:color="auto" w:fill="FFFFFF"/>
          </w:tcPr>
          <w:p w14:paraId="2FCAAEB5" w14:textId="77777777" w:rsidR="00924992" w:rsidRDefault="00924992">
            <w:pPr>
              <w:pStyle w:val="Other0"/>
              <w:framePr w:w="11750" w:h="6211" w:hSpace="182" w:vSpace="418" w:wrap="notBeside" w:vAnchor="text" w:hAnchor="text" w:y="1"/>
              <w:spacing w:line="240" w:lineRule="auto"/>
              <w:ind w:firstLine="0"/>
              <w:rPr>
                <w:sz w:val="16"/>
                <w:szCs w:val="16"/>
              </w:rPr>
            </w:pPr>
            <w:r>
              <w:rPr>
                <w:rFonts w:ascii="Times New Roman" w:eastAsia="Times New Roman" w:hAnsi="Times New Roman" w:cs="Times New Roman"/>
                <w:sz w:val="16"/>
                <w:szCs w:val="16"/>
              </w:rPr>
              <w:t>66 Canal Center Plaza, Ste 600</w:t>
            </w:r>
          </w:p>
        </w:tc>
        <w:tc>
          <w:tcPr>
            <w:tcW w:w="3053" w:type="dxa"/>
            <w:shd w:val="clear" w:color="auto" w:fill="FFFFFF"/>
          </w:tcPr>
          <w:p w14:paraId="0D9D1DC3" w14:textId="77777777" w:rsidR="00924992" w:rsidRDefault="00924992">
            <w:pPr>
              <w:pStyle w:val="Other0"/>
              <w:framePr w:w="11750" w:h="6211" w:hSpace="182" w:vSpace="418" w:wrap="notBeside" w:vAnchor="text" w:hAnchor="text" w:y="1"/>
              <w:spacing w:line="240" w:lineRule="auto"/>
              <w:ind w:firstLine="0"/>
              <w:rPr>
                <w:sz w:val="16"/>
                <w:szCs w:val="16"/>
              </w:rPr>
            </w:pPr>
            <w:r>
              <w:rPr>
                <w:rFonts w:ascii="Times New Roman" w:eastAsia="Times New Roman" w:hAnsi="Times New Roman" w:cs="Times New Roman"/>
                <w:sz w:val="16"/>
                <w:szCs w:val="16"/>
              </w:rPr>
              <w:t>1-703-299-0204 (Fax)</w:t>
            </w:r>
          </w:p>
        </w:tc>
        <w:tc>
          <w:tcPr>
            <w:tcW w:w="5309" w:type="dxa"/>
            <w:tcBorders>
              <w:right w:val="single" w:sz="4" w:space="0" w:color="auto"/>
            </w:tcBorders>
            <w:shd w:val="clear" w:color="auto" w:fill="FFFFFF"/>
          </w:tcPr>
          <w:p w14:paraId="5F8B8AAB" w14:textId="77777777" w:rsidR="00924992" w:rsidRDefault="00924992">
            <w:pPr>
              <w:framePr w:w="11750" w:h="6211" w:hSpace="182" w:vSpace="418" w:wrap="notBeside" w:vAnchor="text" w:hAnchor="text" w:y="1"/>
              <w:rPr>
                <w:sz w:val="10"/>
                <w:szCs w:val="10"/>
              </w:rPr>
            </w:pPr>
          </w:p>
        </w:tc>
      </w:tr>
    </w:tbl>
    <w:p w14:paraId="30C35950" w14:textId="77777777" w:rsidR="00924992" w:rsidRDefault="00924992">
      <w:pPr>
        <w:pStyle w:val="Tablecaption0"/>
        <w:framePr w:w="1613" w:h="442" w:hSpace="10320" w:wrap="notBeside" w:vAnchor="text" w:hAnchor="text" w:x="44" w:y="6188"/>
        <w:spacing w:line="240" w:lineRule="auto"/>
        <w:ind w:left="0"/>
        <w:rPr>
          <w:sz w:val="16"/>
          <w:szCs w:val="16"/>
        </w:rPr>
      </w:pPr>
      <w:r>
        <w:rPr>
          <w:sz w:val="16"/>
          <w:szCs w:val="16"/>
        </w:rPr>
        <w:t>Alexandria, VA 22314</w:t>
      </w:r>
    </w:p>
    <w:p w14:paraId="514617F8" w14:textId="77777777" w:rsidR="00924992" w:rsidRDefault="00924992">
      <w:pPr>
        <w:pStyle w:val="Tablecaption0"/>
        <w:framePr w:w="1613" w:h="442" w:hSpace="10320" w:wrap="notBeside" w:vAnchor="text" w:hAnchor="text" w:x="44" w:y="6188"/>
        <w:spacing w:line="240" w:lineRule="auto"/>
        <w:ind w:left="0"/>
        <w:rPr>
          <w:sz w:val="16"/>
          <w:szCs w:val="16"/>
        </w:rPr>
      </w:pPr>
      <w:r>
        <w:rPr>
          <w:sz w:val="16"/>
          <w:szCs w:val="16"/>
        </w:rPr>
        <w:t>USA</w:t>
      </w:r>
    </w:p>
    <w:p w14:paraId="091270FF" w14:textId="77777777" w:rsidR="00924992" w:rsidRDefault="00924992">
      <w:pPr>
        <w:pStyle w:val="Tablecaption0"/>
        <w:framePr w:w="168" w:h="4483" w:hRule="exact" w:hSpace="11765" w:wrap="notBeside" w:vAnchor="text" w:hAnchor="text" w:x="11766" w:y="2046"/>
        <w:tabs>
          <w:tab w:val="left" w:pos="4166"/>
        </w:tabs>
        <w:spacing w:line="240" w:lineRule="auto"/>
        <w:ind w:left="0"/>
        <w:textDirection w:val="tbRl"/>
        <w:rPr>
          <w:sz w:val="16"/>
          <w:szCs w:val="16"/>
        </w:rPr>
      </w:pPr>
      <w:r>
        <w:rPr>
          <w:rFonts w:ascii="Arial" w:eastAsia="Arial" w:hAnsi="Arial" w:cs="Arial"/>
          <w:sz w:val="14"/>
          <w:szCs w:val="14"/>
        </w:rPr>
        <w:t>PROFILAXIA ANTIMICROBIANA</w:t>
      </w:r>
      <w:r>
        <w:rPr>
          <w:rFonts w:ascii="Arial" w:eastAsia="Arial" w:hAnsi="Arial" w:cs="Arial"/>
          <w:sz w:val="14"/>
          <w:szCs w:val="14"/>
        </w:rPr>
        <w:tab/>
      </w:r>
      <w:r>
        <w:rPr>
          <w:rFonts w:ascii="Arial" w:eastAsia="Arial" w:hAnsi="Arial" w:cs="Arial"/>
          <w:sz w:val="16"/>
          <w:szCs w:val="16"/>
        </w:rPr>
        <w:t>827</w:t>
      </w:r>
    </w:p>
    <w:p w14:paraId="23858955" w14:textId="77777777" w:rsidR="00924992" w:rsidRDefault="00924992">
      <w:pPr>
        <w:spacing w:line="1" w:lineRule="exact"/>
        <w:sectPr w:rsidR="00924992" w:rsidSect="00924992">
          <w:footnotePr>
            <w:numFmt w:val="chicago"/>
          </w:footnotePr>
          <w:pgSz w:w="13022" w:h="8501" w:orient="landscape"/>
          <w:pgMar w:top="1104" w:right="466" w:bottom="203" w:left="624" w:header="676" w:footer="3" w:gutter="0"/>
          <w:cols w:space="720"/>
          <w:noEndnote/>
          <w:docGrid w:linePitch="360"/>
          <w15:footnoteColumns w:val="1"/>
        </w:sectPr>
      </w:pPr>
    </w:p>
    <w:p w14:paraId="54F2392D" w14:textId="77777777" w:rsidR="00924992" w:rsidRDefault="00924992">
      <w:pPr>
        <w:pStyle w:val="Heading41"/>
        <w:keepNext/>
        <w:keepLines/>
        <w:framePr w:w="1090" w:h="298" w:wrap="none" w:hAnchor="page" w:x="683" w:y="351"/>
        <w:pBdr>
          <w:top w:val="single" w:sz="0" w:space="0" w:color="231F20"/>
          <w:left w:val="single" w:sz="0" w:space="0" w:color="231F20"/>
          <w:bottom w:val="single" w:sz="0" w:space="0" w:color="231F20"/>
          <w:right w:val="single" w:sz="0" w:space="0" w:color="231F20"/>
        </w:pBdr>
        <w:shd w:val="clear" w:color="auto" w:fill="231F20"/>
      </w:pPr>
      <w:bookmarkStart w:id="822" w:name="bookmark2216"/>
      <w:bookmarkStart w:id="823" w:name="bookmark2217"/>
      <w:bookmarkStart w:id="824" w:name="bookmark2218"/>
      <w:r>
        <w:rPr>
          <w:color w:val="FFFFFF"/>
        </w:rPr>
        <w:t>Organización</w:t>
      </w:r>
      <w:bookmarkEnd w:id="822"/>
      <w:bookmarkEnd w:id="823"/>
      <w:bookmarkEnd w:id="824"/>
    </w:p>
    <w:p w14:paraId="6B884F22" w14:textId="77777777" w:rsidR="00924992" w:rsidRDefault="00924992">
      <w:pPr>
        <w:pStyle w:val="Bodytext20"/>
        <w:framePr w:w="2712" w:h="1939" w:wrap="none" w:hAnchor="page" w:x="673" w:y="721"/>
      </w:pPr>
      <w:r>
        <w:rPr>
          <w:b/>
          <w:bCs/>
        </w:rPr>
        <w:t>Institute of Medicine (IOM)</w:t>
      </w:r>
    </w:p>
    <w:p w14:paraId="6750B8BF" w14:textId="77777777" w:rsidR="00924992" w:rsidRDefault="00924992">
      <w:pPr>
        <w:pStyle w:val="Bodytext20"/>
        <w:framePr w:w="2712" w:h="1939" w:wrap="none" w:hAnchor="page" w:x="673" w:y="721"/>
      </w:pPr>
      <w:r>
        <w:t>The National Academies</w:t>
      </w:r>
    </w:p>
    <w:p w14:paraId="1ECC58B9" w14:textId="77777777" w:rsidR="00924992" w:rsidRDefault="00924992">
      <w:pPr>
        <w:pStyle w:val="Bodytext20"/>
        <w:framePr w:w="2712" w:h="1939" w:wrap="none" w:hAnchor="page" w:x="673" w:y="721"/>
      </w:pPr>
      <w:r>
        <w:t>500 Fifth St, NW Washington, DC 20001</w:t>
      </w:r>
    </w:p>
    <w:p w14:paraId="207462D0" w14:textId="77777777" w:rsidR="00924992" w:rsidRDefault="00924992">
      <w:pPr>
        <w:pStyle w:val="Bodytext20"/>
        <w:framePr w:w="2712" w:h="1939" w:wrap="none" w:hAnchor="page" w:x="673" w:y="721"/>
      </w:pPr>
      <w:r>
        <w:t>USA</w:t>
      </w:r>
    </w:p>
    <w:p w14:paraId="2BFF827B" w14:textId="77777777" w:rsidR="00924992" w:rsidRDefault="00924992">
      <w:pPr>
        <w:pStyle w:val="Bodytext20"/>
        <w:framePr w:w="2712" w:h="1939" w:wrap="none" w:hAnchor="page" w:x="673" w:y="721"/>
      </w:pPr>
      <w:r>
        <w:rPr>
          <w:b/>
          <w:bCs/>
        </w:rPr>
        <w:t>National Institutes of Health (NIH)</w:t>
      </w:r>
    </w:p>
    <w:p w14:paraId="043D7603" w14:textId="77777777" w:rsidR="00924992" w:rsidRDefault="00924992">
      <w:pPr>
        <w:pStyle w:val="Bodytext20"/>
        <w:framePr w:w="2712" w:h="1939" w:wrap="none" w:hAnchor="page" w:x="673" w:y="721"/>
      </w:pPr>
      <w:r>
        <w:t>9000 Rockville Pike</w:t>
      </w:r>
    </w:p>
    <w:p w14:paraId="44E515F3" w14:textId="77777777" w:rsidR="00924992" w:rsidRDefault="00924992">
      <w:pPr>
        <w:pStyle w:val="Bodytext20"/>
        <w:framePr w:w="2712" w:h="1939" w:wrap="none" w:hAnchor="page" w:x="673" w:y="721"/>
      </w:pPr>
      <w:r>
        <w:t>Bethesda, MD 20892</w:t>
      </w:r>
    </w:p>
    <w:p w14:paraId="2387E259" w14:textId="77777777" w:rsidR="00924992" w:rsidRDefault="00924992">
      <w:pPr>
        <w:pStyle w:val="Bodytext20"/>
        <w:framePr w:w="2712" w:h="1939" w:wrap="none" w:hAnchor="page" w:x="673" w:y="721"/>
      </w:pPr>
      <w:r>
        <w:t>USA</w:t>
      </w:r>
    </w:p>
    <w:p w14:paraId="2F03265B" w14:textId="77777777" w:rsidR="00924992" w:rsidRDefault="00924992">
      <w:pPr>
        <w:pStyle w:val="Bodytext20"/>
        <w:framePr w:w="3346" w:h="4114" w:wrap="none" w:hAnchor="page" w:x="668" w:y="2665"/>
        <w:numPr>
          <w:ilvl w:val="0"/>
          <w:numId w:val="153"/>
        </w:numPr>
        <w:tabs>
          <w:tab w:val="left" w:pos="158"/>
        </w:tabs>
        <w:spacing w:line="240" w:lineRule="auto"/>
      </w:pPr>
      <w:bookmarkStart w:id="825" w:name="bookmark2219"/>
      <w:bookmarkEnd w:id="825"/>
      <w:r>
        <w:t>National Institute of Allergy and Infectious</w:t>
      </w:r>
    </w:p>
    <w:p w14:paraId="26E3497A" w14:textId="77777777" w:rsidR="00924992" w:rsidRDefault="00924992">
      <w:pPr>
        <w:pStyle w:val="Bodytext20"/>
        <w:framePr w:w="3346" w:h="4114" w:wrap="none" w:hAnchor="page" w:x="668" w:y="2665"/>
        <w:spacing w:line="240" w:lineRule="auto"/>
        <w:ind w:firstLine="300"/>
      </w:pPr>
      <w:r>
        <w:t>Diseases (NIAID)</w:t>
      </w:r>
    </w:p>
    <w:p w14:paraId="78868DAE" w14:textId="77777777" w:rsidR="00924992" w:rsidRDefault="00924992">
      <w:pPr>
        <w:pStyle w:val="Bodytext20"/>
        <w:framePr w:w="3346" w:h="4114" w:wrap="none" w:hAnchor="page" w:x="668" w:y="2665"/>
        <w:numPr>
          <w:ilvl w:val="0"/>
          <w:numId w:val="153"/>
        </w:numPr>
        <w:tabs>
          <w:tab w:val="left" w:pos="158"/>
        </w:tabs>
        <w:spacing w:line="240" w:lineRule="auto"/>
      </w:pPr>
      <w:bookmarkStart w:id="826" w:name="bookmark2220"/>
      <w:bookmarkEnd w:id="826"/>
      <w:r>
        <w:t>NIAID Collaborative Antiviral Study Group</w:t>
      </w:r>
    </w:p>
    <w:p w14:paraId="5CF64D89" w14:textId="77777777" w:rsidR="00924992" w:rsidRDefault="00924992">
      <w:pPr>
        <w:pStyle w:val="Bodytext20"/>
        <w:framePr w:w="3346" w:h="4114" w:wrap="none" w:hAnchor="page" w:x="668" w:y="2665"/>
        <w:numPr>
          <w:ilvl w:val="0"/>
          <w:numId w:val="153"/>
        </w:numPr>
        <w:tabs>
          <w:tab w:val="left" w:pos="158"/>
        </w:tabs>
        <w:spacing w:line="240" w:lineRule="auto"/>
      </w:pPr>
      <w:bookmarkStart w:id="827" w:name="bookmark2221"/>
      <w:bookmarkEnd w:id="827"/>
      <w:r>
        <w:t>National Library of Medicine</w:t>
      </w:r>
    </w:p>
    <w:p w14:paraId="70096E63" w14:textId="77777777" w:rsidR="00924992" w:rsidRDefault="00924992">
      <w:pPr>
        <w:pStyle w:val="Bodytext20"/>
        <w:framePr w:w="3346" w:h="4114" w:wrap="none" w:hAnchor="page" w:x="668" w:y="2665"/>
        <w:spacing w:line="240" w:lineRule="auto"/>
        <w:ind w:firstLine="200"/>
      </w:pPr>
      <w:r>
        <w:t>8600 Rockville Pike</w:t>
      </w:r>
    </w:p>
    <w:p w14:paraId="34DCC234" w14:textId="77777777" w:rsidR="00924992" w:rsidRDefault="00924992">
      <w:pPr>
        <w:pStyle w:val="Bodytext20"/>
        <w:framePr w:w="3346" w:h="4114" w:wrap="none" w:hAnchor="page" w:x="668" w:y="2665"/>
        <w:spacing w:line="240" w:lineRule="auto"/>
        <w:ind w:firstLine="200"/>
      </w:pPr>
      <w:r>
        <w:t>Bethesda, MD 20894</w:t>
      </w:r>
    </w:p>
    <w:p w14:paraId="141310A5" w14:textId="77777777" w:rsidR="00924992" w:rsidRDefault="00924992">
      <w:pPr>
        <w:pStyle w:val="Bodytext20"/>
        <w:framePr w:w="3346" w:h="4114" w:wrap="none" w:hAnchor="page" w:x="668" w:y="2665"/>
        <w:spacing w:line="240" w:lineRule="auto"/>
        <w:ind w:firstLine="200"/>
      </w:pPr>
      <w:r>
        <w:t>USA</w:t>
      </w:r>
    </w:p>
    <w:p w14:paraId="3A7255EB" w14:textId="77777777" w:rsidR="00924992" w:rsidRDefault="00924992">
      <w:pPr>
        <w:pStyle w:val="Bodytext20"/>
        <w:framePr w:w="3346" w:h="4114" w:wrap="none" w:hAnchor="page" w:x="668" w:y="2665"/>
        <w:spacing w:line="240" w:lineRule="auto"/>
      </w:pPr>
      <w:r>
        <w:rPr>
          <w:b/>
          <w:bCs/>
        </w:rPr>
        <w:t>National Network for Immunization</w:t>
      </w:r>
    </w:p>
    <w:p w14:paraId="4F56F941" w14:textId="77777777" w:rsidR="00924992" w:rsidRDefault="00924992">
      <w:pPr>
        <w:pStyle w:val="Bodytext20"/>
        <w:framePr w:w="3346" w:h="4114" w:wrap="none" w:hAnchor="page" w:x="668" w:y="2665"/>
        <w:spacing w:line="240" w:lineRule="auto"/>
      </w:pPr>
      <w:r>
        <w:rPr>
          <w:b/>
          <w:bCs/>
        </w:rPr>
        <w:t>Information (NNii)</w:t>
      </w:r>
    </w:p>
    <w:p w14:paraId="56A50722" w14:textId="77777777" w:rsidR="00924992" w:rsidRDefault="00924992">
      <w:pPr>
        <w:pStyle w:val="Bodytext20"/>
        <w:framePr w:w="3346" w:h="4114" w:wrap="none" w:hAnchor="page" w:x="668" w:y="2665"/>
        <w:spacing w:line="240" w:lineRule="auto"/>
      </w:pPr>
      <w:r>
        <w:t>66 Canal Center Plaza, Ste 600</w:t>
      </w:r>
    </w:p>
    <w:p w14:paraId="140F78FF" w14:textId="77777777" w:rsidR="00924992" w:rsidRDefault="00924992">
      <w:pPr>
        <w:pStyle w:val="Bodytext20"/>
        <w:framePr w:w="3346" w:h="4114" w:wrap="none" w:hAnchor="page" w:x="668" w:y="2665"/>
        <w:spacing w:line="240" w:lineRule="auto"/>
      </w:pPr>
      <w:r>
        <w:t>Alexandria, VA 20001</w:t>
      </w:r>
    </w:p>
    <w:p w14:paraId="30A199B7" w14:textId="77777777" w:rsidR="00924992" w:rsidRDefault="00924992">
      <w:pPr>
        <w:pStyle w:val="Bodytext20"/>
        <w:framePr w:w="3346" w:h="4114" w:wrap="none" w:hAnchor="page" w:x="668" w:y="2665"/>
        <w:spacing w:line="240" w:lineRule="auto"/>
      </w:pPr>
      <w:r>
        <w:t>USA</w:t>
      </w:r>
    </w:p>
    <w:p w14:paraId="4292DB78" w14:textId="77777777" w:rsidR="00924992" w:rsidRDefault="00924992">
      <w:pPr>
        <w:pStyle w:val="Bodytext20"/>
        <w:framePr w:w="3346" w:h="4114" w:wrap="none" w:hAnchor="page" w:x="668" w:y="2665"/>
        <w:spacing w:line="240" w:lineRule="auto"/>
      </w:pPr>
      <w:r>
        <w:rPr>
          <w:b/>
          <w:bCs/>
        </w:rPr>
        <w:t>National Pediatric &amp; Family HIV</w:t>
      </w:r>
    </w:p>
    <w:p w14:paraId="16FA6A35" w14:textId="77777777" w:rsidR="00924992" w:rsidRDefault="00924992">
      <w:pPr>
        <w:pStyle w:val="Bodytext20"/>
        <w:framePr w:w="3346" w:h="4114" w:wrap="none" w:hAnchor="page" w:x="668" w:y="2665"/>
        <w:spacing w:line="240" w:lineRule="auto"/>
      </w:pPr>
      <w:r>
        <w:rPr>
          <w:b/>
          <w:bCs/>
        </w:rPr>
        <w:t>Resource Center (NPHRC)</w:t>
      </w:r>
    </w:p>
    <w:p w14:paraId="1FC91E0A" w14:textId="77777777" w:rsidR="00924992" w:rsidRDefault="00924992">
      <w:pPr>
        <w:pStyle w:val="Bodytext20"/>
        <w:framePr w:w="3346" w:h="4114" w:wrap="none" w:hAnchor="page" w:x="668" w:y="2665"/>
        <w:spacing w:line="240" w:lineRule="auto"/>
      </w:pPr>
      <w:r>
        <w:t>University of Medicine &amp; Dentistry</w:t>
      </w:r>
    </w:p>
    <w:p w14:paraId="0192349D" w14:textId="77777777" w:rsidR="00924992" w:rsidRDefault="00924992">
      <w:pPr>
        <w:pStyle w:val="Bodytext20"/>
        <w:framePr w:w="3346" w:h="4114" w:wrap="none" w:hAnchor="page" w:x="668" w:y="2665"/>
        <w:spacing w:line="240" w:lineRule="auto"/>
      </w:pPr>
      <w:r>
        <w:t>of New Jersey</w:t>
      </w:r>
    </w:p>
    <w:p w14:paraId="60F90961" w14:textId="77777777" w:rsidR="00924992" w:rsidRDefault="00924992">
      <w:pPr>
        <w:pStyle w:val="Bodytext20"/>
        <w:framePr w:w="3346" w:h="4114" w:wrap="none" w:hAnchor="page" w:x="668" w:y="2665"/>
        <w:spacing w:line="240" w:lineRule="auto"/>
      </w:pPr>
      <w:r>
        <w:t>30 Bergen St, ADMC #4</w:t>
      </w:r>
    </w:p>
    <w:p w14:paraId="4CE9BDBB" w14:textId="77777777" w:rsidR="00924992" w:rsidRDefault="00924992">
      <w:pPr>
        <w:pStyle w:val="Bodytext20"/>
        <w:framePr w:w="3346" w:h="4114" w:wrap="none" w:hAnchor="page" w:x="668" w:y="2665"/>
        <w:spacing w:line="240" w:lineRule="auto"/>
      </w:pPr>
      <w:r>
        <w:t>Newark, NJ 07103</w:t>
      </w:r>
    </w:p>
    <w:p w14:paraId="3E209F07" w14:textId="77777777" w:rsidR="00924992" w:rsidRDefault="00924992">
      <w:pPr>
        <w:pStyle w:val="Bodytext20"/>
        <w:framePr w:w="3346" w:h="4114" w:wrap="none" w:hAnchor="page" w:x="668" w:y="2665"/>
        <w:spacing w:line="240" w:lineRule="auto"/>
      </w:pPr>
      <w:r>
        <w:t>USA</w:t>
      </w:r>
    </w:p>
    <w:p w14:paraId="04819F32" w14:textId="77777777" w:rsidR="00924992" w:rsidRDefault="00924992">
      <w:pPr>
        <w:pStyle w:val="Heading31"/>
        <w:keepNext/>
        <w:keepLines/>
        <w:framePr w:w="3091" w:h="322" w:wrap="none" w:hAnchor="page" w:x="4806" w:y="1"/>
        <w:rPr>
          <w:sz w:val="16"/>
          <w:szCs w:val="16"/>
        </w:rPr>
      </w:pPr>
      <w:bookmarkStart w:id="828" w:name="bookmark2222"/>
      <w:bookmarkStart w:id="829" w:name="bookmark2223"/>
      <w:bookmarkStart w:id="830" w:name="bookmark2224"/>
      <w:r>
        <w:t>Directorio de recursos</w:t>
      </w:r>
      <w:r>
        <w:rPr>
          <w:vertAlign w:val="superscript"/>
        </w:rPr>
        <w:t>1</w:t>
      </w:r>
      <w:r>
        <w:t xml:space="preserve"> </w:t>
      </w:r>
      <w:r>
        <w:rPr>
          <w:rFonts w:ascii="Times New Roman" w:eastAsia="Times New Roman" w:hAnsi="Times New Roman" w:cs="Times New Roman"/>
          <w:b w:val="0"/>
          <w:bCs w:val="0"/>
          <w:i/>
          <w:iCs/>
          <w:w w:val="100"/>
          <w:sz w:val="16"/>
          <w:szCs w:val="16"/>
        </w:rPr>
        <w:t>continuación</w:t>
      </w:r>
      <w:bookmarkEnd w:id="828"/>
      <w:bookmarkEnd w:id="829"/>
      <w:bookmarkEnd w:id="830"/>
    </w:p>
    <w:p w14:paraId="7BC4F7DC" w14:textId="77777777" w:rsidR="00924992" w:rsidRDefault="00924992">
      <w:pPr>
        <w:pStyle w:val="Heading41"/>
        <w:keepNext/>
        <w:keepLines/>
        <w:framePr w:w="2050" w:h="298" w:wrap="none" w:hAnchor="page" w:x="4071" w:y="351"/>
        <w:pBdr>
          <w:top w:val="single" w:sz="0" w:space="0" w:color="231F20"/>
          <w:left w:val="single" w:sz="0" w:space="0" w:color="231F20"/>
          <w:bottom w:val="single" w:sz="0" w:space="0" w:color="231F20"/>
          <w:right w:val="single" w:sz="0" w:space="0" w:color="231F20"/>
        </w:pBdr>
        <w:shd w:val="clear" w:color="auto" w:fill="231F20"/>
      </w:pPr>
      <w:bookmarkStart w:id="831" w:name="bookmark2225"/>
      <w:bookmarkStart w:id="832" w:name="bookmark2226"/>
      <w:bookmarkStart w:id="833" w:name="bookmark2227"/>
      <w:r>
        <w:rPr>
          <w:color w:val="FFFFFF"/>
        </w:rPr>
        <w:t>Números de teléfono/fax</w:t>
      </w:r>
      <w:bookmarkEnd w:id="831"/>
      <w:bookmarkEnd w:id="832"/>
      <w:bookmarkEnd w:id="833"/>
    </w:p>
    <w:p w14:paraId="4E65A3B0" w14:textId="77777777" w:rsidR="00924992" w:rsidRDefault="00924992">
      <w:pPr>
        <w:pStyle w:val="Bodytext20"/>
        <w:framePr w:w="1195" w:h="226" w:wrap="none" w:hAnchor="page" w:x="4076" w:y="721"/>
        <w:spacing w:line="240" w:lineRule="auto"/>
      </w:pPr>
      <w:r>
        <w:t>1-202-334-3300</w:t>
      </w:r>
    </w:p>
    <w:p w14:paraId="2C457F04" w14:textId="77777777" w:rsidR="00924992" w:rsidRDefault="00924992">
      <w:pPr>
        <w:pStyle w:val="Bodytext20"/>
        <w:framePr w:w="1195" w:h="226" w:wrap="none" w:hAnchor="page" w:x="4076" w:y="1801"/>
        <w:spacing w:line="240" w:lineRule="auto"/>
      </w:pPr>
      <w:r>
        <w:t>1-301-496-4000</w:t>
      </w:r>
    </w:p>
    <w:p w14:paraId="01267B66" w14:textId="77777777" w:rsidR="00924992" w:rsidRDefault="00924992">
      <w:pPr>
        <w:pStyle w:val="Bodytext20"/>
        <w:framePr w:w="1195" w:h="874" w:wrap="none" w:hAnchor="page" w:x="4076" w:y="2665"/>
        <w:spacing w:after="240" w:line="240" w:lineRule="auto"/>
      </w:pPr>
      <w:r>
        <w:t>1-301-496-2263</w:t>
      </w:r>
    </w:p>
    <w:p w14:paraId="3C589B59" w14:textId="77777777" w:rsidR="00924992" w:rsidRDefault="00924992">
      <w:pPr>
        <w:pStyle w:val="Bodytext20"/>
        <w:framePr w:w="1195" w:h="874" w:wrap="none" w:hAnchor="page" w:x="4076" w:y="2665"/>
        <w:spacing w:line="240" w:lineRule="auto"/>
      </w:pPr>
      <w:r>
        <w:t>1-205-934-5316</w:t>
      </w:r>
    </w:p>
    <w:p w14:paraId="2E4C6E04" w14:textId="77777777" w:rsidR="00924992" w:rsidRDefault="00924992">
      <w:pPr>
        <w:pStyle w:val="Bodytext20"/>
        <w:framePr w:w="1195" w:h="874" w:wrap="none" w:hAnchor="page" w:x="4076" w:y="2665"/>
        <w:spacing w:after="120" w:line="240" w:lineRule="auto"/>
      </w:pPr>
      <w:r>
        <w:t>1-888-346-3656</w:t>
      </w:r>
    </w:p>
    <w:p w14:paraId="452555BC" w14:textId="77777777" w:rsidR="00924992" w:rsidRDefault="00924992">
      <w:pPr>
        <w:pStyle w:val="Bodytext20"/>
        <w:framePr w:w="1598" w:h="461" w:wrap="none" w:hAnchor="page" w:x="4076" w:y="4158"/>
        <w:spacing w:after="40" w:line="240" w:lineRule="auto"/>
      </w:pPr>
      <w:r>
        <w:t>1-877-341-6644</w:t>
      </w:r>
    </w:p>
    <w:p w14:paraId="4456F5AC" w14:textId="77777777" w:rsidR="00924992" w:rsidRDefault="00924992">
      <w:pPr>
        <w:pStyle w:val="Bodytext20"/>
        <w:framePr w:w="1598" w:h="461" w:wrap="none" w:hAnchor="page" w:x="4076" w:y="4158"/>
        <w:spacing w:line="240" w:lineRule="auto"/>
      </w:pPr>
      <w:r>
        <w:t>1-703-299-0204 (Fax)</w:t>
      </w:r>
    </w:p>
    <w:p w14:paraId="571BA24C" w14:textId="77777777" w:rsidR="00924992" w:rsidRDefault="00924992">
      <w:pPr>
        <w:pStyle w:val="Bodytext20"/>
        <w:framePr w:w="1598" w:h="437" w:wrap="none" w:hAnchor="page" w:x="4076" w:y="5262"/>
        <w:spacing w:line="240" w:lineRule="auto"/>
      </w:pPr>
      <w:r>
        <w:t>1-800-362-0071</w:t>
      </w:r>
    </w:p>
    <w:p w14:paraId="5A2E1D24" w14:textId="77777777" w:rsidR="00924992" w:rsidRDefault="00924992">
      <w:pPr>
        <w:pStyle w:val="Bodytext20"/>
        <w:framePr w:w="1598" w:h="437" w:wrap="none" w:hAnchor="page" w:x="4076" w:y="5262"/>
        <w:spacing w:line="240" w:lineRule="auto"/>
      </w:pPr>
      <w:r>
        <w:t>1-973-972-0399 (Fax)</w:t>
      </w:r>
    </w:p>
    <w:p w14:paraId="3620DE9F" w14:textId="77777777" w:rsidR="00924992" w:rsidRDefault="00924992">
      <w:pPr>
        <w:pStyle w:val="Heading41"/>
        <w:keepNext/>
        <w:keepLines/>
        <w:framePr w:w="1018" w:h="298" w:wrap="none" w:hAnchor="page" w:x="7475" w:y="356"/>
        <w:pBdr>
          <w:top w:val="single" w:sz="0" w:space="0" w:color="231F20"/>
          <w:left w:val="single" w:sz="0" w:space="0" w:color="231F20"/>
          <w:bottom w:val="single" w:sz="0" w:space="0" w:color="231F20"/>
          <w:right w:val="single" w:sz="0" w:space="0" w:color="231F20"/>
        </w:pBdr>
        <w:shd w:val="clear" w:color="auto" w:fill="231F20"/>
      </w:pPr>
      <w:bookmarkStart w:id="834" w:name="bookmark2228"/>
      <w:bookmarkStart w:id="835" w:name="bookmark2229"/>
      <w:bookmarkStart w:id="836" w:name="bookmark2230"/>
      <w:r>
        <w:rPr>
          <w:color w:val="FFFFFF"/>
        </w:rPr>
        <w:t>Página Web</w:t>
      </w:r>
      <w:bookmarkEnd w:id="834"/>
      <w:bookmarkEnd w:id="835"/>
      <w:bookmarkEnd w:id="836"/>
    </w:p>
    <w:p w14:paraId="26094CDC" w14:textId="77777777" w:rsidR="00924992" w:rsidRDefault="00924992">
      <w:pPr>
        <w:pStyle w:val="Bodytext20"/>
        <w:framePr w:w="1982" w:h="4771" w:wrap="none" w:hAnchor="page" w:x="7470" w:y="721"/>
        <w:spacing w:after="880" w:line="240" w:lineRule="auto"/>
      </w:pPr>
      <w:hyperlink r:id="rId446" w:history="1">
        <w:r>
          <w:t>www.iom.edu</w:t>
        </w:r>
      </w:hyperlink>
    </w:p>
    <w:p w14:paraId="4DD65842" w14:textId="77777777" w:rsidR="00924992" w:rsidRDefault="00924992">
      <w:pPr>
        <w:pStyle w:val="Bodytext20"/>
        <w:framePr w:w="1982" w:h="4771" w:wrap="none" w:hAnchor="page" w:x="7470" w:y="721"/>
        <w:spacing w:after="660" w:line="240" w:lineRule="auto"/>
      </w:pPr>
      <w:hyperlink r:id="rId447" w:history="1">
        <w:r>
          <w:t>www.nih.gov</w:t>
        </w:r>
      </w:hyperlink>
    </w:p>
    <w:p w14:paraId="3304A8A1" w14:textId="77777777" w:rsidR="00924992" w:rsidRDefault="00924992">
      <w:pPr>
        <w:pStyle w:val="Bodytext20"/>
        <w:framePr w:w="1982" w:h="4771" w:wrap="none" w:hAnchor="page" w:x="7470" w:y="721"/>
        <w:spacing w:after="220" w:line="240" w:lineRule="auto"/>
      </w:pPr>
      <w:hyperlink r:id="rId448" w:history="1">
        <w:r>
          <w:t>www.niaid.nih.gov</w:t>
        </w:r>
      </w:hyperlink>
    </w:p>
    <w:p w14:paraId="54C5FB5C" w14:textId="77777777" w:rsidR="00924992" w:rsidRDefault="00924992">
      <w:pPr>
        <w:pStyle w:val="Bodytext20"/>
        <w:framePr w:w="1982" w:h="4771" w:wrap="none" w:hAnchor="page" w:x="7470" w:y="721"/>
        <w:spacing w:line="240" w:lineRule="auto"/>
      </w:pPr>
      <w:hyperlink r:id="rId449" w:history="1">
        <w:r>
          <w:t>www.peds.uab.edu/casg</w:t>
        </w:r>
      </w:hyperlink>
    </w:p>
    <w:p w14:paraId="4A48CE37" w14:textId="77777777" w:rsidR="00924992" w:rsidRDefault="00924992">
      <w:pPr>
        <w:pStyle w:val="Bodytext20"/>
        <w:framePr w:w="1982" w:h="4771" w:wrap="none" w:hAnchor="page" w:x="7470" w:y="721"/>
        <w:spacing w:after="660" w:line="240" w:lineRule="auto"/>
      </w:pPr>
      <w:hyperlink r:id="rId450" w:history="1">
        <w:r>
          <w:t>www.nlm.nih.gov</w:t>
        </w:r>
      </w:hyperlink>
    </w:p>
    <w:p w14:paraId="661BECFE" w14:textId="77777777" w:rsidR="00924992" w:rsidRDefault="00924992">
      <w:pPr>
        <w:pStyle w:val="Bodytext20"/>
        <w:framePr w:w="1982" w:h="4771" w:wrap="none" w:hAnchor="page" w:x="7470" w:y="721"/>
        <w:spacing w:after="880" w:line="240" w:lineRule="auto"/>
      </w:pPr>
      <w:hyperlink r:id="rId451" w:history="1">
        <w:r>
          <w:t>www.immunizationinfo.org</w:t>
        </w:r>
      </w:hyperlink>
    </w:p>
    <w:p w14:paraId="585FC462" w14:textId="77777777" w:rsidR="00924992" w:rsidRDefault="00924992">
      <w:pPr>
        <w:pStyle w:val="Bodytext20"/>
        <w:framePr w:w="1982" w:h="4771" w:wrap="none" w:hAnchor="page" w:x="7470" w:y="721"/>
        <w:spacing w:line="240" w:lineRule="auto"/>
      </w:pPr>
      <w:hyperlink r:id="rId452" w:history="1">
        <w:r>
          <w:t>www.pedhivaids.org</w:t>
        </w:r>
      </w:hyperlink>
    </w:p>
    <w:p w14:paraId="6CFDC3F5" w14:textId="77777777" w:rsidR="00924992" w:rsidRDefault="00924992">
      <w:pPr>
        <w:pStyle w:val="Bodytext80"/>
        <w:framePr w:w="168" w:h="4498" w:hRule="exact" w:wrap="none" w:hAnchor="page" w:x="12390" w:y="25"/>
        <w:tabs>
          <w:tab w:val="left" w:pos="2381"/>
        </w:tabs>
        <w:textDirection w:val="tbRl"/>
      </w:pPr>
      <w:r>
        <w:rPr>
          <w:sz w:val="16"/>
          <w:szCs w:val="16"/>
        </w:rPr>
        <w:t>828</w:t>
      </w:r>
      <w:r>
        <w:rPr>
          <w:sz w:val="16"/>
          <w:szCs w:val="16"/>
        </w:rPr>
        <w:tab/>
      </w:r>
      <w:r>
        <w:t>PROFILAXIA ANTIMICROBIANA</w:t>
      </w:r>
    </w:p>
    <w:p w14:paraId="5E537E78" w14:textId="77777777" w:rsidR="00924992" w:rsidRDefault="00924992">
      <w:pPr>
        <w:spacing w:line="360" w:lineRule="exact"/>
      </w:pPr>
    </w:p>
    <w:p w14:paraId="4427B429" w14:textId="77777777" w:rsidR="00924992" w:rsidRDefault="00924992">
      <w:pPr>
        <w:spacing w:line="360" w:lineRule="exact"/>
      </w:pPr>
    </w:p>
    <w:p w14:paraId="42375852" w14:textId="77777777" w:rsidR="00924992" w:rsidRDefault="00924992">
      <w:pPr>
        <w:spacing w:line="360" w:lineRule="exact"/>
      </w:pPr>
    </w:p>
    <w:p w14:paraId="604409F2" w14:textId="77777777" w:rsidR="00924992" w:rsidRDefault="00924992">
      <w:pPr>
        <w:spacing w:line="360" w:lineRule="exact"/>
      </w:pPr>
    </w:p>
    <w:p w14:paraId="2D3E5FAF" w14:textId="77777777" w:rsidR="00924992" w:rsidRDefault="00924992">
      <w:pPr>
        <w:spacing w:line="360" w:lineRule="exact"/>
      </w:pPr>
    </w:p>
    <w:p w14:paraId="4CE97D16" w14:textId="77777777" w:rsidR="00924992" w:rsidRDefault="00924992">
      <w:pPr>
        <w:spacing w:line="360" w:lineRule="exact"/>
      </w:pPr>
    </w:p>
    <w:p w14:paraId="34709DE5" w14:textId="77777777" w:rsidR="00924992" w:rsidRDefault="00924992">
      <w:pPr>
        <w:spacing w:line="360" w:lineRule="exact"/>
      </w:pPr>
    </w:p>
    <w:p w14:paraId="5F66190E" w14:textId="77777777" w:rsidR="00924992" w:rsidRDefault="00924992">
      <w:pPr>
        <w:spacing w:line="360" w:lineRule="exact"/>
      </w:pPr>
    </w:p>
    <w:p w14:paraId="6ADC1722" w14:textId="77777777" w:rsidR="00924992" w:rsidRDefault="00924992">
      <w:pPr>
        <w:spacing w:line="360" w:lineRule="exact"/>
      </w:pPr>
    </w:p>
    <w:p w14:paraId="18706685" w14:textId="77777777" w:rsidR="00924992" w:rsidRDefault="00924992">
      <w:pPr>
        <w:spacing w:line="360" w:lineRule="exact"/>
      </w:pPr>
    </w:p>
    <w:p w14:paraId="2B19B6D6" w14:textId="77777777" w:rsidR="00924992" w:rsidRDefault="00924992">
      <w:pPr>
        <w:spacing w:line="360" w:lineRule="exact"/>
      </w:pPr>
    </w:p>
    <w:p w14:paraId="14880444" w14:textId="77777777" w:rsidR="00924992" w:rsidRDefault="00924992">
      <w:pPr>
        <w:spacing w:line="360" w:lineRule="exact"/>
      </w:pPr>
    </w:p>
    <w:p w14:paraId="411853FC" w14:textId="77777777" w:rsidR="00924992" w:rsidRDefault="00924992">
      <w:pPr>
        <w:spacing w:line="360" w:lineRule="exact"/>
      </w:pPr>
    </w:p>
    <w:p w14:paraId="5D5AB5A0" w14:textId="77777777" w:rsidR="00924992" w:rsidRDefault="00924992">
      <w:pPr>
        <w:spacing w:line="360" w:lineRule="exact"/>
      </w:pPr>
    </w:p>
    <w:p w14:paraId="7BF6951C" w14:textId="77777777" w:rsidR="00924992" w:rsidRDefault="00924992">
      <w:pPr>
        <w:spacing w:line="360" w:lineRule="exact"/>
      </w:pPr>
    </w:p>
    <w:p w14:paraId="3DC35925" w14:textId="77777777" w:rsidR="00924992" w:rsidRDefault="00924992">
      <w:pPr>
        <w:spacing w:line="360" w:lineRule="exact"/>
      </w:pPr>
    </w:p>
    <w:p w14:paraId="0A3FB198" w14:textId="77777777" w:rsidR="00924992" w:rsidRDefault="00924992">
      <w:pPr>
        <w:spacing w:line="360" w:lineRule="exact"/>
      </w:pPr>
    </w:p>
    <w:p w14:paraId="488CBCD4" w14:textId="77777777" w:rsidR="00924992" w:rsidRDefault="00924992">
      <w:pPr>
        <w:spacing w:after="657" w:line="1" w:lineRule="exact"/>
      </w:pPr>
    </w:p>
    <w:p w14:paraId="5A34FC16" w14:textId="77777777" w:rsidR="00924992" w:rsidRDefault="00924992">
      <w:pPr>
        <w:spacing w:line="1" w:lineRule="exact"/>
        <w:sectPr w:rsidR="00924992" w:rsidSect="00924992">
          <w:footnotePr>
            <w:numFmt w:val="chicago"/>
          </w:footnotePr>
          <w:pgSz w:w="13022" w:h="8501" w:orient="landscape"/>
          <w:pgMar w:top="480" w:right="466" w:bottom="994" w:left="653" w:header="52" w:footer="3" w:gutter="0"/>
          <w:cols w:space="720"/>
          <w:noEndnote/>
          <w:docGrid w:linePitch="360"/>
          <w15:footnoteColumns w:val="1"/>
        </w:sectPr>
      </w:pPr>
    </w:p>
    <w:p w14:paraId="3DB7C77C" w14:textId="77777777" w:rsidR="00924992" w:rsidRDefault="00924992">
      <w:pPr>
        <w:pStyle w:val="Heading31"/>
        <w:keepNext/>
        <w:keepLines/>
        <w:framePr w:w="3091" w:h="322" w:wrap="none" w:hAnchor="page" w:x="4806" w:y="1"/>
        <w:rPr>
          <w:sz w:val="16"/>
          <w:szCs w:val="16"/>
        </w:rPr>
      </w:pPr>
      <w:bookmarkStart w:id="837" w:name="bookmark2231"/>
      <w:bookmarkStart w:id="838" w:name="bookmark2232"/>
      <w:bookmarkStart w:id="839" w:name="bookmark2233"/>
      <w:r>
        <w:t>Directorio de recursos</w:t>
      </w:r>
      <w:r>
        <w:rPr>
          <w:vertAlign w:val="superscript"/>
        </w:rPr>
        <w:t>1</w:t>
      </w:r>
      <w:r>
        <w:t xml:space="preserve"> </w:t>
      </w:r>
      <w:r>
        <w:rPr>
          <w:rFonts w:ascii="Times New Roman" w:eastAsia="Times New Roman" w:hAnsi="Times New Roman" w:cs="Times New Roman"/>
          <w:b w:val="0"/>
          <w:bCs w:val="0"/>
          <w:i/>
          <w:iCs/>
          <w:w w:val="100"/>
          <w:sz w:val="16"/>
          <w:szCs w:val="16"/>
        </w:rPr>
        <w:t>cwitinuaciòn</w:t>
      </w:r>
      <w:bookmarkEnd w:id="837"/>
      <w:bookmarkEnd w:id="838"/>
      <w:bookmarkEnd w:id="839"/>
    </w:p>
    <w:tbl>
      <w:tblPr>
        <w:tblOverlap w:val="never"/>
        <w:tblW w:w="0" w:type="auto"/>
        <w:tblLayout w:type="fixed"/>
        <w:tblCellMar>
          <w:left w:w="10" w:type="dxa"/>
          <w:right w:w="10" w:type="dxa"/>
        </w:tblCellMar>
        <w:tblLook w:val="04A0" w:firstRow="1" w:lastRow="0" w:firstColumn="1" w:lastColumn="0" w:noHBand="0" w:noVBand="1"/>
      </w:tblPr>
      <w:tblGrid>
        <w:gridCol w:w="3370"/>
        <w:gridCol w:w="3067"/>
        <w:gridCol w:w="4973"/>
      </w:tblGrid>
      <w:tr w:rsidR="00924992" w14:paraId="048C523C" w14:textId="77777777">
        <w:tblPrEx>
          <w:tblCellMar>
            <w:top w:w="0" w:type="dxa"/>
            <w:bottom w:w="0" w:type="dxa"/>
          </w:tblCellMar>
        </w:tblPrEx>
        <w:trPr>
          <w:trHeight w:hRule="exact" w:val="288"/>
        </w:trPr>
        <w:tc>
          <w:tcPr>
            <w:tcW w:w="3370" w:type="dxa"/>
            <w:shd w:val="clear" w:color="auto" w:fill="231F20"/>
            <w:vAlign w:val="bottom"/>
          </w:tcPr>
          <w:p w14:paraId="4E6CC4AD" w14:textId="77777777" w:rsidR="00924992" w:rsidRDefault="00924992">
            <w:pPr>
              <w:pStyle w:val="Other0"/>
              <w:framePr w:w="11410" w:h="3259" w:vSpace="312" w:wrap="none" w:hAnchor="page" w:x="625" w:y="366"/>
              <w:pBdr>
                <w:top w:val="single" w:sz="0" w:space="0" w:color="231F20"/>
                <w:left w:val="single" w:sz="0" w:space="0" w:color="231F20"/>
                <w:bottom w:val="single" w:sz="0" w:space="0" w:color="231F20"/>
                <w:right w:val="single" w:sz="0" w:space="0" w:color="231F20"/>
              </w:pBdr>
              <w:shd w:val="clear" w:color="auto" w:fill="231F20"/>
              <w:spacing w:line="240" w:lineRule="auto"/>
              <w:ind w:firstLine="0"/>
              <w:rPr>
                <w:sz w:val="24"/>
                <w:szCs w:val="24"/>
              </w:rPr>
            </w:pPr>
            <w:r>
              <w:rPr>
                <w:rFonts w:ascii="Arial" w:eastAsia="Arial" w:hAnsi="Arial" w:cs="Arial"/>
                <w:b/>
                <w:bCs/>
                <w:color w:val="FFFFFF"/>
                <w:w w:val="70"/>
                <w:sz w:val="24"/>
                <w:szCs w:val="24"/>
              </w:rPr>
              <w:t>¡Organización</w:t>
            </w:r>
          </w:p>
        </w:tc>
        <w:tc>
          <w:tcPr>
            <w:tcW w:w="3067" w:type="dxa"/>
            <w:shd w:val="clear" w:color="auto" w:fill="231F20"/>
            <w:vAlign w:val="bottom"/>
          </w:tcPr>
          <w:p w14:paraId="3DC1F884" w14:textId="77777777" w:rsidR="00924992" w:rsidRDefault="00924992">
            <w:pPr>
              <w:pStyle w:val="Other0"/>
              <w:framePr w:w="11410" w:h="3259" w:vSpace="312" w:wrap="none" w:hAnchor="page" w:x="625" w:y="366"/>
              <w:pBdr>
                <w:top w:val="single" w:sz="0" w:space="0" w:color="231F20"/>
                <w:left w:val="single" w:sz="0" w:space="0" w:color="231F20"/>
                <w:bottom w:val="single" w:sz="0" w:space="0" w:color="231F20"/>
                <w:right w:val="single" w:sz="0" w:space="0" w:color="231F20"/>
              </w:pBdr>
              <w:shd w:val="clear" w:color="auto" w:fill="231F20"/>
              <w:spacing w:line="240" w:lineRule="auto"/>
              <w:ind w:firstLine="0"/>
              <w:rPr>
                <w:sz w:val="24"/>
                <w:szCs w:val="24"/>
              </w:rPr>
            </w:pPr>
            <w:r>
              <w:rPr>
                <w:rFonts w:ascii="Arial" w:eastAsia="Arial" w:hAnsi="Arial" w:cs="Arial"/>
                <w:b/>
                <w:bCs/>
                <w:color w:val="FFFFFF"/>
                <w:w w:val="70"/>
                <w:sz w:val="24"/>
                <w:szCs w:val="24"/>
              </w:rPr>
              <w:t>Números de teléfono/fax</w:t>
            </w:r>
          </w:p>
        </w:tc>
        <w:tc>
          <w:tcPr>
            <w:tcW w:w="4973" w:type="dxa"/>
            <w:shd w:val="clear" w:color="auto" w:fill="231F20"/>
            <w:vAlign w:val="bottom"/>
          </w:tcPr>
          <w:p w14:paraId="5567A75C" w14:textId="77777777" w:rsidR="00924992" w:rsidRDefault="00924992">
            <w:pPr>
              <w:pStyle w:val="Other0"/>
              <w:framePr w:w="11410" w:h="3259" w:vSpace="312" w:wrap="none" w:hAnchor="page" w:x="625" w:y="366"/>
              <w:pBdr>
                <w:top w:val="single" w:sz="0" w:space="0" w:color="231F20"/>
                <w:left w:val="single" w:sz="0" w:space="0" w:color="231F20"/>
                <w:bottom w:val="single" w:sz="0" w:space="0" w:color="231F20"/>
                <w:right w:val="single" w:sz="0" w:space="0" w:color="231F20"/>
              </w:pBdr>
              <w:shd w:val="clear" w:color="auto" w:fill="231F20"/>
              <w:spacing w:line="240" w:lineRule="auto"/>
              <w:ind w:firstLine="420"/>
              <w:rPr>
                <w:sz w:val="24"/>
                <w:szCs w:val="24"/>
              </w:rPr>
            </w:pPr>
            <w:r>
              <w:rPr>
                <w:rFonts w:ascii="Arial" w:eastAsia="Arial" w:hAnsi="Arial" w:cs="Arial"/>
                <w:b/>
                <w:bCs/>
                <w:color w:val="FFFFFF"/>
                <w:w w:val="70"/>
                <w:sz w:val="24"/>
                <w:szCs w:val="24"/>
              </w:rPr>
              <w:t>Página Web</w:t>
            </w:r>
          </w:p>
        </w:tc>
      </w:tr>
      <w:tr w:rsidR="00924992" w14:paraId="5B89BEF4" w14:textId="77777777">
        <w:tblPrEx>
          <w:tblCellMar>
            <w:top w:w="0" w:type="dxa"/>
            <w:bottom w:w="0" w:type="dxa"/>
          </w:tblCellMar>
        </w:tblPrEx>
        <w:trPr>
          <w:trHeight w:hRule="exact" w:val="490"/>
        </w:trPr>
        <w:tc>
          <w:tcPr>
            <w:tcW w:w="3370" w:type="dxa"/>
            <w:shd w:val="clear" w:color="auto" w:fill="FFFFFF"/>
            <w:vAlign w:val="bottom"/>
          </w:tcPr>
          <w:p w14:paraId="163B8B29" w14:textId="77777777" w:rsidR="00924992" w:rsidRDefault="00924992">
            <w:pPr>
              <w:pStyle w:val="Other0"/>
              <w:framePr w:w="11410" w:h="3259" w:vSpace="312" w:wrap="none" w:hAnchor="page" w:x="625" w:y="366"/>
              <w:spacing w:line="283" w:lineRule="auto"/>
              <w:ind w:firstLine="0"/>
              <w:rPr>
                <w:sz w:val="16"/>
                <w:szCs w:val="16"/>
              </w:rPr>
            </w:pPr>
            <w:r>
              <w:rPr>
                <w:rFonts w:ascii="Times New Roman" w:eastAsia="Times New Roman" w:hAnsi="Times New Roman" w:cs="Times New Roman"/>
                <w:b/>
                <w:bCs/>
                <w:sz w:val="16"/>
                <w:szCs w:val="16"/>
              </w:rPr>
              <w:t>National Vaccine Program Office (NVPO) Pediatric AIDS Drug Trials-Information</w:t>
            </w:r>
          </w:p>
        </w:tc>
        <w:tc>
          <w:tcPr>
            <w:tcW w:w="3067" w:type="dxa"/>
            <w:shd w:val="clear" w:color="auto" w:fill="FFFFFF"/>
          </w:tcPr>
          <w:p w14:paraId="055662B0" w14:textId="77777777" w:rsidR="00924992" w:rsidRDefault="00924992">
            <w:pPr>
              <w:pStyle w:val="Other0"/>
              <w:framePr w:w="11410" w:h="3259" w:vSpace="312" w:wrap="none" w:hAnchor="page" w:x="625" w:y="366"/>
              <w:spacing w:line="240" w:lineRule="auto"/>
              <w:ind w:firstLine="0"/>
              <w:rPr>
                <w:sz w:val="16"/>
                <w:szCs w:val="16"/>
              </w:rPr>
            </w:pPr>
            <w:r>
              <w:rPr>
                <w:rFonts w:ascii="Times New Roman" w:eastAsia="Times New Roman" w:hAnsi="Times New Roman" w:cs="Times New Roman"/>
                <w:sz w:val="16"/>
                <w:szCs w:val="16"/>
              </w:rPr>
              <w:t>1-770-488-2040</w:t>
            </w:r>
          </w:p>
        </w:tc>
        <w:tc>
          <w:tcPr>
            <w:tcW w:w="4973" w:type="dxa"/>
            <w:shd w:val="clear" w:color="auto" w:fill="FFFFFF"/>
          </w:tcPr>
          <w:p w14:paraId="5E14B5A7" w14:textId="77777777" w:rsidR="00924992" w:rsidRDefault="00924992">
            <w:pPr>
              <w:pStyle w:val="Other0"/>
              <w:framePr w:w="11410" w:h="3259" w:vSpace="312" w:wrap="none" w:hAnchor="page" w:x="625" w:y="366"/>
              <w:spacing w:line="240" w:lineRule="auto"/>
              <w:ind w:firstLine="420"/>
              <w:rPr>
                <w:sz w:val="16"/>
                <w:szCs w:val="16"/>
              </w:rPr>
            </w:pPr>
            <w:hyperlink r:id="rId453" w:history="1">
              <w:r>
                <w:rPr>
                  <w:rFonts w:ascii="Times New Roman" w:eastAsia="Times New Roman" w:hAnsi="Times New Roman" w:cs="Times New Roman"/>
                  <w:sz w:val="16"/>
                  <w:szCs w:val="16"/>
                </w:rPr>
                <w:t>www.cdc.gov/od/nvpo</w:t>
              </w:r>
            </w:hyperlink>
          </w:p>
        </w:tc>
      </w:tr>
      <w:tr w:rsidR="00924992" w14:paraId="09D717D9" w14:textId="77777777">
        <w:tblPrEx>
          <w:tblCellMar>
            <w:top w:w="0" w:type="dxa"/>
            <w:bottom w:w="0" w:type="dxa"/>
          </w:tblCellMar>
        </w:tblPrEx>
        <w:trPr>
          <w:trHeight w:hRule="exact" w:val="216"/>
        </w:trPr>
        <w:tc>
          <w:tcPr>
            <w:tcW w:w="3370" w:type="dxa"/>
            <w:shd w:val="clear" w:color="auto" w:fill="FFFFFF"/>
            <w:vAlign w:val="bottom"/>
          </w:tcPr>
          <w:p w14:paraId="4E6F7713" w14:textId="77777777" w:rsidR="00924992" w:rsidRDefault="00924992">
            <w:pPr>
              <w:pStyle w:val="Other0"/>
              <w:framePr w:w="11410" w:h="3259" w:vSpace="312" w:wrap="none" w:hAnchor="page" w:x="625" w:y="366"/>
              <w:spacing w:line="240" w:lineRule="auto"/>
              <w:ind w:firstLine="0"/>
              <w:rPr>
                <w:sz w:val="16"/>
                <w:szCs w:val="16"/>
              </w:rPr>
            </w:pPr>
            <w:r>
              <w:rPr>
                <w:rFonts w:ascii="Times New Roman" w:eastAsia="Times New Roman" w:hAnsi="Times New Roman" w:cs="Times New Roman"/>
                <w:sz w:val="16"/>
                <w:szCs w:val="16"/>
              </w:rPr>
              <w:t>• Pediatric Branch, National Cancer Institute</w:t>
            </w:r>
          </w:p>
        </w:tc>
        <w:tc>
          <w:tcPr>
            <w:tcW w:w="3067" w:type="dxa"/>
            <w:shd w:val="clear" w:color="auto" w:fill="FFFFFF"/>
            <w:vAlign w:val="bottom"/>
          </w:tcPr>
          <w:p w14:paraId="2537E4FA" w14:textId="77777777" w:rsidR="00924992" w:rsidRDefault="00924992">
            <w:pPr>
              <w:pStyle w:val="Other0"/>
              <w:framePr w:w="11410" w:h="3259" w:vSpace="312" w:wrap="none" w:hAnchor="page" w:x="625" w:y="366"/>
              <w:spacing w:line="240" w:lineRule="auto"/>
              <w:ind w:firstLine="0"/>
              <w:rPr>
                <w:sz w:val="16"/>
                <w:szCs w:val="16"/>
              </w:rPr>
            </w:pPr>
            <w:r>
              <w:rPr>
                <w:rFonts w:ascii="Times New Roman" w:eastAsia="Times New Roman" w:hAnsi="Times New Roman" w:cs="Times New Roman"/>
                <w:sz w:val="16"/>
                <w:szCs w:val="16"/>
              </w:rPr>
              <w:t>1-301-496-4256</w:t>
            </w:r>
          </w:p>
        </w:tc>
        <w:tc>
          <w:tcPr>
            <w:tcW w:w="4973" w:type="dxa"/>
            <w:shd w:val="clear" w:color="auto" w:fill="FFFFFF"/>
          </w:tcPr>
          <w:p w14:paraId="6C5812D3" w14:textId="77777777" w:rsidR="00924992" w:rsidRDefault="00924992">
            <w:pPr>
              <w:framePr w:w="11410" w:h="3259" w:vSpace="312" w:wrap="none" w:hAnchor="page" w:x="625" w:y="366"/>
              <w:rPr>
                <w:sz w:val="10"/>
                <w:szCs w:val="10"/>
              </w:rPr>
            </w:pPr>
          </w:p>
        </w:tc>
      </w:tr>
      <w:tr w:rsidR="00924992" w14:paraId="6AADCDBA" w14:textId="77777777">
        <w:tblPrEx>
          <w:tblCellMar>
            <w:top w:w="0" w:type="dxa"/>
            <w:bottom w:w="0" w:type="dxa"/>
          </w:tblCellMar>
        </w:tblPrEx>
        <w:trPr>
          <w:trHeight w:hRule="exact" w:val="446"/>
        </w:trPr>
        <w:tc>
          <w:tcPr>
            <w:tcW w:w="3370" w:type="dxa"/>
            <w:shd w:val="clear" w:color="auto" w:fill="FFFFFF"/>
            <w:vAlign w:val="bottom"/>
          </w:tcPr>
          <w:p w14:paraId="1BBAA897" w14:textId="77777777" w:rsidR="00924992" w:rsidRDefault="00924992">
            <w:pPr>
              <w:pStyle w:val="Other0"/>
              <w:framePr w:w="11410" w:h="3259" w:vSpace="312" w:wrap="none" w:hAnchor="page" w:x="625" w:y="366"/>
              <w:spacing w:line="288" w:lineRule="auto"/>
              <w:ind w:left="340" w:hanging="340"/>
              <w:rPr>
                <w:sz w:val="16"/>
                <w:szCs w:val="16"/>
              </w:rPr>
            </w:pPr>
            <w:r>
              <w:rPr>
                <w:rFonts w:ascii="Times New Roman" w:eastAsia="Times New Roman" w:hAnsi="Times New Roman" w:cs="Times New Roman"/>
                <w:sz w:val="16"/>
                <w:szCs w:val="16"/>
              </w:rPr>
              <w:t>• Pediatric Clinical Trials Group (NIAID-sponsored)</w:t>
            </w:r>
          </w:p>
        </w:tc>
        <w:tc>
          <w:tcPr>
            <w:tcW w:w="3067" w:type="dxa"/>
            <w:shd w:val="clear" w:color="auto" w:fill="FFFFFF"/>
          </w:tcPr>
          <w:p w14:paraId="62E26AA4" w14:textId="77777777" w:rsidR="00924992" w:rsidRDefault="00924992">
            <w:pPr>
              <w:pStyle w:val="Other0"/>
              <w:framePr w:w="11410" w:h="3259" w:vSpace="312" w:wrap="none" w:hAnchor="page" w:x="625" w:y="366"/>
              <w:spacing w:line="240" w:lineRule="auto"/>
              <w:ind w:firstLine="0"/>
              <w:rPr>
                <w:sz w:val="16"/>
                <w:szCs w:val="16"/>
              </w:rPr>
            </w:pPr>
            <w:r>
              <w:rPr>
                <w:rFonts w:ascii="Times New Roman" w:eastAsia="Times New Roman" w:hAnsi="Times New Roman" w:cs="Times New Roman"/>
                <w:sz w:val="16"/>
                <w:szCs w:val="16"/>
              </w:rPr>
              <w:t>1-800-TRIALS-A (1-800-874-2572)</w:t>
            </w:r>
          </w:p>
        </w:tc>
        <w:tc>
          <w:tcPr>
            <w:tcW w:w="4973" w:type="dxa"/>
            <w:shd w:val="clear" w:color="auto" w:fill="FFFFFF"/>
          </w:tcPr>
          <w:p w14:paraId="232201DA" w14:textId="77777777" w:rsidR="00924992" w:rsidRDefault="00924992">
            <w:pPr>
              <w:framePr w:w="11410" w:h="3259" w:vSpace="312" w:wrap="none" w:hAnchor="page" w:x="625" w:y="366"/>
              <w:rPr>
                <w:sz w:val="10"/>
                <w:szCs w:val="10"/>
              </w:rPr>
            </w:pPr>
          </w:p>
        </w:tc>
      </w:tr>
      <w:tr w:rsidR="00924992" w14:paraId="47977A0C" w14:textId="77777777">
        <w:tblPrEx>
          <w:tblCellMar>
            <w:top w:w="0" w:type="dxa"/>
            <w:bottom w:w="0" w:type="dxa"/>
          </w:tblCellMar>
        </w:tblPrEx>
        <w:trPr>
          <w:trHeight w:hRule="exact" w:val="206"/>
        </w:trPr>
        <w:tc>
          <w:tcPr>
            <w:tcW w:w="3370" w:type="dxa"/>
            <w:shd w:val="clear" w:color="auto" w:fill="FFFFFF"/>
            <w:vAlign w:val="bottom"/>
          </w:tcPr>
          <w:p w14:paraId="28BA47FE" w14:textId="77777777" w:rsidR="00924992" w:rsidRDefault="00924992">
            <w:pPr>
              <w:pStyle w:val="Other0"/>
              <w:framePr w:w="11410" w:h="3259" w:vSpace="312" w:wrap="none" w:hAnchor="page" w:x="625" w:y="366"/>
              <w:spacing w:line="240" w:lineRule="auto"/>
              <w:ind w:firstLine="0"/>
              <w:rPr>
                <w:sz w:val="16"/>
                <w:szCs w:val="16"/>
              </w:rPr>
            </w:pPr>
            <w:r>
              <w:rPr>
                <w:rFonts w:ascii="Times New Roman" w:eastAsia="Times New Roman" w:hAnsi="Times New Roman" w:cs="Times New Roman"/>
                <w:b/>
                <w:bCs/>
                <w:sz w:val="16"/>
                <w:szCs w:val="16"/>
              </w:rPr>
              <w:t>Pediatric Infectious Diseases Society</w:t>
            </w:r>
          </w:p>
        </w:tc>
        <w:tc>
          <w:tcPr>
            <w:tcW w:w="3067" w:type="dxa"/>
            <w:shd w:val="clear" w:color="auto" w:fill="FFFFFF"/>
            <w:vAlign w:val="bottom"/>
          </w:tcPr>
          <w:p w14:paraId="0D689293" w14:textId="77777777" w:rsidR="00924992" w:rsidRDefault="00924992">
            <w:pPr>
              <w:pStyle w:val="Other0"/>
              <w:framePr w:w="11410" w:h="3259" w:vSpace="312" w:wrap="none" w:hAnchor="page" w:x="625" w:y="366"/>
              <w:spacing w:line="240" w:lineRule="auto"/>
              <w:ind w:firstLine="0"/>
              <w:rPr>
                <w:sz w:val="16"/>
                <w:szCs w:val="16"/>
              </w:rPr>
            </w:pPr>
            <w:r>
              <w:rPr>
                <w:rFonts w:ascii="Times New Roman" w:eastAsia="Times New Roman" w:hAnsi="Times New Roman" w:cs="Times New Roman"/>
                <w:sz w:val="16"/>
                <w:szCs w:val="16"/>
              </w:rPr>
              <w:t>1-703-299-6764</w:t>
            </w:r>
          </w:p>
        </w:tc>
        <w:tc>
          <w:tcPr>
            <w:tcW w:w="4973" w:type="dxa"/>
            <w:shd w:val="clear" w:color="auto" w:fill="FFFFFF"/>
            <w:vAlign w:val="bottom"/>
          </w:tcPr>
          <w:p w14:paraId="7FCBC6D3" w14:textId="77777777" w:rsidR="00924992" w:rsidRDefault="00924992">
            <w:pPr>
              <w:pStyle w:val="Other0"/>
              <w:framePr w:w="11410" w:h="3259" w:vSpace="312" w:wrap="none" w:hAnchor="page" w:x="625" w:y="366"/>
              <w:spacing w:line="240" w:lineRule="auto"/>
              <w:ind w:firstLine="420"/>
              <w:rPr>
                <w:sz w:val="16"/>
                <w:szCs w:val="16"/>
              </w:rPr>
            </w:pPr>
            <w:hyperlink r:id="rId454" w:history="1">
              <w:r>
                <w:rPr>
                  <w:rFonts w:ascii="Times New Roman" w:eastAsia="Times New Roman" w:hAnsi="Times New Roman" w:cs="Times New Roman"/>
                  <w:sz w:val="16"/>
                  <w:szCs w:val="16"/>
                </w:rPr>
                <w:t>www.pids.org</w:t>
              </w:r>
            </w:hyperlink>
          </w:p>
        </w:tc>
      </w:tr>
      <w:tr w:rsidR="00924992" w14:paraId="4BB0963C" w14:textId="77777777">
        <w:tblPrEx>
          <w:tblCellMar>
            <w:top w:w="0" w:type="dxa"/>
            <w:bottom w:w="0" w:type="dxa"/>
          </w:tblCellMar>
        </w:tblPrEx>
        <w:trPr>
          <w:trHeight w:hRule="exact" w:val="638"/>
        </w:trPr>
        <w:tc>
          <w:tcPr>
            <w:tcW w:w="3370" w:type="dxa"/>
            <w:shd w:val="clear" w:color="auto" w:fill="FFFFFF"/>
          </w:tcPr>
          <w:p w14:paraId="1931FFB2" w14:textId="77777777" w:rsidR="00924992" w:rsidRDefault="00924992">
            <w:pPr>
              <w:pStyle w:val="Other0"/>
              <w:framePr w:w="11410" w:h="3259" w:vSpace="312" w:wrap="none" w:hAnchor="page" w:x="625" w:y="366"/>
              <w:spacing w:line="283" w:lineRule="auto"/>
              <w:ind w:firstLine="0"/>
              <w:rPr>
                <w:sz w:val="16"/>
                <w:szCs w:val="16"/>
              </w:rPr>
            </w:pPr>
            <w:r>
              <w:rPr>
                <w:rFonts w:ascii="Times New Roman" w:eastAsia="Times New Roman" w:hAnsi="Times New Roman" w:cs="Times New Roman"/>
                <w:sz w:val="16"/>
                <w:szCs w:val="16"/>
              </w:rPr>
              <w:t>66 Canal Center Plaza, Ste 600 Alexandria, VA 20001</w:t>
            </w:r>
          </w:p>
          <w:p w14:paraId="2E2B0145" w14:textId="77777777" w:rsidR="00924992" w:rsidRDefault="00924992">
            <w:pPr>
              <w:pStyle w:val="Other0"/>
              <w:framePr w:w="11410" w:h="3259" w:vSpace="312" w:wrap="none" w:hAnchor="page" w:x="625" w:y="366"/>
              <w:spacing w:line="283" w:lineRule="auto"/>
              <w:ind w:firstLine="0"/>
              <w:rPr>
                <w:sz w:val="16"/>
                <w:szCs w:val="16"/>
              </w:rPr>
            </w:pPr>
            <w:r>
              <w:rPr>
                <w:rFonts w:ascii="Times New Roman" w:eastAsia="Times New Roman" w:hAnsi="Times New Roman" w:cs="Times New Roman"/>
                <w:sz w:val="16"/>
                <w:szCs w:val="16"/>
              </w:rPr>
              <w:t>USA</w:t>
            </w:r>
          </w:p>
        </w:tc>
        <w:tc>
          <w:tcPr>
            <w:tcW w:w="3067" w:type="dxa"/>
            <w:shd w:val="clear" w:color="auto" w:fill="FFFFFF"/>
          </w:tcPr>
          <w:p w14:paraId="42DC70FC" w14:textId="77777777" w:rsidR="00924992" w:rsidRDefault="00924992">
            <w:pPr>
              <w:pStyle w:val="Other0"/>
              <w:framePr w:w="11410" w:h="3259" w:vSpace="312" w:wrap="none" w:hAnchor="page" w:x="625" w:y="366"/>
              <w:spacing w:line="240" w:lineRule="auto"/>
              <w:ind w:firstLine="0"/>
              <w:rPr>
                <w:sz w:val="16"/>
                <w:szCs w:val="16"/>
              </w:rPr>
            </w:pPr>
            <w:r>
              <w:rPr>
                <w:rFonts w:ascii="Times New Roman" w:eastAsia="Times New Roman" w:hAnsi="Times New Roman" w:cs="Times New Roman"/>
                <w:sz w:val="16"/>
                <w:szCs w:val="16"/>
              </w:rPr>
              <w:t>1-703-299-0473 (Fax)</w:t>
            </w:r>
          </w:p>
        </w:tc>
        <w:tc>
          <w:tcPr>
            <w:tcW w:w="4973" w:type="dxa"/>
            <w:shd w:val="clear" w:color="auto" w:fill="FFFFFF"/>
          </w:tcPr>
          <w:p w14:paraId="1DE740E0" w14:textId="77777777" w:rsidR="00924992" w:rsidRDefault="00924992">
            <w:pPr>
              <w:framePr w:w="11410" w:h="3259" w:vSpace="312" w:wrap="none" w:hAnchor="page" w:x="625" w:y="366"/>
              <w:rPr>
                <w:sz w:val="10"/>
                <w:szCs w:val="10"/>
              </w:rPr>
            </w:pPr>
          </w:p>
        </w:tc>
      </w:tr>
      <w:tr w:rsidR="00924992" w14:paraId="6AE7A847" w14:textId="77777777">
        <w:tblPrEx>
          <w:tblCellMar>
            <w:top w:w="0" w:type="dxa"/>
            <w:bottom w:w="0" w:type="dxa"/>
          </w:tblCellMar>
        </w:tblPrEx>
        <w:trPr>
          <w:trHeight w:hRule="exact" w:val="235"/>
        </w:trPr>
        <w:tc>
          <w:tcPr>
            <w:tcW w:w="3370" w:type="dxa"/>
            <w:shd w:val="clear" w:color="auto" w:fill="FFFFFF"/>
            <w:vAlign w:val="bottom"/>
          </w:tcPr>
          <w:p w14:paraId="508052DD" w14:textId="77777777" w:rsidR="00924992" w:rsidRDefault="00924992">
            <w:pPr>
              <w:pStyle w:val="Other0"/>
              <w:framePr w:w="11410" w:h="3259" w:vSpace="312" w:wrap="none" w:hAnchor="page" w:x="625" w:y="366"/>
              <w:spacing w:line="240" w:lineRule="auto"/>
              <w:ind w:firstLine="0"/>
              <w:rPr>
                <w:sz w:val="16"/>
                <w:szCs w:val="16"/>
              </w:rPr>
            </w:pPr>
            <w:r>
              <w:rPr>
                <w:rFonts w:ascii="Times New Roman" w:eastAsia="Times New Roman" w:hAnsi="Times New Roman" w:cs="Times New Roman"/>
                <w:b/>
                <w:bCs/>
                <w:sz w:val="16"/>
                <w:szCs w:val="16"/>
              </w:rPr>
              <w:t>World Health Organization (WHO)</w:t>
            </w:r>
          </w:p>
        </w:tc>
        <w:tc>
          <w:tcPr>
            <w:tcW w:w="3067" w:type="dxa"/>
            <w:shd w:val="clear" w:color="auto" w:fill="FFFFFF"/>
            <w:vAlign w:val="bottom"/>
          </w:tcPr>
          <w:p w14:paraId="65F7C4AB" w14:textId="77777777" w:rsidR="00924992" w:rsidRDefault="00924992">
            <w:pPr>
              <w:pStyle w:val="Other0"/>
              <w:framePr w:w="11410" w:h="3259" w:vSpace="312" w:wrap="none" w:hAnchor="page" w:x="625" w:y="366"/>
              <w:spacing w:line="240" w:lineRule="auto"/>
              <w:ind w:firstLine="0"/>
              <w:rPr>
                <w:sz w:val="16"/>
                <w:szCs w:val="16"/>
              </w:rPr>
            </w:pPr>
            <w:r>
              <w:rPr>
                <w:rFonts w:ascii="Times New Roman" w:eastAsia="Times New Roman" w:hAnsi="Times New Roman" w:cs="Times New Roman"/>
                <w:sz w:val="16"/>
                <w:szCs w:val="16"/>
              </w:rPr>
              <w:t>(+41 22) 791 21 11</w:t>
            </w:r>
          </w:p>
        </w:tc>
        <w:tc>
          <w:tcPr>
            <w:tcW w:w="4973" w:type="dxa"/>
            <w:shd w:val="clear" w:color="auto" w:fill="FFFFFF"/>
            <w:vAlign w:val="bottom"/>
          </w:tcPr>
          <w:p w14:paraId="6D40D2E6" w14:textId="77777777" w:rsidR="00924992" w:rsidRDefault="00924992">
            <w:pPr>
              <w:pStyle w:val="Other0"/>
              <w:framePr w:w="11410" w:h="3259" w:vSpace="312" w:wrap="none" w:hAnchor="page" w:x="625" w:y="366"/>
              <w:spacing w:line="240" w:lineRule="auto"/>
              <w:ind w:firstLine="420"/>
              <w:rPr>
                <w:sz w:val="16"/>
                <w:szCs w:val="16"/>
              </w:rPr>
            </w:pPr>
            <w:hyperlink r:id="rId455" w:history="1">
              <w:r>
                <w:rPr>
                  <w:rFonts w:ascii="Times New Roman" w:eastAsia="Times New Roman" w:hAnsi="Times New Roman" w:cs="Times New Roman"/>
                  <w:sz w:val="16"/>
                  <w:szCs w:val="16"/>
                </w:rPr>
                <w:t>www.who.int</w:t>
              </w:r>
            </w:hyperlink>
          </w:p>
        </w:tc>
      </w:tr>
      <w:tr w:rsidR="00924992" w14:paraId="13B33CB8" w14:textId="77777777">
        <w:tblPrEx>
          <w:tblCellMar>
            <w:top w:w="0" w:type="dxa"/>
            <w:bottom w:w="0" w:type="dxa"/>
          </w:tblCellMar>
        </w:tblPrEx>
        <w:trPr>
          <w:trHeight w:hRule="exact" w:val="739"/>
        </w:trPr>
        <w:tc>
          <w:tcPr>
            <w:tcW w:w="3370" w:type="dxa"/>
            <w:tcBorders>
              <w:bottom w:val="single" w:sz="4" w:space="0" w:color="auto"/>
            </w:tcBorders>
            <w:shd w:val="clear" w:color="auto" w:fill="FFFFFF"/>
          </w:tcPr>
          <w:p w14:paraId="542FAD31" w14:textId="77777777" w:rsidR="00924992" w:rsidRDefault="00924992">
            <w:pPr>
              <w:pStyle w:val="Other0"/>
              <w:framePr w:w="11410" w:h="3259" w:vSpace="312" w:wrap="none" w:hAnchor="page" w:x="625" w:y="366"/>
              <w:spacing w:line="283" w:lineRule="auto"/>
              <w:ind w:firstLine="0"/>
              <w:rPr>
                <w:sz w:val="16"/>
                <w:szCs w:val="16"/>
              </w:rPr>
            </w:pPr>
            <w:r>
              <w:rPr>
                <w:rFonts w:ascii="Times New Roman" w:eastAsia="Times New Roman" w:hAnsi="Times New Roman" w:cs="Times New Roman"/>
                <w:sz w:val="16"/>
                <w:szCs w:val="16"/>
              </w:rPr>
              <w:t>Avenue Appia 20 1211 Geneva 27 Switzerland</w:t>
            </w:r>
          </w:p>
        </w:tc>
        <w:tc>
          <w:tcPr>
            <w:tcW w:w="3067" w:type="dxa"/>
            <w:tcBorders>
              <w:bottom w:val="single" w:sz="4" w:space="0" w:color="auto"/>
            </w:tcBorders>
            <w:shd w:val="clear" w:color="auto" w:fill="FFFFFF"/>
          </w:tcPr>
          <w:p w14:paraId="44142550" w14:textId="77777777" w:rsidR="00924992" w:rsidRDefault="00924992">
            <w:pPr>
              <w:pStyle w:val="Other0"/>
              <w:framePr w:w="11410" w:h="3259" w:vSpace="312" w:wrap="none" w:hAnchor="page" w:x="625" w:y="366"/>
              <w:spacing w:line="240" w:lineRule="auto"/>
              <w:ind w:firstLine="0"/>
              <w:rPr>
                <w:sz w:val="16"/>
                <w:szCs w:val="16"/>
              </w:rPr>
            </w:pPr>
            <w:r>
              <w:rPr>
                <w:rFonts w:ascii="Times New Roman" w:eastAsia="Times New Roman" w:hAnsi="Times New Roman" w:cs="Times New Roman"/>
                <w:sz w:val="16"/>
                <w:szCs w:val="16"/>
              </w:rPr>
              <w:t>(+41 22) 791 31 11 (Fax)</w:t>
            </w:r>
          </w:p>
        </w:tc>
        <w:tc>
          <w:tcPr>
            <w:tcW w:w="4973" w:type="dxa"/>
            <w:tcBorders>
              <w:bottom w:val="single" w:sz="4" w:space="0" w:color="auto"/>
            </w:tcBorders>
            <w:shd w:val="clear" w:color="auto" w:fill="FFFFFF"/>
          </w:tcPr>
          <w:p w14:paraId="53E85936" w14:textId="77777777" w:rsidR="00924992" w:rsidRDefault="00924992">
            <w:pPr>
              <w:framePr w:w="11410" w:h="3259" w:vSpace="312" w:wrap="none" w:hAnchor="page" w:x="625" w:y="366"/>
              <w:rPr>
                <w:sz w:val="10"/>
                <w:szCs w:val="10"/>
              </w:rPr>
            </w:pPr>
          </w:p>
        </w:tc>
      </w:tr>
    </w:tbl>
    <w:p w14:paraId="5E2D18FD" w14:textId="77777777" w:rsidR="00924992" w:rsidRDefault="00924992">
      <w:pPr>
        <w:framePr w:w="11410" w:h="3259" w:vSpace="312" w:wrap="none" w:hAnchor="page" w:x="625" w:y="366"/>
        <w:spacing w:line="1" w:lineRule="exact"/>
      </w:pPr>
    </w:p>
    <w:p w14:paraId="032479F4" w14:textId="77777777" w:rsidR="00924992" w:rsidRDefault="00924992">
      <w:pPr>
        <w:pStyle w:val="Tablecaption0"/>
        <w:framePr w:w="7541" w:h="216" w:wrap="none" w:hAnchor="page" w:x="687" w:y="3721"/>
        <w:spacing w:line="240" w:lineRule="auto"/>
        <w:ind w:left="0"/>
      </w:pPr>
      <w:r>
        <w:rPr>
          <w:sz w:val="8"/>
          <w:szCs w:val="8"/>
          <w:vertAlign w:val="superscript"/>
        </w:rPr>
        <w:t>1</w:t>
      </w:r>
      <w:r>
        <w:rPr>
          <w:sz w:val="8"/>
          <w:szCs w:val="8"/>
        </w:rPr>
        <w:t xml:space="preserve"> </w:t>
      </w:r>
      <w:r>
        <w:t>Las direcciones de Internet y los números de teléfono/fax son los vigentes en el momento de elaborar esta publicación.</w:t>
      </w:r>
    </w:p>
    <w:p w14:paraId="29674987" w14:textId="77777777" w:rsidR="00924992" w:rsidRDefault="00924992">
      <w:pPr>
        <w:pStyle w:val="Bodytext80"/>
        <w:framePr w:w="168" w:h="4483" w:hRule="exact" w:wrap="none" w:hAnchor="page" w:x="12390" w:y="2411"/>
        <w:tabs>
          <w:tab w:val="left" w:pos="4166"/>
        </w:tabs>
        <w:textDirection w:val="tbRl"/>
        <w:rPr>
          <w:sz w:val="16"/>
          <w:szCs w:val="16"/>
        </w:rPr>
      </w:pPr>
      <w:r>
        <w:t>PROFILAXIA ANTIMICROBIANA</w:t>
      </w:r>
      <w:r>
        <w:tab/>
      </w:r>
      <w:r>
        <w:rPr>
          <w:sz w:val="16"/>
          <w:szCs w:val="16"/>
        </w:rPr>
        <w:t>829</w:t>
      </w:r>
    </w:p>
    <w:p w14:paraId="7A7C893F" w14:textId="77777777" w:rsidR="00924992" w:rsidRDefault="00924992">
      <w:pPr>
        <w:spacing w:line="360" w:lineRule="exact"/>
      </w:pPr>
    </w:p>
    <w:p w14:paraId="16AA387D" w14:textId="77777777" w:rsidR="00924992" w:rsidRDefault="00924992">
      <w:pPr>
        <w:spacing w:line="360" w:lineRule="exact"/>
      </w:pPr>
    </w:p>
    <w:p w14:paraId="1B45DDF7" w14:textId="77777777" w:rsidR="00924992" w:rsidRDefault="00924992">
      <w:pPr>
        <w:spacing w:line="360" w:lineRule="exact"/>
      </w:pPr>
    </w:p>
    <w:p w14:paraId="62611C4D" w14:textId="77777777" w:rsidR="00924992" w:rsidRDefault="00924992">
      <w:pPr>
        <w:spacing w:line="360" w:lineRule="exact"/>
      </w:pPr>
    </w:p>
    <w:p w14:paraId="4287B26E" w14:textId="77777777" w:rsidR="00924992" w:rsidRDefault="00924992">
      <w:pPr>
        <w:spacing w:line="360" w:lineRule="exact"/>
      </w:pPr>
    </w:p>
    <w:p w14:paraId="6AD4F47C" w14:textId="77777777" w:rsidR="00924992" w:rsidRDefault="00924992">
      <w:pPr>
        <w:spacing w:line="360" w:lineRule="exact"/>
      </w:pPr>
    </w:p>
    <w:p w14:paraId="06B420AD" w14:textId="77777777" w:rsidR="00924992" w:rsidRDefault="00924992">
      <w:pPr>
        <w:spacing w:line="360" w:lineRule="exact"/>
      </w:pPr>
    </w:p>
    <w:p w14:paraId="4756486A" w14:textId="77777777" w:rsidR="00924992" w:rsidRDefault="00924992">
      <w:pPr>
        <w:spacing w:line="360" w:lineRule="exact"/>
      </w:pPr>
    </w:p>
    <w:p w14:paraId="5424F3DB" w14:textId="77777777" w:rsidR="00924992" w:rsidRDefault="00924992">
      <w:pPr>
        <w:spacing w:line="360" w:lineRule="exact"/>
      </w:pPr>
    </w:p>
    <w:p w14:paraId="28AC013C" w14:textId="77777777" w:rsidR="00924992" w:rsidRDefault="00924992">
      <w:pPr>
        <w:spacing w:line="360" w:lineRule="exact"/>
      </w:pPr>
    </w:p>
    <w:p w14:paraId="69B82B1E" w14:textId="77777777" w:rsidR="00924992" w:rsidRDefault="00924992">
      <w:pPr>
        <w:spacing w:line="360" w:lineRule="exact"/>
      </w:pPr>
    </w:p>
    <w:p w14:paraId="595B134F" w14:textId="77777777" w:rsidR="00924992" w:rsidRDefault="00924992">
      <w:pPr>
        <w:spacing w:line="360" w:lineRule="exact"/>
      </w:pPr>
    </w:p>
    <w:p w14:paraId="1600AFBE" w14:textId="77777777" w:rsidR="00924992" w:rsidRDefault="00924992">
      <w:pPr>
        <w:spacing w:line="360" w:lineRule="exact"/>
      </w:pPr>
    </w:p>
    <w:p w14:paraId="3362D109" w14:textId="77777777" w:rsidR="00924992" w:rsidRDefault="00924992">
      <w:pPr>
        <w:spacing w:line="360" w:lineRule="exact"/>
      </w:pPr>
    </w:p>
    <w:p w14:paraId="70FA04E8" w14:textId="77777777" w:rsidR="00924992" w:rsidRDefault="00924992">
      <w:pPr>
        <w:spacing w:line="360" w:lineRule="exact"/>
      </w:pPr>
    </w:p>
    <w:p w14:paraId="429B32CA" w14:textId="77777777" w:rsidR="00924992" w:rsidRDefault="00924992">
      <w:pPr>
        <w:spacing w:line="360" w:lineRule="exact"/>
      </w:pPr>
    </w:p>
    <w:p w14:paraId="56F8489F" w14:textId="77777777" w:rsidR="00924992" w:rsidRDefault="00924992">
      <w:pPr>
        <w:spacing w:line="360" w:lineRule="exact"/>
      </w:pPr>
    </w:p>
    <w:p w14:paraId="0E06E26B" w14:textId="77777777" w:rsidR="00924992" w:rsidRDefault="00924992">
      <w:pPr>
        <w:spacing w:line="360" w:lineRule="exact"/>
      </w:pPr>
    </w:p>
    <w:p w14:paraId="3928D081" w14:textId="77777777" w:rsidR="00924992" w:rsidRDefault="00924992">
      <w:pPr>
        <w:spacing w:after="412" w:line="1" w:lineRule="exact"/>
      </w:pPr>
    </w:p>
    <w:p w14:paraId="6DD3B017" w14:textId="77777777" w:rsidR="00924992" w:rsidRDefault="00924992">
      <w:pPr>
        <w:spacing w:line="1" w:lineRule="exact"/>
        <w:sectPr w:rsidR="00924992" w:rsidSect="00924992">
          <w:headerReference w:type="even" r:id="rId456"/>
          <w:headerReference w:type="default" r:id="rId457"/>
          <w:footerReference w:type="even" r:id="rId458"/>
          <w:footerReference w:type="default" r:id="rId459"/>
          <w:footnotePr>
            <w:numFmt w:val="chicago"/>
          </w:footnotePr>
          <w:pgSz w:w="13022" w:h="8501" w:orient="landscape"/>
          <w:pgMar w:top="1104" w:right="466" w:bottom="304" w:left="624" w:header="676" w:footer="3" w:gutter="0"/>
          <w:cols w:space="720"/>
          <w:noEndnote/>
          <w:docGrid w:linePitch="360"/>
          <w15:footnoteColumns w:val="1"/>
        </w:sectPr>
      </w:pPr>
    </w:p>
    <w:p w14:paraId="6D174A47" w14:textId="77777777" w:rsidR="00924992" w:rsidRDefault="00924992">
      <w:pPr>
        <w:pStyle w:val="Bodytext100"/>
        <w:spacing w:before="80" w:after="100"/>
        <w:rPr>
          <w:sz w:val="34"/>
          <w:szCs w:val="34"/>
        </w:rPr>
      </w:pPr>
      <w:r>
        <w:rPr>
          <w:sz w:val="34"/>
          <w:szCs w:val="34"/>
        </w:rPr>
        <w:t>A</w:t>
      </w:r>
      <w:r>
        <w:t>péndice ii</w:t>
      </w:r>
      <w:r>
        <w:rPr>
          <w:sz w:val="34"/>
          <w:szCs w:val="34"/>
        </w:rPr>
        <w:t>.</w:t>
      </w:r>
    </w:p>
    <w:p w14:paraId="31898399" w14:textId="77777777" w:rsidR="00924992" w:rsidRDefault="00924992">
      <w:pPr>
        <w:pStyle w:val="Bodytext70"/>
        <w:jc w:val="center"/>
      </w:pPr>
      <w:r>
        <w:t>Estándares para la vacunación de niños y adolescentes</w:t>
      </w:r>
      <w:r>
        <w:footnoteReference w:id="53"/>
      </w:r>
    </w:p>
    <w:p w14:paraId="038A5D87" w14:textId="77777777" w:rsidR="00924992" w:rsidRDefault="00924992">
      <w:pPr>
        <w:pStyle w:val="BodyText"/>
        <w:ind w:firstLine="0"/>
        <w:jc w:val="center"/>
      </w:pPr>
      <w:r>
        <w:t>Recomendados por el</w:t>
      </w:r>
    </w:p>
    <w:p w14:paraId="6E32A875" w14:textId="77777777" w:rsidR="00924992" w:rsidRDefault="00924992">
      <w:pPr>
        <w:pStyle w:val="BodyText"/>
        <w:ind w:firstLine="0"/>
        <w:jc w:val="center"/>
      </w:pPr>
      <w:r>
        <w:rPr>
          <w:b/>
          <w:bCs/>
        </w:rPr>
        <w:t>National Vaccine Advisory Committee (2003)</w:t>
      </w:r>
    </w:p>
    <w:p w14:paraId="287574FC" w14:textId="77777777" w:rsidR="00924992" w:rsidRDefault="00924992">
      <w:pPr>
        <w:pStyle w:val="BodyText"/>
        <w:ind w:firstLine="0"/>
        <w:jc w:val="center"/>
      </w:pPr>
      <w:r>
        <w:t>Aprobados por el</w:t>
      </w:r>
    </w:p>
    <w:p w14:paraId="3D15B15A" w14:textId="77777777" w:rsidR="00924992" w:rsidRDefault="00924992">
      <w:pPr>
        <w:pStyle w:val="BodyText"/>
        <w:ind w:firstLine="0"/>
        <w:jc w:val="center"/>
      </w:pPr>
      <w:r>
        <w:rPr>
          <w:b/>
          <w:bCs/>
        </w:rPr>
        <w:t>United States Public Health Service</w:t>
      </w:r>
    </w:p>
    <w:p w14:paraId="0441A051" w14:textId="77777777" w:rsidR="00924992" w:rsidRDefault="00924992">
      <w:pPr>
        <w:pStyle w:val="BodyText"/>
        <w:ind w:firstLine="0"/>
        <w:jc w:val="center"/>
      </w:pPr>
      <w:r>
        <w:t>Respaldados por la</w:t>
      </w:r>
    </w:p>
    <w:p w14:paraId="64AFF600" w14:textId="77777777" w:rsidR="00924992" w:rsidRDefault="00924992">
      <w:pPr>
        <w:pStyle w:val="BodyText"/>
        <w:spacing w:after="240"/>
        <w:ind w:firstLine="0"/>
        <w:jc w:val="center"/>
      </w:pPr>
      <w:r>
        <w:rPr>
          <w:b/>
          <w:bCs/>
        </w:rPr>
        <w:t>American Academy of Pediatrics</w:t>
      </w:r>
    </w:p>
    <w:p w14:paraId="4D7D4F24" w14:textId="77777777" w:rsidR="00924992" w:rsidRDefault="00924992">
      <w:pPr>
        <w:pStyle w:val="BodyText"/>
        <w:ind w:firstLine="0"/>
      </w:pPr>
      <w:r>
        <w:t xml:space="preserve">Los estándares representan el consenso del </w:t>
      </w:r>
      <w:r>
        <w:rPr>
          <w:rFonts w:ascii="Times New Roman" w:eastAsia="Times New Roman" w:hAnsi="Times New Roman" w:cs="Times New Roman"/>
          <w:i/>
          <w:iCs/>
          <w:sz w:val="16"/>
          <w:szCs w:val="16"/>
        </w:rPr>
        <w:t>National Vaccine Advisory Committee (NVAC)</w:t>
      </w:r>
      <w:r>
        <w:t xml:space="preserve"> y han sido respaldados por organizaciones médicas y de salud pública, que incluyen la </w:t>
      </w:r>
      <w:r>
        <w:rPr>
          <w:rFonts w:ascii="Times New Roman" w:eastAsia="Times New Roman" w:hAnsi="Times New Roman" w:cs="Times New Roman"/>
          <w:i/>
          <w:iCs/>
          <w:sz w:val="16"/>
          <w:szCs w:val="16"/>
        </w:rPr>
        <w:t>American Academy of Pediatrics</w:t>
      </w:r>
      <w:r>
        <w:rPr>
          <w:i/>
          <w:iCs/>
        </w:rPr>
        <w:t>.</w:t>
      </w:r>
      <w:r>
        <w:t xml:space="preserve"> Los estándares indican las prácticas de vacunación esenciales y deseables y constituyen un elemento importante de la estrategia nacional para proteger a los niños estadounidenses de enfermedades evitables por vacunas. Los estándares son útiles para que los profesionales asistenciales identifiquen los cambios necesarios en sus prácticas corrientes y obtengan recursos para emprender prácticas de vacunación deseables.</w:t>
      </w:r>
    </w:p>
    <w:p w14:paraId="5B51FC8E" w14:textId="77777777" w:rsidR="00924992" w:rsidRDefault="00924992">
      <w:pPr>
        <w:pStyle w:val="BodyText"/>
        <w:ind w:firstLine="360"/>
      </w:pPr>
      <w:r>
        <w:t xml:space="preserve">Desde que los estándares fueron publicados en 1992 por primera vez, la aplicación de vacunas en Estados Unidos ha cambiado en formas importantes. En primer lugar, han aumentado de manera sustancial las cifras de protección con vacunación en los preescolares y tal tarea es vigilada en la actualidad por el </w:t>
      </w:r>
      <w:r>
        <w:rPr>
          <w:rFonts w:ascii="Times New Roman" w:eastAsia="Times New Roman" w:hAnsi="Times New Roman" w:cs="Times New Roman"/>
          <w:i/>
          <w:iCs/>
          <w:sz w:val="16"/>
          <w:szCs w:val="16"/>
        </w:rPr>
        <w:t>National Immunization Survey</w:t>
      </w:r>
      <w:r>
        <w:rPr>
          <w:i/>
          <w:iCs/>
        </w:rPr>
        <w:t xml:space="preserve">. </w:t>
      </w:r>
      <w:r>
        <w:t xml:space="preserve">En segundo lugar, la vacunación de niños ha cambiado extraordinariamente del sector público al privado, y se ha concedido importancia a la vacunación en el marco de la asistencia primaria y de la del hogar. El </w:t>
      </w:r>
      <w:r>
        <w:rPr>
          <w:rFonts w:ascii="Times New Roman" w:eastAsia="Times New Roman" w:hAnsi="Times New Roman" w:cs="Times New Roman"/>
          <w:i/>
          <w:iCs/>
          <w:sz w:val="16"/>
          <w:szCs w:val="16"/>
        </w:rPr>
        <w:t>Vaccines for Children Program</w:t>
      </w:r>
      <w:r>
        <w:t xml:space="preserve"> ha brindado un apoyo crucial a este cambio, al cubrir el costo de vacunaciones en los niños y adolescentes con escasos recursos. En tercer lugar, la creación e introducción de mediciones de resultados, como el </w:t>
      </w:r>
      <w:r>
        <w:rPr>
          <w:rFonts w:ascii="Times New Roman" w:eastAsia="Times New Roman" w:hAnsi="Times New Roman" w:cs="Times New Roman"/>
          <w:i/>
          <w:iCs/>
          <w:sz w:val="16"/>
          <w:szCs w:val="16"/>
        </w:rPr>
        <w:t>National Committee for Quality Assurance’s HEDIS (Health Employer Data and Information Set)</w:t>
      </w:r>
      <w:r>
        <w:rPr>
          <w:i/>
          <w:iCs/>
        </w:rPr>
        <w:t>,</w:t>
      </w:r>
      <w:r>
        <w:t xml:space="preserve"> han orientado la atención nacional hacia la calidad de los cuidados preventivos, incluidas las vacunaciones. Por último, la alta calidad de las investigaciones de los servicios asistenciales ha permitido refinar estrategias para mejorar y conservar los niveles de protección por vacunación en niños, adolescentes y adultos.</w:t>
      </w:r>
    </w:p>
    <w:p w14:paraId="7352C3AD" w14:textId="77777777" w:rsidR="00924992" w:rsidRDefault="00924992">
      <w:pPr>
        <w:pStyle w:val="BodyText"/>
        <w:ind w:firstLine="360"/>
      </w:pPr>
      <w:r>
        <w:t>Los profesionales asistenciales que se encargan de vacunar a niños y adolescentes siguen afrontando problemas importantes. Éstos incluyen un menor nivel de experiencia con las enfermedades que evitan las vacunas, por parte de pacientes, progenitores y médicos; la disponibilidad inmediata de información sobre la vacuna, que pudiera ser inexacta o desorientadora; la complejidad creciente de los planes o calendarios de vacunación; la imposibilidad de muchos planes asistenciales de cubrir los costos propios de la vacunación y la orientación que se ha dado a la vacunación de adolescentes.</w:t>
      </w:r>
    </w:p>
    <w:p w14:paraId="4929B9DC" w14:textId="77777777" w:rsidR="00924992" w:rsidRDefault="00924992">
      <w:pPr>
        <w:pStyle w:val="BodyText"/>
        <w:ind w:firstLine="360"/>
      </w:pPr>
      <w:r>
        <w:t>Los estándares están dirigidos a los profesionales asistenciales, un término global que incluye a innumerables personas del medio clínico que comparten la responsabilidad de vacunar a niños y adolescentes: médicos, enfermeras, profesionales de nivel medio (como serían enfermeras practicantes y asistentes) auxiliares médicos y personal administrativo. Además de dicha población asistencial, se pretende que los estándares sirvan a los profesionales en salud pública, encargados de elaborar normas, administradores de planes sanitarios, patrones que adquieren protección sanitaria y otros cuyas actividades modelan y refuerzan la práctica de servicios de vacunación.</w:t>
      </w:r>
    </w:p>
    <w:p w14:paraId="60CC0A0E" w14:textId="77777777" w:rsidR="00924992" w:rsidRDefault="00924992">
      <w:pPr>
        <w:pStyle w:val="BodyText"/>
        <w:ind w:firstLine="360"/>
      </w:pPr>
      <w:r>
        <w:t>El uso del término estándares no debe confundirse con el estándar o norma mínima de atención, sino más bien ellos representan las prácticas más deseables de vacunación, es decir la que los profesionales asistenciales intentarían alcanzar. Ante las limitaciones actuales de recursos, para muchos profesionales es difícil cumplir en la práctica con todos los estándares, y ello es resultado de circunstancias de las cuales tienen escaso control. Se espera que al resumir las mejores prácticas de vacunación en un formato claro y conciso, los estándares servirán a tales profesionales para obtener los recursos necesarios para llevar a la práctica este conjunto de recomendaciones.</w:t>
      </w:r>
    </w:p>
    <w:p w14:paraId="0EAAB2D3" w14:textId="77777777" w:rsidR="00924992" w:rsidRDefault="00924992">
      <w:pPr>
        <w:pStyle w:val="BodyText"/>
        <w:spacing w:after="220"/>
        <w:ind w:firstLine="360"/>
      </w:pPr>
      <w:r>
        <w:t xml:space="preserve">Al adoptar los estándares, los profesionales asistenciales mejorarán sus propias normas y tareas, lo que permitirá que el logro de los objetivos de vacunación para niños y adolescentes, tal como se señala en </w:t>
      </w:r>
      <w:r>
        <w:rPr>
          <w:rFonts w:ascii="Times New Roman" w:eastAsia="Times New Roman" w:hAnsi="Times New Roman" w:cs="Times New Roman"/>
          <w:i/>
          <w:iCs/>
          <w:sz w:val="16"/>
          <w:szCs w:val="16"/>
        </w:rPr>
        <w:t>Healthy People 2010</w:t>
      </w:r>
      <w:r>
        <w:rPr>
          <w:i/>
          <w:iCs/>
        </w:rPr>
        <w:t>,</w:t>
      </w:r>
      <w:r>
        <w:t xml:space="preserve"> sea una meta factible y posible. Alcanzar dichas metas mejorará la salud y el bienestar de todos los niños y los adolescentes, así como la de las comunidades en que viven. En este texto se incluyen los estándares e información sobre recursos. Los datos que respaldan cada estándar se incluyen en la página </w:t>
      </w:r>
      <w:hyperlink r:id="rId460" w:history="1">
        <w:r>
          <w:t>www.aap.org</w:t>
        </w:r>
      </w:hyperlink>
      <w:r>
        <w:t xml:space="preserve"> y también en </w:t>
      </w:r>
      <w:r>
        <w:rPr>
          <w:rFonts w:ascii="Times New Roman" w:eastAsia="Times New Roman" w:hAnsi="Times New Roman" w:cs="Times New Roman"/>
          <w:i/>
          <w:iCs/>
          <w:sz w:val="16"/>
          <w:szCs w:val="16"/>
        </w:rPr>
        <w:t>Pediatrics</w:t>
      </w:r>
      <w:r>
        <w:rPr>
          <w:i/>
          <w:iCs/>
        </w:rPr>
        <w:t>.*</w:t>
      </w:r>
    </w:p>
    <w:p w14:paraId="459B062B" w14:textId="77777777" w:rsidR="00924992" w:rsidRDefault="00924992">
      <w:pPr>
        <w:pStyle w:val="Other0"/>
        <w:spacing w:after="220" w:line="252" w:lineRule="auto"/>
        <w:ind w:firstLine="0"/>
        <w:rPr>
          <w:sz w:val="20"/>
          <w:szCs w:val="20"/>
        </w:rPr>
      </w:pPr>
      <w:r>
        <w:rPr>
          <w:rFonts w:ascii="Arial" w:eastAsia="Arial" w:hAnsi="Arial" w:cs="Arial"/>
          <w:b/>
          <w:bCs/>
          <w:i/>
          <w:iCs/>
          <w:w w:val="80"/>
          <w:sz w:val="20"/>
          <w:szCs w:val="20"/>
        </w:rPr>
        <w:t>ESTÁNDARES PARA LAS PRÁCTICAS DE VACUNACIÓN DE NIÑOS Y ADOLESCENTES</w:t>
      </w:r>
    </w:p>
    <w:p w14:paraId="67487E54" w14:textId="77777777" w:rsidR="00924992" w:rsidRDefault="00924992">
      <w:pPr>
        <w:pStyle w:val="Bodytext20"/>
        <w:spacing w:line="314" w:lineRule="auto"/>
      </w:pPr>
      <w:r>
        <w:rPr>
          <w:b/>
          <w:bCs/>
          <w:i/>
          <w:iCs/>
        </w:rPr>
        <w:t>Disponibilidad y distribución de vacunas</w:t>
      </w:r>
    </w:p>
    <w:p w14:paraId="63234D22" w14:textId="77777777" w:rsidR="00924992" w:rsidRDefault="00924992">
      <w:pPr>
        <w:pStyle w:val="BodyText"/>
        <w:numPr>
          <w:ilvl w:val="0"/>
          <w:numId w:val="154"/>
        </w:numPr>
        <w:tabs>
          <w:tab w:val="left" w:pos="283"/>
        </w:tabs>
        <w:ind w:firstLine="0"/>
      </w:pPr>
      <w:bookmarkStart w:id="840" w:name="bookmark2234"/>
      <w:bookmarkEnd w:id="840"/>
      <w:r>
        <w:t>Los servicios de vacunación se obtienen fácilmente.</w:t>
      </w:r>
    </w:p>
    <w:p w14:paraId="5C52EB6A" w14:textId="77777777" w:rsidR="00924992" w:rsidRDefault="00924992">
      <w:pPr>
        <w:pStyle w:val="BodyText"/>
        <w:numPr>
          <w:ilvl w:val="0"/>
          <w:numId w:val="154"/>
        </w:numPr>
        <w:tabs>
          <w:tab w:val="left" w:pos="283"/>
        </w:tabs>
        <w:ind w:left="360" w:hanging="360"/>
      </w:pPr>
      <w:bookmarkStart w:id="841" w:name="bookmark2235"/>
      <w:bookmarkEnd w:id="841"/>
      <w:r>
        <w:t>Las vacunaciones son coordinadas por otros servicios asistenciales y suministradas en entornos hogareños médicos</w:t>
      </w:r>
      <w:r>
        <w:rPr>
          <w:vertAlign w:val="superscript"/>
        </w:rPr>
        <w:footnoteReference w:id="54"/>
      </w:r>
      <w:r>
        <w:rPr>
          <w:vertAlign w:val="superscript"/>
        </w:rPr>
        <w:t xml:space="preserve"> </w:t>
      </w:r>
      <w:r>
        <w:rPr>
          <w:vertAlign w:val="superscript"/>
        </w:rPr>
        <w:footnoteReference w:id="55"/>
      </w:r>
      <w:r>
        <w:t>' en la medida de lo posible.</w:t>
      </w:r>
    </w:p>
    <w:p w14:paraId="741E2815" w14:textId="77777777" w:rsidR="00924992" w:rsidRDefault="00924992">
      <w:pPr>
        <w:pStyle w:val="BodyText"/>
        <w:numPr>
          <w:ilvl w:val="0"/>
          <w:numId w:val="154"/>
        </w:numPr>
        <w:tabs>
          <w:tab w:val="left" w:pos="283"/>
        </w:tabs>
        <w:ind w:firstLine="0"/>
      </w:pPr>
      <w:bookmarkStart w:id="842" w:name="bookmark2236"/>
      <w:bookmarkEnd w:id="842"/>
      <w:r>
        <w:t>Es necesario identificar y reducir al mínimo las barreras que impiden la vacunación.</w:t>
      </w:r>
    </w:p>
    <w:p w14:paraId="43F4A105" w14:textId="77777777" w:rsidR="00924992" w:rsidRDefault="00924992">
      <w:pPr>
        <w:pStyle w:val="BodyText"/>
        <w:numPr>
          <w:ilvl w:val="0"/>
          <w:numId w:val="154"/>
        </w:numPr>
        <w:tabs>
          <w:tab w:val="left" w:pos="283"/>
        </w:tabs>
        <w:spacing w:after="220"/>
        <w:ind w:left="360" w:hanging="360"/>
      </w:pPr>
      <w:bookmarkStart w:id="843" w:name="bookmark2237"/>
      <w:bookmarkEnd w:id="843"/>
      <w:r>
        <w:t xml:space="preserve">Los costos para el paciente se llevan al mínimo. Si se desea información sobre el Vaccines for Children Program, véase </w:t>
      </w:r>
      <w:hyperlink r:id="rId461" w:history="1">
        <w:r>
          <w:t>www.cdc.gov/nip/vfc/</w:t>
        </w:r>
      </w:hyperlink>
      <w:r>
        <w:t>.</w:t>
      </w:r>
    </w:p>
    <w:p w14:paraId="1AD20C2B" w14:textId="77777777" w:rsidR="00924992" w:rsidRDefault="00924992">
      <w:pPr>
        <w:pStyle w:val="Bodytext20"/>
        <w:spacing w:line="314" w:lineRule="auto"/>
      </w:pPr>
      <w:r>
        <w:rPr>
          <w:b/>
          <w:bCs/>
          <w:i/>
          <w:iCs/>
        </w:rPr>
        <w:t>Valoración del estado de vacunación</w:t>
      </w:r>
    </w:p>
    <w:p w14:paraId="07298ED0" w14:textId="77777777" w:rsidR="00924992" w:rsidRDefault="00924992">
      <w:pPr>
        <w:pStyle w:val="BodyText"/>
        <w:numPr>
          <w:ilvl w:val="0"/>
          <w:numId w:val="154"/>
        </w:numPr>
        <w:tabs>
          <w:tab w:val="left" w:pos="283"/>
        </w:tabs>
        <w:ind w:left="360" w:hanging="360"/>
      </w:pPr>
      <w:bookmarkStart w:id="844" w:name="bookmark2238"/>
      <w:bookmarkEnd w:id="844"/>
      <w:r>
        <w:t>Los profesionales asistenciales revisan el estado de vacunación y salud de las personas en cada encuentro para determinar las vacunas indicadas (véase fig. 1-1).</w:t>
      </w:r>
    </w:p>
    <w:p w14:paraId="60587616" w14:textId="77777777" w:rsidR="00924992" w:rsidRDefault="00924992">
      <w:pPr>
        <w:pStyle w:val="BodyText"/>
        <w:numPr>
          <w:ilvl w:val="0"/>
          <w:numId w:val="154"/>
        </w:numPr>
        <w:tabs>
          <w:tab w:val="left" w:pos="283"/>
        </w:tabs>
        <w:spacing w:after="220"/>
        <w:ind w:left="360" w:hanging="360"/>
      </w:pPr>
      <w:bookmarkStart w:id="845" w:name="bookmark2239"/>
      <w:bookmarkEnd w:id="845"/>
      <w:r>
        <w:t>Los profesionales asistenciales valoran sólo las contraindicaciones médicamente aceptables y las cumplen (véase “Precauciones y contraindicaciones” en Inmunización activa, sección 1).</w:t>
      </w:r>
    </w:p>
    <w:p w14:paraId="3CB7107F" w14:textId="77777777" w:rsidR="00924992" w:rsidRDefault="00924992">
      <w:pPr>
        <w:pStyle w:val="Bodytext20"/>
        <w:spacing w:line="314" w:lineRule="auto"/>
      </w:pPr>
      <w:r>
        <w:rPr>
          <w:b/>
          <w:bCs/>
          <w:i/>
          <w:iCs/>
        </w:rPr>
        <w:t>Comunicación eficaz de los beneficios y riesgos de las vacunas</w:t>
      </w:r>
    </w:p>
    <w:p w14:paraId="56009E32" w14:textId="77777777" w:rsidR="00924992" w:rsidRDefault="00924992">
      <w:pPr>
        <w:pStyle w:val="BodyText"/>
        <w:numPr>
          <w:ilvl w:val="0"/>
          <w:numId w:val="154"/>
        </w:numPr>
        <w:tabs>
          <w:tab w:val="left" w:pos="283"/>
        </w:tabs>
        <w:spacing w:after="220"/>
        <w:ind w:left="360" w:hanging="360"/>
      </w:pPr>
      <w:bookmarkStart w:id="846" w:name="bookmark2240"/>
      <w:bookmarkEnd w:id="846"/>
      <w:r>
        <w:t>Los progenitores/tutores y los pacientes reciben información sobre los beneficios y peligros de la vacunación en una forma culturalmente apropiada y en un lenguaje fácil de comprender (véanse cuadro 1-2; “Información para los pacientes y sus padres” y “Riesgos y reacciones adversas” en Seguridad y contraindicaciones de las vacunas en la sección 1).</w:t>
      </w:r>
    </w:p>
    <w:p w14:paraId="70C1B7A2" w14:textId="77777777" w:rsidR="00924992" w:rsidRDefault="00924992">
      <w:pPr>
        <w:pStyle w:val="Bodytext20"/>
        <w:spacing w:line="314" w:lineRule="auto"/>
      </w:pPr>
      <w:r>
        <w:rPr>
          <w:b/>
          <w:bCs/>
          <w:i/>
          <w:iCs/>
        </w:rPr>
        <w:t>Almacenamiento, administración y señalamiento escrito apropiados de las vacunaciones</w:t>
      </w:r>
    </w:p>
    <w:p w14:paraId="52AEA907" w14:textId="77777777" w:rsidR="00924992" w:rsidRDefault="00924992">
      <w:pPr>
        <w:pStyle w:val="BodyText"/>
        <w:numPr>
          <w:ilvl w:val="0"/>
          <w:numId w:val="154"/>
        </w:numPr>
        <w:tabs>
          <w:tab w:val="left" w:pos="312"/>
        </w:tabs>
        <w:ind w:left="360" w:hanging="360"/>
      </w:pPr>
      <w:bookmarkStart w:id="847" w:name="bookmark2241"/>
      <w:bookmarkEnd w:id="847"/>
      <w:r>
        <w:t>Los profesionales asistenciales cumplen con métodos adecuados para almacenar y manejar las vacunar (véase “Manejo y almacenamiento de vacunas”, sección 1).</w:t>
      </w:r>
    </w:p>
    <w:p w14:paraId="11975008" w14:textId="77777777" w:rsidR="00924992" w:rsidRDefault="00924992">
      <w:pPr>
        <w:pStyle w:val="BodyText"/>
        <w:numPr>
          <w:ilvl w:val="0"/>
          <w:numId w:val="154"/>
        </w:numPr>
        <w:tabs>
          <w:tab w:val="left" w:pos="312"/>
        </w:tabs>
        <w:ind w:left="360" w:hanging="360"/>
      </w:pPr>
      <w:bookmarkStart w:id="848" w:name="bookmark2242"/>
      <w:bookmarkEnd w:id="848"/>
      <w:r>
        <w:t>Los protocolos escritos y actualizados de vacunación deben estar al alcance en todos los sitios en que se apliquen vacunas.</w:t>
      </w:r>
    </w:p>
    <w:p w14:paraId="74E5F841" w14:textId="77777777" w:rsidR="00924992" w:rsidRDefault="00924992">
      <w:pPr>
        <w:pStyle w:val="BodyText"/>
        <w:numPr>
          <w:ilvl w:val="0"/>
          <w:numId w:val="154"/>
        </w:numPr>
        <w:tabs>
          <w:tab w:val="left" w:pos="363"/>
        </w:tabs>
        <w:ind w:left="360" w:hanging="360"/>
      </w:pPr>
      <w:bookmarkStart w:id="849" w:name="bookmark2243"/>
      <w:bookmarkEnd w:id="849"/>
      <w:r>
        <w:t xml:space="preserve">Las personas que aplican vacunas y los miembros del personal que dirigen o apoyan la vacunación deben conocer y recibir enseñanza constante. En la página </w:t>
      </w:r>
      <w:hyperlink r:id="rId462" w:history="1">
        <w:r>
          <w:t>www.cdc.gov/nip/ed/</w:t>
        </w:r>
      </w:hyperlink>
      <w:r>
        <w:t xml:space="preserve"> se brinda información sobre programas de enseñanza y preparación.</w:t>
      </w:r>
    </w:p>
    <w:p w14:paraId="3571BC0B" w14:textId="77777777" w:rsidR="00924992" w:rsidRDefault="00924992">
      <w:pPr>
        <w:pStyle w:val="BodyText"/>
        <w:numPr>
          <w:ilvl w:val="0"/>
          <w:numId w:val="154"/>
        </w:numPr>
        <w:tabs>
          <w:tab w:val="left" w:pos="363"/>
        </w:tabs>
        <w:ind w:left="360" w:hanging="360"/>
      </w:pPr>
      <w:bookmarkStart w:id="850" w:name="bookmark2244"/>
      <w:bookmarkEnd w:id="850"/>
      <w:r>
        <w:t>Los profesionales asistenciales aplican de manera simultánea tantas dosis de vacuna indicadas como sea posible.</w:t>
      </w:r>
    </w:p>
    <w:p w14:paraId="6747B129" w14:textId="77777777" w:rsidR="00924992" w:rsidRDefault="00924992">
      <w:pPr>
        <w:pStyle w:val="BodyText"/>
        <w:numPr>
          <w:ilvl w:val="0"/>
          <w:numId w:val="154"/>
        </w:numPr>
        <w:tabs>
          <w:tab w:val="left" w:pos="363"/>
        </w:tabs>
        <w:ind w:left="360" w:hanging="360"/>
      </w:pPr>
      <w:bookmarkStart w:id="851" w:name="bookmark2245"/>
      <w:bookmarkEnd w:id="851"/>
      <w:r>
        <w:t>Los registros de vacunación de los pacientes son exactos, completos y pueden obtenerse fácilmente (véase “Archivos y registros de vacunación”, sección 1).</w:t>
      </w:r>
    </w:p>
    <w:p w14:paraId="44645074" w14:textId="77777777" w:rsidR="00924992" w:rsidRDefault="00924992">
      <w:pPr>
        <w:pStyle w:val="BodyText"/>
        <w:numPr>
          <w:ilvl w:val="0"/>
          <w:numId w:val="154"/>
        </w:numPr>
        <w:tabs>
          <w:tab w:val="left" w:pos="363"/>
        </w:tabs>
        <w:spacing w:line="286" w:lineRule="auto"/>
        <w:ind w:left="360" w:hanging="360"/>
      </w:pPr>
      <w:bookmarkStart w:id="852" w:name="bookmark2246"/>
      <w:bookmarkEnd w:id="852"/>
      <w:r>
        <w:t xml:space="preserve">Los profesionales asistenciales notifican la aparición de fenómenos adversos después de la vacunación de manera inmediata y exacta a </w:t>
      </w:r>
      <w:r>
        <w:rPr>
          <w:rFonts w:ascii="Times New Roman" w:eastAsia="Times New Roman" w:hAnsi="Times New Roman" w:cs="Times New Roman"/>
          <w:i/>
          <w:iCs/>
          <w:sz w:val="16"/>
          <w:szCs w:val="16"/>
        </w:rPr>
        <w:t>Vaccine Adverse Event Reporting System</w:t>
      </w:r>
      <w:r>
        <w:t xml:space="preserve"> (VAERS) y deben conocer otro programa, el </w:t>
      </w:r>
      <w:r>
        <w:rPr>
          <w:rFonts w:ascii="Times New Roman" w:eastAsia="Times New Roman" w:hAnsi="Times New Roman" w:cs="Times New Roman"/>
          <w:i/>
          <w:iCs/>
          <w:sz w:val="16"/>
          <w:szCs w:val="16"/>
        </w:rPr>
        <w:t>National Vaccine Injury Compensation Program</w:t>
      </w:r>
      <w:r>
        <w:t xml:space="preserve"> (VICP) (véase “Seguridad y contraindicaciones de las vacunas”, sección 1).</w:t>
      </w:r>
    </w:p>
    <w:p w14:paraId="576F54D2" w14:textId="77777777" w:rsidR="00924992" w:rsidRDefault="00924992">
      <w:pPr>
        <w:pStyle w:val="BodyText"/>
        <w:numPr>
          <w:ilvl w:val="0"/>
          <w:numId w:val="154"/>
        </w:numPr>
        <w:tabs>
          <w:tab w:val="left" w:pos="363"/>
        </w:tabs>
        <w:spacing w:after="220"/>
        <w:ind w:left="360" w:hanging="360"/>
      </w:pPr>
      <w:bookmarkStart w:id="853" w:name="bookmark2247"/>
      <w:bookmarkEnd w:id="853"/>
      <w:r>
        <w:t xml:space="preserve">Todo personal en contacto con los pacientes debe estar vacunado apropiadamente (véase </w:t>
      </w:r>
      <w:hyperlink r:id="rId463" w:history="1">
        <w:r>
          <w:t>www.cdc.gov/nip/recs/adult-schedule.htm</w:t>
        </w:r>
      </w:hyperlink>
      <w:r>
        <w:t>).</w:t>
      </w:r>
    </w:p>
    <w:p w14:paraId="6515DE98" w14:textId="77777777" w:rsidR="00924992" w:rsidRDefault="00924992">
      <w:pPr>
        <w:pStyle w:val="Bodytext20"/>
        <w:spacing w:line="314" w:lineRule="auto"/>
      </w:pPr>
      <w:r>
        <w:rPr>
          <w:b/>
          <w:bCs/>
          <w:i/>
          <w:iCs/>
        </w:rPr>
        <w:t>Aplicación de las estrategias para mejorar la protección por vacunación</w:t>
      </w:r>
    </w:p>
    <w:p w14:paraId="1309530D" w14:textId="77777777" w:rsidR="00924992" w:rsidRDefault="00924992">
      <w:pPr>
        <w:pStyle w:val="BodyText"/>
        <w:numPr>
          <w:ilvl w:val="0"/>
          <w:numId w:val="154"/>
        </w:numPr>
        <w:tabs>
          <w:tab w:val="left" w:pos="363"/>
        </w:tabs>
        <w:ind w:left="360" w:hanging="360"/>
      </w:pPr>
      <w:bookmarkStart w:id="854" w:name="bookmark2248"/>
      <w:bookmarkEnd w:id="854"/>
      <w:r>
        <w:t>Se utilizan sistemas para recordar a los padres/tutores, pacientes y profesionales asistenciales, las fechas en que deben aplicarse las vacunas y también las fechas límites que han sido rebasadas.</w:t>
      </w:r>
    </w:p>
    <w:p w14:paraId="67C3C76D" w14:textId="77777777" w:rsidR="00924992" w:rsidRDefault="00924992">
      <w:pPr>
        <w:pStyle w:val="BodyText"/>
        <w:numPr>
          <w:ilvl w:val="0"/>
          <w:numId w:val="154"/>
        </w:numPr>
        <w:tabs>
          <w:tab w:val="left" w:pos="363"/>
        </w:tabs>
        <w:ind w:left="360" w:hanging="360"/>
      </w:pPr>
      <w:bookmarkStart w:id="855" w:name="bookmark2249"/>
      <w:bookmarkEnd w:id="855"/>
      <w:r>
        <w:t>Cada año se revisan los registros de los pacientes en el consultorio o la clínica y se valora la protección por vacunación.</w:t>
      </w:r>
    </w:p>
    <w:p w14:paraId="5CC69928" w14:textId="77777777" w:rsidR="00924992" w:rsidRDefault="00924992">
      <w:pPr>
        <w:pStyle w:val="BodyText"/>
        <w:numPr>
          <w:ilvl w:val="0"/>
          <w:numId w:val="154"/>
        </w:numPr>
        <w:tabs>
          <w:tab w:val="left" w:pos="363"/>
        </w:tabs>
        <w:spacing w:after="220"/>
        <w:ind w:firstLine="0"/>
        <w:sectPr w:rsidR="00924992" w:rsidSect="00924992">
          <w:headerReference w:type="even" r:id="rId464"/>
          <w:headerReference w:type="default" r:id="rId465"/>
          <w:footerReference w:type="even" r:id="rId466"/>
          <w:footerReference w:type="default" r:id="rId467"/>
          <w:footnotePr>
            <w:numFmt w:val="upperRoman"/>
          </w:footnotePr>
          <w:pgSz w:w="8501" w:h="13022"/>
          <w:pgMar w:top="941" w:right="928" w:bottom="495" w:left="694" w:header="0" w:footer="3" w:gutter="0"/>
          <w:pgNumType w:start="830"/>
          <w:cols w:space="720"/>
          <w:noEndnote/>
          <w:docGrid w:linePitch="360"/>
          <w15:footnoteColumns w:val="1"/>
        </w:sectPr>
      </w:pPr>
      <w:bookmarkStart w:id="856" w:name="bookmark2250"/>
      <w:bookmarkEnd w:id="856"/>
      <w:r>
        <w:t>Los profesionales asistenciales practican estrategias basadas en la comunidad.</w:t>
      </w:r>
    </w:p>
    <w:p w14:paraId="49EE7756" w14:textId="77777777" w:rsidR="00924992" w:rsidRDefault="00924992">
      <w:pPr>
        <w:spacing w:line="1" w:lineRule="exact"/>
      </w:pPr>
      <w:r>
        <w:rPr>
          <w:noProof/>
        </w:rPr>
        <mc:AlternateContent>
          <mc:Choice Requires="wps">
            <w:drawing>
              <wp:anchor distT="0" distB="548640" distL="38100" distR="1431290" simplePos="0" relativeHeight="251750400" behindDoc="0" locked="0" layoutInCell="1" allowOverlap="1" wp14:anchorId="294467EC" wp14:editId="4053A1F9">
                <wp:simplePos x="0" y="0"/>
                <wp:positionH relativeFrom="page">
                  <wp:posOffset>387350</wp:posOffset>
                </wp:positionH>
                <wp:positionV relativeFrom="paragraph">
                  <wp:posOffset>1261745</wp:posOffset>
                </wp:positionV>
                <wp:extent cx="1456690" cy="704215"/>
                <wp:effectExtent l="0" t="0" r="0" b="0"/>
                <wp:wrapSquare wrapText="bothSides"/>
                <wp:docPr id="2553" name="Shape 2553"/>
                <wp:cNvGraphicFramePr/>
                <a:graphic xmlns:a="http://schemas.openxmlformats.org/drawingml/2006/main">
                  <a:graphicData uri="http://schemas.microsoft.com/office/word/2010/wordprocessingShape">
                    <wps:wsp>
                      <wps:cNvSpPr txBox="1"/>
                      <wps:spPr>
                        <a:xfrm>
                          <a:off x="0" y="0"/>
                          <a:ext cx="1456690" cy="704215"/>
                        </a:xfrm>
                        <a:prstGeom prst="rect">
                          <a:avLst/>
                        </a:prstGeom>
                        <a:noFill/>
                      </wps:spPr>
                      <wps:txbx>
                        <w:txbxContent>
                          <w:p w14:paraId="2402B205" w14:textId="77777777" w:rsidR="00924992" w:rsidRDefault="00924992">
                            <w:pPr>
                              <w:pStyle w:val="Bodytext20"/>
                            </w:pPr>
                            <w:r>
                              <w:t>Recomendaciones generales para todas las vacunas</w:t>
                            </w:r>
                          </w:p>
                          <w:p w14:paraId="167442AF" w14:textId="77777777" w:rsidR="00924992" w:rsidRDefault="00924992">
                            <w:pPr>
                              <w:pStyle w:val="Bodytext20"/>
                            </w:pPr>
                            <w:r>
                              <w:t>(DTaP, IPV, MMR, Hib, contra neumococos, hepatitis B, varicela, hepatitis A e influenza)</w:t>
                            </w:r>
                          </w:p>
                        </w:txbxContent>
                      </wps:txbx>
                      <wps:bodyPr lIns="0" tIns="0" rIns="0" bIns="0"/>
                    </wps:wsp>
                  </a:graphicData>
                </a:graphic>
              </wp:anchor>
            </w:drawing>
          </mc:Choice>
          <mc:Fallback>
            <w:pict>
              <v:shape w14:anchorId="294467EC" id="Shape 2553" o:spid="_x0000_s1132" type="#_x0000_t202" style="position:absolute;margin-left:30.5pt;margin-top:99.35pt;width:114.7pt;height:55.45pt;z-index:251750400;visibility:visible;mso-wrap-style:square;mso-wrap-distance-left:3pt;mso-wrap-distance-top:0;mso-wrap-distance-right:112.7pt;mso-wrap-distance-bottom:43.2pt;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" filled="f" stroked="f">
                <v:textbox inset="0,0,0,0">
                  <w:txbxContent>
                    <w:p w14:paraId="2402B205" w14:textId="77777777" w:rsidR="00924992" w:rsidRDefault="00924992">
                      <w:pPr>
                        <w:pStyle w:val="Bodytext20"/>
                      </w:pPr>
                      <w:r>
                        <w:t>Recomendaciones generales para todas las vacunas</w:t>
                      </w:r>
                    </w:p>
                    <w:p w14:paraId="167442AF" w14:textId="77777777" w:rsidR="00924992" w:rsidRDefault="00924992">
                      <w:pPr>
                        <w:pStyle w:val="Bodytext20"/>
                      </w:pPr>
                      <w:r>
                        <w:t>(DTaP, IPV, MMR, Hib, contra neumococos, hepatitis B, varicela, hepatitis A e influenza)</w:t>
                      </w:r>
                    </w:p>
                  </w:txbxContent>
                </v:textbox>
                <w10:wrap type="square" anchorx="page"/>
              </v:shape>
            </w:pict>
          </mc:Fallback>
        </mc:AlternateContent>
      </w:r>
      <w:r>
        <w:rPr>
          <w:noProof/>
        </w:rPr>
        <mc:AlternateContent>
          <mc:Choice Requires="wps">
            <w:drawing>
              <wp:anchor distT="0" distB="0" distL="1510030" distR="38100" simplePos="0" relativeHeight="251751424" behindDoc="0" locked="0" layoutInCell="1" allowOverlap="1" wp14:anchorId="6379B41B" wp14:editId="4EFF6A2A">
                <wp:simplePos x="0" y="0"/>
                <wp:positionH relativeFrom="page">
                  <wp:posOffset>1859280</wp:posOffset>
                </wp:positionH>
                <wp:positionV relativeFrom="paragraph">
                  <wp:posOffset>1261745</wp:posOffset>
                </wp:positionV>
                <wp:extent cx="1377950" cy="1252855"/>
                <wp:effectExtent l="0" t="0" r="0" b="0"/>
                <wp:wrapSquare wrapText="bothSides"/>
                <wp:docPr id="2555" name="Shape 2555"/>
                <wp:cNvGraphicFramePr/>
                <a:graphic xmlns:a="http://schemas.openxmlformats.org/drawingml/2006/main">
                  <a:graphicData uri="http://schemas.microsoft.com/office/word/2010/wordprocessingShape">
                    <wps:wsp>
                      <wps:cNvSpPr txBox="1"/>
                      <wps:spPr>
                        <a:xfrm>
                          <a:off x="0" y="0"/>
                          <a:ext cx="1377950" cy="1252855"/>
                        </a:xfrm>
                        <a:prstGeom prst="rect">
                          <a:avLst/>
                        </a:prstGeom>
                        <a:noFill/>
                      </wps:spPr>
                      <wps:txbx>
                        <w:txbxContent>
                          <w:p w14:paraId="75D55333" w14:textId="77777777" w:rsidR="00924992" w:rsidRDefault="00924992">
                            <w:pPr>
                              <w:pStyle w:val="Bodytext20"/>
                            </w:pPr>
                            <w:r>
                              <w:t>La reacción anafiláctica a una vacuna constituye contraindicación para aplicar nuevas dosis de la misma</w:t>
                            </w:r>
                          </w:p>
                          <w:p w14:paraId="13E5BB40" w14:textId="77777777" w:rsidR="00924992" w:rsidRDefault="00924992">
                            <w:pPr>
                              <w:pStyle w:val="Bodytext20"/>
                            </w:pPr>
                            <w:r>
                              <w:t>La reacción anafiláctica al constituyente de una vacuna constituye contraindicación para los productos biológicos que contengan tal sustancia</w:t>
                            </w:r>
                          </w:p>
                        </w:txbxContent>
                      </wps:txbx>
                      <wps:bodyPr lIns="0" tIns="0" rIns="0" bIns="0"/>
                    </wps:wsp>
                  </a:graphicData>
                </a:graphic>
              </wp:anchor>
            </w:drawing>
          </mc:Choice>
          <mc:Fallback>
            <w:pict>
              <v:shape w14:anchorId="6379B41B" id="Shape 2555" o:spid="_x0000_s1133" type="#_x0000_t202" style="position:absolute;margin-left:146.4pt;margin-top:99.35pt;width:108.5pt;height:98.65pt;z-index:251751424;visibility:visible;mso-wrap-style:square;mso-wrap-distance-left:118.9pt;mso-wrap-distance-top:0;mso-wrap-distance-right:3pt;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" filled="f" stroked="f">
                <v:textbox inset="0,0,0,0">
                  <w:txbxContent>
                    <w:p w14:paraId="75D55333" w14:textId="77777777" w:rsidR="00924992" w:rsidRDefault="00924992">
                      <w:pPr>
                        <w:pStyle w:val="Bodytext20"/>
                      </w:pPr>
                      <w:r>
                        <w:t>La reacción anafiláctica a una vacuna constituye contraindicación para aplicar nuevas dosis de la misma</w:t>
                      </w:r>
                    </w:p>
                    <w:p w14:paraId="13E5BB40" w14:textId="77777777" w:rsidR="00924992" w:rsidRDefault="00924992">
                      <w:pPr>
                        <w:pStyle w:val="Bodytext20"/>
                      </w:pPr>
                      <w:r>
                        <w:t>La reacción anafiláctica al constituyente de una vacuna constituye contraindicación para los productos biológicos que contengan tal sustancia</w:t>
                      </w:r>
                    </w:p>
                  </w:txbxContent>
                </v:textbox>
                <w10:wrap type="square" anchorx="page"/>
              </v:shape>
            </w:pict>
          </mc:Fallback>
        </mc:AlternateContent>
      </w:r>
      <w:r>
        <w:rPr>
          <w:noProof/>
        </w:rPr>
        <mc:AlternateContent>
          <mc:Choice Requires="wps">
            <w:drawing>
              <wp:anchor distT="0" distB="0" distL="114300" distR="114300" simplePos="0" relativeHeight="251752448" behindDoc="0" locked="0" layoutInCell="1" allowOverlap="1" wp14:anchorId="3798BEDA" wp14:editId="79DE72C1">
                <wp:simplePos x="0" y="0"/>
                <wp:positionH relativeFrom="page">
                  <wp:posOffset>7867015</wp:posOffset>
                </wp:positionH>
                <wp:positionV relativeFrom="paragraph">
                  <wp:posOffset>1913890</wp:posOffset>
                </wp:positionV>
                <wp:extent cx="106680" cy="2475230"/>
                <wp:effectExtent l="0" t="0" r="0" b="0"/>
                <wp:wrapSquare wrapText="bothSides"/>
                <wp:docPr id="2557" name="Shape 2557"/>
                <wp:cNvGraphicFramePr/>
                <a:graphic xmlns:a="http://schemas.openxmlformats.org/drawingml/2006/main">
                  <a:graphicData uri="http://schemas.microsoft.com/office/word/2010/wordprocessingShape">
                    <wps:wsp>
                      <wps:cNvSpPr txBox="1"/>
                      <wps:spPr>
                        <a:xfrm>
                          <a:off x="0" y="0"/>
                          <a:ext cx="106680" cy="2475230"/>
                        </a:xfrm>
                        <a:prstGeom prst="rect">
                          <a:avLst/>
                        </a:prstGeom>
                        <a:noFill/>
                      </wps:spPr>
                      <wps:txbx>
                        <w:txbxContent>
                          <w:p w14:paraId="7FAF719F" w14:textId="77777777" w:rsidR="00924992" w:rsidRDefault="00924992">
                            <w:pPr>
                              <w:pStyle w:val="Bodytext80"/>
                              <w:tabs>
                                <w:tab w:val="left" w:pos="3581"/>
                              </w:tabs>
                              <w:rPr>
                                <w:sz w:val="16"/>
                                <w:szCs w:val="16"/>
                              </w:rPr>
                            </w:pPr>
                            <w:r>
                              <w:t>APENDICE III</w:t>
                            </w:r>
                            <w:r>
                              <w:tab/>
                            </w:r>
                            <w:r>
                              <w:rPr>
                                <w:sz w:val="16"/>
                                <w:szCs w:val="16"/>
                              </w:rPr>
                              <w:t>833</w:t>
                            </w:r>
                          </w:p>
                        </w:txbxContent>
                      </wps:txbx>
                      <wps:bodyPr vert="vert" lIns="0" tIns="0" rIns="0" bIns="0" upright="1"/>
                    </wps:wsp>
                  </a:graphicData>
                </a:graphic>
              </wp:anchor>
            </w:drawing>
          </mc:Choice>
          <mc:Fallback>
            <w:pict>
              <v:shape w14:anchorId="3798BEDA" id="Shape 2557" o:spid="_x0000_s1134" type="#_x0000_t202" style="position:absolute;margin-left:619.45pt;margin-top:150.7pt;width:8.4pt;height:194.9pt;z-index:251752448;visibility:visible;mso-wrap-style:square;mso-wrap-distance-left:9pt;mso-wrap-distance-top:0;mso-wrap-distance-right:9pt;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" filled="f" stroked="f">
                <v:textbox style="layout-flow:vertical" inset="0,0,0,0">
                  <w:txbxContent>
                    <w:p w14:paraId="7FAF719F" w14:textId="77777777" w:rsidR="00924992" w:rsidRDefault="00924992">
                      <w:pPr>
                        <w:pStyle w:val="Bodytext80"/>
                        <w:tabs>
                          <w:tab w:val="left" w:pos="3581"/>
                        </w:tabs>
                        <w:rPr>
                          <w:sz w:val="16"/>
                          <w:szCs w:val="16"/>
                        </w:rPr>
                      </w:pPr>
                      <w:r>
                        <w:t>APENDICE III</w:t>
                      </w:r>
                      <w:r>
                        <w:tab/>
                      </w:r>
                      <w:r>
                        <w:rPr>
                          <w:sz w:val="16"/>
                          <w:szCs w:val="16"/>
                        </w:rPr>
                        <w:t>833</w:t>
                      </w:r>
                    </w:p>
                  </w:txbxContent>
                </v:textbox>
                <w10:wrap type="square" anchorx="page"/>
              </v:shape>
            </w:pict>
          </mc:Fallback>
        </mc:AlternateContent>
      </w:r>
    </w:p>
    <w:p w14:paraId="5C64F5FB" w14:textId="77777777" w:rsidR="00924992" w:rsidRDefault="00924992">
      <w:pPr>
        <w:pStyle w:val="Heading31"/>
        <w:keepNext/>
        <w:keepLines/>
        <w:ind w:left="2000"/>
      </w:pPr>
      <w:bookmarkStart w:id="857" w:name="bookmark2251"/>
      <w:bookmarkStart w:id="858" w:name="bookmark2252"/>
      <w:bookmarkStart w:id="859" w:name="bookmark2253"/>
      <w:r>
        <w:t>Guía de contraindicaciones y precauciones en las vacunaciones, 2003</w:t>
      </w:r>
      <w:bookmarkEnd w:id="857"/>
      <w:bookmarkEnd w:id="858"/>
      <w:bookmarkEnd w:id="859"/>
    </w:p>
    <w:p w14:paraId="283D92EC" w14:textId="77777777" w:rsidR="00924992" w:rsidRDefault="00924992">
      <w:pPr>
        <w:pStyle w:val="Bodytext20"/>
        <w:spacing w:after="51" w:line="276" w:lineRule="auto"/>
        <w:ind w:firstLine="840"/>
        <w:rPr>
          <w:sz w:val="15"/>
          <w:szCs w:val="15"/>
        </w:rPr>
      </w:pPr>
      <w:r>
        <w:rPr>
          <w:sz w:val="15"/>
          <w:szCs w:val="15"/>
        </w:rPr>
        <w:t xml:space="preserve">Esta información se basa en las recomendaciones del </w:t>
      </w:r>
      <w:r>
        <w:rPr>
          <w:i/>
          <w:iCs/>
          <w:sz w:val="15"/>
          <w:szCs w:val="15"/>
        </w:rPr>
        <w:t>Advisory Committee on Immunization Practices</w:t>
      </w:r>
      <w:r>
        <w:rPr>
          <w:sz w:val="15"/>
          <w:szCs w:val="15"/>
        </w:rPr>
        <w:t xml:space="preserve"> (ACIP) y el </w:t>
      </w:r>
      <w:r>
        <w:rPr>
          <w:i/>
          <w:iCs/>
          <w:sz w:val="15"/>
          <w:szCs w:val="15"/>
        </w:rPr>
        <w:t>Committee on Infectious Diseases</w:t>
      </w:r>
      <w:r>
        <w:rPr>
          <w:sz w:val="15"/>
          <w:szCs w:val="15"/>
        </w:rPr>
        <w:t xml:space="preserve"> de la </w:t>
      </w:r>
      <w:r>
        <w:rPr>
          <w:i/>
          <w:iCs/>
          <w:sz w:val="15"/>
          <w:szCs w:val="15"/>
        </w:rPr>
        <w:t>American Academy of Pediatrics</w:t>
      </w:r>
      <w:r>
        <w:rPr>
          <w:sz w:val="15"/>
          <w:szCs w:val="15"/>
        </w:rPr>
        <w:t xml:space="preserve"> (AAP). A veces las recomendaciones varían de las que señalan los fabricantes en sus instrucciones. Para datos más detallados los profesionales asistenciales deben consultar las recomendaciones publicadas de ACIP, AAP y las instrucciones de los fabricantes de productos biológicos. Estas directrices, que fueron publicadas originalmente en 1993, han sido actualizadas para incluir las recomendaciones correspondientes a 2003 (información de febrero de 2003).</w:t>
      </w:r>
    </w:p>
    <w:p w14:paraId="5D3A416C" w14:textId="77777777" w:rsidR="00924992" w:rsidRDefault="00924992">
      <w:pPr>
        <w:pStyle w:val="Heading41"/>
        <w:keepNext/>
        <w:keepLines/>
        <w:pBdr>
          <w:top w:val="single" w:sz="0" w:space="1" w:color="231F20"/>
          <w:left w:val="single" w:sz="0" w:space="0" w:color="231F20"/>
          <w:bottom w:val="single" w:sz="0" w:space="6" w:color="231F20"/>
          <w:right w:val="single" w:sz="0" w:space="0" w:color="231F20"/>
        </w:pBdr>
        <w:shd w:val="clear" w:color="auto" w:fill="231F20"/>
        <w:tabs>
          <w:tab w:val="left" w:pos="2296"/>
          <w:tab w:val="left" w:pos="6806"/>
        </w:tabs>
        <w:spacing w:line="204" w:lineRule="auto"/>
      </w:pPr>
      <w:bookmarkStart w:id="860" w:name="bookmark2256"/>
      <w:r>
        <w:rPr>
          <w:color w:val="FFFFFF"/>
        </w:rPr>
        <w:t>Vacuna</w:t>
      </w:r>
      <w:r>
        <w:rPr>
          <w:color w:val="FFFFFF"/>
        </w:rPr>
        <w:tab/>
        <w:t>Contraindicaciones Precauciones</w:t>
      </w:r>
      <w:r>
        <w:rPr>
          <w:rFonts w:ascii="Times New Roman" w:eastAsia="Times New Roman" w:hAnsi="Times New Roman" w:cs="Times New Roman"/>
          <w:b w:val="0"/>
          <w:bCs w:val="0"/>
          <w:color w:val="FFFFFF"/>
          <w:w w:val="100"/>
          <w:sz w:val="8"/>
          <w:szCs w:val="8"/>
          <w:vertAlign w:val="superscript"/>
        </w:rPr>
        <w:t>1</w:t>
      </w:r>
      <w:r>
        <w:rPr>
          <w:rFonts w:ascii="Times New Roman" w:eastAsia="Times New Roman" w:hAnsi="Times New Roman" w:cs="Times New Roman"/>
          <w:b w:val="0"/>
          <w:bCs w:val="0"/>
          <w:color w:val="FFFFFF"/>
          <w:w w:val="100"/>
          <w:sz w:val="8"/>
          <w:szCs w:val="8"/>
        </w:rPr>
        <w:tab/>
      </w:r>
      <w:r>
        <w:rPr>
          <w:color w:val="FFFFFF"/>
        </w:rPr>
        <w:t>Hechos que no constituyen</w:t>
      </w:r>
      <w:bookmarkEnd w:id="860"/>
    </w:p>
    <w:p w14:paraId="1EECB656" w14:textId="77777777" w:rsidR="00924992" w:rsidRDefault="00924992">
      <w:pPr>
        <w:pStyle w:val="Heading41"/>
        <w:keepNext/>
        <w:keepLines/>
        <w:pBdr>
          <w:top w:val="single" w:sz="0" w:space="0" w:color="231F20"/>
          <w:left w:val="single" w:sz="0" w:space="0" w:color="231F20"/>
          <w:bottom w:val="single" w:sz="0" w:space="6" w:color="231F20"/>
          <w:right w:val="single" w:sz="0" w:space="0" w:color="231F20"/>
        </w:pBdr>
        <w:shd w:val="clear" w:color="auto" w:fill="231F20"/>
        <w:spacing w:line="204" w:lineRule="auto"/>
        <w:ind w:left="6860"/>
      </w:pPr>
      <w:bookmarkStart w:id="861" w:name="bookmark2254"/>
      <w:bookmarkStart w:id="862" w:name="bookmark2255"/>
      <w:bookmarkStart w:id="863" w:name="bookmark2257"/>
      <w:r>
        <w:rPr>
          <w:color w:val="FFFFFF"/>
        </w:rPr>
        <w:t>contraindicaciones (es posible administrar las vacunas)</w:t>
      </w:r>
      <w:bookmarkEnd w:id="861"/>
      <w:bookmarkEnd w:id="862"/>
      <w:bookmarkEnd w:id="863"/>
    </w:p>
    <w:p w14:paraId="7A1BBC82" w14:textId="77777777" w:rsidR="00924992" w:rsidRDefault="00924992">
      <w:pPr>
        <w:pStyle w:val="Bodytext20"/>
        <w:tabs>
          <w:tab w:val="left" w:pos="2296"/>
        </w:tabs>
      </w:pPr>
      <w:r>
        <w:t>Un cuadro de enfermedad Reacción local leve o moderada (adolorimiento, moderada o grave con fiebre o rubor o hinchazón) después de una dosis sin ella</w:t>
      </w:r>
      <w:r>
        <w:tab/>
        <w:t>de un antígeno inyectable</w:t>
      </w:r>
    </w:p>
    <w:p w14:paraId="151BBB12" w14:textId="77777777" w:rsidR="00924992" w:rsidRDefault="00924992">
      <w:pPr>
        <w:pStyle w:val="Bodytext20"/>
        <w:tabs>
          <w:tab w:val="left" w:pos="2296"/>
        </w:tabs>
      </w:pPr>
      <w:r>
        <w:t>Alergia al caucho</w:t>
      </w:r>
      <w:r>
        <w:rPr>
          <w:vertAlign w:val="superscript"/>
        </w:rPr>
        <w:footnoteReference w:id="56"/>
      </w:r>
      <w:r>
        <w:rPr>
          <w:vertAlign w:val="superscript"/>
        </w:rPr>
        <w:t xml:space="preserve"> </w:t>
      </w:r>
      <w:r>
        <w:rPr>
          <w:vertAlign w:val="superscript"/>
        </w:rPr>
        <w:footnoteReference w:id="57"/>
      </w:r>
      <w:r>
        <w:rPr>
          <w:vertAlign w:val="superscript"/>
        </w:rPr>
        <w:t xml:space="preserve"> </w:t>
      </w:r>
      <w:r>
        <w:rPr>
          <w:vertAlign w:val="superscript"/>
        </w:rPr>
        <w:footnoteReference w:id="58"/>
      </w:r>
      <w:r>
        <w:tab/>
        <w:t>Febrícula leve o moderada después de la</w:t>
      </w:r>
    </w:p>
    <w:p w14:paraId="63E44E1F" w14:textId="77777777" w:rsidR="00924992" w:rsidRDefault="00924992">
      <w:pPr>
        <w:pStyle w:val="Bodytext20"/>
        <w:ind w:left="2320"/>
      </w:pPr>
      <w:r>
        <w:t>aplicación de una dosis de vacuna</w:t>
      </w:r>
    </w:p>
    <w:p w14:paraId="4895D806" w14:textId="77777777" w:rsidR="00924992" w:rsidRDefault="00924992">
      <w:pPr>
        <w:pStyle w:val="Bodytext20"/>
        <w:ind w:left="2280" w:right="1600"/>
        <w:jc w:val="right"/>
      </w:pPr>
      <w:r>
        <w:t>Cuadro agudo leve con febrícula o sin ella Administración actual de antimicrobianos</w:t>
      </w:r>
    </w:p>
    <w:p w14:paraId="378D3313" w14:textId="77777777" w:rsidR="00924992" w:rsidRDefault="00924992">
      <w:pPr>
        <w:pStyle w:val="Bodytext20"/>
        <w:pBdr>
          <w:bottom w:val="single" w:sz="4" w:space="0" w:color="auto"/>
        </w:pBdr>
        <w:spacing w:after="80"/>
        <w:ind w:left="2320" w:firstLine="40"/>
        <w:sectPr w:rsidR="00924992" w:rsidSect="00924992">
          <w:headerReference w:type="even" r:id="rId468"/>
          <w:headerReference w:type="default" r:id="rId469"/>
          <w:footerReference w:type="even" r:id="rId470"/>
          <w:footerReference w:type="default" r:id="rId471"/>
          <w:pgSz w:w="13022" w:h="8501" w:orient="landscape"/>
          <w:pgMar w:top="1085" w:right="960" w:bottom="141" w:left="610" w:header="657" w:footer="3" w:gutter="0"/>
          <w:pgNumType w:start="1019"/>
          <w:cols w:space="720"/>
          <w:noEndnote/>
          <w:docGrid w:linePitch="360"/>
          <w15:footnoteColumns w:val="1"/>
        </w:sectPr>
      </w:pPr>
      <w:r>
        <w:t>Fase de convalecencia de enfermedades Premadurez (las mismas dosis e indicaciones para lactantes a término sanos)</w:t>
      </w:r>
    </w:p>
    <w:p w14:paraId="3EED3206" w14:textId="77777777" w:rsidR="00924992" w:rsidRDefault="00924992">
      <w:pPr>
        <w:pStyle w:val="Heading31"/>
        <w:keepNext/>
        <w:keepLines/>
        <w:framePr w:w="7392" w:h="322" w:wrap="none" w:hAnchor="page" w:x="2646" w:y="1"/>
        <w:rPr>
          <w:sz w:val="16"/>
          <w:szCs w:val="16"/>
        </w:rPr>
      </w:pPr>
      <w:bookmarkStart w:id="864" w:name="bookmark2258"/>
      <w:bookmarkStart w:id="865" w:name="bookmark2259"/>
      <w:bookmarkStart w:id="866" w:name="bookmark2260"/>
      <w:r>
        <w:t xml:space="preserve">Guía de contraindicaciones y precauciones en las vacunaciones, 2003 </w:t>
      </w:r>
      <w:r>
        <w:rPr>
          <w:rFonts w:ascii="Times New Roman" w:eastAsia="Times New Roman" w:hAnsi="Times New Roman" w:cs="Times New Roman"/>
          <w:b w:val="0"/>
          <w:bCs w:val="0"/>
          <w:i/>
          <w:iCs/>
          <w:w w:val="100"/>
          <w:sz w:val="16"/>
          <w:szCs w:val="16"/>
        </w:rPr>
        <w:t>cwrtanuación</w:t>
      </w:r>
      <w:bookmarkEnd w:id="864"/>
      <w:bookmarkEnd w:id="865"/>
      <w:bookmarkEnd w:id="866"/>
    </w:p>
    <w:tbl>
      <w:tblPr>
        <w:tblOverlap w:val="never"/>
        <w:tblW w:w="0" w:type="auto"/>
        <w:tblLayout w:type="fixed"/>
        <w:tblCellMar>
          <w:left w:w="10" w:type="dxa"/>
          <w:right w:w="10" w:type="dxa"/>
        </w:tblCellMar>
        <w:tblLook w:val="04A0" w:firstRow="1" w:lastRow="0" w:firstColumn="1" w:lastColumn="0" w:noHBand="0" w:noVBand="1"/>
      </w:tblPr>
      <w:tblGrid>
        <w:gridCol w:w="1483"/>
        <w:gridCol w:w="3034"/>
        <w:gridCol w:w="3139"/>
        <w:gridCol w:w="3778"/>
      </w:tblGrid>
      <w:tr w:rsidR="00924992" w14:paraId="3161068A" w14:textId="77777777">
        <w:tblPrEx>
          <w:tblCellMar>
            <w:top w:w="0" w:type="dxa"/>
            <w:bottom w:w="0" w:type="dxa"/>
          </w:tblCellMar>
        </w:tblPrEx>
        <w:trPr>
          <w:trHeight w:hRule="exact" w:val="854"/>
        </w:trPr>
        <w:tc>
          <w:tcPr>
            <w:tcW w:w="1483" w:type="dxa"/>
            <w:shd w:val="clear" w:color="auto" w:fill="231F20"/>
          </w:tcPr>
          <w:p w14:paraId="2CA4ED04" w14:textId="77777777" w:rsidR="00924992" w:rsidRDefault="00924992">
            <w:pPr>
              <w:pStyle w:val="Other0"/>
              <w:framePr w:w="11434" w:h="5784" w:hSpace="19" w:vSpace="821" w:wrap="none" w:hAnchor="page" w:x="620" w:y="366"/>
              <w:pBdr>
                <w:top w:val="single" w:sz="0" w:space="0" w:color="231F20"/>
                <w:left w:val="single" w:sz="0" w:space="0" w:color="231F20"/>
                <w:bottom w:val="single" w:sz="0" w:space="0" w:color="231F20"/>
                <w:right w:val="single" w:sz="0" w:space="0" w:color="231F20"/>
              </w:pBdr>
              <w:shd w:val="clear" w:color="auto" w:fill="231F20"/>
              <w:spacing w:line="240" w:lineRule="auto"/>
              <w:ind w:firstLine="0"/>
              <w:rPr>
                <w:sz w:val="24"/>
                <w:szCs w:val="24"/>
              </w:rPr>
            </w:pPr>
            <w:r>
              <w:rPr>
                <w:rFonts w:ascii="Arial" w:eastAsia="Arial" w:hAnsi="Arial" w:cs="Arial"/>
                <w:b/>
                <w:bCs/>
                <w:color w:val="FFFFFF"/>
                <w:w w:val="70"/>
                <w:sz w:val="24"/>
                <w:szCs w:val="24"/>
              </w:rPr>
              <w:t>Vacuna</w:t>
            </w:r>
          </w:p>
        </w:tc>
        <w:tc>
          <w:tcPr>
            <w:tcW w:w="3034" w:type="dxa"/>
            <w:shd w:val="clear" w:color="auto" w:fill="231F20"/>
          </w:tcPr>
          <w:p w14:paraId="4E258E51" w14:textId="77777777" w:rsidR="00924992" w:rsidRDefault="00924992">
            <w:pPr>
              <w:pStyle w:val="Other0"/>
              <w:framePr w:w="11434" w:h="5784" w:hSpace="19" w:vSpace="821" w:wrap="none" w:hAnchor="page" w:x="620" w:y="366"/>
              <w:pBdr>
                <w:top w:val="single" w:sz="0" w:space="0" w:color="231F20"/>
                <w:left w:val="single" w:sz="0" w:space="0" w:color="231F20"/>
                <w:bottom w:val="single" w:sz="0" w:space="0" w:color="231F20"/>
                <w:right w:val="single" w:sz="0" w:space="0" w:color="231F20"/>
              </w:pBdr>
              <w:shd w:val="clear" w:color="auto" w:fill="231F20"/>
              <w:spacing w:line="240" w:lineRule="auto"/>
              <w:ind w:firstLine="840"/>
              <w:rPr>
                <w:sz w:val="24"/>
                <w:szCs w:val="24"/>
              </w:rPr>
            </w:pPr>
            <w:r>
              <w:rPr>
                <w:rFonts w:ascii="Arial" w:eastAsia="Arial" w:hAnsi="Arial" w:cs="Arial"/>
                <w:b/>
                <w:bCs/>
                <w:color w:val="FFFFFF"/>
                <w:w w:val="70"/>
                <w:sz w:val="24"/>
                <w:szCs w:val="24"/>
              </w:rPr>
              <w:t>Contraindicaciones</w:t>
            </w:r>
          </w:p>
        </w:tc>
        <w:tc>
          <w:tcPr>
            <w:tcW w:w="3139" w:type="dxa"/>
            <w:shd w:val="clear" w:color="auto" w:fill="231F20"/>
          </w:tcPr>
          <w:p w14:paraId="11D1876E" w14:textId="77777777" w:rsidR="00924992" w:rsidRDefault="00924992">
            <w:pPr>
              <w:pStyle w:val="Other0"/>
              <w:framePr w:w="11434" w:h="5784" w:hSpace="19" w:vSpace="821" w:wrap="none" w:hAnchor="page" w:x="620" w:y="366"/>
              <w:pBdr>
                <w:top w:val="single" w:sz="0" w:space="0" w:color="231F20"/>
                <w:left w:val="single" w:sz="0" w:space="0" w:color="231F20"/>
                <w:bottom w:val="single" w:sz="0" w:space="0" w:color="231F20"/>
                <w:right w:val="single" w:sz="0" w:space="0" w:color="231F20"/>
              </w:pBdr>
              <w:shd w:val="clear" w:color="auto" w:fill="231F20"/>
              <w:spacing w:line="240" w:lineRule="auto"/>
              <w:ind w:firstLine="0"/>
              <w:rPr>
                <w:sz w:val="8"/>
                <w:szCs w:val="8"/>
              </w:rPr>
            </w:pPr>
            <w:r>
              <w:rPr>
                <w:rFonts w:ascii="Arial" w:eastAsia="Arial" w:hAnsi="Arial" w:cs="Arial"/>
                <w:b/>
                <w:bCs/>
                <w:color w:val="FFFFFF"/>
                <w:w w:val="70"/>
                <w:sz w:val="24"/>
                <w:szCs w:val="24"/>
              </w:rPr>
              <w:t>Precauciones</w:t>
            </w:r>
            <w:r>
              <w:rPr>
                <w:rFonts w:ascii="Times New Roman" w:eastAsia="Times New Roman" w:hAnsi="Times New Roman" w:cs="Times New Roman"/>
                <w:color w:val="FFFFFF"/>
                <w:sz w:val="8"/>
                <w:szCs w:val="8"/>
                <w:vertAlign w:val="superscript"/>
              </w:rPr>
              <w:t>1</w:t>
            </w:r>
          </w:p>
        </w:tc>
        <w:tc>
          <w:tcPr>
            <w:tcW w:w="3778" w:type="dxa"/>
            <w:shd w:val="clear" w:color="auto" w:fill="231F20"/>
            <w:vAlign w:val="bottom"/>
          </w:tcPr>
          <w:p w14:paraId="2E453DCF" w14:textId="77777777" w:rsidR="00924992" w:rsidRDefault="00924992">
            <w:pPr>
              <w:pStyle w:val="Other0"/>
              <w:framePr w:w="11434" w:h="5784" w:hSpace="19" w:vSpace="821" w:wrap="none" w:hAnchor="page" w:x="620" w:y="366"/>
              <w:pBdr>
                <w:top w:val="single" w:sz="0" w:space="0" w:color="231F20"/>
                <w:left w:val="single" w:sz="0" w:space="0" w:color="231F20"/>
                <w:bottom w:val="single" w:sz="0" w:space="0" w:color="231F20"/>
                <w:right w:val="single" w:sz="0" w:space="0" w:color="231F20"/>
              </w:pBdr>
              <w:shd w:val="clear" w:color="auto" w:fill="231F20"/>
              <w:spacing w:line="209" w:lineRule="auto"/>
              <w:ind w:firstLine="0"/>
              <w:rPr>
                <w:sz w:val="24"/>
                <w:szCs w:val="24"/>
              </w:rPr>
            </w:pPr>
            <w:r>
              <w:rPr>
                <w:rFonts w:ascii="Arial" w:eastAsia="Arial" w:hAnsi="Arial" w:cs="Arial"/>
                <w:b/>
                <w:bCs/>
                <w:color w:val="FFFFFF"/>
                <w:w w:val="70"/>
                <w:sz w:val="24"/>
                <w:szCs w:val="24"/>
              </w:rPr>
              <w:t>Hechos que no constituyen contraindicaciones (es posible administrar las vacunas)</w:t>
            </w:r>
          </w:p>
        </w:tc>
      </w:tr>
      <w:tr w:rsidR="00924992" w14:paraId="2BBDFB8E" w14:textId="77777777">
        <w:tblPrEx>
          <w:tblCellMar>
            <w:top w:w="0" w:type="dxa"/>
            <w:bottom w:w="0" w:type="dxa"/>
          </w:tblCellMar>
        </w:tblPrEx>
        <w:trPr>
          <w:trHeight w:hRule="exact" w:val="2448"/>
        </w:trPr>
        <w:tc>
          <w:tcPr>
            <w:tcW w:w="1483" w:type="dxa"/>
            <w:shd w:val="clear" w:color="auto" w:fill="FFFFFF"/>
            <w:vAlign w:val="bottom"/>
          </w:tcPr>
          <w:p w14:paraId="7244BBE3" w14:textId="77777777" w:rsidR="00924992" w:rsidRDefault="00924992">
            <w:pPr>
              <w:pStyle w:val="Other0"/>
              <w:framePr w:w="11434" w:h="5784" w:hSpace="19" w:vSpace="821" w:wrap="none" w:hAnchor="page" w:x="620" w:y="366"/>
              <w:spacing w:line="240" w:lineRule="auto"/>
              <w:ind w:firstLine="0"/>
              <w:rPr>
                <w:sz w:val="16"/>
                <w:szCs w:val="16"/>
              </w:rPr>
            </w:pPr>
            <w:r>
              <w:rPr>
                <w:rFonts w:ascii="Times New Roman" w:eastAsia="Times New Roman" w:hAnsi="Times New Roman" w:cs="Times New Roman"/>
                <w:sz w:val="16"/>
                <w:szCs w:val="16"/>
              </w:rPr>
              <w:t>DTaP</w:t>
            </w:r>
          </w:p>
        </w:tc>
        <w:tc>
          <w:tcPr>
            <w:tcW w:w="3034" w:type="dxa"/>
            <w:shd w:val="clear" w:color="auto" w:fill="FFFFFF"/>
            <w:vAlign w:val="bottom"/>
          </w:tcPr>
          <w:p w14:paraId="51E8F8E9" w14:textId="77777777" w:rsidR="00924992" w:rsidRDefault="00924992">
            <w:pPr>
              <w:pStyle w:val="Other0"/>
              <w:framePr w:w="11434" w:h="5784" w:hSpace="19" w:vSpace="821" w:wrap="none" w:hAnchor="page" w:x="620" w:y="366"/>
              <w:spacing w:line="240" w:lineRule="auto"/>
              <w:ind w:firstLine="840"/>
              <w:rPr>
                <w:sz w:val="16"/>
                <w:szCs w:val="16"/>
              </w:rPr>
            </w:pPr>
            <w:r>
              <w:rPr>
                <w:rFonts w:ascii="Times New Roman" w:eastAsia="Times New Roman" w:hAnsi="Times New Roman" w:cs="Times New Roman"/>
                <w:sz w:val="16"/>
                <w:szCs w:val="16"/>
              </w:rPr>
              <w:t>Encefalopatía en término</w:t>
            </w:r>
          </w:p>
        </w:tc>
        <w:tc>
          <w:tcPr>
            <w:tcW w:w="3139" w:type="dxa"/>
            <w:shd w:val="clear" w:color="auto" w:fill="FFFFFF"/>
            <w:vAlign w:val="bottom"/>
          </w:tcPr>
          <w:p w14:paraId="71A1EFD0" w14:textId="77777777" w:rsidR="00924992" w:rsidRDefault="00924992">
            <w:pPr>
              <w:pStyle w:val="Other0"/>
              <w:framePr w:w="11434" w:h="5784" w:hSpace="19" w:vSpace="821" w:wrap="none" w:hAnchor="page" w:x="620" w:y="366"/>
              <w:spacing w:line="240" w:lineRule="auto"/>
              <w:ind w:firstLine="0"/>
              <w:rPr>
                <w:sz w:val="16"/>
                <w:szCs w:val="16"/>
              </w:rPr>
            </w:pPr>
            <w:r>
              <w:rPr>
                <w:rFonts w:ascii="Times New Roman" w:eastAsia="Times New Roman" w:hAnsi="Times New Roman" w:cs="Times New Roman"/>
                <w:sz w:val="16"/>
                <w:szCs w:val="16"/>
              </w:rPr>
              <w:t>Temperatura de 40.5°C en término de 48 h</w:t>
            </w:r>
          </w:p>
        </w:tc>
        <w:tc>
          <w:tcPr>
            <w:tcW w:w="3778" w:type="dxa"/>
            <w:shd w:val="clear" w:color="auto" w:fill="FFFFFF"/>
            <w:vAlign w:val="bottom"/>
          </w:tcPr>
          <w:p w14:paraId="6C79F15A" w14:textId="77777777" w:rsidR="00924992" w:rsidRDefault="00924992">
            <w:pPr>
              <w:pStyle w:val="Other0"/>
              <w:framePr w:w="11434" w:h="5784" w:hSpace="19" w:vSpace="821" w:wrap="none" w:hAnchor="page" w:x="620" w:y="366"/>
              <w:spacing w:line="283" w:lineRule="auto"/>
              <w:ind w:firstLine="0"/>
              <w:rPr>
                <w:sz w:val="16"/>
                <w:szCs w:val="16"/>
              </w:rPr>
            </w:pPr>
            <w:r>
              <w:rPr>
                <w:rFonts w:ascii="Times New Roman" w:eastAsia="Times New Roman" w:hAnsi="Times New Roman" w:cs="Times New Roman"/>
                <w:sz w:val="16"/>
                <w:szCs w:val="16"/>
              </w:rPr>
              <w:t>Exposición reciente a una enfermedad infecciosa Antecedente de alergia a la penicilina u otras alergias inespecíficas o el hecho de que los parientes las muestren</w:t>
            </w:r>
          </w:p>
          <w:p w14:paraId="1D2CEE07" w14:textId="77777777" w:rsidR="00924992" w:rsidRDefault="00924992">
            <w:pPr>
              <w:pStyle w:val="Other0"/>
              <w:framePr w:w="11434" w:h="5784" w:hSpace="19" w:vSpace="821" w:wrap="none" w:hAnchor="page" w:x="620" w:y="366"/>
              <w:spacing w:line="283" w:lineRule="auto"/>
              <w:ind w:left="140" w:hanging="140"/>
              <w:rPr>
                <w:sz w:val="16"/>
                <w:szCs w:val="16"/>
              </w:rPr>
            </w:pPr>
            <w:r>
              <w:rPr>
                <w:rFonts w:ascii="Times New Roman" w:eastAsia="Times New Roman" w:hAnsi="Times New Roman" w:cs="Times New Roman"/>
                <w:sz w:val="16"/>
                <w:szCs w:val="16"/>
              </w:rPr>
              <w:t>Embarazo de la madre o un contacto en el núcleo familiar</w:t>
            </w:r>
          </w:p>
          <w:p w14:paraId="5FB43E69" w14:textId="77777777" w:rsidR="00924992" w:rsidRDefault="00924992">
            <w:pPr>
              <w:pStyle w:val="Other0"/>
              <w:framePr w:w="11434" w:h="5784" w:hSpace="19" w:vSpace="821" w:wrap="none" w:hAnchor="page" w:x="620" w:y="366"/>
              <w:spacing w:line="283" w:lineRule="auto"/>
              <w:ind w:firstLine="0"/>
              <w:rPr>
                <w:sz w:val="16"/>
                <w:szCs w:val="16"/>
              </w:rPr>
            </w:pPr>
            <w:r>
              <w:rPr>
                <w:rFonts w:ascii="Times New Roman" w:eastAsia="Times New Roman" w:hAnsi="Times New Roman" w:cs="Times New Roman"/>
                <w:sz w:val="16"/>
                <w:szCs w:val="16"/>
              </w:rPr>
              <w:t>Contacto no vacunado del núcleo familiar Contacto inmunodeficiente del núcleo familiar Amamantamiento (lactante amamantado O madre que lo amamanta)</w:t>
            </w:r>
          </w:p>
          <w:p w14:paraId="20CB2102" w14:textId="77777777" w:rsidR="00924992" w:rsidRDefault="00924992">
            <w:pPr>
              <w:pStyle w:val="Other0"/>
              <w:framePr w:w="11434" w:h="5784" w:hSpace="19" w:vSpace="821" w:wrap="none" w:hAnchor="page" w:x="620" w:y="366"/>
              <w:spacing w:line="283" w:lineRule="auto"/>
              <w:ind w:firstLine="0"/>
              <w:rPr>
                <w:sz w:val="16"/>
                <w:szCs w:val="16"/>
              </w:rPr>
            </w:pPr>
            <w:r>
              <w:rPr>
                <w:rFonts w:ascii="Times New Roman" w:eastAsia="Times New Roman" w:hAnsi="Times New Roman" w:cs="Times New Roman"/>
                <w:sz w:val="16"/>
                <w:szCs w:val="16"/>
              </w:rPr>
              <w:t>Antecedente familiar de convulsiones</w:t>
            </w:r>
            <w:r>
              <w:rPr>
                <w:rFonts w:ascii="Times New Roman" w:eastAsia="Times New Roman" w:hAnsi="Times New Roman" w:cs="Times New Roman"/>
                <w:sz w:val="16"/>
                <w:szCs w:val="16"/>
                <w:vertAlign w:val="superscript"/>
              </w:rPr>
              <w:t>3</w:t>
            </w:r>
          </w:p>
        </w:tc>
      </w:tr>
      <w:tr w:rsidR="00924992" w14:paraId="76BFCE47" w14:textId="77777777">
        <w:tblPrEx>
          <w:tblCellMar>
            <w:top w:w="0" w:type="dxa"/>
            <w:bottom w:w="0" w:type="dxa"/>
          </w:tblCellMar>
        </w:tblPrEx>
        <w:trPr>
          <w:trHeight w:hRule="exact" w:val="206"/>
        </w:trPr>
        <w:tc>
          <w:tcPr>
            <w:tcW w:w="1483" w:type="dxa"/>
            <w:shd w:val="clear" w:color="auto" w:fill="FFFFFF"/>
          </w:tcPr>
          <w:p w14:paraId="32684869" w14:textId="77777777" w:rsidR="00924992" w:rsidRDefault="00924992">
            <w:pPr>
              <w:framePr w:w="11434" w:h="5784" w:hSpace="19" w:vSpace="821" w:wrap="none" w:hAnchor="page" w:x="620" w:y="366"/>
              <w:rPr>
                <w:sz w:val="10"/>
                <w:szCs w:val="10"/>
              </w:rPr>
            </w:pPr>
          </w:p>
        </w:tc>
        <w:tc>
          <w:tcPr>
            <w:tcW w:w="3034" w:type="dxa"/>
            <w:shd w:val="clear" w:color="auto" w:fill="FFFFFF"/>
            <w:vAlign w:val="bottom"/>
          </w:tcPr>
          <w:p w14:paraId="65AEA51B" w14:textId="77777777" w:rsidR="00924992" w:rsidRDefault="00924992">
            <w:pPr>
              <w:pStyle w:val="Other0"/>
              <w:framePr w:w="11434" w:h="5784" w:hSpace="19" w:vSpace="821" w:wrap="none" w:hAnchor="page" w:x="620" w:y="366"/>
              <w:spacing w:line="240" w:lineRule="auto"/>
              <w:ind w:firstLine="940"/>
              <w:rPr>
                <w:sz w:val="16"/>
                <w:szCs w:val="16"/>
              </w:rPr>
            </w:pPr>
            <w:r>
              <w:rPr>
                <w:rFonts w:ascii="Times New Roman" w:eastAsia="Times New Roman" w:hAnsi="Times New Roman" w:cs="Times New Roman"/>
                <w:sz w:val="16"/>
                <w:szCs w:val="16"/>
              </w:rPr>
              <w:t>de 7 días de aplicar una dosis</w:t>
            </w:r>
          </w:p>
        </w:tc>
        <w:tc>
          <w:tcPr>
            <w:tcW w:w="3139" w:type="dxa"/>
            <w:shd w:val="clear" w:color="auto" w:fill="FFFFFF"/>
            <w:vAlign w:val="bottom"/>
          </w:tcPr>
          <w:p w14:paraId="7800E927" w14:textId="77777777" w:rsidR="00924992" w:rsidRDefault="00924992">
            <w:pPr>
              <w:pStyle w:val="Other0"/>
              <w:framePr w:w="11434" w:h="5784" w:hSpace="19" w:vSpace="821" w:wrap="none" w:hAnchor="page" w:x="620" w:y="366"/>
              <w:spacing w:line="240" w:lineRule="auto"/>
              <w:ind w:firstLine="160"/>
              <w:rPr>
                <w:sz w:val="16"/>
                <w:szCs w:val="16"/>
              </w:rPr>
            </w:pPr>
            <w:r>
              <w:rPr>
                <w:rFonts w:ascii="Times New Roman" w:eastAsia="Times New Roman" w:hAnsi="Times New Roman" w:cs="Times New Roman"/>
                <w:sz w:val="16"/>
                <w:szCs w:val="16"/>
              </w:rPr>
              <w:t>después de aplicar una dosis previa</w:t>
            </w:r>
          </w:p>
        </w:tc>
        <w:tc>
          <w:tcPr>
            <w:tcW w:w="3778" w:type="dxa"/>
            <w:shd w:val="clear" w:color="auto" w:fill="FFFFFF"/>
            <w:vAlign w:val="bottom"/>
          </w:tcPr>
          <w:p w14:paraId="55FD7008" w14:textId="77777777" w:rsidR="00924992" w:rsidRDefault="00924992">
            <w:pPr>
              <w:pStyle w:val="Other0"/>
              <w:framePr w:w="11434" w:h="5784" w:hSpace="19" w:vSpace="821" w:wrap="none" w:hAnchor="page" w:x="620" w:y="366"/>
              <w:spacing w:line="240" w:lineRule="auto"/>
              <w:ind w:firstLine="0"/>
              <w:rPr>
                <w:sz w:val="16"/>
                <w:szCs w:val="16"/>
              </w:rPr>
            </w:pPr>
            <w:r>
              <w:rPr>
                <w:rFonts w:ascii="Times New Roman" w:eastAsia="Times New Roman" w:hAnsi="Times New Roman" w:cs="Times New Roman"/>
                <w:sz w:val="16"/>
                <w:szCs w:val="16"/>
              </w:rPr>
              <w:t>Antecedente familiar de síndrome</w:t>
            </w:r>
          </w:p>
        </w:tc>
      </w:tr>
      <w:tr w:rsidR="00924992" w14:paraId="11CADDC1" w14:textId="77777777">
        <w:tblPrEx>
          <w:tblCellMar>
            <w:top w:w="0" w:type="dxa"/>
            <w:bottom w:w="0" w:type="dxa"/>
          </w:tblCellMar>
        </w:tblPrEx>
        <w:trPr>
          <w:trHeight w:hRule="exact" w:val="216"/>
        </w:trPr>
        <w:tc>
          <w:tcPr>
            <w:tcW w:w="1483" w:type="dxa"/>
            <w:shd w:val="clear" w:color="auto" w:fill="FFFFFF"/>
          </w:tcPr>
          <w:p w14:paraId="37595ECC" w14:textId="77777777" w:rsidR="00924992" w:rsidRDefault="00924992">
            <w:pPr>
              <w:framePr w:w="11434" w:h="5784" w:hSpace="19" w:vSpace="821" w:wrap="none" w:hAnchor="page" w:x="620" w:y="366"/>
              <w:rPr>
                <w:sz w:val="10"/>
                <w:szCs w:val="10"/>
              </w:rPr>
            </w:pPr>
          </w:p>
        </w:tc>
        <w:tc>
          <w:tcPr>
            <w:tcW w:w="3034" w:type="dxa"/>
            <w:shd w:val="clear" w:color="auto" w:fill="FFFFFF"/>
            <w:vAlign w:val="bottom"/>
          </w:tcPr>
          <w:p w14:paraId="7A968C40" w14:textId="77777777" w:rsidR="00924992" w:rsidRDefault="00924992">
            <w:pPr>
              <w:pStyle w:val="Other0"/>
              <w:framePr w:w="11434" w:h="5784" w:hSpace="19" w:vSpace="821" w:wrap="none" w:hAnchor="page" w:x="620" w:y="366"/>
              <w:spacing w:line="240" w:lineRule="auto"/>
              <w:ind w:firstLine="940"/>
              <w:rPr>
                <w:sz w:val="16"/>
                <w:szCs w:val="16"/>
              </w:rPr>
            </w:pPr>
            <w:r>
              <w:rPr>
                <w:rFonts w:ascii="Times New Roman" w:eastAsia="Times New Roman" w:hAnsi="Times New Roman" w:cs="Times New Roman"/>
                <w:sz w:val="16"/>
                <w:szCs w:val="16"/>
              </w:rPr>
              <w:t>previa de DTaP/DTP</w:t>
            </w:r>
          </w:p>
        </w:tc>
        <w:tc>
          <w:tcPr>
            <w:tcW w:w="3139" w:type="dxa"/>
            <w:shd w:val="clear" w:color="auto" w:fill="FFFFFF"/>
            <w:vAlign w:val="bottom"/>
          </w:tcPr>
          <w:p w14:paraId="7C8F72C6" w14:textId="77777777" w:rsidR="00924992" w:rsidRDefault="00924992">
            <w:pPr>
              <w:pStyle w:val="Other0"/>
              <w:framePr w:w="11434" w:h="5784" w:hSpace="19" w:vSpace="821" w:wrap="none" w:hAnchor="page" w:x="620" w:y="366"/>
              <w:spacing w:line="240" w:lineRule="auto"/>
              <w:ind w:firstLine="160"/>
              <w:rPr>
                <w:sz w:val="16"/>
                <w:szCs w:val="16"/>
              </w:rPr>
            </w:pPr>
            <w:r>
              <w:rPr>
                <w:rFonts w:ascii="Times New Roman" w:eastAsia="Times New Roman" w:hAnsi="Times New Roman" w:cs="Times New Roman"/>
                <w:sz w:val="16"/>
                <w:szCs w:val="16"/>
              </w:rPr>
              <w:t>de DTaP/DTP</w:t>
            </w:r>
          </w:p>
        </w:tc>
        <w:tc>
          <w:tcPr>
            <w:tcW w:w="3778" w:type="dxa"/>
            <w:shd w:val="clear" w:color="auto" w:fill="FFFFFF"/>
            <w:vAlign w:val="bottom"/>
          </w:tcPr>
          <w:p w14:paraId="26331C21" w14:textId="77777777" w:rsidR="00924992" w:rsidRDefault="00924992">
            <w:pPr>
              <w:pStyle w:val="Other0"/>
              <w:framePr w:w="11434" w:h="5784" w:hSpace="19" w:vSpace="821" w:wrap="none" w:hAnchor="page" w:x="620" w:y="366"/>
              <w:spacing w:line="240" w:lineRule="auto"/>
              <w:ind w:firstLine="140"/>
              <w:rPr>
                <w:sz w:val="16"/>
                <w:szCs w:val="16"/>
              </w:rPr>
            </w:pPr>
            <w:r>
              <w:rPr>
                <w:rFonts w:ascii="Times New Roman" w:eastAsia="Times New Roman" w:hAnsi="Times New Roman" w:cs="Times New Roman"/>
                <w:sz w:val="16"/>
                <w:szCs w:val="16"/>
              </w:rPr>
              <w:t>de muerte súbita del lactante</w:t>
            </w:r>
          </w:p>
        </w:tc>
      </w:tr>
      <w:tr w:rsidR="00924992" w14:paraId="32F32612" w14:textId="77777777">
        <w:tblPrEx>
          <w:tblCellMar>
            <w:top w:w="0" w:type="dxa"/>
            <w:bottom w:w="0" w:type="dxa"/>
          </w:tblCellMar>
        </w:tblPrEx>
        <w:trPr>
          <w:trHeight w:hRule="exact" w:val="2059"/>
        </w:trPr>
        <w:tc>
          <w:tcPr>
            <w:tcW w:w="1483" w:type="dxa"/>
            <w:tcBorders>
              <w:bottom w:val="single" w:sz="4" w:space="0" w:color="auto"/>
            </w:tcBorders>
            <w:shd w:val="clear" w:color="auto" w:fill="FFFFFF"/>
          </w:tcPr>
          <w:p w14:paraId="2EA9FEB2" w14:textId="77777777" w:rsidR="00924992" w:rsidRDefault="00924992">
            <w:pPr>
              <w:framePr w:w="11434" w:h="5784" w:hSpace="19" w:vSpace="821" w:wrap="none" w:hAnchor="page" w:x="620" w:y="366"/>
              <w:rPr>
                <w:sz w:val="10"/>
                <w:szCs w:val="10"/>
              </w:rPr>
            </w:pPr>
          </w:p>
        </w:tc>
        <w:tc>
          <w:tcPr>
            <w:tcW w:w="3034" w:type="dxa"/>
            <w:tcBorders>
              <w:bottom w:val="single" w:sz="4" w:space="0" w:color="auto"/>
            </w:tcBorders>
            <w:shd w:val="clear" w:color="auto" w:fill="FFFFFF"/>
          </w:tcPr>
          <w:p w14:paraId="4A9CB460" w14:textId="77777777" w:rsidR="00924992" w:rsidRDefault="00924992">
            <w:pPr>
              <w:framePr w:w="11434" w:h="5784" w:hSpace="19" w:vSpace="821" w:wrap="none" w:hAnchor="page" w:x="620" w:y="366"/>
              <w:rPr>
                <w:sz w:val="10"/>
                <w:szCs w:val="10"/>
              </w:rPr>
            </w:pPr>
          </w:p>
        </w:tc>
        <w:tc>
          <w:tcPr>
            <w:tcW w:w="3139" w:type="dxa"/>
            <w:tcBorders>
              <w:bottom w:val="single" w:sz="4" w:space="0" w:color="auto"/>
            </w:tcBorders>
            <w:shd w:val="clear" w:color="auto" w:fill="FFFFFF"/>
          </w:tcPr>
          <w:p w14:paraId="78C0AC2D" w14:textId="77777777" w:rsidR="00924992" w:rsidRDefault="00924992">
            <w:pPr>
              <w:pStyle w:val="Other0"/>
              <w:framePr w:w="11434" w:h="5784" w:hSpace="19" w:vSpace="821" w:wrap="none" w:hAnchor="page" w:x="620" w:y="366"/>
              <w:spacing w:line="283" w:lineRule="auto"/>
              <w:ind w:left="160" w:hanging="160"/>
              <w:rPr>
                <w:sz w:val="16"/>
                <w:szCs w:val="16"/>
              </w:rPr>
            </w:pPr>
            <w:r>
              <w:rPr>
                <w:rFonts w:ascii="Times New Roman" w:eastAsia="Times New Roman" w:hAnsi="Times New Roman" w:cs="Times New Roman"/>
                <w:sz w:val="16"/>
                <w:szCs w:val="16"/>
              </w:rPr>
              <w:t>Colapso o un episodio hipotónico- hiporreactivo similar al choque en término de 48 h de aplicación y una dosis previa de DTaP/DTP</w:t>
            </w:r>
          </w:p>
          <w:p w14:paraId="129A2A5E" w14:textId="77777777" w:rsidR="00924992" w:rsidRDefault="00924992">
            <w:pPr>
              <w:pStyle w:val="Other0"/>
              <w:framePr w:w="11434" w:h="5784" w:hSpace="19" w:vSpace="821" w:wrap="none" w:hAnchor="page" w:x="620" w:y="366"/>
              <w:spacing w:line="283" w:lineRule="auto"/>
              <w:ind w:firstLine="0"/>
              <w:rPr>
                <w:sz w:val="16"/>
                <w:szCs w:val="16"/>
              </w:rPr>
            </w:pPr>
            <w:r>
              <w:rPr>
                <w:rFonts w:ascii="Times New Roman" w:eastAsia="Times New Roman" w:hAnsi="Times New Roman" w:cs="Times New Roman"/>
                <w:sz w:val="16"/>
                <w:szCs w:val="16"/>
              </w:rPr>
              <w:t>Convulsiones en término de 3 días de recibir una dosis previa de DTaP/DTP</w:t>
            </w:r>
            <w:r>
              <w:rPr>
                <w:rFonts w:ascii="Times New Roman" w:eastAsia="Times New Roman" w:hAnsi="Times New Roman" w:cs="Times New Roman"/>
                <w:sz w:val="16"/>
                <w:szCs w:val="16"/>
                <w:vertAlign w:val="superscript"/>
              </w:rPr>
              <w:t xml:space="preserve">3 </w:t>
            </w:r>
            <w:r>
              <w:rPr>
                <w:rFonts w:ascii="Times New Roman" w:eastAsia="Times New Roman" w:hAnsi="Times New Roman" w:cs="Times New Roman"/>
                <w:sz w:val="16"/>
                <w:szCs w:val="16"/>
              </w:rPr>
              <w:t>Llanto persistente e inconsolable que dura 3 h dentro de las 48 h posteriores a una dosis previa de DTaP/DTP</w:t>
            </w:r>
          </w:p>
        </w:tc>
        <w:tc>
          <w:tcPr>
            <w:tcW w:w="3778" w:type="dxa"/>
            <w:tcBorders>
              <w:bottom w:val="single" w:sz="4" w:space="0" w:color="auto"/>
            </w:tcBorders>
            <w:shd w:val="clear" w:color="auto" w:fill="FFFFFF"/>
          </w:tcPr>
          <w:p w14:paraId="3F5820E7" w14:textId="77777777" w:rsidR="00924992" w:rsidRDefault="00924992">
            <w:pPr>
              <w:pStyle w:val="Other0"/>
              <w:framePr w:w="11434" w:h="5784" w:hSpace="19" w:vSpace="821" w:wrap="none" w:hAnchor="page" w:x="620" w:y="366"/>
              <w:spacing w:line="283" w:lineRule="auto"/>
              <w:ind w:left="140" w:hanging="140"/>
              <w:rPr>
                <w:sz w:val="16"/>
                <w:szCs w:val="16"/>
              </w:rPr>
            </w:pPr>
            <w:r>
              <w:rPr>
                <w:rFonts w:ascii="Times New Roman" w:eastAsia="Times New Roman" w:hAnsi="Times New Roman" w:cs="Times New Roman"/>
                <w:sz w:val="16"/>
                <w:szCs w:val="16"/>
              </w:rPr>
              <w:t>Antecedente familiar de una reacción adversa después de administración de DTaP/DPT</w:t>
            </w:r>
          </w:p>
        </w:tc>
      </w:tr>
    </w:tbl>
    <w:p w14:paraId="35084673" w14:textId="77777777" w:rsidR="00924992" w:rsidRDefault="00924992">
      <w:pPr>
        <w:framePr w:w="11434" w:h="5784" w:hSpace="19" w:vSpace="821" w:wrap="none" w:hAnchor="page" w:x="620" w:y="366"/>
        <w:spacing w:line="1" w:lineRule="exact"/>
      </w:pPr>
    </w:p>
    <w:p w14:paraId="19836F50" w14:textId="77777777" w:rsidR="00924992" w:rsidRDefault="00924992">
      <w:pPr>
        <w:pStyle w:val="Tablecaption0"/>
        <w:framePr w:w="11400" w:h="725" w:wrap="none" w:hAnchor="page" w:x="673" w:y="6246"/>
        <w:numPr>
          <w:ilvl w:val="0"/>
          <w:numId w:val="155"/>
        </w:numPr>
        <w:tabs>
          <w:tab w:val="left" w:pos="173"/>
        </w:tabs>
        <w:spacing w:line="240" w:lineRule="auto"/>
        <w:ind w:left="180" w:hanging="180"/>
      </w:pPr>
      <w:r>
        <w:t>Hay que analizar la administración de acetaminofén antes de aplicar DTaP y subsecuentemente cada 4 h durante 24 h en niños con el antecedente personal o familiar (hermanos o padres) de convulsiones.</w:t>
      </w:r>
    </w:p>
    <w:p w14:paraId="6252191E" w14:textId="77777777" w:rsidR="00924992" w:rsidRDefault="00924992">
      <w:pPr>
        <w:pStyle w:val="Tablecaption0"/>
        <w:framePr w:w="11400" w:h="725" w:wrap="none" w:hAnchor="page" w:x="673" w:y="6246"/>
        <w:numPr>
          <w:ilvl w:val="0"/>
          <w:numId w:val="155"/>
        </w:numPr>
        <w:tabs>
          <w:tab w:val="left" w:pos="178"/>
        </w:tabs>
        <w:spacing w:line="240" w:lineRule="auto"/>
        <w:ind w:left="180" w:hanging="180"/>
      </w:pPr>
      <w:r>
        <w:t>La decisión de aplicar más dosis de DTaP se tomará después de considerar el beneficio de proseguir la vacunación frente al riesgo de reaparición del síndrome de Guillain-Barré. Por ejemplo, se justifica completar la serie primaria en los niños.</w:t>
      </w:r>
    </w:p>
    <w:p w14:paraId="029A7190" w14:textId="77777777" w:rsidR="00924992" w:rsidRDefault="00924992">
      <w:pPr>
        <w:pStyle w:val="Bodytext80"/>
        <w:framePr w:w="192" w:h="3893" w:hRule="exact" w:wrap="none" w:hAnchor="page" w:x="12390" w:y="49"/>
        <w:tabs>
          <w:tab w:val="left" w:pos="2966"/>
        </w:tabs>
        <w:textDirection w:val="tbRl"/>
      </w:pPr>
      <w:r>
        <w:rPr>
          <w:sz w:val="16"/>
          <w:szCs w:val="16"/>
        </w:rPr>
        <w:t>834</w:t>
      </w:r>
      <w:r>
        <w:rPr>
          <w:sz w:val="16"/>
          <w:szCs w:val="16"/>
        </w:rPr>
        <w:tab/>
      </w:r>
      <w:r>
        <w:t>APÉNDICE III</w:t>
      </w:r>
    </w:p>
    <w:p w14:paraId="7A0356BC" w14:textId="77777777" w:rsidR="00924992" w:rsidRDefault="00924992">
      <w:pPr>
        <w:spacing w:line="360" w:lineRule="exact"/>
      </w:pPr>
    </w:p>
    <w:p w14:paraId="6D2357B1" w14:textId="77777777" w:rsidR="00924992" w:rsidRDefault="00924992">
      <w:pPr>
        <w:spacing w:line="360" w:lineRule="exact"/>
      </w:pPr>
    </w:p>
    <w:p w14:paraId="7FE819B5" w14:textId="77777777" w:rsidR="00924992" w:rsidRDefault="00924992">
      <w:pPr>
        <w:spacing w:line="360" w:lineRule="exact"/>
      </w:pPr>
    </w:p>
    <w:p w14:paraId="062F3110" w14:textId="77777777" w:rsidR="00924992" w:rsidRDefault="00924992">
      <w:pPr>
        <w:spacing w:line="360" w:lineRule="exact"/>
      </w:pPr>
    </w:p>
    <w:p w14:paraId="5B79F379" w14:textId="77777777" w:rsidR="00924992" w:rsidRDefault="00924992">
      <w:pPr>
        <w:spacing w:line="360" w:lineRule="exact"/>
      </w:pPr>
    </w:p>
    <w:p w14:paraId="707E5FCA" w14:textId="77777777" w:rsidR="00924992" w:rsidRDefault="00924992">
      <w:pPr>
        <w:spacing w:line="360" w:lineRule="exact"/>
      </w:pPr>
    </w:p>
    <w:p w14:paraId="3B2DCBBC" w14:textId="77777777" w:rsidR="00924992" w:rsidRDefault="00924992">
      <w:pPr>
        <w:spacing w:line="360" w:lineRule="exact"/>
      </w:pPr>
    </w:p>
    <w:p w14:paraId="66EDAECE" w14:textId="77777777" w:rsidR="00924992" w:rsidRDefault="00924992">
      <w:pPr>
        <w:spacing w:line="360" w:lineRule="exact"/>
      </w:pPr>
    </w:p>
    <w:p w14:paraId="475807ED" w14:textId="77777777" w:rsidR="00924992" w:rsidRDefault="00924992">
      <w:pPr>
        <w:spacing w:line="360" w:lineRule="exact"/>
      </w:pPr>
    </w:p>
    <w:p w14:paraId="1734E8F1" w14:textId="77777777" w:rsidR="00924992" w:rsidRDefault="00924992">
      <w:pPr>
        <w:spacing w:line="360" w:lineRule="exact"/>
      </w:pPr>
    </w:p>
    <w:p w14:paraId="63D910DC" w14:textId="77777777" w:rsidR="00924992" w:rsidRDefault="00924992">
      <w:pPr>
        <w:spacing w:line="360" w:lineRule="exact"/>
      </w:pPr>
    </w:p>
    <w:p w14:paraId="1968A150" w14:textId="77777777" w:rsidR="00924992" w:rsidRDefault="00924992">
      <w:pPr>
        <w:spacing w:line="360" w:lineRule="exact"/>
      </w:pPr>
    </w:p>
    <w:p w14:paraId="5E014849" w14:textId="77777777" w:rsidR="00924992" w:rsidRDefault="00924992">
      <w:pPr>
        <w:spacing w:line="360" w:lineRule="exact"/>
      </w:pPr>
    </w:p>
    <w:p w14:paraId="723F0AA2" w14:textId="77777777" w:rsidR="00924992" w:rsidRDefault="00924992">
      <w:pPr>
        <w:spacing w:line="360" w:lineRule="exact"/>
      </w:pPr>
    </w:p>
    <w:p w14:paraId="7787DB30" w14:textId="77777777" w:rsidR="00924992" w:rsidRDefault="00924992">
      <w:pPr>
        <w:spacing w:line="360" w:lineRule="exact"/>
      </w:pPr>
    </w:p>
    <w:p w14:paraId="31F0C7D6" w14:textId="77777777" w:rsidR="00924992" w:rsidRDefault="00924992">
      <w:pPr>
        <w:spacing w:line="360" w:lineRule="exact"/>
      </w:pPr>
    </w:p>
    <w:p w14:paraId="7D2F18E8" w14:textId="77777777" w:rsidR="00924992" w:rsidRDefault="00924992">
      <w:pPr>
        <w:spacing w:line="360" w:lineRule="exact"/>
      </w:pPr>
    </w:p>
    <w:p w14:paraId="12DB7704" w14:textId="77777777" w:rsidR="00924992" w:rsidRDefault="00924992">
      <w:pPr>
        <w:spacing w:line="360" w:lineRule="exact"/>
      </w:pPr>
    </w:p>
    <w:p w14:paraId="08719C50" w14:textId="77777777" w:rsidR="00924992" w:rsidRDefault="00924992">
      <w:pPr>
        <w:spacing w:after="489" w:line="1" w:lineRule="exact"/>
      </w:pPr>
    </w:p>
    <w:p w14:paraId="098663F6" w14:textId="77777777" w:rsidR="00924992" w:rsidRDefault="00924992">
      <w:pPr>
        <w:spacing w:line="1" w:lineRule="exact"/>
        <w:sectPr w:rsidR="00924992" w:rsidSect="00924992">
          <w:headerReference w:type="even" r:id="rId472"/>
          <w:headerReference w:type="default" r:id="rId473"/>
          <w:footerReference w:type="even" r:id="rId474"/>
          <w:footerReference w:type="default" r:id="rId475"/>
          <w:pgSz w:w="13022" w:h="8501" w:orient="landscape"/>
          <w:pgMar w:top="456" w:right="441" w:bottom="994" w:left="619" w:header="28" w:footer="3" w:gutter="0"/>
          <w:cols w:space="720"/>
          <w:noEndnote/>
          <w:docGrid w:linePitch="360"/>
          <w15:footnoteColumns w:val="1"/>
        </w:sectPr>
      </w:pPr>
    </w:p>
    <w:p w14:paraId="03B57F01" w14:textId="77777777" w:rsidR="00924992" w:rsidRDefault="00924992">
      <w:pPr>
        <w:spacing w:line="1" w:lineRule="exact"/>
      </w:pPr>
      <w:r>
        <w:rPr>
          <w:noProof/>
        </w:rPr>
        <mc:AlternateContent>
          <mc:Choice Requires="wps">
            <w:drawing>
              <wp:anchor distT="0" distB="0" distL="114300" distR="114300" simplePos="0" relativeHeight="251753472" behindDoc="0" locked="0" layoutInCell="1" allowOverlap="1" wp14:anchorId="65E553D7" wp14:editId="29CE5784">
                <wp:simplePos x="0" y="0"/>
                <wp:positionH relativeFrom="page">
                  <wp:posOffset>393065</wp:posOffset>
                </wp:positionH>
                <wp:positionV relativeFrom="paragraph">
                  <wp:posOffset>228600</wp:posOffset>
                </wp:positionV>
                <wp:extent cx="7263130" cy="2170430"/>
                <wp:effectExtent l="0" t="0" r="0" b="0"/>
                <wp:wrapTopAndBottom/>
                <wp:docPr id="2563" name="Shape 2563"/>
                <wp:cNvGraphicFramePr/>
                <a:graphic xmlns:a="http://schemas.openxmlformats.org/drawingml/2006/main">
                  <a:graphicData uri="http://schemas.microsoft.com/office/word/2010/wordprocessingShape">
                    <wps:wsp>
                      <wps:cNvSpPr txBox="1"/>
                      <wps:spPr>
                        <a:xfrm>
                          <a:off x="0" y="0"/>
                          <a:ext cx="7263130" cy="2170430"/>
                        </a:xfrm>
                        <a:prstGeom prst="rect">
                          <a:avLst/>
                        </a:prstGeom>
                        <a:noFill/>
                      </wps:spPr>
                      <wps:txbx>
                        <w:txbxContent>
                          <w:tbl>
                            <w:tblPr>
                              <w:tblOverlap w:val="never"/>
                              <w:tblW w:w="0" w:type="auto"/>
                              <w:tblLayout w:type="fixed"/>
                              <w:tblCellMar>
                                <w:left w:w="10" w:type="dxa"/>
                                <w:right w:w="10" w:type="dxa"/>
                              </w:tblCellMar>
                              <w:tblLook w:val="04A0" w:firstRow="1" w:lastRow="0" w:firstColumn="1" w:lastColumn="0" w:noHBand="0" w:noVBand="1"/>
                            </w:tblPr>
                            <w:tblGrid>
                              <w:gridCol w:w="1488"/>
                              <w:gridCol w:w="2933"/>
                              <w:gridCol w:w="3110"/>
                              <w:gridCol w:w="3907"/>
                            </w:tblGrid>
                            <w:tr w:rsidR="00924992" w14:paraId="4492B3E9" w14:textId="77777777">
                              <w:tblPrEx>
                                <w:tblCellMar>
                                  <w:top w:w="0" w:type="dxa"/>
                                  <w:bottom w:w="0" w:type="dxa"/>
                                </w:tblCellMar>
                              </w:tblPrEx>
                              <w:trPr>
                                <w:trHeight w:hRule="exact" w:val="859"/>
                                <w:tblHeader/>
                              </w:trPr>
                              <w:tc>
                                <w:tcPr>
                                  <w:tcW w:w="1488" w:type="dxa"/>
                                  <w:shd w:val="clear" w:color="auto" w:fill="231F20"/>
                                </w:tcPr>
                                <w:p w14:paraId="01E0DA36" w14:textId="77777777" w:rsidR="00924992" w:rsidRDefault="00924992">
                                  <w:pPr>
                                    <w:pStyle w:val="Other0"/>
                                    <w:pBdr>
                                      <w:top w:val="single" w:sz="0" w:space="0" w:color="231F20"/>
                                      <w:left w:val="single" w:sz="0" w:space="0" w:color="231F20"/>
                                      <w:bottom w:val="single" w:sz="0" w:space="0" w:color="231F20"/>
                                      <w:right w:val="single" w:sz="0" w:space="0" w:color="231F20"/>
                                    </w:pBdr>
                                    <w:shd w:val="clear" w:color="auto" w:fill="231F20"/>
                                    <w:spacing w:line="240" w:lineRule="auto"/>
                                    <w:ind w:firstLine="0"/>
                                    <w:rPr>
                                      <w:sz w:val="24"/>
                                      <w:szCs w:val="24"/>
                                    </w:rPr>
                                  </w:pPr>
                                  <w:r>
                                    <w:rPr>
                                      <w:rFonts w:ascii="Arial" w:eastAsia="Arial" w:hAnsi="Arial" w:cs="Arial"/>
                                      <w:b/>
                                      <w:bCs/>
                                      <w:color w:val="FFFFFF"/>
                                      <w:w w:val="70"/>
                                      <w:sz w:val="24"/>
                                      <w:szCs w:val="24"/>
                                    </w:rPr>
                                    <w:t>Vacuna</w:t>
                                  </w:r>
                                </w:p>
                              </w:tc>
                              <w:tc>
                                <w:tcPr>
                                  <w:tcW w:w="2933" w:type="dxa"/>
                                  <w:shd w:val="clear" w:color="auto" w:fill="231F20"/>
                                </w:tcPr>
                                <w:p w14:paraId="2A1FF0BB" w14:textId="77777777" w:rsidR="00924992" w:rsidRDefault="00924992">
                                  <w:pPr>
                                    <w:pStyle w:val="Other0"/>
                                    <w:pBdr>
                                      <w:top w:val="single" w:sz="0" w:space="0" w:color="231F20"/>
                                      <w:left w:val="single" w:sz="0" w:space="0" w:color="231F20"/>
                                      <w:bottom w:val="single" w:sz="0" w:space="0" w:color="231F20"/>
                                      <w:right w:val="single" w:sz="0" w:space="0" w:color="231F20"/>
                                    </w:pBdr>
                                    <w:shd w:val="clear" w:color="auto" w:fill="231F20"/>
                                    <w:spacing w:line="240" w:lineRule="auto"/>
                                    <w:ind w:firstLine="840"/>
                                    <w:rPr>
                                      <w:sz w:val="24"/>
                                      <w:szCs w:val="24"/>
                                    </w:rPr>
                                  </w:pPr>
                                  <w:r>
                                    <w:rPr>
                                      <w:rFonts w:ascii="Arial" w:eastAsia="Arial" w:hAnsi="Arial" w:cs="Arial"/>
                                      <w:b/>
                                      <w:bCs/>
                                      <w:color w:val="FFFFFF"/>
                                      <w:w w:val="70"/>
                                      <w:sz w:val="24"/>
                                      <w:szCs w:val="24"/>
                                    </w:rPr>
                                    <w:t>Contraindicaciones</w:t>
                                  </w:r>
                                </w:p>
                              </w:tc>
                              <w:tc>
                                <w:tcPr>
                                  <w:tcW w:w="3110" w:type="dxa"/>
                                  <w:shd w:val="clear" w:color="auto" w:fill="231F20"/>
                                </w:tcPr>
                                <w:p w14:paraId="266308BC" w14:textId="77777777" w:rsidR="00924992" w:rsidRDefault="00924992">
                                  <w:pPr>
                                    <w:pStyle w:val="Other0"/>
                                    <w:pBdr>
                                      <w:top w:val="single" w:sz="0" w:space="0" w:color="231F20"/>
                                      <w:left w:val="single" w:sz="0" w:space="0" w:color="231F20"/>
                                      <w:bottom w:val="single" w:sz="0" w:space="0" w:color="231F20"/>
                                      <w:right w:val="single" w:sz="0" w:space="0" w:color="231F20"/>
                                    </w:pBdr>
                                    <w:shd w:val="clear" w:color="auto" w:fill="231F20"/>
                                    <w:spacing w:line="240" w:lineRule="auto"/>
                                    <w:ind w:firstLine="140"/>
                                    <w:rPr>
                                      <w:sz w:val="8"/>
                                      <w:szCs w:val="8"/>
                                    </w:rPr>
                                  </w:pPr>
                                  <w:r>
                                    <w:rPr>
                                      <w:rFonts w:ascii="Arial" w:eastAsia="Arial" w:hAnsi="Arial" w:cs="Arial"/>
                                      <w:b/>
                                      <w:bCs/>
                                      <w:color w:val="FFFFFF"/>
                                      <w:w w:val="70"/>
                                      <w:sz w:val="24"/>
                                      <w:szCs w:val="24"/>
                                    </w:rPr>
                                    <w:t>Precauciones</w:t>
                                  </w:r>
                                  <w:r>
                                    <w:rPr>
                                      <w:rFonts w:ascii="Times New Roman" w:eastAsia="Times New Roman" w:hAnsi="Times New Roman" w:cs="Times New Roman"/>
                                      <w:color w:val="FFFFFF"/>
                                      <w:sz w:val="8"/>
                                      <w:szCs w:val="8"/>
                                      <w:vertAlign w:val="superscript"/>
                                    </w:rPr>
                                    <w:t>1</w:t>
                                  </w:r>
                                </w:p>
                              </w:tc>
                              <w:tc>
                                <w:tcPr>
                                  <w:tcW w:w="3907" w:type="dxa"/>
                                  <w:shd w:val="clear" w:color="auto" w:fill="231F20"/>
                                  <w:vAlign w:val="bottom"/>
                                </w:tcPr>
                                <w:p w14:paraId="4052D3C3" w14:textId="77777777" w:rsidR="00924992" w:rsidRDefault="00924992">
                                  <w:pPr>
                                    <w:pStyle w:val="Other0"/>
                                    <w:pBdr>
                                      <w:top w:val="single" w:sz="0" w:space="0" w:color="231F20"/>
                                      <w:left w:val="single" w:sz="0" w:space="0" w:color="231F20"/>
                                      <w:bottom w:val="single" w:sz="0" w:space="0" w:color="231F20"/>
                                      <w:right w:val="single" w:sz="0" w:space="0" w:color="231F20"/>
                                    </w:pBdr>
                                    <w:shd w:val="clear" w:color="auto" w:fill="231F20"/>
                                    <w:spacing w:line="209" w:lineRule="auto"/>
                                    <w:ind w:left="180" w:firstLine="0"/>
                                    <w:rPr>
                                      <w:sz w:val="24"/>
                                      <w:szCs w:val="24"/>
                                    </w:rPr>
                                  </w:pPr>
                                  <w:r>
                                    <w:rPr>
                                      <w:rFonts w:ascii="Arial" w:eastAsia="Arial" w:hAnsi="Arial" w:cs="Arial"/>
                                      <w:b/>
                                      <w:bCs/>
                                      <w:color w:val="FFFFFF"/>
                                      <w:w w:val="70"/>
                                      <w:sz w:val="24"/>
                                      <w:szCs w:val="24"/>
                                    </w:rPr>
                                    <w:t>Hechos que no constituyen contraindicaciones (es posible administrar las vacunas)</w:t>
                                  </w:r>
                                </w:p>
                              </w:tc>
                            </w:tr>
                            <w:tr w:rsidR="00924992" w14:paraId="2F2CD558" w14:textId="77777777">
                              <w:tblPrEx>
                                <w:tblCellMar>
                                  <w:top w:w="0" w:type="dxa"/>
                                  <w:bottom w:w="0" w:type="dxa"/>
                                </w:tblCellMar>
                              </w:tblPrEx>
                              <w:trPr>
                                <w:trHeight w:hRule="exact" w:val="710"/>
                              </w:trPr>
                              <w:tc>
                                <w:tcPr>
                                  <w:tcW w:w="1488" w:type="dxa"/>
                                  <w:shd w:val="clear" w:color="auto" w:fill="FFFFFF"/>
                                  <w:vAlign w:val="bottom"/>
                                </w:tcPr>
                                <w:p w14:paraId="4B0CC3D7" w14:textId="77777777" w:rsidR="00924992" w:rsidRDefault="00924992">
                                  <w:pPr>
                                    <w:pStyle w:val="Other0"/>
                                    <w:spacing w:line="240" w:lineRule="auto"/>
                                    <w:ind w:firstLine="0"/>
                                    <w:rPr>
                                      <w:sz w:val="16"/>
                                      <w:szCs w:val="16"/>
                                    </w:rPr>
                                  </w:pPr>
                                  <w:r>
                                    <w:rPr>
                                      <w:rFonts w:ascii="Times New Roman" w:eastAsia="Times New Roman" w:hAnsi="Times New Roman" w:cs="Times New Roman"/>
                                      <w:sz w:val="16"/>
                                      <w:szCs w:val="16"/>
                                    </w:rPr>
                                    <w:t>IPV</w:t>
                                  </w:r>
                                </w:p>
                              </w:tc>
                              <w:tc>
                                <w:tcPr>
                                  <w:tcW w:w="2933" w:type="dxa"/>
                                  <w:shd w:val="clear" w:color="auto" w:fill="FFFFFF"/>
                                  <w:vAlign w:val="bottom"/>
                                </w:tcPr>
                                <w:p w14:paraId="43C1F2E9" w14:textId="77777777" w:rsidR="00924992" w:rsidRDefault="00924992">
                                  <w:pPr>
                                    <w:pStyle w:val="Other0"/>
                                    <w:spacing w:line="240" w:lineRule="auto"/>
                                    <w:ind w:firstLine="840"/>
                                    <w:rPr>
                                      <w:sz w:val="16"/>
                                      <w:szCs w:val="16"/>
                                    </w:rPr>
                                  </w:pPr>
                                  <w:r>
                                    <w:rPr>
                                      <w:rFonts w:ascii="Times New Roman" w:eastAsia="Times New Roman" w:hAnsi="Times New Roman" w:cs="Times New Roman"/>
                                      <w:sz w:val="16"/>
                                      <w:szCs w:val="16"/>
                                    </w:rPr>
                                    <w:t>Reacciones anafilácticas a</w:t>
                                  </w:r>
                                </w:p>
                              </w:tc>
                              <w:tc>
                                <w:tcPr>
                                  <w:tcW w:w="3110" w:type="dxa"/>
                                  <w:shd w:val="clear" w:color="auto" w:fill="FFFFFF"/>
                                  <w:vAlign w:val="bottom"/>
                                </w:tcPr>
                                <w:p w14:paraId="0290AC64" w14:textId="77777777" w:rsidR="00924992" w:rsidRDefault="00924992">
                                  <w:pPr>
                                    <w:pStyle w:val="Other0"/>
                                    <w:spacing w:line="295" w:lineRule="auto"/>
                                    <w:ind w:left="260" w:hanging="100"/>
                                    <w:rPr>
                                      <w:sz w:val="16"/>
                                      <w:szCs w:val="16"/>
                                    </w:rPr>
                                  </w:pPr>
                                  <w:r>
                                    <w:rPr>
                                      <w:rFonts w:ascii="Times New Roman" w:eastAsia="Times New Roman" w:hAnsi="Times New Roman" w:cs="Times New Roman"/>
                                      <w:sz w:val="16"/>
                                      <w:szCs w:val="16"/>
                                    </w:rPr>
                                    <w:t>GBS en término de 6 semanas de haber aplicado una dosis</w:t>
                                  </w:r>
                                  <w:r>
                                    <w:rPr>
                                      <w:rFonts w:ascii="Times New Roman" w:eastAsia="Times New Roman" w:hAnsi="Times New Roman" w:cs="Times New Roman"/>
                                      <w:sz w:val="16"/>
                                      <w:szCs w:val="16"/>
                                      <w:vertAlign w:val="superscript"/>
                                    </w:rPr>
                                    <w:t>4</w:t>
                                  </w:r>
                                </w:p>
                                <w:p w14:paraId="03322058" w14:textId="77777777" w:rsidR="00924992" w:rsidRDefault="00924992">
                                  <w:pPr>
                                    <w:pStyle w:val="Other0"/>
                                    <w:spacing w:line="295" w:lineRule="auto"/>
                                    <w:ind w:firstLine="140"/>
                                    <w:rPr>
                                      <w:sz w:val="16"/>
                                      <w:szCs w:val="16"/>
                                    </w:rPr>
                                  </w:pPr>
                                  <w:r>
                                    <w:rPr>
                                      <w:rFonts w:ascii="Times New Roman" w:eastAsia="Times New Roman" w:hAnsi="Times New Roman" w:cs="Times New Roman"/>
                                      <w:sz w:val="16"/>
                                      <w:szCs w:val="16"/>
                                    </w:rPr>
                                    <w:t>Embarazo</w:t>
                                  </w:r>
                                </w:p>
                              </w:tc>
                              <w:tc>
                                <w:tcPr>
                                  <w:tcW w:w="3907" w:type="dxa"/>
                                  <w:shd w:val="clear" w:color="auto" w:fill="FFFFFF"/>
                                </w:tcPr>
                                <w:p w14:paraId="350F834C" w14:textId="77777777" w:rsidR="00924992" w:rsidRDefault="00924992">
                                  <w:pPr>
                                    <w:rPr>
                                      <w:sz w:val="10"/>
                                      <w:szCs w:val="10"/>
                                    </w:rPr>
                                  </w:pPr>
                                </w:p>
                              </w:tc>
                            </w:tr>
                            <w:tr w:rsidR="00924992" w14:paraId="5747A0A5" w14:textId="77777777">
                              <w:tblPrEx>
                                <w:tblCellMar>
                                  <w:top w:w="0" w:type="dxa"/>
                                  <w:bottom w:w="0" w:type="dxa"/>
                                </w:tblCellMar>
                              </w:tblPrEx>
                              <w:trPr>
                                <w:trHeight w:hRule="exact" w:val="658"/>
                              </w:trPr>
                              <w:tc>
                                <w:tcPr>
                                  <w:tcW w:w="1488" w:type="dxa"/>
                                  <w:shd w:val="clear" w:color="auto" w:fill="FFFFFF"/>
                                  <w:vAlign w:val="bottom"/>
                                </w:tcPr>
                                <w:p w14:paraId="660161E4" w14:textId="77777777" w:rsidR="00924992" w:rsidRDefault="00924992">
                                  <w:pPr>
                                    <w:pStyle w:val="Other0"/>
                                    <w:spacing w:line="240" w:lineRule="auto"/>
                                    <w:ind w:firstLine="0"/>
                                    <w:rPr>
                                      <w:sz w:val="16"/>
                                      <w:szCs w:val="16"/>
                                    </w:rPr>
                                  </w:pPr>
                                  <w:r>
                                    <w:rPr>
                                      <w:rFonts w:ascii="Times New Roman" w:eastAsia="Times New Roman" w:hAnsi="Times New Roman" w:cs="Times New Roman"/>
                                      <w:sz w:val="16"/>
                                      <w:szCs w:val="16"/>
                                    </w:rPr>
                                    <w:t>MMR</w:t>
                                  </w:r>
                                  <w:r>
                                    <w:rPr>
                                      <w:rFonts w:ascii="Times New Roman" w:eastAsia="Times New Roman" w:hAnsi="Times New Roman" w:cs="Times New Roman"/>
                                      <w:sz w:val="10"/>
                                      <w:szCs w:val="10"/>
                                    </w:rPr>
                                    <w:t>'</w:t>
                                  </w:r>
                                </w:p>
                              </w:tc>
                              <w:tc>
                                <w:tcPr>
                                  <w:tcW w:w="2933" w:type="dxa"/>
                                  <w:shd w:val="clear" w:color="auto" w:fill="FFFFFF"/>
                                  <w:vAlign w:val="bottom"/>
                                </w:tcPr>
                                <w:p w14:paraId="5E154842" w14:textId="77777777" w:rsidR="00924992" w:rsidRDefault="00924992">
                                  <w:pPr>
                                    <w:pStyle w:val="Other0"/>
                                    <w:spacing w:line="283" w:lineRule="auto"/>
                                    <w:ind w:left="940" w:firstLine="0"/>
                                    <w:rPr>
                                      <w:sz w:val="16"/>
                                      <w:szCs w:val="16"/>
                                    </w:rPr>
                                  </w:pPr>
                                  <w:r>
                                    <w:rPr>
                                      <w:rFonts w:ascii="Times New Roman" w:eastAsia="Times New Roman" w:hAnsi="Times New Roman" w:cs="Times New Roman"/>
                                      <w:sz w:val="16"/>
                                      <w:szCs w:val="16"/>
                                    </w:rPr>
                                    <w:t>neomicina, estreptomicina o polimixina B</w:t>
                                  </w:r>
                                </w:p>
                                <w:p w14:paraId="71820369" w14:textId="77777777" w:rsidR="00924992" w:rsidRDefault="00924992">
                                  <w:pPr>
                                    <w:pStyle w:val="Other0"/>
                                    <w:spacing w:line="283" w:lineRule="auto"/>
                                    <w:ind w:firstLine="840"/>
                                    <w:rPr>
                                      <w:sz w:val="16"/>
                                      <w:szCs w:val="16"/>
                                    </w:rPr>
                                  </w:pPr>
                                  <w:r>
                                    <w:rPr>
                                      <w:rFonts w:ascii="Times New Roman" w:eastAsia="Times New Roman" w:hAnsi="Times New Roman" w:cs="Times New Roman"/>
                                      <w:sz w:val="16"/>
                                      <w:szCs w:val="16"/>
                                    </w:rPr>
                                    <w:t>Embarazo</w:t>
                                  </w:r>
                                </w:p>
                              </w:tc>
                              <w:tc>
                                <w:tcPr>
                                  <w:tcW w:w="3110" w:type="dxa"/>
                                  <w:shd w:val="clear" w:color="auto" w:fill="FFFFFF"/>
                                  <w:vAlign w:val="bottom"/>
                                </w:tcPr>
                                <w:p w14:paraId="23C9C184" w14:textId="77777777" w:rsidR="00924992" w:rsidRDefault="00924992">
                                  <w:pPr>
                                    <w:pStyle w:val="Other0"/>
                                    <w:spacing w:line="240" w:lineRule="auto"/>
                                    <w:ind w:firstLine="140"/>
                                    <w:rPr>
                                      <w:sz w:val="16"/>
                                      <w:szCs w:val="16"/>
                                    </w:rPr>
                                  </w:pPr>
                                  <w:r>
                                    <w:rPr>
                                      <w:rFonts w:ascii="Times New Roman" w:eastAsia="Times New Roman" w:hAnsi="Times New Roman" w:cs="Times New Roman"/>
                                      <w:sz w:val="16"/>
                                      <w:szCs w:val="16"/>
                                    </w:rPr>
                                    <w:t>Aplicación reciente de concentrado</w:t>
                                  </w:r>
                                </w:p>
                              </w:tc>
                              <w:tc>
                                <w:tcPr>
                                  <w:tcW w:w="3907" w:type="dxa"/>
                                  <w:shd w:val="clear" w:color="auto" w:fill="FFFFFF"/>
                                  <w:vAlign w:val="bottom"/>
                                </w:tcPr>
                                <w:p w14:paraId="0E11ADDD" w14:textId="77777777" w:rsidR="00924992" w:rsidRDefault="00924992">
                                  <w:pPr>
                                    <w:pStyle w:val="Other0"/>
                                    <w:spacing w:line="240" w:lineRule="auto"/>
                                    <w:ind w:firstLine="180"/>
                                    <w:rPr>
                                      <w:sz w:val="16"/>
                                      <w:szCs w:val="16"/>
                                    </w:rPr>
                                  </w:pPr>
                                  <w:r>
                                    <w:rPr>
                                      <w:rFonts w:ascii="Times New Roman" w:eastAsia="Times New Roman" w:hAnsi="Times New Roman" w:cs="Times New Roman"/>
                                      <w:sz w:val="16"/>
                                      <w:szCs w:val="16"/>
                                    </w:rPr>
                                    <w:t>Práctica simultánea de la cutirreacción con</w:t>
                                  </w:r>
                                </w:p>
                              </w:tc>
                            </w:tr>
                            <w:tr w:rsidR="00924992" w14:paraId="0E45CAF2" w14:textId="77777777">
                              <w:tblPrEx>
                                <w:tblCellMar>
                                  <w:top w:w="0" w:type="dxa"/>
                                  <w:bottom w:w="0" w:type="dxa"/>
                                </w:tblCellMar>
                              </w:tblPrEx>
                              <w:trPr>
                                <w:trHeight w:hRule="exact" w:val="221"/>
                              </w:trPr>
                              <w:tc>
                                <w:tcPr>
                                  <w:tcW w:w="1488" w:type="dxa"/>
                                  <w:shd w:val="clear" w:color="auto" w:fill="FFFFFF"/>
                                </w:tcPr>
                                <w:p w14:paraId="71EABDF8" w14:textId="77777777" w:rsidR="00924992" w:rsidRDefault="00924992">
                                  <w:pPr>
                                    <w:rPr>
                                      <w:sz w:val="10"/>
                                      <w:szCs w:val="10"/>
                                    </w:rPr>
                                  </w:pPr>
                                </w:p>
                              </w:tc>
                              <w:tc>
                                <w:tcPr>
                                  <w:tcW w:w="2933" w:type="dxa"/>
                                  <w:shd w:val="clear" w:color="auto" w:fill="FFFFFF"/>
                                  <w:vAlign w:val="bottom"/>
                                </w:tcPr>
                                <w:p w14:paraId="5586BFBD" w14:textId="77777777" w:rsidR="00924992" w:rsidRDefault="00924992">
                                  <w:pPr>
                                    <w:pStyle w:val="Other0"/>
                                    <w:spacing w:line="240" w:lineRule="auto"/>
                                    <w:ind w:firstLine="840"/>
                                    <w:rPr>
                                      <w:sz w:val="16"/>
                                      <w:szCs w:val="16"/>
                                    </w:rPr>
                                  </w:pPr>
                                  <w:r>
                                    <w:rPr>
                                      <w:rFonts w:ascii="Times New Roman" w:eastAsia="Times New Roman" w:hAnsi="Times New Roman" w:cs="Times New Roman"/>
                                      <w:sz w:val="16"/>
                                      <w:szCs w:val="16"/>
                                    </w:rPr>
                                    <w:t>Reacción anafiláctica a la</w:t>
                                  </w:r>
                                </w:p>
                              </w:tc>
                              <w:tc>
                                <w:tcPr>
                                  <w:tcW w:w="3110" w:type="dxa"/>
                                  <w:shd w:val="clear" w:color="auto" w:fill="FFFFFF"/>
                                  <w:vAlign w:val="bottom"/>
                                </w:tcPr>
                                <w:p w14:paraId="2D769E30" w14:textId="77777777" w:rsidR="00924992" w:rsidRDefault="00924992">
                                  <w:pPr>
                                    <w:pStyle w:val="Other0"/>
                                    <w:spacing w:line="240" w:lineRule="auto"/>
                                    <w:ind w:firstLine="260"/>
                                    <w:jc w:val="both"/>
                                    <w:rPr>
                                      <w:sz w:val="16"/>
                                      <w:szCs w:val="16"/>
                                    </w:rPr>
                                  </w:pPr>
                                  <w:r>
                                    <w:rPr>
                                      <w:rFonts w:ascii="Times New Roman" w:eastAsia="Times New Roman" w:hAnsi="Times New Roman" w:cs="Times New Roman"/>
                                      <w:sz w:val="16"/>
                                      <w:szCs w:val="16"/>
                                    </w:rPr>
                                    <w:t>inmunoglobulínico</w:t>
                                  </w:r>
                                  <w:r>
                                    <w:rPr>
                                      <w:rFonts w:ascii="Times New Roman" w:eastAsia="Times New Roman" w:hAnsi="Times New Roman" w:cs="Times New Roman"/>
                                      <w:sz w:val="16"/>
                                      <w:szCs w:val="16"/>
                                      <w:vertAlign w:val="superscript"/>
                                    </w:rPr>
                                    <w:t xml:space="preserve"> </w:t>
                                  </w:r>
                                  <w:r>
                                    <w:rPr>
                                      <w:rFonts w:ascii="Times New Roman" w:eastAsia="Times New Roman" w:hAnsi="Times New Roman" w:cs="Times New Roman"/>
                                      <w:sz w:val="16"/>
                                      <w:szCs w:val="16"/>
                                    </w:rPr>
                                    <w:t xml:space="preserve"> (en término de</w:t>
                                  </w:r>
                                </w:p>
                              </w:tc>
                              <w:tc>
                                <w:tcPr>
                                  <w:tcW w:w="3907" w:type="dxa"/>
                                  <w:shd w:val="clear" w:color="auto" w:fill="FFFFFF"/>
                                  <w:vAlign w:val="bottom"/>
                                </w:tcPr>
                                <w:p w14:paraId="3A9F59D3" w14:textId="77777777" w:rsidR="00924992" w:rsidRDefault="00924992">
                                  <w:pPr>
                                    <w:pStyle w:val="Other0"/>
                                    <w:spacing w:line="240" w:lineRule="auto"/>
                                    <w:ind w:firstLine="280"/>
                                    <w:rPr>
                                      <w:sz w:val="16"/>
                                      <w:szCs w:val="16"/>
                                    </w:rPr>
                                  </w:pPr>
                                  <w:r>
                                    <w:rPr>
                                      <w:rFonts w:ascii="Times New Roman" w:eastAsia="Times New Roman" w:hAnsi="Times New Roman" w:cs="Times New Roman"/>
                                      <w:sz w:val="16"/>
                                      <w:szCs w:val="16"/>
                                    </w:rPr>
                                    <w:t>tuberculina</w:t>
                                  </w:r>
                                </w:p>
                              </w:tc>
                            </w:tr>
                            <w:tr w:rsidR="00924992" w14:paraId="62F2D7E8" w14:textId="77777777">
                              <w:tblPrEx>
                                <w:tblCellMar>
                                  <w:top w:w="0" w:type="dxa"/>
                                  <w:bottom w:w="0" w:type="dxa"/>
                                </w:tblCellMar>
                              </w:tblPrEx>
                              <w:trPr>
                                <w:trHeight w:hRule="exact" w:val="216"/>
                              </w:trPr>
                              <w:tc>
                                <w:tcPr>
                                  <w:tcW w:w="1488" w:type="dxa"/>
                                  <w:shd w:val="clear" w:color="auto" w:fill="FFFFFF"/>
                                </w:tcPr>
                                <w:p w14:paraId="268770D8" w14:textId="77777777" w:rsidR="00924992" w:rsidRDefault="00924992">
                                  <w:pPr>
                                    <w:rPr>
                                      <w:sz w:val="10"/>
                                      <w:szCs w:val="10"/>
                                    </w:rPr>
                                  </w:pPr>
                                </w:p>
                              </w:tc>
                              <w:tc>
                                <w:tcPr>
                                  <w:tcW w:w="2933" w:type="dxa"/>
                                  <w:shd w:val="clear" w:color="auto" w:fill="FFFFFF"/>
                                  <w:vAlign w:val="bottom"/>
                                </w:tcPr>
                                <w:p w14:paraId="3500DA86" w14:textId="77777777" w:rsidR="00924992" w:rsidRDefault="00924992">
                                  <w:pPr>
                                    <w:pStyle w:val="Other0"/>
                                    <w:spacing w:line="240" w:lineRule="auto"/>
                                    <w:ind w:firstLine="940"/>
                                    <w:rPr>
                                      <w:sz w:val="16"/>
                                      <w:szCs w:val="16"/>
                                    </w:rPr>
                                  </w:pPr>
                                  <w:r>
                                    <w:rPr>
                                      <w:rFonts w:ascii="Times New Roman" w:eastAsia="Times New Roman" w:hAnsi="Times New Roman" w:cs="Times New Roman"/>
                                      <w:sz w:val="16"/>
                                      <w:szCs w:val="16"/>
                                    </w:rPr>
                                    <w:t>neomicina o la gelatina</w:t>
                                  </w:r>
                                </w:p>
                              </w:tc>
                              <w:tc>
                                <w:tcPr>
                                  <w:tcW w:w="3110" w:type="dxa"/>
                                  <w:shd w:val="clear" w:color="auto" w:fill="FFFFFF"/>
                                  <w:vAlign w:val="bottom"/>
                                </w:tcPr>
                                <w:p w14:paraId="7CCC082A" w14:textId="77777777" w:rsidR="00924992" w:rsidRDefault="00924992">
                                  <w:pPr>
                                    <w:pStyle w:val="Other0"/>
                                    <w:spacing w:line="240" w:lineRule="auto"/>
                                    <w:ind w:firstLine="260"/>
                                    <w:jc w:val="both"/>
                                    <w:rPr>
                                      <w:sz w:val="16"/>
                                      <w:szCs w:val="16"/>
                                    </w:rPr>
                                  </w:pPr>
                                  <w:r>
                                    <w:rPr>
                                      <w:rFonts w:ascii="Times New Roman" w:eastAsia="Times New Roman" w:hAnsi="Times New Roman" w:cs="Times New Roman"/>
                                      <w:sz w:val="16"/>
                                      <w:szCs w:val="16"/>
                                    </w:rPr>
                                    <w:t>3 a 11 meses anteriores, según el</w:t>
                                  </w:r>
                                </w:p>
                              </w:tc>
                              <w:tc>
                                <w:tcPr>
                                  <w:tcW w:w="3907" w:type="dxa"/>
                                  <w:shd w:val="clear" w:color="auto" w:fill="FFFFFF"/>
                                  <w:vAlign w:val="bottom"/>
                                </w:tcPr>
                                <w:p w14:paraId="3A622A05" w14:textId="77777777" w:rsidR="00924992" w:rsidRDefault="00924992">
                                  <w:pPr>
                                    <w:pStyle w:val="Other0"/>
                                    <w:spacing w:line="240" w:lineRule="auto"/>
                                    <w:ind w:firstLine="180"/>
                                    <w:rPr>
                                      <w:sz w:val="16"/>
                                      <w:szCs w:val="16"/>
                                    </w:rPr>
                                  </w:pPr>
                                  <w:r>
                                    <w:rPr>
                                      <w:rFonts w:ascii="Times New Roman" w:eastAsia="Times New Roman" w:hAnsi="Times New Roman" w:cs="Times New Roman"/>
                                      <w:sz w:val="16"/>
                                      <w:szCs w:val="16"/>
                                    </w:rPr>
                                    <w:t>Amamantamiento</w:t>
                                  </w:r>
                                </w:p>
                              </w:tc>
                            </w:tr>
                            <w:tr w:rsidR="00924992" w14:paraId="78CA47B5" w14:textId="77777777">
                              <w:tblPrEx>
                                <w:tblCellMar>
                                  <w:top w:w="0" w:type="dxa"/>
                                  <w:bottom w:w="0" w:type="dxa"/>
                                </w:tblCellMar>
                              </w:tblPrEx>
                              <w:trPr>
                                <w:trHeight w:hRule="exact" w:val="754"/>
                              </w:trPr>
                              <w:tc>
                                <w:tcPr>
                                  <w:tcW w:w="1488" w:type="dxa"/>
                                  <w:tcBorders>
                                    <w:bottom w:val="single" w:sz="4" w:space="0" w:color="auto"/>
                                  </w:tcBorders>
                                  <w:shd w:val="clear" w:color="auto" w:fill="FFFFFF"/>
                                </w:tcPr>
                                <w:p w14:paraId="1951D42C" w14:textId="77777777" w:rsidR="00924992" w:rsidRDefault="00924992">
                                  <w:pPr>
                                    <w:rPr>
                                      <w:sz w:val="10"/>
                                      <w:szCs w:val="10"/>
                                    </w:rPr>
                                  </w:pPr>
                                </w:p>
                              </w:tc>
                              <w:tc>
                                <w:tcPr>
                                  <w:tcW w:w="2933" w:type="dxa"/>
                                  <w:tcBorders>
                                    <w:bottom w:val="single" w:sz="4" w:space="0" w:color="auto"/>
                                  </w:tcBorders>
                                  <w:shd w:val="clear" w:color="auto" w:fill="FFFFFF"/>
                                </w:tcPr>
                                <w:p w14:paraId="73455D3E" w14:textId="77777777" w:rsidR="00924992" w:rsidRDefault="00924992">
                                  <w:pPr>
                                    <w:rPr>
                                      <w:sz w:val="10"/>
                                      <w:szCs w:val="10"/>
                                    </w:rPr>
                                  </w:pPr>
                                </w:p>
                              </w:tc>
                              <w:tc>
                                <w:tcPr>
                                  <w:tcW w:w="3110" w:type="dxa"/>
                                  <w:tcBorders>
                                    <w:bottom w:val="single" w:sz="4" w:space="0" w:color="auto"/>
                                  </w:tcBorders>
                                  <w:shd w:val="clear" w:color="auto" w:fill="FFFFFF"/>
                                </w:tcPr>
                                <w:p w14:paraId="47171BBE" w14:textId="77777777" w:rsidR="00924992" w:rsidRDefault="00924992">
                                  <w:pPr>
                                    <w:pStyle w:val="Other0"/>
                                    <w:spacing w:line="240" w:lineRule="auto"/>
                                    <w:ind w:firstLine="260"/>
                                    <w:jc w:val="both"/>
                                    <w:rPr>
                                      <w:sz w:val="16"/>
                                      <w:szCs w:val="16"/>
                                    </w:rPr>
                                  </w:pPr>
                                  <w:r>
                                    <w:rPr>
                                      <w:rFonts w:ascii="Times New Roman" w:eastAsia="Times New Roman" w:hAnsi="Times New Roman" w:cs="Times New Roman"/>
                                      <w:sz w:val="16"/>
                                      <w:szCs w:val="16"/>
                                    </w:rPr>
                                    <w:t>producto y la dosis) (véase el cuadro</w:t>
                                  </w:r>
                                </w:p>
                                <w:p w14:paraId="5C902A8D" w14:textId="77777777" w:rsidR="00924992" w:rsidRDefault="00924992">
                                  <w:pPr>
                                    <w:pStyle w:val="Other0"/>
                                    <w:spacing w:line="240" w:lineRule="auto"/>
                                    <w:ind w:firstLine="260"/>
                                    <w:jc w:val="both"/>
                                    <w:rPr>
                                      <w:sz w:val="16"/>
                                      <w:szCs w:val="16"/>
                                    </w:rPr>
                                  </w:pPr>
                                  <w:r>
                                    <w:rPr>
                                      <w:rFonts w:ascii="Times New Roman" w:eastAsia="Times New Roman" w:hAnsi="Times New Roman" w:cs="Times New Roman"/>
                                      <w:sz w:val="16"/>
                                      <w:szCs w:val="16"/>
                                    </w:rPr>
                                    <w:t>3-62)</w:t>
                                  </w:r>
                                </w:p>
                              </w:tc>
                              <w:tc>
                                <w:tcPr>
                                  <w:tcW w:w="3907" w:type="dxa"/>
                                  <w:tcBorders>
                                    <w:bottom w:val="single" w:sz="4" w:space="0" w:color="auto"/>
                                  </w:tcBorders>
                                  <w:shd w:val="clear" w:color="auto" w:fill="FFFFFF"/>
                                </w:tcPr>
                                <w:p w14:paraId="21BD5DF5" w14:textId="77777777" w:rsidR="00924992" w:rsidRDefault="00924992">
                                  <w:pPr>
                                    <w:pStyle w:val="Other0"/>
                                    <w:spacing w:line="240" w:lineRule="auto"/>
                                    <w:ind w:firstLine="180"/>
                                    <w:rPr>
                                      <w:sz w:val="16"/>
                                      <w:szCs w:val="16"/>
                                    </w:rPr>
                                  </w:pPr>
                                  <w:r>
                                    <w:rPr>
                                      <w:rFonts w:ascii="Times New Roman" w:eastAsia="Times New Roman" w:hAnsi="Times New Roman" w:cs="Times New Roman"/>
                                      <w:sz w:val="16"/>
                                      <w:szCs w:val="16"/>
                                    </w:rPr>
                                    <w:t>Embarazo de la madre del niño receptor</w:t>
                                  </w:r>
                                </w:p>
                              </w:tc>
                            </w:tr>
                          </w:tbl>
                          <w:p w14:paraId="032DE471" w14:textId="77777777" w:rsidR="00924992" w:rsidRDefault="00924992">
                            <w:pPr>
                              <w:spacing w:line="1" w:lineRule="exact"/>
                            </w:pPr>
                          </w:p>
                        </w:txbxContent>
                      </wps:txbx>
                      <wps:bodyPr lIns="0" tIns="0" rIns="0" bIns="0"/>
                    </wps:wsp>
                  </a:graphicData>
                </a:graphic>
              </wp:anchor>
            </w:drawing>
          </mc:Choice>
          <mc:Fallback>
            <w:pict>
              <v:shape w14:anchorId="65E553D7" id="Shape 2563" o:spid="_x0000_s1135" type="#_x0000_t202" style="position:absolute;margin-left:30.95pt;margin-top:18pt;width:571.9pt;height:170.9pt;z-index:251753472;visibility:visible;mso-wrap-style:square;mso-wrap-distance-left:9pt;mso-wrap-distance-top:0;mso-wrap-distance-right:9pt;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" filled="f" stroked="f">
                <v:textbox inset="0,0,0,0">
                  <w:txbxContent>
                    <w:tbl>
                      <w:tblPr>
                        <w:tblOverlap w:val="never"/>
                        <w:tblW w:w="0" w:type="auto"/>
                        <w:tblLayout w:type="fixed"/>
                        <w:tblCellMar>
                          <w:left w:w="10" w:type="dxa"/>
                          <w:right w:w="10" w:type="dxa"/>
                        </w:tblCellMar>
                        <w:tblLook w:val="04A0" w:firstRow="1" w:lastRow="0" w:firstColumn="1" w:lastColumn="0" w:noHBand="0" w:noVBand="1"/>
                      </w:tblPr>
                      <w:tblGrid>
                        <w:gridCol w:w="1488"/>
                        <w:gridCol w:w="2933"/>
                        <w:gridCol w:w="3110"/>
                        <w:gridCol w:w="3907"/>
                      </w:tblGrid>
                      <w:tr w:rsidR="00924992" w14:paraId="4492B3E9" w14:textId="77777777">
                        <w:tblPrEx>
                          <w:tblCellMar>
                            <w:top w:w="0" w:type="dxa"/>
                            <w:bottom w:w="0" w:type="dxa"/>
                          </w:tblCellMar>
                        </w:tblPrEx>
                        <w:trPr>
                          <w:trHeight w:hRule="exact" w:val="859"/>
                          <w:tblHeader/>
                        </w:trPr>
                        <w:tc>
                          <w:tcPr>
                            <w:tcW w:w="1488" w:type="dxa"/>
                            <w:shd w:val="clear" w:color="auto" w:fill="231F20"/>
                          </w:tcPr>
                          <w:p w14:paraId="01E0DA36" w14:textId="77777777" w:rsidR="00924992" w:rsidRDefault="00924992">
                            <w:pPr>
                              <w:pStyle w:val="Other0"/>
                              <w:pBdr>
                                <w:top w:val="single" w:sz="0" w:space="0" w:color="231F20"/>
                                <w:left w:val="single" w:sz="0" w:space="0" w:color="231F20"/>
                                <w:bottom w:val="single" w:sz="0" w:space="0" w:color="231F20"/>
                                <w:right w:val="single" w:sz="0" w:space="0" w:color="231F20"/>
                              </w:pBdr>
                              <w:shd w:val="clear" w:color="auto" w:fill="231F20"/>
                              <w:spacing w:line="240" w:lineRule="auto"/>
                              <w:ind w:firstLine="0"/>
                              <w:rPr>
                                <w:sz w:val="24"/>
                                <w:szCs w:val="24"/>
                              </w:rPr>
                            </w:pPr>
                            <w:r>
                              <w:rPr>
                                <w:rFonts w:ascii="Arial" w:eastAsia="Arial" w:hAnsi="Arial" w:cs="Arial"/>
                                <w:b/>
                                <w:bCs/>
                                <w:color w:val="FFFFFF"/>
                                <w:w w:val="70"/>
                                <w:sz w:val="24"/>
                                <w:szCs w:val="24"/>
                              </w:rPr>
                              <w:t>Vacuna</w:t>
                            </w:r>
                          </w:p>
                        </w:tc>
                        <w:tc>
                          <w:tcPr>
                            <w:tcW w:w="2933" w:type="dxa"/>
                            <w:shd w:val="clear" w:color="auto" w:fill="231F20"/>
                          </w:tcPr>
                          <w:p w14:paraId="2A1FF0BB" w14:textId="77777777" w:rsidR="00924992" w:rsidRDefault="00924992">
                            <w:pPr>
                              <w:pStyle w:val="Other0"/>
                              <w:pBdr>
                                <w:top w:val="single" w:sz="0" w:space="0" w:color="231F20"/>
                                <w:left w:val="single" w:sz="0" w:space="0" w:color="231F20"/>
                                <w:bottom w:val="single" w:sz="0" w:space="0" w:color="231F20"/>
                                <w:right w:val="single" w:sz="0" w:space="0" w:color="231F20"/>
                              </w:pBdr>
                              <w:shd w:val="clear" w:color="auto" w:fill="231F20"/>
                              <w:spacing w:line="240" w:lineRule="auto"/>
                              <w:ind w:firstLine="840"/>
                              <w:rPr>
                                <w:sz w:val="24"/>
                                <w:szCs w:val="24"/>
                              </w:rPr>
                            </w:pPr>
                            <w:r>
                              <w:rPr>
                                <w:rFonts w:ascii="Arial" w:eastAsia="Arial" w:hAnsi="Arial" w:cs="Arial"/>
                                <w:b/>
                                <w:bCs/>
                                <w:color w:val="FFFFFF"/>
                                <w:w w:val="70"/>
                                <w:sz w:val="24"/>
                                <w:szCs w:val="24"/>
                              </w:rPr>
                              <w:t>Contraindicaciones</w:t>
                            </w:r>
                          </w:p>
                        </w:tc>
                        <w:tc>
                          <w:tcPr>
                            <w:tcW w:w="3110" w:type="dxa"/>
                            <w:shd w:val="clear" w:color="auto" w:fill="231F20"/>
                          </w:tcPr>
                          <w:p w14:paraId="266308BC" w14:textId="77777777" w:rsidR="00924992" w:rsidRDefault="00924992">
                            <w:pPr>
                              <w:pStyle w:val="Other0"/>
                              <w:pBdr>
                                <w:top w:val="single" w:sz="0" w:space="0" w:color="231F20"/>
                                <w:left w:val="single" w:sz="0" w:space="0" w:color="231F20"/>
                                <w:bottom w:val="single" w:sz="0" w:space="0" w:color="231F20"/>
                                <w:right w:val="single" w:sz="0" w:space="0" w:color="231F20"/>
                              </w:pBdr>
                              <w:shd w:val="clear" w:color="auto" w:fill="231F20"/>
                              <w:spacing w:line="240" w:lineRule="auto"/>
                              <w:ind w:firstLine="140"/>
                              <w:rPr>
                                <w:sz w:val="8"/>
                                <w:szCs w:val="8"/>
                              </w:rPr>
                            </w:pPr>
                            <w:r>
                              <w:rPr>
                                <w:rFonts w:ascii="Arial" w:eastAsia="Arial" w:hAnsi="Arial" w:cs="Arial"/>
                                <w:b/>
                                <w:bCs/>
                                <w:color w:val="FFFFFF"/>
                                <w:w w:val="70"/>
                                <w:sz w:val="24"/>
                                <w:szCs w:val="24"/>
                              </w:rPr>
                              <w:t>Precauciones</w:t>
                            </w:r>
                            <w:r>
                              <w:rPr>
                                <w:rFonts w:ascii="Times New Roman" w:eastAsia="Times New Roman" w:hAnsi="Times New Roman" w:cs="Times New Roman"/>
                                <w:color w:val="FFFFFF"/>
                                <w:sz w:val="8"/>
                                <w:szCs w:val="8"/>
                                <w:vertAlign w:val="superscript"/>
                              </w:rPr>
                              <w:t>1</w:t>
                            </w:r>
                          </w:p>
                        </w:tc>
                        <w:tc>
                          <w:tcPr>
                            <w:tcW w:w="3907" w:type="dxa"/>
                            <w:shd w:val="clear" w:color="auto" w:fill="231F20"/>
                            <w:vAlign w:val="bottom"/>
                          </w:tcPr>
                          <w:p w14:paraId="4052D3C3" w14:textId="77777777" w:rsidR="00924992" w:rsidRDefault="00924992">
                            <w:pPr>
                              <w:pStyle w:val="Other0"/>
                              <w:pBdr>
                                <w:top w:val="single" w:sz="0" w:space="0" w:color="231F20"/>
                                <w:left w:val="single" w:sz="0" w:space="0" w:color="231F20"/>
                                <w:bottom w:val="single" w:sz="0" w:space="0" w:color="231F20"/>
                                <w:right w:val="single" w:sz="0" w:space="0" w:color="231F20"/>
                              </w:pBdr>
                              <w:shd w:val="clear" w:color="auto" w:fill="231F20"/>
                              <w:spacing w:line="209" w:lineRule="auto"/>
                              <w:ind w:left="180" w:firstLine="0"/>
                              <w:rPr>
                                <w:sz w:val="24"/>
                                <w:szCs w:val="24"/>
                              </w:rPr>
                            </w:pPr>
                            <w:r>
                              <w:rPr>
                                <w:rFonts w:ascii="Arial" w:eastAsia="Arial" w:hAnsi="Arial" w:cs="Arial"/>
                                <w:b/>
                                <w:bCs/>
                                <w:color w:val="FFFFFF"/>
                                <w:w w:val="70"/>
                                <w:sz w:val="24"/>
                                <w:szCs w:val="24"/>
                              </w:rPr>
                              <w:t>Hechos que no constituyen contraindicaciones (es posible administrar las vacunas)</w:t>
                            </w:r>
                          </w:p>
                        </w:tc>
                      </w:tr>
                      <w:tr w:rsidR="00924992" w14:paraId="2F2CD558" w14:textId="77777777">
                        <w:tblPrEx>
                          <w:tblCellMar>
                            <w:top w:w="0" w:type="dxa"/>
                            <w:bottom w:w="0" w:type="dxa"/>
                          </w:tblCellMar>
                        </w:tblPrEx>
                        <w:trPr>
                          <w:trHeight w:hRule="exact" w:val="710"/>
                        </w:trPr>
                        <w:tc>
                          <w:tcPr>
                            <w:tcW w:w="1488" w:type="dxa"/>
                            <w:shd w:val="clear" w:color="auto" w:fill="FFFFFF"/>
                            <w:vAlign w:val="bottom"/>
                          </w:tcPr>
                          <w:p w14:paraId="4B0CC3D7" w14:textId="77777777" w:rsidR="00924992" w:rsidRDefault="00924992">
                            <w:pPr>
                              <w:pStyle w:val="Other0"/>
                              <w:spacing w:line="240" w:lineRule="auto"/>
                              <w:ind w:firstLine="0"/>
                              <w:rPr>
                                <w:sz w:val="16"/>
                                <w:szCs w:val="16"/>
                              </w:rPr>
                            </w:pPr>
                            <w:r>
                              <w:rPr>
                                <w:rFonts w:ascii="Times New Roman" w:eastAsia="Times New Roman" w:hAnsi="Times New Roman" w:cs="Times New Roman"/>
                                <w:sz w:val="16"/>
                                <w:szCs w:val="16"/>
                              </w:rPr>
                              <w:t>IPV</w:t>
                            </w:r>
                          </w:p>
                        </w:tc>
                        <w:tc>
                          <w:tcPr>
                            <w:tcW w:w="2933" w:type="dxa"/>
                            <w:shd w:val="clear" w:color="auto" w:fill="FFFFFF"/>
                            <w:vAlign w:val="bottom"/>
                          </w:tcPr>
                          <w:p w14:paraId="43C1F2E9" w14:textId="77777777" w:rsidR="00924992" w:rsidRDefault="00924992">
                            <w:pPr>
                              <w:pStyle w:val="Other0"/>
                              <w:spacing w:line="240" w:lineRule="auto"/>
                              <w:ind w:firstLine="840"/>
                              <w:rPr>
                                <w:sz w:val="16"/>
                                <w:szCs w:val="16"/>
                              </w:rPr>
                            </w:pPr>
                            <w:r>
                              <w:rPr>
                                <w:rFonts w:ascii="Times New Roman" w:eastAsia="Times New Roman" w:hAnsi="Times New Roman" w:cs="Times New Roman"/>
                                <w:sz w:val="16"/>
                                <w:szCs w:val="16"/>
                              </w:rPr>
                              <w:t>Reacciones anafilácticas a</w:t>
                            </w:r>
                          </w:p>
                        </w:tc>
                        <w:tc>
                          <w:tcPr>
                            <w:tcW w:w="3110" w:type="dxa"/>
                            <w:shd w:val="clear" w:color="auto" w:fill="FFFFFF"/>
                            <w:vAlign w:val="bottom"/>
                          </w:tcPr>
                          <w:p w14:paraId="0290AC64" w14:textId="77777777" w:rsidR="00924992" w:rsidRDefault="00924992">
                            <w:pPr>
                              <w:pStyle w:val="Other0"/>
                              <w:spacing w:line="295" w:lineRule="auto"/>
                              <w:ind w:left="260" w:hanging="100"/>
                              <w:rPr>
                                <w:sz w:val="16"/>
                                <w:szCs w:val="16"/>
                              </w:rPr>
                            </w:pPr>
                            <w:r>
                              <w:rPr>
                                <w:rFonts w:ascii="Times New Roman" w:eastAsia="Times New Roman" w:hAnsi="Times New Roman" w:cs="Times New Roman"/>
                                <w:sz w:val="16"/>
                                <w:szCs w:val="16"/>
                              </w:rPr>
                              <w:t>GBS en término de 6 semanas de haber aplicado una dosis</w:t>
                            </w:r>
                            <w:r>
                              <w:rPr>
                                <w:rFonts w:ascii="Times New Roman" w:eastAsia="Times New Roman" w:hAnsi="Times New Roman" w:cs="Times New Roman"/>
                                <w:sz w:val="16"/>
                                <w:szCs w:val="16"/>
                                <w:vertAlign w:val="superscript"/>
                              </w:rPr>
                              <w:t>4</w:t>
                            </w:r>
                          </w:p>
                          <w:p w14:paraId="03322058" w14:textId="77777777" w:rsidR="00924992" w:rsidRDefault="00924992">
                            <w:pPr>
                              <w:pStyle w:val="Other0"/>
                              <w:spacing w:line="295" w:lineRule="auto"/>
                              <w:ind w:firstLine="140"/>
                              <w:rPr>
                                <w:sz w:val="16"/>
                                <w:szCs w:val="16"/>
                              </w:rPr>
                            </w:pPr>
                            <w:r>
                              <w:rPr>
                                <w:rFonts w:ascii="Times New Roman" w:eastAsia="Times New Roman" w:hAnsi="Times New Roman" w:cs="Times New Roman"/>
                                <w:sz w:val="16"/>
                                <w:szCs w:val="16"/>
                              </w:rPr>
                              <w:t>Embarazo</w:t>
                            </w:r>
                          </w:p>
                        </w:tc>
                        <w:tc>
                          <w:tcPr>
                            <w:tcW w:w="3907" w:type="dxa"/>
                            <w:shd w:val="clear" w:color="auto" w:fill="FFFFFF"/>
                          </w:tcPr>
                          <w:p w14:paraId="350F834C" w14:textId="77777777" w:rsidR="00924992" w:rsidRDefault="00924992">
                            <w:pPr>
                              <w:rPr>
                                <w:sz w:val="10"/>
                                <w:szCs w:val="10"/>
                              </w:rPr>
                            </w:pPr>
                          </w:p>
                        </w:tc>
                      </w:tr>
                      <w:tr w:rsidR="00924992" w14:paraId="5747A0A5" w14:textId="77777777">
                        <w:tblPrEx>
                          <w:tblCellMar>
                            <w:top w:w="0" w:type="dxa"/>
                            <w:bottom w:w="0" w:type="dxa"/>
                          </w:tblCellMar>
                        </w:tblPrEx>
                        <w:trPr>
                          <w:trHeight w:hRule="exact" w:val="658"/>
                        </w:trPr>
                        <w:tc>
                          <w:tcPr>
                            <w:tcW w:w="1488" w:type="dxa"/>
                            <w:shd w:val="clear" w:color="auto" w:fill="FFFFFF"/>
                            <w:vAlign w:val="bottom"/>
                          </w:tcPr>
                          <w:p w14:paraId="660161E4" w14:textId="77777777" w:rsidR="00924992" w:rsidRDefault="00924992">
                            <w:pPr>
                              <w:pStyle w:val="Other0"/>
                              <w:spacing w:line="240" w:lineRule="auto"/>
                              <w:ind w:firstLine="0"/>
                              <w:rPr>
                                <w:sz w:val="16"/>
                                <w:szCs w:val="16"/>
                              </w:rPr>
                            </w:pPr>
                            <w:r>
                              <w:rPr>
                                <w:rFonts w:ascii="Times New Roman" w:eastAsia="Times New Roman" w:hAnsi="Times New Roman" w:cs="Times New Roman"/>
                                <w:sz w:val="16"/>
                                <w:szCs w:val="16"/>
                              </w:rPr>
                              <w:t>MMR</w:t>
                            </w:r>
                            <w:r>
                              <w:rPr>
                                <w:rFonts w:ascii="Times New Roman" w:eastAsia="Times New Roman" w:hAnsi="Times New Roman" w:cs="Times New Roman"/>
                                <w:sz w:val="10"/>
                                <w:szCs w:val="10"/>
                              </w:rPr>
                              <w:t>'</w:t>
                            </w:r>
                          </w:p>
                        </w:tc>
                        <w:tc>
                          <w:tcPr>
                            <w:tcW w:w="2933" w:type="dxa"/>
                            <w:shd w:val="clear" w:color="auto" w:fill="FFFFFF"/>
                            <w:vAlign w:val="bottom"/>
                          </w:tcPr>
                          <w:p w14:paraId="5E154842" w14:textId="77777777" w:rsidR="00924992" w:rsidRDefault="00924992">
                            <w:pPr>
                              <w:pStyle w:val="Other0"/>
                              <w:spacing w:line="283" w:lineRule="auto"/>
                              <w:ind w:left="940" w:firstLine="0"/>
                              <w:rPr>
                                <w:sz w:val="16"/>
                                <w:szCs w:val="16"/>
                              </w:rPr>
                            </w:pPr>
                            <w:r>
                              <w:rPr>
                                <w:rFonts w:ascii="Times New Roman" w:eastAsia="Times New Roman" w:hAnsi="Times New Roman" w:cs="Times New Roman"/>
                                <w:sz w:val="16"/>
                                <w:szCs w:val="16"/>
                              </w:rPr>
                              <w:t>neomicina, estreptomicina o polimixina B</w:t>
                            </w:r>
                          </w:p>
                          <w:p w14:paraId="71820369" w14:textId="77777777" w:rsidR="00924992" w:rsidRDefault="00924992">
                            <w:pPr>
                              <w:pStyle w:val="Other0"/>
                              <w:spacing w:line="283" w:lineRule="auto"/>
                              <w:ind w:firstLine="840"/>
                              <w:rPr>
                                <w:sz w:val="16"/>
                                <w:szCs w:val="16"/>
                              </w:rPr>
                            </w:pPr>
                            <w:r>
                              <w:rPr>
                                <w:rFonts w:ascii="Times New Roman" w:eastAsia="Times New Roman" w:hAnsi="Times New Roman" w:cs="Times New Roman"/>
                                <w:sz w:val="16"/>
                                <w:szCs w:val="16"/>
                              </w:rPr>
                              <w:t>Embarazo</w:t>
                            </w:r>
                          </w:p>
                        </w:tc>
                        <w:tc>
                          <w:tcPr>
                            <w:tcW w:w="3110" w:type="dxa"/>
                            <w:shd w:val="clear" w:color="auto" w:fill="FFFFFF"/>
                            <w:vAlign w:val="bottom"/>
                          </w:tcPr>
                          <w:p w14:paraId="23C9C184" w14:textId="77777777" w:rsidR="00924992" w:rsidRDefault="00924992">
                            <w:pPr>
                              <w:pStyle w:val="Other0"/>
                              <w:spacing w:line="240" w:lineRule="auto"/>
                              <w:ind w:firstLine="140"/>
                              <w:rPr>
                                <w:sz w:val="16"/>
                                <w:szCs w:val="16"/>
                              </w:rPr>
                            </w:pPr>
                            <w:r>
                              <w:rPr>
                                <w:rFonts w:ascii="Times New Roman" w:eastAsia="Times New Roman" w:hAnsi="Times New Roman" w:cs="Times New Roman"/>
                                <w:sz w:val="16"/>
                                <w:szCs w:val="16"/>
                              </w:rPr>
                              <w:t>Aplicación reciente de concentrado</w:t>
                            </w:r>
                          </w:p>
                        </w:tc>
                        <w:tc>
                          <w:tcPr>
                            <w:tcW w:w="3907" w:type="dxa"/>
                            <w:shd w:val="clear" w:color="auto" w:fill="FFFFFF"/>
                            <w:vAlign w:val="bottom"/>
                          </w:tcPr>
                          <w:p w14:paraId="0E11ADDD" w14:textId="77777777" w:rsidR="00924992" w:rsidRDefault="00924992">
                            <w:pPr>
                              <w:pStyle w:val="Other0"/>
                              <w:spacing w:line="240" w:lineRule="auto"/>
                              <w:ind w:firstLine="180"/>
                              <w:rPr>
                                <w:sz w:val="16"/>
                                <w:szCs w:val="16"/>
                              </w:rPr>
                            </w:pPr>
                            <w:r>
                              <w:rPr>
                                <w:rFonts w:ascii="Times New Roman" w:eastAsia="Times New Roman" w:hAnsi="Times New Roman" w:cs="Times New Roman"/>
                                <w:sz w:val="16"/>
                                <w:szCs w:val="16"/>
                              </w:rPr>
                              <w:t>Práctica simultánea de la cutirreacción con</w:t>
                            </w:r>
                          </w:p>
                        </w:tc>
                      </w:tr>
                      <w:tr w:rsidR="00924992" w14:paraId="0E45CAF2" w14:textId="77777777">
                        <w:tblPrEx>
                          <w:tblCellMar>
                            <w:top w:w="0" w:type="dxa"/>
                            <w:bottom w:w="0" w:type="dxa"/>
                          </w:tblCellMar>
                        </w:tblPrEx>
                        <w:trPr>
                          <w:trHeight w:hRule="exact" w:val="221"/>
                        </w:trPr>
                        <w:tc>
                          <w:tcPr>
                            <w:tcW w:w="1488" w:type="dxa"/>
                            <w:shd w:val="clear" w:color="auto" w:fill="FFFFFF"/>
                          </w:tcPr>
                          <w:p w14:paraId="71EABDF8" w14:textId="77777777" w:rsidR="00924992" w:rsidRDefault="00924992">
                            <w:pPr>
                              <w:rPr>
                                <w:sz w:val="10"/>
                                <w:szCs w:val="10"/>
                              </w:rPr>
                            </w:pPr>
                          </w:p>
                        </w:tc>
                        <w:tc>
                          <w:tcPr>
                            <w:tcW w:w="2933" w:type="dxa"/>
                            <w:shd w:val="clear" w:color="auto" w:fill="FFFFFF"/>
                            <w:vAlign w:val="bottom"/>
                          </w:tcPr>
                          <w:p w14:paraId="5586BFBD" w14:textId="77777777" w:rsidR="00924992" w:rsidRDefault="00924992">
                            <w:pPr>
                              <w:pStyle w:val="Other0"/>
                              <w:spacing w:line="240" w:lineRule="auto"/>
                              <w:ind w:firstLine="840"/>
                              <w:rPr>
                                <w:sz w:val="16"/>
                                <w:szCs w:val="16"/>
                              </w:rPr>
                            </w:pPr>
                            <w:r>
                              <w:rPr>
                                <w:rFonts w:ascii="Times New Roman" w:eastAsia="Times New Roman" w:hAnsi="Times New Roman" w:cs="Times New Roman"/>
                                <w:sz w:val="16"/>
                                <w:szCs w:val="16"/>
                              </w:rPr>
                              <w:t>Reacción anafiláctica a la</w:t>
                            </w:r>
                          </w:p>
                        </w:tc>
                        <w:tc>
                          <w:tcPr>
                            <w:tcW w:w="3110" w:type="dxa"/>
                            <w:shd w:val="clear" w:color="auto" w:fill="FFFFFF"/>
                            <w:vAlign w:val="bottom"/>
                          </w:tcPr>
                          <w:p w14:paraId="2D769E30" w14:textId="77777777" w:rsidR="00924992" w:rsidRDefault="00924992">
                            <w:pPr>
                              <w:pStyle w:val="Other0"/>
                              <w:spacing w:line="240" w:lineRule="auto"/>
                              <w:ind w:firstLine="260"/>
                              <w:jc w:val="both"/>
                              <w:rPr>
                                <w:sz w:val="16"/>
                                <w:szCs w:val="16"/>
                              </w:rPr>
                            </w:pPr>
                            <w:r>
                              <w:rPr>
                                <w:rFonts w:ascii="Times New Roman" w:eastAsia="Times New Roman" w:hAnsi="Times New Roman" w:cs="Times New Roman"/>
                                <w:sz w:val="16"/>
                                <w:szCs w:val="16"/>
                              </w:rPr>
                              <w:t>inmunoglobulínico</w:t>
                            </w:r>
                            <w:r>
                              <w:rPr>
                                <w:rFonts w:ascii="Times New Roman" w:eastAsia="Times New Roman" w:hAnsi="Times New Roman" w:cs="Times New Roman"/>
                                <w:sz w:val="16"/>
                                <w:szCs w:val="16"/>
                                <w:vertAlign w:val="superscript"/>
                              </w:rPr>
                              <w:t xml:space="preserve"> </w:t>
                            </w:r>
                            <w:r>
                              <w:rPr>
                                <w:rFonts w:ascii="Times New Roman" w:eastAsia="Times New Roman" w:hAnsi="Times New Roman" w:cs="Times New Roman"/>
                                <w:sz w:val="16"/>
                                <w:szCs w:val="16"/>
                              </w:rPr>
                              <w:t xml:space="preserve"> (en término de</w:t>
                            </w:r>
                          </w:p>
                        </w:tc>
                        <w:tc>
                          <w:tcPr>
                            <w:tcW w:w="3907" w:type="dxa"/>
                            <w:shd w:val="clear" w:color="auto" w:fill="FFFFFF"/>
                            <w:vAlign w:val="bottom"/>
                          </w:tcPr>
                          <w:p w14:paraId="3A9F59D3" w14:textId="77777777" w:rsidR="00924992" w:rsidRDefault="00924992">
                            <w:pPr>
                              <w:pStyle w:val="Other0"/>
                              <w:spacing w:line="240" w:lineRule="auto"/>
                              <w:ind w:firstLine="280"/>
                              <w:rPr>
                                <w:sz w:val="16"/>
                                <w:szCs w:val="16"/>
                              </w:rPr>
                            </w:pPr>
                            <w:r>
                              <w:rPr>
                                <w:rFonts w:ascii="Times New Roman" w:eastAsia="Times New Roman" w:hAnsi="Times New Roman" w:cs="Times New Roman"/>
                                <w:sz w:val="16"/>
                                <w:szCs w:val="16"/>
                              </w:rPr>
                              <w:t>tuberculina</w:t>
                            </w:r>
                          </w:p>
                        </w:tc>
                      </w:tr>
                      <w:tr w:rsidR="00924992" w14:paraId="62F2D7E8" w14:textId="77777777">
                        <w:tblPrEx>
                          <w:tblCellMar>
                            <w:top w:w="0" w:type="dxa"/>
                            <w:bottom w:w="0" w:type="dxa"/>
                          </w:tblCellMar>
                        </w:tblPrEx>
                        <w:trPr>
                          <w:trHeight w:hRule="exact" w:val="216"/>
                        </w:trPr>
                        <w:tc>
                          <w:tcPr>
                            <w:tcW w:w="1488" w:type="dxa"/>
                            <w:shd w:val="clear" w:color="auto" w:fill="FFFFFF"/>
                          </w:tcPr>
                          <w:p w14:paraId="268770D8" w14:textId="77777777" w:rsidR="00924992" w:rsidRDefault="00924992">
                            <w:pPr>
                              <w:rPr>
                                <w:sz w:val="10"/>
                                <w:szCs w:val="10"/>
                              </w:rPr>
                            </w:pPr>
                          </w:p>
                        </w:tc>
                        <w:tc>
                          <w:tcPr>
                            <w:tcW w:w="2933" w:type="dxa"/>
                            <w:shd w:val="clear" w:color="auto" w:fill="FFFFFF"/>
                            <w:vAlign w:val="bottom"/>
                          </w:tcPr>
                          <w:p w14:paraId="3500DA86" w14:textId="77777777" w:rsidR="00924992" w:rsidRDefault="00924992">
                            <w:pPr>
                              <w:pStyle w:val="Other0"/>
                              <w:spacing w:line="240" w:lineRule="auto"/>
                              <w:ind w:firstLine="940"/>
                              <w:rPr>
                                <w:sz w:val="16"/>
                                <w:szCs w:val="16"/>
                              </w:rPr>
                            </w:pPr>
                            <w:r>
                              <w:rPr>
                                <w:rFonts w:ascii="Times New Roman" w:eastAsia="Times New Roman" w:hAnsi="Times New Roman" w:cs="Times New Roman"/>
                                <w:sz w:val="16"/>
                                <w:szCs w:val="16"/>
                              </w:rPr>
                              <w:t>neomicina o la gelatina</w:t>
                            </w:r>
                          </w:p>
                        </w:tc>
                        <w:tc>
                          <w:tcPr>
                            <w:tcW w:w="3110" w:type="dxa"/>
                            <w:shd w:val="clear" w:color="auto" w:fill="FFFFFF"/>
                            <w:vAlign w:val="bottom"/>
                          </w:tcPr>
                          <w:p w14:paraId="7CCC082A" w14:textId="77777777" w:rsidR="00924992" w:rsidRDefault="00924992">
                            <w:pPr>
                              <w:pStyle w:val="Other0"/>
                              <w:spacing w:line="240" w:lineRule="auto"/>
                              <w:ind w:firstLine="260"/>
                              <w:jc w:val="both"/>
                              <w:rPr>
                                <w:sz w:val="16"/>
                                <w:szCs w:val="16"/>
                              </w:rPr>
                            </w:pPr>
                            <w:r>
                              <w:rPr>
                                <w:rFonts w:ascii="Times New Roman" w:eastAsia="Times New Roman" w:hAnsi="Times New Roman" w:cs="Times New Roman"/>
                                <w:sz w:val="16"/>
                                <w:szCs w:val="16"/>
                              </w:rPr>
                              <w:t>3 a 11 meses anteriores, según el</w:t>
                            </w:r>
                          </w:p>
                        </w:tc>
                        <w:tc>
                          <w:tcPr>
                            <w:tcW w:w="3907" w:type="dxa"/>
                            <w:shd w:val="clear" w:color="auto" w:fill="FFFFFF"/>
                            <w:vAlign w:val="bottom"/>
                          </w:tcPr>
                          <w:p w14:paraId="3A622A05" w14:textId="77777777" w:rsidR="00924992" w:rsidRDefault="00924992">
                            <w:pPr>
                              <w:pStyle w:val="Other0"/>
                              <w:spacing w:line="240" w:lineRule="auto"/>
                              <w:ind w:firstLine="180"/>
                              <w:rPr>
                                <w:sz w:val="16"/>
                                <w:szCs w:val="16"/>
                              </w:rPr>
                            </w:pPr>
                            <w:r>
                              <w:rPr>
                                <w:rFonts w:ascii="Times New Roman" w:eastAsia="Times New Roman" w:hAnsi="Times New Roman" w:cs="Times New Roman"/>
                                <w:sz w:val="16"/>
                                <w:szCs w:val="16"/>
                              </w:rPr>
                              <w:t>Amamantamiento</w:t>
                            </w:r>
                          </w:p>
                        </w:tc>
                      </w:tr>
                      <w:tr w:rsidR="00924992" w14:paraId="78CA47B5" w14:textId="77777777">
                        <w:tblPrEx>
                          <w:tblCellMar>
                            <w:top w:w="0" w:type="dxa"/>
                            <w:bottom w:w="0" w:type="dxa"/>
                          </w:tblCellMar>
                        </w:tblPrEx>
                        <w:trPr>
                          <w:trHeight w:hRule="exact" w:val="754"/>
                        </w:trPr>
                        <w:tc>
                          <w:tcPr>
                            <w:tcW w:w="1488" w:type="dxa"/>
                            <w:tcBorders>
                              <w:bottom w:val="single" w:sz="4" w:space="0" w:color="auto"/>
                            </w:tcBorders>
                            <w:shd w:val="clear" w:color="auto" w:fill="FFFFFF"/>
                          </w:tcPr>
                          <w:p w14:paraId="1951D42C" w14:textId="77777777" w:rsidR="00924992" w:rsidRDefault="00924992">
                            <w:pPr>
                              <w:rPr>
                                <w:sz w:val="10"/>
                                <w:szCs w:val="10"/>
                              </w:rPr>
                            </w:pPr>
                          </w:p>
                        </w:tc>
                        <w:tc>
                          <w:tcPr>
                            <w:tcW w:w="2933" w:type="dxa"/>
                            <w:tcBorders>
                              <w:bottom w:val="single" w:sz="4" w:space="0" w:color="auto"/>
                            </w:tcBorders>
                            <w:shd w:val="clear" w:color="auto" w:fill="FFFFFF"/>
                          </w:tcPr>
                          <w:p w14:paraId="73455D3E" w14:textId="77777777" w:rsidR="00924992" w:rsidRDefault="00924992">
                            <w:pPr>
                              <w:rPr>
                                <w:sz w:val="10"/>
                                <w:szCs w:val="10"/>
                              </w:rPr>
                            </w:pPr>
                          </w:p>
                        </w:tc>
                        <w:tc>
                          <w:tcPr>
                            <w:tcW w:w="3110" w:type="dxa"/>
                            <w:tcBorders>
                              <w:bottom w:val="single" w:sz="4" w:space="0" w:color="auto"/>
                            </w:tcBorders>
                            <w:shd w:val="clear" w:color="auto" w:fill="FFFFFF"/>
                          </w:tcPr>
                          <w:p w14:paraId="47171BBE" w14:textId="77777777" w:rsidR="00924992" w:rsidRDefault="00924992">
                            <w:pPr>
                              <w:pStyle w:val="Other0"/>
                              <w:spacing w:line="240" w:lineRule="auto"/>
                              <w:ind w:firstLine="260"/>
                              <w:jc w:val="both"/>
                              <w:rPr>
                                <w:sz w:val="16"/>
                                <w:szCs w:val="16"/>
                              </w:rPr>
                            </w:pPr>
                            <w:r>
                              <w:rPr>
                                <w:rFonts w:ascii="Times New Roman" w:eastAsia="Times New Roman" w:hAnsi="Times New Roman" w:cs="Times New Roman"/>
                                <w:sz w:val="16"/>
                                <w:szCs w:val="16"/>
                              </w:rPr>
                              <w:t>producto y la dosis) (véase el cuadro</w:t>
                            </w:r>
                          </w:p>
                          <w:p w14:paraId="5C902A8D" w14:textId="77777777" w:rsidR="00924992" w:rsidRDefault="00924992">
                            <w:pPr>
                              <w:pStyle w:val="Other0"/>
                              <w:spacing w:line="240" w:lineRule="auto"/>
                              <w:ind w:firstLine="260"/>
                              <w:jc w:val="both"/>
                              <w:rPr>
                                <w:sz w:val="16"/>
                                <w:szCs w:val="16"/>
                              </w:rPr>
                            </w:pPr>
                            <w:r>
                              <w:rPr>
                                <w:rFonts w:ascii="Times New Roman" w:eastAsia="Times New Roman" w:hAnsi="Times New Roman" w:cs="Times New Roman"/>
                                <w:sz w:val="16"/>
                                <w:szCs w:val="16"/>
                              </w:rPr>
                              <w:t>3-62)</w:t>
                            </w:r>
                          </w:p>
                        </w:tc>
                        <w:tc>
                          <w:tcPr>
                            <w:tcW w:w="3907" w:type="dxa"/>
                            <w:tcBorders>
                              <w:bottom w:val="single" w:sz="4" w:space="0" w:color="auto"/>
                            </w:tcBorders>
                            <w:shd w:val="clear" w:color="auto" w:fill="FFFFFF"/>
                          </w:tcPr>
                          <w:p w14:paraId="21BD5DF5" w14:textId="77777777" w:rsidR="00924992" w:rsidRDefault="00924992">
                            <w:pPr>
                              <w:pStyle w:val="Other0"/>
                              <w:spacing w:line="240" w:lineRule="auto"/>
                              <w:ind w:firstLine="180"/>
                              <w:rPr>
                                <w:sz w:val="16"/>
                                <w:szCs w:val="16"/>
                              </w:rPr>
                            </w:pPr>
                            <w:r>
                              <w:rPr>
                                <w:rFonts w:ascii="Times New Roman" w:eastAsia="Times New Roman" w:hAnsi="Times New Roman" w:cs="Times New Roman"/>
                                <w:sz w:val="16"/>
                                <w:szCs w:val="16"/>
                              </w:rPr>
                              <w:t>Embarazo de la madre del niño receptor</w:t>
                            </w:r>
                          </w:p>
                        </w:tc>
                      </w:tr>
                    </w:tbl>
                    <w:p w14:paraId="032DE471" w14:textId="77777777" w:rsidR="00924992" w:rsidRDefault="00924992">
                      <w:pPr>
                        <w:spacing w:line="1" w:lineRule="exact"/>
                      </w:pPr>
                    </w:p>
                  </w:txbxContent>
                </v:textbox>
                <w10:wrap type="topAndBottom" anchorx="page"/>
              </v:shape>
            </w:pict>
          </mc:Fallback>
        </mc:AlternateContent>
      </w:r>
    </w:p>
    <w:p w14:paraId="64D60A66" w14:textId="77777777" w:rsidR="00924992" w:rsidRDefault="00924992">
      <w:pPr>
        <w:pStyle w:val="Heading31"/>
        <w:keepNext/>
        <w:keepLines/>
        <w:jc w:val="center"/>
        <w:rPr>
          <w:sz w:val="16"/>
          <w:szCs w:val="16"/>
        </w:rPr>
        <w:sectPr w:rsidR="00924992" w:rsidSect="00924992">
          <w:pgSz w:w="13022" w:h="8501" w:orient="landscape"/>
          <w:pgMar w:top="1080" w:right="960" w:bottom="520" w:left="610" w:header="652" w:footer="3" w:gutter="0"/>
          <w:cols w:space="720"/>
          <w:noEndnote/>
          <w:docGrid w:linePitch="360"/>
          <w15:footnoteColumns w:val="1"/>
        </w:sectPr>
      </w:pPr>
      <w:r>
        <w:rPr>
          <w:noProof/>
        </w:rPr>
        <mc:AlternateContent>
          <mc:Choice Requires="wps">
            <w:drawing>
              <wp:anchor distT="0" distB="0" distL="114300" distR="114300" simplePos="0" relativeHeight="251754496" behindDoc="0" locked="0" layoutInCell="1" allowOverlap="1" wp14:anchorId="6C0038D2" wp14:editId="5F90B045">
                <wp:simplePos x="0" y="0"/>
                <wp:positionH relativeFrom="page">
                  <wp:posOffset>7867015</wp:posOffset>
                </wp:positionH>
                <wp:positionV relativeFrom="margin">
                  <wp:posOffset>1917065</wp:posOffset>
                </wp:positionV>
                <wp:extent cx="121920" cy="2475230"/>
                <wp:effectExtent l="0" t="0" r="0" b="0"/>
                <wp:wrapSquare wrapText="bothSides"/>
                <wp:docPr id="2565" name="Shape 2565"/>
                <wp:cNvGraphicFramePr/>
                <a:graphic xmlns:a="http://schemas.openxmlformats.org/drawingml/2006/main">
                  <a:graphicData uri="http://schemas.microsoft.com/office/word/2010/wordprocessingShape">
                    <wps:wsp>
                      <wps:cNvSpPr txBox="1"/>
                      <wps:spPr>
                        <a:xfrm>
                          <a:off x="0" y="0"/>
                          <a:ext cx="121920" cy="2475230"/>
                        </a:xfrm>
                        <a:prstGeom prst="rect">
                          <a:avLst/>
                        </a:prstGeom>
                        <a:noFill/>
                      </wps:spPr>
                      <wps:txbx>
                        <w:txbxContent>
                          <w:p w14:paraId="5735EBC0" w14:textId="77777777" w:rsidR="00924992" w:rsidRDefault="00924992">
                            <w:pPr>
                              <w:pStyle w:val="Bodytext80"/>
                              <w:tabs>
                                <w:tab w:val="left" w:pos="3581"/>
                              </w:tabs>
                              <w:rPr>
                                <w:sz w:val="16"/>
                                <w:szCs w:val="16"/>
                              </w:rPr>
                            </w:pPr>
                            <w:r>
                              <w:t>APÉNDICE III</w:t>
                            </w:r>
                            <w:r>
                              <w:tab/>
                            </w:r>
                            <w:r>
                              <w:rPr>
                                <w:sz w:val="16"/>
                                <w:szCs w:val="16"/>
                              </w:rPr>
                              <w:t>835</w:t>
                            </w:r>
                          </w:p>
                        </w:txbxContent>
                      </wps:txbx>
                      <wps:bodyPr vert="vert" lIns="0" tIns="0" rIns="0" bIns="0" upright="1"/>
                    </wps:wsp>
                  </a:graphicData>
                </a:graphic>
              </wp:anchor>
            </w:drawing>
          </mc:Choice>
          <mc:Fallback>
            <w:pict>
              <v:shape w14:anchorId="6C0038D2" id="Shape 2565" o:spid="_x0000_s1136" type="#_x0000_t202" style="position:absolute;left:0;text-align:left;margin-left:619.45pt;margin-top:150.95pt;width:9.6pt;height:194.9pt;z-index:251754496;visibility:visible;mso-wrap-style:square;mso-wrap-distance-left:9pt;mso-wrap-distance-top:0;mso-wrap-distance-right:9pt;mso-wrap-distance-bottom:0;mso-position-horizontal:absolute;mso-position-horizontal-relative:page;mso-position-vertical:absolute;mso-position-vertical-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" filled="f" stroked="f">
                <v:textbox style="layout-flow:vertical" inset="0,0,0,0">
                  <w:txbxContent>
                    <w:p w14:paraId="5735EBC0" w14:textId="77777777" w:rsidR="00924992" w:rsidRDefault="00924992">
                      <w:pPr>
                        <w:pStyle w:val="Bodytext80"/>
                        <w:tabs>
                          <w:tab w:val="left" w:pos="3581"/>
                        </w:tabs>
                        <w:rPr>
                          <w:sz w:val="16"/>
                          <w:szCs w:val="16"/>
                        </w:rPr>
                      </w:pPr>
                      <w:r>
                        <w:t>APÉNDICE III</w:t>
                      </w:r>
                      <w:r>
                        <w:tab/>
                      </w:r>
                      <w:r>
                        <w:rPr>
                          <w:sz w:val="16"/>
                          <w:szCs w:val="16"/>
                        </w:rPr>
                        <w:t>835</w:t>
                      </w:r>
                    </w:p>
                  </w:txbxContent>
                </v:textbox>
                <w10:wrap type="square" anchorx="page" anchory="margin"/>
              </v:shape>
            </w:pict>
          </mc:Fallback>
        </mc:AlternateContent>
      </w:r>
      <w:bookmarkStart w:id="867" w:name="bookmark2261"/>
      <w:bookmarkStart w:id="868" w:name="bookmark2262"/>
      <w:bookmarkStart w:id="869" w:name="bookmark2263"/>
      <w:r>
        <w:t xml:space="preserve">Guía de contraindicaciones y precauciones en las vacunaciones, 2003 </w:t>
      </w:r>
      <w:r>
        <w:rPr>
          <w:rFonts w:ascii="Times New Roman" w:eastAsia="Times New Roman" w:hAnsi="Times New Roman" w:cs="Times New Roman"/>
          <w:b w:val="0"/>
          <w:bCs w:val="0"/>
          <w:i/>
          <w:iCs/>
          <w:w w:val="100"/>
          <w:sz w:val="16"/>
          <w:szCs w:val="16"/>
        </w:rPr>
        <w:t>cwrtanuación</w:t>
      </w:r>
      <w:bookmarkEnd w:id="867"/>
      <w:bookmarkEnd w:id="868"/>
      <w:bookmarkEnd w:id="869"/>
    </w:p>
    <w:p w14:paraId="0259DE60" w14:textId="77777777" w:rsidR="00924992" w:rsidRDefault="00924992">
      <w:pPr>
        <w:pStyle w:val="Heading31"/>
        <w:keepNext/>
        <w:keepLines/>
        <w:framePr w:w="7397" w:h="322" w:wrap="none" w:hAnchor="page" w:x="2646" w:y="1"/>
        <w:rPr>
          <w:sz w:val="16"/>
          <w:szCs w:val="16"/>
        </w:rPr>
      </w:pPr>
      <w:bookmarkStart w:id="870" w:name="bookmark2264"/>
      <w:bookmarkStart w:id="871" w:name="bookmark2265"/>
      <w:bookmarkStart w:id="872" w:name="bookmark2266"/>
      <w:r>
        <w:t xml:space="preserve">Guía de contraindicaciones y precauciones en las vacunaciones, 2003 </w:t>
      </w:r>
      <w:r>
        <w:rPr>
          <w:rFonts w:ascii="Times New Roman" w:eastAsia="Times New Roman" w:hAnsi="Times New Roman" w:cs="Times New Roman"/>
          <w:b w:val="0"/>
          <w:bCs w:val="0"/>
          <w:i/>
          <w:iCs/>
          <w:w w:val="100"/>
          <w:sz w:val="16"/>
          <w:szCs w:val="16"/>
        </w:rPr>
        <w:t>continuación</w:t>
      </w:r>
      <w:bookmarkEnd w:id="870"/>
      <w:bookmarkEnd w:id="871"/>
      <w:bookmarkEnd w:id="872"/>
    </w:p>
    <w:tbl>
      <w:tblPr>
        <w:tblOverlap w:val="never"/>
        <w:tblW w:w="0" w:type="auto"/>
        <w:tblLayout w:type="fixed"/>
        <w:tblCellMar>
          <w:left w:w="10" w:type="dxa"/>
          <w:right w:w="10" w:type="dxa"/>
        </w:tblCellMar>
        <w:tblLook w:val="04A0" w:firstRow="1" w:lastRow="0" w:firstColumn="1" w:lastColumn="0" w:noHBand="0" w:noVBand="1"/>
      </w:tblPr>
      <w:tblGrid>
        <w:gridCol w:w="1613"/>
        <w:gridCol w:w="2818"/>
        <w:gridCol w:w="2938"/>
        <w:gridCol w:w="4066"/>
      </w:tblGrid>
      <w:tr w:rsidR="00924992" w14:paraId="55F741A2" w14:textId="77777777">
        <w:tblPrEx>
          <w:tblCellMar>
            <w:top w:w="0" w:type="dxa"/>
            <w:bottom w:w="0" w:type="dxa"/>
          </w:tblCellMar>
        </w:tblPrEx>
        <w:trPr>
          <w:trHeight w:hRule="exact" w:val="854"/>
        </w:trPr>
        <w:tc>
          <w:tcPr>
            <w:tcW w:w="1613" w:type="dxa"/>
            <w:shd w:val="clear" w:color="auto" w:fill="231F20"/>
          </w:tcPr>
          <w:p w14:paraId="4CB4AAE4" w14:textId="77777777" w:rsidR="00924992" w:rsidRDefault="00924992">
            <w:pPr>
              <w:pStyle w:val="Other0"/>
              <w:framePr w:w="11434" w:h="3634" w:wrap="none" w:hAnchor="page" w:x="630" w:y="366"/>
              <w:pBdr>
                <w:top w:val="single" w:sz="0" w:space="0" w:color="231F20"/>
                <w:left w:val="single" w:sz="0" w:space="0" w:color="231F20"/>
                <w:bottom w:val="single" w:sz="0" w:space="0" w:color="231F20"/>
                <w:right w:val="single" w:sz="0" w:space="0" w:color="231F20"/>
              </w:pBdr>
              <w:shd w:val="clear" w:color="auto" w:fill="231F20"/>
              <w:spacing w:line="240" w:lineRule="auto"/>
              <w:ind w:firstLine="0"/>
              <w:rPr>
                <w:sz w:val="24"/>
                <w:szCs w:val="24"/>
              </w:rPr>
            </w:pPr>
            <w:r>
              <w:rPr>
                <w:rFonts w:ascii="Arial" w:eastAsia="Arial" w:hAnsi="Arial" w:cs="Arial"/>
                <w:b/>
                <w:bCs/>
                <w:color w:val="FFFFFF"/>
                <w:w w:val="70"/>
                <w:sz w:val="24"/>
                <w:szCs w:val="24"/>
              </w:rPr>
              <w:t>Vacuna</w:t>
            </w:r>
          </w:p>
        </w:tc>
        <w:tc>
          <w:tcPr>
            <w:tcW w:w="2818" w:type="dxa"/>
            <w:shd w:val="clear" w:color="auto" w:fill="231F20"/>
          </w:tcPr>
          <w:p w14:paraId="4A0CD881" w14:textId="77777777" w:rsidR="00924992" w:rsidRDefault="00924992">
            <w:pPr>
              <w:pStyle w:val="Other0"/>
              <w:framePr w:w="11434" w:h="3634" w:wrap="none" w:hAnchor="page" w:x="630" w:y="366"/>
              <w:pBdr>
                <w:top w:val="single" w:sz="0" w:space="0" w:color="231F20"/>
                <w:left w:val="single" w:sz="0" w:space="0" w:color="231F20"/>
                <w:bottom w:val="single" w:sz="0" w:space="0" w:color="231F20"/>
                <w:right w:val="single" w:sz="0" w:space="0" w:color="231F20"/>
              </w:pBdr>
              <w:shd w:val="clear" w:color="auto" w:fill="231F20"/>
              <w:spacing w:line="240" w:lineRule="auto"/>
              <w:ind w:firstLine="700"/>
              <w:rPr>
                <w:sz w:val="24"/>
                <w:szCs w:val="24"/>
              </w:rPr>
            </w:pPr>
            <w:r>
              <w:rPr>
                <w:rFonts w:ascii="Arial" w:eastAsia="Arial" w:hAnsi="Arial" w:cs="Arial"/>
                <w:b/>
                <w:bCs/>
                <w:color w:val="FFFFFF"/>
                <w:w w:val="70"/>
                <w:sz w:val="24"/>
                <w:szCs w:val="24"/>
              </w:rPr>
              <w:t>Contraindicaciones</w:t>
            </w:r>
          </w:p>
        </w:tc>
        <w:tc>
          <w:tcPr>
            <w:tcW w:w="2938" w:type="dxa"/>
            <w:shd w:val="clear" w:color="auto" w:fill="231F20"/>
          </w:tcPr>
          <w:p w14:paraId="69DA9804" w14:textId="77777777" w:rsidR="00924992" w:rsidRDefault="00924992">
            <w:pPr>
              <w:pStyle w:val="Other0"/>
              <w:framePr w:w="11434" w:h="3634" w:wrap="none" w:hAnchor="page" w:x="630" w:y="366"/>
              <w:pBdr>
                <w:top w:val="single" w:sz="0" w:space="0" w:color="231F20"/>
                <w:left w:val="single" w:sz="0" w:space="0" w:color="231F20"/>
                <w:bottom w:val="single" w:sz="0" w:space="0" w:color="231F20"/>
                <w:right w:val="single" w:sz="0" w:space="0" w:color="231F20"/>
              </w:pBdr>
              <w:shd w:val="clear" w:color="auto" w:fill="231F20"/>
              <w:spacing w:line="240" w:lineRule="auto"/>
              <w:ind w:firstLine="140"/>
              <w:rPr>
                <w:sz w:val="8"/>
                <w:szCs w:val="8"/>
              </w:rPr>
            </w:pPr>
            <w:r>
              <w:rPr>
                <w:rFonts w:ascii="Arial" w:eastAsia="Arial" w:hAnsi="Arial" w:cs="Arial"/>
                <w:b/>
                <w:bCs/>
                <w:color w:val="FFFFFF"/>
                <w:w w:val="70"/>
                <w:sz w:val="24"/>
                <w:szCs w:val="24"/>
              </w:rPr>
              <w:t>Precauciones</w:t>
            </w:r>
            <w:r>
              <w:rPr>
                <w:rFonts w:ascii="Times New Roman" w:eastAsia="Times New Roman" w:hAnsi="Times New Roman" w:cs="Times New Roman"/>
                <w:color w:val="FFFFFF"/>
                <w:sz w:val="8"/>
                <w:szCs w:val="8"/>
                <w:vertAlign w:val="superscript"/>
              </w:rPr>
              <w:t>1</w:t>
            </w:r>
          </w:p>
        </w:tc>
        <w:tc>
          <w:tcPr>
            <w:tcW w:w="4066" w:type="dxa"/>
            <w:shd w:val="clear" w:color="auto" w:fill="231F20"/>
            <w:vAlign w:val="bottom"/>
          </w:tcPr>
          <w:p w14:paraId="0206B26A" w14:textId="77777777" w:rsidR="00924992" w:rsidRDefault="00924992">
            <w:pPr>
              <w:pStyle w:val="Other0"/>
              <w:framePr w:w="11434" w:h="3634" w:wrap="none" w:hAnchor="page" w:x="630" w:y="366"/>
              <w:pBdr>
                <w:top w:val="single" w:sz="0" w:space="0" w:color="231F20"/>
                <w:left w:val="single" w:sz="0" w:space="0" w:color="231F20"/>
                <w:bottom w:val="single" w:sz="0" w:space="0" w:color="231F20"/>
                <w:right w:val="single" w:sz="0" w:space="0" w:color="231F20"/>
              </w:pBdr>
              <w:shd w:val="clear" w:color="auto" w:fill="231F20"/>
              <w:spacing w:line="209" w:lineRule="auto"/>
              <w:ind w:left="340" w:firstLine="0"/>
              <w:rPr>
                <w:sz w:val="24"/>
                <w:szCs w:val="24"/>
              </w:rPr>
            </w:pPr>
            <w:r>
              <w:rPr>
                <w:rFonts w:ascii="Arial" w:eastAsia="Arial" w:hAnsi="Arial" w:cs="Arial"/>
                <w:b/>
                <w:bCs/>
                <w:color w:val="FFFFFF"/>
                <w:w w:val="70"/>
                <w:sz w:val="24"/>
                <w:szCs w:val="24"/>
              </w:rPr>
              <w:t>Hechos que no constituyen contraindicaciones (es posible administrar las vacunas)</w:t>
            </w:r>
          </w:p>
        </w:tc>
      </w:tr>
      <w:tr w:rsidR="00924992" w14:paraId="082BB1DD" w14:textId="77777777">
        <w:tblPrEx>
          <w:tblCellMar>
            <w:top w:w="0" w:type="dxa"/>
            <w:bottom w:w="0" w:type="dxa"/>
          </w:tblCellMar>
        </w:tblPrEx>
        <w:trPr>
          <w:trHeight w:hRule="exact" w:val="1930"/>
        </w:trPr>
        <w:tc>
          <w:tcPr>
            <w:tcW w:w="1613" w:type="dxa"/>
            <w:shd w:val="clear" w:color="auto" w:fill="FFFFFF"/>
          </w:tcPr>
          <w:p w14:paraId="099DB561" w14:textId="77777777" w:rsidR="00924992" w:rsidRDefault="00924992">
            <w:pPr>
              <w:framePr w:w="11434" w:h="3634" w:wrap="none" w:hAnchor="page" w:x="630" w:y="366"/>
              <w:rPr>
                <w:sz w:val="10"/>
                <w:szCs w:val="10"/>
              </w:rPr>
            </w:pPr>
          </w:p>
        </w:tc>
        <w:tc>
          <w:tcPr>
            <w:tcW w:w="5756" w:type="dxa"/>
            <w:gridSpan w:val="2"/>
            <w:shd w:val="clear" w:color="auto" w:fill="FFFFFF"/>
            <w:vAlign w:val="center"/>
          </w:tcPr>
          <w:p w14:paraId="02440656" w14:textId="77777777" w:rsidR="00924992" w:rsidRDefault="00924992">
            <w:pPr>
              <w:pStyle w:val="Other0"/>
              <w:framePr w:w="11434" w:h="3634" w:wrap="none" w:hAnchor="page" w:x="630" w:y="366"/>
              <w:spacing w:line="283" w:lineRule="auto"/>
              <w:ind w:firstLine="700"/>
              <w:rPr>
                <w:sz w:val="16"/>
                <w:szCs w:val="16"/>
              </w:rPr>
            </w:pPr>
            <w:r>
              <w:rPr>
                <w:rFonts w:ascii="Times New Roman" w:eastAsia="Times New Roman" w:hAnsi="Times New Roman" w:cs="Times New Roman"/>
                <w:sz w:val="16"/>
                <w:szCs w:val="16"/>
              </w:rPr>
              <w:t>Inmunodeficiencia alterada</w:t>
            </w:r>
          </w:p>
          <w:p w14:paraId="06B3B849" w14:textId="77777777" w:rsidR="00924992" w:rsidRDefault="00924992">
            <w:pPr>
              <w:pStyle w:val="Other0"/>
              <w:framePr w:w="11434" w:h="3634" w:wrap="none" w:hAnchor="page" w:x="630" w:y="366"/>
              <w:tabs>
                <w:tab w:val="left" w:pos="3032"/>
              </w:tabs>
              <w:spacing w:line="283" w:lineRule="auto"/>
              <w:ind w:left="800" w:firstLine="0"/>
              <w:rPr>
                <w:sz w:val="16"/>
                <w:szCs w:val="16"/>
              </w:rPr>
            </w:pPr>
            <w:r>
              <w:rPr>
                <w:rFonts w:ascii="Times New Roman" w:eastAsia="Times New Roman" w:hAnsi="Times New Roman" w:cs="Times New Roman"/>
                <w:sz w:val="16"/>
                <w:szCs w:val="16"/>
              </w:rPr>
              <w:t>identificada (cánceres de la sangre y sólidos, inmunodeficiencia congénita, Trombocitopenia o antecedente infección grave por VIH</w:t>
            </w:r>
            <w:r>
              <w:rPr>
                <w:rFonts w:ascii="Times New Roman" w:eastAsia="Times New Roman" w:hAnsi="Times New Roman" w:cs="Times New Roman"/>
                <w:sz w:val="16"/>
                <w:szCs w:val="16"/>
              </w:rPr>
              <w:tab/>
              <w:t>de púrpura trombocitopénica</w:t>
            </w:r>
            <w:r>
              <w:rPr>
                <w:rFonts w:ascii="Times New Roman" w:eastAsia="Times New Roman" w:hAnsi="Times New Roman" w:cs="Times New Roman"/>
                <w:sz w:val="16"/>
                <w:szCs w:val="16"/>
                <w:vertAlign w:val="superscript"/>
              </w:rPr>
              <w:t>7</w:t>
            </w:r>
          </w:p>
          <w:p w14:paraId="37B16DFD" w14:textId="77777777" w:rsidR="00924992" w:rsidRDefault="00924992">
            <w:pPr>
              <w:pStyle w:val="Other0"/>
              <w:framePr w:w="11434" w:h="3634" w:wrap="none" w:hAnchor="page" w:x="630" w:y="366"/>
              <w:tabs>
                <w:tab w:val="left" w:pos="2955"/>
              </w:tabs>
              <w:spacing w:line="283" w:lineRule="auto"/>
              <w:ind w:firstLine="800"/>
              <w:rPr>
                <w:sz w:val="16"/>
                <w:szCs w:val="16"/>
              </w:rPr>
            </w:pPr>
            <w:r>
              <w:rPr>
                <w:rFonts w:ascii="Times New Roman" w:eastAsia="Times New Roman" w:hAnsi="Times New Roman" w:cs="Times New Roman"/>
                <w:sz w:val="16"/>
                <w:szCs w:val="16"/>
              </w:rPr>
              <w:t>y administración de</w:t>
            </w:r>
            <w:r>
              <w:rPr>
                <w:rFonts w:ascii="Times New Roman" w:eastAsia="Times New Roman" w:hAnsi="Times New Roman" w:cs="Times New Roman"/>
                <w:sz w:val="16"/>
                <w:szCs w:val="16"/>
              </w:rPr>
              <w:tab/>
              <w:t>Tuberculosis o positividad de PPD</w:t>
            </w:r>
            <w:r>
              <w:rPr>
                <w:rFonts w:ascii="Times New Roman" w:eastAsia="Times New Roman" w:hAnsi="Times New Roman" w:cs="Times New Roman"/>
                <w:sz w:val="16"/>
                <w:szCs w:val="16"/>
                <w:vertAlign w:val="superscript"/>
              </w:rPr>
              <w:t>8</w:t>
            </w:r>
          </w:p>
          <w:p w14:paraId="2CD5467D" w14:textId="77777777" w:rsidR="00924992" w:rsidRDefault="00924992">
            <w:pPr>
              <w:pStyle w:val="Other0"/>
              <w:framePr w:w="11434" w:h="3634" w:wrap="none" w:hAnchor="page" w:x="630" w:y="366"/>
              <w:spacing w:line="283" w:lineRule="auto"/>
              <w:ind w:left="800" w:firstLine="0"/>
              <w:rPr>
                <w:sz w:val="16"/>
                <w:szCs w:val="16"/>
              </w:rPr>
            </w:pPr>
            <w:r>
              <w:rPr>
                <w:rFonts w:ascii="Times New Roman" w:eastAsia="Times New Roman" w:hAnsi="Times New Roman" w:cs="Times New Roman"/>
                <w:sz w:val="16"/>
                <w:szCs w:val="16"/>
              </w:rPr>
              <w:t>inmunosupresores por largo tiempo)</w:t>
            </w:r>
          </w:p>
        </w:tc>
        <w:tc>
          <w:tcPr>
            <w:tcW w:w="4066" w:type="dxa"/>
            <w:shd w:val="clear" w:color="auto" w:fill="FFFFFF"/>
          </w:tcPr>
          <w:p w14:paraId="0CFDEDD3" w14:textId="77777777" w:rsidR="00924992" w:rsidRDefault="00924992">
            <w:pPr>
              <w:pStyle w:val="Other0"/>
              <w:framePr w:w="11434" w:h="3634" w:wrap="none" w:hAnchor="page" w:x="630" w:y="366"/>
              <w:spacing w:line="286" w:lineRule="auto"/>
              <w:ind w:left="440" w:hanging="100"/>
              <w:rPr>
                <w:sz w:val="16"/>
                <w:szCs w:val="16"/>
              </w:rPr>
            </w:pPr>
            <w:r>
              <w:rPr>
                <w:rFonts w:ascii="Times New Roman" w:eastAsia="Times New Roman" w:hAnsi="Times New Roman" w:cs="Times New Roman"/>
                <w:sz w:val="16"/>
                <w:szCs w:val="16"/>
              </w:rPr>
              <w:t>Miembro de la familia o contacto del círculo familiar con inmunodeficiencia</w:t>
            </w:r>
          </w:p>
          <w:p w14:paraId="049964EA" w14:textId="77777777" w:rsidR="00924992" w:rsidRDefault="00924992">
            <w:pPr>
              <w:pStyle w:val="Other0"/>
              <w:framePr w:w="11434" w:h="3634" w:wrap="none" w:hAnchor="page" w:x="630" w:y="366"/>
              <w:spacing w:line="286" w:lineRule="auto"/>
              <w:ind w:firstLine="340"/>
              <w:rPr>
                <w:sz w:val="16"/>
                <w:szCs w:val="16"/>
              </w:rPr>
            </w:pPr>
            <w:r>
              <w:rPr>
                <w:rFonts w:ascii="Times New Roman" w:eastAsia="Times New Roman" w:hAnsi="Times New Roman" w:cs="Times New Roman"/>
                <w:sz w:val="16"/>
                <w:szCs w:val="16"/>
              </w:rPr>
              <w:t>Infección por VIH</w:t>
            </w:r>
          </w:p>
          <w:p w14:paraId="0BC10D66" w14:textId="77777777" w:rsidR="00924992" w:rsidRDefault="00924992">
            <w:pPr>
              <w:pStyle w:val="Other0"/>
              <w:framePr w:w="11434" w:h="3634" w:wrap="none" w:hAnchor="page" w:x="630" w:y="366"/>
              <w:spacing w:line="286" w:lineRule="auto"/>
              <w:ind w:left="440" w:hanging="100"/>
              <w:rPr>
                <w:sz w:val="16"/>
                <w:szCs w:val="16"/>
              </w:rPr>
            </w:pPr>
            <w:r>
              <w:rPr>
                <w:rFonts w:ascii="Times New Roman" w:eastAsia="Times New Roman" w:hAnsi="Times New Roman" w:cs="Times New Roman"/>
                <w:sz w:val="16"/>
                <w:szCs w:val="16"/>
              </w:rPr>
              <w:t>Reacciones no anafilácticas a la gelatina o la neomicina</w:t>
            </w:r>
          </w:p>
        </w:tc>
      </w:tr>
      <w:tr w:rsidR="00924992" w14:paraId="1FB7C540" w14:textId="77777777">
        <w:tblPrEx>
          <w:tblCellMar>
            <w:top w:w="0" w:type="dxa"/>
            <w:bottom w:w="0" w:type="dxa"/>
          </w:tblCellMar>
        </w:tblPrEx>
        <w:trPr>
          <w:trHeight w:hRule="exact" w:val="850"/>
        </w:trPr>
        <w:tc>
          <w:tcPr>
            <w:tcW w:w="1613" w:type="dxa"/>
            <w:tcBorders>
              <w:bottom w:val="single" w:sz="4" w:space="0" w:color="auto"/>
            </w:tcBorders>
            <w:shd w:val="clear" w:color="auto" w:fill="FFFFFF"/>
          </w:tcPr>
          <w:p w14:paraId="0F531A6B" w14:textId="77777777" w:rsidR="00924992" w:rsidRDefault="00924992">
            <w:pPr>
              <w:pStyle w:val="Other0"/>
              <w:framePr w:w="11434" w:h="3634" w:wrap="none" w:hAnchor="page" w:x="630" w:y="366"/>
              <w:spacing w:before="100" w:line="295" w:lineRule="auto"/>
              <w:ind w:firstLine="0"/>
              <w:rPr>
                <w:sz w:val="16"/>
                <w:szCs w:val="16"/>
              </w:rPr>
            </w:pPr>
            <w:r>
              <w:rPr>
                <w:rFonts w:ascii="Times New Roman" w:eastAsia="Times New Roman" w:hAnsi="Times New Roman" w:cs="Times New Roman"/>
                <w:sz w:val="16"/>
                <w:szCs w:val="16"/>
              </w:rPr>
              <w:t>Hib Hepatitis B</w:t>
            </w:r>
          </w:p>
        </w:tc>
        <w:tc>
          <w:tcPr>
            <w:tcW w:w="2818" w:type="dxa"/>
            <w:tcBorders>
              <w:bottom w:val="single" w:sz="4" w:space="0" w:color="auto"/>
            </w:tcBorders>
            <w:shd w:val="clear" w:color="auto" w:fill="FFFFFF"/>
            <w:vAlign w:val="center"/>
          </w:tcPr>
          <w:p w14:paraId="02293804" w14:textId="77777777" w:rsidR="00924992" w:rsidRDefault="00924992">
            <w:pPr>
              <w:pStyle w:val="Other0"/>
              <w:framePr w:w="11434" w:h="3634" w:wrap="none" w:hAnchor="page" w:x="630" w:y="366"/>
              <w:spacing w:line="283" w:lineRule="auto"/>
              <w:ind w:firstLine="700"/>
              <w:rPr>
                <w:sz w:val="16"/>
                <w:szCs w:val="16"/>
              </w:rPr>
            </w:pPr>
            <w:r>
              <w:rPr>
                <w:rFonts w:ascii="Times New Roman" w:eastAsia="Times New Roman" w:hAnsi="Times New Roman" w:cs="Times New Roman"/>
                <w:sz w:val="16"/>
                <w:szCs w:val="16"/>
              </w:rPr>
              <w:t>Ninguna</w:t>
            </w:r>
          </w:p>
          <w:p w14:paraId="0256AD53" w14:textId="77777777" w:rsidR="00924992" w:rsidRDefault="00924992">
            <w:pPr>
              <w:pStyle w:val="Other0"/>
              <w:framePr w:w="11434" w:h="3634" w:wrap="none" w:hAnchor="page" w:x="630" w:y="366"/>
              <w:spacing w:line="283" w:lineRule="auto"/>
              <w:ind w:left="800" w:hanging="100"/>
              <w:rPr>
                <w:sz w:val="16"/>
                <w:szCs w:val="16"/>
              </w:rPr>
            </w:pPr>
            <w:r>
              <w:rPr>
                <w:rFonts w:ascii="Times New Roman" w:eastAsia="Times New Roman" w:hAnsi="Times New Roman" w:cs="Times New Roman"/>
                <w:sz w:val="16"/>
                <w:szCs w:val="16"/>
              </w:rPr>
              <w:t>Reacción anafiláctica a la levadura de cerveza</w:t>
            </w:r>
          </w:p>
        </w:tc>
        <w:tc>
          <w:tcPr>
            <w:tcW w:w="2938" w:type="dxa"/>
            <w:tcBorders>
              <w:bottom w:val="single" w:sz="4" w:space="0" w:color="auto"/>
            </w:tcBorders>
            <w:shd w:val="clear" w:color="auto" w:fill="FFFFFF"/>
            <w:vAlign w:val="center"/>
          </w:tcPr>
          <w:p w14:paraId="524401A6" w14:textId="77777777" w:rsidR="00924992" w:rsidRDefault="00924992">
            <w:pPr>
              <w:pStyle w:val="Other0"/>
              <w:framePr w:w="11434" w:h="3634" w:wrap="none" w:hAnchor="page" w:x="630" w:y="366"/>
              <w:spacing w:line="240" w:lineRule="auto"/>
              <w:ind w:firstLine="140"/>
              <w:rPr>
                <w:sz w:val="16"/>
                <w:szCs w:val="16"/>
              </w:rPr>
            </w:pPr>
            <w:r>
              <w:rPr>
                <w:rFonts w:ascii="Times New Roman" w:eastAsia="Times New Roman" w:hAnsi="Times New Roman" w:cs="Times New Roman"/>
                <w:sz w:val="16"/>
                <w:szCs w:val="16"/>
              </w:rPr>
              <w:t>Premadurez</w:t>
            </w:r>
            <w:r>
              <w:rPr>
                <w:rFonts w:ascii="Times New Roman" w:eastAsia="Times New Roman" w:hAnsi="Times New Roman" w:cs="Times New Roman"/>
                <w:sz w:val="16"/>
                <w:szCs w:val="16"/>
                <w:vertAlign w:val="superscript"/>
              </w:rPr>
              <w:t>10</w:t>
            </w:r>
          </w:p>
        </w:tc>
        <w:tc>
          <w:tcPr>
            <w:tcW w:w="4066" w:type="dxa"/>
            <w:tcBorders>
              <w:bottom w:val="single" w:sz="4" w:space="0" w:color="auto"/>
            </w:tcBorders>
            <w:shd w:val="clear" w:color="auto" w:fill="FFFFFF"/>
            <w:vAlign w:val="center"/>
          </w:tcPr>
          <w:p w14:paraId="16002C7F" w14:textId="77777777" w:rsidR="00924992" w:rsidRDefault="00924992">
            <w:pPr>
              <w:pStyle w:val="Other0"/>
              <w:framePr w:w="11434" w:h="3634" w:wrap="none" w:hAnchor="page" w:x="630" w:y="366"/>
              <w:spacing w:line="240" w:lineRule="auto"/>
              <w:ind w:firstLine="340"/>
              <w:rPr>
                <w:sz w:val="16"/>
                <w:szCs w:val="16"/>
              </w:rPr>
            </w:pPr>
            <w:r>
              <w:rPr>
                <w:rFonts w:ascii="Times New Roman" w:eastAsia="Times New Roman" w:hAnsi="Times New Roman" w:cs="Times New Roman"/>
                <w:sz w:val="16"/>
                <w:szCs w:val="16"/>
              </w:rPr>
              <w:t>Embarazo</w:t>
            </w:r>
          </w:p>
        </w:tc>
      </w:tr>
    </w:tbl>
    <w:p w14:paraId="6816FC2B" w14:textId="77777777" w:rsidR="00924992" w:rsidRDefault="00924992">
      <w:pPr>
        <w:framePr w:w="11434" w:h="3634" w:wrap="none" w:hAnchor="page" w:x="630" w:y="366"/>
        <w:spacing w:line="1" w:lineRule="exact"/>
      </w:pPr>
    </w:p>
    <w:p w14:paraId="54D4E83E" w14:textId="77777777" w:rsidR="00924992" w:rsidRDefault="00924992">
      <w:pPr>
        <w:pStyle w:val="Bodytext20"/>
        <w:framePr w:w="11318" w:h="1608" w:wrap="none" w:hAnchor="page" w:x="687" w:y="4086"/>
        <w:numPr>
          <w:ilvl w:val="0"/>
          <w:numId w:val="156"/>
        </w:numPr>
        <w:tabs>
          <w:tab w:val="left" w:pos="163"/>
        </w:tabs>
        <w:spacing w:line="240" w:lineRule="auto"/>
        <w:ind w:left="180" w:hanging="180"/>
        <w:rPr>
          <w:sz w:val="15"/>
          <w:szCs w:val="15"/>
        </w:rPr>
      </w:pPr>
      <w:bookmarkStart w:id="873" w:name="bookmark2267"/>
      <w:bookmarkEnd w:id="873"/>
      <w:r>
        <w:rPr>
          <w:sz w:val="15"/>
          <w:szCs w:val="15"/>
        </w:rPr>
        <w:t xml:space="preserve">En el caso de productos pretérmino que pesen menos de 2 kg al nacer, y cuya madre no tiene el antígeno de superficie de hepatitis B </w:t>
      </w:r>
      <w:r>
        <w:rPr>
          <w:i/>
          <w:iCs/>
          <w:sz w:val="15"/>
          <w:szCs w:val="15"/>
        </w:rPr>
        <w:t>(hepatitis B surface antigen,</w:t>
      </w:r>
      <w:r>
        <w:rPr>
          <w:sz w:val="15"/>
          <w:szCs w:val="15"/>
        </w:rPr>
        <w:t xml:space="preserve"> HBsAg)-negativa, habrá que diferir el comienzo de la vacunación hasta poco antes del alta del hospital, si el pequeño pesa 2 kg o más, o hasta que tenga unos dos meses de edad aproximada, cuando se hayan hecho las demás vacunaciones habituales, para mejorar la respuesta. Todos los pequeños pretérmino hijos de madres con positividad de HBsAg deben recibir inmunoprofilaxia (concentrado inmunoglobulínico y vacuna contra hepatitis B), la cual se iniciará tan pronto sea posible después del nacimiento, seguido de pruebas apropiadas después de la vacunación.</w:t>
      </w:r>
    </w:p>
    <w:p w14:paraId="06DE7E93" w14:textId="77777777" w:rsidR="00924992" w:rsidRDefault="00924992">
      <w:pPr>
        <w:pStyle w:val="Bodytext20"/>
        <w:framePr w:w="11318" w:h="1608" w:wrap="none" w:hAnchor="page" w:x="687" w:y="4086"/>
        <w:numPr>
          <w:ilvl w:val="0"/>
          <w:numId w:val="156"/>
        </w:numPr>
        <w:tabs>
          <w:tab w:val="left" w:pos="163"/>
        </w:tabs>
        <w:spacing w:line="240" w:lineRule="auto"/>
        <w:ind w:left="180" w:hanging="180"/>
        <w:rPr>
          <w:sz w:val="15"/>
          <w:szCs w:val="15"/>
        </w:rPr>
      </w:pPr>
      <w:bookmarkStart w:id="874" w:name="bookmark2268"/>
      <w:bookmarkEnd w:id="874"/>
      <w:r>
        <w:rPr>
          <w:sz w:val="15"/>
          <w:szCs w:val="15"/>
        </w:rPr>
        <w:t xml:space="preserve">Hay que considerar la aplicación de vacuna contra varicela en niños asintomáticos o levemente sintomáticos infectados por VIH, en particular los que pertenecen a las categorías N1 o A1 de los </w:t>
      </w:r>
      <w:r>
        <w:rPr>
          <w:i/>
          <w:iCs/>
          <w:sz w:val="15"/>
          <w:szCs w:val="15"/>
        </w:rPr>
        <w:t>Centers for Disease Control and Prevention</w:t>
      </w:r>
      <w:r>
        <w:rPr>
          <w:sz w:val="15"/>
          <w:szCs w:val="15"/>
        </w:rPr>
        <w:t xml:space="preserve"> o con porcentajes de linfocitos T específicos de cada edad de 25% o mayores.</w:t>
      </w:r>
    </w:p>
    <w:p w14:paraId="20AA7E08" w14:textId="77777777" w:rsidR="00924992" w:rsidRDefault="00924992">
      <w:pPr>
        <w:pStyle w:val="Bodytext20"/>
        <w:framePr w:w="11318" w:h="1608" w:wrap="none" w:hAnchor="page" w:x="687" w:y="4086"/>
        <w:numPr>
          <w:ilvl w:val="0"/>
          <w:numId w:val="156"/>
        </w:numPr>
        <w:tabs>
          <w:tab w:val="left" w:pos="158"/>
        </w:tabs>
        <w:spacing w:line="240" w:lineRule="auto"/>
        <w:ind w:left="180" w:hanging="180"/>
        <w:rPr>
          <w:sz w:val="15"/>
          <w:szCs w:val="15"/>
        </w:rPr>
      </w:pPr>
      <w:bookmarkStart w:id="875" w:name="bookmark2269"/>
      <w:bookmarkEnd w:id="875"/>
      <w:r>
        <w:rPr>
          <w:sz w:val="15"/>
          <w:szCs w:val="15"/>
        </w:rPr>
        <w:t>No se administrará la vacuna contra varicela a personas que tienen inmunodeficiencia de tipo celular, pero los sujetos con disminución de la inmunidad humoral pueden ser vacunados.</w:t>
      </w:r>
    </w:p>
    <w:p w14:paraId="47B1CE53" w14:textId="77777777" w:rsidR="00924992" w:rsidRDefault="00924992">
      <w:pPr>
        <w:pStyle w:val="Bodytext80"/>
        <w:framePr w:w="192" w:h="3893" w:hRule="exact" w:wrap="none" w:hAnchor="page" w:x="12390" w:y="44"/>
        <w:tabs>
          <w:tab w:val="left" w:pos="2966"/>
        </w:tabs>
        <w:textDirection w:val="tbRl"/>
      </w:pPr>
      <w:r>
        <w:rPr>
          <w:sz w:val="16"/>
          <w:szCs w:val="16"/>
        </w:rPr>
        <w:t>836</w:t>
      </w:r>
      <w:r>
        <w:rPr>
          <w:sz w:val="16"/>
          <w:szCs w:val="16"/>
        </w:rPr>
        <w:tab/>
      </w:r>
      <w:r>
        <w:t>APÉNDICE III</w:t>
      </w:r>
    </w:p>
    <w:p w14:paraId="0B4522B1" w14:textId="77777777" w:rsidR="00924992" w:rsidRDefault="00924992">
      <w:pPr>
        <w:spacing w:line="360" w:lineRule="exact"/>
      </w:pPr>
    </w:p>
    <w:p w14:paraId="7650A049" w14:textId="77777777" w:rsidR="00924992" w:rsidRDefault="00924992">
      <w:pPr>
        <w:spacing w:line="360" w:lineRule="exact"/>
      </w:pPr>
    </w:p>
    <w:p w14:paraId="0E22155F" w14:textId="77777777" w:rsidR="00924992" w:rsidRDefault="00924992">
      <w:pPr>
        <w:spacing w:line="360" w:lineRule="exact"/>
      </w:pPr>
    </w:p>
    <w:p w14:paraId="4C9A92EF" w14:textId="77777777" w:rsidR="00924992" w:rsidRDefault="00924992">
      <w:pPr>
        <w:spacing w:line="360" w:lineRule="exact"/>
      </w:pPr>
    </w:p>
    <w:p w14:paraId="6103C838" w14:textId="77777777" w:rsidR="00924992" w:rsidRDefault="00924992">
      <w:pPr>
        <w:spacing w:line="360" w:lineRule="exact"/>
      </w:pPr>
    </w:p>
    <w:p w14:paraId="6924EDAC" w14:textId="77777777" w:rsidR="00924992" w:rsidRDefault="00924992">
      <w:pPr>
        <w:spacing w:line="360" w:lineRule="exact"/>
      </w:pPr>
    </w:p>
    <w:p w14:paraId="48BEDDD0" w14:textId="77777777" w:rsidR="00924992" w:rsidRDefault="00924992">
      <w:pPr>
        <w:spacing w:line="360" w:lineRule="exact"/>
      </w:pPr>
    </w:p>
    <w:p w14:paraId="5D5057D7" w14:textId="77777777" w:rsidR="00924992" w:rsidRDefault="00924992">
      <w:pPr>
        <w:spacing w:line="360" w:lineRule="exact"/>
      </w:pPr>
    </w:p>
    <w:p w14:paraId="6E46C6CB" w14:textId="77777777" w:rsidR="00924992" w:rsidRDefault="00924992">
      <w:pPr>
        <w:spacing w:line="360" w:lineRule="exact"/>
      </w:pPr>
    </w:p>
    <w:p w14:paraId="2C4544F8" w14:textId="77777777" w:rsidR="00924992" w:rsidRDefault="00924992">
      <w:pPr>
        <w:spacing w:line="360" w:lineRule="exact"/>
      </w:pPr>
    </w:p>
    <w:p w14:paraId="7873B53B" w14:textId="77777777" w:rsidR="00924992" w:rsidRDefault="00924992">
      <w:pPr>
        <w:spacing w:line="360" w:lineRule="exact"/>
      </w:pPr>
    </w:p>
    <w:p w14:paraId="09FCA228" w14:textId="77777777" w:rsidR="00924992" w:rsidRDefault="00924992">
      <w:pPr>
        <w:spacing w:line="360" w:lineRule="exact"/>
      </w:pPr>
    </w:p>
    <w:p w14:paraId="3BE5869D" w14:textId="77777777" w:rsidR="00924992" w:rsidRDefault="00924992">
      <w:pPr>
        <w:spacing w:line="360" w:lineRule="exact"/>
      </w:pPr>
    </w:p>
    <w:p w14:paraId="6F6A03B5" w14:textId="77777777" w:rsidR="00924992" w:rsidRDefault="00924992">
      <w:pPr>
        <w:spacing w:line="360" w:lineRule="exact"/>
      </w:pPr>
    </w:p>
    <w:p w14:paraId="511D2C51" w14:textId="77777777" w:rsidR="00924992" w:rsidRDefault="00924992">
      <w:pPr>
        <w:spacing w:after="652" w:line="1" w:lineRule="exact"/>
      </w:pPr>
    </w:p>
    <w:p w14:paraId="6739F91D" w14:textId="77777777" w:rsidR="00924992" w:rsidRDefault="00924992">
      <w:pPr>
        <w:spacing w:line="1" w:lineRule="exact"/>
        <w:sectPr w:rsidR="00924992" w:rsidSect="00924992">
          <w:pgSz w:w="13022" w:h="8501" w:orient="landscape"/>
          <w:pgMar w:top="461" w:right="442" w:bottom="1249" w:left="629" w:header="33" w:footer="3" w:gutter="0"/>
          <w:cols w:space="720"/>
          <w:noEndnote/>
          <w:docGrid w:linePitch="360"/>
          <w15:footnoteColumns w:val="1"/>
        </w:sectPr>
      </w:pPr>
    </w:p>
    <w:p w14:paraId="3616B7A2" w14:textId="77777777" w:rsidR="00924992" w:rsidRDefault="00924992">
      <w:pPr>
        <w:pStyle w:val="Heading31"/>
        <w:keepNext/>
        <w:keepLines/>
        <w:framePr w:w="7392" w:h="322" w:wrap="none" w:hAnchor="page" w:x="2651" w:y="1"/>
        <w:rPr>
          <w:sz w:val="16"/>
          <w:szCs w:val="16"/>
        </w:rPr>
      </w:pPr>
      <w:bookmarkStart w:id="876" w:name="bookmark2270"/>
      <w:bookmarkStart w:id="877" w:name="bookmark2271"/>
      <w:bookmarkStart w:id="878" w:name="bookmark2272"/>
      <w:r>
        <w:t xml:space="preserve">Guía de contraindicaciones y precauciones en las vacunaciones, 2003 </w:t>
      </w:r>
      <w:r>
        <w:rPr>
          <w:rFonts w:ascii="Times New Roman" w:eastAsia="Times New Roman" w:hAnsi="Times New Roman" w:cs="Times New Roman"/>
          <w:b w:val="0"/>
          <w:bCs w:val="0"/>
          <w:i/>
          <w:iCs/>
          <w:w w:val="100"/>
          <w:sz w:val="16"/>
          <w:szCs w:val="16"/>
        </w:rPr>
        <w:t>cwrtdnuación</w:t>
      </w:r>
      <w:bookmarkEnd w:id="876"/>
      <w:bookmarkEnd w:id="877"/>
      <w:bookmarkEnd w:id="878"/>
    </w:p>
    <w:tbl>
      <w:tblPr>
        <w:tblOverlap w:val="never"/>
        <w:tblW w:w="0" w:type="auto"/>
        <w:tblLayout w:type="fixed"/>
        <w:tblCellMar>
          <w:left w:w="10" w:type="dxa"/>
          <w:right w:w="10" w:type="dxa"/>
        </w:tblCellMar>
        <w:tblLook w:val="04A0" w:firstRow="1" w:lastRow="0" w:firstColumn="1" w:lastColumn="0" w:noHBand="0" w:noVBand="1"/>
      </w:tblPr>
      <w:tblGrid>
        <w:gridCol w:w="1632"/>
        <w:gridCol w:w="2904"/>
        <w:gridCol w:w="3134"/>
        <w:gridCol w:w="3787"/>
      </w:tblGrid>
      <w:tr w:rsidR="00924992" w14:paraId="152E1F95" w14:textId="77777777">
        <w:tblPrEx>
          <w:tblCellMar>
            <w:top w:w="0" w:type="dxa"/>
            <w:bottom w:w="0" w:type="dxa"/>
          </w:tblCellMar>
        </w:tblPrEx>
        <w:trPr>
          <w:trHeight w:hRule="exact" w:val="854"/>
        </w:trPr>
        <w:tc>
          <w:tcPr>
            <w:tcW w:w="1632" w:type="dxa"/>
            <w:shd w:val="clear" w:color="auto" w:fill="231F20"/>
          </w:tcPr>
          <w:p w14:paraId="208FA37C" w14:textId="77777777" w:rsidR="00924992" w:rsidRDefault="00924992">
            <w:pPr>
              <w:pStyle w:val="Other0"/>
              <w:framePr w:w="11458" w:h="4718" w:vSpace="456" w:wrap="none" w:hAnchor="page" w:x="611" w:y="366"/>
              <w:pBdr>
                <w:top w:val="single" w:sz="0" w:space="0" w:color="231F20"/>
                <w:left w:val="single" w:sz="0" w:space="0" w:color="231F20"/>
                <w:bottom w:val="single" w:sz="0" w:space="0" w:color="231F20"/>
                <w:right w:val="single" w:sz="0" w:space="0" w:color="231F20"/>
              </w:pBdr>
              <w:shd w:val="clear" w:color="auto" w:fill="231F20"/>
              <w:spacing w:line="240" w:lineRule="auto"/>
              <w:ind w:firstLine="0"/>
              <w:rPr>
                <w:sz w:val="24"/>
                <w:szCs w:val="24"/>
              </w:rPr>
            </w:pPr>
            <w:r>
              <w:rPr>
                <w:rFonts w:ascii="Arial" w:eastAsia="Arial" w:hAnsi="Arial" w:cs="Arial"/>
                <w:b/>
                <w:bCs/>
                <w:color w:val="FFFFFF"/>
                <w:w w:val="70"/>
                <w:sz w:val="24"/>
                <w:szCs w:val="24"/>
              </w:rPr>
              <w:t>Vacuna</w:t>
            </w:r>
          </w:p>
        </w:tc>
        <w:tc>
          <w:tcPr>
            <w:tcW w:w="2904" w:type="dxa"/>
            <w:shd w:val="clear" w:color="auto" w:fill="231F20"/>
          </w:tcPr>
          <w:p w14:paraId="417F9986" w14:textId="77777777" w:rsidR="00924992" w:rsidRDefault="00924992">
            <w:pPr>
              <w:pStyle w:val="Other0"/>
              <w:framePr w:w="11458" w:h="4718" w:vSpace="456" w:wrap="none" w:hAnchor="page" w:x="611" w:y="366"/>
              <w:pBdr>
                <w:top w:val="single" w:sz="0" w:space="0" w:color="231F20"/>
                <w:left w:val="single" w:sz="0" w:space="0" w:color="231F20"/>
                <w:bottom w:val="single" w:sz="0" w:space="0" w:color="231F20"/>
                <w:right w:val="single" w:sz="0" w:space="0" w:color="231F20"/>
              </w:pBdr>
              <w:shd w:val="clear" w:color="auto" w:fill="231F20"/>
              <w:spacing w:line="240" w:lineRule="auto"/>
              <w:ind w:firstLine="700"/>
              <w:rPr>
                <w:sz w:val="24"/>
                <w:szCs w:val="24"/>
              </w:rPr>
            </w:pPr>
            <w:r>
              <w:rPr>
                <w:rFonts w:ascii="Arial" w:eastAsia="Arial" w:hAnsi="Arial" w:cs="Arial"/>
                <w:b/>
                <w:bCs/>
                <w:color w:val="FFFFFF"/>
                <w:w w:val="70"/>
                <w:sz w:val="24"/>
                <w:szCs w:val="24"/>
              </w:rPr>
              <w:t>Contraindicaciones</w:t>
            </w:r>
          </w:p>
        </w:tc>
        <w:tc>
          <w:tcPr>
            <w:tcW w:w="3134" w:type="dxa"/>
            <w:shd w:val="clear" w:color="auto" w:fill="231F20"/>
          </w:tcPr>
          <w:p w14:paraId="57317C79" w14:textId="77777777" w:rsidR="00924992" w:rsidRDefault="00924992">
            <w:pPr>
              <w:pStyle w:val="Other0"/>
              <w:framePr w:w="11458" w:h="4718" w:vSpace="456" w:wrap="none" w:hAnchor="page" w:x="611" w:y="366"/>
              <w:pBdr>
                <w:top w:val="single" w:sz="0" w:space="0" w:color="231F20"/>
                <w:left w:val="single" w:sz="0" w:space="0" w:color="231F20"/>
                <w:bottom w:val="single" w:sz="0" w:space="0" w:color="231F20"/>
                <w:right w:val="single" w:sz="0" w:space="0" w:color="231F20"/>
              </w:pBdr>
              <w:shd w:val="clear" w:color="auto" w:fill="231F20"/>
              <w:spacing w:line="240" w:lineRule="auto"/>
              <w:ind w:firstLine="0"/>
              <w:rPr>
                <w:sz w:val="8"/>
                <w:szCs w:val="8"/>
              </w:rPr>
            </w:pPr>
            <w:r>
              <w:rPr>
                <w:rFonts w:ascii="Arial" w:eastAsia="Arial" w:hAnsi="Arial" w:cs="Arial"/>
                <w:b/>
                <w:bCs/>
                <w:color w:val="FFFFFF"/>
                <w:w w:val="70"/>
                <w:sz w:val="24"/>
                <w:szCs w:val="24"/>
              </w:rPr>
              <w:t>Precauciones</w:t>
            </w:r>
            <w:r>
              <w:rPr>
                <w:rFonts w:ascii="Times New Roman" w:eastAsia="Times New Roman" w:hAnsi="Times New Roman" w:cs="Times New Roman"/>
                <w:color w:val="FFFFFF"/>
                <w:sz w:val="8"/>
                <w:szCs w:val="8"/>
                <w:vertAlign w:val="superscript"/>
              </w:rPr>
              <w:t>1</w:t>
            </w:r>
          </w:p>
        </w:tc>
        <w:tc>
          <w:tcPr>
            <w:tcW w:w="3787" w:type="dxa"/>
            <w:shd w:val="clear" w:color="auto" w:fill="231F20"/>
            <w:vAlign w:val="bottom"/>
          </w:tcPr>
          <w:p w14:paraId="20812326" w14:textId="77777777" w:rsidR="00924992" w:rsidRDefault="00924992">
            <w:pPr>
              <w:pStyle w:val="Other0"/>
              <w:framePr w:w="11458" w:h="4718" w:vSpace="456" w:wrap="none" w:hAnchor="page" w:x="611" w:y="366"/>
              <w:pBdr>
                <w:top w:val="single" w:sz="0" w:space="0" w:color="231F20"/>
                <w:left w:val="single" w:sz="0" w:space="0" w:color="231F20"/>
                <w:bottom w:val="single" w:sz="0" w:space="0" w:color="231F20"/>
                <w:right w:val="single" w:sz="0" w:space="0" w:color="231F20"/>
              </w:pBdr>
              <w:shd w:val="clear" w:color="auto" w:fill="231F20"/>
              <w:spacing w:line="209" w:lineRule="auto"/>
              <w:ind w:firstLine="0"/>
              <w:rPr>
                <w:sz w:val="24"/>
                <w:szCs w:val="24"/>
              </w:rPr>
            </w:pPr>
            <w:r>
              <w:rPr>
                <w:rFonts w:ascii="Arial" w:eastAsia="Arial" w:hAnsi="Arial" w:cs="Arial"/>
                <w:b/>
                <w:bCs/>
                <w:color w:val="FFFFFF"/>
                <w:w w:val="70"/>
                <w:sz w:val="24"/>
                <w:szCs w:val="24"/>
              </w:rPr>
              <w:t>Hechos que no constituyen contraindicaciones (es posible administrar las vacunas)</w:t>
            </w:r>
          </w:p>
        </w:tc>
      </w:tr>
      <w:tr w:rsidR="00924992" w14:paraId="4854838B" w14:textId="77777777">
        <w:tblPrEx>
          <w:tblCellMar>
            <w:top w:w="0" w:type="dxa"/>
            <w:bottom w:w="0" w:type="dxa"/>
          </w:tblCellMar>
        </w:tblPrEx>
        <w:trPr>
          <w:trHeight w:hRule="exact" w:val="288"/>
        </w:trPr>
        <w:tc>
          <w:tcPr>
            <w:tcW w:w="1632" w:type="dxa"/>
            <w:shd w:val="clear" w:color="auto" w:fill="FFFFFF"/>
            <w:vAlign w:val="bottom"/>
          </w:tcPr>
          <w:p w14:paraId="257E4224" w14:textId="77777777" w:rsidR="00924992" w:rsidRDefault="00924992">
            <w:pPr>
              <w:pStyle w:val="Other0"/>
              <w:framePr w:w="11458" w:h="4718" w:vSpace="456" w:wrap="none" w:hAnchor="page" w:x="611" w:y="366"/>
              <w:spacing w:line="240" w:lineRule="auto"/>
              <w:ind w:firstLine="0"/>
              <w:rPr>
                <w:sz w:val="16"/>
                <w:szCs w:val="16"/>
              </w:rPr>
            </w:pPr>
            <w:r>
              <w:rPr>
                <w:rFonts w:ascii="Times New Roman" w:eastAsia="Times New Roman" w:hAnsi="Times New Roman" w:cs="Times New Roman"/>
                <w:sz w:val="16"/>
                <w:szCs w:val="16"/>
              </w:rPr>
              <w:t>Neumococos</w:t>
            </w:r>
          </w:p>
        </w:tc>
        <w:tc>
          <w:tcPr>
            <w:tcW w:w="2904" w:type="dxa"/>
            <w:shd w:val="clear" w:color="auto" w:fill="FFFFFF"/>
            <w:vAlign w:val="bottom"/>
          </w:tcPr>
          <w:p w14:paraId="77BC1C97" w14:textId="77777777" w:rsidR="00924992" w:rsidRDefault="00924992">
            <w:pPr>
              <w:pStyle w:val="Other0"/>
              <w:framePr w:w="11458" w:h="4718" w:vSpace="456" w:wrap="none" w:hAnchor="page" w:x="611" w:y="366"/>
              <w:spacing w:line="240" w:lineRule="auto"/>
              <w:ind w:firstLine="700"/>
              <w:rPr>
                <w:sz w:val="16"/>
                <w:szCs w:val="16"/>
              </w:rPr>
            </w:pPr>
            <w:r>
              <w:rPr>
                <w:rFonts w:ascii="Times New Roman" w:eastAsia="Times New Roman" w:hAnsi="Times New Roman" w:cs="Times New Roman"/>
                <w:sz w:val="16"/>
                <w:szCs w:val="16"/>
              </w:rPr>
              <w:t>Ninguna</w:t>
            </w:r>
          </w:p>
        </w:tc>
        <w:tc>
          <w:tcPr>
            <w:tcW w:w="3134" w:type="dxa"/>
            <w:shd w:val="clear" w:color="auto" w:fill="FFFFFF"/>
          </w:tcPr>
          <w:p w14:paraId="06A1D1EF" w14:textId="77777777" w:rsidR="00924992" w:rsidRDefault="00924992">
            <w:pPr>
              <w:framePr w:w="11458" w:h="4718" w:vSpace="456" w:wrap="none" w:hAnchor="page" w:x="611" w:y="366"/>
              <w:rPr>
                <w:sz w:val="10"/>
                <w:szCs w:val="10"/>
              </w:rPr>
            </w:pPr>
          </w:p>
        </w:tc>
        <w:tc>
          <w:tcPr>
            <w:tcW w:w="3787" w:type="dxa"/>
            <w:shd w:val="clear" w:color="auto" w:fill="FFFFFF"/>
          </w:tcPr>
          <w:p w14:paraId="08FF61B8" w14:textId="77777777" w:rsidR="00924992" w:rsidRDefault="00924992">
            <w:pPr>
              <w:framePr w:w="11458" w:h="4718" w:vSpace="456" w:wrap="none" w:hAnchor="page" w:x="611" w:y="366"/>
              <w:rPr>
                <w:sz w:val="10"/>
                <w:szCs w:val="10"/>
              </w:rPr>
            </w:pPr>
          </w:p>
        </w:tc>
      </w:tr>
      <w:tr w:rsidR="00924992" w14:paraId="50F888A3" w14:textId="77777777">
        <w:tblPrEx>
          <w:tblCellMar>
            <w:top w:w="0" w:type="dxa"/>
            <w:bottom w:w="0" w:type="dxa"/>
          </w:tblCellMar>
        </w:tblPrEx>
        <w:trPr>
          <w:trHeight w:hRule="exact" w:val="206"/>
        </w:trPr>
        <w:tc>
          <w:tcPr>
            <w:tcW w:w="1632" w:type="dxa"/>
            <w:shd w:val="clear" w:color="auto" w:fill="FFFFFF"/>
            <w:vAlign w:val="bottom"/>
          </w:tcPr>
          <w:p w14:paraId="6D475212" w14:textId="77777777" w:rsidR="00924992" w:rsidRDefault="00924992">
            <w:pPr>
              <w:pStyle w:val="Other0"/>
              <w:framePr w:w="11458" w:h="4718" w:vSpace="456" w:wrap="none" w:hAnchor="page" w:x="611" w:y="366"/>
              <w:spacing w:line="240" w:lineRule="auto"/>
              <w:ind w:firstLine="0"/>
              <w:rPr>
                <w:sz w:val="16"/>
                <w:szCs w:val="16"/>
              </w:rPr>
            </w:pPr>
            <w:r>
              <w:rPr>
                <w:rFonts w:ascii="Times New Roman" w:eastAsia="Times New Roman" w:hAnsi="Times New Roman" w:cs="Times New Roman"/>
                <w:sz w:val="16"/>
                <w:szCs w:val="16"/>
              </w:rPr>
              <w:t>Varicela</w:t>
            </w:r>
            <w:r>
              <w:rPr>
                <w:rFonts w:ascii="Times New Roman" w:eastAsia="Times New Roman" w:hAnsi="Times New Roman" w:cs="Times New Roman"/>
                <w:sz w:val="16"/>
                <w:szCs w:val="16"/>
                <w:vertAlign w:val="superscript"/>
              </w:rPr>
              <w:t>5</w:t>
            </w:r>
          </w:p>
        </w:tc>
        <w:tc>
          <w:tcPr>
            <w:tcW w:w="2904" w:type="dxa"/>
            <w:shd w:val="clear" w:color="auto" w:fill="FFFFFF"/>
            <w:vAlign w:val="bottom"/>
          </w:tcPr>
          <w:p w14:paraId="64246FED" w14:textId="77777777" w:rsidR="00924992" w:rsidRDefault="00924992">
            <w:pPr>
              <w:pStyle w:val="Other0"/>
              <w:framePr w:w="11458" w:h="4718" w:vSpace="456" w:wrap="none" w:hAnchor="page" w:x="611" w:y="366"/>
              <w:spacing w:line="240" w:lineRule="auto"/>
              <w:ind w:firstLine="700"/>
              <w:rPr>
                <w:sz w:val="16"/>
                <w:szCs w:val="16"/>
              </w:rPr>
            </w:pPr>
            <w:r>
              <w:rPr>
                <w:rFonts w:ascii="Times New Roman" w:eastAsia="Times New Roman" w:hAnsi="Times New Roman" w:cs="Times New Roman"/>
                <w:sz w:val="16"/>
                <w:szCs w:val="16"/>
              </w:rPr>
              <w:t>Embarazo</w:t>
            </w:r>
          </w:p>
        </w:tc>
        <w:tc>
          <w:tcPr>
            <w:tcW w:w="3134" w:type="dxa"/>
            <w:shd w:val="clear" w:color="auto" w:fill="FFFFFF"/>
            <w:vAlign w:val="bottom"/>
          </w:tcPr>
          <w:p w14:paraId="64E6CCCF" w14:textId="77777777" w:rsidR="00924992" w:rsidRDefault="00924992">
            <w:pPr>
              <w:pStyle w:val="Other0"/>
              <w:framePr w:w="11458" w:h="4718" w:vSpace="456" w:wrap="none" w:hAnchor="page" w:x="611" w:y="366"/>
              <w:spacing w:line="240" w:lineRule="auto"/>
              <w:ind w:firstLine="0"/>
              <w:rPr>
                <w:sz w:val="16"/>
                <w:szCs w:val="16"/>
              </w:rPr>
            </w:pPr>
            <w:r>
              <w:rPr>
                <w:rFonts w:ascii="Times New Roman" w:eastAsia="Times New Roman" w:hAnsi="Times New Roman" w:cs="Times New Roman"/>
                <w:sz w:val="16"/>
                <w:szCs w:val="16"/>
              </w:rPr>
              <w:t>Aplicación reciente de concentrado</w:t>
            </w:r>
          </w:p>
        </w:tc>
        <w:tc>
          <w:tcPr>
            <w:tcW w:w="3787" w:type="dxa"/>
            <w:shd w:val="clear" w:color="auto" w:fill="FFFFFF"/>
            <w:vAlign w:val="bottom"/>
          </w:tcPr>
          <w:p w14:paraId="054C08C1" w14:textId="77777777" w:rsidR="00924992" w:rsidRDefault="00924992">
            <w:pPr>
              <w:pStyle w:val="Other0"/>
              <w:framePr w:w="11458" w:h="4718" w:vSpace="456" w:wrap="none" w:hAnchor="page" w:x="611" w:y="366"/>
              <w:spacing w:line="240" w:lineRule="auto"/>
              <w:ind w:firstLine="0"/>
              <w:rPr>
                <w:sz w:val="16"/>
                <w:szCs w:val="16"/>
              </w:rPr>
            </w:pPr>
            <w:r>
              <w:rPr>
                <w:rFonts w:ascii="Times New Roman" w:eastAsia="Times New Roman" w:hAnsi="Times New Roman" w:cs="Times New Roman"/>
                <w:sz w:val="16"/>
                <w:szCs w:val="16"/>
              </w:rPr>
              <w:t>Embarazo de la madre del niño receptor</w:t>
            </w:r>
          </w:p>
        </w:tc>
      </w:tr>
      <w:tr w:rsidR="00924992" w14:paraId="4C3E087D" w14:textId="77777777">
        <w:tblPrEx>
          <w:tblCellMar>
            <w:top w:w="0" w:type="dxa"/>
            <w:bottom w:w="0" w:type="dxa"/>
          </w:tblCellMar>
        </w:tblPrEx>
        <w:trPr>
          <w:trHeight w:hRule="exact" w:val="216"/>
        </w:trPr>
        <w:tc>
          <w:tcPr>
            <w:tcW w:w="1632" w:type="dxa"/>
            <w:shd w:val="clear" w:color="auto" w:fill="FFFFFF"/>
          </w:tcPr>
          <w:p w14:paraId="699EBBB7" w14:textId="77777777" w:rsidR="00924992" w:rsidRDefault="00924992">
            <w:pPr>
              <w:framePr w:w="11458" w:h="4718" w:vSpace="456" w:wrap="none" w:hAnchor="page" w:x="611" w:y="366"/>
              <w:rPr>
                <w:sz w:val="10"/>
                <w:szCs w:val="10"/>
              </w:rPr>
            </w:pPr>
          </w:p>
        </w:tc>
        <w:tc>
          <w:tcPr>
            <w:tcW w:w="2904" w:type="dxa"/>
            <w:shd w:val="clear" w:color="auto" w:fill="FFFFFF"/>
            <w:vAlign w:val="bottom"/>
          </w:tcPr>
          <w:p w14:paraId="099447E8" w14:textId="77777777" w:rsidR="00924992" w:rsidRDefault="00924992">
            <w:pPr>
              <w:pStyle w:val="Other0"/>
              <w:framePr w:w="11458" w:h="4718" w:vSpace="456" w:wrap="none" w:hAnchor="page" w:x="611" w:y="366"/>
              <w:spacing w:line="240" w:lineRule="auto"/>
              <w:ind w:firstLine="700"/>
              <w:rPr>
                <w:sz w:val="16"/>
                <w:szCs w:val="16"/>
              </w:rPr>
            </w:pPr>
            <w:r>
              <w:rPr>
                <w:rFonts w:ascii="Times New Roman" w:eastAsia="Times New Roman" w:hAnsi="Times New Roman" w:cs="Times New Roman"/>
                <w:sz w:val="16"/>
                <w:szCs w:val="16"/>
              </w:rPr>
              <w:t>Reacción anafiláctica a la</w:t>
            </w:r>
          </w:p>
        </w:tc>
        <w:tc>
          <w:tcPr>
            <w:tcW w:w="3134" w:type="dxa"/>
            <w:shd w:val="clear" w:color="auto" w:fill="FFFFFF"/>
            <w:vAlign w:val="bottom"/>
          </w:tcPr>
          <w:p w14:paraId="18973C64" w14:textId="77777777" w:rsidR="00924992" w:rsidRDefault="00924992">
            <w:pPr>
              <w:pStyle w:val="Other0"/>
              <w:framePr w:w="11458" w:h="4718" w:vSpace="456" w:wrap="none" w:hAnchor="page" w:x="611" w:y="366"/>
              <w:spacing w:line="240" w:lineRule="auto"/>
              <w:ind w:firstLine="140"/>
              <w:rPr>
                <w:sz w:val="16"/>
                <w:szCs w:val="16"/>
              </w:rPr>
            </w:pPr>
            <w:r>
              <w:rPr>
                <w:rFonts w:ascii="Times New Roman" w:eastAsia="Times New Roman" w:hAnsi="Times New Roman" w:cs="Times New Roman"/>
                <w:sz w:val="16"/>
                <w:szCs w:val="16"/>
              </w:rPr>
              <w:t>inmunoglobulínico (véase cuadro 3-62)</w:t>
            </w:r>
          </w:p>
        </w:tc>
        <w:tc>
          <w:tcPr>
            <w:tcW w:w="3787" w:type="dxa"/>
            <w:shd w:val="clear" w:color="auto" w:fill="FFFFFF"/>
            <w:vAlign w:val="bottom"/>
          </w:tcPr>
          <w:p w14:paraId="7CF48923" w14:textId="77777777" w:rsidR="00924992" w:rsidRDefault="00924992">
            <w:pPr>
              <w:pStyle w:val="Other0"/>
              <w:framePr w:w="11458" w:h="4718" w:vSpace="456" w:wrap="none" w:hAnchor="page" w:x="611" w:y="366"/>
              <w:spacing w:line="240" w:lineRule="auto"/>
              <w:ind w:firstLine="0"/>
              <w:rPr>
                <w:sz w:val="16"/>
                <w:szCs w:val="16"/>
              </w:rPr>
            </w:pPr>
            <w:r>
              <w:rPr>
                <w:rFonts w:ascii="Times New Roman" w:eastAsia="Times New Roman" w:hAnsi="Times New Roman" w:cs="Times New Roman"/>
                <w:sz w:val="16"/>
                <w:szCs w:val="16"/>
              </w:rPr>
              <w:t>Inmunodeficiencia del contacto del núcleo</w:t>
            </w:r>
          </w:p>
        </w:tc>
      </w:tr>
      <w:tr w:rsidR="00924992" w14:paraId="47118B2B" w14:textId="77777777">
        <w:tblPrEx>
          <w:tblCellMar>
            <w:top w:w="0" w:type="dxa"/>
            <w:bottom w:w="0" w:type="dxa"/>
          </w:tblCellMar>
        </w:tblPrEx>
        <w:trPr>
          <w:trHeight w:hRule="exact" w:val="1987"/>
        </w:trPr>
        <w:tc>
          <w:tcPr>
            <w:tcW w:w="1632" w:type="dxa"/>
            <w:shd w:val="clear" w:color="auto" w:fill="FFFFFF"/>
          </w:tcPr>
          <w:p w14:paraId="02D87828" w14:textId="77777777" w:rsidR="00924992" w:rsidRDefault="00924992">
            <w:pPr>
              <w:framePr w:w="11458" w:h="4718" w:vSpace="456" w:wrap="none" w:hAnchor="page" w:x="611" w:y="366"/>
              <w:rPr>
                <w:sz w:val="10"/>
                <w:szCs w:val="10"/>
              </w:rPr>
            </w:pPr>
          </w:p>
        </w:tc>
        <w:tc>
          <w:tcPr>
            <w:tcW w:w="2904" w:type="dxa"/>
            <w:shd w:val="clear" w:color="auto" w:fill="FFFFFF"/>
            <w:vAlign w:val="bottom"/>
          </w:tcPr>
          <w:p w14:paraId="45865AB7" w14:textId="77777777" w:rsidR="00924992" w:rsidRDefault="00924992">
            <w:pPr>
              <w:pStyle w:val="Other0"/>
              <w:framePr w:w="11458" w:h="4718" w:vSpace="456" w:wrap="none" w:hAnchor="page" w:x="611" w:y="366"/>
              <w:spacing w:after="220" w:line="283" w:lineRule="auto"/>
              <w:ind w:firstLine="800"/>
              <w:rPr>
                <w:sz w:val="16"/>
                <w:szCs w:val="16"/>
              </w:rPr>
            </w:pPr>
            <w:r>
              <w:rPr>
                <w:rFonts w:ascii="Times New Roman" w:eastAsia="Times New Roman" w:hAnsi="Times New Roman" w:cs="Times New Roman"/>
                <w:sz w:val="16"/>
                <w:szCs w:val="16"/>
              </w:rPr>
              <w:t>neomicina o la gelatina</w:t>
            </w:r>
          </w:p>
          <w:p w14:paraId="4E53038F" w14:textId="77777777" w:rsidR="00924992" w:rsidRDefault="00924992">
            <w:pPr>
              <w:pStyle w:val="Other0"/>
              <w:framePr w:w="11458" w:h="4718" w:vSpace="456" w:wrap="none" w:hAnchor="page" w:x="611" w:y="366"/>
              <w:spacing w:line="283" w:lineRule="auto"/>
              <w:ind w:firstLine="700"/>
              <w:rPr>
                <w:sz w:val="16"/>
                <w:szCs w:val="16"/>
              </w:rPr>
            </w:pPr>
            <w:r>
              <w:rPr>
                <w:rFonts w:ascii="Times New Roman" w:eastAsia="Times New Roman" w:hAnsi="Times New Roman" w:cs="Times New Roman"/>
                <w:sz w:val="16"/>
                <w:szCs w:val="16"/>
              </w:rPr>
              <w:t>Infección por VIH</w:t>
            </w:r>
            <w:r>
              <w:rPr>
                <w:rFonts w:ascii="Times New Roman" w:eastAsia="Times New Roman" w:hAnsi="Times New Roman" w:cs="Times New Roman"/>
                <w:sz w:val="16"/>
                <w:szCs w:val="16"/>
                <w:vertAlign w:val="superscript"/>
              </w:rPr>
              <w:t>11</w:t>
            </w:r>
          </w:p>
          <w:p w14:paraId="61BC7710" w14:textId="77777777" w:rsidR="00924992" w:rsidRDefault="00924992">
            <w:pPr>
              <w:pStyle w:val="Other0"/>
              <w:framePr w:w="11458" w:h="4718" w:vSpace="456" w:wrap="none" w:hAnchor="page" w:x="611" w:y="366"/>
              <w:spacing w:line="283" w:lineRule="auto"/>
              <w:ind w:left="800" w:hanging="100"/>
              <w:rPr>
                <w:sz w:val="16"/>
                <w:szCs w:val="16"/>
              </w:rPr>
            </w:pPr>
            <w:r>
              <w:rPr>
                <w:rFonts w:ascii="Times New Roman" w:eastAsia="Times New Roman" w:hAnsi="Times New Roman" w:cs="Times New Roman"/>
                <w:sz w:val="16"/>
                <w:szCs w:val="16"/>
              </w:rPr>
              <w:t>Inmunodeficiencia alterada y rectificada (cánceres de la sangre y sólidos, inmunodeficiencia congénita, terapia inmunosupresora por largo tiempo)</w:t>
            </w:r>
            <w:r>
              <w:rPr>
                <w:rFonts w:ascii="Times New Roman" w:eastAsia="Times New Roman" w:hAnsi="Times New Roman" w:cs="Times New Roman"/>
                <w:sz w:val="16"/>
                <w:szCs w:val="16"/>
                <w:vertAlign w:val="superscript"/>
              </w:rPr>
              <w:t>12</w:t>
            </w:r>
          </w:p>
        </w:tc>
        <w:tc>
          <w:tcPr>
            <w:tcW w:w="3134" w:type="dxa"/>
            <w:shd w:val="clear" w:color="auto" w:fill="FFFFFF"/>
          </w:tcPr>
          <w:p w14:paraId="16309328" w14:textId="77777777" w:rsidR="00924992" w:rsidRDefault="00924992">
            <w:pPr>
              <w:pStyle w:val="Other0"/>
              <w:framePr w:w="11458" w:h="4718" w:vSpace="456" w:wrap="none" w:hAnchor="page" w:x="611" w:y="366"/>
              <w:spacing w:line="240" w:lineRule="auto"/>
              <w:ind w:firstLine="0"/>
              <w:rPr>
                <w:sz w:val="16"/>
                <w:szCs w:val="16"/>
              </w:rPr>
            </w:pPr>
            <w:r>
              <w:rPr>
                <w:rFonts w:ascii="Times New Roman" w:eastAsia="Times New Roman" w:hAnsi="Times New Roman" w:cs="Times New Roman"/>
                <w:sz w:val="16"/>
                <w:szCs w:val="16"/>
              </w:rPr>
              <w:t>Antecedente familiar de inmunodeficiencia</w:t>
            </w:r>
            <w:r>
              <w:rPr>
                <w:rFonts w:ascii="Times New Roman" w:eastAsia="Times New Roman" w:hAnsi="Times New Roman" w:cs="Times New Roman"/>
                <w:sz w:val="16"/>
                <w:szCs w:val="16"/>
                <w:vertAlign w:val="superscript"/>
              </w:rPr>
              <w:t>13</w:t>
            </w:r>
          </w:p>
        </w:tc>
        <w:tc>
          <w:tcPr>
            <w:tcW w:w="3787" w:type="dxa"/>
            <w:shd w:val="clear" w:color="auto" w:fill="FFFFFF"/>
          </w:tcPr>
          <w:p w14:paraId="608A200C" w14:textId="77777777" w:rsidR="00924992" w:rsidRDefault="00924992">
            <w:pPr>
              <w:pStyle w:val="Other0"/>
              <w:framePr w:w="11458" w:h="4718" w:vSpace="456" w:wrap="none" w:hAnchor="page" w:x="611" w:y="366"/>
              <w:spacing w:line="240" w:lineRule="auto"/>
              <w:ind w:firstLine="140"/>
              <w:rPr>
                <w:sz w:val="16"/>
                <w:szCs w:val="16"/>
              </w:rPr>
            </w:pPr>
            <w:r>
              <w:rPr>
                <w:rFonts w:ascii="Times New Roman" w:eastAsia="Times New Roman" w:hAnsi="Times New Roman" w:cs="Times New Roman"/>
                <w:sz w:val="16"/>
                <w:szCs w:val="16"/>
              </w:rPr>
              <w:t>familiar</w:t>
            </w:r>
          </w:p>
          <w:p w14:paraId="2DFC673E" w14:textId="77777777" w:rsidR="00924992" w:rsidRDefault="00924992">
            <w:pPr>
              <w:pStyle w:val="Other0"/>
              <w:framePr w:w="11458" w:h="4718" w:vSpace="456" w:wrap="none" w:hAnchor="page" w:x="611" w:y="366"/>
              <w:spacing w:line="240" w:lineRule="auto"/>
              <w:ind w:firstLine="0"/>
              <w:rPr>
                <w:sz w:val="16"/>
                <w:szCs w:val="16"/>
              </w:rPr>
            </w:pPr>
            <w:r>
              <w:rPr>
                <w:rFonts w:ascii="Times New Roman" w:eastAsia="Times New Roman" w:hAnsi="Times New Roman" w:cs="Times New Roman"/>
                <w:sz w:val="16"/>
                <w:szCs w:val="16"/>
              </w:rPr>
              <w:t>Contacto del núcleo familiar con VIH</w:t>
            </w:r>
          </w:p>
        </w:tc>
      </w:tr>
      <w:tr w:rsidR="00924992" w14:paraId="0BCC8FAE" w14:textId="77777777">
        <w:tblPrEx>
          <w:tblCellMar>
            <w:top w:w="0" w:type="dxa"/>
            <w:bottom w:w="0" w:type="dxa"/>
          </w:tblCellMar>
        </w:tblPrEx>
        <w:trPr>
          <w:trHeight w:hRule="exact" w:val="408"/>
        </w:trPr>
        <w:tc>
          <w:tcPr>
            <w:tcW w:w="1632" w:type="dxa"/>
            <w:shd w:val="clear" w:color="auto" w:fill="FFFFFF"/>
          </w:tcPr>
          <w:p w14:paraId="0714BBB4" w14:textId="77777777" w:rsidR="00924992" w:rsidRDefault="00924992">
            <w:pPr>
              <w:pStyle w:val="Other0"/>
              <w:framePr w:w="11458" w:h="4718" w:vSpace="456" w:wrap="none" w:hAnchor="page" w:x="611" w:y="366"/>
              <w:spacing w:line="240" w:lineRule="auto"/>
              <w:ind w:firstLine="0"/>
              <w:rPr>
                <w:sz w:val="16"/>
                <w:szCs w:val="16"/>
              </w:rPr>
            </w:pPr>
            <w:r>
              <w:rPr>
                <w:rFonts w:ascii="Times New Roman" w:eastAsia="Times New Roman" w:hAnsi="Times New Roman" w:cs="Times New Roman"/>
                <w:sz w:val="16"/>
                <w:szCs w:val="16"/>
              </w:rPr>
              <w:t>Hepatitis A</w:t>
            </w:r>
          </w:p>
        </w:tc>
        <w:tc>
          <w:tcPr>
            <w:tcW w:w="2904" w:type="dxa"/>
            <w:shd w:val="clear" w:color="auto" w:fill="FFFFFF"/>
          </w:tcPr>
          <w:p w14:paraId="41719C04" w14:textId="77777777" w:rsidR="00924992" w:rsidRDefault="00924992">
            <w:pPr>
              <w:pStyle w:val="Other0"/>
              <w:framePr w:w="11458" w:h="4718" w:vSpace="456" w:wrap="none" w:hAnchor="page" w:x="611" w:y="366"/>
              <w:spacing w:line="240" w:lineRule="auto"/>
              <w:ind w:firstLine="700"/>
              <w:rPr>
                <w:sz w:val="16"/>
                <w:szCs w:val="16"/>
              </w:rPr>
            </w:pPr>
            <w:r>
              <w:rPr>
                <w:rFonts w:ascii="Times New Roman" w:eastAsia="Times New Roman" w:hAnsi="Times New Roman" w:cs="Times New Roman"/>
                <w:sz w:val="16"/>
                <w:szCs w:val="16"/>
              </w:rPr>
              <w:t>Reacción anafiláctica</w:t>
            </w:r>
          </w:p>
          <w:p w14:paraId="3E7B2510" w14:textId="77777777" w:rsidR="00924992" w:rsidRDefault="00924992">
            <w:pPr>
              <w:pStyle w:val="Other0"/>
              <w:framePr w:w="11458" w:h="4718" w:vSpace="456" w:wrap="none" w:hAnchor="page" w:x="611" w:y="366"/>
              <w:spacing w:line="240" w:lineRule="auto"/>
              <w:ind w:firstLine="800"/>
              <w:rPr>
                <w:sz w:val="16"/>
                <w:szCs w:val="16"/>
              </w:rPr>
            </w:pPr>
            <w:r>
              <w:rPr>
                <w:rFonts w:ascii="Times New Roman" w:eastAsia="Times New Roman" w:hAnsi="Times New Roman" w:cs="Times New Roman"/>
                <w:sz w:val="16"/>
                <w:szCs w:val="16"/>
              </w:rPr>
              <w:t>a 2-fenoxietanol o alumbre</w:t>
            </w:r>
          </w:p>
        </w:tc>
        <w:tc>
          <w:tcPr>
            <w:tcW w:w="3134" w:type="dxa"/>
            <w:shd w:val="clear" w:color="auto" w:fill="FFFFFF"/>
          </w:tcPr>
          <w:p w14:paraId="1549A7F6" w14:textId="77777777" w:rsidR="00924992" w:rsidRDefault="00924992">
            <w:pPr>
              <w:pStyle w:val="Other0"/>
              <w:framePr w:w="11458" w:h="4718" w:vSpace="456" w:wrap="none" w:hAnchor="page" w:x="611" w:y="366"/>
              <w:spacing w:line="240" w:lineRule="auto"/>
              <w:ind w:firstLine="0"/>
              <w:rPr>
                <w:sz w:val="16"/>
                <w:szCs w:val="16"/>
              </w:rPr>
            </w:pPr>
            <w:r>
              <w:rPr>
                <w:rFonts w:ascii="Times New Roman" w:eastAsia="Times New Roman" w:hAnsi="Times New Roman" w:cs="Times New Roman"/>
                <w:sz w:val="16"/>
                <w:szCs w:val="16"/>
              </w:rPr>
              <w:t>Embarazo</w:t>
            </w:r>
          </w:p>
        </w:tc>
        <w:tc>
          <w:tcPr>
            <w:tcW w:w="3787" w:type="dxa"/>
            <w:shd w:val="clear" w:color="auto" w:fill="FFFFFF"/>
          </w:tcPr>
          <w:p w14:paraId="45BD5757" w14:textId="77777777" w:rsidR="00924992" w:rsidRDefault="00924992">
            <w:pPr>
              <w:framePr w:w="11458" w:h="4718" w:vSpace="456" w:wrap="none" w:hAnchor="page" w:x="611" w:y="366"/>
              <w:rPr>
                <w:sz w:val="10"/>
                <w:szCs w:val="10"/>
              </w:rPr>
            </w:pPr>
          </w:p>
        </w:tc>
      </w:tr>
      <w:tr w:rsidR="00924992" w14:paraId="65E4D906" w14:textId="77777777">
        <w:tblPrEx>
          <w:tblCellMar>
            <w:top w:w="0" w:type="dxa"/>
            <w:bottom w:w="0" w:type="dxa"/>
          </w:tblCellMar>
        </w:tblPrEx>
        <w:trPr>
          <w:trHeight w:hRule="exact" w:val="758"/>
        </w:trPr>
        <w:tc>
          <w:tcPr>
            <w:tcW w:w="1632" w:type="dxa"/>
            <w:tcBorders>
              <w:bottom w:val="single" w:sz="4" w:space="0" w:color="auto"/>
            </w:tcBorders>
            <w:shd w:val="clear" w:color="auto" w:fill="FFFFFF"/>
          </w:tcPr>
          <w:p w14:paraId="41B0CF57" w14:textId="77777777" w:rsidR="00924992" w:rsidRDefault="00924992">
            <w:pPr>
              <w:pStyle w:val="Other0"/>
              <w:framePr w:w="11458" w:h="4718" w:vSpace="456" w:wrap="none" w:hAnchor="page" w:x="611" w:y="366"/>
              <w:spacing w:line="240" w:lineRule="auto"/>
              <w:ind w:firstLine="0"/>
              <w:rPr>
                <w:sz w:val="16"/>
                <w:szCs w:val="16"/>
              </w:rPr>
            </w:pPr>
            <w:r>
              <w:rPr>
                <w:rFonts w:ascii="Times New Roman" w:eastAsia="Times New Roman" w:hAnsi="Times New Roman" w:cs="Times New Roman"/>
                <w:sz w:val="16"/>
                <w:szCs w:val="16"/>
              </w:rPr>
              <w:t>Influenza</w:t>
            </w:r>
          </w:p>
        </w:tc>
        <w:tc>
          <w:tcPr>
            <w:tcW w:w="2904" w:type="dxa"/>
            <w:tcBorders>
              <w:bottom w:val="single" w:sz="4" w:space="0" w:color="auto"/>
            </w:tcBorders>
            <w:shd w:val="clear" w:color="auto" w:fill="FFFFFF"/>
          </w:tcPr>
          <w:p w14:paraId="370F213C" w14:textId="77777777" w:rsidR="00924992" w:rsidRDefault="00924992">
            <w:pPr>
              <w:pStyle w:val="Other0"/>
              <w:framePr w:w="11458" w:h="4718" w:vSpace="456" w:wrap="none" w:hAnchor="page" w:x="611" w:y="366"/>
              <w:spacing w:line="240" w:lineRule="auto"/>
              <w:ind w:firstLine="700"/>
              <w:rPr>
                <w:sz w:val="16"/>
                <w:szCs w:val="16"/>
              </w:rPr>
            </w:pPr>
            <w:r>
              <w:rPr>
                <w:rFonts w:ascii="Times New Roman" w:eastAsia="Times New Roman" w:hAnsi="Times New Roman" w:cs="Times New Roman"/>
                <w:sz w:val="16"/>
                <w:szCs w:val="16"/>
              </w:rPr>
              <w:t>Reacción anafiláctica a huevos</w:t>
            </w:r>
          </w:p>
        </w:tc>
        <w:tc>
          <w:tcPr>
            <w:tcW w:w="3134" w:type="dxa"/>
            <w:tcBorders>
              <w:bottom w:val="single" w:sz="4" w:space="0" w:color="auto"/>
            </w:tcBorders>
            <w:shd w:val="clear" w:color="auto" w:fill="FFFFFF"/>
          </w:tcPr>
          <w:p w14:paraId="5A7AD276" w14:textId="77777777" w:rsidR="00924992" w:rsidRDefault="00924992">
            <w:pPr>
              <w:pStyle w:val="Other0"/>
              <w:framePr w:w="11458" w:h="4718" w:vSpace="456" w:wrap="none" w:hAnchor="page" w:x="611" w:y="366"/>
              <w:spacing w:line="283" w:lineRule="auto"/>
              <w:ind w:left="140" w:hanging="140"/>
              <w:rPr>
                <w:sz w:val="16"/>
                <w:szCs w:val="16"/>
              </w:rPr>
            </w:pPr>
            <w:r>
              <w:rPr>
                <w:rFonts w:ascii="Times New Roman" w:eastAsia="Times New Roman" w:hAnsi="Times New Roman" w:cs="Times New Roman"/>
                <w:sz w:val="16"/>
                <w:szCs w:val="16"/>
              </w:rPr>
              <w:t>Síndrome de Guillain-Barré GBS) en término de 6 semanas de haber aplicado la vacuna contra influenza</w:t>
            </w:r>
          </w:p>
        </w:tc>
        <w:tc>
          <w:tcPr>
            <w:tcW w:w="3787" w:type="dxa"/>
            <w:tcBorders>
              <w:bottom w:val="single" w:sz="4" w:space="0" w:color="auto"/>
            </w:tcBorders>
            <w:shd w:val="clear" w:color="auto" w:fill="FFFFFF"/>
          </w:tcPr>
          <w:p w14:paraId="34E8E6A3" w14:textId="77777777" w:rsidR="00924992" w:rsidRDefault="00924992">
            <w:pPr>
              <w:pStyle w:val="Other0"/>
              <w:framePr w:w="11458" w:h="4718" w:vSpace="456" w:wrap="none" w:hAnchor="page" w:x="611" w:y="366"/>
              <w:spacing w:line="240" w:lineRule="auto"/>
              <w:ind w:firstLine="0"/>
              <w:rPr>
                <w:sz w:val="16"/>
                <w:szCs w:val="16"/>
              </w:rPr>
            </w:pPr>
            <w:r>
              <w:rPr>
                <w:rFonts w:ascii="Times New Roman" w:eastAsia="Times New Roman" w:hAnsi="Times New Roman" w:cs="Times New Roman"/>
                <w:sz w:val="16"/>
                <w:szCs w:val="16"/>
              </w:rPr>
              <w:t>Embarazo</w:t>
            </w:r>
          </w:p>
        </w:tc>
      </w:tr>
    </w:tbl>
    <w:p w14:paraId="1766A4E8" w14:textId="77777777" w:rsidR="00924992" w:rsidRDefault="00924992">
      <w:pPr>
        <w:framePr w:w="11458" w:h="4718" w:vSpace="456" w:wrap="none" w:hAnchor="page" w:x="611" w:y="366"/>
        <w:spacing w:line="1" w:lineRule="exact"/>
      </w:pPr>
    </w:p>
    <w:p w14:paraId="57D11712" w14:textId="77777777" w:rsidR="00924992" w:rsidRDefault="00924992">
      <w:pPr>
        <w:pStyle w:val="Tablecaption0"/>
        <w:framePr w:w="11002" w:h="394" w:wrap="none" w:hAnchor="page" w:x="688" w:y="5147"/>
        <w:spacing w:line="240" w:lineRule="auto"/>
        <w:ind w:left="180" w:hanging="180"/>
      </w:pPr>
      <w:r>
        <w:rPr>
          <w:sz w:val="8"/>
          <w:szCs w:val="8"/>
          <w:vertAlign w:val="superscript"/>
        </w:rPr>
        <w:t>13</w:t>
      </w:r>
      <w:r>
        <w:rPr>
          <w:sz w:val="8"/>
          <w:szCs w:val="8"/>
        </w:rPr>
        <w:t xml:space="preserve"> </w:t>
      </w:r>
      <w:r>
        <w:t>No se aplicará la vacuna contra varicela a la persona con el antecedente familiar de inmunodeficiencia congénita o hereditaria en padres o hermanos, salvo que la competencia inmunitaria de la persona haya sido corroborada clínicamente o verificada en el laboratorio.</w:t>
      </w:r>
    </w:p>
    <w:p w14:paraId="0B6EEFA0" w14:textId="77777777" w:rsidR="00924992" w:rsidRDefault="00924992">
      <w:pPr>
        <w:pStyle w:val="Bodytext80"/>
        <w:framePr w:w="192" w:h="3898" w:hRule="exact" w:wrap="none" w:hAnchor="page" w:x="12390" w:y="3001"/>
        <w:tabs>
          <w:tab w:val="left" w:pos="3581"/>
        </w:tabs>
        <w:textDirection w:val="tbRl"/>
        <w:rPr>
          <w:sz w:val="16"/>
          <w:szCs w:val="16"/>
        </w:rPr>
      </w:pPr>
      <w:r>
        <w:t>APÉNDICE III</w:t>
      </w:r>
      <w:r>
        <w:tab/>
      </w:r>
      <w:r>
        <w:rPr>
          <w:sz w:val="16"/>
          <w:szCs w:val="16"/>
        </w:rPr>
        <w:t>837</w:t>
      </w:r>
    </w:p>
    <w:p w14:paraId="39EB77AF" w14:textId="77777777" w:rsidR="00924992" w:rsidRDefault="00924992">
      <w:pPr>
        <w:spacing w:line="360" w:lineRule="exact"/>
      </w:pPr>
    </w:p>
    <w:p w14:paraId="195B5502" w14:textId="77777777" w:rsidR="00924992" w:rsidRDefault="00924992">
      <w:pPr>
        <w:spacing w:line="360" w:lineRule="exact"/>
      </w:pPr>
    </w:p>
    <w:p w14:paraId="5FD8FECC" w14:textId="77777777" w:rsidR="00924992" w:rsidRDefault="00924992">
      <w:pPr>
        <w:spacing w:line="360" w:lineRule="exact"/>
      </w:pPr>
    </w:p>
    <w:p w14:paraId="22B3C67B" w14:textId="77777777" w:rsidR="00924992" w:rsidRDefault="00924992">
      <w:pPr>
        <w:spacing w:line="360" w:lineRule="exact"/>
      </w:pPr>
    </w:p>
    <w:p w14:paraId="65D22583" w14:textId="77777777" w:rsidR="00924992" w:rsidRDefault="00924992">
      <w:pPr>
        <w:spacing w:line="360" w:lineRule="exact"/>
      </w:pPr>
    </w:p>
    <w:p w14:paraId="49F601B5" w14:textId="77777777" w:rsidR="00924992" w:rsidRDefault="00924992">
      <w:pPr>
        <w:spacing w:line="360" w:lineRule="exact"/>
      </w:pPr>
    </w:p>
    <w:p w14:paraId="7DAC64E7" w14:textId="77777777" w:rsidR="00924992" w:rsidRDefault="00924992">
      <w:pPr>
        <w:spacing w:line="360" w:lineRule="exact"/>
      </w:pPr>
    </w:p>
    <w:p w14:paraId="59A7DE30" w14:textId="77777777" w:rsidR="00924992" w:rsidRDefault="00924992">
      <w:pPr>
        <w:spacing w:line="360" w:lineRule="exact"/>
      </w:pPr>
    </w:p>
    <w:p w14:paraId="1803C369" w14:textId="77777777" w:rsidR="00924992" w:rsidRDefault="00924992">
      <w:pPr>
        <w:spacing w:line="360" w:lineRule="exact"/>
      </w:pPr>
    </w:p>
    <w:p w14:paraId="636C632B" w14:textId="77777777" w:rsidR="00924992" w:rsidRDefault="00924992">
      <w:pPr>
        <w:spacing w:line="360" w:lineRule="exact"/>
      </w:pPr>
    </w:p>
    <w:p w14:paraId="50254229" w14:textId="77777777" w:rsidR="00924992" w:rsidRDefault="00924992">
      <w:pPr>
        <w:spacing w:line="360" w:lineRule="exact"/>
      </w:pPr>
    </w:p>
    <w:p w14:paraId="4067FB0E" w14:textId="77777777" w:rsidR="00924992" w:rsidRDefault="00924992">
      <w:pPr>
        <w:spacing w:line="360" w:lineRule="exact"/>
      </w:pPr>
    </w:p>
    <w:p w14:paraId="701731F5" w14:textId="77777777" w:rsidR="00924992" w:rsidRDefault="00924992">
      <w:pPr>
        <w:spacing w:line="360" w:lineRule="exact"/>
      </w:pPr>
    </w:p>
    <w:p w14:paraId="44E47718" w14:textId="77777777" w:rsidR="00924992" w:rsidRDefault="00924992">
      <w:pPr>
        <w:spacing w:line="360" w:lineRule="exact"/>
      </w:pPr>
    </w:p>
    <w:p w14:paraId="0BB9AD90" w14:textId="77777777" w:rsidR="00924992" w:rsidRDefault="00924992">
      <w:pPr>
        <w:spacing w:line="360" w:lineRule="exact"/>
      </w:pPr>
    </w:p>
    <w:p w14:paraId="6D44189E" w14:textId="77777777" w:rsidR="00924992" w:rsidRDefault="00924992">
      <w:pPr>
        <w:spacing w:line="360" w:lineRule="exact"/>
      </w:pPr>
    </w:p>
    <w:p w14:paraId="68716526" w14:textId="77777777" w:rsidR="00924992" w:rsidRDefault="00924992">
      <w:pPr>
        <w:spacing w:line="360" w:lineRule="exact"/>
      </w:pPr>
    </w:p>
    <w:p w14:paraId="61425777" w14:textId="77777777" w:rsidR="00924992" w:rsidRDefault="00924992">
      <w:pPr>
        <w:spacing w:line="360" w:lineRule="exact"/>
      </w:pPr>
    </w:p>
    <w:p w14:paraId="49226950" w14:textId="77777777" w:rsidR="00924992" w:rsidRDefault="00924992">
      <w:pPr>
        <w:spacing w:after="417" w:line="1" w:lineRule="exact"/>
      </w:pPr>
    </w:p>
    <w:p w14:paraId="482F1048" w14:textId="77777777" w:rsidR="00924992" w:rsidRDefault="00924992">
      <w:pPr>
        <w:spacing w:line="1" w:lineRule="exact"/>
        <w:sectPr w:rsidR="00924992" w:rsidSect="00924992">
          <w:headerReference w:type="even" r:id="rId476"/>
          <w:headerReference w:type="default" r:id="rId477"/>
          <w:footerReference w:type="even" r:id="rId478"/>
          <w:footerReference w:type="default" r:id="rId479"/>
          <w:pgSz w:w="13022" w:h="8501" w:orient="landscape"/>
          <w:pgMar w:top="1099" w:right="442" w:bottom="304" w:left="610" w:header="671" w:footer="3" w:gutter="0"/>
          <w:cols w:space="720"/>
          <w:noEndnote/>
          <w:docGrid w:linePitch="360"/>
          <w15:footnoteColumns w:val="1"/>
        </w:sectPr>
      </w:pPr>
    </w:p>
    <w:p w14:paraId="50907B6A" w14:textId="77777777" w:rsidR="00924992" w:rsidRDefault="00924992">
      <w:pPr>
        <w:pStyle w:val="Bodytext100"/>
        <w:spacing w:after="300" w:line="202" w:lineRule="auto"/>
        <w:rPr>
          <w:sz w:val="34"/>
          <w:szCs w:val="34"/>
        </w:rPr>
      </w:pPr>
      <w:r>
        <w:rPr>
          <w:sz w:val="34"/>
          <w:szCs w:val="34"/>
        </w:rPr>
        <w:t>A</w:t>
      </w:r>
      <w:r>
        <w:t>péndice iv</w:t>
      </w:r>
      <w:r>
        <w:rPr>
          <w:sz w:val="34"/>
          <w:szCs w:val="34"/>
        </w:rPr>
        <w:t>.</w:t>
      </w:r>
    </w:p>
    <w:p w14:paraId="51DB6281" w14:textId="77777777" w:rsidR="00924992" w:rsidRDefault="00924992">
      <w:pPr>
        <w:pStyle w:val="Bodytext70"/>
        <w:spacing w:line="214" w:lineRule="auto"/>
        <w:jc w:val="center"/>
      </w:pPr>
      <w:r>
        <w:t>Ley nacional de daños por vacunas en niños.</w:t>
      </w:r>
      <w:r>
        <w:br/>
        <w:t>Cuadro de notificaciones y compensaciones</w:t>
      </w:r>
    </w:p>
    <w:p w14:paraId="685ED643" w14:textId="77777777" w:rsidR="00924992" w:rsidRDefault="00924992">
      <w:pPr>
        <w:pStyle w:val="BodyText"/>
        <w:spacing w:after="260" w:line="276" w:lineRule="auto"/>
        <w:ind w:firstLine="0"/>
        <w:sectPr w:rsidR="00924992" w:rsidSect="00924992">
          <w:headerReference w:type="even" r:id="rId480"/>
          <w:headerReference w:type="default" r:id="rId481"/>
          <w:footerReference w:type="even" r:id="rId482"/>
          <w:footerReference w:type="default" r:id="rId483"/>
          <w:pgSz w:w="8501" w:h="13022"/>
          <w:pgMar w:top="1046" w:right="1219" w:bottom="1046" w:left="504" w:header="0" w:footer="618" w:gutter="0"/>
          <w:pgNumType w:start="838"/>
          <w:cols w:space="720"/>
          <w:noEndnote/>
          <w:docGrid w:linePitch="360"/>
          <w15:footnoteColumns w:val="1"/>
        </w:sectPr>
      </w:pPr>
      <w:r>
        <w:t xml:space="preserve">El cuadro incluye reacciones adversas notificables al </w:t>
      </w:r>
      <w:r>
        <w:rPr>
          <w:rFonts w:ascii="Times New Roman" w:eastAsia="Times New Roman" w:hAnsi="Times New Roman" w:cs="Times New Roman"/>
          <w:i/>
          <w:iCs/>
          <w:sz w:val="16"/>
          <w:szCs w:val="16"/>
        </w:rPr>
        <w:t>Vaccine Adverse Event Reporting Systems (VAERS)</w:t>
      </w:r>
      <w:r>
        <w:t xml:space="preserve"> (véase “Seguridad y contraindicaciones de las vacunas”, sección 1), así como las vacunas cubiertas por el </w:t>
      </w:r>
      <w:r>
        <w:rPr>
          <w:rFonts w:ascii="Times New Roman" w:eastAsia="Times New Roman" w:hAnsi="Times New Roman" w:cs="Times New Roman"/>
          <w:i/>
          <w:iCs/>
          <w:sz w:val="16"/>
          <w:szCs w:val="16"/>
        </w:rPr>
        <w:t>National Vaccine Injury Compensation Program.</w:t>
      </w:r>
      <w:r>
        <w:t xml:space="preserve"> Se señalan en el cuadro los intervalos entre la vacunación y el comienzo de una reacción para su notificación a vAERS y para la posible compensación por parte del programa de compensación de lesiones por vacuna.</w:t>
      </w:r>
    </w:p>
    <w:p w14:paraId="194EBBA8" w14:textId="77777777" w:rsidR="00924992" w:rsidRDefault="00924992">
      <w:pPr>
        <w:pStyle w:val="Heading31"/>
        <w:keepNext/>
        <w:keepLines/>
        <w:framePr w:w="9384" w:h="317" w:wrap="none" w:hAnchor="page" w:x="1662" w:y="1"/>
      </w:pPr>
      <w:bookmarkStart w:id="879" w:name="bookmark2273"/>
      <w:bookmarkStart w:id="880" w:name="bookmark2274"/>
      <w:bookmarkStart w:id="881" w:name="bookmark2275"/>
      <w:r>
        <w:t>Cuadro de notificaciones y compensaciones conforme a la ley nacional de daños por vacunas en niños</w:t>
      </w:r>
      <w:r>
        <w:rPr>
          <w:vertAlign w:val="superscript"/>
        </w:rPr>
        <w:t>1</w:t>
      </w:r>
      <w:bookmarkEnd w:id="879"/>
      <w:bookmarkEnd w:id="880"/>
      <w:bookmarkEnd w:id="881"/>
    </w:p>
    <w:tbl>
      <w:tblPr>
        <w:tblOverlap w:val="never"/>
        <w:tblW w:w="0" w:type="auto"/>
        <w:tblLayout w:type="fixed"/>
        <w:tblCellMar>
          <w:left w:w="10" w:type="dxa"/>
          <w:right w:w="10" w:type="dxa"/>
        </w:tblCellMar>
        <w:tblLook w:val="04A0" w:firstRow="1" w:lastRow="0" w:firstColumn="1" w:lastColumn="0" w:noHBand="0" w:noVBand="1"/>
      </w:tblPr>
      <w:tblGrid>
        <w:gridCol w:w="2054"/>
        <w:gridCol w:w="4296"/>
        <w:gridCol w:w="2232"/>
        <w:gridCol w:w="2674"/>
      </w:tblGrid>
      <w:tr w:rsidR="00924992" w14:paraId="67282194" w14:textId="77777777">
        <w:tblPrEx>
          <w:tblCellMar>
            <w:top w:w="0" w:type="dxa"/>
            <w:bottom w:w="0" w:type="dxa"/>
          </w:tblCellMar>
        </w:tblPrEx>
        <w:trPr>
          <w:trHeight w:hRule="exact" w:val="278"/>
        </w:trPr>
        <w:tc>
          <w:tcPr>
            <w:tcW w:w="2054" w:type="dxa"/>
            <w:vMerge w:val="restart"/>
            <w:shd w:val="clear" w:color="auto" w:fill="231F20"/>
            <w:vAlign w:val="bottom"/>
          </w:tcPr>
          <w:p w14:paraId="7C81E469" w14:textId="77777777" w:rsidR="00924992" w:rsidRDefault="00924992">
            <w:pPr>
              <w:pStyle w:val="Other0"/>
              <w:framePr w:w="11256" w:h="6326" w:vSpace="202" w:wrap="none" w:hAnchor="page" w:x="625" w:y="351"/>
              <w:pBdr>
                <w:top w:val="single" w:sz="0" w:space="0" w:color="231F20"/>
                <w:left w:val="single" w:sz="0" w:space="0" w:color="231F20"/>
                <w:bottom w:val="single" w:sz="0" w:space="0" w:color="231F20"/>
                <w:right w:val="single" w:sz="0" w:space="0" w:color="231F20"/>
              </w:pBdr>
              <w:shd w:val="clear" w:color="auto" w:fill="231F20"/>
              <w:spacing w:line="240" w:lineRule="auto"/>
              <w:ind w:firstLine="0"/>
              <w:rPr>
                <w:sz w:val="24"/>
                <w:szCs w:val="24"/>
              </w:rPr>
            </w:pPr>
            <w:r>
              <w:rPr>
                <w:rFonts w:ascii="Arial" w:eastAsia="Arial" w:hAnsi="Arial" w:cs="Arial"/>
                <w:b/>
                <w:bCs/>
                <w:color w:val="FFFFFF"/>
                <w:w w:val="70"/>
                <w:sz w:val="24"/>
                <w:szCs w:val="24"/>
              </w:rPr>
              <w:t>Vacuna</w:t>
            </w:r>
          </w:p>
        </w:tc>
        <w:tc>
          <w:tcPr>
            <w:tcW w:w="4296" w:type="dxa"/>
            <w:vMerge w:val="restart"/>
            <w:shd w:val="clear" w:color="auto" w:fill="231F20"/>
            <w:vAlign w:val="bottom"/>
          </w:tcPr>
          <w:p w14:paraId="1E247BD2" w14:textId="77777777" w:rsidR="00924992" w:rsidRDefault="00924992">
            <w:pPr>
              <w:pStyle w:val="Other0"/>
              <w:framePr w:w="11256" w:h="6326" w:vSpace="202" w:wrap="none" w:hAnchor="page" w:x="625" w:y="351"/>
              <w:pBdr>
                <w:top w:val="single" w:sz="0" w:space="0" w:color="231F20"/>
                <w:left w:val="single" w:sz="0" w:space="0" w:color="231F20"/>
                <w:bottom w:val="single" w:sz="0" w:space="0" w:color="231F20"/>
                <w:right w:val="single" w:sz="0" w:space="0" w:color="231F20"/>
              </w:pBdr>
              <w:shd w:val="clear" w:color="auto" w:fill="231F20"/>
              <w:spacing w:line="240" w:lineRule="auto"/>
              <w:ind w:firstLine="0"/>
              <w:rPr>
                <w:sz w:val="24"/>
                <w:szCs w:val="24"/>
              </w:rPr>
            </w:pPr>
            <w:r>
              <w:rPr>
                <w:rFonts w:ascii="Arial" w:eastAsia="Arial" w:hAnsi="Arial" w:cs="Arial"/>
                <w:b/>
                <w:bCs/>
                <w:color w:val="FFFFFF"/>
                <w:w w:val="70"/>
                <w:sz w:val="24"/>
                <w:szCs w:val="24"/>
              </w:rPr>
              <w:t>Reacciones adversas</w:t>
            </w:r>
          </w:p>
        </w:tc>
        <w:tc>
          <w:tcPr>
            <w:tcW w:w="4906" w:type="dxa"/>
            <w:gridSpan w:val="2"/>
            <w:shd w:val="clear" w:color="auto" w:fill="231F20"/>
            <w:vAlign w:val="bottom"/>
          </w:tcPr>
          <w:p w14:paraId="78AEDB83" w14:textId="77777777" w:rsidR="00924992" w:rsidRDefault="00924992">
            <w:pPr>
              <w:pStyle w:val="Other0"/>
              <w:framePr w:w="11256" w:h="6326" w:vSpace="202" w:wrap="none" w:hAnchor="page" w:x="625" w:y="351"/>
              <w:pBdr>
                <w:top w:val="single" w:sz="0" w:space="0" w:color="231F20"/>
                <w:left w:val="single" w:sz="0" w:space="0" w:color="231F20"/>
                <w:bottom w:val="single" w:sz="0" w:space="0" w:color="231F20"/>
                <w:right w:val="single" w:sz="0" w:space="0" w:color="231F20"/>
              </w:pBdr>
              <w:shd w:val="clear" w:color="auto" w:fill="231F20"/>
              <w:spacing w:line="240" w:lineRule="auto"/>
              <w:ind w:firstLine="0"/>
              <w:rPr>
                <w:sz w:val="24"/>
                <w:szCs w:val="24"/>
              </w:rPr>
            </w:pPr>
            <w:r>
              <w:rPr>
                <w:rFonts w:ascii="Arial" w:eastAsia="Arial" w:hAnsi="Arial" w:cs="Arial"/>
                <w:b/>
                <w:bCs/>
                <w:color w:val="FFFFFF"/>
                <w:w w:val="70"/>
                <w:sz w:val="24"/>
                <w:szCs w:val="24"/>
              </w:rPr>
              <w:t>Intervalo entre la vacunación y el comienzo de la reacción</w:t>
            </w:r>
          </w:p>
        </w:tc>
      </w:tr>
      <w:tr w:rsidR="00924992" w14:paraId="2D4C06CE" w14:textId="77777777">
        <w:tblPrEx>
          <w:tblCellMar>
            <w:top w:w="0" w:type="dxa"/>
            <w:bottom w:w="0" w:type="dxa"/>
          </w:tblCellMar>
        </w:tblPrEx>
        <w:trPr>
          <w:trHeight w:hRule="exact" w:val="293"/>
        </w:trPr>
        <w:tc>
          <w:tcPr>
            <w:tcW w:w="2054" w:type="dxa"/>
            <w:vMerge/>
            <w:shd w:val="clear" w:color="auto" w:fill="231F20"/>
            <w:vAlign w:val="bottom"/>
          </w:tcPr>
          <w:p w14:paraId="099D27AD" w14:textId="77777777" w:rsidR="00924992" w:rsidRDefault="00924992">
            <w:pPr>
              <w:framePr w:w="11256" w:h="6326" w:vSpace="202" w:wrap="none" w:hAnchor="page" w:x="625" w:y="351"/>
            </w:pPr>
          </w:p>
        </w:tc>
        <w:tc>
          <w:tcPr>
            <w:tcW w:w="4296" w:type="dxa"/>
            <w:vMerge/>
            <w:shd w:val="clear" w:color="auto" w:fill="231F20"/>
            <w:vAlign w:val="bottom"/>
          </w:tcPr>
          <w:p w14:paraId="6D07C374" w14:textId="77777777" w:rsidR="00924992" w:rsidRDefault="00924992">
            <w:pPr>
              <w:framePr w:w="11256" w:h="6326" w:vSpace="202" w:wrap="none" w:hAnchor="page" w:x="625" w:y="351"/>
            </w:pPr>
          </w:p>
        </w:tc>
        <w:tc>
          <w:tcPr>
            <w:tcW w:w="2232" w:type="dxa"/>
            <w:tcBorders>
              <w:top w:val="single" w:sz="4" w:space="0" w:color="auto"/>
            </w:tcBorders>
            <w:shd w:val="clear" w:color="auto" w:fill="231F20"/>
          </w:tcPr>
          <w:p w14:paraId="5DE22E67" w14:textId="77777777" w:rsidR="00924992" w:rsidRDefault="00924992">
            <w:pPr>
              <w:pStyle w:val="Other0"/>
              <w:framePr w:w="11256" w:h="6326" w:vSpace="202" w:wrap="none" w:hAnchor="page" w:x="625" w:y="351"/>
              <w:pBdr>
                <w:top w:val="single" w:sz="0" w:space="0" w:color="231F20"/>
                <w:left w:val="single" w:sz="0" w:space="0" w:color="231F20"/>
                <w:bottom w:val="single" w:sz="0" w:space="0" w:color="231F20"/>
                <w:right w:val="single" w:sz="0" w:space="0" w:color="231F20"/>
              </w:pBdr>
              <w:shd w:val="clear" w:color="auto" w:fill="231F20"/>
              <w:spacing w:line="240" w:lineRule="auto"/>
              <w:ind w:firstLine="0"/>
              <w:rPr>
                <w:sz w:val="8"/>
                <w:szCs w:val="8"/>
              </w:rPr>
            </w:pPr>
            <w:r>
              <w:rPr>
                <w:rFonts w:ascii="Arial" w:eastAsia="Arial" w:hAnsi="Arial" w:cs="Arial"/>
                <w:b/>
                <w:bCs/>
                <w:color w:val="FFFFFF"/>
                <w:w w:val="70"/>
                <w:sz w:val="24"/>
                <w:szCs w:val="24"/>
              </w:rPr>
              <w:t>Para la notificación</w:t>
            </w:r>
            <w:r>
              <w:rPr>
                <w:rFonts w:ascii="Times New Roman" w:eastAsia="Times New Roman" w:hAnsi="Times New Roman" w:cs="Times New Roman"/>
                <w:color w:val="FFFFFF"/>
                <w:sz w:val="8"/>
                <w:szCs w:val="8"/>
                <w:vertAlign w:val="superscript"/>
              </w:rPr>
              <w:t>2</w:t>
            </w:r>
          </w:p>
        </w:tc>
        <w:tc>
          <w:tcPr>
            <w:tcW w:w="2674" w:type="dxa"/>
            <w:tcBorders>
              <w:top w:val="single" w:sz="4" w:space="0" w:color="auto"/>
            </w:tcBorders>
            <w:shd w:val="clear" w:color="auto" w:fill="231F20"/>
          </w:tcPr>
          <w:p w14:paraId="491B0999" w14:textId="77777777" w:rsidR="00924992" w:rsidRDefault="00924992">
            <w:pPr>
              <w:pStyle w:val="Other0"/>
              <w:framePr w:w="11256" w:h="6326" w:vSpace="202" w:wrap="none" w:hAnchor="page" w:x="625" w:y="351"/>
              <w:pBdr>
                <w:top w:val="single" w:sz="0" w:space="0" w:color="231F20"/>
                <w:left w:val="single" w:sz="0" w:space="0" w:color="231F20"/>
                <w:bottom w:val="single" w:sz="0" w:space="0" w:color="231F20"/>
                <w:right w:val="single" w:sz="0" w:space="0" w:color="231F20"/>
              </w:pBdr>
              <w:shd w:val="clear" w:color="auto" w:fill="231F20"/>
              <w:spacing w:line="240" w:lineRule="auto"/>
              <w:ind w:firstLine="260"/>
              <w:rPr>
                <w:sz w:val="8"/>
                <w:szCs w:val="8"/>
              </w:rPr>
            </w:pPr>
            <w:r>
              <w:rPr>
                <w:rFonts w:ascii="Arial" w:eastAsia="Arial" w:hAnsi="Arial" w:cs="Arial"/>
                <w:b/>
                <w:bCs/>
                <w:color w:val="FFFFFF"/>
                <w:w w:val="70"/>
                <w:sz w:val="24"/>
                <w:szCs w:val="24"/>
              </w:rPr>
              <w:t>Para la compensación</w:t>
            </w:r>
            <w:r>
              <w:rPr>
                <w:rFonts w:ascii="Times New Roman" w:eastAsia="Times New Roman" w:hAnsi="Times New Roman" w:cs="Times New Roman"/>
                <w:color w:val="FFFFFF"/>
                <w:sz w:val="8"/>
                <w:szCs w:val="8"/>
                <w:vertAlign w:val="superscript"/>
              </w:rPr>
              <w:t>3</w:t>
            </w:r>
          </w:p>
        </w:tc>
      </w:tr>
      <w:tr w:rsidR="00924992" w14:paraId="4D552B01" w14:textId="77777777">
        <w:tblPrEx>
          <w:tblCellMar>
            <w:top w:w="0" w:type="dxa"/>
            <w:bottom w:w="0" w:type="dxa"/>
          </w:tblCellMar>
        </w:tblPrEx>
        <w:trPr>
          <w:trHeight w:hRule="exact" w:val="264"/>
        </w:trPr>
        <w:tc>
          <w:tcPr>
            <w:tcW w:w="2054" w:type="dxa"/>
            <w:shd w:val="clear" w:color="auto" w:fill="FFFFFF"/>
            <w:vAlign w:val="bottom"/>
          </w:tcPr>
          <w:p w14:paraId="58ADC69B" w14:textId="77777777" w:rsidR="00924992" w:rsidRDefault="00924992">
            <w:pPr>
              <w:pStyle w:val="Other0"/>
              <w:framePr w:w="11256" w:h="6326" w:vSpace="202" w:wrap="none" w:hAnchor="page" w:x="625" w:y="351"/>
              <w:spacing w:line="240" w:lineRule="auto"/>
              <w:ind w:firstLine="260"/>
              <w:rPr>
                <w:sz w:val="16"/>
                <w:szCs w:val="16"/>
              </w:rPr>
            </w:pPr>
            <w:r>
              <w:rPr>
                <w:rFonts w:ascii="Times New Roman" w:eastAsia="Times New Roman" w:hAnsi="Times New Roman" w:cs="Times New Roman"/>
                <w:sz w:val="16"/>
                <w:szCs w:val="16"/>
              </w:rPr>
              <w:t>I. Vacunas que contienen</w:t>
            </w:r>
          </w:p>
        </w:tc>
        <w:tc>
          <w:tcPr>
            <w:tcW w:w="4296" w:type="dxa"/>
            <w:shd w:val="clear" w:color="auto" w:fill="FFFFFF"/>
            <w:vAlign w:val="bottom"/>
          </w:tcPr>
          <w:p w14:paraId="1DA903E0" w14:textId="77777777" w:rsidR="00924992" w:rsidRDefault="00924992">
            <w:pPr>
              <w:pStyle w:val="Other0"/>
              <w:framePr w:w="11256" w:h="6326" w:vSpace="202" w:wrap="none" w:hAnchor="page" w:x="625" w:y="351"/>
              <w:spacing w:line="240" w:lineRule="auto"/>
              <w:ind w:firstLine="0"/>
              <w:rPr>
                <w:sz w:val="16"/>
                <w:szCs w:val="16"/>
              </w:rPr>
            </w:pPr>
            <w:r>
              <w:rPr>
                <w:rFonts w:ascii="Times New Roman" w:eastAsia="Times New Roman" w:hAnsi="Times New Roman" w:cs="Times New Roman"/>
                <w:sz w:val="16"/>
                <w:szCs w:val="16"/>
              </w:rPr>
              <w:t>A. Anafilaxia o choque anafiláctico</w:t>
            </w:r>
          </w:p>
        </w:tc>
        <w:tc>
          <w:tcPr>
            <w:tcW w:w="2232" w:type="dxa"/>
            <w:shd w:val="clear" w:color="auto" w:fill="FFFFFF"/>
            <w:vAlign w:val="bottom"/>
          </w:tcPr>
          <w:p w14:paraId="78065A80" w14:textId="77777777" w:rsidR="00924992" w:rsidRDefault="00924992">
            <w:pPr>
              <w:pStyle w:val="Other0"/>
              <w:framePr w:w="11256" w:h="6326" w:vSpace="202" w:wrap="none" w:hAnchor="page" w:x="625" w:y="351"/>
              <w:spacing w:line="240" w:lineRule="auto"/>
              <w:ind w:firstLine="0"/>
              <w:rPr>
                <w:sz w:val="16"/>
                <w:szCs w:val="16"/>
              </w:rPr>
            </w:pPr>
            <w:r>
              <w:rPr>
                <w:rFonts w:ascii="Times New Roman" w:eastAsia="Times New Roman" w:hAnsi="Times New Roman" w:cs="Times New Roman"/>
                <w:sz w:val="16"/>
                <w:szCs w:val="16"/>
              </w:rPr>
              <w:t>0-7 días</w:t>
            </w:r>
          </w:p>
        </w:tc>
        <w:tc>
          <w:tcPr>
            <w:tcW w:w="2674" w:type="dxa"/>
            <w:shd w:val="clear" w:color="auto" w:fill="FFFFFF"/>
            <w:vAlign w:val="bottom"/>
          </w:tcPr>
          <w:p w14:paraId="26CACE32" w14:textId="77777777" w:rsidR="00924992" w:rsidRDefault="00924992">
            <w:pPr>
              <w:pStyle w:val="Other0"/>
              <w:framePr w:w="11256" w:h="6326" w:vSpace="202" w:wrap="none" w:hAnchor="page" w:x="625" w:y="351"/>
              <w:spacing w:line="240" w:lineRule="auto"/>
              <w:ind w:firstLine="260"/>
              <w:rPr>
                <w:sz w:val="16"/>
                <w:szCs w:val="16"/>
              </w:rPr>
            </w:pPr>
            <w:r>
              <w:rPr>
                <w:rFonts w:ascii="Times New Roman" w:eastAsia="Times New Roman" w:hAnsi="Times New Roman" w:cs="Times New Roman"/>
                <w:sz w:val="16"/>
                <w:szCs w:val="16"/>
              </w:rPr>
              <w:t>0-4 h</w:t>
            </w:r>
          </w:p>
        </w:tc>
      </w:tr>
      <w:tr w:rsidR="00924992" w14:paraId="38B3D3AC" w14:textId="77777777">
        <w:tblPrEx>
          <w:tblCellMar>
            <w:top w:w="0" w:type="dxa"/>
            <w:bottom w:w="0" w:type="dxa"/>
          </w:tblCellMar>
        </w:tblPrEx>
        <w:trPr>
          <w:trHeight w:hRule="exact" w:val="211"/>
        </w:trPr>
        <w:tc>
          <w:tcPr>
            <w:tcW w:w="2054" w:type="dxa"/>
            <w:shd w:val="clear" w:color="auto" w:fill="FFFFFF"/>
          </w:tcPr>
          <w:p w14:paraId="575FB335" w14:textId="77777777" w:rsidR="00924992" w:rsidRDefault="00924992">
            <w:pPr>
              <w:pStyle w:val="Other0"/>
              <w:framePr w:w="11256" w:h="6326" w:vSpace="202" w:wrap="none" w:hAnchor="page" w:x="625" w:y="351"/>
              <w:spacing w:line="240" w:lineRule="auto"/>
              <w:ind w:firstLine="400"/>
              <w:rPr>
                <w:sz w:val="16"/>
                <w:szCs w:val="16"/>
              </w:rPr>
            </w:pPr>
            <w:r>
              <w:rPr>
                <w:rFonts w:ascii="Times New Roman" w:eastAsia="Times New Roman" w:hAnsi="Times New Roman" w:cs="Times New Roman"/>
                <w:sz w:val="16"/>
                <w:szCs w:val="16"/>
              </w:rPr>
              <w:t>toxoide de tétanos</w:t>
            </w:r>
          </w:p>
        </w:tc>
        <w:tc>
          <w:tcPr>
            <w:tcW w:w="4296" w:type="dxa"/>
            <w:shd w:val="clear" w:color="auto" w:fill="FFFFFF"/>
          </w:tcPr>
          <w:p w14:paraId="0D6ADD09" w14:textId="77777777" w:rsidR="00924992" w:rsidRDefault="00924992">
            <w:pPr>
              <w:pStyle w:val="Other0"/>
              <w:framePr w:w="11256" w:h="6326" w:vSpace="202" w:wrap="none" w:hAnchor="page" w:x="625" w:y="351"/>
              <w:spacing w:line="240" w:lineRule="auto"/>
              <w:ind w:firstLine="0"/>
              <w:rPr>
                <w:sz w:val="16"/>
                <w:szCs w:val="16"/>
              </w:rPr>
            </w:pPr>
            <w:r>
              <w:rPr>
                <w:rFonts w:ascii="Times New Roman" w:eastAsia="Times New Roman" w:hAnsi="Times New Roman" w:cs="Times New Roman"/>
                <w:sz w:val="16"/>
                <w:szCs w:val="16"/>
              </w:rPr>
              <w:t>B. Neuritis del plexo braquial</w:t>
            </w:r>
          </w:p>
        </w:tc>
        <w:tc>
          <w:tcPr>
            <w:tcW w:w="2232" w:type="dxa"/>
            <w:shd w:val="clear" w:color="auto" w:fill="FFFFFF"/>
          </w:tcPr>
          <w:p w14:paraId="57AE6182" w14:textId="77777777" w:rsidR="00924992" w:rsidRDefault="00924992">
            <w:pPr>
              <w:pStyle w:val="Other0"/>
              <w:framePr w:w="11256" w:h="6326" w:vSpace="202" w:wrap="none" w:hAnchor="page" w:x="625" w:y="351"/>
              <w:spacing w:line="240" w:lineRule="auto"/>
              <w:ind w:firstLine="0"/>
              <w:rPr>
                <w:sz w:val="16"/>
                <w:szCs w:val="16"/>
              </w:rPr>
            </w:pPr>
            <w:r>
              <w:rPr>
                <w:rFonts w:ascii="Times New Roman" w:eastAsia="Times New Roman" w:hAnsi="Times New Roman" w:cs="Times New Roman"/>
                <w:sz w:val="16"/>
                <w:szCs w:val="16"/>
              </w:rPr>
              <w:t>0-28 días</w:t>
            </w:r>
          </w:p>
        </w:tc>
        <w:tc>
          <w:tcPr>
            <w:tcW w:w="2674" w:type="dxa"/>
            <w:shd w:val="clear" w:color="auto" w:fill="FFFFFF"/>
          </w:tcPr>
          <w:p w14:paraId="57DF9DC1" w14:textId="77777777" w:rsidR="00924992" w:rsidRDefault="00924992">
            <w:pPr>
              <w:pStyle w:val="Other0"/>
              <w:framePr w:w="11256" w:h="6326" w:vSpace="202" w:wrap="none" w:hAnchor="page" w:x="625" w:y="351"/>
              <w:spacing w:line="240" w:lineRule="auto"/>
              <w:ind w:firstLine="260"/>
              <w:rPr>
                <w:sz w:val="16"/>
                <w:szCs w:val="16"/>
              </w:rPr>
            </w:pPr>
            <w:r>
              <w:rPr>
                <w:rFonts w:ascii="Times New Roman" w:eastAsia="Times New Roman" w:hAnsi="Times New Roman" w:cs="Times New Roman"/>
                <w:sz w:val="16"/>
                <w:szCs w:val="16"/>
              </w:rPr>
              <w:t>2-28 días</w:t>
            </w:r>
          </w:p>
        </w:tc>
      </w:tr>
      <w:tr w:rsidR="00924992" w14:paraId="56D03400" w14:textId="77777777">
        <w:tblPrEx>
          <w:tblCellMar>
            <w:top w:w="0" w:type="dxa"/>
            <w:bottom w:w="0" w:type="dxa"/>
          </w:tblCellMar>
        </w:tblPrEx>
        <w:trPr>
          <w:trHeight w:hRule="exact" w:val="221"/>
        </w:trPr>
        <w:tc>
          <w:tcPr>
            <w:tcW w:w="2054" w:type="dxa"/>
            <w:shd w:val="clear" w:color="auto" w:fill="FFFFFF"/>
            <w:vAlign w:val="bottom"/>
          </w:tcPr>
          <w:p w14:paraId="65CC502A" w14:textId="77777777" w:rsidR="00924992" w:rsidRDefault="00924992">
            <w:pPr>
              <w:pStyle w:val="Other0"/>
              <w:framePr w:w="11256" w:h="6326" w:vSpace="202" w:wrap="none" w:hAnchor="page" w:x="625" w:y="351"/>
              <w:spacing w:line="240" w:lineRule="auto"/>
              <w:ind w:firstLine="400"/>
              <w:rPr>
                <w:sz w:val="16"/>
                <w:szCs w:val="16"/>
              </w:rPr>
            </w:pPr>
            <w:r>
              <w:rPr>
                <w:rFonts w:ascii="Times New Roman" w:eastAsia="Times New Roman" w:hAnsi="Times New Roman" w:cs="Times New Roman"/>
                <w:sz w:val="16"/>
                <w:szCs w:val="16"/>
              </w:rPr>
              <w:t>(DTaP, DTP-Hib;</w:t>
            </w:r>
          </w:p>
        </w:tc>
        <w:tc>
          <w:tcPr>
            <w:tcW w:w="4296" w:type="dxa"/>
            <w:shd w:val="clear" w:color="auto" w:fill="FFFFFF"/>
            <w:vAlign w:val="bottom"/>
          </w:tcPr>
          <w:p w14:paraId="6A2C3D90" w14:textId="77777777" w:rsidR="00924992" w:rsidRDefault="00924992">
            <w:pPr>
              <w:pStyle w:val="Other0"/>
              <w:framePr w:w="11256" w:h="6326" w:vSpace="202" w:wrap="none" w:hAnchor="page" w:x="625" w:y="351"/>
              <w:spacing w:line="240" w:lineRule="auto"/>
              <w:ind w:firstLine="0"/>
              <w:rPr>
                <w:sz w:val="16"/>
                <w:szCs w:val="16"/>
              </w:rPr>
            </w:pPr>
            <w:r>
              <w:rPr>
                <w:rFonts w:ascii="Times New Roman" w:eastAsia="Times New Roman" w:hAnsi="Times New Roman" w:cs="Times New Roman"/>
                <w:sz w:val="16"/>
                <w:szCs w:val="16"/>
              </w:rPr>
              <w:t>C. Cualquier complicación aguda o secuela</w:t>
            </w:r>
          </w:p>
        </w:tc>
        <w:tc>
          <w:tcPr>
            <w:tcW w:w="2232" w:type="dxa"/>
            <w:shd w:val="clear" w:color="auto" w:fill="FFFFFF"/>
            <w:vAlign w:val="bottom"/>
          </w:tcPr>
          <w:p w14:paraId="3E42A324" w14:textId="77777777" w:rsidR="00924992" w:rsidRDefault="00924992">
            <w:pPr>
              <w:pStyle w:val="Other0"/>
              <w:framePr w:w="11256" w:h="6326" w:vSpace="202" w:wrap="none" w:hAnchor="page" w:x="625" w:y="351"/>
              <w:spacing w:line="240" w:lineRule="auto"/>
              <w:ind w:firstLine="0"/>
              <w:rPr>
                <w:sz w:val="16"/>
                <w:szCs w:val="16"/>
              </w:rPr>
            </w:pPr>
            <w:r>
              <w:rPr>
                <w:rFonts w:ascii="Times New Roman" w:eastAsia="Times New Roman" w:hAnsi="Times New Roman" w:cs="Times New Roman"/>
                <w:sz w:val="16"/>
                <w:szCs w:val="16"/>
              </w:rPr>
              <w:t>No aplicable</w:t>
            </w:r>
          </w:p>
        </w:tc>
        <w:tc>
          <w:tcPr>
            <w:tcW w:w="2674" w:type="dxa"/>
            <w:shd w:val="clear" w:color="auto" w:fill="FFFFFF"/>
            <w:vAlign w:val="bottom"/>
          </w:tcPr>
          <w:p w14:paraId="1D797026" w14:textId="77777777" w:rsidR="00924992" w:rsidRDefault="00924992">
            <w:pPr>
              <w:pStyle w:val="Other0"/>
              <w:framePr w:w="11256" w:h="6326" w:vSpace="202" w:wrap="none" w:hAnchor="page" w:x="625" w:y="351"/>
              <w:spacing w:line="240" w:lineRule="auto"/>
              <w:ind w:firstLine="260"/>
              <w:rPr>
                <w:sz w:val="16"/>
                <w:szCs w:val="16"/>
              </w:rPr>
            </w:pPr>
            <w:r>
              <w:rPr>
                <w:rFonts w:ascii="Times New Roman" w:eastAsia="Times New Roman" w:hAnsi="Times New Roman" w:cs="Times New Roman"/>
                <w:sz w:val="16"/>
                <w:szCs w:val="16"/>
              </w:rPr>
              <w:t>No aplicable</w:t>
            </w:r>
          </w:p>
        </w:tc>
      </w:tr>
      <w:tr w:rsidR="00924992" w14:paraId="3E57B04D" w14:textId="77777777">
        <w:tblPrEx>
          <w:tblCellMar>
            <w:top w:w="0" w:type="dxa"/>
            <w:bottom w:w="0" w:type="dxa"/>
          </w:tblCellMar>
        </w:tblPrEx>
        <w:trPr>
          <w:trHeight w:hRule="exact" w:val="206"/>
        </w:trPr>
        <w:tc>
          <w:tcPr>
            <w:tcW w:w="2054" w:type="dxa"/>
            <w:shd w:val="clear" w:color="auto" w:fill="FFFFFF"/>
          </w:tcPr>
          <w:p w14:paraId="0C67C7CF" w14:textId="77777777" w:rsidR="00924992" w:rsidRDefault="00924992">
            <w:pPr>
              <w:pStyle w:val="Other0"/>
              <w:framePr w:w="11256" w:h="6326" w:vSpace="202" w:wrap="none" w:hAnchor="page" w:x="625" w:y="351"/>
              <w:spacing w:line="240" w:lineRule="auto"/>
              <w:ind w:firstLine="400"/>
              <w:rPr>
                <w:sz w:val="16"/>
                <w:szCs w:val="16"/>
              </w:rPr>
            </w:pPr>
            <w:r>
              <w:rPr>
                <w:rFonts w:ascii="Times New Roman" w:eastAsia="Times New Roman" w:hAnsi="Times New Roman" w:cs="Times New Roman"/>
                <w:sz w:val="16"/>
                <w:szCs w:val="16"/>
              </w:rPr>
              <w:t>DT; Td o TT)</w:t>
            </w:r>
          </w:p>
        </w:tc>
        <w:tc>
          <w:tcPr>
            <w:tcW w:w="4296" w:type="dxa"/>
            <w:shd w:val="clear" w:color="auto" w:fill="FFFFFF"/>
          </w:tcPr>
          <w:p w14:paraId="04690195" w14:textId="77777777" w:rsidR="00924992" w:rsidRDefault="00924992">
            <w:pPr>
              <w:pStyle w:val="Other0"/>
              <w:framePr w:w="11256" w:h="6326" w:vSpace="202" w:wrap="none" w:hAnchor="page" w:x="625" w:y="351"/>
              <w:spacing w:line="240" w:lineRule="auto"/>
              <w:ind w:firstLine="340"/>
              <w:rPr>
                <w:sz w:val="16"/>
                <w:szCs w:val="16"/>
              </w:rPr>
            </w:pPr>
            <w:r>
              <w:rPr>
                <w:rFonts w:ascii="Times New Roman" w:eastAsia="Times New Roman" w:hAnsi="Times New Roman" w:cs="Times New Roman"/>
                <w:sz w:val="16"/>
                <w:szCs w:val="16"/>
              </w:rPr>
              <w:t>(incluso la muerte) de las reacciones anteriores</w:t>
            </w:r>
          </w:p>
        </w:tc>
        <w:tc>
          <w:tcPr>
            <w:tcW w:w="2232" w:type="dxa"/>
            <w:shd w:val="clear" w:color="auto" w:fill="FFFFFF"/>
          </w:tcPr>
          <w:p w14:paraId="4B6E5924" w14:textId="77777777" w:rsidR="00924992" w:rsidRDefault="00924992">
            <w:pPr>
              <w:pStyle w:val="Other0"/>
              <w:framePr w:w="11256" w:h="6326" w:vSpace="202" w:wrap="none" w:hAnchor="page" w:x="625" w:y="351"/>
              <w:spacing w:line="240" w:lineRule="auto"/>
              <w:ind w:firstLine="0"/>
              <w:rPr>
                <w:sz w:val="16"/>
                <w:szCs w:val="16"/>
              </w:rPr>
            </w:pPr>
            <w:r>
              <w:rPr>
                <w:rFonts w:ascii="Times New Roman" w:eastAsia="Times New Roman" w:hAnsi="Times New Roman" w:cs="Times New Roman"/>
                <w:sz w:val="16"/>
                <w:szCs w:val="16"/>
              </w:rPr>
              <w:t>Consultar las instrucciones</w:t>
            </w:r>
          </w:p>
        </w:tc>
        <w:tc>
          <w:tcPr>
            <w:tcW w:w="2674" w:type="dxa"/>
            <w:shd w:val="clear" w:color="auto" w:fill="FFFFFF"/>
          </w:tcPr>
          <w:p w14:paraId="635E93C4" w14:textId="77777777" w:rsidR="00924992" w:rsidRDefault="00924992">
            <w:pPr>
              <w:pStyle w:val="Other0"/>
              <w:framePr w:w="11256" w:h="6326" w:vSpace="202" w:wrap="none" w:hAnchor="page" w:x="625" w:y="351"/>
              <w:spacing w:line="240" w:lineRule="auto"/>
              <w:ind w:firstLine="260"/>
              <w:rPr>
                <w:sz w:val="16"/>
                <w:szCs w:val="16"/>
              </w:rPr>
            </w:pPr>
            <w:r>
              <w:rPr>
                <w:rFonts w:ascii="Times New Roman" w:eastAsia="Times New Roman" w:hAnsi="Times New Roman" w:cs="Times New Roman"/>
                <w:sz w:val="16"/>
                <w:szCs w:val="16"/>
              </w:rPr>
              <w:t>No aplicable</w:t>
            </w:r>
          </w:p>
        </w:tc>
      </w:tr>
      <w:tr w:rsidR="00924992" w14:paraId="6A50277D" w14:textId="77777777">
        <w:tblPrEx>
          <w:tblCellMar>
            <w:top w:w="0" w:type="dxa"/>
            <w:bottom w:w="0" w:type="dxa"/>
          </w:tblCellMar>
        </w:tblPrEx>
        <w:trPr>
          <w:trHeight w:hRule="exact" w:val="619"/>
        </w:trPr>
        <w:tc>
          <w:tcPr>
            <w:tcW w:w="2054" w:type="dxa"/>
            <w:shd w:val="clear" w:color="auto" w:fill="FFFFFF"/>
            <w:vAlign w:val="bottom"/>
          </w:tcPr>
          <w:p w14:paraId="45135B9B" w14:textId="77777777" w:rsidR="00924992" w:rsidRDefault="00924992">
            <w:pPr>
              <w:pStyle w:val="Other0"/>
              <w:framePr w:w="11256" w:h="6326" w:vSpace="202" w:wrap="none" w:hAnchor="page" w:x="625" w:y="351"/>
              <w:spacing w:line="240" w:lineRule="auto"/>
              <w:ind w:firstLine="200"/>
              <w:rPr>
                <w:sz w:val="16"/>
                <w:szCs w:val="16"/>
              </w:rPr>
            </w:pPr>
            <w:r>
              <w:rPr>
                <w:rFonts w:ascii="Times New Roman" w:eastAsia="Times New Roman" w:hAnsi="Times New Roman" w:cs="Times New Roman"/>
                <w:sz w:val="16"/>
                <w:szCs w:val="16"/>
              </w:rPr>
              <w:t>II. Vacunas que contienen</w:t>
            </w:r>
          </w:p>
        </w:tc>
        <w:tc>
          <w:tcPr>
            <w:tcW w:w="4296" w:type="dxa"/>
            <w:shd w:val="clear" w:color="auto" w:fill="FFFFFF"/>
            <w:vAlign w:val="bottom"/>
          </w:tcPr>
          <w:p w14:paraId="12AE16CA" w14:textId="77777777" w:rsidR="00924992" w:rsidRDefault="00924992">
            <w:pPr>
              <w:pStyle w:val="Other0"/>
              <w:framePr w:w="11256" w:h="6326" w:vSpace="202" w:wrap="none" w:hAnchor="page" w:x="625" w:y="351"/>
              <w:ind w:left="340" w:hanging="340"/>
              <w:rPr>
                <w:sz w:val="16"/>
                <w:szCs w:val="16"/>
              </w:rPr>
            </w:pPr>
            <w:r>
              <w:rPr>
                <w:rFonts w:ascii="Times New Roman" w:eastAsia="Times New Roman" w:hAnsi="Times New Roman" w:cs="Times New Roman"/>
                <w:sz w:val="16"/>
                <w:szCs w:val="16"/>
              </w:rPr>
              <w:t>D. Reacciones descritas en las instrucciones del fabricante como contraindicaciones para aplicar más dosis de vacuna</w:t>
            </w:r>
          </w:p>
          <w:p w14:paraId="3BACEFD1" w14:textId="77777777" w:rsidR="00924992" w:rsidRDefault="00924992">
            <w:pPr>
              <w:pStyle w:val="Other0"/>
              <w:framePr w:w="11256" w:h="6326" w:vSpace="202" w:wrap="none" w:hAnchor="page" w:x="625" w:y="351"/>
              <w:ind w:firstLine="0"/>
              <w:rPr>
                <w:sz w:val="16"/>
                <w:szCs w:val="16"/>
              </w:rPr>
            </w:pPr>
            <w:r>
              <w:rPr>
                <w:rFonts w:ascii="Times New Roman" w:eastAsia="Times New Roman" w:hAnsi="Times New Roman" w:cs="Times New Roman"/>
                <w:sz w:val="16"/>
                <w:szCs w:val="16"/>
              </w:rPr>
              <w:t>A. Anafilaxia o choque anafiláctico</w:t>
            </w:r>
          </w:p>
        </w:tc>
        <w:tc>
          <w:tcPr>
            <w:tcW w:w="2232" w:type="dxa"/>
            <w:shd w:val="clear" w:color="auto" w:fill="FFFFFF"/>
            <w:vAlign w:val="bottom"/>
          </w:tcPr>
          <w:p w14:paraId="7478F3BF" w14:textId="77777777" w:rsidR="00924992" w:rsidRDefault="00924992">
            <w:pPr>
              <w:pStyle w:val="Other0"/>
              <w:framePr w:w="11256" w:h="6326" w:vSpace="202" w:wrap="none" w:hAnchor="page" w:x="625" w:y="351"/>
              <w:spacing w:after="220" w:line="240" w:lineRule="auto"/>
              <w:ind w:firstLine="200"/>
              <w:rPr>
                <w:sz w:val="16"/>
                <w:szCs w:val="16"/>
              </w:rPr>
            </w:pPr>
            <w:r>
              <w:rPr>
                <w:rFonts w:ascii="Times New Roman" w:eastAsia="Times New Roman" w:hAnsi="Times New Roman" w:cs="Times New Roman"/>
                <w:sz w:val="16"/>
                <w:szCs w:val="16"/>
              </w:rPr>
              <w:t>del fabricante</w:t>
            </w:r>
          </w:p>
          <w:p w14:paraId="5F2BE9E2" w14:textId="77777777" w:rsidR="00924992" w:rsidRDefault="00924992">
            <w:pPr>
              <w:pStyle w:val="Other0"/>
              <w:framePr w:w="11256" w:h="6326" w:vSpace="202" w:wrap="none" w:hAnchor="page" w:x="625" w:y="351"/>
              <w:spacing w:line="240" w:lineRule="auto"/>
              <w:ind w:firstLine="0"/>
              <w:rPr>
                <w:sz w:val="16"/>
                <w:szCs w:val="16"/>
              </w:rPr>
            </w:pPr>
            <w:r>
              <w:rPr>
                <w:rFonts w:ascii="Times New Roman" w:eastAsia="Times New Roman" w:hAnsi="Times New Roman" w:cs="Times New Roman"/>
                <w:sz w:val="16"/>
                <w:szCs w:val="16"/>
              </w:rPr>
              <w:t>0-7 días</w:t>
            </w:r>
          </w:p>
        </w:tc>
        <w:tc>
          <w:tcPr>
            <w:tcW w:w="2674" w:type="dxa"/>
            <w:shd w:val="clear" w:color="auto" w:fill="FFFFFF"/>
            <w:vAlign w:val="bottom"/>
          </w:tcPr>
          <w:p w14:paraId="32B87AEA" w14:textId="77777777" w:rsidR="00924992" w:rsidRDefault="00924992">
            <w:pPr>
              <w:pStyle w:val="Other0"/>
              <w:framePr w:w="11256" w:h="6326" w:vSpace="202" w:wrap="none" w:hAnchor="page" w:x="625" w:y="351"/>
              <w:spacing w:line="240" w:lineRule="auto"/>
              <w:ind w:firstLine="260"/>
              <w:rPr>
                <w:sz w:val="16"/>
                <w:szCs w:val="16"/>
              </w:rPr>
            </w:pPr>
            <w:r>
              <w:rPr>
                <w:rFonts w:ascii="Times New Roman" w:eastAsia="Times New Roman" w:hAnsi="Times New Roman" w:cs="Times New Roman"/>
                <w:sz w:val="16"/>
                <w:szCs w:val="16"/>
              </w:rPr>
              <w:t>0-4 h</w:t>
            </w:r>
          </w:p>
        </w:tc>
      </w:tr>
      <w:tr w:rsidR="00924992" w14:paraId="10F92991" w14:textId="77777777">
        <w:tblPrEx>
          <w:tblCellMar>
            <w:top w:w="0" w:type="dxa"/>
            <w:bottom w:w="0" w:type="dxa"/>
          </w:tblCellMar>
        </w:tblPrEx>
        <w:trPr>
          <w:trHeight w:hRule="exact" w:val="226"/>
        </w:trPr>
        <w:tc>
          <w:tcPr>
            <w:tcW w:w="2054" w:type="dxa"/>
            <w:shd w:val="clear" w:color="auto" w:fill="FFFFFF"/>
            <w:vAlign w:val="bottom"/>
          </w:tcPr>
          <w:p w14:paraId="2007E75D" w14:textId="77777777" w:rsidR="00924992" w:rsidRDefault="00924992">
            <w:pPr>
              <w:pStyle w:val="Other0"/>
              <w:framePr w:w="11256" w:h="6326" w:vSpace="202" w:wrap="none" w:hAnchor="page" w:x="625" w:y="351"/>
              <w:spacing w:line="240" w:lineRule="auto"/>
              <w:ind w:firstLine="400"/>
              <w:rPr>
                <w:sz w:val="16"/>
                <w:szCs w:val="16"/>
              </w:rPr>
            </w:pPr>
            <w:r>
              <w:rPr>
                <w:rFonts w:ascii="Times New Roman" w:eastAsia="Times New Roman" w:hAnsi="Times New Roman" w:cs="Times New Roman"/>
                <w:sz w:val="16"/>
                <w:szCs w:val="16"/>
              </w:rPr>
              <w:t>antígeno de tos ferina</w:t>
            </w:r>
          </w:p>
        </w:tc>
        <w:tc>
          <w:tcPr>
            <w:tcW w:w="4296" w:type="dxa"/>
            <w:shd w:val="clear" w:color="auto" w:fill="FFFFFF"/>
            <w:vAlign w:val="bottom"/>
          </w:tcPr>
          <w:p w14:paraId="6A43A569" w14:textId="77777777" w:rsidR="00924992" w:rsidRDefault="00924992">
            <w:pPr>
              <w:pStyle w:val="Other0"/>
              <w:framePr w:w="11256" w:h="6326" w:vSpace="202" w:wrap="none" w:hAnchor="page" w:x="625" w:y="351"/>
              <w:spacing w:line="240" w:lineRule="auto"/>
              <w:ind w:firstLine="0"/>
              <w:rPr>
                <w:sz w:val="16"/>
                <w:szCs w:val="16"/>
              </w:rPr>
            </w:pPr>
            <w:r>
              <w:rPr>
                <w:rFonts w:ascii="Times New Roman" w:eastAsia="Times New Roman" w:hAnsi="Times New Roman" w:cs="Times New Roman"/>
                <w:sz w:val="16"/>
                <w:szCs w:val="16"/>
              </w:rPr>
              <w:t>B. Encefalopatía (o encefalitis)</w:t>
            </w:r>
          </w:p>
        </w:tc>
        <w:tc>
          <w:tcPr>
            <w:tcW w:w="2232" w:type="dxa"/>
            <w:shd w:val="clear" w:color="auto" w:fill="FFFFFF"/>
            <w:vAlign w:val="bottom"/>
          </w:tcPr>
          <w:p w14:paraId="402DAA0D" w14:textId="77777777" w:rsidR="00924992" w:rsidRDefault="00924992">
            <w:pPr>
              <w:pStyle w:val="Other0"/>
              <w:framePr w:w="11256" w:h="6326" w:vSpace="202" w:wrap="none" w:hAnchor="page" w:x="625" w:y="351"/>
              <w:spacing w:line="240" w:lineRule="auto"/>
              <w:ind w:firstLine="0"/>
              <w:rPr>
                <w:sz w:val="16"/>
                <w:szCs w:val="16"/>
              </w:rPr>
            </w:pPr>
            <w:r>
              <w:rPr>
                <w:rFonts w:ascii="Times New Roman" w:eastAsia="Times New Roman" w:hAnsi="Times New Roman" w:cs="Times New Roman"/>
                <w:sz w:val="16"/>
                <w:szCs w:val="16"/>
              </w:rPr>
              <w:t>0-7 días</w:t>
            </w:r>
          </w:p>
        </w:tc>
        <w:tc>
          <w:tcPr>
            <w:tcW w:w="2674" w:type="dxa"/>
            <w:shd w:val="clear" w:color="auto" w:fill="FFFFFF"/>
            <w:vAlign w:val="bottom"/>
          </w:tcPr>
          <w:p w14:paraId="32E186B2" w14:textId="77777777" w:rsidR="00924992" w:rsidRDefault="00924992">
            <w:pPr>
              <w:pStyle w:val="Other0"/>
              <w:framePr w:w="11256" w:h="6326" w:vSpace="202" w:wrap="none" w:hAnchor="page" w:x="625" w:y="351"/>
              <w:spacing w:line="240" w:lineRule="auto"/>
              <w:ind w:firstLine="260"/>
              <w:rPr>
                <w:sz w:val="16"/>
                <w:szCs w:val="16"/>
              </w:rPr>
            </w:pPr>
            <w:r>
              <w:rPr>
                <w:rFonts w:ascii="Times New Roman" w:eastAsia="Times New Roman" w:hAnsi="Times New Roman" w:cs="Times New Roman"/>
                <w:sz w:val="16"/>
                <w:szCs w:val="16"/>
              </w:rPr>
              <w:t>0-72 h</w:t>
            </w:r>
          </w:p>
        </w:tc>
      </w:tr>
      <w:tr w:rsidR="00924992" w14:paraId="3D01E3D5" w14:textId="77777777">
        <w:tblPrEx>
          <w:tblCellMar>
            <w:top w:w="0" w:type="dxa"/>
            <w:bottom w:w="0" w:type="dxa"/>
          </w:tblCellMar>
        </w:tblPrEx>
        <w:trPr>
          <w:trHeight w:hRule="exact" w:val="211"/>
        </w:trPr>
        <w:tc>
          <w:tcPr>
            <w:tcW w:w="2054" w:type="dxa"/>
            <w:shd w:val="clear" w:color="auto" w:fill="FFFFFF"/>
            <w:vAlign w:val="bottom"/>
          </w:tcPr>
          <w:p w14:paraId="41BC5D6B" w14:textId="77777777" w:rsidR="00924992" w:rsidRDefault="00924992">
            <w:pPr>
              <w:pStyle w:val="Other0"/>
              <w:framePr w:w="11256" w:h="6326" w:vSpace="202" w:wrap="none" w:hAnchor="page" w:x="625" w:y="351"/>
              <w:spacing w:line="240" w:lineRule="auto"/>
              <w:ind w:firstLine="400"/>
              <w:rPr>
                <w:sz w:val="16"/>
                <w:szCs w:val="16"/>
              </w:rPr>
            </w:pPr>
            <w:r>
              <w:rPr>
                <w:rFonts w:ascii="Times New Roman" w:eastAsia="Times New Roman" w:hAnsi="Times New Roman" w:cs="Times New Roman"/>
                <w:sz w:val="16"/>
                <w:szCs w:val="16"/>
              </w:rPr>
              <w:t>(pertussis) (como</w:t>
            </w:r>
          </w:p>
        </w:tc>
        <w:tc>
          <w:tcPr>
            <w:tcW w:w="4296" w:type="dxa"/>
            <w:shd w:val="clear" w:color="auto" w:fill="FFFFFF"/>
            <w:vAlign w:val="bottom"/>
          </w:tcPr>
          <w:p w14:paraId="72589F1F" w14:textId="77777777" w:rsidR="00924992" w:rsidRDefault="00924992">
            <w:pPr>
              <w:pStyle w:val="Other0"/>
              <w:framePr w:w="11256" w:h="6326" w:vSpace="202" w:wrap="none" w:hAnchor="page" w:x="625" w:y="351"/>
              <w:spacing w:line="240" w:lineRule="auto"/>
              <w:ind w:firstLine="0"/>
              <w:rPr>
                <w:sz w:val="16"/>
                <w:szCs w:val="16"/>
              </w:rPr>
            </w:pPr>
            <w:r>
              <w:rPr>
                <w:rFonts w:ascii="Times New Roman" w:eastAsia="Times New Roman" w:hAnsi="Times New Roman" w:cs="Times New Roman"/>
                <w:sz w:val="16"/>
                <w:szCs w:val="16"/>
              </w:rPr>
              <w:t>C. Cualquier complicación aguda o secuelas</w:t>
            </w:r>
          </w:p>
        </w:tc>
        <w:tc>
          <w:tcPr>
            <w:tcW w:w="2232" w:type="dxa"/>
            <w:shd w:val="clear" w:color="auto" w:fill="FFFFFF"/>
            <w:vAlign w:val="bottom"/>
          </w:tcPr>
          <w:p w14:paraId="4CDD4C84" w14:textId="77777777" w:rsidR="00924992" w:rsidRDefault="00924992">
            <w:pPr>
              <w:pStyle w:val="Other0"/>
              <w:framePr w:w="11256" w:h="6326" w:vSpace="202" w:wrap="none" w:hAnchor="page" w:x="625" w:y="351"/>
              <w:spacing w:line="240" w:lineRule="auto"/>
              <w:ind w:firstLine="0"/>
              <w:rPr>
                <w:sz w:val="16"/>
                <w:szCs w:val="16"/>
              </w:rPr>
            </w:pPr>
            <w:r>
              <w:rPr>
                <w:rFonts w:ascii="Times New Roman" w:eastAsia="Times New Roman" w:hAnsi="Times New Roman" w:cs="Times New Roman"/>
                <w:sz w:val="16"/>
                <w:szCs w:val="16"/>
              </w:rPr>
              <w:t>No aplicable</w:t>
            </w:r>
          </w:p>
        </w:tc>
        <w:tc>
          <w:tcPr>
            <w:tcW w:w="2674" w:type="dxa"/>
            <w:shd w:val="clear" w:color="auto" w:fill="FFFFFF"/>
            <w:vAlign w:val="bottom"/>
          </w:tcPr>
          <w:p w14:paraId="60CD3F4A" w14:textId="77777777" w:rsidR="00924992" w:rsidRDefault="00924992">
            <w:pPr>
              <w:pStyle w:val="Other0"/>
              <w:framePr w:w="11256" w:h="6326" w:vSpace="202" w:wrap="none" w:hAnchor="page" w:x="625" w:y="351"/>
              <w:spacing w:line="240" w:lineRule="auto"/>
              <w:ind w:firstLine="260"/>
              <w:rPr>
                <w:sz w:val="16"/>
                <w:szCs w:val="16"/>
              </w:rPr>
            </w:pPr>
            <w:r>
              <w:rPr>
                <w:rFonts w:ascii="Times New Roman" w:eastAsia="Times New Roman" w:hAnsi="Times New Roman" w:cs="Times New Roman"/>
                <w:sz w:val="16"/>
                <w:szCs w:val="16"/>
              </w:rPr>
              <w:t>No aplicable</w:t>
            </w:r>
          </w:p>
        </w:tc>
      </w:tr>
      <w:tr w:rsidR="00924992" w14:paraId="66916685" w14:textId="77777777">
        <w:tblPrEx>
          <w:tblCellMar>
            <w:top w:w="0" w:type="dxa"/>
            <w:bottom w:w="0" w:type="dxa"/>
          </w:tblCellMar>
        </w:tblPrEx>
        <w:trPr>
          <w:trHeight w:hRule="exact" w:val="403"/>
        </w:trPr>
        <w:tc>
          <w:tcPr>
            <w:tcW w:w="2054" w:type="dxa"/>
            <w:shd w:val="clear" w:color="auto" w:fill="FFFFFF"/>
          </w:tcPr>
          <w:p w14:paraId="0C8E3614" w14:textId="77777777" w:rsidR="00924992" w:rsidRDefault="00924992">
            <w:pPr>
              <w:pStyle w:val="Other0"/>
              <w:framePr w:w="11256" w:h="6326" w:vSpace="202" w:wrap="none" w:hAnchor="page" w:x="625" w:y="351"/>
              <w:spacing w:line="276" w:lineRule="auto"/>
              <w:ind w:left="400" w:firstLine="0"/>
              <w:rPr>
                <w:sz w:val="16"/>
                <w:szCs w:val="16"/>
              </w:rPr>
            </w:pPr>
            <w:r>
              <w:rPr>
                <w:rFonts w:ascii="Times New Roman" w:eastAsia="Times New Roman" w:hAnsi="Times New Roman" w:cs="Times New Roman"/>
                <w:sz w:val="16"/>
                <w:szCs w:val="16"/>
              </w:rPr>
              <w:t>DTaP, DTP, P, DTP-Hib)</w:t>
            </w:r>
          </w:p>
        </w:tc>
        <w:tc>
          <w:tcPr>
            <w:tcW w:w="4296" w:type="dxa"/>
            <w:shd w:val="clear" w:color="auto" w:fill="FFFFFF"/>
          </w:tcPr>
          <w:p w14:paraId="46BD4C9F" w14:textId="77777777" w:rsidR="00924992" w:rsidRDefault="00924992">
            <w:pPr>
              <w:pStyle w:val="Other0"/>
              <w:framePr w:w="11256" w:h="6326" w:vSpace="202" w:wrap="none" w:hAnchor="page" w:x="625" w:y="351"/>
              <w:spacing w:line="240" w:lineRule="auto"/>
              <w:ind w:firstLine="340"/>
              <w:rPr>
                <w:sz w:val="16"/>
                <w:szCs w:val="16"/>
              </w:rPr>
            </w:pPr>
            <w:r>
              <w:rPr>
                <w:rFonts w:ascii="Times New Roman" w:eastAsia="Times New Roman" w:hAnsi="Times New Roman" w:cs="Times New Roman"/>
                <w:sz w:val="16"/>
                <w:szCs w:val="16"/>
              </w:rPr>
              <w:t>(incluida la muerte) de las reacciones anteriores</w:t>
            </w:r>
          </w:p>
          <w:p w14:paraId="673141CE" w14:textId="77777777" w:rsidR="00924992" w:rsidRDefault="00924992">
            <w:pPr>
              <w:pStyle w:val="Other0"/>
              <w:framePr w:w="11256" w:h="6326" w:vSpace="202" w:wrap="none" w:hAnchor="page" w:x="625" w:y="351"/>
              <w:spacing w:line="240" w:lineRule="auto"/>
              <w:ind w:firstLine="0"/>
              <w:rPr>
                <w:sz w:val="16"/>
                <w:szCs w:val="16"/>
              </w:rPr>
            </w:pPr>
            <w:r>
              <w:rPr>
                <w:rFonts w:ascii="Times New Roman" w:eastAsia="Times New Roman" w:hAnsi="Times New Roman" w:cs="Times New Roman"/>
                <w:sz w:val="16"/>
                <w:szCs w:val="16"/>
              </w:rPr>
              <w:t>D. Reacciones descritas en las instrucciones del fabricante</w:t>
            </w:r>
          </w:p>
        </w:tc>
        <w:tc>
          <w:tcPr>
            <w:tcW w:w="2232" w:type="dxa"/>
            <w:shd w:val="clear" w:color="auto" w:fill="FFFFFF"/>
            <w:vAlign w:val="bottom"/>
          </w:tcPr>
          <w:p w14:paraId="67B67811" w14:textId="77777777" w:rsidR="00924992" w:rsidRDefault="00924992">
            <w:pPr>
              <w:pStyle w:val="Other0"/>
              <w:framePr w:w="11256" w:h="6326" w:vSpace="202" w:wrap="none" w:hAnchor="page" w:x="625" w:y="351"/>
              <w:spacing w:line="240" w:lineRule="auto"/>
              <w:ind w:firstLine="0"/>
              <w:rPr>
                <w:sz w:val="16"/>
                <w:szCs w:val="16"/>
              </w:rPr>
            </w:pPr>
            <w:r>
              <w:rPr>
                <w:rFonts w:ascii="Times New Roman" w:eastAsia="Times New Roman" w:hAnsi="Times New Roman" w:cs="Times New Roman"/>
                <w:sz w:val="16"/>
                <w:szCs w:val="16"/>
              </w:rPr>
              <w:t>Consultar las instrucciones</w:t>
            </w:r>
          </w:p>
        </w:tc>
        <w:tc>
          <w:tcPr>
            <w:tcW w:w="2674" w:type="dxa"/>
            <w:shd w:val="clear" w:color="auto" w:fill="FFFFFF"/>
            <w:vAlign w:val="bottom"/>
          </w:tcPr>
          <w:p w14:paraId="5E290428" w14:textId="77777777" w:rsidR="00924992" w:rsidRDefault="00924992">
            <w:pPr>
              <w:pStyle w:val="Other0"/>
              <w:framePr w:w="11256" w:h="6326" w:vSpace="202" w:wrap="none" w:hAnchor="page" w:x="625" w:y="351"/>
              <w:spacing w:line="240" w:lineRule="auto"/>
              <w:ind w:firstLine="260"/>
              <w:rPr>
                <w:sz w:val="16"/>
                <w:szCs w:val="16"/>
              </w:rPr>
            </w:pPr>
            <w:r>
              <w:rPr>
                <w:rFonts w:ascii="Times New Roman" w:eastAsia="Times New Roman" w:hAnsi="Times New Roman" w:cs="Times New Roman"/>
                <w:sz w:val="16"/>
                <w:szCs w:val="16"/>
              </w:rPr>
              <w:t>No aplicable</w:t>
            </w:r>
          </w:p>
        </w:tc>
      </w:tr>
      <w:tr w:rsidR="00924992" w14:paraId="7F593CC6" w14:textId="77777777">
        <w:tblPrEx>
          <w:tblCellMar>
            <w:top w:w="0" w:type="dxa"/>
            <w:bottom w:w="0" w:type="dxa"/>
          </w:tblCellMar>
        </w:tblPrEx>
        <w:trPr>
          <w:trHeight w:hRule="exact" w:val="216"/>
        </w:trPr>
        <w:tc>
          <w:tcPr>
            <w:tcW w:w="2054" w:type="dxa"/>
            <w:shd w:val="clear" w:color="auto" w:fill="FFFFFF"/>
          </w:tcPr>
          <w:p w14:paraId="7316DD0C" w14:textId="77777777" w:rsidR="00924992" w:rsidRDefault="00924992">
            <w:pPr>
              <w:framePr w:w="11256" w:h="6326" w:vSpace="202" w:wrap="none" w:hAnchor="page" w:x="625" w:y="351"/>
              <w:rPr>
                <w:sz w:val="10"/>
                <w:szCs w:val="10"/>
              </w:rPr>
            </w:pPr>
          </w:p>
        </w:tc>
        <w:tc>
          <w:tcPr>
            <w:tcW w:w="6528" w:type="dxa"/>
            <w:gridSpan w:val="2"/>
            <w:shd w:val="clear" w:color="auto" w:fill="FFFFFF"/>
            <w:vAlign w:val="bottom"/>
          </w:tcPr>
          <w:p w14:paraId="4F2B024E" w14:textId="77777777" w:rsidR="00924992" w:rsidRDefault="00924992">
            <w:pPr>
              <w:pStyle w:val="Other0"/>
              <w:framePr w:w="11256" w:h="6326" w:vSpace="202" w:wrap="none" w:hAnchor="page" w:x="625" w:y="351"/>
              <w:spacing w:line="240" w:lineRule="auto"/>
              <w:ind w:firstLine="340"/>
              <w:rPr>
                <w:sz w:val="16"/>
                <w:szCs w:val="16"/>
              </w:rPr>
            </w:pPr>
            <w:r>
              <w:rPr>
                <w:rFonts w:ascii="Times New Roman" w:eastAsia="Times New Roman" w:hAnsi="Times New Roman" w:cs="Times New Roman"/>
                <w:sz w:val="16"/>
                <w:szCs w:val="16"/>
              </w:rPr>
              <w:t>como contraindicaciones para aplicar más dosis de vacuna</w:t>
            </w:r>
          </w:p>
        </w:tc>
        <w:tc>
          <w:tcPr>
            <w:tcW w:w="2674" w:type="dxa"/>
            <w:shd w:val="clear" w:color="auto" w:fill="FFFFFF"/>
            <w:vAlign w:val="bottom"/>
          </w:tcPr>
          <w:p w14:paraId="4004485F" w14:textId="77777777" w:rsidR="00924992" w:rsidRDefault="00924992">
            <w:pPr>
              <w:pStyle w:val="Other0"/>
              <w:framePr w:w="11256" w:h="6326" w:vSpace="202" w:wrap="none" w:hAnchor="page" w:x="625" w:y="351"/>
              <w:spacing w:line="240" w:lineRule="auto"/>
              <w:ind w:firstLine="360"/>
              <w:rPr>
                <w:sz w:val="16"/>
                <w:szCs w:val="16"/>
              </w:rPr>
            </w:pPr>
            <w:r>
              <w:rPr>
                <w:rFonts w:ascii="Times New Roman" w:eastAsia="Times New Roman" w:hAnsi="Times New Roman" w:cs="Times New Roman"/>
                <w:sz w:val="16"/>
                <w:szCs w:val="16"/>
              </w:rPr>
              <w:t>del fabricante</w:t>
            </w:r>
          </w:p>
        </w:tc>
      </w:tr>
      <w:tr w:rsidR="00924992" w14:paraId="1AD9997F" w14:textId="77777777">
        <w:tblPrEx>
          <w:tblCellMar>
            <w:top w:w="0" w:type="dxa"/>
            <w:bottom w:w="0" w:type="dxa"/>
          </w:tblCellMar>
        </w:tblPrEx>
        <w:trPr>
          <w:trHeight w:hRule="exact" w:val="206"/>
        </w:trPr>
        <w:tc>
          <w:tcPr>
            <w:tcW w:w="2054" w:type="dxa"/>
            <w:shd w:val="clear" w:color="auto" w:fill="FFFFFF"/>
            <w:vAlign w:val="bottom"/>
          </w:tcPr>
          <w:p w14:paraId="1D7D7716" w14:textId="77777777" w:rsidR="00924992" w:rsidRDefault="00924992">
            <w:pPr>
              <w:pStyle w:val="Other0"/>
              <w:framePr w:w="11256" w:h="6326" w:vSpace="202" w:wrap="none" w:hAnchor="page" w:x="625" w:y="351"/>
              <w:spacing w:line="240" w:lineRule="auto"/>
              <w:ind w:firstLine="140"/>
              <w:rPr>
                <w:sz w:val="16"/>
                <w:szCs w:val="16"/>
              </w:rPr>
            </w:pPr>
            <w:r>
              <w:rPr>
                <w:rFonts w:ascii="Times New Roman" w:eastAsia="Times New Roman" w:hAnsi="Times New Roman" w:cs="Times New Roman"/>
                <w:sz w:val="16"/>
                <w:szCs w:val="16"/>
              </w:rPr>
              <w:t>III. Vacunas que contienen</w:t>
            </w:r>
          </w:p>
        </w:tc>
        <w:tc>
          <w:tcPr>
            <w:tcW w:w="4296" w:type="dxa"/>
            <w:shd w:val="clear" w:color="auto" w:fill="FFFFFF"/>
            <w:vAlign w:val="bottom"/>
          </w:tcPr>
          <w:p w14:paraId="714E43E8" w14:textId="77777777" w:rsidR="00924992" w:rsidRDefault="00924992">
            <w:pPr>
              <w:pStyle w:val="Other0"/>
              <w:framePr w:w="11256" w:h="6326" w:vSpace="202" w:wrap="none" w:hAnchor="page" w:x="625" w:y="351"/>
              <w:spacing w:line="240" w:lineRule="auto"/>
              <w:ind w:firstLine="0"/>
              <w:rPr>
                <w:sz w:val="16"/>
                <w:szCs w:val="16"/>
              </w:rPr>
            </w:pPr>
            <w:r>
              <w:rPr>
                <w:rFonts w:ascii="Times New Roman" w:eastAsia="Times New Roman" w:hAnsi="Times New Roman" w:cs="Times New Roman"/>
                <w:sz w:val="16"/>
                <w:szCs w:val="16"/>
              </w:rPr>
              <w:t>A. Anafilaxia o choque anafiláctico</w:t>
            </w:r>
          </w:p>
        </w:tc>
        <w:tc>
          <w:tcPr>
            <w:tcW w:w="2232" w:type="dxa"/>
            <w:shd w:val="clear" w:color="auto" w:fill="FFFFFF"/>
            <w:vAlign w:val="bottom"/>
          </w:tcPr>
          <w:p w14:paraId="62900EF8" w14:textId="77777777" w:rsidR="00924992" w:rsidRDefault="00924992">
            <w:pPr>
              <w:pStyle w:val="Other0"/>
              <w:framePr w:w="11256" w:h="6326" w:vSpace="202" w:wrap="none" w:hAnchor="page" w:x="625" w:y="351"/>
              <w:spacing w:line="240" w:lineRule="auto"/>
              <w:ind w:firstLine="0"/>
              <w:rPr>
                <w:sz w:val="16"/>
                <w:szCs w:val="16"/>
              </w:rPr>
            </w:pPr>
            <w:r>
              <w:rPr>
                <w:rFonts w:ascii="Times New Roman" w:eastAsia="Times New Roman" w:hAnsi="Times New Roman" w:cs="Times New Roman"/>
                <w:sz w:val="16"/>
                <w:szCs w:val="16"/>
              </w:rPr>
              <w:t>0-7 días</w:t>
            </w:r>
          </w:p>
        </w:tc>
        <w:tc>
          <w:tcPr>
            <w:tcW w:w="2674" w:type="dxa"/>
            <w:shd w:val="clear" w:color="auto" w:fill="FFFFFF"/>
            <w:vAlign w:val="bottom"/>
          </w:tcPr>
          <w:p w14:paraId="4B9B2B51" w14:textId="77777777" w:rsidR="00924992" w:rsidRDefault="00924992">
            <w:pPr>
              <w:pStyle w:val="Other0"/>
              <w:framePr w:w="11256" w:h="6326" w:vSpace="202" w:wrap="none" w:hAnchor="page" w:x="625" w:y="351"/>
              <w:spacing w:line="240" w:lineRule="auto"/>
              <w:ind w:firstLine="260"/>
              <w:rPr>
                <w:sz w:val="16"/>
                <w:szCs w:val="16"/>
              </w:rPr>
            </w:pPr>
            <w:r>
              <w:rPr>
                <w:rFonts w:ascii="Times New Roman" w:eastAsia="Times New Roman" w:hAnsi="Times New Roman" w:cs="Times New Roman"/>
                <w:sz w:val="16"/>
                <w:szCs w:val="16"/>
              </w:rPr>
              <w:t>0-4 h</w:t>
            </w:r>
          </w:p>
        </w:tc>
      </w:tr>
      <w:tr w:rsidR="00924992" w14:paraId="0B03E46C" w14:textId="77777777">
        <w:tblPrEx>
          <w:tblCellMar>
            <w:top w:w="0" w:type="dxa"/>
            <w:bottom w:w="0" w:type="dxa"/>
          </w:tblCellMar>
        </w:tblPrEx>
        <w:trPr>
          <w:trHeight w:hRule="exact" w:val="221"/>
        </w:trPr>
        <w:tc>
          <w:tcPr>
            <w:tcW w:w="2054" w:type="dxa"/>
            <w:shd w:val="clear" w:color="auto" w:fill="FFFFFF"/>
            <w:vAlign w:val="bottom"/>
          </w:tcPr>
          <w:p w14:paraId="28E25329" w14:textId="77777777" w:rsidR="00924992" w:rsidRDefault="00924992">
            <w:pPr>
              <w:pStyle w:val="Other0"/>
              <w:framePr w:w="11256" w:h="6326" w:vSpace="202" w:wrap="none" w:hAnchor="page" w:x="625" w:y="351"/>
              <w:spacing w:line="240" w:lineRule="auto"/>
              <w:ind w:firstLine="400"/>
              <w:rPr>
                <w:sz w:val="16"/>
                <w:szCs w:val="16"/>
              </w:rPr>
            </w:pPr>
            <w:r>
              <w:rPr>
                <w:rFonts w:ascii="Times New Roman" w:eastAsia="Times New Roman" w:hAnsi="Times New Roman" w:cs="Times New Roman"/>
                <w:sz w:val="16"/>
                <w:szCs w:val="16"/>
              </w:rPr>
              <w:t>virus de sarampión,</w:t>
            </w:r>
          </w:p>
        </w:tc>
        <w:tc>
          <w:tcPr>
            <w:tcW w:w="4296" w:type="dxa"/>
            <w:shd w:val="clear" w:color="auto" w:fill="FFFFFF"/>
            <w:vAlign w:val="bottom"/>
          </w:tcPr>
          <w:p w14:paraId="0D9D2450" w14:textId="77777777" w:rsidR="00924992" w:rsidRDefault="00924992">
            <w:pPr>
              <w:pStyle w:val="Other0"/>
              <w:framePr w:w="11256" w:h="6326" w:vSpace="202" w:wrap="none" w:hAnchor="page" w:x="625" w:y="351"/>
              <w:spacing w:line="240" w:lineRule="auto"/>
              <w:ind w:firstLine="0"/>
              <w:rPr>
                <w:sz w:val="16"/>
                <w:szCs w:val="16"/>
              </w:rPr>
            </w:pPr>
            <w:r>
              <w:rPr>
                <w:rFonts w:ascii="Times New Roman" w:eastAsia="Times New Roman" w:hAnsi="Times New Roman" w:cs="Times New Roman"/>
                <w:sz w:val="16"/>
                <w:szCs w:val="16"/>
              </w:rPr>
              <w:t>B. Encefalopatía (o encefalitis)</w:t>
            </w:r>
          </w:p>
        </w:tc>
        <w:tc>
          <w:tcPr>
            <w:tcW w:w="2232" w:type="dxa"/>
            <w:shd w:val="clear" w:color="auto" w:fill="FFFFFF"/>
            <w:vAlign w:val="bottom"/>
          </w:tcPr>
          <w:p w14:paraId="6086D16D" w14:textId="77777777" w:rsidR="00924992" w:rsidRDefault="00924992">
            <w:pPr>
              <w:pStyle w:val="Other0"/>
              <w:framePr w:w="11256" w:h="6326" w:vSpace="202" w:wrap="none" w:hAnchor="page" w:x="625" w:y="351"/>
              <w:spacing w:line="240" w:lineRule="auto"/>
              <w:ind w:firstLine="0"/>
              <w:rPr>
                <w:sz w:val="16"/>
                <w:szCs w:val="16"/>
              </w:rPr>
            </w:pPr>
            <w:r>
              <w:rPr>
                <w:rFonts w:ascii="Times New Roman" w:eastAsia="Times New Roman" w:hAnsi="Times New Roman" w:cs="Times New Roman"/>
                <w:sz w:val="16"/>
                <w:szCs w:val="16"/>
              </w:rPr>
              <w:t>0-15 días</w:t>
            </w:r>
          </w:p>
        </w:tc>
        <w:tc>
          <w:tcPr>
            <w:tcW w:w="2674" w:type="dxa"/>
            <w:shd w:val="clear" w:color="auto" w:fill="FFFFFF"/>
            <w:vAlign w:val="bottom"/>
          </w:tcPr>
          <w:p w14:paraId="2F1D1D90" w14:textId="77777777" w:rsidR="00924992" w:rsidRDefault="00924992">
            <w:pPr>
              <w:pStyle w:val="Other0"/>
              <w:framePr w:w="11256" w:h="6326" w:vSpace="202" w:wrap="none" w:hAnchor="page" w:x="625" w:y="351"/>
              <w:spacing w:line="240" w:lineRule="auto"/>
              <w:ind w:firstLine="260"/>
              <w:rPr>
                <w:sz w:val="16"/>
                <w:szCs w:val="16"/>
              </w:rPr>
            </w:pPr>
            <w:r>
              <w:rPr>
                <w:rFonts w:ascii="Times New Roman" w:eastAsia="Times New Roman" w:hAnsi="Times New Roman" w:cs="Times New Roman"/>
                <w:sz w:val="16"/>
                <w:szCs w:val="16"/>
              </w:rPr>
              <w:t>5-15 días</w:t>
            </w:r>
          </w:p>
        </w:tc>
      </w:tr>
      <w:tr w:rsidR="00924992" w14:paraId="292D1194" w14:textId="77777777">
        <w:tblPrEx>
          <w:tblCellMar>
            <w:top w:w="0" w:type="dxa"/>
            <w:bottom w:w="0" w:type="dxa"/>
          </w:tblCellMar>
        </w:tblPrEx>
        <w:trPr>
          <w:trHeight w:hRule="exact" w:val="216"/>
        </w:trPr>
        <w:tc>
          <w:tcPr>
            <w:tcW w:w="2054" w:type="dxa"/>
            <w:shd w:val="clear" w:color="auto" w:fill="FFFFFF"/>
            <w:vAlign w:val="bottom"/>
          </w:tcPr>
          <w:p w14:paraId="2F5EC52C" w14:textId="77777777" w:rsidR="00924992" w:rsidRDefault="00924992">
            <w:pPr>
              <w:pStyle w:val="Other0"/>
              <w:framePr w:w="11256" w:h="6326" w:vSpace="202" w:wrap="none" w:hAnchor="page" w:x="625" w:y="351"/>
              <w:spacing w:line="240" w:lineRule="auto"/>
              <w:ind w:firstLine="400"/>
              <w:rPr>
                <w:sz w:val="16"/>
                <w:szCs w:val="16"/>
              </w:rPr>
            </w:pPr>
            <w:r>
              <w:rPr>
                <w:rFonts w:ascii="Times New Roman" w:eastAsia="Times New Roman" w:hAnsi="Times New Roman" w:cs="Times New Roman"/>
                <w:sz w:val="16"/>
                <w:szCs w:val="16"/>
              </w:rPr>
              <w:t>parotiditis y rubéola</w:t>
            </w:r>
          </w:p>
        </w:tc>
        <w:tc>
          <w:tcPr>
            <w:tcW w:w="4296" w:type="dxa"/>
            <w:shd w:val="clear" w:color="auto" w:fill="FFFFFF"/>
            <w:vAlign w:val="bottom"/>
          </w:tcPr>
          <w:p w14:paraId="61BEFCD4" w14:textId="77777777" w:rsidR="00924992" w:rsidRDefault="00924992">
            <w:pPr>
              <w:pStyle w:val="Other0"/>
              <w:framePr w:w="11256" w:h="6326" w:vSpace="202" w:wrap="none" w:hAnchor="page" w:x="625" w:y="351"/>
              <w:spacing w:line="240" w:lineRule="auto"/>
              <w:ind w:firstLine="0"/>
              <w:rPr>
                <w:sz w:val="16"/>
                <w:szCs w:val="16"/>
              </w:rPr>
            </w:pPr>
            <w:r>
              <w:rPr>
                <w:rFonts w:ascii="Times New Roman" w:eastAsia="Times New Roman" w:hAnsi="Times New Roman" w:cs="Times New Roman"/>
                <w:sz w:val="16"/>
                <w:szCs w:val="16"/>
              </w:rPr>
              <w:t>C. Cualquier complicación aguda o secuela</w:t>
            </w:r>
          </w:p>
        </w:tc>
        <w:tc>
          <w:tcPr>
            <w:tcW w:w="2232" w:type="dxa"/>
            <w:shd w:val="clear" w:color="auto" w:fill="FFFFFF"/>
            <w:vAlign w:val="bottom"/>
          </w:tcPr>
          <w:p w14:paraId="76F634AB" w14:textId="77777777" w:rsidR="00924992" w:rsidRDefault="00924992">
            <w:pPr>
              <w:pStyle w:val="Other0"/>
              <w:framePr w:w="11256" w:h="6326" w:vSpace="202" w:wrap="none" w:hAnchor="page" w:x="625" w:y="351"/>
              <w:spacing w:line="240" w:lineRule="auto"/>
              <w:ind w:firstLine="0"/>
              <w:rPr>
                <w:sz w:val="16"/>
                <w:szCs w:val="16"/>
              </w:rPr>
            </w:pPr>
            <w:r>
              <w:rPr>
                <w:rFonts w:ascii="Times New Roman" w:eastAsia="Times New Roman" w:hAnsi="Times New Roman" w:cs="Times New Roman"/>
                <w:sz w:val="16"/>
                <w:szCs w:val="16"/>
              </w:rPr>
              <w:t>No aplicable</w:t>
            </w:r>
          </w:p>
        </w:tc>
        <w:tc>
          <w:tcPr>
            <w:tcW w:w="2674" w:type="dxa"/>
            <w:shd w:val="clear" w:color="auto" w:fill="FFFFFF"/>
            <w:vAlign w:val="bottom"/>
          </w:tcPr>
          <w:p w14:paraId="5E4F744A" w14:textId="77777777" w:rsidR="00924992" w:rsidRDefault="00924992">
            <w:pPr>
              <w:pStyle w:val="Other0"/>
              <w:framePr w:w="11256" w:h="6326" w:vSpace="202" w:wrap="none" w:hAnchor="page" w:x="625" w:y="351"/>
              <w:spacing w:line="240" w:lineRule="auto"/>
              <w:ind w:firstLine="260"/>
              <w:rPr>
                <w:sz w:val="16"/>
                <w:szCs w:val="16"/>
              </w:rPr>
            </w:pPr>
            <w:r>
              <w:rPr>
                <w:rFonts w:ascii="Times New Roman" w:eastAsia="Times New Roman" w:hAnsi="Times New Roman" w:cs="Times New Roman"/>
                <w:sz w:val="16"/>
                <w:szCs w:val="16"/>
              </w:rPr>
              <w:t>No aplicable</w:t>
            </w:r>
          </w:p>
        </w:tc>
      </w:tr>
      <w:tr w:rsidR="00924992" w14:paraId="2D52AB9C" w14:textId="77777777">
        <w:tblPrEx>
          <w:tblCellMar>
            <w:top w:w="0" w:type="dxa"/>
            <w:bottom w:w="0" w:type="dxa"/>
          </w:tblCellMar>
        </w:tblPrEx>
        <w:trPr>
          <w:trHeight w:hRule="exact" w:val="403"/>
        </w:trPr>
        <w:tc>
          <w:tcPr>
            <w:tcW w:w="2054" w:type="dxa"/>
            <w:shd w:val="clear" w:color="auto" w:fill="FFFFFF"/>
          </w:tcPr>
          <w:p w14:paraId="41081450" w14:textId="77777777" w:rsidR="00924992" w:rsidRDefault="00924992">
            <w:pPr>
              <w:pStyle w:val="Other0"/>
              <w:framePr w:w="11256" w:h="6326" w:vSpace="202" w:wrap="none" w:hAnchor="page" w:x="625" w:y="351"/>
              <w:spacing w:line="276" w:lineRule="auto"/>
              <w:ind w:left="400" w:firstLine="0"/>
              <w:rPr>
                <w:sz w:val="16"/>
                <w:szCs w:val="16"/>
              </w:rPr>
            </w:pPr>
            <w:r>
              <w:rPr>
                <w:rFonts w:ascii="Times New Roman" w:eastAsia="Times New Roman" w:hAnsi="Times New Roman" w:cs="Times New Roman"/>
                <w:sz w:val="16"/>
                <w:szCs w:val="16"/>
              </w:rPr>
              <w:t>en cualquier combinación</w:t>
            </w:r>
          </w:p>
        </w:tc>
        <w:tc>
          <w:tcPr>
            <w:tcW w:w="4296" w:type="dxa"/>
            <w:shd w:val="clear" w:color="auto" w:fill="FFFFFF"/>
          </w:tcPr>
          <w:p w14:paraId="6E0007B8" w14:textId="77777777" w:rsidR="00924992" w:rsidRDefault="00924992">
            <w:pPr>
              <w:pStyle w:val="Other0"/>
              <w:framePr w:w="11256" w:h="6326" w:vSpace="202" w:wrap="none" w:hAnchor="page" w:x="625" w:y="351"/>
              <w:spacing w:line="240" w:lineRule="auto"/>
              <w:ind w:firstLine="340"/>
              <w:rPr>
                <w:sz w:val="16"/>
                <w:szCs w:val="16"/>
              </w:rPr>
            </w:pPr>
            <w:r>
              <w:rPr>
                <w:rFonts w:ascii="Times New Roman" w:eastAsia="Times New Roman" w:hAnsi="Times New Roman" w:cs="Times New Roman"/>
                <w:sz w:val="16"/>
                <w:szCs w:val="16"/>
              </w:rPr>
              <w:t>(incluso la muerte) de las reacciones anteriores</w:t>
            </w:r>
          </w:p>
          <w:p w14:paraId="123502B3" w14:textId="77777777" w:rsidR="00924992" w:rsidRDefault="00924992">
            <w:pPr>
              <w:pStyle w:val="Other0"/>
              <w:framePr w:w="11256" w:h="6326" w:vSpace="202" w:wrap="none" w:hAnchor="page" w:x="625" w:y="351"/>
              <w:spacing w:line="240" w:lineRule="auto"/>
              <w:ind w:firstLine="0"/>
              <w:rPr>
                <w:sz w:val="16"/>
                <w:szCs w:val="16"/>
              </w:rPr>
            </w:pPr>
            <w:r>
              <w:rPr>
                <w:rFonts w:ascii="Times New Roman" w:eastAsia="Times New Roman" w:hAnsi="Times New Roman" w:cs="Times New Roman"/>
                <w:sz w:val="16"/>
                <w:szCs w:val="16"/>
              </w:rPr>
              <w:t>D. Reacciones descritas en las instrucciones del fabricante</w:t>
            </w:r>
          </w:p>
        </w:tc>
        <w:tc>
          <w:tcPr>
            <w:tcW w:w="2232" w:type="dxa"/>
            <w:shd w:val="clear" w:color="auto" w:fill="FFFFFF"/>
            <w:vAlign w:val="bottom"/>
          </w:tcPr>
          <w:p w14:paraId="16B55363" w14:textId="77777777" w:rsidR="00924992" w:rsidRDefault="00924992">
            <w:pPr>
              <w:pStyle w:val="Other0"/>
              <w:framePr w:w="11256" w:h="6326" w:vSpace="202" w:wrap="none" w:hAnchor="page" w:x="625" w:y="351"/>
              <w:spacing w:line="240" w:lineRule="auto"/>
              <w:ind w:firstLine="0"/>
              <w:rPr>
                <w:sz w:val="16"/>
                <w:szCs w:val="16"/>
              </w:rPr>
            </w:pPr>
            <w:r>
              <w:rPr>
                <w:rFonts w:ascii="Times New Roman" w:eastAsia="Times New Roman" w:hAnsi="Times New Roman" w:cs="Times New Roman"/>
                <w:sz w:val="16"/>
                <w:szCs w:val="16"/>
              </w:rPr>
              <w:t>Consultar las instrucciones</w:t>
            </w:r>
          </w:p>
        </w:tc>
        <w:tc>
          <w:tcPr>
            <w:tcW w:w="2674" w:type="dxa"/>
            <w:vMerge w:val="restart"/>
            <w:shd w:val="clear" w:color="auto" w:fill="FFFFFF"/>
            <w:vAlign w:val="center"/>
          </w:tcPr>
          <w:p w14:paraId="454CC5F2" w14:textId="77777777" w:rsidR="00924992" w:rsidRDefault="00924992">
            <w:pPr>
              <w:pStyle w:val="Other0"/>
              <w:framePr w:w="11256" w:h="6326" w:vSpace="202" w:wrap="none" w:hAnchor="page" w:x="625" w:y="351"/>
              <w:spacing w:line="240" w:lineRule="auto"/>
              <w:ind w:firstLine="260"/>
              <w:rPr>
                <w:sz w:val="16"/>
                <w:szCs w:val="16"/>
              </w:rPr>
            </w:pPr>
            <w:r>
              <w:rPr>
                <w:rFonts w:ascii="Times New Roman" w:eastAsia="Times New Roman" w:hAnsi="Times New Roman" w:cs="Times New Roman"/>
                <w:sz w:val="16"/>
                <w:szCs w:val="16"/>
              </w:rPr>
              <w:t>No aplicable</w:t>
            </w:r>
          </w:p>
        </w:tc>
      </w:tr>
      <w:tr w:rsidR="00924992" w14:paraId="1F614BC5" w14:textId="77777777">
        <w:tblPrEx>
          <w:tblCellMar>
            <w:top w:w="0" w:type="dxa"/>
            <w:bottom w:w="0" w:type="dxa"/>
          </w:tblCellMar>
        </w:tblPrEx>
        <w:trPr>
          <w:trHeight w:hRule="exact" w:val="211"/>
        </w:trPr>
        <w:tc>
          <w:tcPr>
            <w:tcW w:w="2054" w:type="dxa"/>
            <w:shd w:val="clear" w:color="auto" w:fill="FFFFFF"/>
            <w:vAlign w:val="bottom"/>
          </w:tcPr>
          <w:p w14:paraId="578E3937" w14:textId="77777777" w:rsidR="00924992" w:rsidRDefault="00924992">
            <w:pPr>
              <w:pStyle w:val="Other0"/>
              <w:framePr w:w="11256" w:h="6326" w:vSpace="202" w:wrap="none" w:hAnchor="page" w:x="625" w:y="351"/>
              <w:spacing w:line="240" w:lineRule="auto"/>
              <w:ind w:firstLine="400"/>
              <w:rPr>
                <w:sz w:val="16"/>
                <w:szCs w:val="16"/>
              </w:rPr>
            </w:pPr>
            <w:r>
              <w:rPr>
                <w:rFonts w:ascii="Times New Roman" w:eastAsia="Times New Roman" w:hAnsi="Times New Roman" w:cs="Times New Roman"/>
                <w:sz w:val="16"/>
                <w:szCs w:val="16"/>
              </w:rPr>
              <w:t>(MMR, MR, M, R)</w:t>
            </w:r>
          </w:p>
        </w:tc>
        <w:tc>
          <w:tcPr>
            <w:tcW w:w="6528" w:type="dxa"/>
            <w:gridSpan w:val="2"/>
            <w:shd w:val="clear" w:color="auto" w:fill="FFFFFF"/>
            <w:vAlign w:val="bottom"/>
          </w:tcPr>
          <w:p w14:paraId="0635E001" w14:textId="77777777" w:rsidR="00924992" w:rsidRDefault="00924992">
            <w:pPr>
              <w:pStyle w:val="Other0"/>
              <w:framePr w:w="11256" w:h="6326" w:vSpace="202" w:wrap="none" w:hAnchor="page" w:x="625" w:y="351"/>
              <w:spacing w:line="240" w:lineRule="auto"/>
              <w:ind w:firstLine="340"/>
              <w:rPr>
                <w:sz w:val="16"/>
                <w:szCs w:val="16"/>
              </w:rPr>
            </w:pPr>
            <w:r>
              <w:rPr>
                <w:rFonts w:ascii="Times New Roman" w:eastAsia="Times New Roman" w:hAnsi="Times New Roman" w:cs="Times New Roman"/>
                <w:sz w:val="16"/>
                <w:szCs w:val="16"/>
              </w:rPr>
              <w:t>como contraindicaciones para aplicar más dosis de vacuna del fabricante</w:t>
            </w:r>
          </w:p>
        </w:tc>
        <w:tc>
          <w:tcPr>
            <w:tcW w:w="2674" w:type="dxa"/>
            <w:vMerge/>
            <w:shd w:val="clear" w:color="auto" w:fill="FFFFFF"/>
            <w:vAlign w:val="center"/>
          </w:tcPr>
          <w:p w14:paraId="5BDF44DA" w14:textId="77777777" w:rsidR="00924992" w:rsidRDefault="00924992">
            <w:pPr>
              <w:framePr w:w="11256" w:h="6326" w:vSpace="202" w:wrap="none" w:hAnchor="page" w:x="625" w:y="351"/>
            </w:pPr>
          </w:p>
        </w:tc>
      </w:tr>
      <w:tr w:rsidR="00924992" w14:paraId="7F821ED5" w14:textId="77777777">
        <w:tblPrEx>
          <w:tblCellMar>
            <w:top w:w="0" w:type="dxa"/>
            <w:bottom w:w="0" w:type="dxa"/>
          </w:tblCellMar>
        </w:tblPrEx>
        <w:trPr>
          <w:trHeight w:hRule="exact" w:val="206"/>
        </w:trPr>
        <w:tc>
          <w:tcPr>
            <w:tcW w:w="2054" w:type="dxa"/>
            <w:shd w:val="clear" w:color="auto" w:fill="FFFFFF"/>
            <w:vAlign w:val="bottom"/>
          </w:tcPr>
          <w:p w14:paraId="72A47F9B" w14:textId="77777777" w:rsidR="00924992" w:rsidRDefault="00924992">
            <w:pPr>
              <w:pStyle w:val="Other0"/>
              <w:framePr w:w="11256" w:h="6326" w:vSpace="202" w:wrap="none" w:hAnchor="page" w:x="625" w:y="351"/>
              <w:spacing w:line="240" w:lineRule="auto"/>
              <w:ind w:firstLine="140"/>
              <w:rPr>
                <w:sz w:val="16"/>
                <w:szCs w:val="16"/>
              </w:rPr>
            </w:pPr>
            <w:r>
              <w:rPr>
                <w:rFonts w:ascii="Times New Roman" w:eastAsia="Times New Roman" w:hAnsi="Times New Roman" w:cs="Times New Roman"/>
                <w:sz w:val="16"/>
                <w:szCs w:val="16"/>
              </w:rPr>
              <w:t>IV. Vacunas que contienen</w:t>
            </w:r>
          </w:p>
        </w:tc>
        <w:tc>
          <w:tcPr>
            <w:tcW w:w="4296" w:type="dxa"/>
            <w:shd w:val="clear" w:color="auto" w:fill="FFFFFF"/>
            <w:vAlign w:val="bottom"/>
          </w:tcPr>
          <w:p w14:paraId="2BC0629C" w14:textId="77777777" w:rsidR="00924992" w:rsidRDefault="00924992">
            <w:pPr>
              <w:pStyle w:val="Other0"/>
              <w:framePr w:w="11256" w:h="6326" w:vSpace="202" w:wrap="none" w:hAnchor="page" w:x="625" w:y="351"/>
              <w:spacing w:line="240" w:lineRule="auto"/>
              <w:ind w:firstLine="0"/>
              <w:rPr>
                <w:sz w:val="16"/>
                <w:szCs w:val="16"/>
              </w:rPr>
            </w:pPr>
            <w:r>
              <w:rPr>
                <w:rFonts w:ascii="Times New Roman" w:eastAsia="Times New Roman" w:hAnsi="Times New Roman" w:cs="Times New Roman"/>
                <w:sz w:val="16"/>
                <w:szCs w:val="16"/>
              </w:rPr>
              <w:t>A. Artritis crónica</w:t>
            </w:r>
          </w:p>
        </w:tc>
        <w:tc>
          <w:tcPr>
            <w:tcW w:w="2232" w:type="dxa"/>
            <w:shd w:val="clear" w:color="auto" w:fill="FFFFFF"/>
            <w:vAlign w:val="bottom"/>
          </w:tcPr>
          <w:p w14:paraId="0E93B38C" w14:textId="77777777" w:rsidR="00924992" w:rsidRDefault="00924992">
            <w:pPr>
              <w:pStyle w:val="Other0"/>
              <w:framePr w:w="11256" w:h="6326" w:vSpace="202" w:wrap="none" w:hAnchor="page" w:x="625" w:y="351"/>
              <w:spacing w:line="240" w:lineRule="auto"/>
              <w:ind w:firstLine="0"/>
              <w:rPr>
                <w:sz w:val="16"/>
                <w:szCs w:val="16"/>
              </w:rPr>
            </w:pPr>
            <w:r>
              <w:rPr>
                <w:rFonts w:ascii="Times New Roman" w:eastAsia="Times New Roman" w:hAnsi="Times New Roman" w:cs="Times New Roman"/>
                <w:sz w:val="16"/>
                <w:szCs w:val="16"/>
              </w:rPr>
              <w:t>0-42 días</w:t>
            </w:r>
          </w:p>
        </w:tc>
        <w:tc>
          <w:tcPr>
            <w:tcW w:w="2674" w:type="dxa"/>
            <w:shd w:val="clear" w:color="auto" w:fill="FFFFFF"/>
            <w:vAlign w:val="bottom"/>
          </w:tcPr>
          <w:p w14:paraId="535BB02A" w14:textId="77777777" w:rsidR="00924992" w:rsidRDefault="00924992">
            <w:pPr>
              <w:pStyle w:val="Other0"/>
              <w:framePr w:w="11256" w:h="6326" w:vSpace="202" w:wrap="none" w:hAnchor="page" w:x="625" w:y="351"/>
              <w:spacing w:line="240" w:lineRule="auto"/>
              <w:ind w:firstLine="260"/>
              <w:rPr>
                <w:sz w:val="16"/>
                <w:szCs w:val="16"/>
              </w:rPr>
            </w:pPr>
            <w:r>
              <w:rPr>
                <w:rFonts w:ascii="Times New Roman" w:eastAsia="Times New Roman" w:hAnsi="Times New Roman" w:cs="Times New Roman"/>
                <w:sz w:val="16"/>
                <w:szCs w:val="16"/>
              </w:rPr>
              <w:t>7-42 días</w:t>
            </w:r>
          </w:p>
        </w:tc>
      </w:tr>
      <w:tr w:rsidR="00924992" w14:paraId="6433D2FC" w14:textId="77777777">
        <w:tblPrEx>
          <w:tblCellMar>
            <w:top w:w="0" w:type="dxa"/>
            <w:bottom w:w="0" w:type="dxa"/>
          </w:tblCellMar>
        </w:tblPrEx>
        <w:trPr>
          <w:trHeight w:hRule="exact" w:val="226"/>
        </w:trPr>
        <w:tc>
          <w:tcPr>
            <w:tcW w:w="2054" w:type="dxa"/>
            <w:shd w:val="clear" w:color="auto" w:fill="FFFFFF"/>
            <w:vAlign w:val="bottom"/>
          </w:tcPr>
          <w:p w14:paraId="3DE5E0F1" w14:textId="77777777" w:rsidR="00924992" w:rsidRDefault="00924992">
            <w:pPr>
              <w:pStyle w:val="Other0"/>
              <w:framePr w:w="11256" w:h="6326" w:vSpace="202" w:wrap="none" w:hAnchor="page" w:x="625" w:y="351"/>
              <w:spacing w:line="240" w:lineRule="auto"/>
              <w:ind w:firstLine="400"/>
              <w:rPr>
                <w:sz w:val="16"/>
                <w:szCs w:val="16"/>
              </w:rPr>
            </w:pPr>
            <w:r>
              <w:rPr>
                <w:rFonts w:ascii="Times New Roman" w:eastAsia="Times New Roman" w:hAnsi="Times New Roman" w:cs="Times New Roman"/>
                <w:sz w:val="16"/>
                <w:szCs w:val="16"/>
              </w:rPr>
              <w:t>virus de rubéola</w:t>
            </w:r>
          </w:p>
        </w:tc>
        <w:tc>
          <w:tcPr>
            <w:tcW w:w="4296" w:type="dxa"/>
            <w:shd w:val="clear" w:color="auto" w:fill="FFFFFF"/>
            <w:vAlign w:val="bottom"/>
          </w:tcPr>
          <w:p w14:paraId="36F3584A" w14:textId="77777777" w:rsidR="00924992" w:rsidRDefault="00924992">
            <w:pPr>
              <w:pStyle w:val="Other0"/>
              <w:framePr w:w="11256" w:h="6326" w:vSpace="202" w:wrap="none" w:hAnchor="page" w:x="625" w:y="351"/>
              <w:spacing w:line="240" w:lineRule="auto"/>
              <w:ind w:firstLine="0"/>
              <w:rPr>
                <w:sz w:val="16"/>
                <w:szCs w:val="16"/>
              </w:rPr>
            </w:pPr>
            <w:r>
              <w:rPr>
                <w:rFonts w:ascii="Times New Roman" w:eastAsia="Times New Roman" w:hAnsi="Times New Roman" w:cs="Times New Roman"/>
                <w:sz w:val="16"/>
                <w:szCs w:val="16"/>
              </w:rPr>
              <w:t>B. Cualquier complicación aguda o secuela</w:t>
            </w:r>
          </w:p>
        </w:tc>
        <w:tc>
          <w:tcPr>
            <w:tcW w:w="2232" w:type="dxa"/>
            <w:shd w:val="clear" w:color="auto" w:fill="FFFFFF"/>
            <w:vAlign w:val="bottom"/>
          </w:tcPr>
          <w:p w14:paraId="308EE773" w14:textId="77777777" w:rsidR="00924992" w:rsidRDefault="00924992">
            <w:pPr>
              <w:pStyle w:val="Other0"/>
              <w:framePr w:w="11256" w:h="6326" w:vSpace="202" w:wrap="none" w:hAnchor="page" w:x="625" w:y="351"/>
              <w:spacing w:line="240" w:lineRule="auto"/>
              <w:ind w:firstLine="0"/>
              <w:rPr>
                <w:sz w:val="16"/>
                <w:szCs w:val="16"/>
              </w:rPr>
            </w:pPr>
            <w:r>
              <w:rPr>
                <w:rFonts w:ascii="Times New Roman" w:eastAsia="Times New Roman" w:hAnsi="Times New Roman" w:cs="Times New Roman"/>
                <w:sz w:val="16"/>
                <w:szCs w:val="16"/>
              </w:rPr>
              <w:t>No aplicable</w:t>
            </w:r>
          </w:p>
        </w:tc>
        <w:tc>
          <w:tcPr>
            <w:tcW w:w="2674" w:type="dxa"/>
            <w:shd w:val="clear" w:color="auto" w:fill="FFFFFF"/>
            <w:vAlign w:val="bottom"/>
          </w:tcPr>
          <w:p w14:paraId="7551F513" w14:textId="77777777" w:rsidR="00924992" w:rsidRDefault="00924992">
            <w:pPr>
              <w:pStyle w:val="Other0"/>
              <w:framePr w:w="11256" w:h="6326" w:vSpace="202" w:wrap="none" w:hAnchor="page" w:x="625" w:y="351"/>
              <w:spacing w:line="240" w:lineRule="auto"/>
              <w:ind w:firstLine="260"/>
              <w:rPr>
                <w:sz w:val="16"/>
                <w:szCs w:val="16"/>
              </w:rPr>
            </w:pPr>
            <w:r>
              <w:rPr>
                <w:rFonts w:ascii="Times New Roman" w:eastAsia="Times New Roman" w:hAnsi="Times New Roman" w:cs="Times New Roman"/>
                <w:sz w:val="16"/>
                <w:szCs w:val="16"/>
              </w:rPr>
              <w:t>No aplicable</w:t>
            </w:r>
          </w:p>
        </w:tc>
      </w:tr>
      <w:tr w:rsidR="00924992" w14:paraId="3D6CF636" w14:textId="77777777">
        <w:tblPrEx>
          <w:tblCellMar>
            <w:top w:w="0" w:type="dxa"/>
            <w:bottom w:w="0" w:type="dxa"/>
          </w:tblCellMar>
        </w:tblPrEx>
        <w:trPr>
          <w:trHeight w:hRule="exact" w:val="403"/>
        </w:trPr>
        <w:tc>
          <w:tcPr>
            <w:tcW w:w="2054" w:type="dxa"/>
            <w:shd w:val="clear" w:color="auto" w:fill="FFFFFF"/>
          </w:tcPr>
          <w:p w14:paraId="3331FBC4" w14:textId="77777777" w:rsidR="00924992" w:rsidRDefault="00924992">
            <w:pPr>
              <w:pStyle w:val="Other0"/>
              <w:framePr w:w="11256" w:h="6326" w:vSpace="202" w:wrap="none" w:hAnchor="page" w:x="625" w:y="351"/>
              <w:spacing w:line="240" w:lineRule="auto"/>
              <w:ind w:firstLine="400"/>
              <w:rPr>
                <w:sz w:val="16"/>
                <w:szCs w:val="16"/>
              </w:rPr>
            </w:pPr>
            <w:r>
              <w:rPr>
                <w:rFonts w:ascii="Times New Roman" w:eastAsia="Times New Roman" w:hAnsi="Times New Roman" w:cs="Times New Roman"/>
                <w:sz w:val="16"/>
                <w:szCs w:val="16"/>
              </w:rPr>
              <w:t>(MMR, MR, R)</w:t>
            </w:r>
          </w:p>
        </w:tc>
        <w:tc>
          <w:tcPr>
            <w:tcW w:w="4296" w:type="dxa"/>
            <w:shd w:val="clear" w:color="auto" w:fill="FFFFFF"/>
            <w:vAlign w:val="bottom"/>
          </w:tcPr>
          <w:p w14:paraId="1F946F76" w14:textId="77777777" w:rsidR="00924992" w:rsidRDefault="00924992">
            <w:pPr>
              <w:pStyle w:val="Other0"/>
              <w:framePr w:w="11256" w:h="6326" w:vSpace="202" w:wrap="none" w:hAnchor="page" w:x="625" w:y="351"/>
              <w:spacing w:line="240" w:lineRule="auto"/>
              <w:ind w:firstLine="340"/>
              <w:rPr>
                <w:sz w:val="16"/>
                <w:szCs w:val="16"/>
              </w:rPr>
            </w:pPr>
            <w:r>
              <w:rPr>
                <w:rFonts w:ascii="Times New Roman" w:eastAsia="Times New Roman" w:hAnsi="Times New Roman" w:cs="Times New Roman"/>
                <w:sz w:val="16"/>
                <w:szCs w:val="16"/>
              </w:rPr>
              <w:t>(incluso la muerte) de las reacciones anteriores</w:t>
            </w:r>
          </w:p>
          <w:p w14:paraId="1C84D2DE" w14:textId="77777777" w:rsidR="00924992" w:rsidRDefault="00924992">
            <w:pPr>
              <w:pStyle w:val="Other0"/>
              <w:framePr w:w="11256" w:h="6326" w:vSpace="202" w:wrap="none" w:hAnchor="page" w:x="625" w:y="351"/>
              <w:spacing w:line="240" w:lineRule="auto"/>
              <w:ind w:firstLine="0"/>
              <w:rPr>
                <w:sz w:val="16"/>
                <w:szCs w:val="16"/>
              </w:rPr>
            </w:pPr>
            <w:r>
              <w:rPr>
                <w:rFonts w:ascii="Times New Roman" w:eastAsia="Times New Roman" w:hAnsi="Times New Roman" w:cs="Times New Roman"/>
                <w:sz w:val="16"/>
                <w:szCs w:val="16"/>
              </w:rPr>
              <w:t>C. Reacciones descritas en las instrucciones del fabricante</w:t>
            </w:r>
          </w:p>
        </w:tc>
        <w:tc>
          <w:tcPr>
            <w:tcW w:w="2232" w:type="dxa"/>
            <w:shd w:val="clear" w:color="auto" w:fill="FFFFFF"/>
            <w:vAlign w:val="bottom"/>
          </w:tcPr>
          <w:p w14:paraId="2E9A4FB0" w14:textId="77777777" w:rsidR="00924992" w:rsidRDefault="00924992">
            <w:pPr>
              <w:pStyle w:val="Other0"/>
              <w:framePr w:w="11256" w:h="6326" w:vSpace="202" w:wrap="none" w:hAnchor="page" w:x="625" w:y="351"/>
              <w:spacing w:line="240" w:lineRule="auto"/>
              <w:ind w:firstLine="0"/>
              <w:rPr>
                <w:sz w:val="16"/>
                <w:szCs w:val="16"/>
              </w:rPr>
            </w:pPr>
            <w:r>
              <w:rPr>
                <w:rFonts w:ascii="Times New Roman" w:eastAsia="Times New Roman" w:hAnsi="Times New Roman" w:cs="Times New Roman"/>
                <w:sz w:val="16"/>
                <w:szCs w:val="16"/>
              </w:rPr>
              <w:t>Consultar las instrucciones</w:t>
            </w:r>
          </w:p>
        </w:tc>
        <w:tc>
          <w:tcPr>
            <w:tcW w:w="2674" w:type="dxa"/>
            <w:shd w:val="clear" w:color="auto" w:fill="FFFFFF"/>
            <w:vAlign w:val="bottom"/>
          </w:tcPr>
          <w:p w14:paraId="70EFDFE3" w14:textId="77777777" w:rsidR="00924992" w:rsidRDefault="00924992">
            <w:pPr>
              <w:pStyle w:val="Other0"/>
              <w:framePr w:w="11256" w:h="6326" w:vSpace="202" w:wrap="none" w:hAnchor="page" w:x="625" w:y="351"/>
              <w:spacing w:line="240" w:lineRule="auto"/>
              <w:ind w:firstLine="260"/>
              <w:rPr>
                <w:sz w:val="16"/>
                <w:szCs w:val="16"/>
              </w:rPr>
            </w:pPr>
            <w:r>
              <w:rPr>
                <w:rFonts w:ascii="Times New Roman" w:eastAsia="Times New Roman" w:hAnsi="Times New Roman" w:cs="Times New Roman"/>
                <w:sz w:val="16"/>
                <w:szCs w:val="16"/>
              </w:rPr>
              <w:t>No aplicable</w:t>
            </w:r>
          </w:p>
        </w:tc>
      </w:tr>
      <w:tr w:rsidR="00924992" w14:paraId="0C7459D9" w14:textId="77777777">
        <w:tblPrEx>
          <w:tblCellMar>
            <w:top w:w="0" w:type="dxa"/>
            <w:bottom w:w="0" w:type="dxa"/>
          </w:tblCellMar>
        </w:tblPrEx>
        <w:trPr>
          <w:trHeight w:hRule="exact" w:val="442"/>
        </w:trPr>
        <w:tc>
          <w:tcPr>
            <w:tcW w:w="2054" w:type="dxa"/>
            <w:shd w:val="clear" w:color="auto" w:fill="FFFFFF"/>
            <w:vAlign w:val="bottom"/>
          </w:tcPr>
          <w:p w14:paraId="182E3B14" w14:textId="77777777" w:rsidR="00924992" w:rsidRDefault="00924992">
            <w:pPr>
              <w:pStyle w:val="Other0"/>
              <w:framePr w:w="11256" w:h="6326" w:vSpace="202" w:wrap="none" w:hAnchor="page" w:x="625" w:y="351"/>
              <w:spacing w:line="240" w:lineRule="auto"/>
              <w:ind w:firstLine="200"/>
              <w:rPr>
                <w:sz w:val="16"/>
                <w:szCs w:val="16"/>
              </w:rPr>
            </w:pPr>
            <w:r>
              <w:rPr>
                <w:rFonts w:ascii="Times New Roman" w:eastAsia="Times New Roman" w:hAnsi="Times New Roman" w:cs="Times New Roman"/>
                <w:sz w:val="16"/>
                <w:szCs w:val="16"/>
              </w:rPr>
              <w:t>V. Vacunas que contienen</w:t>
            </w:r>
          </w:p>
        </w:tc>
        <w:tc>
          <w:tcPr>
            <w:tcW w:w="4296" w:type="dxa"/>
            <w:shd w:val="clear" w:color="auto" w:fill="FFFFFF"/>
            <w:vAlign w:val="bottom"/>
          </w:tcPr>
          <w:p w14:paraId="409D305A" w14:textId="77777777" w:rsidR="00924992" w:rsidRDefault="00924992">
            <w:pPr>
              <w:pStyle w:val="Other0"/>
              <w:framePr w:w="11256" w:h="6326" w:vSpace="202" w:wrap="none" w:hAnchor="page" w:x="625" w:y="351"/>
              <w:spacing w:line="276" w:lineRule="auto"/>
              <w:ind w:firstLine="340"/>
              <w:rPr>
                <w:sz w:val="16"/>
                <w:szCs w:val="16"/>
              </w:rPr>
            </w:pPr>
            <w:r>
              <w:rPr>
                <w:rFonts w:ascii="Times New Roman" w:eastAsia="Times New Roman" w:hAnsi="Times New Roman" w:cs="Times New Roman"/>
                <w:sz w:val="16"/>
                <w:szCs w:val="16"/>
              </w:rPr>
              <w:t>como contraindicaciones para aplicar más dosis de vacuna A. Púrpura trombocitopénica</w:t>
            </w:r>
          </w:p>
        </w:tc>
        <w:tc>
          <w:tcPr>
            <w:tcW w:w="2232" w:type="dxa"/>
            <w:shd w:val="clear" w:color="auto" w:fill="FFFFFF"/>
            <w:vAlign w:val="bottom"/>
          </w:tcPr>
          <w:p w14:paraId="6954CE79" w14:textId="77777777" w:rsidR="00924992" w:rsidRDefault="00924992">
            <w:pPr>
              <w:pStyle w:val="Other0"/>
              <w:framePr w:w="11256" w:h="6326" w:vSpace="202" w:wrap="none" w:hAnchor="page" w:x="625" w:y="351"/>
              <w:spacing w:line="240" w:lineRule="auto"/>
              <w:ind w:firstLine="200"/>
              <w:rPr>
                <w:sz w:val="16"/>
                <w:szCs w:val="16"/>
              </w:rPr>
            </w:pPr>
            <w:r>
              <w:rPr>
                <w:rFonts w:ascii="Times New Roman" w:eastAsia="Times New Roman" w:hAnsi="Times New Roman" w:cs="Times New Roman"/>
                <w:sz w:val="16"/>
                <w:szCs w:val="16"/>
              </w:rPr>
              <w:t>del fabricante</w:t>
            </w:r>
          </w:p>
          <w:p w14:paraId="7581F9BB" w14:textId="77777777" w:rsidR="00924992" w:rsidRDefault="00924992">
            <w:pPr>
              <w:pStyle w:val="Other0"/>
              <w:framePr w:w="11256" w:h="6326" w:vSpace="202" w:wrap="none" w:hAnchor="page" w:x="625" w:y="351"/>
              <w:spacing w:line="240" w:lineRule="auto"/>
              <w:ind w:firstLine="0"/>
              <w:rPr>
                <w:sz w:val="16"/>
                <w:szCs w:val="16"/>
              </w:rPr>
            </w:pPr>
            <w:r>
              <w:rPr>
                <w:rFonts w:ascii="Times New Roman" w:eastAsia="Times New Roman" w:hAnsi="Times New Roman" w:cs="Times New Roman"/>
                <w:sz w:val="16"/>
                <w:szCs w:val="16"/>
              </w:rPr>
              <w:t>0-30 días</w:t>
            </w:r>
          </w:p>
        </w:tc>
        <w:tc>
          <w:tcPr>
            <w:tcW w:w="2674" w:type="dxa"/>
            <w:shd w:val="clear" w:color="auto" w:fill="FFFFFF"/>
            <w:vAlign w:val="bottom"/>
          </w:tcPr>
          <w:p w14:paraId="16566BDA" w14:textId="77777777" w:rsidR="00924992" w:rsidRDefault="00924992">
            <w:pPr>
              <w:pStyle w:val="Other0"/>
              <w:framePr w:w="11256" w:h="6326" w:vSpace="202" w:wrap="none" w:hAnchor="page" w:x="625" w:y="351"/>
              <w:spacing w:line="240" w:lineRule="auto"/>
              <w:ind w:firstLine="260"/>
              <w:rPr>
                <w:sz w:val="16"/>
                <w:szCs w:val="16"/>
              </w:rPr>
            </w:pPr>
            <w:r>
              <w:rPr>
                <w:rFonts w:ascii="Times New Roman" w:eastAsia="Times New Roman" w:hAnsi="Times New Roman" w:cs="Times New Roman"/>
                <w:sz w:val="16"/>
                <w:szCs w:val="16"/>
              </w:rPr>
              <w:t>7-30 días</w:t>
            </w:r>
          </w:p>
        </w:tc>
      </w:tr>
      <w:tr w:rsidR="00924992" w14:paraId="2F5DA210" w14:textId="77777777">
        <w:tblPrEx>
          <w:tblCellMar>
            <w:top w:w="0" w:type="dxa"/>
            <w:bottom w:w="0" w:type="dxa"/>
          </w:tblCellMar>
        </w:tblPrEx>
        <w:trPr>
          <w:trHeight w:hRule="exact" w:val="206"/>
        </w:trPr>
        <w:tc>
          <w:tcPr>
            <w:tcW w:w="2054" w:type="dxa"/>
            <w:shd w:val="clear" w:color="auto" w:fill="FFFFFF"/>
          </w:tcPr>
          <w:p w14:paraId="66A79087" w14:textId="77777777" w:rsidR="00924992" w:rsidRDefault="00924992">
            <w:pPr>
              <w:pStyle w:val="Other0"/>
              <w:framePr w:w="11256" w:h="6326" w:vSpace="202" w:wrap="none" w:hAnchor="page" w:x="625" w:y="351"/>
              <w:spacing w:line="240" w:lineRule="auto"/>
              <w:ind w:firstLine="400"/>
              <w:rPr>
                <w:sz w:val="16"/>
                <w:szCs w:val="16"/>
              </w:rPr>
            </w:pPr>
            <w:r>
              <w:rPr>
                <w:rFonts w:ascii="Times New Roman" w:eastAsia="Times New Roman" w:hAnsi="Times New Roman" w:cs="Times New Roman"/>
                <w:sz w:val="16"/>
                <w:szCs w:val="16"/>
              </w:rPr>
              <w:t>virus de sarampión</w:t>
            </w:r>
          </w:p>
        </w:tc>
        <w:tc>
          <w:tcPr>
            <w:tcW w:w="4296" w:type="dxa"/>
            <w:shd w:val="clear" w:color="auto" w:fill="FFFFFF"/>
          </w:tcPr>
          <w:p w14:paraId="45607BCF" w14:textId="77777777" w:rsidR="00924992" w:rsidRDefault="00924992">
            <w:pPr>
              <w:pStyle w:val="Other0"/>
              <w:framePr w:w="11256" w:h="6326" w:vSpace="202" w:wrap="none" w:hAnchor="page" w:x="625" w:y="351"/>
              <w:spacing w:line="240" w:lineRule="auto"/>
              <w:ind w:firstLine="0"/>
              <w:rPr>
                <w:sz w:val="16"/>
                <w:szCs w:val="16"/>
              </w:rPr>
            </w:pPr>
            <w:r>
              <w:rPr>
                <w:rFonts w:ascii="Times New Roman" w:eastAsia="Times New Roman" w:hAnsi="Times New Roman" w:cs="Times New Roman"/>
                <w:sz w:val="16"/>
                <w:szCs w:val="16"/>
              </w:rPr>
              <w:t>B. Infección vírica de sarampión, de la cepa vacunal, en un</w:t>
            </w:r>
          </w:p>
        </w:tc>
        <w:tc>
          <w:tcPr>
            <w:tcW w:w="2232" w:type="dxa"/>
            <w:shd w:val="clear" w:color="auto" w:fill="FFFFFF"/>
          </w:tcPr>
          <w:p w14:paraId="217A9C34" w14:textId="77777777" w:rsidR="00924992" w:rsidRDefault="00924992">
            <w:pPr>
              <w:pStyle w:val="Other0"/>
              <w:framePr w:w="11256" w:h="6326" w:vSpace="202" w:wrap="none" w:hAnchor="page" w:x="625" w:y="351"/>
              <w:spacing w:line="240" w:lineRule="auto"/>
              <w:ind w:firstLine="0"/>
              <w:rPr>
                <w:sz w:val="16"/>
                <w:szCs w:val="16"/>
              </w:rPr>
            </w:pPr>
            <w:r>
              <w:rPr>
                <w:rFonts w:ascii="Times New Roman" w:eastAsia="Times New Roman" w:hAnsi="Times New Roman" w:cs="Times New Roman"/>
                <w:sz w:val="16"/>
                <w:szCs w:val="16"/>
              </w:rPr>
              <w:t>0-6 meses</w:t>
            </w:r>
          </w:p>
        </w:tc>
        <w:tc>
          <w:tcPr>
            <w:tcW w:w="2674" w:type="dxa"/>
            <w:shd w:val="clear" w:color="auto" w:fill="FFFFFF"/>
          </w:tcPr>
          <w:p w14:paraId="77C72EDC" w14:textId="77777777" w:rsidR="00924992" w:rsidRDefault="00924992">
            <w:pPr>
              <w:pStyle w:val="Other0"/>
              <w:framePr w:w="11256" w:h="6326" w:vSpace="202" w:wrap="none" w:hAnchor="page" w:x="625" w:y="351"/>
              <w:spacing w:line="240" w:lineRule="auto"/>
              <w:ind w:firstLine="260"/>
              <w:rPr>
                <w:sz w:val="16"/>
                <w:szCs w:val="16"/>
              </w:rPr>
            </w:pPr>
            <w:r>
              <w:rPr>
                <w:rFonts w:ascii="Times New Roman" w:eastAsia="Times New Roman" w:hAnsi="Times New Roman" w:cs="Times New Roman"/>
                <w:sz w:val="16"/>
                <w:szCs w:val="16"/>
              </w:rPr>
              <w:t>0-6 meses</w:t>
            </w:r>
          </w:p>
        </w:tc>
      </w:tr>
      <w:tr w:rsidR="00924992" w14:paraId="08D2B652" w14:textId="77777777">
        <w:tblPrEx>
          <w:tblCellMar>
            <w:top w:w="0" w:type="dxa"/>
            <w:bottom w:w="0" w:type="dxa"/>
          </w:tblCellMar>
        </w:tblPrEx>
        <w:trPr>
          <w:trHeight w:hRule="exact" w:val="437"/>
        </w:trPr>
        <w:tc>
          <w:tcPr>
            <w:tcW w:w="2054" w:type="dxa"/>
            <w:shd w:val="clear" w:color="auto" w:fill="FFFFFF"/>
          </w:tcPr>
          <w:p w14:paraId="361F0845" w14:textId="77777777" w:rsidR="00924992" w:rsidRDefault="00924992">
            <w:pPr>
              <w:pStyle w:val="Other0"/>
              <w:framePr w:w="11256" w:h="6326" w:vSpace="202" w:wrap="none" w:hAnchor="page" w:x="625" w:y="351"/>
              <w:spacing w:line="240" w:lineRule="auto"/>
              <w:ind w:firstLine="400"/>
              <w:rPr>
                <w:sz w:val="16"/>
                <w:szCs w:val="16"/>
              </w:rPr>
            </w:pPr>
            <w:r>
              <w:rPr>
                <w:rFonts w:ascii="Times New Roman" w:eastAsia="Times New Roman" w:hAnsi="Times New Roman" w:cs="Times New Roman"/>
                <w:sz w:val="16"/>
                <w:szCs w:val="16"/>
              </w:rPr>
              <w:t>(como MMR, MR, M)</w:t>
            </w:r>
          </w:p>
        </w:tc>
        <w:tc>
          <w:tcPr>
            <w:tcW w:w="4296" w:type="dxa"/>
            <w:shd w:val="clear" w:color="auto" w:fill="FFFFFF"/>
          </w:tcPr>
          <w:p w14:paraId="5F8D0B58" w14:textId="77777777" w:rsidR="00924992" w:rsidRDefault="00924992">
            <w:pPr>
              <w:pStyle w:val="Other0"/>
              <w:framePr w:w="11256" w:h="6326" w:vSpace="202" w:wrap="none" w:hAnchor="page" w:x="625" w:y="351"/>
              <w:spacing w:line="240" w:lineRule="auto"/>
              <w:ind w:firstLine="340"/>
              <w:rPr>
                <w:sz w:val="16"/>
                <w:szCs w:val="16"/>
              </w:rPr>
            </w:pPr>
            <w:r>
              <w:rPr>
                <w:rFonts w:ascii="Times New Roman" w:eastAsia="Times New Roman" w:hAnsi="Times New Roman" w:cs="Times New Roman"/>
                <w:sz w:val="16"/>
                <w:szCs w:val="16"/>
              </w:rPr>
              <w:t>receptor inmunodeficiente</w:t>
            </w:r>
          </w:p>
          <w:p w14:paraId="40F9055D" w14:textId="77777777" w:rsidR="00924992" w:rsidRDefault="00924992">
            <w:pPr>
              <w:pStyle w:val="Other0"/>
              <w:framePr w:w="11256" w:h="6326" w:vSpace="202" w:wrap="none" w:hAnchor="page" w:x="625" w:y="351"/>
              <w:spacing w:line="240" w:lineRule="auto"/>
              <w:ind w:firstLine="0"/>
              <w:rPr>
                <w:sz w:val="16"/>
                <w:szCs w:val="16"/>
              </w:rPr>
            </w:pPr>
            <w:r>
              <w:rPr>
                <w:rFonts w:ascii="Times New Roman" w:eastAsia="Times New Roman" w:hAnsi="Times New Roman" w:cs="Times New Roman"/>
                <w:sz w:val="16"/>
                <w:szCs w:val="16"/>
              </w:rPr>
              <w:t>C. Cualquier complicación aguda o secuela</w:t>
            </w:r>
          </w:p>
        </w:tc>
        <w:tc>
          <w:tcPr>
            <w:tcW w:w="2232" w:type="dxa"/>
            <w:shd w:val="clear" w:color="auto" w:fill="FFFFFF"/>
            <w:vAlign w:val="bottom"/>
          </w:tcPr>
          <w:p w14:paraId="2C4F84D2" w14:textId="77777777" w:rsidR="00924992" w:rsidRDefault="00924992">
            <w:pPr>
              <w:pStyle w:val="Other0"/>
              <w:framePr w:w="11256" w:h="6326" w:vSpace="202" w:wrap="none" w:hAnchor="page" w:x="625" w:y="351"/>
              <w:spacing w:line="240" w:lineRule="auto"/>
              <w:ind w:firstLine="0"/>
              <w:rPr>
                <w:sz w:val="16"/>
                <w:szCs w:val="16"/>
              </w:rPr>
            </w:pPr>
            <w:r>
              <w:rPr>
                <w:rFonts w:ascii="Times New Roman" w:eastAsia="Times New Roman" w:hAnsi="Times New Roman" w:cs="Times New Roman"/>
                <w:sz w:val="16"/>
                <w:szCs w:val="16"/>
              </w:rPr>
              <w:t>No aplicable</w:t>
            </w:r>
          </w:p>
        </w:tc>
        <w:tc>
          <w:tcPr>
            <w:tcW w:w="2674" w:type="dxa"/>
            <w:shd w:val="clear" w:color="auto" w:fill="FFFFFF"/>
            <w:vAlign w:val="bottom"/>
          </w:tcPr>
          <w:p w14:paraId="01A7436F" w14:textId="77777777" w:rsidR="00924992" w:rsidRDefault="00924992">
            <w:pPr>
              <w:pStyle w:val="Other0"/>
              <w:framePr w:w="11256" w:h="6326" w:vSpace="202" w:wrap="none" w:hAnchor="page" w:x="625" w:y="351"/>
              <w:spacing w:line="240" w:lineRule="auto"/>
              <w:ind w:firstLine="260"/>
              <w:rPr>
                <w:sz w:val="16"/>
                <w:szCs w:val="16"/>
              </w:rPr>
            </w:pPr>
            <w:r>
              <w:rPr>
                <w:rFonts w:ascii="Times New Roman" w:eastAsia="Times New Roman" w:hAnsi="Times New Roman" w:cs="Times New Roman"/>
                <w:sz w:val="16"/>
                <w:szCs w:val="16"/>
              </w:rPr>
              <w:t>No aplicable</w:t>
            </w:r>
          </w:p>
        </w:tc>
      </w:tr>
    </w:tbl>
    <w:p w14:paraId="16A915B9" w14:textId="77777777" w:rsidR="00924992" w:rsidRDefault="00924992">
      <w:pPr>
        <w:framePr w:w="11256" w:h="6326" w:vSpace="202" w:wrap="none" w:hAnchor="page" w:x="625" w:y="351"/>
        <w:spacing w:line="1" w:lineRule="exact"/>
      </w:pPr>
    </w:p>
    <w:p w14:paraId="6FB32672" w14:textId="77777777" w:rsidR="00924992" w:rsidRDefault="00924992">
      <w:pPr>
        <w:pStyle w:val="Tablecaption0"/>
        <w:framePr w:w="3336" w:h="226" w:wrap="none" w:hAnchor="page" w:x="3011" w:y="6653"/>
        <w:spacing w:line="240" w:lineRule="auto"/>
        <w:ind w:left="0"/>
        <w:rPr>
          <w:sz w:val="16"/>
          <w:szCs w:val="16"/>
        </w:rPr>
      </w:pPr>
      <w:r>
        <w:rPr>
          <w:sz w:val="16"/>
          <w:szCs w:val="16"/>
        </w:rPr>
        <w:t>(incluida la muerte) de las reacciones anteriores</w:t>
      </w:r>
    </w:p>
    <w:p w14:paraId="46D6C981" w14:textId="77777777" w:rsidR="00924992" w:rsidRDefault="00924992">
      <w:pPr>
        <w:pStyle w:val="Bodytext20"/>
        <w:framePr w:w="701" w:h="245" w:wrap="none" w:hAnchor="page" w:x="11372" w:y="6918"/>
        <w:spacing w:line="240" w:lineRule="auto"/>
        <w:jc w:val="right"/>
      </w:pPr>
      <w:r>
        <w:rPr>
          <w:i/>
          <w:iCs/>
        </w:rPr>
        <w:t>continúa</w:t>
      </w:r>
    </w:p>
    <w:p w14:paraId="38FD3341" w14:textId="77777777" w:rsidR="00924992" w:rsidRDefault="00924992">
      <w:pPr>
        <w:pStyle w:val="Bodytext80"/>
        <w:framePr w:w="192" w:h="3902" w:hRule="exact" w:wrap="none" w:hAnchor="page" w:x="12390" w:y="3011"/>
        <w:tabs>
          <w:tab w:val="left" w:pos="3586"/>
        </w:tabs>
        <w:textDirection w:val="tbRl"/>
        <w:rPr>
          <w:sz w:val="16"/>
          <w:szCs w:val="16"/>
        </w:rPr>
      </w:pPr>
      <w:r>
        <w:t>APÉNDICE IV</w:t>
      </w:r>
      <w:r>
        <w:tab/>
      </w:r>
      <w:r>
        <w:rPr>
          <w:sz w:val="16"/>
          <w:szCs w:val="16"/>
        </w:rPr>
        <w:t>839</w:t>
      </w:r>
    </w:p>
    <w:p w14:paraId="64A412D6" w14:textId="77777777" w:rsidR="00924992" w:rsidRDefault="00924992">
      <w:pPr>
        <w:spacing w:line="360" w:lineRule="exact"/>
      </w:pPr>
    </w:p>
    <w:p w14:paraId="05738DDD" w14:textId="77777777" w:rsidR="00924992" w:rsidRDefault="00924992">
      <w:pPr>
        <w:spacing w:line="360" w:lineRule="exact"/>
      </w:pPr>
    </w:p>
    <w:p w14:paraId="3D15FCE6" w14:textId="77777777" w:rsidR="00924992" w:rsidRDefault="00924992">
      <w:pPr>
        <w:spacing w:line="360" w:lineRule="exact"/>
      </w:pPr>
    </w:p>
    <w:p w14:paraId="0F93E471" w14:textId="77777777" w:rsidR="00924992" w:rsidRDefault="00924992">
      <w:pPr>
        <w:spacing w:line="360" w:lineRule="exact"/>
      </w:pPr>
    </w:p>
    <w:p w14:paraId="37AF7135" w14:textId="77777777" w:rsidR="00924992" w:rsidRDefault="00924992">
      <w:pPr>
        <w:spacing w:line="360" w:lineRule="exact"/>
      </w:pPr>
    </w:p>
    <w:p w14:paraId="6096D3E5" w14:textId="77777777" w:rsidR="00924992" w:rsidRDefault="00924992">
      <w:pPr>
        <w:spacing w:line="360" w:lineRule="exact"/>
      </w:pPr>
    </w:p>
    <w:p w14:paraId="154BE9A3" w14:textId="77777777" w:rsidR="00924992" w:rsidRDefault="00924992">
      <w:pPr>
        <w:spacing w:line="360" w:lineRule="exact"/>
      </w:pPr>
    </w:p>
    <w:p w14:paraId="1C4EC5D8" w14:textId="77777777" w:rsidR="00924992" w:rsidRDefault="00924992">
      <w:pPr>
        <w:spacing w:line="360" w:lineRule="exact"/>
      </w:pPr>
    </w:p>
    <w:p w14:paraId="1508A8B8" w14:textId="77777777" w:rsidR="00924992" w:rsidRDefault="00924992">
      <w:pPr>
        <w:spacing w:line="360" w:lineRule="exact"/>
      </w:pPr>
    </w:p>
    <w:p w14:paraId="083D45A2" w14:textId="77777777" w:rsidR="00924992" w:rsidRDefault="00924992">
      <w:pPr>
        <w:spacing w:line="360" w:lineRule="exact"/>
      </w:pPr>
    </w:p>
    <w:p w14:paraId="31A50077" w14:textId="77777777" w:rsidR="00924992" w:rsidRDefault="00924992">
      <w:pPr>
        <w:spacing w:line="360" w:lineRule="exact"/>
      </w:pPr>
    </w:p>
    <w:p w14:paraId="220F99F1" w14:textId="77777777" w:rsidR="00924992" w:rsidRDefault="00924992">
      <w:pPr>
        <w:spacing w:line="360" w:lineRule="exact"/>
      </w:pPr>
    </w:p>
    <w:p w14:paraId="4B917BAE" w14:textId="77777777" w:rsidR="00924992" w:rsidRDefault="00924992">
      <w:pPr>
        <w:spacing w:line="360" w:lineRule="exact"/>
      </w:pPr>
    </w:p>
    <w:p w14:paraId="2742A6D7" w14:textId="77777777" w:rsidR="00924992" w:rsidRDefault="00924992">
      <w:pPr>
        <w:spacing w:line="360" w:lineRule="exact"/>
      </w:pPr>
    </w:p>
    <w:p w14:paraId="43075DC6" w14:textId="77777777" w:rsidR="00924992" w:rsidRDefault="00924992">
      <w:pPr>
        <w:spacing w:line="360" w:lineRule="exact"/>
      </w:pPr>
    </w:p>
    <w:p w14:paraId="0CA53C57" w14:textId="77777777" w:rsidR="00924992" w:rsidRDefault="00924992">
      <w:pPr>
        <w:spacing w:line="360" w:lineRule="exact"/>
      </w:pPr>
    </w:p>
    <w:p w14:paraId="3A088D0E" w14:textId="77777777" w:rsidR="00924992" w:rsidRDefault="00924992">
      <w:pPr>
        <w:spacing w:line="360" w:lineRule="exact"/>
      </w:pPr>
    </w:p>
    <w:p w14:paraId="75181572" w14:textId="77777777" w:rsidR="00924992" w:rsidRDefault="00924992">
      <w:pPr>
        <w:spacing w:line="360" w:lineRule="exact"/>
      </w:pPr>
    </w:p>
    <w:p w14:paraId="37FB9B91" w14:textId="77777777" w:rsidR="00924992" w:rsidRDefault="00924992">
      <w:pPr>
        <w:spacing w:after="681" w:line="1" w:lineRule="exact"/>
      </w:pPr>
    </w:p>
    <w:p w14:paraId="4A8BEBE8" w14:textId="77777777" w:rsidR="00924992" w:rsidRDefault="00924992">
      <w:pPr>
        <w:spacing w:line="1" w:lineRule="exact"/>
        <w:sectPr w:rsidR="00924992" w:rsidSect="00924992">
          <w:headerReference w:type="even" r:id="rId484"/>
          <w:headerReference w:type="default" r:id="rId485"/>
          <w:footerReference w:type="even" r:id="rId486"/>
          <w:footerReference w:type="default" r:id="rId487"/>
          <w:pgSz w:w="13022" w:h="8501" w:orient="landscape"/>
          <w:pgMar w:top="1085" w:right="442" w:bottom="55" w:left="624" w:header="657" w:footer="3" w:gutter="0"/>
          <w:pgNumType w:start="1025"/>
          <w:cols w:space="720"/>
          <w:noEndnote/>
          <w:docGrid w:linePitch="360"/>
          <w15:footnoteColumns w:val="1"/>
        </w:sectPr>
      </w:pPr>
    </w:p>
    <w:p w14:paraId="74E60223" w14:textId="77777777" w:rsidR="00924992" w:rsidRDefault="00924992">
      <w:pPr>
        <w:spacing w:line="1" w:lineRule="exact"/>
      </w:pPr>
      <w:r>
        <w:rPr>
          <w:noProof/>
        </w:rPr>
        <mc:AlternateContent>
          <mc:Choice Requires="wps">
            <w:drawing>
              <wp:anchor distT="0" distB="0" distL="114300" distR="114300" simplePos="0" relativeHeight="251755520" behindDoc="0" locked="0" layoutInCell="1" allowOverlap="1" wp14:anchorId="4CC73B21" wp14:editId="123448B1">
                <wp:simplePos x="0" y="0"/>
                <wp:positionH relativeFrom="page">
                  <wp:posOffset>734695</wp:posOffset>
                </wp:positionH>
                <wp:positionV relativeFrom="paragraph">
                  <wp:posOffset>12700</wp:posOffset>
                </wp:positionV>
                <wp:extent cx="6590030" cy="204470"/>
                <wp:effectExtent l="0" t="0" r="0" b="0"/>
                <wp:wrapTopAndBottom/>
                <wp:docPr id="2573" name="Shape 2573"/>
                <wp:cNvGraphicFramePr/>
                <a:graphic xmlns:a="http://schemas.openxmlformats.org/drawingml/2006/main">
                  <a:graphicData uri="http://schemas.microsoft.com/office/word/2010/wordprocessingShape">
                    <wps:wsp>
                      <wps:cNvSpPr txBox="1"/>
                      <wps:spPr>
                        <a:xfrm>
                          <a:off x="0" y="0"/>
                          <a:ext cx="6590030" cy="204470"/>
                        </a:xfrm>
                        <a:prstGeom prst="rect">
                          <a:avLst/>
                        </a:prstGeom>
                        <a:noFill/>
                      </wps:spPr>
                      <wps:txbx>
                        <w:txbxContent>
                          <w:p w14:paraId="4642FAE9" w14:textId="77777777" w:rsidR="00924992" w:rsidRDefault="00924992">
                            <w:pPr>
                              <w:pStyle w:val="Heading31"/>
                              <w:keepNext/>
                              <w:keepLines/>
                              <w:rPr>
                                <w:sz w:val="16"/>
                                <w:szCs w:val="16"/>
                              </w:rPr>
                            </w:pPr>
                            <w:bookmarkStart w:id="882" w:name="bookmark2276"/>
                            <w:bookmarkStart w:id="883" w:name="bookmark2277"/>
                            <w:bookmarkStart w:id="884" w:name="bookmark2278"/>
                            <w:r>
                              <w:t>Cuadro de notificaciones y compensaciones conforme a la ley nacional de daños por vacunas en niños</w:t>
                            </w:r>
                            <w:r>
                              <w:rPr>
                                <w:vertAlign w:val="superscript"/>
                              </w:rPr>
                              <w:t>1</w:t>
                            </w:r>
                            <w:r>
                              <w:t xml:space="preserve"> </w:t>
                            </w:r>
                            <w:r>
                              <w:rPr>
                                <w:rFonts w:ascii="Times New Roman" w:eastAsia="Times New Roman" w:hAnsi="Times New Roman" w:cs="Times New Roman"/>
                                <w:b w:val="0"/>
                                <w:bCs w:val="0"/>
                                <w:i/>
                                <w:iCs/>
                                <w:w w:val="100"/>
                                <w:sz w:val="16"/>
                                <w:szCs w:val="16"/>
                              </w:rPr>
                              <w:t>continuación</w:t>
                            </w:r>
                            <w:bookmarkEnd w:id="882"/>
                            <w:bookmarkEnd w:id="883"/>
                            <w:bookmarkEnd w:id="884"/>
                          </w:p>
                        </w:txbxContent>
                      </wps:txbx>
                      <wps:bodyPr wrap="none" lIns="0" tIns="0" rIns="0" bIns="0"/>
                    </wps:wsp>
                  </a:graphicData>
                </a:graphic>
              </wp:anchor>
            </w:drawing>
          </mc:Choice>
          <mc:Fallback>
            <w:pict>
              <v:shape w14:anchorId="4CC73B21" id="Shape 2573" o:spid="_x0000_s1137" type="#_x0000_t202" style="position:absolute;margin-left:57.85pt;margin-top:1pt;width:518.9pt;height:16.1pt;z-index:251755520;visibility:visible;mso-wrap-style:none;mso-wrap-distance-left:9pt;mso-wrap-distance-top:0;mso-wrap-distance-right:9pt;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" filled="f" stroked="f">
                <v:textbox inset="0,0,0,0">
                  <w:txbxContent>
                    <w:p w14:paraId="4642FAE9" w14:textId="77777777" w:rsidR="00924992" w:rsidRDefault="00924992">
                      <w:pPr>
                        <w:pStyle w:val="Heading31"/>
                        <w:keepNext/>
                        <w:keepLines/>
                        <w:rPr>
                          <w:sz w:val="16"/>
                          <w:szCs w:val="16"/>
                        </w:rPr>
                      </w:pPr>
                      <w:bookmarkStart w:id="885" w:name="bookmark2276"/>
                      <w:bookmarkStart w:id="886" w:name="bookmark2277"/>
                      <w:bookmarkStart w:id="887" w:name="bookmark2278"/>
                      <w:r>
                        <w:t>Cuadro de notificaciones y compensaciones conforme a la ley nacional de daños por vacunas en niños</w:t>
                      </w:r>
                      <w:r>
                        <w:rPr>
                          <w:vertAlign w:val="superscript"/>
                        </w:rPr>
                        <w:t>1</w:t>
                      </w:r>
                      <w:r>
                        <w:t xml:space="preserve"> </w:t>
                      </w:r>
                      <w:r>
                        <w:rPr>
                          <w:rFonts w:ascii="Times New Roman" w:eastAsia="Times New Roman" w:hAnsi="Times New Roman" w:cs="Times New Roman"/>
                          <w:b w:val="0"/>
                          <w:bCs w:val="0"/>
                          <w:i/>
                          <w:iCs/>
                          <w:w w:val="100"/>
                          <w:sz w:val="16"/>
                          <w:szCs w:val="16"/>
                        </w:rPr>
                        <w:t>continuación</w:t>
                      </w:r>
                      <w:bookmarkEnd w:id="885"/>
                      <w:bookmarkEnd w:id="886"/>
                      <w:bookmarkEnd w:id="887"/>
                    </w:p>
                  </w:txbxContent>
                </v:textbox>
                <w10:wrap type="topAndBottom" anchorx="page"/>
              </v:shape>
            </w:pict>
          </mc:Fallback>
        </mc:AlternateContent>
      </w:r>
      <w:r>
        <w:rPr>
          <w:noProof/>
        </w:rPr>
        <mc:AlternateContent>
          <mc:Choice Requires="wps">
            <w:drawing>
              <wp:anchor distT="88900" distB="3889375" distL="97790" distR="921385" simplePos="0" relativeHeight="251756544" behindDoc="0" locked="0" layoutInCell="1" allowOverlap="1" wp14:anchorId="7AD570C2" wp14:editId="6953C719">
                <wp:simplePos x="0" y="0"/>
                <wp:positionH relativeFrom="page">
                  <wp:posOffset>432435</wp:posOffset>
                </wp:positionH>
                <wp:positionV relativeFrom="paragraph">
                  <wp:posOffset>393065</wp:posOffset>
                </wp:positionV>
                <wp:extent cx="393065" cy="189230"/>
                <wp:effectExtent l="0" t="0" r="0" b="0"/>
                <wp:wrapSquare wrapText="right"/>
                <wp:docPr id="2575" name="Shape 2575"/>
                <wp:cNvGraphicFramePr/>
                <a:graphic xmlns:a="http://schemas.openxmlformats.org/drawingml/2006/main">
                  <a:graphicData uri="http://schemas.microsoft.com/office/word/2010/wordprocessingShape">
                    <wps:wsp>
                      <wps:cNvSpPr txBox="1"/>
                      <wps:spPr>
                        <a:xfrm>
                          <a:off x="0" y="0"/>
                          <a:ext cx="393065" cy="189230"/>
                        </a:xfrm>
                        <a:prstGeom prst="rect">
                          <a:avLst/>
                        </a:prstGeom>
                        <a:solidFill>
                          <a:srgbClr val="231F20"/>
                        </a:solidFill>
                      </wps:spPr>
                      <wps:txbx>
                        <w:txbxContent>
                          <w:p w14:paraId="37F5EAFC" w14:textId="77777777" w:rsidR="00924992" w:rsidRDefault="00924992">
                            <w:pPr>
                              <w:pStyle w:val="Other0"/>
                              <w:pBdr>
                                <w:top w:val="single" w:sz="0" w:space="0" w:color="231F20"/>
                                <w:left w:val="single" w:sz="0" w:space="0" w:color="231F20"/>
                                <w:bottom w:val="single" w:sz="0" w:space="0" w:color="231F20"/>
                                <w:right w:val="single" w:sz="0" w:space="0" w:color="231F20"/>
                              </w:pBdr>
                              <w:shd w:val="clear" w:color="auto" w:fill="231F20"/>
                              <w:spacing w:line="240" w:lineRule="auto"/>
                              <w:ind w:firstLine="0"/>
                              <w:rPr>
                                <w:sz w:val="24"/>
                                <w:szCs w:val="24"/>
                              </w:rPr>
                            </w:pPr>
                            <w:r>
                              <w:rPr>
                                <w:rFonts w:ascii="Arial" w:eastAsia="Arial" w:hAnsi="Arial" w:cs="Arial"/>
                                <w:b/>
                                <w:bCs/>
                                <w:color w:val="FFFFFF"/>
                                <w:w w:val="70"/>
                                <w:sz w:val="24"/>
                                <w:szCs w:val="24"/>
                              </w:rPr>
                              <w:t>Vacuna</w:t>
                            </w:r>
                          </w:p>
                        </w:txbxContent>
                      </wps:txbx>
                      <wps:bodyPr wrap="none" lIns="0" tIns="0" rIns="0" bIns="0"/>
                    </wps:wsp>
                  </a:graphicData>
                </a:graphic>
              </wp:anchor>
            </w:drawing>
          </mc:Choice>
          <mc:Fallback>
            <w:pict>
              <v:shape w14:anchorId="7AD570C2" id="Shape 2575" o:spid="_x0000_s1138" type="#_x0000_t202" style="position:absolute;margin-left:34.05pt;margin-top:30.95pt;width:30.95pt;height:14.9pt;z-index:251756544;visibility:visible;mso-wrap-style:none;mso-wrap-distance-left:7.7pt;mso-wrap-distance-top:7pt;mso-wrap-distance-right:72.55pt;mso-wrap-distance-bottom:306.25pt;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" fillcolor="#231f20" stroked="f">
                <v:textbox inset="0,0,0,0">
                  <w:txbxContent>
                    <w:p w14:paraId="37F5EAFC" w14:textId="77777777" w:rsidR="00924992" w:rsidRDefault="00924992">
                      <w:pPr>
                        <w:pStyle w:val="Other0"/>
                        <w:pBdr>
                          <w:top w:val="single" w:sz="0" w:space="0" w:color="231F20"/>
                          <w:left w:val="single" w:sz="0" w:space="0" w:color="231F20"/>
                          <w:bottom w:val="single" w:sz="0" w:space="0" w:color="231F20"/>
                          <w:right w:val="single" w:sz="0" w:space="0" w:color="231F20"/>
                        </w:pBdr>
                        <w:shd w:val="clear" w:color="auto" w:fill="231F20"/>
                        <w:spacing w:line="240" w:lineRule="auto"/>
                        <w:ind w:firstLine="0"/>
                        <w:rPr>
                          <w:sz w:val="24"/>
                          <w:szCs w:val="24"/>
                        </w:rPr>
                      </w:pPr>
                      <w:r>
                        <w:rPr>
                          <w:rFonts w:ascii="Arial" w:eastAsia="Arial" w:hAnsi="Arial" w:cs="Arial"/>
                          <w:b/>
                          <w:bCs/>
                          <w:color w:val="FFFFFF"/>
                          <w:w w:val="70"/>
                          <w:sz w:val="24"/>
                          <w:szCs w:val="24"/>
                        </w:rPr>
                        <w:t>Vacuna</w:t>
                      </w:r>
                    </w:p>
                  </w:txbxContent>
                </v:textbox>
                <w10:wrap type="square" side="right" anchorx="page"/>
              </v:shape>
            </w:pict>
          </mc:Fallback>
        </mc:AlternateContent>
      </w:r>
      <w:r>
        <w:rPr>
          <w:noProof/>
        </w:rPr>
        <mc:AlternateContent>
          <mc:Choice Requires="wps">
            <w:drawing>
              <wp:anchor distT="598170" distB="3151505" distL="125730" distR="140335" simplePos="0" relativeHeight="251757568" behindDoc="0" locked="0" layoutInCell="1" allowOverlap="1" wp14:anchorId="4E09F767" wp14:editId="6F6504C7">
                <wp:simplePos x="0" y="0"/>
                <wp:positionH relativeFrom="page">
                  <wp:posOffset>460375</wp:posOffset>
                </wp:positionH>
                <wp:positionV relativeFrom="paragraph">
                  <wp:posOffset>902335</wp:posOffset>
                </wp:positionV>
                <wp:extent cx="1146175" cy="417830"/>
                <wp:effectExtent l="0" t="0" r="0" b="0"/>
                <wp:wrapSquare wrapText="right"/>
                <wp:docPr id="2577" name="Shape 2577"/>
                <wp:cNvGraphicFramePr/>
                <a:graphic xmlns:a="http://schemas.openxmlformats.org/drawingml/2006/main">
                  <a:graphicData uri="http://schemas.microsoft.com/office/word/2010/wordprocessingShape">
                    <wps:wsp>
                      <wps:cNvSpPr txBox="1"/>
                      <wps:spPr>
                        <a:xfrm>
                          <a:off x="0" y="0"/>
                          <a:ext cx="1146175" cy="417830"/>
                        </a:xfrm>
                        <a:prstGeom prst="rect">
                          <a:avLst/>
                        </a:prstGeom>
                        <a:noFill/>
                      </wps:spPr>
                      <wps:txbx>
                        <w:txbxContent>
                          <w:p w14:paraId="11676460" w14:textId="77777777" w:rsidR="00924992" w:rsidRDefault="00924992">
                            <w:pPr>
                              <w:pStyle w:val="Bodytext20"/>
                              <w:spacing w:line="276" w:lineRule="auto"/>
                              <w:ind w:left="300" w:hanging="300"/>
                            </w:pPr>
                            <w:r>
                              <w:t>VI. Vacuna que contiene virus de poliomielitis vivos (OPV)</w:t>
                            </w:r>
                          </w:p>
                        </w:txbxContent>
                      </wps:txbx>
                      <wps:bodyPr lIns="0" tIns="0" rIns="0" bIns="0"/>
                    </wps:wsp>
                  </a:graphicData>
                </a:graphic>
              </wp:anchor>
            </w:drawing>
          </mc:Choice>
          <mc:Fallback>
            <w:pict>
              <v:shape w14:anchorId="4E09F767" id="Shape 2577" o:spid="_x0000_s1139" type="#_x0000_t202" style="position:absolute;margin-left:36.25pt;margin-top:71.05pt;width:90.25pt;height:32.9pt;z-index:251757568;visibility:visible;mso-wrap-style:square;mso-wrap-distance-left:9.9pt;mso-wrap-distance-top:47.1pt;mso-wrap-distance-right:11.05pt;mso-wrap-distance-bottom:248.15pt;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" filled="f" stroked="f">
                <v:textbox inset="0,0,0,0">
                  <w:txbxContent>
                    <w:p w14:paraId="11676460" w14:textId="77777777" w:rsidR="00924992" w:rsidRDefault="00924992">
                      <w:pPr>
                        <w:pStyle w:val="Bodytext20"/>
                        <w:spacing w:line="276" w:lineRule="auto"/>
                        <w:ind w:left="300" w:hanging="300"/>
                      </w:pPr>
                      <w:r>
                        <w:t>VI. Vacuna que contiene virus de poliomielitis vivos (OPV)</w:t>
                      </w:r>
                    </w:p>
                  </w:txbxContent>
                </v:textbox>
                <w10:wrap type="square" side="right" anchorx="page"/>
              </v:shape>
            </w:pict>
          </mc:Fallback>
        </mc:AlternateContent>
      </w:r>
      <w:r>
        <w:rPr>
          <w:noProof/>
        </w:rPr>
        <mc:AlternateContent>
          <mc:Choice Requires="wps">
            <w:drawing>
              <wp:anchor distT="2198370" distB="88265" distL="88900" distR="88900" simplePos="0" relativeHeight="251758592" behindDoc="0" locked="0" layoutInCell="1" allowOverlap="1" wp14:anchorId="117548BF" wp14:editId="5B748401">
                <wp:simplePos x="0" y="0"/>
                <wp:positionH relativeFrom="page">
                  <wp:posOffset>423545</wp:posOffset>
                </wp:positionH>
                <wp:positionV relativeFrom="paragraph">
                  <wp:posOffset>2502535</wp:posOffset>
                </wp:positionV>
                <wp:extent cx="1234440" cy="1880870"/>
                <wp:effectExtent l="0" t="0" r="0" b="0"/>
                <wp:wrapSquare wrapText="right"/>
                <wp:docPr id="2579" name="Shape 2579"/>
                <wp:cNvGraphicFramePr/>
                <a:graphic xmlns:a="http://schemas.openxmlformats.org/drawingml/2006/main">
                  <a:graphicData uri="http://schemas.microsoft.com/office/word/2010/wordprocessingShape">
                    <wps:wsp>
                      <wps:cNvSpPr txBox="1"/>
                      <wps:spPr>
                        <a:xfrm>
                          <a:off x="0" y="0"/>
                          <a:ext cx="1234440" cy="1880870"/>
                        </a:xfrm>
                        <a:prstGeom prst="rect">
                          <a:avLst/>
                        </a:prstGeom>
                        <a:noFill/>
                      </wps:spPr>
                      <wps:txbx>
                        <w:txbxContent>
                          <w:p w14:paraId="1653380F" w14:textId="77777777" w:rsidR="00924992" w:rsidRDefault="00924992">
                            <w:pPr>
                              <w:pStyle w:val="Bodytext20"/>
                              <w:numPr>
                                <w:ilvl w:val="0"/>
                                <w:numId w:val="157"/>
                              </w:numPr>
                              <w:tabs>
                                <w:tab w:val="left" w:pos="336"/>
                              </w:tabs>
                              <w:spacing w:line="276" w:lineRule="auto"/>
                              <w:ind w:left="360" w:hanging="360"/>
                            </w:pPr>
                            <w:bookmarkStart w:id="888" w:name="bookmark2279"/>
                            <w:bookmarkEnd w:id="888"/>
                            <w:r>
                              <w:t>Vacunas que contienen virus de poliomielitis inactivados (como IPV)</w:t>
                            </w:r>
                          </w:p>
                          <w:p w14:paraId="119A42FC" w14:textId="77777777" w:rsidR="00924992" w:rsidRDefault="00924992">
                            <w:pPr>
                              <w:pStyle w:val="Bodytext20"/>
                              <w:numPr>
                                <w:ilvl w:val="0"/>
                                <w:numId w:val="157"/>
                              </w:numPr>
                              <w:tabs>
                                <w:tab w:val="left" w:pos="346"/>
                              </w:tabs>
                              <w:spacing w:after="400" w:line="276" w:lineRule="auto"/>
                              <w:ind w:left="360" w:hanging="360"/>
                            </w:pPr>
                            <w:bookmarkStart w:id="889" w:name="bookmark2280"/>
                            <w:bookmarkEnd w:id="889"/>
                            <w:r>
                              <w:t>Vacunas que contienen antígeno de hepatitis B</w:t>
                            </w:r>
                          </w:p>
                          <w:p w14:paraId="6608857A" w14:textId="77777777" w:rsidR="00924992" w:rsidRDefault="00924992">
                            <w:pPr>
                              <w:pStyle w:val="Bodytext20"/>
                              <w:spacing w:line="276" w:lineRule="auto"/>
                              <w:ind w:left="360" w:hanging="360"/>
                            </w:pPr>
                            <w:r>
                              <w:t xml:space="preserve">IX. </w:t>
                            </w:r>
                            <w:r>
                              <w:rPr>
                                <w:i/>
                                <w:iCs/>
                              </w:rPr>
                              <w:t xml:space="preserve">Haemophilus influenzae </w:t>
                            </w:r>
                            <w:r>
                              <w:t>de tipo b (vacunas de conjugado polisacárido)</w:t>
                            </w:r>
                          </w:p>
                        </w:txbxContent>
                      </wps:txbx>
                      <wps:bodyPr lIns="0" tIns="0" rIns="0" bIns="0"/>
                    </wps:wsp>
                  </a:graphicData>
                </a:graphic>
              </wp:anchor>
            </w:drawing>
          </mc:Choice>
          <mc:Fallback>
            <w:pict>
              <v:shape w14:anchorId="117548BF" id="Shape 2579" o:spid="_x0000_s1140" type="#_x0000_t202" style="position:absolute;margin-left:33.35pt;margin-top:197.05pt;width:97.2pt;height:148.1pt;z-index:251758592;visibility:visible;mso-wrap-style:square;mso-wrap-distance-left:7pt;mso-wrap-distance-top:173.1pt;mso-wrap-distance-right:7pt;mso-wrap-distance-bottom:6.95pt;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" filled="f" stroked="f">
                <v:textbox inset="0,0,0,0">
                  <w:txbxContent>
                    <w:p w14:paraId="1653380F" w14:textId="77777777" w:rsidR="00924992" w:rsidRDefault="00924992">
                      <w:pPr>
                        <w:pStyle w:val="Bodytext20"/>
                        <w:numPr>
                          <w:ilvl w:val="0"/>
                          <w:numId w:val="157"/>
                        </w:numPr>
                        <w:tabs>
                          <w:tab w:val="left" w:pos="336"/>
                        </w:tabs>
                        <w:spacing w:line="276" w:lineRule="auto"/>
                        <w:ind w:left="360" w:hanging="360"/>
                      </w:pPr>
                      <w:bookmarkStart w:id="890" w:name="bookmark2279"/>
                      <w:bookmarkEnd w:id="890"/>
                      <w:r>
                        <w:t>Vacunas que contienen virus de poliomielitis inactivados (como IPV)</w:t>
                      </w:r>
                    </w:p>
                    <w:p w14:paraId="119A42FC" w14:textId="77777777" w:rsidR="00924992" w:rsidRDefault="00924992">
                      <w:pPr>
                        <w:pStyle w:val="Bodytext20"/>
                        <w:numPr>
                          <w:ilvl w:val="0"/>
                          <w:numId w:val="157"/>
                        </w:numPr>
                        <w:tabs>
                          <w:tab w:val="left" w:pos="346"/>
                        </w:tabs>
                        <w:spacing w:after="400" w:line="276" w:lineRule="auto"/>
                        <w:ind w:left="360" w:hanging="360"/>
                      </w:pPr>
                      <w:bookmarkStart w:id="891" w:name="bookmark2280"/>
                      <w:bookmarkEnd w:id="891"/>
                      <w:r>
                        <w:t>Vacunas que contienen antígeno de hepatitis B</w:t>
                      </w:r>
                    </w:p>
                    <w:p w14:paraId="6608857A" w14:textId="77777777" w:rsidR="00924992" w:rsidRDefault="00924992">
                      <w:pPr>
                        <w:pStyle w:val="Bodytext20"/>
                        <w:spacing w:line="276" w:lineRule="auto"/>
                        <w:ind w:left="360" w:hanging="360"/>
                      </w:pPr>
                      <w:r>
                        <w:t xml:space="preserve">IX. </w:t>
                      </w:r>
                      <w:r>
                        <w:rPr>
                          <w:i/>
                          <w:iCs/>
                        </w:rPr>
                        <w:t xml:space="preserve">Haemophilus influenzae </w:t>
                      </w:r>
                      <w:r>
                        <w:t>de tipo b (vacunas de conjugado polisacárido)</w:t>
                      </w:r>
                    </w:p>
                  </w:txbxContent>
                </v:textbox>
                <w10:wrap type="square" side="right" anchorx="page"/>
              </v:shape>
            </w:pict>
          </mc:Fallback>
        </mc:AlternateContent>
      </w:r>
      <w:r>
        <w:rPr>
          <w:noProof/>
        </w:rPr>
        <mc:AlternateContent>
          <mc:Choice Requires="wps">
            <w:drawing>
              <wp:anchor distT="0" distB="0" distL="114300" distR="114300" simplePos="0" relativeHeight="251759616" behindDoc="0" locked="0" layoutInCell="1" allowOverlap="1" wp14:anchorId="1FF8F22E" wp14:editId="2C6FA40E">
                <wp:simplePos x="0" y="0"/>
                <wp:positionH relativeFrom="page">
                  <wp:posOffset>1755775</wp:posOffset>
                </wp:positionH>
                <wp:positionV relativeFrom="paragraph">
                  <wp:posOffset>393065</wp:posOffset>
                </wp:positionV>
                <wp:extent cx="1121410" cy="189230"/>
                <wp:effectExtent l="0" t="0" r="0" b="0"/>
                <wp:wrapSquare wrapText="right"/>
                <wp:docPr id="2581" name="Shape 2581"/>
                <wp:cNvGraphicFramePr/>
                <a:graphic xmlns:a="http://schemas.openxmlformats.org/drawingml/2006/main">
                  <a:graphicData uri="http://schemas.microsoft.com/office/word/2010/wordprocessingShape">
                    <wps:wsp>
                      <wps:cNvSpPr txBox="1"/>
                      <wps:spPr>
                        <a:xfrm>
                          <a:off x="0" y="0"/>
                          <a:ext cx="1121410" cy="189230"/>
                        </a:xfrm>
                        <a:prstGeom prst="rect">
                          <a:avLst/>
                        </a:prstGeom>
                        <a:solidFill>
                          <a:srgbClr val="231F20"/>
                        </a:solidFill>
                      </wps:spPr>
                      <wps:txbx>
                        <w:txbxContent>
                          <w:p w14:paraId="3877A4BD" w14:textId="77777777" w:rsidR="00924992" w:rsidRDefault="00924992">
                            <w:pPr>
                              <w:pStyle w:val="Other0"/>
                              <w:pBdr>
                                <w:top w:val="single" w:sz="0" w:space="0" w:color="231F20"/>
                                <w:left w:val="single" w:sz="0" w:space="0" w:color="231F20"/>
                                <w:bottom w:val="single" w:sz="0" w:space="0" w:color="231F20"/>
                                <w:right w:val="single" w:sz="0" w:space="0" w:color="231F20"/>
                              </w:pBdr>
                              <w:shd w:val="clear" w:color="auto" w:fill="231F20"/>
                              <w:spacing w:line="240" w:lineRule="auto"/>
                              <w:ind w:firstLine="0"/>
                              <w:rPr>
                                <w:sz w:val="24"/>
                                <w:szCs w:val="24"/>
                              </w:rPr>
                            </w:pPr>
                            <w:r>
                              <w:rPr>
                                <w:rFonts w:ascii="Arial" w:eastAsia="Arial" w:hAnsi="Arial" w:cs="Arial"/>
                                <w:b/>
                                <w:bCs/>
                                <w:color w:val="FFFFFF"/>
                                <w:w w:val="70"/>
                                <w:sz w:val="24"/>
                                <w:szCs w:val="24"/>
                              </w:rPr>
                              <w:t>Reacciones adversas</w:t>
                            </w:r>
                          </w:p>
                        </w:txbxContent>
                      </wps:txbx>
                      <wps:bodyPr wrap="none" lIns="0" tIns="0" rIns="0" bIns="0"/>
                    </wps:wsp>
                  </a:graphicData>
                </a:graphic>
              </wp:anchor>
            </w:drawing>
          </mc:Choice>
          <mc:Fallback>
            <w:pict>
              <v:shape w14:anchorId="1FF8F22E" id="Shape 2581" o:spid="_x0000_s1141" type="#_x0000_t202" style="position:absolute;margin-left:138.25pt;margin-top:30.95pt;width:88.3pt;height:14.9pt;z-index:251759616;visibility:visible;mso-wrap-style:none;mso-wrap-distance-left:9pt;mso-wrap-distance-top:0;mso-wrap-distance-right:9pt;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" fillcolor="#231f20" stroked="f">
                <v:textbox inset="0,0,0,0">
                  <w:txbxContent>
                    <w:p w14:paraId="3877A4BD" w14:textId="77777777" w:rsidR="00924992" w:rsidRDefault="00924992">
                      <w:pPr>
                        <w:pStyle w:val="Other0"/>
                        <w:pBdr>
                          <w:top w:val="single" w:sz="0" w:space="0" w:color="231F20"/>
                          <w:left w:val="single" w:sz="0" w:space="0" w:color="231F20"/>
                          <w:bottom w:val="single" w:sz="0" w:space="0" w:color="231F20"/>
                          <w:right w:val="single" w:sz="0" w:space="0" w:color="231F20"/>
                        </w:pBdr>
                        <w:shd w:val="clear" w:color="auto" w:fill="231F20"/>
                        <w:spacing w:line="240" w:lineRule="auto"/>
                        <w:ind w:firstLine="0"/>
                        <w:rPr>
                          <w:sz w:val="24"/>
                          <w:szCs w:val="24"/>
                        </w:rPr>
                      </w:pPr>
                      <w:r>
                        <w:rPr>
                          <w:rFonts w:ascii="Arial" w:eastAsia="Arial" w:hAnsi="Arial" w:cs="Arial"/>
                          <w:b/>
                          <w:bCs/>
                          <w:color w:val="FFFFFF"/>
                          <w:w w:val="70"/>
                          <w:sz w:val="24"/>
                          <w:szCs w:val="24"/>
                        </w:rPr>
                        <w:t>Reacciones adversas</w:t>
                      </w:r>
                    </w:p>
                  </w:txbxContent>
                </v:textbox>
                <w10:wrap type="square" side="right" anchorx="page"/>
              </v:shape>
            </w:pict>
          </mc:Fallback>
        </mc:AlternateContent>
      </w:r>
      <w:r>
        <w:rPr>
          <w:noProof/>
        </w:rPr>
        <mc:AlternateContent>
          <mc:Choice Requires="wps">
            <w:drawing>
              <wp:anchor distT="0" distB="0" distL="114300" distR="114300" simplePos="0" relativeHeight="251760640" behindDoc="0" locked="0" layoutInCell="1" allowOverlap="1" wp14:anchorId="51F582A7" wp14:editId="52A22B24">
                <wp:simplePos x="0" y="0"/>
                <wp:positionH relativeFrom="page">
                  <wp:posOffset>4486910</wp:posOffset>
                </wp:positionH>
                <wp:positionV relativeFrom="paragraph">
                  <wp:posOffset>1033145</wp:posOffset>
                </wp:positionV>
                <wp:extent cx="463550" cy="417830"/>
                <wp:effectExtent l="0" t="0" r="0" b="0"/>
                <wp:wrapSquare wrapText="left"/>
                <wp:docPr id="2583" name="Shape 2583"/>
                <wp:cNvGraphicFramePr/>
                <a:graphic xmlns:a="http://schemas.openxmlformats.org/drawingml/2006/main">
                  <a:graphicData uri="http://schemas.microsoft.com/office/word/2010/wordprocessingShape">
                    <wps:wsp>
                      <wps:cNvSpPr txBox="1"/>
                      <wps:spPr>
                        <a:xfrm>
                          <a:off x="0" y="0"/>
                          <a:ext cx="463550" cy="417830"/>
                        </a:xfrm>
                        <a:prstGeom prst="rect">
                          <a:avLst/>
                        </a:prstGeom>
                        <a:noFill/>
                      </wps:spPr>
                      <wps:txbx>
                        <w:txbxContent>
                          <w:p w14:paraId="17FD6A14" w14:textId="77777777" w:rsidR="00924992" w:rsidRDefault="00924992">
                            <w:pPr>
                              <w:pStyle w:val="Bodytext20"/>
                              <w:spacing w:line="276" w:lineRule="auto"/>
                            </w:pPr>
                            <w:r>
                              <w:t>0-30 días 0-6 meses</w:t>
                            </w:r>
                          </w:p>
                          <w:p w14:paraId="6FDB2CCC" w14:textId="77777777" w:rsidR="00924992" w:rsidRDefault="00924992">
                            <w:pPr>
                              <w:pStyle w:val="Bodytext20"/>
                              <w:spacing w:line="276" w:lineRule="auto"/>
                            </w:pPr>
                            <w:r>
                              <w:t>Sin límite</w:t>
                            </w:r>
                          </w:p>
                        </w:txbxContent>
                      </wps:txbx>
                      <wps:bodyPr lIns="0" tIns="0" rIns="0" bIns="0"/>
                    </wps:wsp>
                  </a:graphicData>
                </a:graphic>
              </wp:anchor>
            </w:drawing>
          </mc:Choice>
          <mc:Fallback>
            <w:pict>
              <v:shape w14:anchorId="51F582A7" id="Shape 2583" o:spid="_x0000_s1142" type="#_x0000_t202" style="position:absolute;margin-left:353.3pt;margin-top:81.35pt;width:36.5pt;height:32.9pt;z-index:251760640;visibility:visible;mso-wrap-style:square;mso-wrap-distance-left:9pt;mso-wrap-distance-top:0;mso-wrap-distance-right:9pt;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" filled="f" stroked="f">
                <v:textbox inset="0,0,0,0">
                  <w:txbxContent>
                    <w:p w14:paraId="17FD6A14" w14:textId="77777777" w:rsidR="00924992" w:rsidRDefault="00924992">
                      <w:pPr>
                        <w:pStyle w:val="Bodytext20"/>
                        <w:spacing w:line="276" w:lineRule="auto"/>
                      </w:pPr>
                      <w:r>
                        <w:t>0-30 días 0-6 meses</w:t>
                      </w:r>
                    </w:p>
                    <w:p w14:paraId="6FDB2CCC" w14:textId="77777777" w:rsidR="00924992" w:rsidRDefault="00924992">
                      <w:pPr>
                        <w:pStyle w:val="Bodytext20"/>
                        <w:spacing w:line="276" w:lineRule="auto"/>
                      </w:pPr>
                      <w:r>
                        <w:t>Sin límite</w:t>
                      </w:r>
                    </w:p>
                  </w:txbxContent>
                </v:textbox>
                <w10:wrap type="square" side="left" anchorx="page"/>
              </v:shape>
            </w:pict>
          </mc:Fallback>
        </mc:AlternateContent>
      </w:r>
      <w:r>
        <w:rPr>
          <w:noProof/>
        </w:rPr>
        <mc:AlternateContent>
          <mc:Choice Requires="wps">
            <w:drawing>
              <wp:anchor distT="0" distB="0" distL="114300" distR="114300" simplePos="0" relativeHeight="251761664" behindDoc="0" locked="0" layoutInCell="1" allowOverlap="1" wp14:anchorId="325DE230" wp14:editId="56BB2AAC">
                <wp:simplePos x="0" y="0"/>
                <wp:positionH relativeFrom="page">
                  <wp:posOffset>4486910</wp:posOffset>
                </wp:positionH>
                <wp:positionV relativeFrom="paragraph">
                  <wp:posOffset>1566545</wp:posOffset>
                </wp:positionV>
                <wp:extent cx="463550" cy="417830"/>
                <wp:effectExtent l="0" t="0" r="0" b="0"/>
                <wp:wrapSquare wrapText="left"/>
                <wp:docPr id="2585" name="Shape 2585"/>
                <wp:cNvGraphicFramePr/>
                <a:graphic xmlns:a="http://schemas.openxmlformats.org/drawingml/2006/main">
                  <a:graphicData uri="http://schemas.microsoft.com/office/word/2010/wordprocessingShape">
                    <wps:wsp>
                      <wps:cNvSpPr txBox="1"/>
                      <wps:spPr>
                        <a:xfrm>
                          <a:off x="0" y="0"/>
                          <a:ext cx="463550" cy="417830"/>
                        </a:xfrm>
                        <a:prstGeom prst="rect">
                          <a:avLst/>
                        </a:prstGeom>
                        <a:noFill/>
                      </wps:spPr>
                      <wps:txbx>
                        <w:txbxContent>
                          <w:p w14:paraId="657B63A4" w14:textId="77777777" w:rsidR="00924992" w:rsidRDefault="00924992">
                            <w:pPr>
                              <w:pStyle w:val="Bodytext20"/>
                              <w:spacing w:line="276" w:lineRule="auto"/>
                            </w:pPr>
                            <w:r>
                              <w:t>0-30 días 0-6 meses</w:t>
                            </w:r>
                          </w:p>
                          <w:p w14:paraId="49AA7DD1" w14:textId="77777777" w:rsidR="00924992" w:rsidRDefault="00924992">
                            <w:pPr>
                              <w:pStyle w:val="Bodytext20"/>
                              <w:spacing w:line="276" w:lineRule="auto"/>
                            </w:pPr>
                            <w:r>
                              <w:t>Sin límite</w:t>
                            </w:r>
                          </w:p>
                        </w:txbxContent>
                      </wps:txbx>
                      <wps:bodyPr lIns="0" tIns="0" rIns="0" bIns="0"/>
                    </wps:wsp>
                  </a:graphicData>
                </a:graphic>
              </wp:anchor>
            </w:drawing>
          </mc:Choice>
          <mc:Fallback>
            <w:pict>
              <v:shape w14:anchorId="325DE230" id="Shape 2585" o:spid="_x0000_s1143" type="#_x0000_t202" style="position:absolute;margin-left:353.3pt;margin-top:123.35pt;width:36.5pt;height:32.9pt;z-index:251761664;visibility:visible;mso-wrap-style:square;mso-wrap-distance-left:9pt;mso-wrap-distance-top:0;mso-wrap-distance-right:9pt;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" filled="f" stroked="f">
                <v:textbox inset="0,0,0,0">
                  <w:txbxContent>
                    <w:p w14:paraId="657B63A4" w14:textId="77777777" w:rsidR="00924992" w:rsidRDefault="00924992">
                      <w:pPr>
                        <w:pStyle w:val="Bodytext20"/>
                        <w:spacing w:line="276" w:lineRule="auto"/>
                      </w:pPr>
                      <w:r>
                        <w:t>0-30 días 0-6 meses</w:t>
                      </w:r>
                    </w:p>
                    <w:p w14:paraId="49AA7DD1" w14:textId="77777777" w:rsidR="00924992" w:rsidRDefault="00924992">
                      <w:pPr>
                        <w:pStyle w:val="Bodytext20"/>
                        <w:spacing w:line="276" w:lineRule="auto"/>
                      </w:pPr>
                      <w:r>
                        <w:t>Sin límite</w:t>
                      </w:r>
                    </w:p>
                  </w:txbxContent>
                </v:textbox>
                <w10:wrap type="square" side="left" anchorx="page"/>
              </v:shape>
            </w:pict>
          </mc:Fallback>
        </mc:AlternateContent>
      </w:r>
      <w:r>
        <w:rPr>
          <w:noProof/>
        </w:rPr>
        <mc:AlternateContent>
          <mc:Choice Requires="wps">
            <w:drawing>
              <wp:anchor distT="0" distB="0" distL="114300" distR="114300" simplePos="0" relativeHeight="251762688" behindDoc="0" locked="0" layoutInCell="1" allowOverlap="1" wp14:anchorId="6560DD27" wp14:editId="501104BF">
                <wp:simplePos x="0" y="0"/>
                <wp:positionH relativeFrom="page">
                  <wp:posOffset>4480560</wp:posOffset>
                </wp:positionH>
                <wp:positionV relativeFrom="paragraph">
                  <wp:posOffset>2099945</wp:posOffset>
                </wp:positionV>
                <wp:extent cx="1222375" cy="262255"/>
                <wp:effectExtent l="0" t="0" r="0" b="0"/>
                <wp:wrapSquare wrapText="left"/>
                <wp:docPr id="2587" name="Shape 2587"/>
                <wp:cNvGraphicFramePr/>
                <a:graphic xmlns:a="http://schemas.openxmlformats.org/drawingml/2006/main">
                  <a:graphicData uri="http://schemas.microsoft.com/office/word/2010/wordprocessingShape">
                    <wps:wsp>
                      <wps:cNvSpPr txBox="1"/>
                      <wps:spPr>
                        <a:xfrm>
                          <a:off x="0" y="0"/>
                          <a:ext cx="1222375" cy="262255"/>
                        </a:xfrm>
                        <a:prstGeom prst="rect">
                          <a:avLst/>
                        </a:prstGeom>
                        <a:noFill/>
                      </wps:spPr>
                      <wps:txbx>
                        <w:txbxContent>
                          <w:p w14:paraId="02D39CD3" w14:textId="77777777" w:rsidR="00924992" w:rsidRDefault="00924992">
                            <w:pPr>
                              <w:pStyle w:val="Bodytext20"/>
                              <w:spacing w:line="240" w:lineRule="auto"/>
                            </w:pPr>
                            <w:r>
                              <w:t>No aplicable</w:t>
                            </w:r>
                          </w:p>
                          <w:p w14:paraId="0B33FE6E" w14:textId="77777777" w:rsidR="00924992" w:rsidRDefault="00924992">
                            <w:pPr>
                              <w:pStyle w:val="Bodytext20"/>
                              <w:spacing w:line="240" w:lineRule="auto"/>
                            </w:pPr>
                            <w:r>
                              <w:t>Consultar las instrucciones</w:t>
                            </w:r>
                          </w:p>
                        </w:txbxContent>
                      </wps:txbx>
                      <wps:bodyPr lIns="0" tIns="0" rIns="0" bIns="0"/>
                    </wps:wsp>
                  </a:graphicData>
                </a:graphic>
              </wp:anchor>
            </w:drawing>
          </mc:Choice>
          <mc:Fallback>
            <w:pict>
              <v:shape w14:anchorId="6560DD27" id="Shape 2587" o:spid="_x0000_s1144" type="#_x0000_t202" style="position:absolute;margin-left:352.8pt;margin-top:165.35pt;width:96.25pt;height:20.65pt;z-index:251762688;visibility:visible;mso-wrap-style:square;mso-wrap-distance-left:9pt;mso-wrap-distance-top:0;mso-wrap-distance-right:9pt;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" filled="f" stroked="f">
                <v:textbox inset="0,0,0,0">
                  <w:txbxContent>
                    <w:p w14:paraId="02D39CD3" w14:textId="77777777" w:rsidR="00924992" w:rsidRDefault="00924992">
                      <w:pPr>
                        <w:pStyle w:val="Bodytext20"/>
                        <w:spacing w:line="240" w:lineRule="auto"/>
                      </w:pPr>
                      <w:r>
                        <w:t>No aplicable</w:t>
                      </w:r>
                    </w:p>
                    <w:p w14:paraId="0B33FE6E" w14:textId="77777777" w:rsidR="00924992" w:rsidRDefault="00924992">
                      <w:pPr>
                        <w:pStyle w:val="Bodytext20"/>
                        <w:spacing w:line="240" w:lineRule="auto"/>
                      </w:pPr>
                      <w:r>
                        <w:t>Consultar las instrucciones</w:t>
                      </w:r>
                    </w:p>
                  </w:txbxContent>
                </v:textbox>
                <w10:wrap type="square" side="left" anchorx="page"/>
              </v:shape>
            </w:pict>
          </mc:Fallback>
        </mc:AlternateContent>
      </w:r>
      <w:r>
        <w:rPr>
          <w:noProof/>
        </w:rPr>
        <mc:AlternateContent>
          <mc:Choice Requires="wps">
            <w:drawing>
              <wp:anchor distT="0" distB="0" distL="114300" distR="114300" simplePos="0" relativeHeight="251763712" behindDoc="0" locked="0" layoutInCell="1" allowOverlap="1" wp14:anchorId="37EFFC96" wp14:editId="0CB9E13C">
                <wp:simplePos x="0" y="0"/>
                <wp:positionH relativeFrom="page">
                  <wp:posOffset>5995670</wp:posOffset>
                </wp:positionH>
                <wp:positionV relativeFrom="paragraph">
                  <wp:posOffset>633730</wp:posOffset>
                </wp:positionV>
                <wp:extent cx="591185" cy="3618230"/>
                <wp:effectExtent l="0" t="0" r="0" b="0"/>
                <wp:wrapSquare wrapText="left"/>
                <wp:docPr id="2589" name="Shape 2589"/>
                <wp:cNvGraphicFramePr/>
                <a:graphic xmlns:a="http://schemas.openxmlformats.org/drawingml/2006/main">
                  <a:graphicData uri="http://schemas.microsoft.com/office/word/2010/wordprocessingShape">
                    <wps:wsp>
                      <wps:cNvSpPr txBox="1"/>
                      <wps:spPr>
                        <a:xfrm>
                          <a:off x="0" y="0"/>
                          <a:ext cx="591185" cy="3618230"/>
                        </a:xfrm>
                        <a:prstGeom prst="rect">
                          <a:avLst/>
                        </a:prstGeom>
                        <a:noFill/>
                      </wps:spPr>
                      <wps:txbx>
                        <w:txbxContent>
                          <w:p w14:paraId="7CFE3056" w14:textId="77777777" w:rsidR="00924992" w:rsidRDefault="00924992">
                            <w:pPr>
                              <w:pStyle w:val="Bodytext20"/>
                              <w:spacing w:after="400" w:line="276" w:lineRule="auto"/>
                            </w:pPr>
                            <w:r>
                              <w:t>No aplicable</w:t>
                            </w:r>
                          </w:p>
                          <w:p w14:paraId="3E915757" w14:textId="77777777" w:rsidR="00924992" w:rsidRDefault="00924992">
                            <w:pPr>
                              <w:pStyle w:val="Bodytext20"/>
                              <w:spacing w:after="200" w:line="276" w:lineRule="auto"/>
                            </w:pPr>
                            <w:r>
                              <w:t>0-30 días 0-6 meses No aplicable</w:t>
                            </w:r>
                          </w:p>
                          <w:p w14:paraId="68D0876F" w14:textId="77777777" w:rsidR="00924992" w:rsidRDefault="00924992">
                            <w:pPr>
                              <w:pStyle w:val="Bodytext20"/>
                              <w:spacing w:after="200" w:line="276" w:lineRule="auto"/>
                            </w:pPr>
                            <w:r>
                              <w:t>0-30 días 0-6 meses No aplicable</w:t>
                            </w:r>
                          </w:p>
                          <w:p w14:paraId="22E89D92" w14:textId="77777777" w:rsidR="00924992" w:rsidRDefault="00924992">
                            <w:pPr>
                              <w:pStyle w:val="Bodytext20"/>
                              <w:spacing w:line="276" w:lineRule="auto"/>
                            </w:pPr>
                            <w:r>
                              <w:t>No aplicable</w:t>
                            </w:r>
                          </w:p>
                          <w:p w14:paraId="50F1A143" w14:textId="77777777" w:rsidR="00924992" w:rsidRDefault="00924992">
                            <w:pPr>
                              <w:pStyle w:val="Bodytext20"/>
                              <w:spacing w:after="200" w:line="276" w:lineRule="auto"/>
                            </w:pPr>
                            <w:r>
                              <w:t>No aplicable</w:t>
                            </w:r>
                          </w:p>
                          <w:p w14:paraId="60C45C28" w14:textId="77777777" w:rsidR="00924992" w:rsidRDefault="00924992">
                            <w:pPr>
                              <w:pStyle w:val="Bodytext20"/>
                              <w:spacing w:line="276" w:lineRule="auto"/>
                            </w:pPr>
                            <w:r>
                              <w:t>0-4 h</w:t>
                            </w:r>
                          </w:p>
                          <w:p w14:paraId="68105C0C" w14:textId="77777777" w:rsidR="00924992" w:rsidRDefault="00924992">
                            <w:pPr>
                              <w:pStyle w:val="Bodytext20"/>
                              <w:spacing w:after="200" w:line="276" w:lineRule="auto"/>
                            </w:pPr>
                            <w:r>
                              <w:t>No aplicable</w:t>
                            </w:r>
                          </w:p>
                          <w:p w14:paraId="56A81951" w14:textId="77777777" w:rsidR="00924992" w:rsidRDefault="00924992">
                            <w:pPr>
                              <w:pStyle w:val="Bodytext20"/>
                              <w:spacing w:after="200" w:line="276" w:lineRule="auto"/>
                            </w:pPr>
                            <w:r>
                              <w:t>No aplicable</w:t>
                            </w:r>
                          </w:p>
                          <w:p w14:paraId="09E013EB" w14:textId="77777777" w:rsidR="00924992" w:rsidRDefault="00924992">
                            <w:pPr>
                              <w:pStyle w:val="Bodytext20"/>
                              <w:spacing w:line="276" w:lineRule="auto"/>
                            </w:pPr>
                            <w:r>
                              <w:t>0-4 h</w:t>
                            </w:r>
                          </w:p>
                          <w:p w14:paraId="7468C987" w14:textId="77777777" w:rsidR="00924992" w:rsidRDefault="00924992">
                            <w:pPr>
                              <w:pStyle w:val="Bodytext20"/>
                              <w:spacing w:after="200" w:line="276" w:lineRule="auto"/>
                            </w:pPr>
                            <w:r>
                              <w:t>No aplicable</w:t>
                            </w:r>
                          </w:p>
                          <w:p w14:paraId="730831DB" w14:textId="77777777" w:rsidR="00924992" w:rsidRDefault="00924992">
                            <w:pPr>
                              <w:pStyle w:val="Bodytext20"/>
                              <w:spacing w:after="200" w:line="276" w:lineRule="auto"/>
                            </w:pPr>
                            <w:r>
                              <w:t>No aplicable</w:t>
                            </w:r>
                          </w:p>
                          <w:p w14:paraId="1C6D9B77" w14:textId="77777777" w:rsidR="00924992" w:rsidRDefault="00924992">
                            <w:pPr>
                              <w:pStyle w:val="Bodytext20"/>
                              <w:spacing w:after="200" w:line="276" w:lineRule="auto"/>
                            </w:pPr>
                            <w:r>
                              <w:t>No aplicable</w:t>
                            </w:r>
                          </w:p>
                          <w:p w14:paraId="33F1F647" w14:textId="77777777" w:rsidR="00924992" w:rsidRDefault="00924992">
                            <w:pPr>
                              <w:pStyle w:val="Bodytext20"/>
                              <w:spacing w:after="200" w:line="276" w:lineRule="auto"/>
                            </w:pPr>
                            <w:r>
                              <w:t>No aplicable</w:t>
                            </w:r>
                          </w:p>
                        </w:txbxContent>
                      </wps:txbx>
                      <wps:bodyPr lIns="0" tIns="0" rIns="0" bIns="0"/>
                    </wps:wsp>
                  </a:graphicData>
                </a:graphic>
              </wp:anchor>
            </w:drawing>
          </mc:Choice>
          <mc:Fallback>
            <w:pict>
              <v:shape w14:anchorId="37EFFC96" id="Shape 2589" o:spid="_x0000_s1145" type="#_x0000_t202" style="position:absolute;margin-left:472.1pt;margin-top:49.9pt;width:46.55pt;height:284.9pt;z-index:251763712;visibility:visible;mso-wrap-style:square;mso-wrap-distance-left:9pt;mso-wrap-distance-top:0;mso-wrap-distance-right:9pt;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" filled="f" stroked="f">
                <v:textbox inset="0,0,0,0">
                  <w:txbxContent>
                    <w:p w14:paraId="7CFE3056" w14:textId="77777777" w:rsidR="00924992" w:rsidRDefault="00924992">
                      <w:pPr>
                        <w:pStyle w:val="Bodytext20"/>
                        <w:spacing w:after="400" w:line="276" w:lineRule="auto"/>
                      </w:pPr>
                      <w:r>
                        <w:t>No aplicable</w:t>
                      </w:r>
                    </w:p>
                    <w:p w14:paraId="3E915757" w14:textId="77777777" w:rsidR="00924992" w:rsidRDefault="00924992">
                      <w:pPr>
                        <w:pStyle w:val="Bodytext20"/>
                        <w:spacing w:after="200" w:line="276" w:lineRule="auto"/>
                      </w:pPr>
                      <w:r>
                        <w:t>0-30 días 0-6 meses No aplicable</w:t>
                      </w:r>
                    </w:p>
                    <w:p w14:paraId="68D0876F" w14:textId="77777777" w:rsidR="00924992" w:rsidRDefault="00924992">
                      <w:pPr>
                        <w:pStyle w:val="Bodytext20"/>
                        <w:spacing w:after="200" w:line="276" w:lineRule="auto"/>
                      </w:pPr>
                      <w:r>
                        <w:t>0-30 días 0-6 meses No aplicable</w:t>
                      </w:r>
                    </w:p>
                    <w:p w14:paraId="22E89D92" w14:textId="77777777" w:rsidR="00924992" w:rsidRDefault="00924992">
                      <w:pPr>
                        <w:pStyle w:val="Bodytext20"/>
                        <w:spacing w:line="276" w:lineRule="auto"/>
                      </w:pPr>
                      <w:r>
                        <w:t>No aplicable</w:t>
                      </w:r>
                    </w:p>
                    <w:p w14:paraId="50F1A143" w14:textId="77777777" w:rsidR="00924992" w:rsidRDefault="00924992">
                      <w:pPr>
                        <w:pStyle w:val="Bodytext20"/>
                        <w:spacing w:after="200" w:line="276" w:lineRule="auto"/>
                      </w:pPr>
                      <w:r>
                        <w:t>No aplicable</w:t>
                      </w:r>
                    </w:p>
                    <w:p w14:paraId="60C45C28" w14:textId="77777777" w:rsidR="00924992" w:rsidRDefault="00924992">
                      <w:pPr>
                        <w:pStyle w:val="Bodytext20"/>
                        <w:spacing w:line="276" w:lineRule="auto"/>
                      </w:pPr>
                      <w:r>
                        <w:t>0-4 h</w:t>
                      </w:r>
                    </w:p>
                    <w:p w14:paraId="68105C0C" w14:textId="77777777" w:rsidR="00924992" w:rsidRDefault="00924992">
                      <w:pPr>
                        <w:pStyle w:val="Bodytext20"/>
                        <w:spacing w:after="200" w:line="276" w:lineRule="auto"/>
                      </w:pPr>
                      <w:r>
                        <w:t>No aplicable</w:t>
                      </w:r>
                    </w:p>
                    <w:p w14:paraId="56A81951" w14:textId="77777777" w:rsidR="00924992" w:rsidRDefault="00924992">
                      <w:pPr>
                        <w:pStyle w:val="Bodytext20"/>
                        <w:spacing w:after="200" w:line="276" w:lineRule="auto"/>
                      </w:pPr>
                      <w:r>
                        <w:t>No aplicable</w:t>
                      </w:r>
                    </w:p>
                    <w:p w14:paraId="09E013EB" w14:textId="77777777" w:rsidR="00924992" w:rsidRDefault="00924992">
                      <w:pPr>
                        <w:pStyle w:val="Bodytext20"/>
                        <w:spacing w:line="276" w:lineRule="auto"/>
                      </w:pPr>
                      <w:r>
                        <w:t>0-4 h</w:t>
                      </w:r>
                    </w:p>
                    <w:p w14:paraId="7468C987" w14:textId="77777777" w:rsidR="00924992" w:rsidRDefault="00924992">
                      <w:pPr>
                        <w:pStyle w:val="Bodytext20"/>
                        <w:spacing w:after="200" w:line="276" w:lineRule="auto"/>
                      </w:pPr>
                      <w:r>
                        <w:t>No aplicable</w:t>
                      </w:r>
                    </w:p>
                    <w:p w14:paraId="730831DB" w14:textId="77777777" w:rsidR="00924992" w:rsidRDefault="00924992">
                      <w:pPr>
                        <w:pStyle w:val="Bodytext20"/>
                        <w:spacing w:after="200" w:line="276" w:lineRule="auto"/>
                      </w:pPr>
                      <w:r>
                        <w:t>No aplicable</w:t>
                      </w:r>
                    </w:p>
                    <w:p w14:paraId="1C6D9B77" w14:textId="77777777" w:rsidR="00924992" w:rsidRDefault="00924992">
                      <w:pPr>
                        <w:pStyle w:val="Bodytext20"/>
                        <w:spacing w:after="200" w:line="276" w:lineRule="auto"/>
                      </w:pPr>
                      <w:r>
                        <w:t>No aplicable</w:t>
                      </w:r>
                    </w:p>
                    <w:p w14:paraId="33F1F647" w14:textId="77777777" w:rsidR="00924992" w:rsidRDefault="00924992">
                      <w:pPr>
                        <w:pStyle w:val="Bodytext20"/>
                        <w:spacing w:after="200" w:line="276" w:lineRule="auto"/>
                      </w:pPr>
                      <w:r>
                        <w:t>No aplicable</w:t>
                      </w:r>
                    </w:p>
                  </w:txbxContent>
                </v:textbox>
                <w10:wrap type="square" side="left" anchorx="page"/>
              </v:shape>
            </w:pict>
          </mc:Fallback>
        </mc:AlternateContent>
      </w:r>
      <w:r>
        <w:rPr>
          <w:noProof/>
        </w:rPr>
        <mc:AlternateContent>
          <mc:Choice Requires="wps">
            <w:drawing>
              <wp:anchor distT="0" distB="0" distL="114300" distR="114300" simplePos="0" relativeHeight="251764736" behindDoc="0" locked="0" layoutInCell="1" allowOverlap="1" wp14:anchorId="52026D00" wp14:editId="421C674D">
                <wp:simplePos x="0" y="0"/>
                <wp:positionH relativeFrom="page">
                  <wp:posOffset>7867015</wp:posOffset>
                </wp:positionH>
                <wp:positionV relativeFrom="paragraph">
                  <wp:posOffset>18415</wp:posOffset>
                </wp:positionV>
                <wp:extent cx="121920" cy="2480945"/>
                <wp:effectExtent l="0" t="0" r="0" b="0"/>
                <wp:wrapSquare wrapText="bothSides"/>
                <wp:docPr id="2591" name="Shape 2591"/>
                <wp:cNvGraphicFramePr/>
                <a:graphic xmlns:a="http://schemas.openxmlformats.org/drawingml/2006/main">
                  <a:graphicData uri="http://schemas.microsoft.com/office/word/2010/wordprocessingShape">
                    <wps:wsp>
                      <wps:cNvSpPr txBox="1"/>
                      <wps:spPr>
                        <a:xfrm>
                          <a:off x="0" y="0"/>
                          <a:ext cx="121920" cy="2480945"/>
                        </a:xfrm>
                        <a:prstGeom prst="rect">
                          <a:avLst/>
                        </a:prstGeom>
                        <a:noFill/>
                      </wps:spPr>
                      <wps:txbx>
                        <w:txbxContent>
                          <w:p w14:paraId="643B4E60" w14:textId="77777777" w:rsidR="00924992" w:rsidRDefault="00924992">
                            <w:pPr>
                              <w:pStyle w:val="Bodytext80"/>
                              <w:tabs>
                                <w:tab w:val="left" w:pos="2957"/>
                              </w:tabs>
                            </w:pPr>
                            <w:r>
                              <w:rPr>
                                <w:sz w:val="16"/>
                                <w:szCs w:val="16"/>
                              </w:rPr>
                              <w:t>840</w:t>
                            </w:r>
                            <w:r>
                              <w:rPr>
                                <w:sz w:val="16"/>
                                <w:szCs w:val="16"/>
                              </w:rPr>
                              <w:tab/>
                            </w:r>
                            <w:r>
                              <w:t>APÉNDICE IV</w:t>
                            </w:r>
                          </w:p>
                        </w:txbxContent>
                      </wps:txbx>
                      <wps:bodyPr vert="vert" lIns="0" tIns="0" rIns="0" bIns="0" upright="1"/>
                    </wps:wsp>
                  </a:graphicData>
                </a:graphic>
              </wp:anchor>
            </w:drawing>
          </mc:Choice>
          <mc:Fallback>
            <w:pict>
              <v:shape w14:anchorId="52026D00" id="Shape 2591" o:spid="_x0000_s1146" type="#_x0000_t202" style="position:absolute;margin-left:619.45pt;margin-top:1.45pt;width:9.6pt;height:195.35pt;z-index:251764736;visibility:visible;mso-wrap-style:square;mso-wrap-distance-left:9pt;mso-wrap-distance-top:0;mso-wrap-distance-right:9pt;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" filled="f" stroked="f">
                <v:textbox style="layout-flow:vertical" inset="0,0,0,0">
                  <w:txbxContent>
                    <w:p w14:paraId="643B4E60" w14:textId="77777777" w:rsidR="00924992" w:rsidRDefault="00924992">
                      <w:pPr>
                        <w:pStyle w:val="Bodytext80"/>
                        <w:tabs>
                          <w:tab w:val="left" w:pos="2957"/>
                        </w:tabs>
                      </w:pPr>
                      <w:r>
                        <w:rPr>
                          <w:sz w:val="16"/>
                          <w:szCs w:val="16"/>
                        </w:rPr>
                        <w:t>840</w:t>
                      </w:r>
                      <w:r>
                        <w:rPr>
                          <w:sz w:val="16"/>
                          <w:szCs w:val="16"/>
                        </w:rPr>
                        <w:tab/>
                      </w:r>
                      <w:r>
                        <w:t>APÉNDICE IV</w:t>
                      </w:r>
                    </w:p>
                  </w:txbxContent>
                </v:textbox>
                <w10:wrap type="square" anchorx="page"/>
              </v:shape>
            </w:pict>
          </mc:Fallback>
        </mc:AlternateContent>
      </w:r>
    </w:p>
    <w:p w14:paraId="36ECF745" w14:textId="77777777" w:rsidR="00924992" w:rsidRDefault="00924992">
      <w:pPr>
        <w:pStyle w:val="Heading41"/>
        <w:keepNext/>
        <w:keepLines/>
        <w:pBdr>
          <w:top w:val="single" w:sz="0" w:space="0" w:color="231F20"/>
          <w:left w:val="single" w:sz="0" w:space="0" w:color="231F20"/>
          <w:bottom w:val="single" w:sz="0" w:space="0" w:color="231F20"/>
          <w:right w:val="single" w:sz="0" w:space="0" w:color="231F20"/>
        </w:pBdr>
        <w:shd w:val="clear" w:color="auto" w:fill="231F20"/>
        <w:tabs>
          <w:tab w:val="left" w:pos="4720"/>
        </w:tabs>
        <w:spacing w:after="120" w:line="214" w:lineRule="auto"/>
        <w:ind w:left="2320" w:firstLine="1940"/>
        <w:rPr>
          <w:sz w:val="8"/>
          <w:szCs w:val="8"/>
        </w:rPr>
      </w:pPr>
      <w:bookmarkStart w:id="892" w:name="bookmark2281"/>
      <w:bookmarkStart w:id="893" w:name="bookmark2282"/>
      <w:bookmarkStart w:id="894" w:name="bookmark2283"/>
      <w:r>
        <w:rPr>
          <w:color w:val="FFFFFF"/>
          <w:u w:val="single"/>
        </w:rPr>
        <w:t xml:space="preserve">Intervalo entre la vacunación y el comienzo de la reacción </w:t>
      </w:r>
      <w:r>
        <w:rPr>
          <w:color w:val="FFFFFF"/>
        </w:rPr>
        <w:t>Para la notificación</w:t>
      </w:r>
      <w:r>
        <w:rPr>
          <w:rFonts w:ascii="Times New Roman" w:eastAsia="Times New Roman" w:hAnsi="Times New Roman" w:cs="Times New Roman"/>
          <w:b w:val="0"/>
          <w:bCs w:val="0"/>
          <w:color w:val="FFFFFF"/>
          <w:w w:val="100"/>
          <w:sz w:val="8"/>
          <w:szCs w:val="8"/>
          <w:vertAlign w:val="superscript"/>
        </w:rPr>
        <w:t>2</w:t>
      </w:r>
      <w:r>
        <w:rPr>
          <w:rFonts w:ascii="Times New Roman" w:eastAsia="Times New Roman" w:hAnsi="Times New Roman" w:cs="Times New Roman"/>
          <w:b w:val="0"/>
          <w:bCs w:val="0"/>
          <w:color w:val="FFFFFF"/>
          <w:w w:val="100"/>
          <w:sz w:val="8"/>
          <w:szCs w:val="8"/>
        </w:rPr>
        <w:tab/>
      </w:r>
      <w:r>
        <w:rPr>
          <w:color w:val="FFFFFF"/>
        </w:rPr>
        <w:t>Para la compensación</w:t>
      </w:r>
      <w:r>
        <w:rPr>
          <w:rFonts w:ascii="Times New Roman" w:eastAsia="Times New Roman" w:hAnsi="Times New Roman" w:cs="Times New Roman"/>
          <w:b w:val="0"/>
          <w:bCs w:val="0"/>
          <w:color w:val="FFFFFF"/>
          <w:w w:val="100"/>
          <w:sz w:val="8"/>
          <w:szCs w:val="8"/>
          <w:vertAlign w:val="superscript"/>
        </w:rPr>
        <w:t>3</w:t>
      </w:r>
      <w:bookmarkEnd w:id="892"/>
      <w:bookmarkEnd w:id="893"/>
      <w:bookmarkEnd w:id="894"/>
    </w:p>
    <w:p w14:paraId="3BD6E3F7" w14:textId="77777777" w:rsidR="00924992" w:rsidRDefault="00924992">
      <w:pPr>
        <w:pStyle w:val="Bodytext20"/>
        <w:spacing w:line="240" w:lineRule="auto"/>
        <w:jc w:val="both"/>
      </w:pPr>
      <w:r>
        <w:t>D. Reacciones descritas en las instrucciones del fabricante Consultar las instrucciones</w:t>
      </w:r>
    </w:p>
    <w:p w14:paraId="3DF442A9" w14:textId="77777777" w:rsidR="00924992" w:rsidRDefault="00924992">
      <w:pPr>
        <w:pStyle w:val="Bodytext20"/>
        <w:spacing w:line="240" w:lineRule="auto"/>
        <w:ind w:firstLine="260"/>
        <w:jc w:val="both"/>
      </w:pPr>
      <w:r>
        <w:t>como contraindicaciones para aplicar más dosis de vacuna del fabricante</w:t>
      </w:r>
    </w:p>
    <w:p w14:paraId="5EAE359E" w14:textId="77777777" w:rsidR="00924992" w:rsidRDefault="00924992">
      <w:pPr>
        <w:pStyle w:val="Bodytext20"/>
        <w:numPr>
          <w:ilvl w:val="0"/>
          <w:numId w:val="158"/>
        </w:numPr>
        <w:tabs>
          <w:tab w:val="left" w:pos="349"/>
        </w:tabs>
        <w:spacing w:line="240" w:lineRule="auto"/>
        <w:jc w:val="both"/>
      </w:pPr>
      <w:bookmarkStart w:id="895" w:name="bookmark2284"/>
      <w:bookmarkEnd w:id="895"/>
      <w:r>
        <w:t>Poliomielitis paralítica</w:t>
      </w:r>
    </w:p>
    <w:p w14:paraId="5C4BE1A3" w14:textId="77777777" w:rsidR="00924992" w:rsidRDefault="00924992">
      <w:pPr>
        <w:pStyle w:val="Bodytext20"/>
        <w:numPr>
          <w:ilvl w:val="0"/>
          <w:numId w:val="159"/>
        </w:numPr>
        <w:tabs>
          <w:tab w:val="left" w:pos="508"/>
        </w:tabs>
        <w:spacing w:line="240" w:lineRule="auto"/>
        <w:ind w:firstLine="260"/>
        <w:jc w:val="both"/>
      </w:pPr>
      <w:bookmarkStart w:id="896" w:name="bookmark2285"/>
      <w:bookmarkEnd w:id="896"/>
      <w:r>
        <w:t>en un receptor no inmunodeficiente</w:t>
      </w:r>
    </w:p>
    <w:p w14:paraId="661C11FD" w14:textId="77777777" w:rsidR="00924992" w:rsidRDefault="00924992">
      <w:pPr>
        <w:pStyle w:val="Bodytext20"/>
        <w:numPr>
          <w:ilvl w:val="0"/>
          <w:numId w:val="159"/>
        </w:numPr>
        <w:tabs>
          <w:tab w:val="left" w:pos="508"/>
        </w:tabs>
        <w:spacing w:line="240" w:lineRule="auto"/>
        <w:ind w:firstLine="260"/>
        <w:jc w:val="both"/>
      </w:pPr>
      <w:bookmarkStart w:id="897" w:name="bookmark2286"/>
      <w:bookmarkEnd w:id="897"/>
      <w:r>
        <w:t>en un receptor inmunodeficiente</w:t>
      </w:r>
    </w:p>
    <w:p w14:paraId="5DEB06B4" w14:textId="77777777" w:rsidR="00924992" w:rsidRDefault="00924992">
      <w:pPr>
        <w:pStyle w:val="Bodytext20"/>
        <w:numPr>
          <w:ilvl w:val="0"/>
          <w:numId w:val="159"/>
        </w:numPr>
        <w:tabs>
          <w:tab w:val="left" w:pos="508"/>
        </w:tabs>
        <w:spacing w:line="240" w:lineRule="auto"/>
        <w:ind w:firstLine="260"/>
        <w:jc w:val="both"/>
      </w:pPr>
      <w:bookmarkStart w:id="898" w:name="bookmark2287"/>
      <w:bookmarkEnd w:id="898"/>
      <w:r>
        <w:t>en un caso comunitario vinculado con la vacuna</w:t>
      </w:r>
    </w:p>
    <w:p w14:paraId="1C6D0188" w14:textId="77777777" w:rsidR="00924992" w:rsidRDefault="00924992">
      <w:pPr>
        <w:pStyle w:val="Bodytext20"/>
        <w:numPr>
          <w:ilvl w:val="0"/>
          <w:numId w:val="158"/>
        </w:numPr>
        <w:tabs>
          <w:tab w:val="left" w:pos="349"/>
        </w:tabs>
        <w:spacing w:line="240" w:lineRule="auto"/>
        <w:jc w:val="both"/>
      </w:pPr>
      <w:bookmarkStart w:id="899" w:name="bookmark2288"/>
      <w:bookmarkEnd w:id="899"/>
      <w:r>
        <w:t>Infección vírica poliomielítica de la cepa vacunal</w:t>
      </w:r>
    </w:p>
    <w:p w14:paraId="1CE08597" w14:textId="77777777" w:rsidR="00924992" w:rsidRDefault="00924992">
      <w:pPr>
        <w:pStyle w:val="Bodytext20"/>
        <w:numPr>
          <w:ilvl w:val="0"/>
          <w:numId w:val="159"/>
        </w:numPr>
        <w:tabs>
          <w:tab w:val="left" w:pos="508"/>
        </w:tabs>
        <w:spacing w:line="240" w:lineRule="auto"/>
        <w:ind w:firstLine="260"/>
        <w:jc w:val="both"/>
      </w:pPr>
      <w:bookmarkStart w:id="900" w:name="bookmark2289"/>
      <w:bookmarkEnd w:id="900"/>
      <w:r>
        <w:t>en un receptor no inmunodeficiente</w:t>
      </w:r>
    </w:p>
    <w:p w14:paraId="6C71BAC2" w14:textId="77777777" w:rsidR="00924992" w:rsidRDefault="00924992">
      <w:pPr>
        <w:pStyle w:val="Bodytext20"/>
        <w:numPr>
          <w:ilvl w:val="0"/>
          <w:numId w:val="159"/>
        </w:numPr>
        <w:tabs>
          <w:tab w:val="left" w:pos="508"/>
        </w:tabs>
        <w:spacing w:line="240" w:lineRule="auto"/>
        <w:ind w:firstLine="260"/>
        <w:jc w:val="both"/>
      </w:pPr>
      <w:bookmarkStart w:id="901" w:name="bookmark2290"/>
      <w:bookmarkEnd w:id="901"/>
      <w:r>
        <w:t>en un receptor inmunodeficiente</w:t>
      </w:r>
    </w:p>
    <w:p w14:paraId="62169A90" w14:textId="77777777" w:rsidR="00924992" w:rsidRDefault="00924992">
      <w:pPr>
        <w:pStyle w:val="Bodytext20"/>
        <w:numPr>
          <w:ilvl w:val="0"/>
          <w:numId w:val="159"/>
        </w:numPr>
        <w:tabs>
          <w:tab w:val="left" w:pos="508"/>
        </w:tabs>
        <w:spacing w:line="240" w:lineRule="auto"/>
        <w:ind w:firstLine="260"/>
        <w:jc w:val="both"/>
      </w:pPr>
      <w:bookmarkStart w:id="902" w:name="bookmark2291"/>
      <w:bookmarkEnd w:id="902"/>
      <w:r>
        <w:t>en un caso comunitario vinculado con la vacuna</w:t>
      </w:r>
    </w:p>
    <w:p w14:paraId="18346A58" w14:textId="77777777" w:rsidR="00924992" w:rsidRDefault="00924992">
      <w:pPr>
        <w:pStyle w:val="Bodytext20"/>
        <w:numPr>
          <w:ilvl w:val="0"/>
          <w:numId w:val="158"/>
        </w:numPr>
        <w:tabs>
          <w:tab w:val="left" w:pos="354"/>
        </w:tabs>
        <w:spacing w:line="240" w:lineRule="auto"/>
        <w:jc w:val="both"/>
      </w:pPr>
      <w:bookmarkStart w:id="903" w:name="bookmark2292"/>
      <w:bookmarkEnd w:id="903"/>
      <w:r>
        <w:t>Cualquier complicación aguda o secuelas</w:t>
      </w:r>
    </w:p>
    <w:p w14:paraId="2DE07841" w14:textId="77777777" w:rsidR="00924992" w:rsidRDefault="00924992">
      <w:pPr>
        <w:pStyle w:val="Bodytext20"/>
        <w:spacing w:line="240" w:lineRule="auto"/>
        <w:ind w:firstLine="260"/>
        <w:jc w:val="both"/>
      </w:pPr>
      <w:r>
        <w:t>(incluida la muerte) de las reacciones anteriores</w:t>
      </w:r>
    </w:p>
    <w:p w14:paraId="177217A1" w14:textId="77777777" w:rsidR="00924992" w:rsidRDefault="00924992">
      <w:pPr>
        <w:pStyle w:val="Bodytext20"/>
        <w:numPr>
          <w:ilvl w:val="0"/>
          <w:numId w:val="158"/>
        </w:numPr>
        <w:tabs>
          <w:tab w:val="left" w:pos="368"/>
        </w:tabs>
        <w:spacing w:line="240" w:lineRule="auto"/>
        <w:jc w:val="both"/>
      </w:pPr>
      <w:bookmarkStart w:id="904" w:name="bookmark2293"/>
      <w:bookmarkEnd w:id="904"/>
      <w:r>
        <w:t>Reacciones descritas en las instrucciones del fabricante</w:t>
      </w:r>
    </w:p>
    <w:p w14:paraId="0F012FF1" w14:textId="77777777" w:rsidR="00924992" w:rsidRDefault="00924992">
      <w:pPr>
        <w:pStyle w:val="Bodytext20"/>
        <w:spacing w:line="276" w:lineRule="auto"/>
        <w:ind w:firstLine="260"/>
        <w:jc w:val="both"/>
      </w:pPr>
      <w:r>
        <w:t>como contraindicaciones para aplicar más dosis de vacuna del fabricante</w:t>
      </w:r>
    </w:p>
    <w:p w14:paraId="3B98E9B9" w14:textId="77777777" w:rsidR="00924992" w:rsidRDefault="00924992">
      <w:pPr>
        <w:pStyle w:val="Bodytext20"/>
        <w:numPr>
          <w:ilvl w:val="0"/>
          <w:numId w:val="160"/>
        </w:numPr>
        <w:tabs>
          <w:tab w:val="left" w:pos="349"/>
          <w:tab w:val="left" w:pos="4290"/>
        </w:tabs>
        <w:spacing w:line="276" w:lineRule="auto"/>
        <w:jc w:val="both"/>
      </w:pPr>
      <w:bookmarkStart w:id="905" w:name="bookmark2294"/>
      <w:bookmarkEnd w:id="905"/>
      <w:r>
        <w:t>Anafilaxia o choque anafiláctico</w:t>
      </w:r>
      <w:r>
        <w:tab/>
        <w:t>0-7 días</w:t>
      </w:r>
    </w:p>
    <w:p w14:paraId="744B2862" w14:textId="77777777" w:rsidR="00924992" w:rsidRDefault="00924992">
      <w:pPr>
        <w:pStyle w:val="Bodytext20"/>
        <w:numPr>
          <w:ilvl w:val="0"/>
          <w:numId w:val="160"/>
        </w:numPr>
        <w:tabs>
          <w:tab w:val="left" w:pos="349"/>
          <w:tab w:val="left" w:pos="4290"/>
        </w:tabs>
        <w:spacing w:line="276" w:lineRule="auto"/>
        <w:jc w:val="both"/>
      </w:pPr>
      <w:bookmarkStart w:id="906" w:name="bookmark2295"/>
      <w:bookmarkEnd w:id="906"/>
      <w:r>
        <w:t>Cualquier complicación aguda o secuelas</w:t>
      </w:r>
      <w:r>
        <w:tab/>
        <w:t>No aplicable</w:t>
      </w:r>
    </w:p>
    <w:p w14:paraId="02593110" w14:textId="77777777" w:rsidR="00924992" w:rsidRDefault="00924992">
      <w:pPr>
        <w:pStyle w:val="Bodytext20"/>
        <w:spacing w:line="276" w:lineRule="auto"/>
        <w:ind w:firstLine="260"/>
        <w:jc w:val="both"/>
      </w:pPr>
      <w:r>
        <w:t>(incluida la muerte) de las reacciones anteriores</w:t>
      </w:r>
    </w:p>
    <w:p w14:paraId="32BBF739" w14:textId="77777777" w:rsidR="00924992" w:rsidRDefault="00924992">
      <w:pPr>
        <w:pStyle w:val="Bodytext20"/>
        <w:numPr>
          <w:ilvl w:val="0"/>
          <w:numId w:val="160"/>
        </w:numPr>
        <w:tabs>
          <w:tab w:val="left" w:pos="354"/>
        </w:tabs>
        <w:spacing w:line="276" w:lineRule="auto"/>
        <w:ind w:left="260" w:hanging="260"/>
        <w:jc w:val="both"/>
      </w:pPr>
      <w:bookmarkStart w:id="907" w:name="bookmark2296"/>
      <w:bookmarkEnd w:id="907"/>
      <w:r>
        <w:t>Reacciones descritas en las instrucciones del fabricante Consultar las instrucciones como contraindicaciones para aplicar más dosis de la vacuna del fabricante</w:t>
      </w:r>
    </w:p>
    <w:p w14:paraId="70081954" w14:textId="77777777" w:rsidR="00924992" w:rsidRDefault="00924992">
      <w:pPr>
        <w:pStyle w:val="Bodytext20"/>
        <w:numPr>
          <w:ilvl w:val="0"/>
          <w:numId w:val="161"/>
        </w:numPr>
        <w:tabs>
          <w:tab w:val="left" w:pos="354"/>
          <w:tab w:val="left" w:pos="4290"/>
        </w:tabs>
        <w:spacing w:line="276" w:lineRule="auto"/>
        <w:jc w:val="both"/>
      </w:pPr>
      <w:bookmarkStart w:id="908" w:name="bookmark2297"/>
      <w:bookmarkEnd w:id="908"/>
      <w:r>
        <w:t>Anafilaxia o choque anafiláctico</w:t>
      </w:r>
      <w:r>
        <w:tab/>
        <w:t>0-7 días</w:t>
      </w:r>
    </w:p>
    <w:p w14:paraId="01C09146" w14:textId="77777777" w:rsidR="00924992" w:rsidRDefault="00924992">
      <w:pPr>
        <w:pStyle w:val="Bodytext20"/>
        <w:numPr>
          <w:ilvl w:val="0"/>
          <w:numId w:val="161"/>
        </w:numPr>
        <w:tabs>
          <w:tab w:val="left" w:pos="354"/>
          <w:tab w:val="left" w:pos="4290"/>
        </w:tabs>
        <w:spacing w:line="276" w:lineRule="auto"/>
        <w:jc w:val="both"/>
      </w:pPr>
      <w:bookmarkStart w:id="909" w:name="bookmark2298"/>
      <w:bookmarkEnd w:id="909"/>
      <w:r>
        <w:t>Cualquier complicación aguda o secuelas</w:t>
      </w:r>
      <w:r>
        <w:tab/>
        <w:t>No aplicable</w:t>
      </w:r>
    </w:p>
    <w:p w14:paraId="5391D151" w14:textId="77777777" w:rsidR="00924992" w:rsidRDefault="00924992">
      <w:pPr>
        <w:pStyle w:val="Bodytext20"/>
        <w:spacing w:line="276" w:lineRule="auto"/>
        <w:ind w:firstLine="260"/>
        <w:jc w:val="both"/>
      </w:pPr>
      <w:r>
        <w:t>(incluida la muerte) de las reacciones anteriores</w:t>
      </w:r>
    </w:p>
    <w:p w14:paraId="1C17F4AF" w14:textId="77777777" w:rsidR="00924992" w:rsidRDefault="00924992">
      <w:pPr>
        <w:pStyle w:val="Bodytext20"/>
        <w:numPr>
          <w:ilvl w:val="0"/>
          <w:numId w:val="161"/>
        </w:numPr>
        <w:tabs>
          <w:tab w:val="left" w:pos="354"/>
        </w:tabs>
        <w:spacing w:line="276" w:lineRule="auto"/>
        <w:ind w:left="260" w:hanging="260"/>
        <w:jc w:val="both"/>
      </w:pPr>
      <w:bookmarkStart w:id="910" w:name="bookmark2299"/>
      <w:bookmarkEnd w:id="910"/>
      <w:r>
        <w:t>Reacciones descritas en las indicaciones del fabricante, Consultar las instrucciones como contraindicaciones para aplicar más dosis de la vacuna del fabricante</w:t>
      </w:r>
    </w:p>
    <w:p w14:paraId="5E12A966" w14:textId="77777777" w:rsidR="00924992" w:rsidRDefault="00924992">
      <w:pPr>
        <w:pStyle w:val="Bodytext20"/>
        <w:numPr>
          <w:ilvl w:val="0"/>
          <w:numId w:val="162"/>
        </w:numPr>
        <w:tabs>
          <w:tab w:val="left" w:pos="354"/>
          <w:tab w:val="left" w:pos="4290"/>
        </w:tabs>
        <w:spacing w:line="276" w:lineRule="auto"/>
        <w:jc w:val="both"/>
      </w:pPr>
      <w:bookmarkStart w:id="911" w:name="bookmark2300"/>
      <w:bookmarkEnd w:id="911"/>
      <w:r>
        <w:t>No se especifica un cuadro particular para</w:t>
      </w:r>
      <w:r>
        <w:tab/>
        <w:t>No aplicable</w:t>
      </w:r>
    </w:p>
    <w:p w14:paraId="0CF9A75E" w14:textId="77777777" w:rsidR="00924992" w:rsidRDefault="00924992">
      <w:pPr>
        <w:pStyle w:val="Bodytext20"/>
        <w:spacing w:line="276" w:lineRule="auto"/>
        <w:ind w:firstLine="260"/>
        <w:jc w:val="both"/>
      </w:pPr>
      <w:r>
        <w:t>obtener compensación</w:t>
      </w:r>
    </w:p>
    <w:p w14:paraId="6096778B" w14:textId="77777777" w:rsidR="00924992" w:rsidRDefault="00924992">
      <w:pPr>
        <w:pStyle w:val="Bodytext20"/>
        <w:numPr>
          <w:ilvl w:val="0"/>
          <w:numId w:val="162"/>
        </w:numPr>
        <w:tabs>
          <w:tab w:val="left" w:pos="354"/>
        </w:tabs>
        <w:spacing w:line="276" w:lineRule="auto"/>
        <w:jc w:val="both"/>
        <w:sectPr w:rsidR="00924992" w:rsidSect="00924992">
          <w:headerReference w:type="even" r:id="rId488"/>
          <w:headerReference w:type="default" r:id="rId489"/>
          <w:footerReference w:type="even" r:id="rId490"/>
          <w:footerReference w:type="default" r:id="rId491"/>
          <w:pgSz w:w="13022" w:h="8501" w:orient="landscape"/>
          <w:pgMar w:top="475" w:right="950" w:bottom="923" w:left="624" w:header="47" w:footer="3" w:gutter="0"/>
          <w:cols w:space="720"/>
          <w:noEndnote/>
          <w:docGrid w:linePitch="360"/>
          <w15:footnoteColumns w:val="1"/>
        </w:sectPr>
      </w:pPr>
      <w:bookmarkStart w:id="912" w:name="bookmark2301"/>
      <w:bookmarkEnd w:id="912"/>
      <w:r>
        <w:t>Reacciones descritas en las indicaciones del fabricante Consultar las instrucciones como contraindicaciones para aplicar más dosis de la vacuna del fabricante</w:t>
      </w:r>
    </w:p>
    <w:p w14:paraId="07750AC2" w14:textId="77777777" w:rsidR="00924992" w:rsidRDefault="00924992">
      <w:pPr>
        <w:pStyle w:val="Heading31"/>
        <w:keepNext/>
        <w:keepLines/>
        <w:framePr w:w="10339" w:h="322" w:wrap="none" w:hAnchor="page" w:x="1177" w:y="1"/>
        <w:rPr>
          <w:sz w:val="16"/>
          <w:szCs w:val="16"/>
        </w:rPr>
      </w:pPr>
      <w:bookmarkStart w:id="913" w:name="bookmark2302"/>
      <w:bookmarkStart w:id="914" w:name="bookmark2303"/>
      <w:bookmarkStart w:id="915" w:name="bookmark2304"/>
      <w:r>
        <w:t>Cuadro de notificaciones y compensaciones conforme a la ley nacional de daños por vacunas en niños</w:t>
      </w:r>
      <w:r>
        <w:rPr>
          <w:vertAlign w:val="superscript"/>
        </w:rPr>
        <w:t>1</w:t>
      </w:r>
      <w:r>
        <w:t xml:space="preserve"> </w:t>
      </w:r>
      <w:r>
        <w:rPr>
          <w:rFonts w:ascii="Times New Roman" w:eastAsia="Times New Roman" w:hAnsi="Times New Roman" w:cs="Times New Roman"/>
          <w:b w:val="0"/>
          <w:bCs w:val="0"/>
          <w:i/>
          <w:iCs/>
          <w:w w:val="100"/>
          <w:sz w:val="16"/>
          <w:szCs w:val="16"/>
        </w:rPr>
        <w:t>continuación</w:t>
      </w:r>
      <w:bookmarkEnd w:id="913"/>
      <w:bookmarkEnd w:id="914"/>
      <w:bookmarkEnd w:id="915"/>
    </w:p>
    <w:tbl>
      <w:tblPr>
        <w:tblOverlap w:val="never"/>
        <w:tblW w:w="0" w:type="auto"/>
        <w:tblLayout w:type="fixed"/>
        <w:tblCellMar>
          <w:left w:w="10" w:type="dxa"/>
          <w:right w:w="10" w:type="dxa"/>
        </w:tblCellMar>
        <w:tblLook w:val="04A0" w:firstRow="1" w:lastRow="0" w:firstColumn="1" w:lastColumn="0" w:noHBand="0" w:noVBand="1"/>
      </w:tblPr>
      <w:tblGrid>
        <w:gridCol w:w="451"/>
        <w:gridCol w:w="1666"/>
        <w:gridCol w:w="4253"/>
        <w:gridCol w:w="2338"/>
        <w:gridCol w:w="2712"/>
      </w:tblGrid>
      <w:tr w:rsidR="00924992" w14:paraId="329F9E7B" w14:textId="77777777">
        <w:tblPrEx>
          <w:tblCellMar>
            <w:top w:w="0" w:type="dxa"/>
            <w:bottom w:w="0" w:type="dxa"/>
          </w:tblCellMar>
        </w:tblPrEx>
        <w:trPr>
          <w:trHeight w:hRule="exact" w:val="278"/>
        </w:trPr>
        <w:tc>
          <w:tcPr>
            <w:tcW w:w="2117" w:type="dxa"/>
            <w:gridSpan w:val="2"/>
            <w:vMerge w:val="restart"/>
            <w:shd w:val="clear" w:color="auto" w:fill="231F20"/>
            <w:vAlign w:val="bottom"/>
          </w:tcPr>
          <w:p w14:paraId="302A603C" w14:textId="77777777" w:rsidR="00924992" w:rsidRDefault="00924992">
            <w:pPr>
              <w:pStyle w:val="Other0"/>
              <w:framePr w:w="11419" w:h="6350" w:wrap="none" w:hAnchor="page" w:x="625" w:y="366"/>
              <w:pBdr>
                <w:top w:val="single" w:sz="0" w:space="0" w:color="231F20"/>
                <w:left w:val="single" w:sz="0" w:space="0" w:color="231F20"/>
                <w:bottom w:val="single" w:sz="0" w:space="0" w:color="231F20"/>
                <w:right w:val="single" w:sz="0" w:space="0" w:color="231F20"/>
              </w:pBdr>
              <w:shd w:val="clear" w:color="auto" w:fill="231F20"/>
              <w:tabs>
                <w:tab w:val="left" w:pos="1987"/>
              </w:tabs>
              <w:spacing w:line="240" w:lineRule="auto"/>
              <w:ind w:firstLine="0"/>
              <w:rPr>
                <w:sz w:val="24"/>
                <w:szCs w:val="24"/>
              </w:rPr>
            </w:pPr>
            <w:r>
              <w:rPr>
                <w:rFonts w:ascii="Arial" w:eastAsia="Arial" w:hAnsi="Arial" w:cs="Arial"/>
                <w:b/>
                <w:bCs/>
                <w:color w:val="FFFFFF"/>
                <w:w w:val="70"/>
                <w:sz w:val="24"/>
                <w:szCs w:val="24"/>
              </w:rPr>
              <w:t>Vacuna</w:t>
            </w:r>
            <w:r>
              <w:rPr>
                <w:rFonts w:ascii="Arial" w:eastAsia="Arial" w:hAnsi="Arial" w:cs="Arial"/>
                <w:b/>
                <w:bCs/>
                <w:color w:val="FFFFFF"/>
                <w:w w:val="70"/>
                <w:sz w:val="24"/>
                <w:szCs w:val="24"/>
              </w:rPr>
              <w:tab/>
              <w:t>F</w:t>
            </w:r>
          </w:p>
        </w:tc>
        <w:tc>
          <w:tcPr>
            <w:tcW w:w="4253" w:type="dxa"/>
            <w:vMerge w:val="restart"/>
            <w:shd w:val="clear" w:color="auto" w:fill="231F20"/>
            <w:vAlign w:val="bottom"/>
          </w:tcPr>
          <w:p w14:paraId="64BABAA2" w14:textId="77777777" w:rsidR="00924992" w:rsidRDefault="00924992">
            <w:pPr>
              <w:pStyle w:val="Other0"/>
              <w:framePr w:w="11419" w:h="6350" w:wrap="none" w:hAnchor="page" w:x="625" w:y="366"/>
              <w:pBdr>
                <w:top w:val="single" w:sz="0" w:space="0" w:color="231F20"/>
                <w:left w:val="single" w:sz="0" w:space="0" w:color="231F20"/>
                <w:bottom w:val="single" w:sz="0" w:space="0" w:color="231F20"/>
                <w:right w:val="single" w:sz="0" w:space="0" w:color="231F20"/>
              </w:pBdr>
              <w:shd w:val="clear" w:color="auto" w:fill="231F20"/>
              <w:spacing w:line="240" w:lineRule="auto"/>
              <w:ind w:firstLine="0"/>
              <w:rPr>
                <w:sz w:val="24"/>
                <w:szCs w:val="24"/>
              </w:rPr>
            </w:pPr>
            <w:r>
              <w:rPr>
                <w:rFonts w:ascii="Arial" w:eastAsia="Arial" w:hAnsi="Arial" w:cs="Arial"/>
                <w:b/>
                <w:bCs/>
                <w:color w:val="FFFFFF"/>
                <w:w w:val="70"/>
                <w:sz w:val="24"/>
                <w:szCs w:val="24"/>
              </w:rPr>
              <w:t>ieacciones adversas</w:t>
            </w:r>
          </w:p>
        </w:tc>
        <w:tc>
          <w:tcPr>
            <w:tcW w:w="5050" w:type="dxa"/>
            <w:gridSpan w:val="2"/>
            <w:shd w:val="clear" w:color="auto" w:fill="231F20"/>
            <w:vAlign w:val="bottom"/>
          </w:tcPr>
          <w:p w14:paraId="6A96B4B6" w14:textId="77777777" w:rsidR="00924992" w:rsidRDefault="00924992">
            <w:pPr>
              <w:pStyle w:val="Other0"/>
              <w:framePr w:w="11419" w:h="6350" w:wrap="none" w:hAnchor="page" w:x="625" w:y="366"/>
              <w:pBdr>
                <w:top w:val="single" w:sz="0" w:space="0" w:color="231F20"/>
                <w:left w:val="single" w:sz="0" w:space="0" w:color="231F20"/>
                <w:bottom w:val="single" w:sz="0" w:space="0" w:color="231F20"/>
                <w:right w:val="single" w:sz="0" w:space="0" w:color="231F20"/>
              </w:pBdr>
              <w:shd w:val="clear" w:color="auto" w:fill="231F20"/>
              <w:spacing w:line="240" w:lineRule="auto"/>
              <w:ind w:firstLine="0"/>
              <w:rPr>
                <w:sz w:val="24"/>
                <w:szCs w:val="24"/>
              </w:rPr>
            </w:pPr>
            <w:r>
              <w:rPr>
                <w:rFonts w:ascii="Arial" w:eastAsia="Arial" w:hAnsi="Arial" w:cs="Arial"/>
                <w:b/>
                <w:bCs/>
                <w:color w:val="FFFFFF"/>
                <w:w w:val="70"/>
                <w:sz w:val="24"/>
                <w:szCs w:val="24"/>
              </w:rPr>
              <w:t>Intervalo entre la vacunación y el comienzo de la reacción</w:t>
            </w:r>
          </w:p>
        </w:tc>
      </w:tr>
      <w:tr w:rsidR="00924992" w14:paraId="62DF8FB3" w14:textId="77777777">
        <w:tblPrEx>
          <w:tblCellMar>
            <w:top w:w="0" w:type="dxa"/>
            <w:bottom w:w="0" w:type="dxa"/>
          </w:tblCellMar>
        </w:tblPrEx>
        <w:trPr>
          <w:trHeight w:hRule="exact" w:val="293"/>
        </w:trPr>
        <w:tc>
          <w:tcPr>
            <w:tcW w:w="2117" w:type="dxa"/>
            <w:gridSpan w:val="2"/>
            <w:vMerge/>
            <w:shd w:val="clear" w:color="auto" w:fill="231F20"/>
            <w:vAlign w:val="bottom"/>
          </w:tcPr>
          <w:p w14:paraId="308FB1E5" w14:textId="77777777" w:rsidR="00924992" w:rsidRDefault="00924992">
            <w:pPr>
              <w:framePr w:w="11419" w:h="6350" w:wrap="none" w:hAnchor="page" w:x="625" w:y="366"/>
            </w:pPr>
          </w:p>
        </w:tc>
        <w:tc>
          <w:tcPr>
            <w:tcW w:w="4253" w:type="dxa"/>
            <w:vMerge/>
            <w:shd w:val="clear" w:color="auto" w:fill="231F20"/>
            <w:vAlign w:val="bottom"/>
          </w:tcPr>
          <w:p w14:paraId="13A87689" w14:textId="77777777" w:rsidR="00924992" w:rsidRDefault="00924992">
            <w:pPr>
              <w:framePr w:w="11419" w:h="6350" w:wrap="none" w:hAnchor="page" w:x="625" w:y="366"/>
            </w:pPr>
          </w:p>
        </w:tc>
        <w:tc>
          <w:tcPr>
            <w:tcW w:w="2338" w:type="dxa"/>
            <w:tcBorders>
              <w:top w:val="single" w:sz="4" w:space="0" w:color="auto"/>
            </w:tcBorders>
            <w:shd w:val="clear" w:color="auto" w:fill="231F20"/>
          </w:tcPr>
          <w:p w14:paraId="40D81F2A" w14:textId="77777777" w:rsidR="00924992" w:rsidRDefault="00924992">
            <w:pPr>
              <w:pStyle w:val="Other0"/>
              <w:framePr w:w="11419" w:h="6350" w:wrap="none" w:hAnchor="page" w:x="625" w:y="366"/>
              <w:pBdr>
                <w:top w:val="single" w:sz="0" w:space="0" w:color="231F20"/>
                <w:left w:val="single" w:sz="0" w:space="0" w:color="231F20"/>
                <w:bottom w:val="single" w:sz="0" w:space="0" w:color="231F20"/>
                <w:right w:val="single" w:sz="0" w:space="0" w:color="231F20"/>
              </w:pBdr>
              <w:shd w:val="clear" w:color="auto" w:fill="231F20"/>
              <w:spacing w:line="240" w:lineRule="auto"/>
              <w:ind w:firstLine="0"/>
              <w:rPr>
                <w:sz w:val="8"/>
                <w:szCs w:val="8"/>
              </w:rPr>
            </w:pPr>
            <w:r>
              <w:rPr>
                <w:rFonts w:ascii="Arial" w:eastAsia="Arial" w:hAnsi="Arial" w:cs="Arial"/>
                <w:b/>
                <w:bCs/>
                <w:color w:val="FFFFFF"/>
                <w:w w:val="70"/>
                <w:sz w:val="24"/>
                <w:szCs w:val="24"/>
              </w:rPr>
              <w:t>Para la notificación</w:t>
            </w:r>
            <w:r>
              <w:rPr>
                <w:rFonts w:ascii="Times New Roman" w:eastAsia="Times New Roman" w:hAnsi="Times New Roman" w:cs="Times New Roman"/>
                <w:color w:val="FFFFFF"/>
                <w:sz w:val="8"/>
                <w:szCs w:val="8"/>
                <w:vertAlign w:val="superscript"/>
              </w:rPr>
              <w:t>2</w:t>
            </w:r>
          </w:p>
        </w:tc>
        <w:tc>
          <w:tcPr>
            <w:tcW w:w="2712" w:type="dxa"/>
            <w:tcBorders>
              <w:top w:val="single" w:sz="4" w:space="0" w:color="auto"/>
            </w:tcBorders>
            <w:shd w:val="clear" w:color="auto" w:fill="231F20"/>
          </w:tcPr>
          <w:p w14:paraId="3E306D58" w14:textId="77777777" w:rsidR="00924992" w:rsidRDefault="00924992">
            <w:pPr>
              <w:pStyle w:val="Other0"/>
              <w:framePr w:w="11419" w:h="6350" w:wrap="none" w:hAnchor="page" w:x="625" w:y="366"/>
              <w:pBdr>
                <w:top w:val="single" w:sz="0" w:space="0" w:color="231F20"/>
                <w:left w:val="single" w:sz="0" w:space="0" w:color="231F20"/>
                <w:bottom w:val="single" w:sz="0" w:space="0" w:color="231F20"/>
                <w:right w:val="single" w:sz="0" w:space="0" w:color="231F20"/>
              </w:pBdr>
              <w:shd w:val="clear" w:color="auto" w:fill="231F20"/>
              <w:spacing w:line="240" w:lineRule="auto"/>
              <w:ind w:firstLine="0"/>
              <w:rPr>
                <w:sz w:val="8"/>
                <w:szCs w:val="8"/>
              </w:rPr>
            </w:pPr>
            <w:r>
              <w:rPr>
                <w:rFonts w:ascii="Arial" w:eastAsia="Arial" w:hAnsi="Arial" w:cs="Arial"/>
                <w:b/>
                <w:bCs/>
                <w:color w:val="FFFFFF"/>
                <w:w w:val="70"/>
                <w:sz w:val="24"/>
                <w:szCs w:val="24"/>
              </w:rPr>
              <w:t>Para la compensación</w:t>
            </w:r>
            <w:r>
              <w:rPr>
                <w:rFonts w:ascii="Times New Roman" w:eastAsia="Times New Roman" w:hAnsi="Times New Roman" w:cs="Times New Roman"/>
                <w:color w:val="FFFFFF"/>
                <w:sz w:val="8"/>
                <w:szCs w:val="8"/>
                <w:vertAlign w:val="superscript"/>
              </w:rPr>
              <w:t>3</w:t>
            </w:r>
          </w:p>
        </w:tc>
      </w:tr>
      <w:tr w:rsidR="00924992" w14:paraId="3BCB0D80" w14:textId="77777777">
        <w:tblPrEx>
          <w:tblCellMar>
            <w:top w:w="0" w:type="dxa"/>
            <w:bottom w:w="0" w:type="dxa"/>
          </w:tblCellMar>
        </w:tblPrEx>
        <w:trPr>
          <w:trHeight w:hRule="exact" w:val="288"/>
        </w:trPr>
        <w:tc>
          <w:tcPr>
            <w:tcW w:w="451" w:type="dxa"/>
            <w:shd w:val="clear" w:color="auto" w:fill="FFFFFF"/>
            <w:vAlign w:val="bottom"/>
          </w:tcPr>
          <w:p w14:paraId="3598B1DA" w14:textId="77777777" w:rsidR="00924992" w:rsidRDefault="00924992">
            <w:pPr>
              <w:pStyle w:val="Other0"/>
              <w:framePr w:w="11419" w:h="6350" w:wrap="none" w:hAnchor="page" w:x="625" w:y="366"/>
              <w:spacing w:line="240" w:lineRule="auto"/>
              <w:ind w:firstLine="0"/>
              <w:jc w:val="center"/>
              <w:rPr>
                <w:sz w:val="16"/>
                <w:szCs w:val="16"/>
              </w:rPr>
            </w:pPr>
            <w:r>
              <w:rPr>
                <w:rFonts w:ascii="Times New Roman" w:eastAsia="Times New Roman" w:hAnsi="Times New Roman" w:cs="Times New Roman"/>
                <w:sz w:val="16"/>
                <w:szCs w:val="16"/>
              </w:rPr>
              <w:t>X.</w:t>
            </w:r>
          </w:p>
        </w:tc>
        <w:tc>
          <w:tcPr>
            <w:tcW w:w="1666" w:type="dxa"/>
            <w:shd w:val="clear" w:color="auto" w:fill="FFFFFF"/>
            <w:vAlign w:val="bottom"/>
          </w:tcPr>
          <w:p w14:paraId="3DEBBA48" w14:textId="77777777" w:rsidR="00924992" w:rsidRDefault="00924992">
            <w:pPr>
              <w:pStyle w:val="Other0"/>
              <w:framePr w:w="11419" w:h="6350" w:wrap="none" w:hAnchor="page" w:x="625" w:y="366"/>
              <w:spacing w:line="240" w:lineRule="auto"/>
              <w:ind w:firstLine="0"/>
              <w:rPr>
                <w:sz w:val="16"/>
                <w:szCs w:val="16"/>
              </w:rPr>
            </w:pPr>
            <w:r>
              <w:rPr>
                <w:rFonts w:ascii="Times New Roman" w:eastAsia="Times New Roman" w:hAnsi="Times New Roman" w:cs="Times New Roman"/>
                <w:sz w:val="16"/>
                <w:szCs w:val="16"/>
              </w:rPr>
              <w:t>Vacuna contra varicela</w:t>
            </w:r>
          </w:p>
        </w:tc>
        <w:tc>
          <w:tcPr>
            <w:tcW w:w="6591" w:type="dxa"/>
            <w:gridSpan w:val="2"/>
            <w:shd w:val="clear" w:color="auto" w:fill="FFFFFF"/>
            <w:vAlign w:val="bottom"/>
          </w:tcPr>
          <w:p w14:paraId="17563DF1" w14:textId="77777777" w:rsidR="00924992" w:rsidRDefault="00924992">
            <w:pPr>
              <w:pStyle w:val="Other0"/>
              <w:framePr w:w="11419" w:h="6350" w:wrap="none" w:hAnchor="page" w:x="625" w:y="366"/>
              <w:spacing w:line="240" w:lineRule="auto"/>
              <w:ind w:firstLine="0"/>
              <w:rPr>
                <w:sz w:val="16"/>
                <w:szCs w:val="16"/>
              </w:rPr>
            </w:pPr>
            <w:r>
              <w:rPr>
                <w:rFonts w:ascii="Times New Roman" w:eastAsia="Times New Roman" w:hAnsi="Times New Roman" w:cs="Times New Roman"/>
                <w:sz w:val="16"/>
                <w:szCs w:val="16"/>
              </w:rPr>
              <w:t>A. No se especifica ninguna alteración para la compensación No aplicable</w:t>
            </w:r>
          </w:p>
        </w:tc>
        <w:tc>
          <w:tcPr>
            <w:tcW w:w="2712" w:type="dxa"/>
            <w:shd w:val="clear" w:color="auto" w:fill="FFFFFF"/>
            <w:vAlign w:val="bottom"/>
          </w:tcPr>
          <w:p w14:paraId="6292FB99" w14:textId="77777777" w:rsidR="00924992" w:rsidRDefault="00924992">
            <w:pPr>
              <w:pStyle w:val="Other0"/>
              <w:framePr w:w="11419" w:h="6350" w:wrap="none" w:hAnchor="page" w:x="625" w:y="366"/>
              <w:spacing w:line="240" w:lineRule="auto"/>
              <w:ind w:firstLine="0"/>
              <w:rPr>
                <w:sz w:val="16"/>
                <w:szCs w:val="16"/>
              </w:rPr>
            </w:pPr>
            <w:r>
              <w:rPr>
                <w:rFonts w:ascii="Times New Roman" w:eastAsia="Times New Roman" w:hAnsi="Times New Roman" w:cs="Times New Roman"/>
                <w:sz w:val="16"/>
                <w:szCs w:val="16"/>
              </w:rPr>
              <w:t>No aplicable</w:t>
            </w:r>
          </w:p>
        </w:tc>
      </w:tr>
      <w:tr w:rsidR="00924992" w14:paraId="193C5892" w14:textId="77777777">
        <w:tblPrEx>
          <w:tblCellMar>
            <w:top w:w="0" w:type="dxa"/>
            <w:bottom w:w="0" w:type="dxa"/>
          </w:tblCellMar>
        </w:tblPrEx>
        <w:trPr>
          <w:trHeight w:hRule="exact" w:val="202"/>
        </w:trPr>
        <w:tc>
          <w:tcPr>
            <w:tcW w:w="451" w:type="dxa"/>
            <w:shd w:val="clear" w:color="auto" w:fill="FFFFFF"/>
          </w:tcPr>
          <w:p w14:paraId="77D1B712" w14:textId="77777777" w:rsidR="00924992" w:rsidRDefault="00924992">
            <w:pPr>
              <w:framePr w:w="11419" w:h="6350" w:wrap="none" w:hAnchor="page" w:x="625" w:y="366"/>
              <w:rPr>
                <w:sz w:val="10"/>
                <w:szCs w:val="10"/>
              </w:rPr>
            </w:pPr>
          </w:p>
        </w:tc>
        <w:tc>
          <w:tcPr>
            <w:tcW w:w="1666" w:type="dxa"/>
            <w:shd w:val="clear" w:color="auto" w:fill="FFFFFF"/>
          </w:tcPr>
          <w:p w14:paraId="436929FF" w14:textId="77777777" w:rsidR="00924992" w:rsidRDefault="00924992">
            <w:pPr>
              <w:framePr w:w="11419" w:h="6350" w:wrap="none" w:hAnchor="page" w:x="625" w:y="366"/>
              <w:rPr>
                <w:sz w:val="10"/>
                <w:szCs w:val="10"/>
              </w:rPr>
            </w:pPr>
          </w:p>
        </w:tc>
        <w:tc>
          <w:tcPr>
            <w:tcW w:w="4253" w:type="dxa"/>
            <w:shd w:val="clear" w:color="auto" w:fill="FFFFFF"/>
          </w:tcPr>
          <w:p w14:paraId="347CEA3D" w14:textId="77777777" w:rsidR="00924992" w:rsidRDefault="00924992">
            <w:pPr>
              <w:pStyle w:val="Other0"/>
              <w:framePr w:w="11419" w:h="6350" w:wrap="none" w:hAnchor="page" w:x="625" w:y="366"/>
              <w:spacing w:line="240" w:lineRule="auto"/>
              <w:ind w:firstLine="0"/>
              <w:rPr>
                <w:sz w:val="16"/>
                <w:szCs w:val="16"/>
              </w:rPr>
            </w:pPr>
            <w:r>
              <w:rPr>
                <w:rFonts w:ascii="Times New Roman" w:eastAsia="Times New Roman" w:hAnsi="Times New Roman" w:cs="Times New Roman"/>
                <w:sz w:val="16"/>
                <w:szCs w:val="16"/>
              </w:rPr>
              <w:t>B. Reacciones descritas en las instrucciones del fabricante</w:t>
            </w:r>
          </w:p>
        </w:tc>
        <w:tc>
          <w:tcPr>
            <w:tcW w:w="2338" w:type="dxa"/>
            <w:shd w:val="clear" w:color="auto" w:fill="FFFFFF"/>
          </w:tcPr>
          <w:p w14:paraId="3732EE64" w14:textId="77777777" w:rsidR="00924992" w:rsidRDefault="00924992">
            <w:pPr>
              <w:pStyle w:val="Other0"/>
              <w:framePr w:w="11419" w:h="6350" w:wrap="none" w:hAnchor="page" w:x="625" w:y="366"/>
              <w:spacing w:line="240" w:lineRule="auto"/>
              <w:ind w:firstLine="0"/>
              <w:rPr>
                <w:sz w:val="16"/>
                <w:szCs w:val="16"/>
              </w:rPr>
            </w:pPr>
            <w:r>
              <w:rPr>
                <w:rFonts w:ascii="Times New Roman" w:eastAsia="Times New Roman" w:hAnsi="Times New Roman" w:cs="Times New Roman"/>
                <w:sz w:val="16"/>
                <w:szCs w:val="16"/>
              </w:rPr>
              <w:t>Consultar las instrucciones</w:t>
            </w:r>
          </w:p>
        </w:tc>
        <w:tc>
          <w:tcPr>
            <w:tcW w:w="2712" w:type="dxa"/>
            <w:shd w:val="clear" w:color="auto" w:fill="FFFFFF"/>
          </w:tcPr>
          <w:p w14:paraId="37F05010" w14:textId="77777777" w:rsidR="00924992" w:rsidRDefault="00924992">
            <w:pPr>
              <w:pStyle w:val="Other0"/>
              <w:framePr w:w="11419" w:h="6350" w:wrap="none" w:hAnchor="page" w:x="625" w:y="366"/>
              <w:spacing w:line="240" w:lineRule="auto"/>
              <w:ind w:firstLine="0"/>
              <w:rPr>
                <w:sz w:val="16"/>
                <w:szCs w:val="16"/>
              </w:rPr>
            </w:pPr>
            <w:r>
              <w:rPr>
                <w:rFonts w:ascii="Times New Roman" w:eastAsia="Times New Roman" w:hAnsi="Times New Roman" w:cs="Times New Roman"/>
                <w:sz w:val="16"/>
                <w:szCs w:val="16"/>
              </w:rPr>
              <w:t>No aplicable</w:t>
            </w:r>
          </w:p>
        </w:tc>
      </w:tr>
      <w:tr w:rsidR="00924992" w14:paraId="4FDC91AD" w14:textId="77777777">
        <w:tblPrEx>
          <w:tblCellMar>
            <w:top w:w="0" w:type="dxa"/>
            <w:bottom w:w="0" w:type="dxa"/>
          </w:tblCellMar>
        </w:tblPrEx>
        <w:trPr>
          <w:trHeight w:hRule="exact" w:val="221"/>
        </w:trPr>
        <w:tc>
          <w:tcPr>
            <w:tcW w:w="451" w:type="dxa"/>
            <w:shd w:val="clear" w:color="auto" w:fill="FFFFFF"/>
          </w:tcPr>
          <w:p w14:paraId="3B1E9BF3" w14:textId="77777777" w:rsidR="00924992" w:rsidRDefault="00924992">
            <w:pPr>
              <w:framePr w:w="11419" w:h="6350" w:wrap="none" w:hAnchor="page" w:x="625" w:y="366"/>
              <w:rPr>
                <w:sz w:val="10"/>
                <w:szCs w:val="10"/>
              </w:rPr>
            </w:pPr>
          </w:p>
        </w:tc>
        <w:tc>
          <w:tcPr>
            <w:tcW w:w="1666" w:type="dxa"/>
            <w:shd w:val="clear" w:color="auto" w:fill="FFFFFF"/>
          </w:tcPr>
          <w:p w14:paraId="20519AFC" w14:textId="77777777" w:rsidR="00924992" w:rsidRDefault="00924992">
            <w:pPr>
              <w:framePr w:w="11419" w:h="6350" w:wrap="none" w:hAnchor="page" w:x="625" w:y="366"/>
              <w:rPr>
                <w:sz w:val="10"/>
                <w:szCs w:val="10"/>
              </w:rPr>
            </w:pPr>
          </w:p>
        </w:tc>
        <w:tc>
          <w:tcPr>
            <w:tcW w:w="4253" w:type="dxa"/>
            <w:shd w:val="clear" w:color="auto" w:fill="FFFFFF"/>
            <w:vAlign w:val="bottom"/>
          </w:tcPr>
          <w:p w14:paraId="75B389FD" w14:textId="77777777" w:rsidR="00924992" w:rsidRDefault="00924992">
            <w:pPr>
              <w:pStyle w:val="Other0"/>
              <w:framePr w:w="11419" w:h="6350" w:wrap="none" w:hAnchor="page" w:x="625" w:y="366"/>
              <w:spacing w:line="240" w:lineRule="auto"/>
              <w:ind w:firstLine="280"/>
              <w:rPr>
                <w:sz w:val="16"/>
                <w:szCs w:val="16"/>
              </w:rPr>
            </w:pPr>
            <w:r>
              <w:rPr>
                <w:rFonts w:ascii="Times New Roman" w:eastAsia="Times New Roman" w:hAnsi="Times New Roman" w:cs="Times New Roman"/>
                <w:sz w:val="16"/>
                <w:szCs w:val="16"/>
              </w:rPr>
              <w:t>como contraindicaciones para aplicar más dosis de la vacuna</w:t>
            </w:r>
          </w:p>
        </w:tc>
        <w:tc>
          <w:tcPr>
            <w:tcW w:w="2338" w:type="dxa"/>
            <w:shd w:val="clear" w:color="auto" w:fill="FFFFFF"/>
            <w:vAlign w:val="bottom"/>
          </w:tcPr>
          <w:p w14:paraId="03C1A3F4" w14:textId="77777777" w:rsidR="00924992" w:rsidRDefault="00924992">
            <w:pPr>
              <w:pStyle w:val="Other0"/>
              <w:framePr w:w="11419" w:h="6350" w:wrap="none" w:hAnchor="page" w:x="625" w:y="366"/>
              <w:spacing w:line="240" w:lineRule="auto"/>
              <w:ind w:firstLine="180"/>
              <w:rPr>
                <w:sz w:val="16"/>
                <w:szCs w:val="16"/>
              </w:rPr>
            </w:pPr>
            <w:r>
              <w:rPr>
                <w:rFonts w:ascii="Times New Roman" w:eastAsia="Times New Roman" w:hAnsi="Times New Roman" w:cs="Times New Roman"/>
                <w:sz w:val="16"/>
                <w:szCs w:val="16"/>
              </w:rPr>
              <w:t>del fabricante</w:t>
            </w:r>
          </w:p>
        </w:tc>
        <w:tc>
          <w:tcPr>
            <w:tcW w:w="2712" w:type="dxa"/>
            <w:shd w:val="clear" w:color="auto" w:fill="FFFFFF"/>
          </w:tcPr>
          <w:p w14:paraId="36BB70A1" w14:textId="77777777" w:rsidR="00924992" w:rsidRDefault="00924992">
            <w:pPr>
              <w:framePr w:w="11419" w:h="6350" w:wrap="none" w:hAnchor="page" w:x="625" w:y="366"/>
              <w:rPr>
                <w:sz w:val="10"/>
                <w:szCs w:val="10"/>
              </w:rPr>
            </w:pPr>
          </w:p>
        </w:tc>
      </w:tr>
      <w:tr w:rsidR="00924992" w14:paraId="710361AC" w14:textId="77777777">
        <w:tblPrEx>
          <w:tblCellMar>
            <w:top w:w="0" w:type="dxa"/>
            <w:bottom w:w="0" w:type="dxa"/>
          </w:tblCellMar>
        </w:tblPrEx>
        <w:trPr>
          <w:trHeight w:hRule="exact" w:val="230"/>
        </w:trPr>
        <w:tc>
          <w:tcPr>
            <w:tcW w:w="451" w:type="dxa"/>
            <w:shd w:val="clear" w:color="auto" w:fill="FFFFFF"/>
          </w:tcPr>
          <w:p w14:paraId="5BCD74BC" w14:textId="77777777" w:rsidR="00924992" w:rsidRDefault="00924992">
            <w:pPr>
              <w:pStyle w:val="Other0"/>
              <w:framePr w:w="11419" w:h="6350" w:wrap="none" w:hAnchor="page" w:x="625" w:y="366"/>
              <w:spacing w:line="240" w:lineRule="auto"/>
              <w:ind w:firstLine="0"/>
              <w:jc w:val="center"/>
              <w:rPr>
                <w:sz w:val="16"/>
                <w:szCs w:val="16"/>
              </w:rPr>
            </w:pPr>
            <w:r>
              <w:rPr>
                <w:rFonts w:ascii="Times New Roman" w:eastAsia="Times New Roman" w:hAnsi="Times New Roman" w:cs="Times New Roman"/>
                <w:sz w:val="16"/>
                <w:szCs w:val="16"/>
              </w:rPr>
              <w:t>XI.</w:t>
            </w:r>
          </w:p>
        </w:tc>
        <w:tc>
          <w:tcPr>
            <w:tcW w:w="1666" w:type="dxa"/>
            <w:shd w:val="clear" w:color="auto" w:fill="FFFFFF"/>
          </w:tcPr>
          <w:p w14:paraId="740436CC" w14:textId="77777777" w:rsidR="00924992" w:rsidRDefault="00924992">
            <w:pPr>
              <w:pStyle w:val="Other0"/>
              <w:framePr w:w="11419" w:h="6350" w:wrap="none" w:hAnchor="page" w:x="625" w:y="366"/>
              <w:spacing w:line="240" w:lineRule="auto"/>
              <w:ind w:firstLine="0"/>
              <w:rPr>
                <w:sz w:val="16"/>
                <w:szCs w:val="16"/>
              </w:rPr>
            </w:pPr>
            <w:r>
              <w:rPr>
                <w:rFonts w:ascii="Times New Roman" w:eastAsia="Times New Roman" w:hAnsi="Times New Roman" w:cs="Times New Roman"/>
                <w:sz w:val="16"/>
                <w:szCs w:val="16"/>
              </w:rPr>
              <w:t>Vacuna contra rotavirus</w:t>
            </w:r>
          </w:p>
        </w:tc>
        <w:tc>
          <w:tcPr>
            <w:tcW w:w="4253" w:type="dxa"/>
            <w:shd w:val="clear" w:color="auto" w:fill="FFFFFF"/>
          </w:tcPr>
          <w:p w14:paraId="60B71C87" w14:textId="77777777" w:rsidR="00924992" w:rsidRDefault="00924992">
            <w:pPr>
              <w:pStyle w:val="Other0"/>
              <w:framePr w:w="11419" w:h="6350" w:wrap="none" w:hAnchor="page" w:x="625" w:y="366"/>
              <w:spacing w:line="240" w:lineRule="auto"/>
              <w:ind w:firstLine="0"/>
              <w:rPr>
                <w:sz w:val="16"/>
                <w:szCs w:val="16"/>
              </w:rPr>
            </w:pPr>
            <w:r>
              <w:rPr>
                <w:rFonts w:ascii="Times New Roman" w:eastAsia="Times New Roman" w:hAnsi="Times New Roman" w:cs="Times New Roman"/>
                <w:sz w:val="16"/>
                <w:szCs w:val="16"/>
              </w:rPr>
              <w:t>A. No se especifica un trastorno particular para la</w:t>
            </w:r>
          </w:p>
        </w:tc>
        <w:tc>
          <w:tcPr>
            <w:tcW w:w="2338" w:type="dxa"/>
            <w:shd w:val="clear" w:color="auto" w:fill="FFFFFF"/>
          </w:tcPr>
          <w:p w14:paraId="6BCE60F3" w14:textId="77777777" w:rsidR="00924992" w:rsidRDefault="00924992">
            <w:pPr>
              <w:pStyle w:val="Other0"/>
              <w:framePr w:w="11419" w:h="6350" w:wrap="none" w:hAnchor="page" w:x="625" w:y="366"/>
              <w:spacing w:line="240" w:lineRule="auto"/>
              <w:ind w:firstLine="0"/>
              <w:rPr>
                <w:sz w:val="16"/>
                <w:szCs w:val="16"/>
              </w:rPr>
            </w:pPr>
            <w:r>
              <w:rPr>
                <w:rFonts w:ascii="Times New Roman" w:eastAsia="Times New Roman" w:hAnsi="Times New Roman" w:cs="Times New Roman"/>
                <w:sz w:val="16"/>
                <w:szCs w:val="16"/>
              </w:rPr>
              <w:t>No aplicable</w:t>
            </w:r>
          </w:p>
        </w:tc>
        <w:tc>
          <w:tcPr>
            <w:tcW w:w="2712" w:type="dxa"/>
            <w:shd w:val="clear" w:color="auto" w:fill="FFFFFF"/>
          </w:tcPr>
          <w:p w14:paraId="676A386B" w14:textId="77777777" w:rsidR="00924992" w:rsidRDefault="00924992">
            <w:pPr>
              <w:pStyle w:val="Other0"/>
              <w:framePr w:w="11419" w:h="6350" w:wrap="none" w:hAnchor="page" w:x="625" w:y="366"/>
              <w:spacing w:line="240" w:lineRule="auto"/>
              <w:ind w:firstLine="0"/>
              <w:rPr>
                <w:sz w:val="16"/>
                <w:szCs w:val="16"/>
              </w:rPr>
            </w:pPr>
            <w:r>
              <w:rPr>
                <w:rFonts w:ascii="Times New Roman" w:eastAsia="Times New Roman" w:hAnsi="Times New Roman" w:cs="Times New Roman"/>
                <w:sz w:val="16"/>
                <w:szCs w:val="16"/>
              </w:rPr>
              <w:t>No aplicable</w:t>
            </w:r>
          </w:p>
        </w:tc>
      </w:tr>
      <w:tr w:rsidR="00924992" w14:paraId="27F5EE2A" w14:textId="77777777">
        <w:tblPrEx>
          <w:tblCellMar>
            <w:top w:w="0" w:type="dxa"/>
            <w:bottom w:w="0" w:type="dxa"/>
          </w:tblCellMar>
        </w:tblPrEx>
        <w:trPr>
          <w:trHeight w:hRule="exact" w:val="408"/>
        </w:trPr>
        <w:tc>
          <w:tcPr>
            <w:tcW w:w="451" w:type="dxa"/>
            <w:shd w:val="clear" w:color="auto" w:fill="FFFFFF"/>
          </w:tcPr>
          <w:p w14:paraId="29C6E68B" w14:textId="77777777" w:rsidR="00924992" w:rsidRDefault="00924992">
            <w:pPr>
              <w:framePr w:w="11419" w:h="6350" w:wrap="none" w:hAnchor="page" w:x="625" w:y="366"/>
              <w:rPr>
                <w:sz w:val="10"/>
                <w:szCs w:val="10"/>
              </w:rPr>
            </w:pPr>
          </w:p>
        </w:tc>
        <w:tc>
          <w:tcPr>
            <w:tcW w:w="1666" w:type="dxa"/>
            <w:shd w:val="clear" w:color="auto" w:fill="FFFFFF"/>
          </w:tcPr>
          <w:p w14:paraId="4E871B11" w14:textId="77777777" w:rsidR="00924992" w:rsidRDefault="00924992">
            <w:pPr>
              <w:framePr w:w="11419" w:h="6350" w:wrap="none" w:hAnchor="page" w:x="625" w:y="366"/>
              <w:rPr>
                <w:sz w:val="10"/>
                <w:szCs w:val="10"/>
              </w:rPr>
            </w:pPr>
          </w:p>
        </w:tc>
        <w:tc>
          <w:tcPr>
            <w:tcW w:w="4253" w:type="dxa"/>
            <w:shd w:val="clear" w:color="auto" w:fill="FFFFFF"/>
            <w:vAlign w:val="bottom"/>
          </w:tcPr>
          <w:p w14:paraId="30263A56" w14:textId="77777777" w:rsidR="00924992" w:rsidRDefault="00924992">
            <w:pPr>
              <w:pStyle w:val="Other0"/>
              <w:framePr w:w="11419" w:h="6350" w:wrap="none" w:hAnchor="page" w:x="625" w:y="366"/>
              <w:spacing w:line="240" w:lineRule="auto"/>
              <w:ind w:firstLine="280"/>
              <w:rPr>
                <w:sz w:val="16"/>
                <w:szCs w:val="16"/>
              </w:rPr>
            </w:pPr>
            <w:r>
              <w:rPr>
                <w:rFonts w:ascii="Times New Roman" w:eastAsia="Times New Roman" w:hAnsi="Times New Roman" w:cs="Times New Roman"/>
                <w:sz w:val="16"/>
                <w:szCs w:val="16"/>
              </w:rPr>
              <w:t>compensación</w:t>
            </w:r>
          </w:p>
          <w:p w14:paraId="4598C2F1" w14:textId="77777777" w:rsidR="00924992" w:rsidRDefault="00924992">
            <w:pPr>
              <w:pStyle w:val="Other0"/>
              <w:framePr w:w="11419" w:h="6350" w:wrap="none" w:hAnchor="page" w:x="625" w:y="366"/>
              <w:spacing w:line="240" w:lineRule="auto"/>
              <w:ind w:firstLine="0"/>
              <w:rPr>
                <w:sz w:val="16"/>
                <w:szCs w:val="16"/>
              </w:rPr>
            </w:pPr>
            <w:r>
              <w:rPr>
                <w:rFonts w:ascii="Times New Roman" w:eastAsia="Times New Roman" w:hAnsi="Times New Roman" w:cs="Times New Roman"/>
                <w:sz w:val="16"/>
                <w:szCs w:val="16"/>
              </w:rPr>
              <w:t>B. Reacciones descritas en las instrucciones del fabricante</w:t>
            </w:r>
          </w:p>
        </w:tc>
        <w:tc>
          <w:tcPr>
            <w:tcW w:w="2338" w:type="dxa"/>
            <w:shd w:val="clear" w:color="auto" w:fill="FFFFFF"/>
            <w:vAlign w:val="bottom"/>
          </w:tcPr>
          <w:p w14:paraId="107B7F41" w14:textId="77777777" w:rsidR="00924992" w:rsidRDefault="00924992">
            <w:pPr>
              <w:pStyle w:val="Other0"/>
              <w:framePr w:w="11419" w:h="6350" w:wrap="none" w:hAnchor="page" w:x="625" w:y="366"/>
              <w:spacing w:line="240" w:lineRule="auto"/>
              <w:ind w:firstLine="0"/>
              <w:rPr>
                <w:sz w:val="16"/>
                <w:szCs w:val="16"/>
              </w:rPr>
            </w:pPr>
            <w:r>
              <w:rPr>
                <w:rFonts w:ascii="Times New Roman" w:eastAsia="Times New Roman" w:hAnsi="Times New Roman" w:cs="Times New Roman"/>
                <w:sz w:val="16"/>
                <w:szCs w:val="16"/>
              </w:rPr>
              <w:t>Consultar las instrucciones</w:t>
            </w:r>
          </w:p>
        </w:tc>
        <w:tc>
          <w:tcPr>
            <w:tcW w:w="2712" w:type="dxa"/>
            <w:shd w:val="clear" w:color="auto" w:fill="FFFFFF"/>
            <w:vAlign w:val="bottom"/>
          </w:tcPr>
          <w:p w14:paraId="6CCDA313" w14:textId="77777777" w:rsidR="00924992" w:rsidRDefault="00924992">
            <w:pPr>
              <w:pStyle w:val="Other0"/>
              <w:framePr w:w="11419" w:h="6350" w:wrap="none" w:hAnchor="page" w:x="625" w:y="366"/>
              <w:spacing w:line="240" w:lineRule="auto"/>
              <w:ind w:firstLine="0"/>
              <w:rPr>
                <w:sz w:val="16"/>
                <w:szCs w:val="16"/>
              </w:rPr>
            </w:pPr>
            <w:r>
              <w:rPr>
                <w:rFonts w:ascii="Times New Roman" w:eastAsia="Times New Roman" w:hAnsi="Times New Roman" w:cs="Times New Roman"/>
                <w:sz w:val="16"/>
                <w:szCs w:val="16"/>
              </w:rPr>
              <w:t>No aplicable</w:t>
            </w:r>
          </w:p>
        </w:tc>
      </w:tr>
      <w:tr w:rsidR="00924992" w14:paraId="4DA3FC1F" w14:textId="77777777">
        <w:tblPrEx>
          <w:tblCellMar>
            <w:top w:w="0" w:type="dxa"/>
            <w:bottom w:w="0" w:type="dxa"/>
          </w:tblCellMar>
        </w:tblPrEx>
        <w:trPr>
          <w:trHeight w:hRule="exact" w:val="226"/>
        </w:trPr>
        <w:tc>
          <w:tcPr>
            <w:tcW w:w="451" w:type="dxa"/>
            <w:shd w:val="clear" w:color="auto" w:fill="FFFFFF"/>
          </w:tcPr>
          <w:p w14:paraId="20BE8838" w14:textId="77777777" w:rsidR="00924992" w:rsidRDefault="00924992">
            <w:pPr>
              <w:framePr w:w="11419" w:h="6350" w:wrap="none" w:hAnchor="page" w:x="625" w:y="366"/>
              <w:rPr>
                <w:sz w:val="10"/>
                <w:szCs w:val="10"/>
              </w:rPr>
            </w:pPr>
          </w:p>
        </w:tc>
        <w:tc>
          <w:tcPr>
            <w:tcW w:w="1666" w:type="dxa"/>
            <w:shd w:val="clear" w:color="auto" w:fill="FFFFFF"/>
          </w:tcPr>
          <w:p w14:paraId="487C8058" w14:textId="77777777" w:rsidR="00924992" w:rsidRDefault="00924992">
            <w:pPr>
              <w:framePr w:w="11419" w:h="6350" w:wrap="none" w:hAnchor="page" w:x="625" w:y="366"/>
              <w:rPr>
                <w:sz w:val="10"/>
                <w:szCs w:val="10"/>
              </w:rPr>
            </w:pPr>
          </w:p>
        </w:tc>
        <w:tc>
          <w:tcPr>
            <w:tcW w:w="6591" w:type="dxa"/>
            <w:gridSpan w:val="2"/>
            <w:shd w:val="clear" w:color="auto" w:fill="FFFFFF"/>
            <w:vAlign w:val="bottom"/>
          </w:tcPr>
          <w:p w14:paraId="6B548C0E" w14:textId="77777777" w:rsidR="00924992" w:rsidRDefault="00924992">
            <w:pPr>
              <w:pStyle w:val="Other0"/>
              <w:framePr w:w="11419" w:h="6350" w:wrap="none" w:hAnchor="page" w:x="625" w:y="366"/>
              <w:spacing w:line="240" w:lineRule="auto"/>
              <w:ind w:firstLine="280"/>
              <w:rPr>
                <w:sz w:val="16"/>
                <w:szCs w:val="16"/>
              </w:rPr>
            </w:pPr>
            <w:r>
              <w:rPr>
                <w:rFonts w:ascii="Times New Roman" w:eastAsia="Times New Roman" w:hAnsi="Times New Roman" w:cs="Times New Roman"/>
                <w:sz w:val="16"/>
                <w:szCs w:val="16"/>
              </w:rPr>
              <w:t>como contraindicaciones para aplicar las dosis de la vacuna</w:t>
            </w:r>
          </w:p>
        </w:tc>
        <w:tc>
          <w:tcPr>
            <w:tcW w:w="2712" w:type="dxa"/>
            <w:shd w:val="clear" w:color="auto" w:fill="FFFFFF"/>
            <w:vAlign w:val="bottom"/>
          </w:tcPr>
          <w:p w14:paraId="258DD7FE" w14:textId="77777777" w:rsidR="00924992" w:rsidRDefault="00924992">
            <w:pPr>
              <w:pStyle w:val="Other0"/>
              <w:framePr w:w="11419" w:h="6350" w:wrap="none" w:hAnchor="page" w:x="625" w:y="366"/>
              <w:spacing w:line="240" w:lineRule="auto"/>
              <w:ind w:firstLine="240"/>
              <w:rPr>
                <w:sz w:val="16"/>
                <w:szCs w:val="16"/>
              </w:rPr>
            </w:pPr>
            <w:r>
              <w:rPr>
                <w:rFonts w:ascii="Times New Roman" w:eastAsia="Times New Roman" w:hAnsi="Times New Roman" w:cs="Times New Roman"/>
                <w:sz w:val="16"/>
                <w:szCs w:val="16"/>
              </w:rPr>
              <w:t>del fabricante</w:t>
            </w:r>
          </w:p>
        </w:tc>
      </w:tr>
      <w:tr w:rsidR="00924992" w14:paraId="1756058C" w14:textId="77777777">
        <w:tblPrEx>
          <w:tblCellMar>
            <w:top w:w="0" w:type="dxa"/>
            <w:bottom w:w="0" w:type="dxa"/>
          </w:tblCellMar>
        </w:tblPrEx>
        <w:trPr>
          <w:trHeight w:hRule="exact" w:val="216"/>
        </w:trPr>
        <w:tc>
          <w:tcPr>
            <w:tcW w:w="451" w:type="dxa"/>
            <w:shd w:val="clear" w:color="auto" w:fill="FFFFFF"/>
            <w:vAlign w:val="bottom"/>
          </w:tcPr>
          <w:p w14:paraId="270C0ABA" w14:textId="77777777" w:rsidR="00924992" w:rsidRDefault="00924992">
            <w:pPr>
              <w:pStyle w:val="Other0"/>
              <w:framePr w:w="11419" w:h="6350" w:wrap="none" w:hAnchor="page" w:x="625" w:y="366"/>
              <w:spacing w:line="240" w:lineRule="auto"/>
              <w:ind w:firstLine="0"/>
              <w:jc w:val="center"/>
              <w:rPr>
                <w:sz w:val="16"/>
                <w:szCs w:val="16"/>
              </w:rPr>
            </w:pPr>
            <w:r>
              <w:rPr>
                <w:rFonts w:ascii="Times New Roman" w:eastAsia="Times New Roman" w:hAnsi="Times New Roman" w:cs="Times New Roman"/>
                <w:sz w:val="16"/>
                <w:szCs w:val="16"/>
              </w:rPr>
              <w:t>XII.</w:t>
            </w:r>
          </w:p>
        </w:tc>
        <w:tc>
          <w:tcPr>
            <w:tcW w:w="1666" w:type="dxa"/>
            <w:shd w:val="clear" w:color="auto" w:fill="FFFFFF"/>
            <w:vAlign w:val="bottom"/>
          </w:tcPr>
          <w:p w14:paraId="140456C4" w14:textId="77777777" w:rsidR="00924992" w:rsidRDefault="00924992">
            <w:pPr>
              <w:pStyle w:val="Other0"/>
              <w:framePr w:w="11419" w:h="6350" w:wrap="none" w:hAnchor="page" w:x="625" w:y="366"/>
              <w:spacing w:line="240" w:lineRule="auto"/>
              <w:ind w:firstLine="0"/>
              <w:rPr>
                <w:sz w:val="16"/>
                <w:szCs w:val="16"/>
              </w:rPr>
            </w:pPr>
            <w:r>
              <w:rPr>
                <w:rFonts w:ascii="Times New Roman" w:eastAsia="Times New Roman" w:hAnsi="Times New Roman" w:cs="Times New Roman"/>
                <w:sz w:val="16"/>
                <w:szCs w:val="16"/>
              </w:rPr>
              <w:t>Vacuna que contiene</w:t>
            </w:r>
          </w:p>
        </w:tc>
        <w:tc>
          <w:tcPr>
            <w:tcW w:w="4253" w:type="dxa"/>
            <w:shd w:val="clear" w:color="auto" w:fill="FFFFFF"/>
            <w:vAlign w:val="bottom"/>
          </w:tcPr>
          <w:p w14:paraId="058164D7" w14:textId="77777777" w:rsidR="00924992" w:rsidRDefault="00924992">
            <w:pPr>
              <w:pStyle w:val="Other0"/>
              <w:framePr w:w="11419" w:h="6350" w:wrap="none" w:hAnchor="page" w:x="625" w:y="366"/>
              <w:spacing w:line="240" w:lineRule="auto"/>
              <w:ind w:firstLine="0"/>
              <w:rPr>
                <w:sz w:val="16"/>
                <w:szCs w:val="16"/>
              </w:rPr>
            </w:pPr>
            <w:r>
              <w:rPr>
                <w:rFonts w:ascii="Times New Roman" w:eastAsia="Times New Roman" w:hAnsi="Times New Roman" w:cs="Times New Roman"/>
                <w:sz w:val="16"/>
                <w:szCs w:val="16"/>
              </w:rPr>
              <w:t>A. Invaginación</w:t>
            </w:r>
          </w:p>
        </w:tc>
        <w:tc>
          <w:tcPr>
            <w:tcW w:w="2338" w:type="dxa"/>
            <w:shd w:val="clear" w:color="auto" w:fill="FFFFFF"/>
            <w:vAlign w:val="bottom"/>
          </w:tcPr>
          <w:p w14:paraId="50063218" w14:textId="77777777" w:rsidR="00924992" w:rsidRDefault="00924992">
            <w:pPr>
              <w:pStyle w:val="Other0"/>
              <w:framePr w:w="11419" w:h="6350" w:wrap="none" w:hAnchor="page" w:x="625" w:y="366"/>
              <w:spacing w:line="240" w:lineRule="auto"/>
              <w:ind w:firstLine="0"/>
              <w:rPr>
                <w:sz w:val="16"/>
                <w:szCs w:val="16"/>
              </w:rPr>
            </w:pPr>
            <w:r>
              <w:rPr>
                <w:rFonts w:ascii="Times New Roman" w:eastAsia="Times New Roman" w:hAnsi="Times New Roman" w:cs="Times New Roman"/>
                <w:sz w:val="16"/>
                <w:szCs w:val="16"/>
              </w:rPr>
              <w:t>0-30 días</w:t>
            </w:r>
          </w:p>
        </w:tc>
        <w:tc>
          <w:tcPr>
            <w:tcW w:w="2712" w:type="dxa"/>
            <w:shd w:val="clear" w:color="auto" w:fill="FFFFFF"/>
            <w:vAlign w:val="bottom"/>
          </w:tcPr>
          <w:p w14:paraId="18BCA015" w14:textId="77777777" w:rsidR="00924992" w:rsidRDefault="00924992">
            <w:pPr>
              <w:pStyle w:val="Other0"/>
              <w:framePr w:w="11419" w:h="6350" w:wrap="none" w:hAnchor="page" w:x="625" w:y="366"/>
              <w:spacing w:line="240" w:lineRule="auto"/>
              <w:ind w:firstLine="0"/>
              <w:rPr>
                <w:sz w:val="16"/>
                <w:szCs w:val="16"/>
              </w:rPr>
            </w:pPr>
            <w:r>
              <w:rPr>
                <w:rFonts w:ascii="Times New Roman" w:eastAsia="Times New Roman" w:hAnsi="Times New Roman" w:cs="Times New Roman"/>
                <w:sz w:val="16"/>
                <w:szCs w:val="16"/>
              </w:rPr>
              <w:t>0-30 días</w:t>
            </w:r>
          </w:p>
        </w:tc>
      </w:tr>
      <w:tr w:rsidR="00924992" w14:paraId="0C19E587" w14:textId="77777777">
        <w:tblPrEx>
          <w:tblCellMar>
            <w:top w:w="0" w:type="dxa"/>
            <w:bottom w:w="0" w:type="dxa"/>
          </w:tblCellMar>
        </w:tblPrEx>
        <w:trPr>
          <w:trHeight w:hRule="exact" w:val="206"/>
        </w:trPr>
        <w:tc>
          <w:tcPr>
            <w:tcW w:w="451" w:type="dxa"/>
            <w:shd w:val="clear" w:color="auto" w:fill="FFFFFF"/>
          </w:tcPr>
          <w:p w14:paraId="5A1F7D03" w14:textId="77777777" w:rsidR="00924992" w:rsidRDefault="00924992">
            <w:pPr>
              <w:framePr w:w="11419" w:h="6350" w:wrap="none" w:hAnchor="page" w:x="625" w:y="366"/>
              <w:rPr>
                <w:sz w:val="10"/>
                <w:szCs w:val="10"/>
              </w:rPr>
            </w:pPr>
          </w:p>
        </w:tc>
        <w:tc>
          <w:tcPr>
            <w:tcW w:w="1666" w:type="dxa"/>
            <w:shd w:val="clear" w:color="auto" w:fill="FFFFFF"/>
          </w:tcPr>
          <w:p w14:paraId="050BBBED" w14:textId="77777777" w:rsidR="00924992" w:rsidRDefault="00924992">
            <w:pPr>
              <w:pStyle w:val="Other0"/>
              <w:framePr w:w="11419" w:h="6350" w:wrap="none" w:hAnchor="page" w:x="625" w:y="366"/>
              <w:spacing w:line="240" w:lineRule="auto"/>
              <w:ind w:firstLine="0"/>
              <w:rPr>
                <w:sz w:val="16"/>
                <w:szCs w:val="16"/>
              </w:rPr>
            </w:pPr>
            <w:r>
              <w:rPr>
                <w:rFonts w:ascii="Times New Roman" w:eastAsia="Times New Roman" w:hAnsi="Times New Roman" w:cs="Times New Roman"/>
                <w:sz w:val="16"/>
                <w:szCs w:val="16"/>
              </w:rPr>
              <w:t>rotavirus vivos, orales</w:t>
            </w:r>
          </w:p>
        </w:tc>
        <w:tc>
          <w:tcPr>
            <w:tcW w:w="4253" w:type="dxa"/>
            <w:shd w:val="clear" w:color="auto" w:fill="FFFFFF"/>
          </w:tcPr>
          <w:p w14:paraId="2E3532CA" w14:textId="77777777" w:rsidR="00924992" w:rsidRDefault="00924992">
            <w:pPr>
              <w:pStyle w:val="Other0"/>
              <w:framePr w:w="11419" w:h="6350" w:wrap="none" w:hAnchor="page" w:x="625" w:y="366"/>
              <w:spacing w:line="240" w:lineRule="auto"/>
              <w:ind w:firstLine="0"/>
              <w:rPr>
                <w:sz w:val="16"/>
                <w:szCs w:val="16"/>
              </w:rPr>
            </w:pPr>
            <w:r>
              <w:rPr>
                <w:rFonts w:ascii="Times New Roman" w:eastAsia="Times New Roman" w:hAnsi="Times New Roman" w:cs="Times New Roman"/>
                <w:sz w:val="16"/>
                <w:szCs w:val="16"/>
              </w:rPr>
              <w:t>B. Reacciones descritas en las instrucciones del fabricante</w:t>
            </w:r>
          </w:p>
        </w:tc>
        <w:tc>
          <w:tcPr>
            <w:tcW w:w="2338" w:type="dxa"/>
            <w:shd w:val="clear" w:color="auto" w:fill="FFFFFF"/>
          </w:tcPr>
          <w:p w14:paraId="49EA31FE" w14:textId="77777777" w:rsidR="00924992" w:rsidRDefault="00924992">
            <w:pPr>
              <w:pStyle w:val="Other0"/>
              <w:framePr w:w="11419" w:h="6350" w:wrap="none" w:hAnchor="page" w:x="625" w:y="366"/>
              <w:spacing w:line="240" w:lineRule="auto"/>
              <w:ind w:firstLine="0"/>
              <w:rPr>
                <w:sz w:val="16"/>
                <w:szCs w:val="16"/>
              </w:rPr>
            </w:pPr>
            <w:r>
              <w:rPr>
                <w:rFonts w:ascii="Times New Roman" w:eastAsia="Times New Roman" w:hAnsi="Times New Roman" w:cs="Times New Roman"/>
                <w:sz w:val="16"/>
                <w:szCs w:val="16"/>
              </w:rPr>
              <w:t>Consultar las instrucciones</w:t>
            </w:r>
          </w:p>
        </w:tc>
        <w:tc>
          <w:tcPr>
            <w:tcW w:w="2712" w:type="dxa"/>
            <w:vMerge w:val="restart"/>
            <w:shd w:val="clear" w:color="auto" w:fill="FFFFFF"/>
          </w:tcPr>
          <w:p w14:paraId="388CC978" w14:textId="77777777" w:rsidR="00924992" w:rsidRDefault="00924992">
            <w:pPr>
              <w:pStyle w:val="Other0"/>
              <w:framePr w:w="11419" w:h="6350" w:wrap="none" w:hAnchor="page" w:x="625" w:y="366"/>
              <w:spacing w:line="240" w:lineRule="auto"/>
              <w:ind w:firstLine="0"/>
              <w:rPr>
                <w:sz w:val="16"/>
                <w:szCs w:val="16"/>
              </w:rPr>
            </w:pPr>
            <w:r>
              <w:rPr>
                <w:rFonts w:ascii="Times New Roman" w:eastAsia="Times New Roman" w:hAnsi="Times New Roman" w:cs="Times New Roman"/>
                <w:sz w:val="16"/>
                <w:szCs w:val="16"/>
              </w:rPr>
              <w:t>No aplicable</w:t>
            </w:r>
          </w:p>
        </w:tc>
      </w:tr>
      <w:tr w:rsidR="00924992" w14:paraId="738083D0" w14:textId="77777777">
        <w:tblPrEx>
          <w:tblCellMar>
            <w:top w:w="0" w:type="dxa"/>
            <w:bottom w:w="0" w:type="dxa"/>
          </w:tblCellMar>
        </w:tblPrEx>
        <w:trPr>
          <w:trHeight w:hRule="exact" w:val="221"/>
        </w:trPr>
        <w:tc>
          <w:tcPr>
            <w:tcW w:w="451" w:type="dxa"/>
            <w:vMerge w:val="restart"/>
            <w:shd w:val="clear" w:color="auto" w:fill="FFFFFF"/>
          </w:tcPr>
          <w:p w14:paraId="588712DB" w14:textId="77777777" w:rsidR="00924992" w:rsidRDefault="00924992">
            <w:pPr>
              <w:framePr w:w="11419" w:h="6350" w:wrap="none" w:hAnchor="page" w:x="625" w:y="366"/>
              <w:rPr>
                <w:sz w:val="10"/>
                <w:szCs w:val="10"/>
              </w:rPr>
            </w:pPr>
          </w:p>
        </w:tc>
        <w:tc>
          <w:tcPr>
            <w:tcW w:w="1666" w:type="dxa"/>
            <w:vMerge w:val="restart"/>
            <w:shd w:val="clear" w:color="auto" w:fill="FFFFFF"/>
          </w:tcPr>
          <w:p w14:paraId="50EB38D8" w14:textId="77777777" w:rsidR="00924992" w:rsidRDefault="00924992">
            <w:pPr>
              <w:pStyle w:val="Other0"/>
              <w:framePr w:w="11419" w:h="6350" w:wrap="none" w:hAnchor="page" w:x="625" w:y="366"/>
              <w:spacing w:line="240" w:lineRule="auto"/>
              <w:ind w:firstLine="0"/>
              <w:rPr>
                <w:sz w:val="16"/>
                <w:szCs w:val="16"/>
              </w:rPr>
            </w:pPr>
            <w:r>
              <w:rPr>
                <w:rFonts w:ascii="Times New Roman" w:eastAsia="Times New Roman" w:hAnsi="Times New Roman" w:cs="Times New Roman"/>
                <w:sz w:val="16"/>
                <w:szCs w:val="16"/>
              </w:rPr>
              <w:t>de base rhesus</w:t>
            </w:r>
          </w:p>
        </w:tc>
        <w:tc>
          <w:tcPr>
            <w:tcW w:w="4253" w:type="dxa"/>
            <w:vMerge w:val="restart"/>
            <w:shd w:val="clear" w:color="auto" w:fill="FFFFFF"/>
          </w:tcPr>
          <w:p w14:paraId="6AF095C6" w14:textId="77777777" w:rsidR="00924992" w:rsidRDefault="00924992">
            <w:pPr>
              <w:pStyle w:val="Other0"/>
              <w:framePr w:w="11419" w:h="6350" w:wrap="none" w:hAnchor="page" w:x="625" w:y="366"/>
              <w:spacing w:line="283" w:lineRule="auto"/>
              <w:ind w:left="280" w:firstLine="0"/>
              <w:rPr>
                <w:sz w:val="16"/>
                <w:szCs w:val="16"/>
              </w:rPr>
            </w:pPr>
            <w:r>
              <w:rPr>
                <w:rFonts w:ascii="Times New Roman" w:eastAsia="Times New Roman" w:hAnsi="Times New Roman" w:cs="Times New Roman"/>
                <w:sz w:val="16"/>
                <w:szCs w:val="16"/>
              </w:rPr>
              <w:t>como contraindicaciones para la aplicación de más dosis de la vacuna</w:t>
            </w:r>
          </w:p>
        </w:tc>
        <w:tc>
          <w:tcPr>
            <w:tcW w:w="2338" w:type="dxa"/>
            <w:vMerge w:val="restart"/>
            <w:shd w:val="clear" w:color="auto" w:fill="FFFFFF"/>
          </w:tcPr>
          <w:p w14:paraId="2AAECEEF" w14:textId="77777777" w:rsidR="00924992" w:rsidRDefault="00924992">
            <w:pPr>
              <w:pStyle w:val="Other0"/>
              <w:framePr w:w="11419" w:h="6350" w:wrap="none" w:hAnchor="page" w:x="625" w:y="366"/>
              <w:spacing w:line="240" w:lineRule="auto"/>
              <w:ind w:firstLine="180"/>
              <w:rPr>
                <w:sz w:val="16"/>
                <w:szCs w:val="16"/>
              </w:rPr>
            </w:pPr>
            <w:r>
              <w:rPr>
                <w:rFonts w:ascii="Times New Roman" w:eastAsia="Times New Roman" w:hAnsi="Times New Roman" w:cs="Times New Roman"/>
                <w:sz w:val="16"/>
                <w:szCs w:val="16"/>
              </w:rPr>
              <w:t>del fabricante</w:t>
            </w:r>
          </w:p>
        </w:tc>
        <w:tc>
          <w:tcPr>
            <w:tcW w:w="2712" w:type="dxa"/>
            <w:vMerge/>
            <w:shd w:val="clear" w:color="auto" w:fill="FFFFFF"/>
          </w:tcPr>
          <w:p w14:paraId="0F455FFF" w14:textId="77777777" w:rsidR="00924992" w:rsidRDefault="00924992">
            <w:pPr>
              <w:framePr w:w="11419" w:h="6350" w:wrap="none" w:hAnchor="page" w:x="625" w:y="366"/>
            </w:pPr>
          </w:p>
        </w:tc>
      </w:tr>
      <w:tr w:rsidR="00924992" w14:paraId="4C46863F" w14:textId="77777777">
        <w:tblPrEx>
          <w:tblCellMar>
            <w:top w:w="0" w:type="dxa"/>
            <w:bottom w:w="0" w:type="dxa"/>
          </w:tblCellMar>
        </w:tblPrEx>
        <w:trPr>
          <w:trHeight w:hRule="exact" w:val="216"/>
        </w:trPr>
        <w:tc>
          <w:tcPr>
            <w:tcW w:w="451" w:type="dxa"/>
            <w:vMerge/>
            <w:shd w:val="clear" w:color="auto" w:fill="FFFFFF"/>
          </w:tcPr>
          <w:p w14:paraId="244DBC06" w14:textId="77777777" w:rsidR="00924992" w:rsidRDefault="00924992">
            <w:pPr>
              <w:framePr w:w="11419" w:h="6350" w:wrap="none" w:hAnchor="page" w:x="625" w:y="366"/>
            </w:pPr>
          </w:p>
        </w:tc>
        <w:tc>
          <w:tcPr>
            <w:tcW w:w="1666" w:type="dxa"/>
            <w:vMerge/>
            <w:shd w:val="clear" w:color="auto" w:fill="FFFFFF"/>
          </w:tcPr>
          <w:p w14:paraId="5532F697" w14:textId="77777777" w:rsidR="00924992" w:rsidRDefault="00924992">
            <w:pPr>
              <w:framePr w:w="11419" w:h="6350" w:wrap="none" w:hAnchor="page" w:x="625" w:y="366"/>
            </w:pPr>
          </w:p>
        </w:tc>
        <w:tc>
          <w:tcPr>
            <w:tcW w:w="4253" w:type="dxa"/>
            <w:vMerge/>
            <w:shd w:val="clear" w:color="auto" w:fill="FFFFFF"/>
          </w:tcPr>
          <w:p w14:paraId="1F2AD27A" w14:textId="77777777" w:rsidR="00924992" w:rsidRDefault="00924992">
            <w:pPr>
              <w:framePr w:w="11419" w:h="6350" w:wrap="none" w:hAnchor="page" w:x="625" w:y="366"/>
            </w:pPr>
          </w:p>
        </w:tc>
        <w:tc>
          <w:tcPr>
            <w:tcW w:w="2338" w:type="dxa"/>
            <w:vMerge/>
            <w:shd w:val="clear" w:color="auto" w:fill="FFFFFF"/>
          </w:tcPr>
          <w:p w14:paraId="48D96112" w14:textId="77777777" w:rsidR="00924992" w:rsidRDefault="00924992">
            <w:pPr>
              <w:framePr w:w="11419" w:h="6350" w:wrap="none" w:hAnchor="page" w:x="625" w:y="366"/>
            </w:pPr>
          </w:p>
        </w:tc>
        <w:tc>
          <w:tcPr>
            <w:tcW w:w="2712" w:type="dxa"/>
            <w:shd w:val="clear" w:color="auto" w:fill="FFFFFF"/>
          </w:tcPr>
          <w:p w14:paraId="566DC5B5" w14:textId="77777777" w:rsidR="00924992" w:rsidRDefault="00924992">
            <w:pPr>
              <w:framePr w:w="11419" w:h="6350" w:wrap="none" w:hAnchor="page" w:x="625" w:y="366"/>
              <w:rPr>
                <w:sz w:val="10"/>
                <w:szCs w:val="10"/>
              </w:rPr>
            </w:pPr>
          </w:p>
        </w:tc>
      </w:tr>
      <w:tr w:rsidR="00924992" w14:paraId="2C96BB27" w14:textId="77777777">
        <w:tblPrEx>
          <w:tblCellMar>
            <w:top w:w="0" w:type="dxa"/>
            <w:bottom w:w="0" w:type="dxa"/>
          </w:tblCellMar>
        </w:tblPrEx>
        <w:trPr>
          <w:trHeight w:hRule="exact" w:val="240"/>
        </w:trPr>
        <w:tc>
          <w:tcPr>
            <w:tcW w:w="451" w:type="dxa"/>
            <w:shd w:val="clear" w:color="auto" w:fill="FFFFFF"/>
            <w:vAlign w:val="bottom"/>
          </w:tcPr>
          <w:p w14:paraId="48990264" w14:textId="77777777" w:rsidR="00924992" w:rsidRDefault="00924992">
            <w:pPr>
              <w:pStyle w:val="Other0"/>
              <w:framePr w:w="11419" w:h="6350" w:wrap="none" w:hAnchor="page" w:x="625" w:y="366"/>
              <w:spacing w:line="240" w:lineRule="auto"/>
              <w:ind w:firstLine="0"/>
              <w:rPr>
                <w:sz w:val="16"/>
                <w:szCs w:val="16"/>
              </w:rPr>
            </w:pPr>
            <w:r>
              <w:rPr>
                <w:rFonts w:ascii="Times New Roman" w:eastAsia="Times New Roman" w:hAnsi="Times New Roman" w:cs="Times New Roman"/>
                <w:sz w:val="16"/>
                <w:szCs w:val="16"/>
              </w:rPr>
              <w:t>XIII.</w:t>
            </w:r>
          </w:p>
        </w:tc>
        <w:tc>
          <w:tcPr>
            <w:tcW w:w="5919" w:type="dxa"/>
            <w:gridSpan w:val="2"/>
            <w:shd w:val="clear" w:color="auto" w:fill="FFFFFF"/>
            <w:vAlign w:val="bottom"/>
          </w:tcPr>
          <w:p w14:paraId="30FD988F" w14:textId="77777777" w:rsidR="00924992" w:rsidRDefault="00924992">
            <w:pPr>
              <w:pStyle w:val="Other0"/>
              <w:framePr w:w="11419" w:h="6350" w:wrap="none" w:hAnchor="page" w:x="625" w:y="366"/>
              <w:spacing w:line="240" w:lineRule="auto"/>
              <w:ind w:firstLine="0"/>
              <w:rPr>
                <w:sz w:val="16"/>
                <w:szCs w:val="16"/>
              </w:rPr>
            </w:pPr>
            <w:r>
              <w:rPr>
                <w:rFonts w:ascii="Times New Roman" w:eastAsia="Times New Roman" w:hAnsi="Times New Roman" w:cs="Times New Roman"/>
                <w:sz w:val="16"/>
                <w:szCs w:val="16"/>
              </w:rPr>
              <w:t>Vacunas de conjugados A. No se especifica el trastorno particular</w:t>
            </w:r>
          </w:p>
        </w:tc>
        <w:tc>
          <w:tcPr>
            <w:tcW w:w="2338" w:type="dxa"/>
            <w:shd w:val="clear" w:color="auto" w:fill="FFFFFF"/>
            <w:vAlign w:val="bottom"/>
          </w:tcPr>
          <w:p w14:paraId="0BD284D0" w14:textId="77777777" w:rsidR="00924992" w:rsidRDefault="00924992">
            <w:pPr>
              <w:pStyle w:val="Other0"/>
              <w:framePr w:w="11419" w:h="6350" w:wrap="none" w:hAnchor="page" w:x="625" w:y="366"/>
              <w:spacing w:line="240" w:lineRule="auto"/>
              <w:ind w:firstLine="0"/>
              <w:rPr>
                <w:sz w:val="16"/>
                <w:szCs w:val="16"/>
              </w:rPr>
            </w:pPr>
            <w:r>
              <w:rPr>
                <w:rFonts w:ascii="Times New Roman" w:eastAsia="Times New Roman" w:hAnsi="Times New Roman" w:cs="Times New Roman"/>
                <w:sz w:val="16"/>
                <w:szCs w:val="16"/>
              </w:rPr>
              <w:t>No aplicable</w:t>
            </w:r>
          </w:p>
        </w:tc>
        <w:tc>
          <w:tcPr>
            <w:tcW w:w="2712" w:type="dxa"/>
            <w:shd w:val="clear" w:color="auto" w:fill="FFFFFF"/>
            <w:vAlign w:val="bottom"/>
          </w:tcPr>
          <w:p w14:paraId="263DD164" w14:textId="77777777" w:rsidR="00924992" w:rsidRDefault="00924992">
            <w:pPr>
              <w:pStyle w:val="Other0"/>
              <w:framePr w:w="11419" w:h="6350" w:wrap="none" w:hAnchor="page" w:x="625" w:y="366"/>
              <w:spacing w:line="240" w:lineRule="auto"/>
              <w:ind w:firstLine="0"/>
              <w:rPr>
                <w:sz w:val="16"/>
                <w:szCs w:val="16"/>
              </w:rPr>
            </w:pPr>
            <w:r>
              <w:rPr>
                <w:rFonts w:ascii="Times New Roman" w:eastAsia="Times New Roman" w:hAnsi="Times New Roman" w:cs="Times New Roman"/>
                <w:sz w:val="16"/>
                <w:szCs w:val="16"/>
              </w:rPr>
              <w:t>No aplicable</w:t>
            </w:r>
          </w:p>
        </w:tc>
      </w:tr>
      <w:tr w:rsidR="00924992" w14:paraId="4E35745B" w14:textId="77777777">
        <w:tblPrEx>
          <w:tblCellMar>
            <w:top w:w="0" w:type="dxa"/>
            <w:bottom w:w="0" w:type="dxa"/>
          </w:tblCellMar>
        </w:tblPrEx>
        <w:trPr>
          <w:trHeight w:hRule="exact" w:val="408"/>
        </w:trPr>
        <w:tc>
          <w:tcPr>
            <w:tcW w:w="451" w:type="dxa"/>
            <w:shd w:val="clear" w:color="auto" w:fill="FFFFFF"/>
          </w:tcPr>
          <w:p w14:paraId="2D968822" w14:textId="77777777" w:rsidR="00924992" w:rsidRDefault="00924992">
            <w:pPr>
              <w:framePr w:w="11419" w:h="6350" w:wrap="none" w:hAnchor="page" w:x="625" w:y="366"/>
              <w:rPr>
                <w:sz w:val="10"/>
                <w:szCs w:val="10"/>
              </w:rPr>
            </w:pPr>
          </w:p>
        </w:tc>
        <w:tc>
          <w:tcPr>
            <w:tcW w:w="1666" w:type="dxa"/>
            <w:shd w:val="clear" w:color="auto" w:fill="FFFFFF"/>
          </w:tcPr>
          <w:p w14:paraId="02F14657" w14:textId="77777777" w:rsidR="00924992" w:rsidRDefault="00924992">
            <w:pPr>
              <w:pStyle w:val="Other0"/>
              <w:framePr w:w="11419" w:h="6350" w:wrap="none" w:hAnchor="page" w:x="625" w:y="366"/>
              <w:spacing w:line="240" w:lineRule="auto"/>
              <w:ind w:firstLine="0"/>
              <w:rPr>
                <w:sz w:val="16"/>
                <w:szCs w:val="16"/>
              </w:rPr>
            </w:pPr>
            <w:r>
              <w:rPr>
                <w:rFonts w:ascii="Times New Roman" w:eastAsia="Times New Roman" w:hAnsi="Times New Roman" w:cs="Times New Roman"/>
                <w:sz w:val="16"/>
                <w:szCs w:val="16"/>
              </w:rPr>
              <w:t>neumocócicos</w:t>
            </w:r>
          </w:p>
        </w:tc>
        <w:tc>
          <w:tcPr>
            <w:tcW w:w="4253" w:type="dxa"/>
            <w:shd w:val="clear" w:color="auto" w:fill="FFFFFF"/>
          </w:tcPr>
          <w:p w14:paraId="7D241DBE" w14:textId="77777777" w:rsidR="00924992" w:rsidRDefault="00924992">
            <w:pPr>
              <w:pStyle w:val="Other0"/>
              <w:framePr w:w="11419" w:h="6350" w:wrap="none" w:hAnchor="page" w:x="625" w:y="366"/>
              <w:spacing w:line="240" w:lineRule="auto"/>
              <w:ind w:left="280" w:firstLine="0"/>
              <w:rPr>
                <w:sz w:val="16"/>
                <w:szCs w:val="16"/>
              </w:rPr>
            </w:pPr>
            <w:r>
              <w:rPr>
                <w:rFonts w:ascii="Times New Roman" w:eastAsia="Times New Roman" w:hAnsi="Times New Roman" w:cs="Times New Roman"/>
                <w:sz w:val="16"/>
                <w:szCs w:val="16"/>
              </w:rPr>
              <w:t>para la compensación</w:t>
            </w:r>
          </w:p>
          <w:p w14:paraId="6D95ED52" w14:textId="77777777" w:rsidR="00924992" w:rsidRDefault="00924992">
            <w:pPr>
              <w:pStyle w:val="Other0"/>
              <w:framePr w:w="11419" w:h="6350" w:wrap="none" w:hAnchor="page" w:x="625" w:y="366"/>
              <w:spacing w:line="240" w:lineRule="auto"/>
              <w:ind w:firstLine="0"/>
              <w:rPr>
                <w:sz w:val="16"/>
                <w:szCs w:val="16"/>
              </w:rPr>
            </w:pPr>
            <w:r>
              <w:rPr>
                <w:rFonts w:ascii="Times New Roman" w:eastAsia="Times New Roman" w:hAnsi="Times New Roman" w:cs="Times New Roman"/>
                <w:sz w:val="16"/>
                <w:szCs w:val="16"/>
              </w:rPr>
              <w:t>B. Reacciones descritas en las instrucciones del fabricante</w:t>
            </w:r>
          </w:p>
        </w:tc>
        <w:tc>
          <w:tcPr>
            <w:tcW w:w="2338" w:type="dxa"/>
            <w:shd w:val="clear" w:color="auto" w:fill="FFFFFF"/>
            <w:vAlign w:val="bottom"/>
          </w:tcPr>
          <w:p w14:paraId="2BBE57E7" w14:textId="77777777" w:rsidR="00924992" w:rsidRDefault="00924992">
            <w:pPr>
              <w:pStyle w:val="Other0"/>
              <w:framePr w:w="11419" w:h="6350" w:wrap="none" w:hAnchor="page" w:x="625" w:y="366"/>
              <w:spacing w:line="240" w:lineRule="auto"/>
              <w:ind w:firstLine="0"/>
              <w:rPr>
                <w:sz w:val="16"/>
                <w:szCs w:val="16"/>
              </w:rPr>
            </w:pPr>
            <w:r>
              <w:rPr>
                <w:rFonts w:ascii="Times New Roman" w:eastAsia="Times New Roman" w:hAnsi="Times New Roman" w:cs="Times New Roman"/>
                <w:sz w:val="16"/>
                <w:szCs w:val="16"/>
              </w:rPr>
              <w:t>Consultar las instrucciones del</w:t>
            </w:r>
          </w:p>
        </w:tc>
        <w:tc>
          <w:tcPr>
            <w:tcW w:w="2712" w:type="dxa"/>
            <w:shd w:val="clear" w:color="auto" w:fill="FFFFFF"/>
            <w:vAlign w:val="bottom"/>
          </w:tcPr>
          <w:p w14:paraId="403F0F29" w14:textId="77777777" w:rsidR="00924992" w:rsidRDefault="00924992">
            <w:pPr>
              <w:pStyle w:val="Other0"/>
              <w:framePr w:w="11419" w:h="6350" w:wrap="none" w:hAnchor="page" w:x="625" w:y="366"/>
              <w:spacing w:line="240" w:lineRule="auto"/>
              <w:ind w:firstLine="0"/>
              <w:rPr>
                <w:sz w:val="16"/>
                <w:szCs w:val="16"/>
              </w:rPr>
            </w:pPr>
            <w:r>
              <w:rPr>
                <w:rFonts w:ascii="Times New Roman" w:eastAsia="Times New Roman" w:hAnsi="Times New Roman" w:cs="Times New Roman"/>
                <w:sz w:val="16"/>
                <w:szCs w:val="16"/>
              </w:rPr>
              <w:t>No aplicable</w:t>
            </w:r>
          </w:p>
        </w:tc>
      </w:tr>
      <w:tr w:rsidR="00924992" w14:paraId="741F75C6" w14:textId="77777777">
        <w:tblPrEx>
          <w:tblCellMar>
            <w:top w:w="0" w:type="dxa"/>
            <w:bottom w:w="0" w:type="dxa"/>
          </w:tblCellMar>
        </w:tblPrEx>
        <w:trPr>
          <w:trHeight w:hRule="exact" w:val="221"/>
        </w:trPr>
        <w:tc>
          <w:tcPr>
            <w:tcW w:w="451" w:type="dxa"/>
            <w:shd w:val="clear" w:color="auto" w:fill="FFFFFF"/>
          </w:tcPr>
          <w:p w14:paraId="73BDA671" w14:textId="77777777" w:rsidR="00924992" w:rsidRDefault="00924992">
            <w:pPr>
              <w:framePr w:w="11419" w:h="6350" w:wrap="none" w:hAnchor="page" w:x="625" w:y="366"/>
              <w:rPr>
                <w:sz w:val="10"/>
                <w:szCs w:val="10"/>
              </w:rPr>
            </w:pPr>
          </w:p>
        </w:tc>
        <w:tc>
          <w:tcPr>
            <w:tcW w:w="1666" w:type="dxa"/>
            <w:shd w:val="clear" w:color="auto" w:fill="FFFFFF"/>
          </w:tcPr>
          <w:p w14:paraId="4DA71FA8" w14:textId="77777777" w:rsidR="00924992" w:rsidRDefault="00924992">
            <w:pPr>
              <w:framePr w:w="11419" w:h="6350" w:wrap="none" w:hAnchor="page" w:x="625" w:y="366"/>
              <w:rPr>
                <w:sz w:val="10"/>
                <w:szCs w:val="10"/>
              </w:rPr>
            </w:pPr>
          </w:p>
        </w:tc>
        <w:tc>
          <w:tcPr>
            <w:tcW w:w="6591" w:type="dxa"/>
            <w:gridSpan w:val="2"/>
            <w:shd w:val="clear" w:color="auto" w:fill="FFFFFF"/>
            <w:vAlign w:val="bottom"/>
          </w:tcPr>
          <w:p w14:paraId="1F764B5F" w14:textId="77777777" w:rsidR="00924992" w:rsidRDefault="00924992">
            <w:pPr>
              <w:pStyle w:val="Other0"/>
              <w:framePr w:w="11419" w:h="6350" w:wrap="none" w:hAnchor="page" w:x="625" w:y="366"/>
              <w:spacing w:line="240" w:lineRule="auto"/>
              <w:ind w:firstLine="280"/>
              <w:rPr>
                <w:sz w:val="16"/>
                <w:szCs w:val="16"/>
              </w:rPr>
            </w:pPr>
            <w:r>
              <w:rPr>
                <w:rFonts w:ascii="Times New Roman" w:eastAsia="Times New Roman" w:hAnsi="Times New Roman" w:cs="Times New Roman"/>
                <w:sz w:val="16"/>
                <w:szCs w:val="16"/>
              </w:rPr>
              <w:t>como contraindicaciones para aplicar más dosis de vacuna</w:t>
            </w:r>
          </w:p>
        </w:tc>
        <w:tc>
          <w:tcPr>
            <w:tcW w:w="2712" w:type="dxa"/>
            <w:shd w:val="clear" w:color="auto" w:fill="FFFFFF"/>
            <w:vAlign w:val="bottom"/>
          </w:tcPr>
          <w:p w14:paraId="18363F1A" w14:textId="77777777" w:rsidR="00924992" w:rsidRDefault="00924992">
            <w:pPr>
              <w:pStyle w:val="Other0"/>
              <w:framePr w:w="11419" w:h="6350" w:wrap="none" w:hAnchor="page" w:x="625" w:y="366"/>
              <w:spacing w:line="240" w:lineRule="auto"/>
              <w:ind w:firstLine="240"/>
              <w:rPr>
                <w:sz w:val="16"/>
                <w:szCs w:val="16"/>
              </w:rPr>
            </w:pPr>
            <w:r>
              <w:rPr>
                <w:rFonts w:ascii="Times New Roman" w:eastAsia="Times New Roman" w:hAnsi="Times New Roman" w:cs="Times New Roman"/>
                <w:sz w:val="16"/>
                <w:szCs w:val="16"/>
              </w:rPr>
              <w:t>fabricante</w:t>
            </w:r>
          </w:p>
        </w:tc>
      </w:tr>
      <w:tr w:rsidR="00924992" w14:paraId="0E1F0FB9" w14:textId="77777777">
        <w:tblPrEx>
          <w:tblCellMar>
            <w:top w:w="0" w:type="dxa"/>
            <w:bottom w:w="0" w:type="dxa"/>
          </w:tblCellMar>
        </w:tblPrEx>
        <w:trPr>
          <w:trHeight w:hRule="exact" w:val="226"/>
        </w:trPr>
        <w:tc>
          <w:tcPr>
            <w:tcW w:w="451" w:type="dxa"/>
            <w:shd w:val="clear" w:color="auto" w:fill="FFFFFF"/>
            <w:vAlign w:val="bottom"/>
          </w:tcPr>
          <w:p w14:paraId="75F62902" w14:textId="77777777" w:rsidR="00924992" w:rsidRDefault="00924992">
            <w:pPr>
              <w:pStyle w:val="Other0"/>
              <w:framePr w:w="11419" w:h="6350" w:wrap="none" w:hAnchor="page" w:x="625" w:y="366"/>
              <w:spacing w:line="240" w:lineRule="auto"/>
              <w:ind w:firstLine="0"/>
              <w:rPr>
                <w:sz w:val="16"/>
                <w:szCs w:val="16"/>
              </w:rPr>
            </w:pPr>
            <w:r>
              <w:rPr>
                <w:rFonts w:ascii="Times New Roman" w:eastAsia="Times New Roman" w:hAnsi="Times New Roman" w:cs="Times New Roman"/>
                <w:sz w:val="16"/>
                <w:szCs w:val="16"/>
              </w:rPr>
              <w:t>XIV.</w:t>
            </w:r>
          </w:p>
        </w:tc>
        <w:tc>
          <w:tcPr>
            <w:tcW w:w="1666" w:type="dxa"/>
            <w:shd w:val="clear" w:color="auto" w:fill="FFFFFF"/>
            <w:vAlign w:val="bottom"/>
          </w:tcPr>
          <w:p w14:paraId="7F902A22" w14:textId="77777777" w:rsidR="00924992" w:rsidRDefault="00924992">
            <w:pPr>
              <w:pStyle w:val="Other0"/>
              <w:framePr w:w="11419" w:h="6350" w:wrap="none" w:hAnchor="page" w:x="625" w:y="366"/>
              <w:spacing w:line="240" w:lineRule="auto"/>
              <w:ind w:firstLine="0"/>
              <w:rPr>
                <w:sz w:val="16"/>
                <w:szCs w:val="16"/>
              </w:rPr>
            </w:pPr>
            <w:r>
              <w:rPr>
                <w:rFonts w:ascii="Times New Roman" w:eastAsia="Times New Roman" w:hAnsi="Times New Roman" w:cs="Times New Roman"/>
                <w:sz w:val="16"/>
                <w:szCs w:val="16"/>
              </w:rPr>
              <w:t>Cualquier vacuna</w:t>
            </w:r>
          </w:p>
        </w:tc>
        <w:tc>
          <w:tcPr>
            <w:tcW w:w="4253" w:type="dxa"/>
            <w:shd w:val="clear" w:color="auto" w:fill="FFFFFF"/>
            <w:vAlign w:val="bottom"/>
          </w:tcPr>
          <w:p w14:paraId="58AD56A8" w14:textId="77777777" w:rsidR="00924992" w:rsidRDefault="00924992">
            <w:pPr>
              <w:pStyle w:val="Other0"/>
              <w:framePr w:w="11419" w:h="6350" w:wrap="none" w:hAnchor="page" w:x="625" w:y="366"/>
              <w:spacing w:line="240" w:lineRule="auto"/>
              <w:ind w:firstLine="0"/>
              <w:rPr>
                <w:sz w:val="16"/>
                <w:szCs w:val="16"/>
              </w:rPr>
            </w:pPr>
            <w:r>
              <w:rPr>
                <w:rFonts w:ascii="Times New Roman" w:eastAsia="Times New Roman" w:hAnsi="Times New Roman" w:cs="Times New Roman"/>
                <w:sz w:val="16"/>
                <w:szCs w:val="16"/>
              </w:rPr>
              <w:t>A. No se especifica ningún trastorno para la compensación</w:t>
            </w:r>
          </w:p>
        </w:tc>
        <w:tc>
          <w:tcPr>
            <w:tcW w:w="2338" w:type="dxa"/>
            <w:shd w:val="clear" w:color="auto" w:fill="FFFFFF"/>
            <w:vAlign w:val="bottom"/>
          </w:tcPr>
          <w:p w14:paraId="0CE25210" w14:textId="77777777" w:rsidR="00924992" w:rsidRDefault="00924992">
            <w:pPr>
              <w:pStyle w:val="Other0"/>
              <w:framePr w:w="11419" w:h="6350" w:wrap="none" w:hAnchor="page" w:x="625" w:y="366"/>
              <w:spacing w:line="240" w:lineRule="auto"/>
              <w:ind w:firstLine="0"/>
              <w:rPr>
                <w:sz w:val="16"/>
                <w:szCs w:val="16"/>
              </w:rPr>
            </w:pPr>
            <w:r>
              <w:rPr>
                <w:rFonts w:ascii="Times New Roman" w:eastAsia="Times New Roman" w:hAnsi="Times New Roman" w:cs="Times New Roman"/>
                <w:sz w:val="16"/>
                <w:szCs w:val="16"/>
              </w:rPr>
              <w:t>No aplicable</w:t>
            </w:r>
          </w:p>
        </w:tc>
        <w:tc>
          <w:tcPr>
            <w:tcW w:w="2712" w:type="dxa"/>
            <w:shd w:val="clear" w:color="auto" w:fill="FFFFFF"/>
            <w:vAlign w:val="bottom"/>
          </w:tcPr>
          <w:p w14:paraId="6172D9EC" w14:textId="77777777" w:rsidR="00924992" w:rsidRDefault="00924992">
            <w:pPr>
              <w:pStyle w:val="Other0"/>
              <w:framePr w:w="11419" w:h="6350" w:wrap="none" w:hAnchor="page" w:x="625" w:y="366"/>
              <w:spacing w:line="240" w:lineRule="auto"/>
              <w:ind w:firstLine="0"/>
              <w:rPr>
                <w:sz w:val="16"/>
                <w:szCs w:val="16"/>
              </w:rPr>
            </w:pPr>
            <w:r>
              <w:rPr>
                <w:rFonts w:ascii="Times New Roman" w:eastAsia="Times New Roman" w:hAnsi="Times New Roman" w:cs="Times New Roman"/>
                <w:sz w:val="16"/>
                <w:szCs w:val="16"/>
              </w:rPr>
              <w:t>No aplicable</w:t>
            </w:r>
          </w:p>
        </w:tc>
      </w:tr>
      <w:tr w:rsidR="00924992" w14:paraId="24D93917" w14:textId="77777777">
        <w:tblPrEx>
          <w:tblCellMar>
            <w:top w:w="0" w:type="dxa"/>
            <w:bottom w:w="0" w:type="dxa"/>
          </w:tblCellMar>
        </w:tblPrEx>
        <w:trPr>
          <w:trHeight w:hRule="exact" w:val="202"/>
        </w:trPr>
        <w:tc>
          <w:tcPr>
            <w:tcW w:w="451" w:type="dxa"/>
            <w:shd w:val="clear" w:color="auto" w:fill="FFFFFF"/>
          </w:tcPr>
          <w:p w14:paraId="58AAEFA4" w14:textId="77777777" w:rsidR="00924992" w:rsidRDefault="00924992">
            <w:pPr>
              <w:framePr w:w="11419" w:h="6350" w:wrap="none" w:hAnchor="page" w:x="625" w:y="366"/>
              <w:rPr>
                <w:sz w:val="10"/>
                <w:szCs w:val="10"/>
              </w:rPr>
            </w:pPr>
          </w:p>
        </w:tc>
        <w:tc>
          <w:tcPr>
            <w:tcW w:w="1666" w:type="dxa"/>
            <w:shd w:val="clear" w:color="auto" w:fill="FFFFFF"/>
            <w:vAlign w:val="bottom"/>
          </w:tcPr>
          <w:p w14:paraId="30B852B3" w14:textId="77777777" w:rsidR="00924992" w:rsidRDefault="00924992">
            <w:pPr>
              <w:pStyle w:val="Other0"/>
              <w:framePr w:w="11419" w:h="6350" w:wrap="none" w:hAnchor="page" w:x="625" w:y="366"/>
              <w:spacing w:line="240" w:lineRule="auto"/>
              <w:ind w:firstLine="0"/>
              <w:rPr>
                <w:sz w:val="16"/>
                <w:szCs w:val="16"/>
              </w:rPr>
            </w:pPr>
            <w:r>
              <w:rPr>
                <w:rFonts w:ascii="Times New Roman" w:eastAsia="Times New Roman" w:hAnsi="Times New Roman" w:cs="Times New Roman"/>
                <w:sz w:val="16"/>
                <w:szCs w:val="16"/>
              </w:rPr>
              <w:t>nueva recomendada</w:t>
            </w:r>
          </w:p>
        </w:tc>
        <w:tc>
          <w:tcPr>
            <w:tcW w:w="4253" w:type="dxa"/>
            <w:shd w:val="clear" w:color="auto" w:fill="FFFFFF"/>
            <w:vAlign w:val="bottom"/>
          </w:tcPr>
          <w:p w14:paraId="2A497AFD" w14:textId="77777777" w:rsidR="00924992" w:rsidRDefault="00924992">
            <w:pPr>
              <w:pStyle w:val="Other0"/>
              <w:framePr w:w="11419" w:h="6350" w:wrap="none" w:hAnchor="page" w:x="625" w:y="366"/>
              <w:spacing w:line="240" w:lineRule="auto"/>
              <w:ind w:firstLine="0"/>
              <w:rPr>
                <w:sz w:val="16"/>
                <w:szCs w:val="16"/>
              </w:rPr>
            </w:pPr>
            <w:r>
              <w:rPr>
                <w:rFonts w:ascii="Times New Roman" w:eastAsia="Times New Roman" w:hAnsi="Times New Roman" w:cs="Times New Roman"/>
                <w:sz w:val="16"/>
                <w:szCs w:val="16"/>
              </w:rPr>
              <w:t>B. Reacciones descritas en las instrucciones del fabricante</w:t>
            </w:r>
          </w:p>
        </w:tc>
        <w:tc>
          <w:tcPr>
            <w:tcW w:w="2338" w:type="dxa"/>
            <w:shd w:val="clear" w:color="auto" w:fill="FFFFFF"/>
            <w:vAlign w:val="bottom"/>
          </w:tcPr>
          <w:p w14:paraId="60000D35" w14:textId="77777777" w:rsidR="00924992" w:rsidRDefault="00924992">
            <w:pPr>
              <w:pStyle w:val="Other0"/>
              <w:framePr w:w="11419" w:h="6350" w:wrap="none" w:hAnchor="page" w:x="625" w:y="366"/>
              <w:spacing w:line="240" w:lineRule="auto"/>
              <w:ind w:firstLine="0"/>
              <w:rPr>
                <w:sz w:val="16"/>
                <w:szCs w:val="16"/>
              </w:rPr>
            </w:pPr>
            <w:r>
              <w:rPr>
                <w:rFonts w:ascii="Times New Roman" w:eastAsia="Times New Roman" w:hAnsi="Times New Roman" w:cs="Times New Roman"/>
                <w:sz w:val="16"/>
                <w:szCs w:val="16"/>
              </w:rPr>
              <w:t>No aplicable</w:t>
            </w:r>
          </w:p>
        </w:tc>
        <w:tc>
          <w:tcPr>
            <w:tcW w:w="2712" w:type="dxa"/>
            <w:shd w:val="clear" w:color="auto" w:fill="FFFFFF"/>
            <w:vAlign w:val="bottom"/>
          </w:tcPr>
          <w:p w14:paraId="7D078729" w14:textId="77777777" w:rsidR="00924992" w:rsidRDefault="00924992">
            <w:pPr>
              <w:pStyle w:val="Other0"/>
              <w:framePr w:w="11419" w:h="6350" w:wrap="none" w:hAnchor="page" w:x="625" w:y="366"/>
              <w:spacing w:line="240" w:lineRule="auto"/>
              <w:ind w:firstLine="0"/>
              <w:rPr>
                <w:sz w:val="16"/>
                <w:szCs w:val="16"/>
              </w:rPr>
            </w:pPr>
            <w:r>
              <w:rPr>
                <w:rFonts w:ascii="Times New Roman" w:eastAsia="Times New Roman" w:hAnsi="Times New Roman" w:cs="Times New Roman"/>
                <w:sz w:val="16"/>
                <w:szCs w:val="16"/>
              </w:rPr>
              <w:t>No aplicable</w:t>
            </w:r>
          </w:p>
        </w:tc>
      </w:tr>
      <w:tr w:rsidR="00924992" w14:paraId="1F3A6021" w14:textId="77777777">
        <w:tblPrEx>
          <w:tblCellMar>
            <w:top w:w="0" w:type="dxa"/>
            <w:bottom w:w="0" w:type="dxa"/>
          </w:tblCellMar>
        </w:tblPrEx>
        <w:trPr>
          <w:trHeight w:hRule="exact" w:val="230"/>
        </w:trPr>
        <w:tc>
          <w:tcPr>
            <w:tcW w:w="451" w:type="dxa"/>
            <w:shd w:val="clear" w:color="auto" w:fill="FFFFFF"/>
          </w:tcPr>
          <w:p w14:paraId="3C6FF14F" w14:textId="77777777" w:rsidR="00924992" w:rsidRDefault="00924992">
            <w:pPr>
              <w:framePr w:w="11419" w:h="6350" w:wrap="none" w:hAnchor="page" w:x="625" w:y="366"/>
              <w:rPr>
                <w:sz w:val="10"/>
                <w:szCs w:val="10"/>
              </w:rPr>
            </w:pPr>
          </w:p>
        </w:tc>
        <w:tc>
          <w:tcPr>
            <w:tcW w:w="1666" w:type="dxa"/>
            <w:shd w:val="clear" w:color="auto" w:fill="FFFFFF"/>
            <w:vAlign w:val="bottom"/>
          </w:tcPr>
          <w:p w14:paraId="2D894841" w14:textId="77777777" w:rsidR="00924992" w:rsidRDefault="00924992">
            <w:pPr>
              <w:pStyle w:val="Other0"/>
              <w:framePr w:w="11419" w:h="6350" w:wrap="none" w:hAnchor="page" w:x="625" w:y="366"/>
              <w:spacing w:line="240" w:lineRule="auto"/>
              <w:ind w:firstLine="0"/>
              <w:rPr>
                <w:sz w:val="16"/>
                <w:szCs w:val="16"/>
              </w:rPr>
            </w:pPr>
            <w:r>
              <w:rPr>
                <w:rFonts w:ascii="Times New Roman" w:eastAsia="Times New Roman" w:hAnsi="Times New Roman" w:cs="Times New Roman"/>
                <w:sz w:val="16"/>
                <w:szCs w:val="16"/>
              </w:rPr>
              <w:t xml:space="preserve">por los </w:t>
            </w:r>
            <w:r>
              <w:rPr>
                <w:rFonts w:ascii="Times New Roman" w:eastAsia="Times New Roman" w:hAnsi="Times New Roman" w:cs="Times New Roman"/>
                <w:i/>
                <w:iCs/>
                <w:sz w:val="16"/>
                <w:szCs w:val="16"/>
              </w:rPr>
              <w:t>Centers for</w:t>
            </w:r>
          </w:p>
        </w:tc>
        <w:tc>
          <w:tcPr>
            <w:tcW w:w="4253" w:type="dxa"/>
            <w:shd w:val="clear" w:color="auto" w:fill="FFFFFF"/>
            <w:vAlign w:val="bottom"/>
          </w:tcPr>
          <w:p w14:paraId="06A5B651" w14:textId="77777777" w:rsidR="00924992" w:rsidRDefault="00924992">
            <w:pPr>
              <w:pStyle w:val="Other0"/>
              <w:framePr w:w="11419" w:h="6350" w:wrap="none" w:hAnchor="page" w:x="625" w:y="366"/>
              <w:spacing w:line="240" w:lineRule="auto"/>
              <w:ind w:firstLine="280"/>
              <w:rPr>
                <w:sz w:val="16"/>
                <w:szCs w:val="16"/>
              </w:rPr>
            </w:pPr>
            <w:r>
              <w:rPr>
                <w:rFonts w:ascii="Times New Roman" w:eastAsia="Times New Roman" w:hAnsi="Times New Roman" w:cs="Times New Roman"/>
                <w:sz w:val="16"/>
                <w:szCs w:val="16"/>
              </w:rPr>
              <w:t>como contraindicaciones para aplicar más dosis</w:t>
            </w:r>
          </w:p>
        </w:tc>
        <w:tc>
          <w:tcPr>
            <w:tcW w:w="2338" w:type="dxa"/>
            <w:shd w:val="clear" w:color="auto" w:fill="FFFFFF"/>
          </w:tcPr>
          <w:p w14:paraId="1E4FE698" w14:textId="77777777" w:rsidR="00924992" w:rsidRDefault="00924992">
            <w:pPr>
              <w:framePr w:w="11419" w:h="6350" w:wrap="none" w:hAnchor="page" w:x="625" w:y="366"/>
              <w:rPr>
                <w:sz w:val="10"/>
                <w:szCs w:val="10"/>
              </w:rPr>
            </w:pPr>
          </w:p>
        </w:tc>
        <w:tc>
          <w:tcPr>
            <w:tcW w:w="2712" w:type="dxa"/>
            <w:shd w:val="clear" w:color="auto" w:fill="FFFFFF"/>
          </w:tcPr>
          <w:p w14:paraId="7A4E0C4A" w14:textId="77777777" w:rsidR="00924992" w:rsidRDefault="00924992">
            <w:pPr>
              <w:framePr w:w="11419" w:h="6350" w:wrap="none" w:hAnchor="page" w:x="625" w:y="366"/>
              <w:rPr>
                <w:sz w:val="10"/>
                <w:szCs w:val="10"/>
              </w:rPr>
            </w:pPr>
          </w:p>
        </w:tc>
      </w:tr>
      <w:tr w:rsidR="00924992" w14:paraId="75C2C420" w14:textId="77777777">
        <w:tblPrEx>
          <w:tblCellMar>
            <w:top w:w="0" w:type="dxa"/>
            <w:bottom w:w="0" w:type="dxa"/>
          </w:tblCellMar>
        </w:tblPrEx>
        <w:trPr>
          <w:trHeight w:hRule="exact" w:val="202"/>
        </w:trPr>
        <w:tc>
          <w:tcPr>
            <w:tcW w:w="451" w:type="dxa"/>
            <w:shd w:val="clear" w:color="auto" w:fill="FFFFFF"/>
          </w:tcPr>
          <w:p w14:paraId="1D86A589" w14:textId="77777777" w:rsidR="00924992" w:rsidRDefault="00924992">
            <w:pPr>
              <w:framePr w:w="11419" w:h="6350" w:wrap="none" w:hAnchor="page" w:x="625" w:y="366"/>
              <w:rPr>
                <w:sz w:val="10"/>
                <w:szCs w:val="10"/>
              </w:rPr>
            </w:pPr>
          </w:p>
        </w:tc>
        <w:tc>
          <w:tcPr>
            <w:tcW w:w="1666" w:type="dxa"/>
            <w:shd w:val="clear" w:color="auto" w:fill="FFFFFF"/>
          </w:tcPr>
          <w:p w14:paraId="5189408D" w14:textId="77777777" w:rsidR="00924992" w:rsidRDefault="00924992">
            <w:pPr>
              <w:pStyle w:val="Other0"/>
              <w:framePr w:w="11419" w:h="6350" w:wrap="none" w:hAnchor="page" w:x="625" w:y="366"/>
              <w:spacing w:line="240" w:lineRule="auto"/>
              <w:ind w:firstLine="0"/>
              <w:rPr>
                <w:sz w:val="16"/>
                <w:szCs w:val="16"/>
              </w:rPr>
            </w:pPr>
            <w:r>
              <w:rPr>
                <w:rFonts w:ascii="Times New Roman" w:eastAsia="Times New Roman" w:hAnsi="Times New Roman" w:cs="Times New Roman"/>
                <w:i/>
                <w:iCs/>
                <w:sz w:val="16"/>
                <w:szCs w:val="16"/>
              </w:rPr>
              <w:t>Disease Control and</w:t>
            </w:r>
          </w:p>
        </w:tc>
        <w:tc>
          <w:tcPr>
            <w:tcW w:w="4253" w:type="dxa"/>
            <w:shd w:val="clear" w:color="auto" w:fill="FFFFFF"/>
          </w:tcPr>
          <w:p w14:paraId="197E3B84" w14:textId="77777777" w:rsidR="00924992" w:rsidRDefault="00924992">
            <w:pPr>
              <w:pStyle w:val="Other0"/>
              <w:framePr w:w="11419" w:h="6350" w:wrap="none" w:hAnchor="page" w:x="625" w:y="366"/>
              <w:spacing w:line="240" w:lineRule="auto"/>
              <w:ind w:firstLine="280"/>
              <w:rPr>
                <w:sz w:val="16"/>
                <w:szCs w:val="16"/>
              </w:rPr>
            </w:pPr>
            <w:r>
              <w:rPr>
                <w:rFonts w:ascii="Times New Roman" w:eastAsia="Times New Roman" w:hAnsi="Times New Roman" w:cs="Times New Roman"/>
                <w:sz w:val="16"/>
                <w:szCs w:val="16"/>
              </w:rPr>
              <w:t>de la vacuna</w:t>
            </w:r>
          </w:p>
        </w:tc>
        <w:tc>
          <w:tcPr>
            <w:tcW w:w="2338" w:type="dxa"/>
            <w:shd w:val="clear" w:color="auto" w:fill="FFFFFF"/>
          </w:tcPr>
          <w:p w14:paraId="1ABDE5B6" w14:textId="77777777" w:rsidR="00924992" w:rsidRDefault="00924992">
            <w:pPr>
              <w:framePr w:w="11419" w:h="6350" w:wrap="none" w:hAnchor="page" w:x="625" w:y="366"/>
              <w:rPr>
                <w:sz w:val="10"/>
                <w:szCs w:val="10"/>
              </w:rPr>
            </w:pPr>
          </w:p>
        </w:tc>
        <w:tc>
          <w:tcPr>
            <w:tcW w:w="2712" w:type="dxa"/>
            <w:shd w:val="clear" w:color="auto" w:fill="FFFFFF"/>
          </w:tcPr>
          <w:p w14:paraId="022237C9" w14:textId="77777777" w:rsidR="00924992" w:rsidRDefault="00924992">
            <w:pPr>
              <w:framePr w:w="11419" w:h="6350" w:wrap="none" w:hAnchor="page" w:x="625" w:y="366"/>
              <w:rPr>
                <w:sz w:val="10"/>
                <w:szCs w:val="10"/>
              </w:rPr>
            </w:pPr>
          </w:p>
        </w:tc>
      </w:tr>
      <w:tr w:rsidR="00924992" w14:paraId="438BBC9F" w14:textId="77777777">
        <w:tblPrEx>
          <w:tblCellMar>
            <w:top w:w="0" w:type="dxa"/>
            <w:bottom w:w="0" w:type="dxa"/>
          </w:tblCellMar>
        </w:tblPrEx>
        <w:trPr>
          <w:trHeight w:hRule="exact" w:val="1618"/>
        </w:trPr>
        <w:tc>
          <w:tcPr>
            <w:tcW w:w="451" w:type="dxa"/>
            <w:tcBorders>
              <w:bottom w:val="single" w:sz="4" w:space="0" w:color="auto"/>
            </w:tcBorders>
            <w:shd w:val="clear" w:color="auto" w:fill="FFFFFF"/>
          </w:tcPr>
          <w:p w14:paraId="4BEB02FA" w14:textId="77777777" w:rsidR="00924992" w:rsidRDefault="00924992">
            <w:pPr>
              <w:framePr w:w="11419" w:h="6350" w:wrap="none" w:hAnchor="page" w:x="625" w:y="366"/>
              <w:rPr>
                <w:sz w:val="10"/>
                <w:szCs w:val="10"/>
              </w:rPr>
            </w:pPr>
          </w:p>
        </w:tc>
        <w:tc>
          <w:tcPr>
            <w:tcW w:w="1666" w:type="dxa"/>
            <w:tcBorders>
              <w:bottom w:val="single" w:sz="4" w:space="0" w:color="auto"/>
            </w:tcBorders>
            <w:shd w:val="clear" w:color="auto" w:fill="FFFFFF"/>
          </w:tcPr>
          <w:p w14:paraId="11DE0B43" w14:textId="77777777" w:rsidR="00924992" w:rsidRDefault="00924992">
            <w:pPr>
              <w:pStyle w:val="Other0"/>
              <w:framePr w:w="11419" w:h="6350" w:wrap="none" w:hAnchor="page" w:x="625" w:y="366"/>
              <w:spacing w:line="283" w:lineRule="auto"/>
              <w:ind w:firstLine="0"/>
              <w:rPr>
                <w:sz w:val="16"/>
                <w:szCs w:val="16"/>
              </w:rPr>
            </w:pPr>
            <w:r>
              <w:rPr>
                <w:rFonts w:ascii="Times New Roman" w:eastAsia="Times New Roman" w:hAnsi="Times New Roman" w:cs="Times New Roman"/>
                <w:i/>
                <w:iCs/>
                <w:sz w:val="16"/>
                <w:szCs w:val="16"/>
              </w:rPr>
              <w:t>Prevention</w:t>
            </w:r>
            <w:r>
              <w:rPr>
                <w:rFonts w:ascii="Times New Roman" w:eastAsia="Times New Roman" w:hAnsi="Times New Roman" w:cs="Times New Roman"/>
                <w:sz w:val="16"/>
                <w:szCs w:val="16"/>
              </w:rPr>
              <w:t xml:space="preserve"> para aplicación sistemática en niños después de la publicación del aviso de protección por parte de la Secretaría, HHS</w:t>
            </w:r>
          </w:p>
        </w:tc>
        <w:tc>
          <w:tcPr>
            <w:tcW w:w="4253" w:type="dxa"/>
            <w:tcBorders>
              <w:bottom w:val="single" w:sz="4" w:space="0" w:color="auto"/>
            </w:tcBorders>
            <w:shd w:val="clear" w:color="auto" w:fill="FFFFFF"/>
          </w:tcPr>
          <w:p w14:paraId="0E62C609" w14:textId="77777777" w:rsidR="00924992" w:rsidRDefault="00924992">
            <w:pPr>
              <w:framePr w:w="11419" w:h="6350" w:wrap="none" w:hAnchor="page" w:x="625" w:y="366"/>
              <w:rPr>
                <w:sz w:val="10"/>
                <w:szCs w:val="10"/>
              </w:rPr>
            </w:pPr>
          </w:p>
        </w:tc>
        <w:tc>
          <w:tcPr>
            <w:tcW w:w="2338" w:type="dxa"/>
            <w:tcBorders>
              <w:bottom w:val="single" w:sz="4" w:space="0" w:color="auto"/>
            </w:tcBorders>
            <w:shd w:val="clear" w:color="auto" w:fill="FFFFFF"/>
          </w:tcPr>
          <w:p w14:paraId="7E53FFB0" w14:textId="77777777" w:rsidR="00924992" w:rsidRDefault="00924992">
            <w:pPr>
              <w:framePr w:w="11419" w:h="6350" w:wrap="none" w:hAnchor="page" w:x="625" w:y="366"/>
              <w:rPr>
                <w:sz w:val="10"/>
                <w:szCs w:val="10"/>
              </w:rPr>
            </w:pPr>
          </w:p>
        </w:tc>
        <w:tc>
          <w:tcPr>
            <w:tcW w:w="2712" w:type="dxa"/>
            <w:tcBorders>
              <w:bottom w:val="single" w:sz="4" w:space="0" w:color="auto"/>
            </w:tcBorders>
            <w:shd w:val="clear" w:color="auto" w:fill="FFFFFF"/>
          </w:tcPr>
          <w:p w14:paraId="7784FA85" w14:textId="77777777" w:rsidR="00924992" w:rsidRDefault="00924992">
            <w:pPr>
              <w:framePr w:w="11419" w:h="6350" w:wrap="none" w:hAnchor="page" w:x="625" w:y="366"/>
              <w:rPr>
                <w:sz w:val="10"/>
                <w:szCs w:val="10"/>
              </w:rPr>
            </w:pPr>
          </w:p>
        </w:tc>
      </w:tr>
    </w:tbl>
    <w:p w14:paraId="62D006C9" w14:textId="77777777" w:rsidR="00924992" w:rsidRDefault="00924992">
      <w:pPr>
        <w:framePr w:w="11419" w:h="6350" w:wrap="none" w:hAnchor="page" w:x="625" w:y="366"/>
        <w:spacing w:line="1" w:lineRule="exact"/>
      </w:pPr>
    </w:p>
    <w:p w14:paraId="61A143DB" w14:textId="77777777" w:rsidR="00924992" w:rsidRDefault="00924992">
      <w:pPr>
        <w:pStyle w:val="Bodytext80"/>
        <w:framePr w:w="192" w:h="3878" w:hRule="exact" w:wrap="none" w:hAnchor="page" w:x="12390" w:y="2991"/>
        <w:tabs>
          <w:tab w:val="left" w:pos="3586"/>
        </w:tabs>
        <w:textDirection w:val="tbRl"/>
        <w:rPr>
          <w:sz w:val="16"/>
          <w:szCs w:val="16"/>
        </w:rPr>
      </w:pPr>
      <w:r>
        <w:t>APÉNDICE IV</w:t>
      </w:r>
      <w:r>
        <w:tab/>
      </w:r>
      <w:r>
        <w:rPr>
          <w:sz w:val="16"/>
          <w:szCs w:val="16"/>
        </w:rPr>
        <w:t>841</w:t>
      </w:r>
    </w:p>
    <w:p w14:paraId="02B5058C" w14:textId="77777777" w:rsidR="00924992" w:rsidRDefault="00924992">
      <w:pPr>
        <w:spacing w:line="360" w:lineRule="exact"/>
      </w:pPr>
    </w:p>
    <w:p w14:paraId="75A28F4B" w14:textId="77777777" w:rsidR="00924992" w:rsidRDefault="00924992">
      <w:pPr>
        <w:spacing w:line="360" w:lineRule="exact"/>
      </w:pPr>
    </w:p>
    <w:p w14:paraId="78601C5E" w14:textId="77777777" w:rsidR="00924992" w:rsidRDefault="00924992">
      <w:pPr>
        <w:spacing w:line="360" w:lineRule="exact"/>
      </w:pPr>
    </w:p>
    <w:p w14:paraId="1A2D371D" w14:textId="77777777" w:rsidR="00924992" w:rsidRDefault="00924992">
      <w:pPr>
        <w:spacing w:line="360" w:lineRule="exact"/>
      </w:pPr>
    </w:p>
    <w:p w14:paraId="53A81BD7" w14:textId="77777777" w:rsidR="00924992" w:rsidRDefault="00924992">
      <w:pPr>
        <w:spacing w:line="360" w:lineRule="exact"/>
      </w:pPr>
    </w:p>
    <w:p w14:paraId="7340EBCE" w14:textId="77777777" w:rsidR="00924992" w:rsidRDefault="00924992">
      <w:pPr>
        <w:spacing w:line="360" w:lineRule="exact"/>
      </w:pPr>
    </w:p>
    <w:p w14:paraId="1CA342D6" w14:textId="77777777" w:rsidR="00924992" w:rsidRDefault="00924992">
      <w:pPr>
        <w:spacing w:line="360" w:lineRule="exact"/>
      </w:pPr>
    </w:p>
    <w:p w14:paraId="3E47CF1A" w14:textId="77777777" w:rsidR="00924992" w:rsidRDefault="00924992">
      <w:pPr>
        <w:spacing w:line="360" w:lineRule="exact"/>
      </w:pPr>
    </w:p>
    <w:p w14:paraId="63E0FD99" w14:textId="77777777" w:rsidR="00924992" w:rsidRDefault="00924992">
      <w:pPr>
        <w:spacing w:line="360" w:lineRule="exact"/>
      </w:pPr>
    </w:p>
    <w:p w14:paraId="496DB8AA" w14:textId="77777777" w:rsidR="00924992" w:rsidRDefault="00924992">
      <w:pPr>
        <w:spacing w:line="360" w:lineRule="exact"/>
      </w:pPr>
    </w:p>
    <w:p w14:paraId="115222AF" w14:textId="77777777" w:rsidR="00924992" w:rsidRDefault="00924992">
      <w:pPr>
        <w:spacing w:line="360" w:lineRule="exact"/>
      </w:pPr>
    </w:p>
    <w:p w14:paraId="17094DA5" w14:textId="77777777" w:rsidR="00924992" w:rsidRDefault="00924992">
      <w:pPr>
        <w:spacing w:line="360" w:lineRule="exact"/>
      </w:pPr>
    </w:p>
    <w:p w14:paraId="5AF48403" w14:textId="77777777" w:rsidR="00924992" w:rsidRDefault="00924992">
      <w:pPr>
        <w:spacing w:line="360" w:lineRule="exact"/>
      </w:pPr>
    </w:p>
    <w:p w14:paraId="71795575" w14:textId="77777777" w:rsidR="00924992" w:rsidRDefault="00924992">
      <w:pPr>
        <w:spacing w:line="360" w:lineRule="exact"/>
      </w:pPr>
    </w:p>
    <w:p w14:paraId="56D058B2" w14:textId="77777777" w:rsidR="00924992" w:rsidRDefault="00924992">
      <w:pPr>
        <w:spacing w:line="360" w:lineRule="exact"/>
      </w:pPr>
    </w:p>
    <w:p w14:paraId="11E793C9" w14:textId="77777777" w:rsidR="00924992" w:rsidRDefault="00924992">
      <w:pPr>
        <w:spacing w:line="360" w:lineRule="exact"/>
      </w:pPr>
    </w:p>
    <w:p w14:paraId="7C1D47CE" w14:textId="77777777" w:rsidR="00924992" w:rsidRDefault="00924992">
      <w:pPr>
        <w:spacing w:line="360" w:lineRule="exact"/>
      </w:pPr>
    </w:p>
    <w:p w14:paraId="0A58961C" w14:textId="77777777" w:rsidR="00924992" w:rsidRDefault="00924992">
      <w:pPr>
        <w:spacing w:line="360" w:lineRule="exact"/>
      </w:pPr>
    </w:p>
    <w:p w14:paraId="038375C9" w14:textId="77777777" w:rsidR="00924992" w:rsidRDefault="00924992">
      <w:pPr>
        <w:spacing w:after="388" w:line="1" w:lineRule="exact"/>
      </w:pPr>
    </w:p>
    <w:p w14:paraId="654A49AD" w14:textId="77777777" w:rsidR="00924992" w:rsidRDefault="00924992">
      <w:pPr>
        <w:spacing w:line="1" w:lineRule="exact"/>
        <w:sectPr w:rsidR="00924992" w:rsidSect="00924992">
          <w:pgSz w:w="13022" w:h="8501" w:orient="landscape"/>
          <w:pgMar w:top="1104" w:right="442" w:bottom="370" w:left="624" w:header="676" w:footer="3" w:gutter="0"/>
          <w:cols w:space="720"/>
          <w:noEndnote/>
          <w:docGrid w:linePitch="360"/>
          <w15:footnoteColumns w:val="1"/>
        </w:sectPr>
      </w:pPr>
    </w:p>
    <w:p w14:paraId="6DF971BF" w14:textId="77777777" w:rsidR="00924992" w:rsidRDefault="00924992">
      <w:pPr>
        <w:spacing w:line="1" w:lineRule="exact"/>
      </w:pPr>
      <w:r>
        <w:rPr>
          <w:noProof/>
        </w:rPr>
        <mc:AlternateContent>
          <mc:Choice Requires="wps">
            <w:drawing>
              <wp:anchor distT="0" distB="0" distL="114300" distR="114300" simplePos="0" relativeHeight="251765760" behindDoc="0" locked="0" layoutInCell="1" allowOverlap="1" wp14:anchorId="56B3C7B1" wp14:editId="4A00BF85">
                <wp:simplePos x="0" y="0"/>
                <wp:positionH relativeFrom="page">
                  <wp:posOffset>7857490</wp:posOffset>
                </wp:positionH>
                <wp:positionV relativeFrom="paragraph">
                  <wp:posOffset>12700</wp:posOffset>
                </wp:positionV>
                <wp:extent cx="121920" cy="2480945"/>
                <wp:effectExtent l="0" t="0" r="0" b="0"/>
                <wp:wrapSquare wrapText="bothSides"/>
                <wp:docPr id="2597" name="Shape 2597"/>
                <wp:cNvGraphicFramePr/>
                <a:graphic xmlns:a="http://schemas.openxmlformats.org/drawingml/2006/main">
                  <a:graphicData uri="http://schemas.microsoft.com/office/word/2010/wordprocessingShape">
                    <wps:wsp>
                      <wps:cNvSpPr txBox="1"/>
                      <wps:spPr>
                        <a:xfrm>
                          <a:off x="0" y="0"/>
                          <a:ext cx="121920" cy="2480945"/>
                        </a:xfrm>
                        <a:prstGeom prst="rect">
                          <a:avLst/>
                        </a:prstGeom>
                        <a:noFill/>
                      </wps:spPr>
                      <wps:txbx>
                        <w:txbxContent>
                          <w:p w14:paraId="30067B05" w14:textId="77777777" w:rsidR="00924992" w:rsidRDefault="00924992">
                            <w:pPr>
                              <w:pStyle w:val="Bodytext80"/>
                              <w:tabs>
                                <w:tab w:val="left" w:pos="2957"/>
                              </w:tabs>
                            </w:pPr>
                            <w:r>
                              <w:rPr>
                                <w:sz w:val="16"/>
                                <w:szCs w:val="16"/>
                              </w:rPr>
                              <w:t>842</w:t>
                            </w:r>
                            <w:r>
                              <w:rPr>
                                <w:sz w:val="16"/>
                                <w:szCs w:val="16"/>
                              </w:rPr>
                              <w:tab/>
                            </w:r>
                            <w:r>
                              <w:t>APÉNDICE IV</w:t>
                            </w:r>
                          </w:p>
                        </w:txbxContent>
                      </wps:txbx>
                      <wps:bodyPr vert="vert" lIns="0" tIns="0" rIns="0" bIns="0" upright="1"/>
                    </wps:wsp>
                  </a:graphicData>
                </a:graphic>
              </wp:anchor>
            </w:drawing>
          </mc:Choice>
          <mc:Fallback>
            <w:pict>
              <v:shape w14:anchorId="56B3C7B1" id="Shape 2597" o:spid="_x0000_s1147" type="#_x0000_t202" style="position:absolute;margin-left:618.7pt;margin-top:1pt;width:9.6pt;height:195.35pt;z-index:251765760;visibility:visible;mso-wrap-style:square;mso-wrap-distance-left:9pt;mso-wrap-distance-top:0;mso-wrap-distance-right:9pt;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" filled="f" stroked="f">
                <v:textbox style="layout-flow:vertical" inset="0,0,0,0">
                  <w:txbxContent>
                    <w:p w14:paraId="30067B05" w14:textId="77777777" w:rsidR="00924992" w:rsidRDefault="00924992">
                      <w:pPr>
                        <w:pStyle w:val="Bodytext80"/>
                        <w:tabs>
                          <w:tab w:val="left" w:pos="2957"/>
                        </w:tabs>
                      </w:pPr>
                      <w:r>
                        <w:rPr>
                          <w:sz w:val="16"/>
                          <w:szCs w:val="16"/>
                        </w:rPr>
                        <w:t>842</w:t>
                      </w:r>
                      <w:r>
                        <w:rPr>
                          <w:sz w:val="16"/>
                          <w:szCs w:val="16"/>
                        </w:rPr>
                        <w:tab/>
                      </w:r>
                      <w:r>
                        <w:t>APÉNDICE IV</w:t>
                      </w:r>
                    </w:p>
                  </w:txbxContent>
                </v:textbox>
                <w10:wrap type="square" anchorx="page"/>
              </v:shape>
            </w:pict>
          </mc:Fallback>
        </mc:AlternateContent>
      </w:r>
    </w:p>
    <w:p w14:paraId="158DAEEA" w14:textId="77777777" w:rsidR="00924992" w:rsidRDefault="00924992">
      <w:pPr>
        <w:pStyle w:val="Bodytext20"/>
        <w:spacing w:line="240" w:lineRule="auto"/>
        <w:ind w:left="180"/>
        <w:jc w:val="both"/>
        <w:rPr>
          <w:sz w:val="15"/>
          <w:szCs w:val="15"/>
        </w:rPr>
      </w:pPr>
      <w:r>
        <w:rPr>
          <w:sz w:val="15"/>
          <w:szCs w:val="15"/>
        </w:rPr>
        <w:t xml:space="preserve">DTaP, toxoides de difteria y tétanos y vacuna acelular contra tos ferina </w:t>
      </w:r>
      <w:r>
        <w:rPr>
          <w:i/>
          <w:iCs/>
          <w:sz w:val="15"/>
          <w:szCs w:val="15"/>
        </w:rPr>
        <w:t>(pertussis);</w:t>
      </w:r>
      <w:r>
        <w:rPr>
          <w:sz w:val="15"/>
          <w:szCs w:val="15"/>
        </w:rPr>
        <w:t xml:space="preserve"> DTP, toxoides de difteria y tétanos y pertussis (contra tos ferina); Hib, </w:t>
      </w:r>
      <w:r>
        <w:rPr>
          <w:i/>
          <w:iCs/>
          <w:sz w:val="15"/>
          <w:szCs w:val="15"/>
        </w:rPr>
        <w:t xml:space="preserve">Haemophilus influenzae </w:t>
      </w:r>
      <w:r>
        <w:rPr>
          <w:sz w:val="15"/>
          <w:szCs w:val="15"/>
        </w:rPr>
        <w:t xml:space="preserve">tipo b; DT, toxoides de difteria y tétanos; Td, toxoide de difteria y tétanos del adulto; TT, vacuna de toxoide tetánico; OPV, virus poliomielítico oral </w:t>
      </w:r>
      <w:r>
        <w:rPr>
          <w:i/>
          <w:iCs/>
          <w:sz w:val="15"/>
          <w:szCs w:val="15"/>
        </w:rPr>
        <w:t>(oralpoliovirus');</w:t>
      </w:r>
      <w:r>
        <w:rPr>
          <w:sz w:val="15"/>
          <w:szCs w:val="15"/>
        </w:rPr>
        <w:t xml:space="preserve"> HHS, US </w:t>
      </w:r>
      <w:r>
        <w:rPr>
          <w:i/>
          <w:iCs/>
          <w:sz w:val="15"/>
          <w:szCs w:val="15"/>
        </w:rPr>
        <w:t>Department of Health and Human Services.</w:t>
      </w:r>
    </w:p>
    <w:p w14:paraId="777C0AAA" w14:textId="77777777" w:rsidR="00924992" w:rsidRDefault="00924992">
      <w:pPr>
        <w:pStyle w:val="Bodytext20"/>
        <w:numPr>
          <w:ilvl w:val="0"/>
          <w:numId w:val="163"/>
        </w:numPr>
        <w:tabs>
          <w:tab w:val="left" w:pos="212"/>
        </w:tabs>
        <w:spacing w:line="468" w:lineRule="auto"/>
        <w:jc w:val="both"/>
        <w:rPr>
          <w:sz w:val="15"/>
          <w:szCs w:val="15"/>
        </w:rPr>
      </w:pPr>
      <w:bookmarkStart w:id="916" w:name="bookmark2305"/>
      <w:bookmarkEnd w:id="916"/>
      <w:r>
        <w:rPr>
          <w:sz w:val="15"/>
          <w:szCs w:val="15"/>
        </w:rPr>
        <w:t>Fecha en que entró en vigor: agosto 26, 2002.</w:t>
      </w:r>
    </w:p>
    <w:p w14:paraId="6CB21CC8" w14:textId="77777777" w:rsidR="00924992" w:rsidRDefault="00924992">
      <w:pPr>
        <w:pStyle w:val="Bodytext20"/>
        <w:numPr>
          <w:ilvl w:val="0"/>
          <w:numId w:val="163"/>
        </w:numPr>
        <w:tabs>
          <w:tab w:val="left" w:pos="212"/>
        </w:tabs>
        <w:spacing w:line="240" w:lineRule="auto"/>
        <w:ind w:left="180" w:hanging="180"/>
        <w:rPr>
          <w:sz w:val="15"/>
          <w:szCs w:val="15"/>
        </w:rPr>
      </w:pPr>
      <w:bookmarkStart w:id="917" w:name="bookmark2306"/>
      <w:bookmarkEnd w:id="917"/>
      <w:r>
        <w:rPr>
          <w:sz w:val="15"/>
          <w:szCs w:val="15"/>
        </w:rPr>
        <w:t xml:space="preserve">Con permiso de Cuadro de Reacciones Notificables </w:t>
      </w:r>
      <w:r>
        <w:rPr>
          <w:i/>
          <w:iCs/>
          <w:sz w:val="15"/>
          <w:szCs w:val="15"/>
        </w:rPr>
        <w:t>(ReportableEvents Table,</w:t>
      </w:r>
      <w:r>
        <w:rPr>
          <w:sz w:val="15"/>
          <w:szCs w:val="15"/>
        </w:rPr>
        <w:t xml:space="preserve"> RET) que incluye trastornos notificables por ley (42 (USC §300aa-25) al Sistema de Notificación Nacional de Reacciones Adversas a Vacuna </w:t>
      </w:r>
      <w:r>
        <w:rPr>
          <w:i/>
          <w:iCs/>
          <w:sz w:val="15"/>
          <w:szCs w:val="15"/>
        </w:rPr>
        <w:t>(Vaccine Adverse Event Reporting System,</w:t>
      </w:r>
      <w:r>
        <w:rPr>
          <w:sz w:val="15"/>
          <w:szCs w:val="15"/>
        </w:rPr>
        <w:t xml:space="preserve"> VAERS) que incluyen trastornos señalados entre las instrucciones del fabricante. Además, se pide a los médicos que notifiquen cualquier reacción clínicamente importante o inesperada (aunque no se tenga la certeza de que la vacuna originó la reacción) respecto a cualquier vacuna, esté incluido o no en RET. También se solicita a los fabricantes, por norma (21 CFR §600.80), que notifiquen al programa VAERS todos los hechos adversos que les hayan sido señalados, respecto a cualquier vacuna. Es posible obtener las formas de notificación y la información sobre VAERS al llamar a 1-800-822-7967 o de la página Web (</w:t>
      </w:r>
      <w:hyperlink r:id="rId492" w:history="1">
        <w:r>
          <w:rPr>
            <w:sz w:val="15"/>
            <w:szCs w:val="15"/>
          </w:rPr>
          <w:t>www.vaers.org</w:t>
        </w:r>
      </w:hyperlink>
      <w:r>
        <w:rPr>
          <w:sz w:val="15"/>
          <w:szCs w:val="15"/>
        </w:rPr>
        <w:t>).</w:t>
      </w:r>
    </w:p>
    <w:p w14:paraId="08071CC5" w14:textId="77777777" w:rsidR="00924992" w:rsidRDefault="00924992">
      <w:pPr>
        <w:pStyle w:val="Bodytext20"/>
        <w:numPr>
          <w:ilvl w:val="0"/>
          <w:numId w:val="163"/>
        </w:numPr>
        <w:tabs>
          <w:tab w:val="left" w:pos="212"/>
        </w:tabs>
        <w:spacing w:after="160" w:line="240" w:lineRule="auto"/>
        <w:ind w:left="180" w:hanging="180"/>
        <w:rPr>
          <w:sz w:val="15"/>
          <w:szCs w:val="15"/>
        </w:rPr>
      </w:pPr>
      <w:bookmarkStart w:id="918" w:name="bookmark2307"/>
      <w:bookmarkEnd w:id="918"/>
      <w:r>
        <w:rPr>
          <w:sz w:val="15"/>
          <w:szCs w:val="15"/>
        </w:rPr>
        <w:t>Tomado del Cuadro de Lesiones por Vacunas (</w:t>
      </w:r>
      <w:r>
        <w:rPr>
          <w:i/>
          <w:iCs/>
          <w:sz w:val="15"/>
          <w:szCs w:val="15"/>
        </w:rPr>
        <w:t>Vaccine Injury Table</w:t>
      </w:r>
      <w:r>
        <w:rPr>
          <w:sz w:val="15"/>
          <w:szCs w:val="15"/>
        </w:rPr>
        <w:t xml:space="preserve">, VIT) que se utiliza en la adjudicación de demandas interpuestas dentro del </w:t>
      </w:r>
      <w:r>
        <w:rPr>
          <w:i/>
          <w:iCs/>
          <w:sz w:val="15"/>
          <w:szCs w:val="15"/>
        </w:rPr>
        <w:t>National Vaccine Injury Compensation Program</w:t>
      </w:r>
      <w:r>
        <w:rPr>
          <w:sz w:val="15"/>
          <w:szCs w:val="15"/>
        </w:rPr>
        <w:t xml:space="preserve"> (VICP). Las demandas también pueden hacerse por cualquier trastorno que haya comenzado fuera de los límites cronológicos asignados o un trastorno no incluido dentro de VIT. Los requisitos y datos auxiliares para la interpretación que se presentan a continuación definen situaciones o lesiones incluidas en el VIT. La información para llenar una solicitud de demanda se puede obtener al llamar al 1-800-338-2382 o a través de la página Web VICP (</w:t>
      </w:r>
      <w:hyperlink r:id="rId493" w:history="1">
        <w:r>
          <w:rPr>
            <w:sz w:val="15"/>
            <w:szCs w:val="15"/>
          </w:rPr>
          <w:t>www.hrsa.gov/osp/vicp</w:t>
        </w:r>
      </w:hyperlink>
      <w:r>
        <w:rPr>
          <w:sz w:val="15"/>
          <w:szCs w:val="15"/>
        </w:rPr>
        <w:t>).</w:t>
      </w:r>
    </w:p>
    <w:p w14:paraId="13E76BA4" w14:textId="77777777" w:rsidR="00924992" w:rsidRDefault="00924992">
      <w:pPr>
        <w:pStyle w:val="Bodytext20"/>
        <w:spacing w:line="240" w:lineRule="auto"/>
        <w:jc w:val="both"/>
        <w:rPr>
          <w:sz w:val="15"/>
          <w:szCs w:val="15"/>
        </w:rPr>
      </w:pPr>
      <w:r>
        <w:rPr>
          <w:b/>
          <w:bCs/>
          <w:sz w:val="15"/>
          <w:szCs w:val="15"/>
        </w:rPr>
        <w:t>Requisitos y datos auxiliares para la interpretación</w:t>
      </w:r>
    </w:p>
    <w:p w14:paraId="30191D4A" w14:textId="77777777" w:rsidR="00924992" w:rsidRDefault="00924992">
      <w:pPr>
        <w:pStyle w:val="Bodytext20"/>
        <w:numPr>
          <w:ilvl w:val="0"/>
          <w:numId w:val="164"/>
        </w:numPr>
        <w:tabs>
          <w:tab w:val="left" w:pos="298"/>
        </w:tabs>
        <w:spacing w:line="240" w:lineRule="auto"/>
        <w:ind w:left="300" w:hanging="300"/>
        <w:rPr>
          <w:sz w:val="15"/>
          <w:szCs w:val="15"/>
        </w:rPr>
      </w:pPr>
      <w:bookmarkStart w:id="919" w:name="bookmark2308"/>
      <w:bookmarkEnd w:id="919"/>
      <w:r>
        <w:rPr>
          <w:sz w:val="15"/>
          <w:szCs w:val="15"/>
        </w:rPr>
        <w:t xml:space="preserve">Los términos </w:t>
      </w:r>
      <w:r>
        <w:rPr>
          <w:i/>
          <w:iCs/>
          <w:sz w:val="15"/>
          <w:szCs w:val="15"/>
        </w:rPr>
        <w:t>anafilaxia y choque anafiláctico</w:t>
      </w:r>
      <w:r>
        <w:rPr>
          <w:sz w:val="15"/>
          <w:szCs w:val="15"/>
        </w:rPr>
        <w:t xml:space="preserve"> se refieren a una reacción alérgica sistémica que puede ser letal, grave y aguda. Casi todos los casos se resuelven sin dejar secuelas. Los signos y los síntomas comienzan minutos a horas después de la exposición. Si la persona muere, ello generalmente es consecuencia de obstrucción respiratoria causada por edema laríngeo o broncospasmo y puede acompañarse de colapso cardiovascular. Otros signos y síntomas clínicos importantes comprenden: cianosis, hipotensión, bradicardia, taquicardia, arritmias, edema de la faringe, de la tráquea, de la laringe o de los tres órganos, con estridor y disnea. Los hallazgos en necropsia pueden comprender enfisema agudo que surge por obstrucción de las vías respiratorias bajas, edema de la hipofaringe, epiglotis, laringe o tráquea y signos mínimos de eosinofilia en el hígado, el bazo y los pulmones. Si la persona muere en término de minutos de la exposición y sin signos de un cuadro disneico, quizá no haya signos patológicos notables.</w:t>
      </w:r>
    </w:p>
    <w:p w14:paraId="4E8567E3" w14:textId="77777777" w:rsidR="00924992" w:rsidRDefault="00924992">
      <w:pPr>
        <w:pStyle w:val="Bodytext20"/>
        <w:numPr>
          <w:ilvl w:val="0"/>
          <w:numId w:val="164"/>
        </w:numPr>
        <w:tabs>
          <w:tab w:val="left" w:pos="298"/>
        </w:tabs>
        <w:spacing w:line="240" w:lineRule="auto"/>
        <w:ind w:left="300" w:hanging="300"/>
        <w:rPr>
          <w:sz w:val="15"/>
          <w:szCs w:val="15"/>
        </w:rPr>
      </w:pPr>
      <w:bookmarkStart w:id="920" w:name="bookmark2309"/>
      <w:bookmarkEnd w:id="920"/>
      <w:r>
        <w:rPr>
          <w:i/>
          <w:iCs/>
          <w:sz w:val="15"/>
          <w:szCs w:val="15"/>
        </w:rPr>
        <w:t>Encefalopatía.</w:t>
      </w:r>
      <w:r>
        <w:rPr>
          <w:sz w:val="15"/>
          <w:szCs w:val="15"/>
        </w:rPr>
        <w:t xml:space="preserve"> Para las finalidades del VIT, se considerará que una persona que recibió la vacuna ha sufrido encefalopatía sólo si manifiesta, dentro del periodo aplicable, lesión que cumple con la descripción siguiente de una encefalopatía aguda, y después persiste una encefalopatía crónica en dicha persona por más de seis meses después de la fecha de la vacunación</w:t>
      </w:r>
    </w:p>
    <w:p w14:paraId="6EEF5EA8" w14:textId="77777777" w:rsidR="00924992" w:rsidRDefault="00924992">
      <w:pPr>
        <w:pStyle w:val="Bodytext20"/>
        <w:numPr>
          <w:ilvl w:val="0"/>
          <w:numId w:val="165"/>
        </w:numPr>
        <w:tabs>
          <w:tab w:val="left" w:pos="631"/>
        </w:tabs>
        <w:spacing w:line="240" w:lineRule="auto"/>
        <w:ind w:firstLine="300"/>
        <w:jc w:val="both"/>
        <w:rPr>
          <w:sz w:val="15"/>
          <w:szCs w:val="15"/>
        </w:rPr>
      </w:pPr>
      <w:bookmarkStart w:id="921" w:name="bookmark2310"/>
      <w:bookmarkEnd w:id="921"/>
      <w:r>
        <w:rPr>
          <w:sz w:val="15"/>
          <w:szCs w:val="15"/>
        </w:rPr>
        <w:t xml:space="preserve">La </w:t>
      </w:r>
      <w:r>
        <w:rPr>
          <w:i/>
          <w:iCs/>
          <w:sz w:val="15"/>
          <w:szCs w:val="15"/>
        </w:rPr>
        <w:t>encefalopatía aguda</w:t>
      </w:r>
      <w:r>
        <w:rPr>
          <w:sz w:val="15"/>
          <w:szCs w:val="15"/>
        </w:rPr>
        <w:t xml:space="preserve"> es aquella lo suficientemente intensa para obligar a hospitalización (haya ocurrido la hospitalización o no).</w:t>
      </w:r>
    </w:p>
    <w:p w14:paraId="700F4226" w14:textId="77777777" w:rsidR="00924992" w:rsidRDefault="00924992">
      <w:pPr>
        <w:pStyle w:val="Bodytext20"/>
        <w:numPr>
          <w:ilvl w:val="0"/>
          <w:numId w:val="166"/>
        </w:numPr>
        <w:tabs>
          <w:tab w:val="left" w:pos="971"/>
        </w:tabs>
        <w:spacing w:line="240" w:lineRule="auto"/>
        <w:ind w:firstLine="640"/>
        <w:jc w:val="both"/>
        <w:rPr>
          <w:sz w:val="15"/>
          <w:szCs w:val="15"/>
        </w:rPr>
      </w:pPr>
      <w:bookmarkStart w:id="922" w:name="bookmark2311"/>
      <w:bookmarkEnd w:id="922"/>
      <w:r>
        <w:rPr>
          <w:i/>
          <w:iCs/>
          <w:sz w:val="15"/>
          <w:szCs w:val="15"/>
        </w:rPr>
        <w:t>Para niños menores de 18 meses de vida</w:t>
      </w:r>
      <w:r>
        <w:rPr>
          <w:sz w:val="15"/>
          <w:szCs w:val="15"/>
        </w:rPr>
        <w:t xml:space="preserve"> cuyo cuadro inicial no tiene incluida una convulsión, la encefalopatía aguda se define como una “disminución significativa</w:t>
      </w:r>
    </w:p>
    <w:p w14:paraId="14699408" w14:textId="77777777" w:rsidR="00924992" w:rsidRDefault="00924992">
      <w:pPr>
        <w:pStyle w:val="Bodytext20"/>
        <w:spacing w:line="240" w:lineRule="auto"/>
        <w:ind w:left="980"/>
        <w:rPr>
          <w:sz w:val="15"/>
          <w:szCs w:val="15"/>
        </w:rPr>
      </w:pPr>
      <w:r>
        <w:rPr>
          <w:sz w:val="15"/>
          <w:szCs w:val="15"/>
        </w:rPr>
        <w:t>del nivel de conciencia” (véase el inciso “D” más adelante) que duró como mínimo 24 h. Los niños menores de 18 meses de edad que son llevados al médico después de una convulsión serán considerados como que mostraron la encefalopatía aguda si su menor nivel de conciencia persistió más de 24 h y no se puede atribuir al estado postictal (convulsión) o a medicamentos.</w:t>
      </w:r>
    </w:p>
    <w:p w14:paraId="3160C3DC" w14:textId="77777777" w:rsidR="00924992" w:rsidRDefault="00924992">
      <w:pPr>
        <w:pStyle w:val="Bodytext20"/>
        <w:numPr>
          <w:ilvl w:val="0"/>
          <w:numId w:val="166"/>
        </w:numPr>
        <w:tabs>
          <w:tab w:val="left" w:pos="971"/>
        </w:tabs>
        <w:spacing w:line="240" w:lineRule="auto"/>
        <w:ind w:left="980" w:hanging="340"/>
        <w:rPr>
          <w:sz w:val="15"/>
          <w:szCs w:val="15"/>
        </w:rPr>
      </w:pPr>
      <w:bookmarkStart w:id="923" w:name="bookmark2312"/>
      <w:bookmarkEnd w:id="923"/>
      <w:r>
        <w:rPr>
          <w:sz w:val="15"/>
          <w:szCs w:val="15"/>
        </w:rPr>
        <w:t xml:space="preserve">En el caso de </w:t>
      </w:r>
      <w:r>
        <w:rPr>
          <w:i/>
          <w:iCs/>
          <w:sz w:val="15"/>
          <w:szCs w:val="15"/>
        </w:rPr>
        <w:t>adultos y niños de 18 meses de vida o mayores,</w:t>
      </w:r>
      <w:r>
        <w:rPr>
          <w:sz w:val="15"/>
          <w:szCs w:val="15"/>
        </w:rPr>
        <w:t xml:space="preserve"> se considera a la encefalopatía aguda como aquella que persistió como mínimo 24 h en que se caracterizó por poseer dos de los signos siguientes, como mínimo:</w:t>
      </w:r>
    </w:p>
    <w:p w14:paraId="6846974D" w14:textId="77777777" w:rsidR="00924992" w:rsidRDefault="00924992">
      <w:pPr>
        <w:pStyle w:val="Bodytext20"/>
        <w:numPr>
          <w:ilvl w:val="0"/>
          <w:numId w:val="167"/>
        </w:numPr>
        <w:tabs>
          <w:tab w:val="left" w:pos="1313"/>
        </w:tabs>
        <w:spacing w:line="240" w:lineRule="auto"/>
        <w:ind w:firstLine="980"/>
        <w:jc w:val="both"/>
        <w:rPr>
          <w:sz w:val="15"/>
          <w:szCs w:val="15"/>
        </w:rPr>
      </w:pPr>
      <w:bookmarkStart w:id="924" w:name="bookmark2313"/>
      <w:bookmarkEnd w:id="924"/>
      <w:r>
        <w:rPr>
          <w:sz w:val="15"/>
          <w:szCs w:val="15"/>
        </w:rPr>
        <w:t>Cambio notable en el estado psíquico sin relación con medicamentos, en particular estado confusional, delirio o psicosis;</w:t>
      </w:r>
    </w:p>
    <w:p w14:paraId="772750A4" w14:textId="77777777" w:rsidR="00924992" w:rsidRDefault="00924992">
      <w:pPr>
        <w:pStyle w:val="Bodytext20"/>
        <w:numPr>
          <w:ilvl w:val="0"/>
          <w:numId w:val="167"/>
        </w:numPr>
        <w:tabs>
          <w:tab w:val="left" w:pos="1313"/>
        </w:tabs>
        <w:spacing w:line="240" w:lineRule="auto"/>
        <w:ind w:firstLine="980"/>
        <w:jc w:val="both"/>
        <w:rPr>
          <w:sz w:val="15"/>
          <w:szCs w:val="15"/>
        </w:rPr>
      </w:pPr>
      <w:bookmarkStart w:id="925" w:name="bookmark2314"/>
      <w:bookmarkEnd w:id="925"/>
      <w:r>
        <w:rPr>
          <w:sz w:val="15"/>
          <w:szCs w:val="15"/>
        </w:rPr>
        <w:t>Disminución significativa del nivel de conciencia, que es independiente de la convulsión y no puede atribuirse a los efectos de los medicamentos; y</w:t>
      </w:r>
    </w:p>
    <w:p w14:paraId="3A4DA475" w14:textId="77777777" w:rsidR="00924992" w:rsidRDefault="00924992">
      <w:pPr>
        <w:pStyle w:val="Bodytext20"/>
        <w:numPr>
          <w:ilvl w:val="0"/>
          <w:numId w:val="167"/>
        </w:numPr>
        <w:tabs>
          <w:tab w:val="left" w:pos="1313"/>
        </w:tabs>
        <w:spacing w:line="240" w:lineRule="auto"/>
        <w:ind w:firstLine="980"/>
        <w:jc w:val="both"/>
        <w:rPr>
          <w:sz w:val="15"/>
          <w:szCs w:val="15"/>
        </w:rPr>
      </w:pPr>
      <w:bookmarkStart w:id="926" w:name="bookmark2315"/>
      <w:bookmarkEnd w:id="926"/>
      <w:r>
        <w:rPr>
          <w:sz w:val="15"/>
          <w:szCs w:val="15"/>
        </w:rPr>
        <w:t>Una convulsión acompañada de pérdida de la conciencia.</w:t>
      </w:r>
    </w:p>
    <w:p w14:paraId="4FAAE02A" w14:textId="77777777" w:rsidR="00924992" w:rsidRDefault="00924992">
      <w:pPr>
        <w:pStyle w:val="Bodytext20"/>
        <w:numPr>
          <w:ilvl w:val="0"/>
          <w:numId w:val="166"/>
        </w:numPr>
        <w:tabs>
          <w:tab w:val="left" w:pos="971"/>
        </w:tabs>
        <w:spacing w:line="240" w:lineRule="auto"/>
        <w:ind w:firstLine="640"/>
        <w:jc w:val="both"/>
        <w:rPr>
          <w:sz w:val="15"/>
          <w:szCs w:val="15"/>
        </w:rPr>
      </w:pPr>
      <w:bookmarkStart w:id="927" w:name="bookmark2316"/>
      <w:bookmarkEnd w:id="927"/>
      <w:r>
        <w:rPr>
          <w:sz w:val="15"/>
          <w:szCs w:val="15"/>
        </w:rPr>
        <w:t>La hipertensión intracraneal puede ser un signo clínico de encefalopatía aguda en cualquier grupo de edad.</w:t>
      </w:r>
    </w:p>
    <w:p w14:paraId="696685EB" w14:textId="77777777" w:rsidR="00924992" w:rsidRDefault="00924992">
      <w:pPr>
        <w:pStyle w:val="Bodytext20"/>
        <w:numPr>
          <w:ilvl w:val="0"/>
          <w:numId w:val="166"/>
        </w:numPr>
        <w:tabs>
          <w:tab w:val="left" w:pos="972"/>
        </w:tabs>
        <w:spacing w:after="80" w:line="240" w:lineRule="auto"/>
        <w:ind w:left="980" w:hanging="340"/>
        <w:jc w:val="both"/>
        <w:rPr>
          <w:sz w:val="15"/>
          <w:szCs w:val="15"/>
        </w:rPr>
      </w:pPr>
      <w:bookmarkStart w:id="928" w:name="bookmark2317"/>
      <w:bookmarkEnd w:id="928"/>
      <w:r>
        <w:rPr>
          <w:sz w:val="15"/>
          <w:szCs w:val="15"/>
        </w:rPr>
        <w:t>La “disminución significativa del nivel de conciencia” lo denota la presencia de por lo menos uno de los siguientes signos clínicos durante 24 h, como mínimo, o más (véase los incisos [2][i][A} y [2][i][B] de esta sección para las fechas cronológicas aplicables):</w:t>
      </w:r>
      <w:r>
        <w:br w:type="page"/>
      </w:r>
    </w:p>
    <w:p w14:paraId="1D2C8055" w14:textId="77777777" w:rsidR="00924992" w:rsidRDefault="00924992">
      <w:pPr>
        <w:pStyle w:val="Bodytext20"/>
        <w:numPr>
          <w:ilvl w:val="0"/>
          <w:numId w:val="168"/>
        </w:numPr>
        <w:tabs>
          <w:tab w:val="left" w:pos="1296"/>
        </w:tabs>
        <w:spacing w:line="240" w:lineRule="auto"/>
        <w:ind w:firstLine="960"/>
        <w:jc w:val="both"/>
        <w:rPr>
          <w:sz w:val="15"/>
          <w:szCs w:val="15"/>
        </w:rPr>
      </w:pPr>
      <w:bookmarkStart w:id="929" w:name="bookmark2318"/>
      <w:bookmarkEnd w:id="929"/>
      <w:r>
        <w:rPr>
          <w:sz w:val="15"/>
          <w:szCs w:val="15"/>
        </w:rPr>
        <w:t>Disminución o ausencia de respuesta al entorno (el niño reacciona, si es que lo hace, sólo a la voz intensa o a estímulos dolorosos);</w:t>
      </w:r>
    </w:p>
    <w:p w14:paraId="4F440F4D" w14:textId="77777777" w:rsidR="00924992" w:rsidRDefault="00924992">
      <w:pPr>
        <w:pStyle w:val="Bodytext20"/>
        <w:numPr>
          <w:ilvl w:val="0"/>
          <w:numId w:val="168"/>
        </w:numPr>
        <w:tabs>
          <w:tab w:val="left" w:pos="1296"/>
        </w:tabs>
        <w:spacing w:line="240" w:lineRule="auto"/>
        <w:ind w:firstLine="960"/>
        <w:jc w:val="both"/>
        <w:rPr>
          <w:sz w:val="15"/>
          <w:szCs w:val="15"/>
        </w:rPr>
      </w:pPr>
      <w:bookmarkStart w:id="930" w:name="bookmark2319"/>
      <w:bookmarkEnd w:id="930"/>
      <w:r>
        <w:rPr>
          <w:sz w:val="15"/>
          <w:szCs w:val="15"/>
        </w:rPr>
        <w:t>Disminución o ausencia de contacto ocular (el niño no fija la mirada en los miembros de su familia u otras personas); o</w:t>
      </w:r>
    </w:p>
    <w:p w14:paraId="010BCF53" w14:textId="77777777" w:rsidR="00924992" w:rsidRDefault="00924992">
      <w:pPr>
        <w:pStyle w:val="Bodytext20"/>
        <w:numPr>
          <w:ilvl w:val="0"/>
          <w:numId w:val="168"/>
        </w:numPr>
        <w:tabs>
          <w:tab w:val="left" w:pos="1296"/>
        </w:tabs>
        <w:spacing w:line="240" w:lineRule="auto"/>
        <w:ind w:firstLine="960"/>
        <w:jc w:val="both"/>
        <w:rPr>
          <w:sz w:val="15"/>
          <w:szCs w:val="15"/>
        </w:rPr>
      </w:pPr>
      <w:bookmarkStart w:id="931" w:name="bookmark2320"/>
      <w:bookmarkEnd w:id="931"/>
      <w:r>
        <w:rPr>
          <w:sz w:val="15"/>
          <w:szCs w:val="15"/>
        </w:rPr>
        <w:t>Respuestas inconstantes o ausentes a estímulos externos (no reconoce a miembros de su familia o cosas conocidas).</w:t>
      </w:r>
    </w:p>
    <w:p w14:paraId="3D1D482B" w14:textId="77777777" w:rsidR="00924992" w:rsidRDefault="00924992">
      <w:pPr>
        <w:pStyle w:val="Bodytext20"/>
        <w:numPr>
          <w:ilvl w:val="0"/>
          <w:numId w:val="166"/>
        </w:numPr>
        <w:tabs>
          <w:tab w:val="left" w:pos="951"/>
        </w:tabs>
        <w:spacing w:line="240" w:lineRule="auto"/>
        <w:ind w:left="960" w:hanging="340"/>
        <w:rPr>
          <w:sz w:val="15"/>
          <w:szCs w:val="15"/>
        </w:rPr>
      </w:pPr>
      <w:bookmarkStart w:id="932" w:name="bookmark2321"/>
      <w:bookmarkEnd w:id="932"/>
      <w:r>
        <w:rPr>
          <w:sz w:val="15"/>
          <w:szCs w:val="15"/>
        </w:rPr>
        <w:t>Los signos clínicos siguientes, solos y en combinación, no equivalen a encefalopatía aguda o un cambio significativo en el estado psíquico o nivel de conciencia, como se describió en párrafos anteriores: somnolencia, irritabilidad, llanto de tono alto y poco usual, llanto persistente e inconsolable y prominencia de las fontanelas. Las convulsiones por sí mismas no bastan para constituir el diagnóstico de encefalopatía. En caso de no haber otras pruebas o signos de encefalopatía, no se considerarán las convulsiones como el primer síntoma o primera manifestación de una encefalopatía aguda.</w:t>
      </w:r>
    </w:p>
    <w:p w14:paraId="2766691F" w14:textId="77777777" w:rsidR="00924992" w:rsidRDefault="00924992">
      <w:pPr>
        <w:pStyle w:val="Bodytext20"/>
        <w:numPr>
          <w:ilvl w:val="0"/>
          <w:numId w:val="165"/>
        </w:numPr>
        <w:tabs>
          <w:tab w:val="left" w:pos="633"/>
        </w:tabs>
        <w:spacing w:line="240" w:lineRule="auto"/>
        <w:ind w:left="620" w:hanging="320"/>
        <w:rPr>
          <w:sz w:val="15"/>
          <w:szCs w:val="15"/>
        </w:rPr>
      </w:pPr>
      <w:bookmarkStart w:id="933" w:name="bookmark2322"/>
      <w:bookmarkEnd w:id="933"/>
      <w:r>
        <w:rPr>
          <w:sz w:val="15"/>
          <w:szCs w:val="15"/>
        </w:rPr>
        <w:t xml:space="preserve">La </w:t>
      </w:r>
      <w:r>
        <w:rPr>
          <w:i/>
          <w:iCs/>
          <w:sz w:val="15"/>
          <w:szCs w:val="15"/>
        </w:rPr>
        <w:t>encefalopatía crónica</w:t>
      </w:r>
      <w:r>
        <w:rPr>
          <w:sz w:val="15"/>
          <w:szCs w:val="15"/>
        </w:rPr>
        <w:t xml:space="preserve"> surge cuando algún cambio en el estado psíquico o neurológico, que se manifiesta en primer lugar durante el lapso de “aplicabilidad” o solicitud, persiste por un lapso de seis meses como mínimo a partir de la fecha de la vacunación. Los niños que recuperan su estado neurológico normal después de la encefalopatía no tienen lesión neurológica desigual, según se supone, después de la reacción; tampoco se supondrá que cualquier encefalopatía crónica ulterior constituye secuela de la encefalopatía aguda. Si la preponderancia de los signos y pruebas indican que la encefalopatía crónica de un niño es consecuencia de factores genéticos, prenatales o perinatales, no se considerará a la encefalopatía crónica como un trastorno incluido dentro de las especificaciones del </w:t>
      </w:r>
      <w:r>
        <w:rPr>
          <w:i/>
          <w:iCs/>
          <w:sz w:val="15"/>
          <w:szCs w:val="15"/>
        </w:rPr>
        <w:t>Vaccine Injury Table.</w:t>
      </w:r>
    </w:p>
    <w:p w14:paraId="1EDBA4DA" w14:textId="77777777" w:rsidR="00924992" w:rsidRDefault="00924992">
      <w:pPr>
        <w:pStyle w:val="Bodytext20"/>
        <w:numPr>
          <w:ilvl w:val="0"/>
          <w:numId w:val="165"/>
        </w:numPr>
        <w:tabs>
          <w:tab w:val="left" w:pos="637"/>
        </w:tabs>
        <w:spacing w:line="240" w:lineRule="auto"/>
        <w:ind w:left="620" w:hanging="320"/>
        <w:rPr>
          <w:sz w:val="15"/>
          <w:szCs w:val="15"/>
        </w:rPr>
      </w:pPr>
      <w:bookmarkStart w:id="934" w:name="bookmark2323"/>
      <w:bookmarkEnd w:id="934"/>
      <w:r>
        <w:rPr>
          <w:sz w:val="15"/>
          <w:szCs w:val="15"/>
        </w:rPr>
        <w:t xml:space="preserve">No se considerará a una encefalopatía como un trastorno incluido dentro de las especificaciones del VIT si, al proceder sobre petición, se demuestra según la preponderancia de pruebas, que la encefalopatía fue originada por una infección, una toxina, una perturbación metabólica, una lesión estructural, un trastorno genético o traumatismo (sin importar si se conocía la causa de detección, toxinas, traumatismo, perturbación metabólica, lesión estructural o trastorno genético). Si en la fecha en que se tomó la decisión con base en una petición presentada conforme a los datos de la sección 2111(b) de la ley sobre lesiones o muerte por vacunas, era imposible saber la causa, por preponderancia de las pruebas de una encefalopatía, se considerará a esta última como un trastorno incluido dentro de las especificaciones del </w:t>
      </w:r>
      <w:r>
        <w:rPr>
          <w:i/>
          <w:iCs/>
          <w:sz w:val="15"/>
          <w:szCs w:val="15"/>
        </w:rPr>
        <w:t>Vaccine Injury Table.</w:t>
      </w:r>
    </w:p>
    <w:p w14:paraId="6B5009D2" w14:textId="77777777" w:rsidR="00924992" w:rsidRDefault="00924992">
      <w:pPr>
        <w:pStyle w:val="Bodytext20"/>
        <w:numPr>
          <w:ilvl w:val="0"/>
          <w:numId w:val="165"/>
        </w:numPr>
        <w:tabs>
          <w:tab w:val="left" w:pos="637"/>
        </w:tabs>
        <w:spacing w:line="240" w:lineRule="auto"/>
        <w:ind w:firstLine="300"/>
        <w:jc w:val="both"/>
        <w:rPr>
          <w:sz w:val="15"/>
          <w:szCs w:val="15"/>
        </w:rPr>
      </w:pPr>
      <w:bookmarkStart w:id="935" w:name="bookmark2324"/>
      <w:bookmarkEnd w:id="935"/>
      <w:r>
        <w:rPr>
          <w:sz w:val="15"/>
          <w:szCs w:val="15"/>
        </w:rPr>
        <w:t>Al decidir si una encefalopatía es o no es un trastorno establecido dentro de las normas del VIT, el Tribunal tomará en consideración todos los registros médicos.</w:t>
      </w:r>
    </w:p>
    <w:p w14:paraId="7895BA31" w14:textId="77777777" w:rsidR="00924992" w:rsidRDefault="00924992">
      <w:pPr>
        <w:pStyle w:val="Bodytext20"/>
        <w:numPr>
          <w:ilvl w:val="0"/>
          <w:numId w:val="164"/>
        </w:numPr>
        <w:tabs>
          <w:tab w:val="left" w:pos="294"/>
        </w:tabs>
        <w:spacing w:line="240" w:lineRule="auto"/>
        <w:ind w:left="300" w:hanging="300"/>
        <w:rPr>
          <w:sz w:val="15"/>
          <w:szCs w:val="15"/>
        </w:rPr>
      </w:pPr>
      <w:bookmarkStart w:id="936" w:name="bookmark2325"/>
      <w:bookmarkEnd w:id="936"/>
      <w:r>
        <w:rPr>
          <w:i/>
          <w:iCs/>
          <w:sz w:val="15"/>
          <w:szCs w:val="15"/>
        </w:rPr>
        <w:t>Acceso convulsivo y convulsión.</w:t>
      </w:r>
      <w:r>
        <w:rPr>
          <w:sz w:val="15"/>
          <w:szCs w:val="15"/>
        </w:rPr>
        <w:t xml:space="preserve"> Para finalidades de los párrafos (2) y (3) de esta sección, los términos “acceso convulsivo” y “convulsión” incluyen las convulsiones mioclónicas, tonicoclónicas generalizadas (gran mal) y las simples y parciales complejas. No se considerará al mal de ausencia o pequeño mal como un trastorno incluido dentro de las especificaciones del VIT. Los movimientos espasmódicos o crisis de la mirada fija solos no constituyen obligadamente indicación o manifestación de actividad convulsiva.</w:t>
      </w:r>
    </w:p>
    <w:p w14:paraId="2314E236" w14:textId="77777777" w:rsidR="00924992" w:rsidRDefault="00924992">
      <w:pPr>
        <w:pStyle w:val="Bodytext20"/>
        <w:numPr>
          <w:ilvl w:val="0"/>
          <w:numId w:val="164"/>
        </w:numPr>
        <w:tabs>
          <w:tab w:val="left" w:pos="294"/>
        </w:tabs>
        <w:spacing w:line="240" w:lineRule="auto"/>
        <w:rPr>
          <w:sz w:val="15"/>
          <w:szCs w:val="15"/>
        </w:rPr>
      </w:pPr>
      <w:bookmarkStart w:id="937" w:name="bookmark2326"/>
      <w:bookmarkEnd w:id="937"/>
      <w:r>
        <w:rPr>
          <w:i/>
          <w:iCs/>
          <w:sz w:val="15"/>
          <w:szCs w:val="15"/>
        </w:rPr>
        <w:t>Secuelas.</w:t>
      </w:r>
      <w:r>
        <w:rPr>
          <w:sz w:val="15"/>
          <w:szCs w:val="15"/>
        </w:rPr>
        <w:t xml:space="preserve"> El término denota una situación o reacción que fue causada realmente por algunos de los trastornos incluidos dentro de las especificaciones del </w:t>
      </w:r>
      <w:r>
        <w:rPr>
          <w:i/>
          <w:iCs/>
          <w:sz w:val="15"/>
          <w:szCs w:val="15"/>
        </w:rPr>
        <w:t>Vaccine Injury Table.</w:t>
      </w:r>
    </w:p>
    <w:p w14:paraId="7337078F" w14:textId="77777777" w:rsidR="00924992" w:rsidRDefault="00924992">
      <w:pPr>
        <w:pStyle w:val="Bodytext20"/>
        <w:numPr>
          <w:ilvl w:val="0"/>
          <w:numId w:val="164"/>
        </w:numPr>
        <w:tabs>
          <w:tab w:val="left" w:pos="294"/>
        </w:tabs>
        <w:spacing w:line="240" w:lineRule="auto"/>
        <w:ind w:left="300" w:hanging="300"/>
        <w:rPr>
          <w:sz w:val="15"/>
          <w:szCs w:val="15"/>
        </w:rPr>
      </w:pPr>
      <w:bookmarkStart w:id="938" w:name="bookmark2327"/>
      <w:bookmarkEnd w:id="938"/>
      <w:r>
        <w:rPr>
          <w:i/>
          <w:iCs/>
          <w:sz w:val="15"/>
          <w:szCs w:val="15"/>
        </w:rPr>
        <w:t>Artritis crónica.</w:t>
      </w:r>
      <w:r>
        <w:rPr>
          <w:sz w:val="15"/>
          <w:szCs w:val="15"/>
        </w:rPr>
        <w:t xml:space="preserve"> Para los fines del VIT, puede observarse artritis crónica en una persona que no tiene antecedentes de artropatía en los tres años anteriores a la vacunación (ataque articular) con base en:</w:t>
      </w:r>
    </w:p>
    <w:p w14:paraId="2129DFE7" w14:textId="77777777" w:rsidR="00924992" w:rsidRDefault="00924992">
      <w:pPr>
        <w:pStyle w:val="Bodytext20"/>
        <w:numPr>
          <w:ilvl w:val="0"/>
          <w:numId w:val="169"/>
        </w:numPr>
        <w:tabs>
          <w:tab w:val="left" w:pos="633"/>
        </w:tabs>
        <w:spacing w:line="240" w:lineRule="auto"/>
        <w:ind w:left="620" w:hanging="320"/>
        <w:rPr>
          <w:sz w:val="15"/>
          <w:szCs w:val="15"/>
        </w:rPr>
      </w:pPr>
      <w:bookmarkStart w:id="939" w:name="bookmark2328"/>
      <w:bookmarkEnd w:id="939"/>
      <w:r>
        <w:rPr>
          <w:sz w:val="15"/>
          <w:szCs w:val="15"/>
        </w:rPr>
        <w:t>Documentación médica registrada en término de 30 días después del comienzo, de signos objetivos de artritis aguda (hinchazón articular) que se produjeron entre los siete y 42 días después de la vacunación contra la rubéola;</w:t>
      </w:r>
    </w:p>
    <w:p w14:paraId="5E7F6A92" w14:textId="77777777" w:rsidR="00924992" w:rsidRDefault="00924992">
      <w:pPr>
        <w:pStyle w:val="Bodytext20"/>
        <w:numPr>
          <w:ilvl w:val="0"/>
          <w:numId w:val="169"/>
        </w:numPr>
        <w:tabs>
          <w:tab w:val="left" w:pos="633"/>
        </w:tabs>
        <w:spacing w:line="240" w:lineRule="auto"/>
        <w:ind w:left="620" w:hanging="320"/>
        <w:rPr>
          <w:sz w:val="15"/>
          <w:szCs w:val="15"/>
        </w:rPr>
      </w:pPr>
      <w:bookmarkStart w:id="940" w:name="bookmark2329"/>
      <w:bookmarkEnd w:id="940"/>
      <w:r>
        <w:rPr>
          <w:sz w:val="15"/>
          <w:szCs w:val="15"/>
        </w:rPr>
        <w:t>Documentación médica (registrada en término de tres años de haber comenzado la artritis aguda) de persistencia de los signos objetivos de artritis intermitente o continua y durado más de seis meses después de la vacunación.</w:t>
      </w:r>
    </w:p>
    <w:p w14:paraId="59285215" w14:textId="77777777" w:rsidR="00924992" w:rsidRDefault="00924992">
      <w:pPr>
        <w:pStyle w:val="Bodytext20"/>
        <w:numPr>
          <w:ilvl w:val="0"/>
          <w:numId w:val="169"/>
        </w:numPr>
        <w:tabs>
          <w:tab w:val="left" w:pos="633"/>
        </w:tabs>
        <w:spacing w:line="240" w:lineRule="auto"/>
        <w:ind w:firstLine="300"/>
        <w:jc w:val="both"/>
        <w:rPr>
          <w:sz w:val="15"/>
          <w:szCs w:val="15"/>
        </w:rPr>
      </w:pPr>
      <w:bookmarkStart w:id="941" w:name="bookmark2330"/>
      <w:bookmarkEnd w:id="941"/>
      <w:r>
        <w:rPr>
          <w:sz w:val="15"/>
          <w:szCs w:val="15"/>
        </w:rPr>
        <w:t>Documentación médica de una respuesta de anticuerpos al virus de rubéola.</w:t>
      </w:r>
    </w:p>
    <w:p w14:paraId="7AE1D0CF" w14:textId="77777777" w:rsidR="00924992" w:rsidRDefault="00924992">
      <w:pPr>
        <w:pStyle w:val="Bodytext20"/>
        <w:spacing w:line="240" w:lineRule="auto"/>
        <w:ind w:left="620"/>
        <w:rPr>
          <w:sz w:val="15"/>
          <w:szCs w:val="15"/>
        </w:rPr>
      </w:pPr>
      <w:r>
        <w:rPr>
          <w:sz w:val="15"/>
          <w:szCs w:val="15"/>
        </w:rPr>
        <w:t>Para los fines del VIT, no se considera a las entidades siguientes como artritis crónica: trastornos musculoesqueléticos, como enfermedades difusas del tejido conjuntivo (que incluyen, pero no exclusivamente, artritis reumatoide, artritis reumatoide juvenil, lupus eritematoso sistémico, esclerosis sistémica, enfermedad mixta de tejido conectivo, polimiositis/dermatomiositis, fibromialgia, vasculitis necrosante y vasculopatías y síndrome de Sjogren), artropatía degenerativa, agentes infecciosos diferentes de la rubéola (por invasión directa o como reacción inmunitaria), enfermedades metabólicas y endocrinas, traumatismos, neoplasias, cuadros neuropáticos, trastornos de hueso y cartílago y la artritis propia de la espondilitis anquilosante, de la psoriasis, de la enteropatía inflamatoria, del síndrome de Reiter o de hemopatías. Para los fines del VIT es mejor no considerar como artritis crónica a las artralgias (dolor articular) o la rigidez sin que exista hinchazón articular.</w:t>
      </w:r>
    </w:p>
    <w:p w14:paraId="44148597" w14:textId="77777777" w:rsidR="00924992" w:rsidRDefault="00924992">
      <w:pPr>
        <w:pStyle w:val="Bodytext20"/>
        <w:numPr>
          <w:ilvl w:val="0"/>
          <w:numId w:val="164"/>
        </w:numPr>
        <w:tabs>
          <w:tab w:val="left" w:pos="294"/>
        </w:tabs>
        <w:spacing w:line="240" w:lineRule="auto"/>
        <w:ind w:left="300" w:hanging="300"/>
        <w:rPr>
          <w:sz w:val="15"/>
          <w:szCs w:val="15"/>
        </w:rPr>
      </w:pPr>
      <w:r>
        <w:rPr>
          <w:noProof/>
        </w:rPr>
        <mc:AlternateContent>
          <mc:Choice Requires="wps">
            <w:drawing>
              <wp:anchor distT="0" distB="0" distL="114300" distR="114300" simplePos="0" relativeHeight="251766784" behindDoc="0" locked="0" layoutInCell="1" allowOverlap="1" wp14:anchorId="19C03293" wp14:editId="7D610265">
                <wp:simplePos x="0" y="0"/>
                <wp:positionH relativeFrom="page">
                  <wp:posOffset>7865110</wp:posOffset>
                </wp:positionH>
                <wp:positionV relativeFrom="margin">
                  <wp:posOffset>1871345</wp:posOffset>
                </wp:positionV>
                <wp:extent cx="121920" cy="2477770"/>
                <wp:effectExtent l="0" t="0" r="0" b="0"/>
                <wp:wrapSquare wrapText="bothSides"/>
                <wp:docPr id="2599" name="Shape 2599"/>
                <wp:cNvGraphicFramePr/>
                <a:graphic xmlns:a="http://schemas.openxmlformats.org/drawingml/2006/main">
                  <a:graphicData uri="http://schemas.microsoft.com/office/word/2010/wordprocessingShape">
                    <wps:wsp>
                      <wps:cNvSpPr txBox="1"/>
                      <wps:spPr>
                        <a:xfrm>
                          <a:off x="0" y="0"/>
                          <a:ext cx="121920" cy="2477770"/>
                        </a:xfrm>
                        <a:prstGeom prst="rect">
                          <a:avLst/>
                        </a:prstGeom>
                        <a:noFill/>
                      </wps:spPr>
                      <wps:txbx>
                        <w:txbxContent>
                          <w:p w14:paraId="33CF67F1" w14:textId="77777777" w:rsidR="00924992" w:rsidRDefault="00924992">
                            <w:pPr>
                              <w:pStyle w:val="Bodytext80"/>
                              <w:tabs>
                                <w:tab w:val="left" w:pos="3586"/>
                              </w:tabs>
                              <w:rPr>
                                <w:sz w:val="16"/>
                                <w:szCs w:val="16"/>
                              </w:rPr>
                            </w:pPr>
                            <w:r>
                              <w:t>APÉNDICE IV</w:t>
                            </w:r>
                            <w:r>
                              <w:tab/>
                            </w:r>
                            <w:r>
                              <w:rPr>
                                <w:sz w:val="16"/>
                                <w:szCs w:val="16"/>
                              </w:rPr>
                              <w:t>843</w:t>
                            </w:r>
                          </w:p>
                        </w:txbxContent>
                      </wps:txbx>
                      <wps:bodyPr vert="vert" lIns="0" tIns="0" rIns="0" bIns="0" upright="1"/>
                    </wps:wsp>
                  </a:graphicData>
                </a:graphic>
              </wp:anchor>
            </w:drawing>
          </mc:Choice>
          <mc:Fallback>
            <w:pict>
              <v:shape w14:anchorId="19C03293" id="Shape 2599" o:spid="_x0000_s1148" type="#_x0000_t202" style="position:absolute;left:0;text-align:left;margin-left:619.3pt;margin-top:147.35pt;width:9.6pt;height:195.1pt;z-index:251766784;visibility:visible;mso-wrap-style:square;mso-wrap-distance-left:9pt;mso-wrap-distance-top:0;mso-wrap-distance-right:9pt;mso-wrap-distance-bottom:0;mso-position-horizontal:absolute;mso-position-horizontal-relative:page;mso-position-vertical:absolute;mso-position-vertical-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" filled="f" stroked="f">
                <v:textbox style="layout-flow:vertical" inset="0,0,0,0">
                  <w:txbxContent>
                    <w:p w14:paraId="33CF67F1" w14:textId="77777777" w:rsidR="00924992" w:rsidRDefault="00924992">
                      <w:pPr>
                        <w:pStyle w:val="Bodytext80"/>
                        <w:tabs>
                          <w:tab w:val="left" w:pos="3586"/>
                        </w:tabs>
                        <w:rPr>
                          <w:sz w:val="16"/>
                          <w:szCs w:val="16"/>
                        </w:rPr>
                      </w:pPr>
                      <w:r>
                        <w:t>APÉNDICE IV</w:t>
                      </w:r>
                      <w:r>
                        <w:tab/>
                      </w:r>
                      <w:r>
                        <w:rPr>
                          <w:sz w:val="16"/>
                          <w:szCs w:val="16"/>
                        </w:rPr>
                        <w:t>843</w:t>
                      </w:r>
                    </w:p>
                  </w:txbxContent>
                </v:textbox>
                <w10:wrap type="square" anchorx="page" anchory="margin"/>
              </v:shape>
            </w:pict>
          </mc:Fallback>
        </mc:AlternateContent>
      </w:r>
      <w:bookmarkStart w:id="942" w:name="bookmark2331"/>
      <w:bookmarkEnd w:id="942"/>
      <w:r>
        <w:rPr>
          <w:sz w:val="15"/>
          <w:szCs w:val="15"/>
        </w:rPr>
        <w:t xml:space="preserve">La </w:t>
      </w:r>
      <w:r>
        <w:rPr>
          <w:i/>
          <w:iCs/>
          <w:sz w:val="15"/>
          <w:szCs w:val="15"/>
        </w:rPr>
        <w:t>neuritis del plexo braquial</w:t>
      </w:r>
      <w:r>
        <w:rPr>
          <w:sz w:val="15"/>
          <w:szCs w:val="15"/>
        </w:rPr>
        <w:t xml:space="preserve"> se define como la disfunción limitada a dicha estructura en la extremidad superior (es decir, troncos, divisiones o cordones) sin afectación de otras estructuras periféricas (raíces o un solo nervio periférico) o centrales (médula espinal) del sistema nervioso. Un cuadro que surge antes de que se manifieste el trastorno es dolor profundo, constante y a menudo intenso y molesto en el hombro y brazo. Después del dolor, en cuestión de días o semanas aparecen debilidad y atrofia en los grupos musculares</w:t>
      </w:r>
      <w:r>
        <w:rPr>
          <w:sz w:val="15"/>
          <w:szCs w:val="15"/>
        </w:rPr>
        <w:br w:type="page"/>
        <w:t>de la extremidad escapular. Los déficit motores se acompañan a veces de pérdida sensitiva, aunque por lo común es un signo menos notable. La neuritis o plexopatía pueden aparecer en el mismo lado o en el lado contrario al de la infección; a veces afecta ambas extremidades escapulares. Se necesita que haya debilidad para confirmar el diagnóstico. Los signos motores, sensitivos y reflejos advertidos en la exploración física, así como los resultados de los estudios de conducción nerviosa y electromiográficos deben ser compatibles para confirmar que tal disfunción es atribuible al plexo braquial. Por tal razón, el cuadro debe ser diferenciable de otros trastornos que pueden originar disfunción de las raíces nerviosas (como las radiculopatías) y nervios periféricos (que incluyen mononeuropatías múltiples), así como estructuras periféricas y centrales del sistema nervioso (como neuropatías de pares craneales y mielopatías).</w:t>
      </w:r>
    </w:p>
    <w:p w14:paraId="6255DD60" w14:textId="77777777" w:rsidR="00924992" w:rsidRDefault="00924992">
      <w:pPr>
        <w:pStyle w:val="Bodytext20"/>
        <w:numPr>
          <w:ilvl w:val="0"/>
          <w:numId w:val="164"/>
        </w:numPr>
        <w:tabs>
          <w:tab w:val="left" w:pos="294"/>
        </w:tabs>
        <w:spacing w:line="240" w:lineRule="auto"/>
        <w:ind w:left="280" w:hanging="280"/>
        <w:rPr>
          <w:sz w:val="15"/>
          <w:szCs w:val="15"/>
        </w:rPr>
      </w:pPr>
      <w:bookmarkStart w:id="943" w:name="bookmark2332"/>
      <w:bookmarkEnd w:id="943"/>
      <w:r>
        <w:rPr>
          <w:sz w:val="15"/>
          <w:szCs w:val="15"/>
        </w:rPr>
        <w:t xml:space="preserve">La </w:t>
      </w:r>
      <w:r>
        <w:rPr>
          <w:i/>
          <w:iCs/>
          <w:sz w:val="15"/>
          <w:szCs w:val="15"/>
        </w:rPr>
        <w:t>púrpura trombocitopénica</w:t>
      </w:r>
      <w:r>
        <w:rPr>
          <w:sz w:val="15"/>
          <w:szCs w:val="15"/>
        </w:rPr>
        <w:t xml:space="preserve"> se define por el recuento plaquetario menor de 50 000 células/mm</w:t>
      </w:r>
      <w:r>
        <w:rPr>
          <w:sz w:val="8"/>
          <w:szCs w:val="8"/>
          <w:vertAlign w:val="superscript"/>
        </w:rPr>
        <w:t>3</w:t>
      </w:r>
      <w:r>
        <w:rPr>
          <w:sz w:val="15"/>
          <w:szCs w:val="15"/>
        </w:rPr>
        <w:t xml:space="preserve">. La púrpura mencionada no incluye casos de trombocitopenia que surgen por otros orígenes, como hiperesplenismo, trastornos autoinmunitarios (que incluyen aloanticuerpos de transmisiones previas), mielodisplasias, púrpura trombocitopénica inmunitaria (formalmente llamada idiopática) </w:t>
      </w:r>
      <w:r>
        <w:rPr>
          <w:i/>
          <w:iCs/>
          <w:sz w:val="15"/>
          <w:szCs w:val="15"/>
        </w:rPr>
        <w:t>(idiopathic thrombocytopenic purpura,</w:t>
      </w:r>
      <w:r>
        <w:rPr>
          <w:sz w:val="15"/>
          <w:szCs w:val="15"/>
        </w:rPr>
        <w:t xml:space="preserve"> ITP) que son mediados, por ejemplo, por infecciones víricas o micóticas, toxina o</w:t>
      </w:r>
    </w:p>
    <w:p w14:paraId="131A9ED1" w14:textId="77777777" w:rsidR="00924992" w:rsidRDefault="00924992">
      <w:pPr>
        <w:pStyle w:val="Bodytext20"/>
        <w:spacing w:line="240" w:lineRule="auto"/>
        <w:ind w:left="280" w:hanging="100"/>
        <w:rPr>
          <w:sz w:val="15"/>
          <w:szCs w:val="15"/>
        </w:rPr>
      </w:pPr>
      <w:r>
        <w:rPr>
          <w:sz w:val="15"/>
          <w:szCs w:val="15"/>
        </w:rPr>
        <w:t>fármaco. La púrpura trombocitopénica no incluye casos de la trombocitopenia que aparece con la coagulación intravascular diseminada, como se observa en el caso de infecciones por bacterias y virus. Por ejemplo, estas últimas incluyen las que son consecuencia del ataque por los virus de Epstein-Barr, citomegálico, de hepatitis A y B, rinovirus, el de inmunodeficiencia humana (VIH), el adenovirus y el virus del dengue. Se puede demostrar que ha habido previamente una infección vírica por los signos y síntomas clínicos aparecidos, y no es necesario confirmarla por métodos serológicos o cultivos. Si se practica el estudio de la médula ósea seguramente revelará un cuadro normal o un número mayor de megacariocitos en la médula por lo demás normal.</w:t>
      </w:r>
    </w:p>
    <w:p w14:paraId="7F4B83D3" w14:textId="77777777" w:rsidR="00924992" w:rsidRDefault="00924992">
      <w:pPr>
        <w:pStyle w:val="Bodytext20"/>
        <w:numPr>
          <w:ilvl w:val="0"/>
          <w:numId w:val="164"/>
        </w:numPr>
        <w:tabs>
          <w:tab w:val="left" w:pos="294"/>
        </w:tabs>
        <w:spacing w:line="240" w:lineRule="auto"/>
        <w:ind w:left="280" w:hanging="280"/>
        <w:rPr>
          <w:sz w:val="15"/>
          <w:szCs w:val="15"/>
        </w:rPr>
      </w:pPr>
      <w:bookmarkStart w:id="944" w:name="bookmark2333"/>
      <w:bookmarkEnd w:id="944"/>
      <w:r>
        <w:rPr>
          <w:sz w:val="15"/>
          <w:szCs w:val="15"/>
        </w:rPr>
        <w:t xml:space="preserve">La </w:t>
      </w:r>
      <w:r>
        <w:rPr>
          <w:i/>
          <w:iCs/>
          <w:sz w:val="15"/>
          <w:szCs w:val="15"/>
        </w:rPr>
        <w:t>injección por virus de viruela de cepa vacunal</w:t>
      </w:r>
      <w:r>
        <w:rPr>
          <w:sz w:val="15"/>
          <w:szCs w:val="15"/>
        </w:rPr>
        <w:t xml:space="preserve"> se define como la enfermedad causada por una cepa vacunal que puede identificarse por las pruebas de anticuerpos monoclonales específicos de vacunas o reacción en cadena de polimerasa.</w:t>
      </w:r>
    </w:p>
    <w:p w14:paraId="0F0D35EF" w14:textId="77777777" w:rsidR="00924992" w:rsidRDefault="00924992">
      <w:pPr>
        <w:pStyle w:val="Bodytext20"/>
        <w:numPr>
          <w:ilvl w:val="0"/>
          <w:numId w:val="164"/>
        </w:numPr>
        <w:tabs>
          <w:tab w:val="left" w:pos="294"/>
        </w:tabs>
        <w:spacing w:line="240" w:lineRule="auto"/>
        <w:ind w:left="280" w:hanging="280"/>
        <w:rPr>
          <w:sz w:val="15"/>
          <w:szCs w:val="15"/>
        </w:rPr>
        <w:sectPr w:rsidR="00924992" w:rsidSect="00924992">
          <w:headerReference w:type="even" r:id="rId494"/>
          <w:headerReference w:type="default" r:id="rId495"/>
          <w:footerReference w:type="even" r:id="rId496"/>
          <w:footerReference w:type="default" r:id="rId497"/>
          <w:pgSz w:w="13022" w:h="8501" w:orient="landscape"/>
          <w:pgMar w:top="728" w:right="998" w:bottom="694" w:left="672" w:header="300" w:footer="266" w:gutter="0"/>
          <w:cols w:space="720"/>
          <w:noEndnote/>
          <w:docGrid w:linePitch="360"/>
          <w15:footnoteColumns w:val="1"/>
        </w:sectPr>
      </w:pPr>
      <w:r>
        <w:rPr>
          <w:noProof/>
        </w:rPr>
        <mc:AlternateContent>
          <mc:Choice Requires="wps">
            <w:drawing>
              <wp:anchor distT="0" distB="0" distL="114300" distR="114300" simplePos="0" relativeHeight="251767808" behindDoc="0" locked="0" layoutInCell="1" allowOverlap="1" wp14:anchorId="0DA5EA76" wp14:editId="31205775">
                <wp:simplePos x="0" y="0"/>
                <wp:positionH relativeFrom="page">
                  <wp:posOffset>7877810</wp:posOffset>
                </wp:positionH>
                <wp:positionV relativeFrom="margin">
                  <wp:posOffset>-8890</wp:posOffset>
                </wp:positionV>
                <wp:extent cx="121920" cy="2480945"/>
                <wp:effectExtent l="0" t="0" r="0" b="0"/>
                <wp:wrapSquare wrapText="bothSides"/>
                <wp:docPr id="2601" name="Shape 2601"/>
                <wp:cNvGraphicFramePr/>
                <a:graphic xmlns:a="http://schemas.openxmlformats.org/drawingml/2006/main">
                  <a:graphicData uri="http://schemas.microsoft.com/office/word/2010/wordprocessingShape">
                    <wps:wsp>
                      <wps:cNvSpPr txBox="1"/>
                      <wps:spPr>
                        <a:xfrm>
                          <a:off x="0" y="0"/>
                          <a:ext cx="121920" cy="2480945"/>
                        </a:xfrm>
                        <a:prstGeom prst="rect">
                          <a:avLst/>
                        </a:prstGeom>
                        <a:noFill/>
                      </wps:spPr>
                      <wps:txbx>
                        <w:txbxContent>
                          <w:p w14:paraId="641F62C5" w14:textId="77777777" w:rsidR="00924992" w:rsidRDefault="00924992">
                            <w:pPr>
                              <w:pStyle w:val="Bodytext80"/>
                              <w:tabs>
                                <w:tab w:val="left" w:pos="2957"/>
                              </w:tabs>
                            </w:pPr>
                            <w:r>
                              <w:rPr>
                                <w:sz w:val="16"/>
                                <w:szCs w:val="16"/>
                              </w:rPr>
                              <w:t>844</w:t>
                            </w:r>
                            <w:r>
                              <w:rPr>
                                <w:sz w:val="16"/>
                                <w:szCs w:val="16"/>
                              </w:rPr>
                              <w:tab/>
                            </w:r>
                            <w:r>
                              <w:t>APÉNDICE IV</w:t>
                            </w:r>
                          </w:p>
                        </w:txbxContent>
                      </wps:txbx>
                      <wps:bodyPr vert="vert" lIns="0" tIns="0" rIns="0" bIns="0" upright="1"/>
                    </wps:wsp>
                  </a:graphicData>
                </a:graphic>
              </wp:anchor>
            </w:drawing>
          </mc:Choice>
          <mc:Fallback>
            <w:pict>
              <v:shape w14:anchorId="0DA5EA76" id="Shape 2601" o:spid="_x0000_s1149" type="#_x0000_t202" style="position:absolute;left:0;text-align:left;margin-left:620.3pt;margin-top:-.7pt;width:9.6pt;height:195.35pt;z-index:251767808;visibility:visible;mso-wrap-style:square;mso-wrap-distance-left:9pt;mso-wrap-distance-top:0;mso-wrap-distance-right:9pt;mso-wrap-distance-bottom:0;mso-position-horizontal:absolute;mso-position-horizontal-relative:page;mso-position-vertical:absolute;mso-position-vertical-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" filled="f" stroked="f">
                <v:textbox style="layout-flow:vertical" inset="0,0,0,0">
                  <w:txbxContent>
                    <w:p w14:paraId="641F62C5" w14:textId="77777777" w:rsidR="00924992" w:rsidRDefault="00924992">
                      <w:pPr>
                        <w:pStyle w:val="Bodytext80"/>
                        <w:tabs>
                          <w:tab w:val="left" w:pos="2957"/>
                        </w:tabs>
                      </w:pPr>
                      <w:r>
                        <w:rPr>
                          <w:sz w:val="16"/>
                          <w:szCs w:val="16"/>
                        </w:rPr>
                        <w:t>844</w:t>
                      </w:r>
                      <w:r>
                        <w:rPr>
                          <w:sz w:val="16"/>
                          <w:szCs w:val="16"/>
                        </w:rPr>
                        <w:tab/>
                      </w:r>
                      <w:r>
                        <w:t>APÉNDICE IV</w:t>
                      </w:r>
                    </w:p>
                  </w:txbxContent>
                </v:textbox>
                <w10:wrap type="square" anchorx="page" anchory="margin"/>
              </v:shape>
            </w:pict>
          </mc:Fallback>
        </mc:AlternateContent>
      </w:r>
      <w:bookmarkStart w:id="945" w:name="bookmark2334"/>
      <w:bookmarkEnd w:id="945"/>
      <w:r>
        <w:rPr>
          <w:sz w:val="15"/>
          <w:szCs w:val="15"/>
        </w:rPr>
        <w:t xml:space="preserve">La </w:t>
      </w:r>
      <w:r>
        <w:rPr>
          <w:i/>
          <w:iCs/>
          <w:sz w:val="15"/>
          <w:szCs w:val="15"/>
        </w:rPr>
        <w:t>infección por virus poliomielitico de cepa vacunal</w:t>
      </w:r>
      <w:r>
        <w:rPr>
          <w:sz w:val="15"/>
          <w:szCs w:val="15"/>
        </w:rPr>
        <w:t xml:space="preserve"> se define como la enfermedad causada por un virus poliomielítico que se aísla del tejido afectado y sobre el cual hay que investigar si se trata de la cepa vacunal, para lo cual se usarán las reacciones de oligonucleótidos o de cadena de polimerasa. Aislar el virus poliomielítico en los excrementos no basta para definir la presencia de una infección específica de tejidos o una enfermedad causada por el virus poliomielítico de cepa vacunal.</w:t>
      </w:r>
    </w:p>
    <w:p w14:paraId="08DAC41B" w14:textId="77777777" w:rsidR="00924992" w:rsidRDefault="00924992">
      <w:pPr>
        <w:pStyle w:val="Bodytext100"/>
        <w:spacing w:after="140" w:line="197" w:lineRule="auto"/>
        <w:rPr>
          <w:sz w:val="34"/>
          <w:szCs w:val="34"/>
        </w:rPr>
      </w:pPr>
      <w:r>
        <w:rPr>
          <w:sz w:val="34"/>
          <w:szCs w:val="34"/>
        </w:rPr>
        <w:t>A</w:t>
      </w:r>
      <w:r>
        <w:t>péndice v</w:t>
      </w:r>
      <w:r>
        <w:rPr>
          <w:sz w:val="34"/>
          <w:szCs w:val="34"/>
        </w:rPr>
        <w:t>.</w:t>
      </w:r>
    </w:p>
    <w:p w14:paraId="4BA1EEB7" w14:textId="77777777" w:rsidR="00924992" w:rsidRDefault="00924992">
      <w:pPr>
        <w:pStyle w:val="Bodytext70"/>
        <w:spacing w:after="140" w:line="209" w:lineRule="auto"/>
        <w:jc w:val="center"/>
      </w:pPr>
      <w:r>
        <w:t>Requisitos estatales de inmunización</w:t>
      </w:r>
      <w:r>
        <w:br/>
        <w:t>para la incorporación escolar</w:t>
      </w:r>
    </w:p>
    <w:p w14:paraId="1E4FB115" w14:textId="77777777" w:rsidR="00924992" w:rsidRDefault="00924992">
      <w:pPr>
        <w:pStyle w:val="BodyText"/>
        <w:ind w:firstLine="0"/>
      </w:pPr>
      <w:r>
        <w:t xml:space="preserve">En Estados Unidos, los requisitos de vacunación para poder ingresar a los centros de atención infantil, así como a las escuelas primaria y secundaria, son básicos para alcanzar los niveles altos y sostenidos de protección por vacunación. Dicha estrategia ha logrado no sólo disminuir la frecuencia de enfermedades transmisibles en sitios en que se reúnen los niños y transmiten infecciones, sino también ha reducido las oportunidades de transmisión de enfermedades evitables con vacuna a niños no vacunados, vacunados insuficientemente o inmunológicamente débiles. Todos los estados de la Unión Americana exigen la vacunación de los niños en el momento de asistir por primera a las escuelas, y casi todos los estados exigen que el niño esté vacunado para ser atendido en instituciones de asistencia infantil autorizadas. Además, muchos estados norteamericanos exigen la vacunación de niños de mayor edad en grados superiores y también los que acuden por primera vez a la universidad. La información actualizada sobre las vacunas que exige cada estado norteamericano específico se puede obtener del director del programa de vacunaciones de cada departamento estatal de salud, de diversos departamentos sanitarios locales y de </w:t>
      </w:r>
      <w:hyperlink r:id="rId498" w:history="1">
        <w:r>
          <w:t>www.immunize.org/laws/</w:t>
        </w:r>
      </w:hyperlink>
      <w:r>
        <w:t>.</w:t>
      </w:r>
    </w:p>
    <w:p w14:paraId="72493ADB" w14:textId="77777777" w:rsidR="00924992" w:rsidRDefault="00924992">
      <w:pPr>
        <w:pStyle w:val="BodyText"/>
        <w:spacing w:after="140" w:line="276" w:lineRule="auto"/>
        <w:ind w:firstLine="360"/>
        <w:sectPr w:rsidR="00924992" w:rsidSect="00924992">
          <w:headerReference w:type="even" r:id="rId499"/>
          <w:headerReference w:type="default" r:id="rId500"/>
          <w:footerReference w:type="even" r:id="rId501"/>
          <w:footerReference w:type="default" r:id="rId502"/>
          <w:pgSz w:w="8501" w:h="13022"/>
          <w:pgMar w:top="1046" w:right="629" w:bottom="1046" w:left="1128" w:header="0" w:footer="618" w:gutter="0"/>
          <w:pgNumType w:start="845"/>
          <w:cols w:space="720"/>
          <w:noEndnote/>
          <w:docGrid w:linePitch="360"/>
          <w15:footnoteColumns w:val="1"/>
        </w:sectPr>
      </w:pPr>
      <w:r>
        <w:t xml:space="preserve">En Estados Unidos, los </w:t>
      </w:r>
      <w:r>
        <w:rPr>
          <w:rFonts w:ascii="Times New Roman" w:eastAsia="Times New Roman" w:hAnsi="Times New Roman" w:cs="Times New Roman"/>
          <w:i/>
          <w:iCs/>
          <w:sz w:val="16"/>
          <w:szCs w:val="16"/>
        </w:rPr>
        <w:t>Centers for Disease Control and Prevention</w:t>
      </w:r>
      <w:r>
        <w:t xml:space="preserve"> reúnen y publican datos específicos de cada estado sobre las leyes de ingreso escolar actuales, las normas de asistencia infantil y de inmunización y vacunación </w:t>
      </w:r>
      <w:r>
        <w:rPr>
          <w:rFonts w:ascii="Times New Roman" w:eastAsia="Times New Roman" w:hAnsi="Times New Roman" w:cs="Times New Roman"/>
          <w:i/>
          <w:iCs/>
          <w:sz w:val="16"/>
          <w:szCs w:val="16"/>
        </w:rPr>
        <w:t>Head Start</w:t>
      </w:r>
      <w:r>
        <w:rPr>
          <w:i/>
          <w:iCs/>
        </w:rPr>
        <w:t>,</w:t>
      </w:r>
      <w:r>
        <w:t xml:space="preserve"> así como las exigencias de vacunación en las universidades. Dicha encuesta de leyes escolares se publica generalmente cada año. Es posible obtener una copia de los datos de la última encuesta en cuanto a exigencias para vacunación en Estados Unidos si se envía una solicitud a los </w:t>
      </w:r>
      <w:r>
        <w:rPr>
          <w:rFonts w:ascii="Times New Roman" w:eastAsia="Times New Roman" w:hAnsi="Times New Roman" w:cs="Times New Roman"/>
          <w:i/>
          <w:iCs/>
          <w:sz w:val="16"/>
          <w:szCs w:val="16"/>
        </w:rPr>
        <w:t>Centers for Disease Control and Prevention, National Immunization Program</w:t>
      </w:r>
      <w:r>
        <w:rPr>
          <w:i/>
          <w:iCs/>
        </w:rPr>
        <w:t>,</w:t>
      </w:r>
      <w:r>
        <w:t xml:space="preserve"> 1600 Clifton Rd, Mailstop E-52, Atlanta, GA 30333, o se llama al teléfono 1-800-311-3435; también se pueden utilizar las formas de pedido de publicaciones en línea (</w:t>
      </w:r>
      <w:hyperlink r:id="rId503" w:history="1">
        <w:r>
          <w:t>https://www2.cdc.gov/nchstp_od/PIWeb/niporderform.asp</w:t>
        </w:r>
      </w:hyperlink>
      <w:r>
        <w:t xml:space="preserve">). La página Web del </w:t>
      </w:r>
      <w:r>
        <w:rPr>
          <w:rFonts w:ascii="Times New Roman" w:eastAsia="Times New Roman" w:hAnsi="Times New Roman" w:cs="Times New Roman"/>
          <w:i/>
          <w:iCs/>
          <w:sz w:val="16"/>
          <w:szCs w:val="16"/>
        </w:rPr>
        <w:t>National Immunization Program</w:t>
      </w:r>
      <w:r>
        <w:t xml:space="preserve"> es </w:t>
      </w:r>
      <w:hyperlink r:id="rId504" w:history="1">
        <w:r>
          <w:t>www.cdc.gov/nip/</w:t>
        </w:r>
      </w:hyperlink>
      <w:r>
        <w:t>.</w:t>
      </w:r>
    </w:p>
    <w:p w14:paraId="7E63E7A7" w14:textId="77777777" w:rsidR="00924992" w:rsidRDefault="00924992">
      <w:pPr>
        <w:pStyle w:val="Bodytext100"/>
        <w:spacing w:after="140" w:line="197" w:lineRule="auto"/>
        <w:rPr>
          <w:sz w:val="34"/>
          <w:szCs w:val="34"/>
        </w:rPr>
      </w:pPr>
      <w:r>
        <w:rPr>
          <w:sz w:val="34"/>
          <w:szCs w:val="34"/>
        </w:rPr>
        <w:t>A</w:t>
      </w:r>
      <w:r>
        <w:t>péndice vi</w:t>
      </w:r>
      <w:r>
        <w:rPr>
          <w:sz w:val="34"/>
          <w:szCs w:val="34"/>
        </w:rPr>
        <w:t>.</w:t>
      </w:r>
    </w:p>
    <w:p w14:paraId="59BAFADC" w14:textId="77777777" w:rsidR="00924992" w:rsidRDefault="00924992">
      <w:pPr>
        <w:pStyle w:val="Bodytext70"/>
        <w:spacing w:after="140" w:line="209" w:lineRule="auto"/>
        <w:jc w:val="center"/>
      </w:pPr>
      <w:r>
        <w:t>Síndromes clínicos que surgen en enfermedades</w:t>
      </w:r>
      <w:r>
        <w:br/>
        <w:t>de origen alimentario</w:t>
      </w:r>
      <w:r>
        <w:footnoteReference w:id="59"/>
      </w:r>
    </w:p>
    <w:p w14:paraId="7536BA3D" w14:textId="77777777" w:rsidR="00924992" w:rsidRDefault="00924992">
      <w:pPr>
        <w:pStyle w:val="BodyText"/>
        <w:ind w:firstLine="0"/>
      </w:pPr>
      <w:r>
        <w:t>Las enfermedades de origen alimentario constituyen una causa importante de complicaciones y muerte en niños y adultos en países desarrollados. Los aspectos epidemiológicos de dichas enfermedades son complejos y cambiantes debido al gran número de microorganismos vinculados con cuadros patológicos, los cambios en la producción y distribución de alimentos, la distribución internacional rápida de los mismos, las modificaciones en las costumbres alimentarias, la posibilidad de que surjan manifestaciones extraintestinales de la enfermedad y la susceptibilidad de algunas personas inmunodeficientes a infecciones y enfermedades graves.</w:t>
      </w:r>
    </w:p>
    <w:p w14:paraId="4F939AB7" w14:textId="77777777" w:rsidR="00924992" w:rsidRDefault="00924992">
      <w:pPr>
        <w:pStyle w:val="BodyText"/>
        <w:spacing w:after="140"/>
        <w:ind w:firstLine="360"/>
        <w:sectPr w:rsidR="00924992" w:rsidSect="00924992">
          <w:headerReference w:type="even" r:id="rId505"/>
          <w:headerReference w:type="default" r:id="rId506"/>
          <w:footerReference w:type="even" r:id="rId507"/>
          <w:footerReference w:type="default" r:id="rId508"/>
          <w:footnotePr>
            <w:numFmt w:val="chicago"/>
          </w:footnotePr>
          <w:pgSz w:w="8501" w:h="13022"/>
          <w:pgMar w:top="1046" w:right="1205" w:bottom="556" w:left="499" w:header="0" w:footer="128" w:gutter="0"/>
          <w:cols w:space="720"/>
          <w:noEndnote/>
          <w:docGrid w:linePitch="360"/>
          <w15:footnoteColumns w:val="1"/>
        </w:sectPr>
      </w:pPr>
      <w:r>
        <w:t>Habrá que pensar en la posibilidad de una enfermedad de origen alimentario cuando dos personas o más que han ingerido el mismo alimento tienen un cuadro agudo que se caracteriza por náusea, vómitos, diarrea, síntomas del sistema nervioso y otras manifestaciones extraintestinales. El diagnóstico y el agente causal específico los sugieren los signos del síndrome clínico, el periodo de incubación y los indicios epidemiológicos. Para facilitar el diagnóstico habrá que clasificar a los síndromes de las enfermedades de origen alimentario según su periodo de incubación, el agente patógeno y alimentos más a menudo relacionados con causas específicas. Los alimentos incluidos en el cuadro “Síndromes clínicos que surgen en enfermedades de origen alimentario”, en este apéndice, son representativos aunque no incluyen a la totalidad. El diagnóstico se confirma con pruebas de laboratorio en excrementos, material de vómito, sangre o los tres elementos, según el agente causal. Si se sospecha un brote, habrá que avisar inmediatamente a los funcionarios de salud pública locales o estatales para que trabajen junto con los profesionales asistenciales locales, corroboren otros informes y dispongan en la práctica de métodos de laboratorio especiales de los que no se dispone en los laboratorios clínicos.</w:t>
      </w:r>
    </w:p>
    <w:p w14:paraId="6CA32F53" w14:textId="77777777" w:rsidR="00924992" w:rsidRDefault="00924992">
      <w:pPr>
        <w:pStyle w:val="Heading31"/>
        <w:keepNext/>
        <w:keepLines/>
        <w:framePr w:w="7200" w:h="317" w:wrap="none" w:hAnchor="page" w:x="2742" w:y="1"/>
      </w:pPr>
      <w:bookmarkStart w:id="946" w:name="bookmark2335"/>
      <w:bookmarkStart w:id="947" w:name="bookmark2336"/>
      <w:bookmarkStart w:id="948" w:name="bookmark2337"/>
      <w:r>
        <w:rPr>
          <w:b w:val="0"/>
          <w:bCs w:val="0"/>
        </w:rPr>
        <w:t xml:space="preserve">Cuadro. </w:t>
      </w:r>
      <w:r>
        <w:t>Síndromes clínicos que surgen en enfermedades de origen alimentario</w:t>
      </w:r>
      <w:bookmarkEnd w:id="946"/>
      <w:bookmarkEnd w:id="947"/>
      <w:bookmarkEnd w:id="948"/>
    </w:p>
    <w:tbl>
      <w:tblPr>
        <w:tblOverlap w:val="never"/>
        <w:tblW w:w="0" w:type="auto"/>
        <w:tblLayout w:type="fixed"/>
        <w:tblCellMar>
          <w:left w:w="10" w:type="dxa"/>
          <w:right w:w="10" w:type="dxa"/>
        </w:tblCellMar>
        <w:tblLook w:val="04A0" w:firstRow="1" w:lastRow="0" w:firstColumn="1" w:lastColumn="0" w:noHBand="0" w:noVBand="1"/>
      </w:tblPr>
      <w:tblGrid>
        <w:gridCol w:w="2808"/>
        <w:gridCol w:w="1493"/>
        <w:gridCol w:w="3595"/>
        <w:gridCol w:w="3547"/>
      </w:tblGrid>
      <w:tr w:rsidR="00924992" w14:paraId="7E38948C" w14:textId="77777777">
        <w:tblPrEx>
          <w:tblCellMar>
            <w:top w:w="0" w:type="dxa"/>
            <w:bottom w:w="0" w:type="dxa"/>
          </w:tblCellMar>
        </w:tblPrEx>
        <w:trPr>
          <w:trHeight w:hRule="exact" w:val="571"/>
        </w:trPr>
        <w:tc>
          <w:tcPr>
            <w:tcW w:w="2808" w:type="dxa"/>
            <w:shd w:val="clear" w:color="auto" w:fill="231F20"/>
          </w:tcPr>
          <w:p w14:paraId="4B5B82FB" w14:textId="77777777" w:rsidR="00924992" w:rsidRDefault="00924992">
            <w:pPr>
              <w:pStyle w:val="Other0"/>
              <w:framePr w:w="11443" w:h="5842" w:vSpace="216" w:wrap="none" w:hAnchor="page" w:x="615" w:y="351"/>
              <w:pBdr>
                <w:top w:val="single" w:sz="0" w:space="0" w:color="231F20"/>
                <w:left w:val="single" w:sz="0" w:space="0" w:color="231F20"/>
                <w:bottom w:val="single" w:sz="0" w:space="0" w:color="231F20"/>
                <w:right w:val="single" w:sz="0" w:space="0" w:color="231F20"/>
              </w:pBdr>
              <w:shd w:val="clear" w:color="auto" w:fill="231F20"/>
              <w:spacing w:line="240" w:lineRule="auto"/>
              <w:ind w:firstLine="0"/>
              <w:rPr>
                <w:sz w:val="24"/>
                <w:szCs w:val="24"/>
              </w:rPr>
            </w:pPr>
            <w:r>
              <w:rPr>
                <w:rFonts w:ascii="Arial" w:eastAsia="Arial" w:hAnsi="Arial" w:cs="Arial"/>
                <w:b/>
                <w:bCs/>
                <w:color w:val="FFFFFF"/>
                <w:w w:val="70"/>
                <w:sz w:val="24"/>
                <w:szCs w:val="24"/>
              </w:rPr>
              <w:t>Síndrome clínico</w:t>
            </w:r>
          </w:p>
        </w:tc>
        <w:tc>
          <w:tcPr>
            <w:tcW w:w="1493" w:type="dxa"/>
            <w:shd w:val="clear" w:color="auto" w:fill="231F20"/>
          </w:tcPr>
          <w:p w14:paraId="10BCAC88" w14:textId="77777777" w:rsidR="00924992" w:rsidRDefault="00924992">
            <w:pPr>
              <w:pStyle w:val="Other0"/>
              <w:framePr w:w="11443" w:h="5842" w:vSpace="216" w:wrap="none" w:hAnchor="page" w:x="615" w:y="351"/>
              <w:pBdr>
                <w:top w:val="single" w:sz="0" w:space="0" w:color="231F20"/>
                <w:left w:val="single" w:sz="0" w:space="0" w:color="231F20"/>
                <w:bottom w:val="single" w:sz="0" w:space="0" w:color="231F20"/>
                <w:right w:val="single" w:sz="0" w:space="0" w:color="231F20"/>
              </w:pBdr>
              <w:shd w:val="clear" w:color="auto" w:fill="231F20"/>
              <w:spacing w:line="204" w:lineRule="auto"/>
              <w:ind w:firstLine="0"/>
              <w:rPr>
                <w:sz w:val="24"/>
                <w:szCs w:val="24"/>
              </w:rPr>
            </w:pPr>
            <w:r>
              <w:rPr>
                <w:rFonts w:ascii="Arial" w:eastAsia="Arial" w:hAnsi="Arial" w:cs="Arial"/>
                <w:b/>
                <w:bCs/>
                <w:color w:val="FFFFFF"/>
                <w:w w:val="70"/>
                <w:sz w:val="24"/>
                <w:szCs w:val="24"/>
              </w:rPr>
              <w:t>Periodo de incubación</w:t>
            </w:r>
          </w:p>
        </w:tc>
        <w:tc>
          <w:tcPr>
            <w:tcW w:w="3595" w:type="dxa"/>
            <w:shd w:val="clear" w:color="auto" w:fill="231F20"/>
          </w:tcPr>
          <w:p w14:paraId="31338C9D" w14:textId="77777777" w:rsidR="00924992" w:rsidRDefault="00924992">
            <w:pPr>
              <w:pStyle w:val="Other0"/>
              <w:framePr w:w="11443" w:h="5842" w:vSpace="216" w:wrap="none" w:hAnchor="page" w:x="615" w:y="351"/>
              <w:pBdr>
                <w:top w:val="single" w:sz="0" w:space="0" w:color="231F20"/>
                <w:left w:val="single" w:sz="0" w:space="0" w:color="231F20"/>
                <w:bottom w:val="single" w:sz="0" w:space="0" w:color="231F20"/>
                <w:right w:val="single" w:sz="0" w:space="0" w:color="231F20"/>
              </w:pBdr>
              <w:shd w:val="clear" w:color="auto" w:fill="231F20"/>
              <w:spacing w:line="240" w:lineRule="auto"/>
              <w:ind w:firstLine="280"/>
              <w:rPr>
                <w:sz w:val="24"/>
                <w:szCs w:val="24"/>
              </w:rPr>
            </w:pPr>
            <w:r>
              <w:rPr>
                <w:rFonts w:ascii="Arial" w:eastAsia="Arial" w:hAnsi="Arial" w:cs="Arial"/>
                <w:b/>
                <w:bCs/>
                <w:color w:val="FFFFFF"/>
                <w:w w:val="70"/>
                <w:sz w:val="24"/>
                <w:szCs w:val="24"/>
              </w:rPr>
              <w:t>Agentes causales</w:t>
            </w:r>
          </w:p>
        </w:tc>
        <w:tc>
          <w:tcPr>
            <w:tcW w:w="3547" w:type="dxa"/>
            <w:shd w:val="clear" w:color="auto" w:fill="231F20"/>
          </w:tcPr>
          <w:p w14:paraId="21A62726" w14:textId="77777777" w:rsidR="00924992" w:rsidRDefault="00924992">
            <w:pPr>
              <w:pStyle w:val="Other0"/>
              <w:framePr w:w="11443" w:h="5842" w:vSpace="216" w:wrap="none" w:hAnchor="page" w:x="615" w:y="351"/>
              <w:pBdr>
                <w:top w:val="single" w:sz="0" w:space="0" w:color="231F20"/>
                <w:left w:val="single" w:sz="0" w:space="0" w:color="231F20"/>
                <w:bottom w:val="single" w:sz="0" w:space="0" w:color="231F20"/>
                <w:right w:val="single" w:sz="0" w:space="0" w:color="231F20"/>
              </w:pBdr>
              <w:shd w:val="clear" w:color="auto" w:fill="231F20"/>
              <w:spacing w:line="240" w:lineRule="auto"/>
              <w:ind w:firstLine="0"/>
              <w:rPr>
                <w:sz w:val="24"/>
                <w:szCs w:val="24"/>
              </w:rPr>
            </w:pPr>
            <w:r>
              <w:rPr>
                <w:rFonts w:ascii="Arial" w:eastAsia="Arial" w:hAnsi="Arial" w:cs="Arial"/>
                <w:b/>
                <w:bCs/>
                <w:color w:val="FFFFFF"/>
                <w:w w:val="70"/>
                <w:sz w:val="24"/>
                <w:szCs w:val="24"/>
              </w:rPr>
              <w:t>Vehículos más frecuentes</w:t>
            </w:r>
          </w:p>
        </w:tc>
      </w:tr>
      <w:tr w:rsidR="00924992" w14:paraId="52262C56" w14:textId="77777777">
        <w:tblPrEx>
          <w:tblCellMar>
            <w:top w:w="0" w:type="dxa"/>
            <w:bottom w:w="0" w:type="dxa"/>
          </w:tblCellMar>
        </w:tblPrEx>
        <w:trPr>
          <w:trHeight w:hRule="exact" w:val="931"/>
        </w:trPr>
        <w:tc>
          <w:tcPr>
            <w:tcW w:w="2808" w:type="dxa"/>
            <w:shd w:val="clear" w:color="auto" w:fill="FFFFFF"/>
          </w:tcPr>
          <w:p w14:paraId="5BA7C475" w14:textId="77777777" w:rsidR="00924992" w:rsidRDefault="00924992">
            <w:pPr>
              <w:pStyle w:val="Other0"/>
              <w:framePr w:w="11443" w:h="5842" w:vSpace="216" w:wrap="none" w:hAnchor="page" w:x="615" w:y="351"/>
              <w:spacing w:line="240" w:lineRule="auto"/>
              <w:ind w:firstLine="0"/>
              <w:rPr>
                <w:sz w:val="16"/>
                <w:szCs w:val="16"/>
              </w:rPr>
            </w:pPr>
            <w:r>
              <w:rPr>
                <w:rFonts w:ascii="Times New Roman" w:eastAsia="Times New Roman" w:hAnsi="Times New Roman" w:cs="Times New Roman"/>
                <w:sz w:val="16"/>
                <w:szCs w:val="16"/>
              </w:rPr>
              <w:t>Náuseas y vómitos</w:t>
            </w:r>
          </w:p>
        </w:tc>
        <w:tc>
          <w:tcPr>
            <w:tcW w:w="1493" w:type="dxa"/>
            <w:shd w:val="clear" w:color="auto" w:fill="FFFFFF"/>
          </w:tcPr>
          <w:p w14:paraId="4E28913F" w14:textId="77777777" w:rsidR="00924992" w:rsidRDefault="00924992">
            <w:pPr>
              <w:pStyle w:val="Other0"/>
              <w:framePr w:w="11443" w:h="5842" w:vSpace="216" w:wrap="none" w:hAnchor="page" w:x="615" w:y="351"/>
              <w:spacing w:line="240" w:lineRule="auto"/>
              <w:ind w:firstLine="0"/>
              <w:rPr>
                <w:sz w:val="16"/>
                <w:szCs w:val="16"/>
              </w:rPr>
            </w:pPr>
            <w:r>
              <w:rPr>
                <w:rFonts w:ascii="Times New Roman" w:eastAsia="Times New Roman" w:hAnsi="Times New Roman" w:cs="Times New Roman"/>
                <w:sz w:val="16"/>
                <w:szCs w:val="16"/>
              </w:rPr>
              <w:t>&lt;1-6 h</w:t>
            </w:r>
          </w:p>
        </w:tc>
        <w:tc>
          <w:tcPr>
            <w:tcW w:w="3595" w:type="dxa"/>
            <w:shd w:val="clear" w:color="auto" w:fill="FFFFFF"/>
            <w:vAlign w:val="bottom"/>
          </w:tcPr>
          <w:p w14:paraId="05590870" w14:textId="77777777" w:rsidR="00924992" w:rsidRDefault="00924992">
            <w:pPr>
              <w:pStyle w:val="Other0"/>
              <w:framePr w:w="11443" w:h="5842" w:vSpace="216" w:wrap="none" w:hAnchor="page" w:x="615" w:y="351"/>
              <w:spacing w:line="288" w:lineRule="auto"/>
              <w:ind w:left="380" w:hanging="100"/>
              <w:rPr>
                <w:sz w:val="16"/>
                <w:szCs w:val="16"/>
              </w:rPr>
            </w:pPr>
            <w:r>
              <w:rPr>
                <w:rFonts w:ascii="Times New Roman" w:eastAsia="Times New Roman" w:hAnsi="Times New Roman" w:cs="Times New Roman"/>
                <w:i/>
                <w:iCs/>
                <w:sz w:val="16"/>
                <w:szCs w:val="16"/>
              </w:rPr>
              <w:t>Staphylococcus aureus</w:t>
            </w:r>
            <w:r>
              <w:rPr>
                <w:rFonts w:ascii="Times New Roman" w:eastAsia="Times New Roman" w:hAnsi="Times New Roman" w:cs="Times New Roman"/>
                <w:sz w:val="16"/>
                <w:szCs w:val="16"/>
              </w:rPr>
              <w:t xml:space="preserve"> (toxinas preformadas, A, B, C, D, E)</w:t>
            </w:r>
          </w:p>
          <w:p w14:paraId="43A56F67" w14:textId="77777777" w:rsidR="00924992" w:rsidRDefault="00924992">
            <w:pPr>
              <w:pStyle w:val="Other0"/>
              <w:framePr w:w="11443" w:h="5842" w:vSpace="216" w:wrap="none" w:hAnchor="page" w:x="615" w:y="351"/>
              <w:spacing w:line="288" w:lineRule="auto"/>
              <w:ind w:firstLine="280"/>
              <w:rPr>
                <w:sz w:val="16"/>
                <w:szCs w:val="16"/>
              </w:rPr>
            </w:pPr>
            <w:r>
              <w:rPr>
                <w:rFonts w:ascii="Times New Roman" w:eastAsia="Times New Roman" w:hAnsi="Times New Roman" w:cs="Times New Roman"/>
                <w:i/>
                <w:iCs/>
                <w:sz w:val="16"/>
                <w:szCs w:val="16"/>
              </w:rPr>
              <w:t>Bacillus cereus</w:t>
            </w:r>
            <w:r>
              <w:rPr>
                <w:rFonts w:ascii="Times New Roman" w:eastAsia="Times New Roman" w:hAnsi="Times New Roman" w:cs="Times New Roman"/>
                <w:sz w:val="16"/>
                <w:szCs w:val="16"/>
              </w:rPr>
              <w:t xml:space="preserve"> (toxina emética)</w:t>
            </w:r>
          </w:p>
          <w:p w14:paraId="3CAF9D88" w14:textId="77777777" w:rsidR="00924992" w:rsidRDefault="00924992">
            <w:pPr>
              <w:pStyle w:val="Other0"/>
              <w:framePr w:w="11443" w:h="5842" w:vSpace="216" w:wrap="none" w:hAnchor="page" w:x="615" w:y="351"/>
              <w:spacing w:line="288" w:lineRule="auto"/>
              <w:ind w:firstLine="280"/>
              <w:rPr>
                <w:sz w:val="16"/>
                <w:szCs w:val="16"/>
              </w:rPr>
            </w:pPr>
            <w:r>
              <w:rPr>
                <w:rFonts w:ascii="Times New Roman" w:eastAsia="Times New Roman" w:hAnsi="Times New Roman" w:cs="Times New Roman"/>
                <w:sz w:val="16"/>
                <w:szCs w:val="16"/>
              </w:rPr>
              <w:t>Metales pesados (cobre, estaño, cadmio,</w:t>
            </w:r>
          </w:p>
        </w:tc>
        <w:tc>
          <w:tcPr>
            <w:tcW w:w="3547" w:type="dxa"/>
            <w:shd w:val="clear" w:color="auto" w:fill="FFFFFF"/>
            <w:vAlign w:val="bottom"/>
          </w:tcPr>
          <w:p w14:paraId="383B3F73" w14:textId="77777777" w:rsidR="00924992" w:rsidRDefault="00924992">
            <w:pPr>
              <w:pStyle w:val="Other0"/>
              <w:framePr w:w="11443" w:h="5842" w:vSpace="216" w:wrap="none" w:hAnchor="page" w:x="615" w:y="351"/>
              <w:spacing w:line="283" w:lineRule="auto"/>
              <w:ind w:firstLine="0"/>
              <w:rPr>
                <w:sz w:val="16"/>
                <w:szCs w:val="16"/>
              </w:rPr>
            </w:pPr>
            <w:r>
              <w:rPr>
                <w:rFonts w:ascii="Times New Roman" w:eastAsia="Times New Roman" w:hAnsi="Times New Roman" w:cs="Times New Roman"/>
                <w:sz w:val="16"/>
                <w:szCs w:val="16"/>
              </w:rPr>
              <w:t>Jamón, carne de aves de corral, pasteles rellenos de crema, ensaladas de patata, huevos y setas Arroz frito, carnes</w:t>
            </w:r>
          </w:p>
          <w:p w14:paraId="53FDFED6" w14:textId="77777777" w:rsidR="00924992" w:rsidRDefault="00924992">
            <w:pPr>
              <w:pStyle w:val="Other0"/>
              <w:framePr w:w="11443" w:h="5842" w:vSpace="216" w:wrap="none" w:hAnchor="page" w:x="615" w:y="351"/>
              <w:spacing w:line="283" w:lineRule="auto"/>
              <w:ind w:firstLine="0"/>
              <w:rPr>
                <w:sz w:val="16"/>
                <w:szCs w:val="16"/>
              </w:rPr>
            </w:pPr>
            <w:r>
              <w:rPr>
                <w:rFonts w:ascii="Times New Roman" w:eastAsia="Times New Roman" w:hAnsi="Times New Roman" w:cs="Times New Roman"/>
                <w:sz w:val="16"/>
                <w:szCs w:val="16"/>
              </w:rPr>
              <w:t>Bebidas ácidas, recipientes metálicos</w:t>
            </w:r>
          </w:p>
        </w:tc>
      </w:tr>
      <w:tr w:rsidR="00924992" w14:paraId="3370FC7F" w14:textId="77777777">
        <w:tblPrEx>
          <w:tblCellMar>
            <w:top w:w="0" w:type="dxa"/>
            <w:bottom w:w="0" w:type="dxa"/>
          </w:tblCellMar>
        </w:tblPrEx>
        <w:trPr>
          <w:trHeight w:hRule="exact" w:val="211"/>
        </w:trPr>
        <w:tc>
          <w:tcPr>
            <w:tcW w:w="2808" w:type="dxa"/>
            <w:shd w:val="clear" w:color="auto" w:fill="FFFFFF"/>
            <w:vAlign w:val="bottom"/>
          </w:tcPr>
          <w:p w14:paraId="1D7FBBDB" w14:textId="77777777" w:rsidR="00924992" w:rsidRDefault="00924992">
            <w:pPr>
              <w:pStyle w:val="Other0"/>
              <w:framePr w:w="11443" w:h="5842" w:vSpace="216" w:wrap="none" w:hAnchor="page" w:x="615" w:y="351"/>
              <w:spacing w:line="240" w:lineRule="auto"/>
              <w:ind w:firstLine="0"/>
              <w:rPr>
                <w:sz w:val="16"/>
                <w:szCs w:val="16"/>
              </w:rPr>
            </w:pPr>
            <w:r>
              <w:rPr>
                <w:rFonts w:ascii="Times New Roman" w:eastAsia="Times New Roman" w:hAnsi="Times New Roman" w:cs="Times New Roman"/>
                <w:sz w:val="16"/>
                <w:szCs w:val="16"/>
              </w:rPr>
              <w:t>Congestión facial, mareos, ardor de</w:t>
            </w:r>
          </w:p>
        </w:tc>
        <w:tc>
          <w:tcPr>
            <w:tcW w:w="1493" w:type="dxa"/>
            <w:shd w:val="clear" w:color="auto" w:fill="FFFFFF"/>
            <w:vAlign w:val="bottom"/>
          </w:tcPr>
          <w:p w14:paraId="48568784" w14:textId="77777777" w:rsidR="00924992" w:rsidRDefault="00924992">
            <w:pPr>
              <w:pStyle w:val="Other0"/>
              <w:framePr w:w="11443" w:h="5842" w:vSpace="216" w:wrap="none" w:hAnchor="page" w:x="615" w:y="351"/>
              <w:spacing w:line="240" w:lineRule="auto"/>
              <w:ind w:firstLine="0"/>
              <w:rPr>
                <w:sz w:val="16"/>
                <w:szCs w:val="16"/>
              </w:rPr>
            </w:pPr>
            <w:r>
              <w:rPr>
                <w:rFonts w:ascii="Times New Roman" w:eastAsia="Times New Roman" w:hAnsi="Times New Roman" w:cs="Times New Roman"/>
                <w:sz w:val="16"/>
                <w:szCs w:val="16"/>
              </w:rPr>
              <w:t>&lt;1 h</w:t>
            </w:r>
          </w:p>
        </w:tc>
        <w:tc>
          <w:tcPr>
            <w:tcW w:w="3595" w:type="dxa"/>
            <w:shd w:val="clear" w:color="auto" w:fill="FFFFFF"/>
            <w:vAlign w:val="bottom"/>
          </w:tcPr>
          <w:p w14:paraId="3A99AD51" w14:textId="77777777" w:rsidR="00924992" w:rsidRDefault="00924992">
            <w:pPr>
              <w:pStyle w:val="Other0"/>
              <w:framePr w:w="11443" w:h="5842" w:vSpace="216" w:wrap="none" w:hAnchor="page" w:x="615" w:y="351"/>
              <w:spacing w:line="240" w:lineRule="auto"/>
              <w:ind w:firstLine="380"/>
              <w:rPr>
                <w:sz w:val="16"/>
                <w:szCs w:val="16"/>
              </w:rPr>
            </w:pPr>
            <w:r>
              <w:rPr>
                <w:rFonts w:ascii="Times New Roman" w:eastAsia="Times New Roman" w:hAnsi="Times New Roman" w:cs="Times New Roman"/>
                <w:sz w:val="16"/>
                <w:szCs w:val="16"/>
              </w:rPr>
              <w:t>hierro, zinc)</w:t>
            </w:r>
          </w:p>
        </w:tc>
        <w:tc>
          <w:tcPr>
            <w:tcW w:w="3547" w:type="dxa"/>
            <w:shd w:val="clear" w:color="auto" w:fill="FFFFFF"/>
            <w:vAlign w:val="bottom"/>
          </w:tcPr>
          <w:p w14:paraId="349AD884" w14:textId="77777777" w:rsidR="00924992" w:rsidRDefault="00924992">
            <w:pPr>
              <w:pStyle w:val="Other0"/>
              <w:framePr w:w="11443" w:h="5842" w:vSpace="216" w:wrap="none" w:hAnchor="page" w:x="615" w:y="351"/>
              <w:spacing w:line="240" w:lineRule="auto"/>
              <w:ind w:firstLine="0"/>
              <w:rPr>
                <w:sz w:val="16"/>
                <w:szCs w:val="16"/>
              </w:rPr>
            </w:pPr>
            <w:r>
              <w:rPr>
                <w:rFonts w:ascii="Times New Roman" w:eastAsia="Times New Roman" w:hAnsi="Times New Roman" w:cs="Times New Roman"/>
                <w:sz w:val="16"/>
                <w:szCs w:val="16"/>
              </w:rPr>
              <w:t>Peces (bluefish, bonito, macarela, mahi-mahi,</w:t>
            </w:r>
          </w:p>
        </w:tc>
      </w:tr>
      <w:tr w:rsidR="00924992" w14:paraId="0ACBC510" w14:textId="77777777">
        <w:tblPrEx>
          <w:tblCellMar>
            <w:top w:w="0" w:type="dxa"/>
            <w:bottom w:w="0" w:type="dxa"/>
          </w:tblCellMar>
        </w:tblPrEx>
        <w:trPr>
          <w:trHeight w:hRule="exact" w:val="216"/>
        </w:trPr>
        <w:tc>
          <w:tcPr>
            <w:tcW w:w="2808" w:type="dxa"/>
            <w:shd w:val="clear" w:color="auto" w:fill="FFFFFF"/>
            <w:vAlign w:val="bottom"/>
          </w:tcPr>
          <w:p w14:paraId="109364FD" w14:textId="77777777" w:rsidR="00924992" w:rsidRDefault="00924992">
            <w:pPr>
              <w:pStyle w:val="Other0"/>
              <w:framePr w:w="11443" w:h="5842" w:vSpace="216" w:wrap="none" w:hAnchor="page" w:x="615" w:y="351"/>
              <w:spacing w:line="240" w:lineRule="auto"/>
              <w:ind w:firstLine="160"/>
              <w:rPr>
                <w:sz w:val="16"/>
                <w:szCs w:val="16"/>
              </w:rPr>
            </w:pPr>
            <w:r>
              <w:rPr>
                <w:rFonts w:ascii="Times New Roman" w:eastAsia="Times New Roman" w:hAnsi="Times New Roman" w:cs="Times New Roman"/>
                <w:sz w:val="16"/>
                <w:szCs w:val="16"/>
              </w:rPr>
              <w:t>boca y faringe, cefaleas, síntomas</w:t>
            </w:r>
          </w:p>
        </w:tc>
        <w:tc>
          <w:tcPr>
            <w:tcW w:w="1493" w:type="dxa"/>
            <w:shd w:val="clear" w:color="auto" w:fill="FFFFFF"/>
          </w:tcPr>
          <w:p w14:paraId="0195F104" w14:textId="77777777" w:rsidR="00924992" w:rsidRDefault="00924992">
            <w:pPr>
              <w:framePr w:w="11443" w:h="5842" w:vSpace="216" w:wrap="none" w:hAnchor="page" w:x="615" w:y="351"/>
              <w:rPr>
                <w:sz w:val="10"/>
                <w:szCs w:val="10"/>
              </w:rPr>
            </w:pPr>
          </w:p>
        </w:tc>
        <w:tc>
          <w:tcPr>
            <w:tcW w:w="3595" w:type="dxa"/>
            <w:shd w:val="clear" w:color="auto" w:fill="FFFFFF"/>
            <w:vAlign w:val="bottom"/>
          </w:tcPr>
          <w:p w14:paraId="704BD548" w14:textId="77777777" w:rsidR="00924992" w:rsidRDefault="00924992">
            <w:pPr>
              <w:pStyle w:val="Other0"/>
              <w:framePr w:w="11443" w:h="5842" w:vSpace="216" w:wrap="none" w:hAnchor="page" w:x="615" w:y="351"/>
              <w:spacing w:line="240" w:lineRule="auto"/>
              <w:ind w:firstLine="280"/>
              <w:rPr>
                <w:sz w:val="16"/>
                <w:szCs w:val="16"/>
              </w:rPr>
            </w:pPr>
            <w:r>
              <w:rPr>
                <w:rFonts w:ascii="Times New Roman" w:eastAsia="Times New Roman" w:hAnsi="Times New Roman" w:cs="Times New Roman"/>
                <w:sz w:val="16"/>
                <w:szCs w:val="16"/>
              </w:rPr>
              <w:t>Histamina (escómbridos)</w:t>
            </w:r>
          </w:p>
        </w:tc>
        <w:tc>
          <w:tcPr>
            <w:tcW w:w="3547" w:type="dxa"/>
            <w:shd w:val="clear" w:color="auto" w:fill="FFFFFF"/>
            <w:vAlign w:val="bottom"/>
          </w:tcPr>
          <w:p w14:paraId="28421927" w14:textId="77777777" w:rsidR="00924992" w:rsidRDefault="00924992">
            <w:pPr>
              <w:pStyle w:val="Other0"/>
              <w:framePr w:w="11443" w:h="5842" w:vSpace="216" w:wrap="none" w:hAnchor="page" w:x="615" w:y="351"/>
              <w:spacing w:line="240" w:lineRule="auto"/>
              <w:ind w:firstLine="200"/>
              <w:rPr>
                <w:sz w:val="16"/>
                <w:szCs w:val="16"/>
              </w:rPr>
            </w:pPr>
            <w:r>
              <w:rPr>
                <w:rFonts w:ascii="Times New Roman" w:eastAsia="Times New Roman" w:hAnsi="Times New Roman" w:cs="Times New Roman"/>
                <w:sz w:val="16"/>
                <w:szCs w:val="16"/>
              </w:rPr>
              <w:t>marlín, atún)</w:t>
            </w:r>
          </w:p>
        </w:tc>
      </w:tr>
      <w:tr w:rsidR="00924992" w14:paraId="0887895F" w14:textId="77777777">
        <w:tblPrEx>
          <w:tblCellMar>
            <w:top w:w="0" w:type="dxa"/>
            <w:bottom w:w="0" w:type="dxa"/>
          </w:tblCellMar>
        </w:tblPrEx>
        <w:trPr>
          <w:trHeight w:hRule="exact" w:val="442"/>
        </w:trPr>
        <w:tc>
          <w:tcPr>
            <w:tcW w:w="2808" w:type="dxa"/>
            <w:shd w:val="clear" w:color="auto" w:fill="FFFFFF"/>
            <w:vAlign w:val="bottom"/>
          </w:tcPr>
          <w:p w14:paraId="4653ACC3" w14:textId="77777777" w:rsidR="00924992" w:rsidRDefault="00924992">
            <w:pPr>
              <w:pStyle w:val="Other0"/>
              <w:framePr w:w="11443" w:h="5842" w:vSpace="216" w:wrap="none" w:hAnchor="page" w:x="615" w:y="351"/>
              <w:spacing w:line="283" w:lineRule="auto"/>
              <w:ind w:firstLine="160"/>
              <w:rPr>
                <w:sz w:val="16"/>
                <w:szCs w:val="16"/>
              </w:rPr>
            </w:pPr>
            <w:r>
              <w:rPr>
                <w:rFonts w:ascii="Times New Roman" w:eastAsia="Times New Roman" w:hAnsi="Times New Roman" w:cs="Times New Roman"/>
                <w:sz w:val="16"/>
                <w:szCs w:val="16"/>
              </w:rPr>
              <w:t>gastrointestinales, urticaria Síntomas neurológicos que incluyen</w:t>
            </w:r>
          </w:p>
        </w:tc>
        <w:tc>
          <w:tcPr>
            <w:tcW w:w="8635" w:type="dxa"/>
            <w:gridSpan w:val="3"/>
            <w:shd w:val="clear" w:color="auto" w:fill="FFFFFF"/>
          </w:tcPr>
          <w:p w14:paraId="1317864A" w14:textId="77777777" w:rsidR="00924992" w:rsidRDefault="00924992">
            <w:pPr>
              <w:framePr w:w="11443" w:h="5842" w:vSpace="216" w:wrap="none" w:hAnchor="page" w:x="615" w:y="351"/>
              <w:rPr>
                <w:sz w:val="10"/>
                <w:szCs w:val="10"/>
              </w:rPr>
            </w:pPr>
          </w:p>
        </w:tc>
      </w:tr>
      <w:tr w:rsidR="00924992" w14:paraId="0FF22623" w14:textId="77777777">
        <w:tblPrEx>
          <w:tblCellMar>
            <w:top w:w="0" w:type="dxa"/>
            <w:bottom w:w="0" w:type="dxa"/>
          </w:tblCellMar>
        </w:tblPrEx>
        <w:trPr>
          <w:trHeight w:hRule="exact" w:val="1493"/>
        </w:trPr>
        <w:tc>
          <w:tcPr>
            <w:tcW w:w="2808" w:type="dxa"/>
            <w:shd w:val="clear" w:color="auto" w:fill="FFFFFF"/>
          </w:tcPr>
          <w:p w14:paraId="52ADB5BC" w14:textId="77777777" w:rsidR="00924992" w:rsidRDefault="00924992">
            <w:pPr>
              <w:pStyle w:val="Other0"/>
              <w:framePr w:w="11443" w:h="5842" w:vSpace="216" w:wrap="none" w:hAnchor="page" w:x="615" w:y="351"/>
              <w:spacing w:line="240" w:lineRule="auto"/>
              <w:ind w:firstLine="160"/>
              <w:rPr>
                <w:sz w:val="16"/>
                <w:szCs w:val="16"/>
              </w:rPr>
            </w:pPr>
            <w:r>
              <w:rPr>
                <w:rFonts w:ascii="Times New Roman" w:eastAsia="Times New Roman" w:hAnsi="Times New Roman" w:cs="Times New Roman"/>
                <w:sz w:val="16"/>
                <w:szCs w:val="16"/>
              </w:rPr>
              <w:t>parestesias y síntomas gastrointestinales</w:t>
            </w:r>
          </w:p>
        </w:tc>
        <w:tc>
          <w:tcPr>
            <w:tcW w:w="1493" w:type="dxa"/>
            <w:shd w:val="clear" w:color="auto" w:fill="FFFFFF"/>
          </w:tcPr>
          <w:p w14:paraId="6D21DE49" w14:textId="77777777" w:rsidR="00924992" w:rsidRDefault="00924992">
            <w:pPr>
              <w:pStyle w:val="Other0"/>
              <w:framePr w:w="11443" w:h="5842" w:vSpace="216" w:wrap="none" w:hAnchor="page" w:x="615" w:y="351"/>
              <w:spacing w:line="240" w:lineRule="auto"/>
              <w:ind w:firstLine="0"/>
              <w:rPr>
                <w:sz w:val="16"/>
                <w:szCs w:val="16"/>
              </w:rPr>
            </w:pPr>
            <w:r>
              <w:rPr>
                <w:rFonts w:ascii="Times New Roman" w:eastAsia="Times New Roman" w:hAnsi="Times New Roman" w:cs="Times New Roman"/>
                <w:sz w:val="16"/>
                <w:szCs w:val="16"/>
              </w:rPr>
              <w:t>&lt;1-6 h</w:t>
            </w:r>
          </w:p>
        </w:tc>
        <w:tc>
          <w:tcPr>
            <w:tcW w:w="3595" w:type="dxa"/>
            <w:shd w:val="clear" w:color="auto" w:fill="FFFFFF"/>
          </w:tcPr>
          <w:p w14:paraId="4759936D" w14:textId="77777777" w:rsidR="00924992" w:rsidRDefault="00924992">
            <w:pPr>
              <w:pStyle w:val="Other0"/>
              <w:framePr w:w="11443" w:h="5842" w:vSpace="216" w:wrap="none" w:hAnchor="page" w:x="615" w:y="351"/>
              <w:spacing w:line="283" w:lineRule="auto"/>
              <w:ind w:firstLine="280"/>
              <w:rPr>
                <w:sz w:val="16"/>
                <w:szCs w:val="16"/>
              </w:rPr>
            </w:pPr>
            <w:r>
              <w:rPr>
                <w:rFonts w:ascii="Times New Roman" w:eastAsia="Times New Roman" w:hAnsi="Times New Roman" w:cs="Times New Roman"/>
                <w:sz w:val="16"/>
                <w:szCs w:val="16"/>
              </w:rPr>
              <w:t>Tetrodotoxina</w:t>
            </w:r>
          </w:p>
          <w:p w14:paraId="52798EA5" w14:textId="77777777" w:rsidR="00924992" w:rsidRDefault="00924992">
            <w:pPr>
              <w:pStyle w:val="Other0"/>
              <w:framePr w:w="11443" w:h="5842" w:vSpace="216" w:wrap="none" w:hAnchor="page" w:x="615" w:y="351"/>
              <w:spacing w:line="283" w:lineRule="auto"/>
              <w:ind w:firstLine="280"/>
              <w:rPr>
                <w:sz w:val="16"/>
                <w:szCs w:val="16"/>
              </w:rPr>
            </w:pPr>
            <w:r>
              <w:rPr>
                <w:rFonts w:ascii="Times New Roman" w:eastAsia="Times New Roman" w:hAnsi="Times New Roman" w:cs="Times New Roman"/>
                <w:sz w:val="16"/>
                <w:szCs w:val="16"/>
              </w:rPr>
              <w:t>Ciguatoxina</w:t>
            </w:r>
          </w:p>
          <w:p w14:paraId="1C6225D0" w14:textId="77777777" w:rsidR="00924992" w:rsidRDefault="00924992">
            <w:pPr>
              <w:pStyle w:val="Other0"/>
              <w:framePr w:w="11443" w:h="5842" w:vSpace="216" w:wrap="none" w:hAnchor="page" w:x="615" w:y="351"/>
              <w:spacing w:after="200" w:line="283" w:lineRule="auto"/>
              <w:ind w:firstLine="280"/>
              <w:rPr>
                <w:sz w:val="16"/>
                <w:szCs w:val="16"/>
              </w:rPr>
            </w:pPr>
            <w:r>
              <w:rPr>
                <w:rFonts w:ascii="Times New Roman" w:eastAsia="Times New Roman" w:hAnsi="Times New Roman" w:cs="Times New Roman"/>
                <w:sz w:val="16"/>
                <w:szCs w:val="16"/>
              </w:rPr>
              <w:t>Intoxicación paralítica por mariscos</w:t>
            </w:r>
          </w:p>
          <w:p w14:paraId="7C51562E" w14:textId="77777777" w:rsidR="00924992" w:rsidRDefault="00924992">
            <w:pPr>
              <w:pStyle w:val="Other0"/>
              <w:framePr w:w="11443" w:h="5842" w:vSpace="216" w:wrap="none" w:hAnchor="page" w:x="615" w:y="351"/>
              <w:spacing w:line="283" w:lineRule="auto"/>
              <w:ind w:left="280" w:firstLine="0"/>
              <w:jc w:val="both"/>
              <w:rPr>
                <w:sz w:val="16"/>
                <w:szCs w:val="16"/>
              </w:rPr>
            </w:pPr>
            <w:r>
              <w:rPr>
                <w:rFonts w:ascii="Times New Roman" w:eastAsia="Times New Roman" w:hAnsi="Times New Roman" w:cs="Times New Roman"/>
                <w:sz w:val="16"/>
                <w:szCs w:val="16"/>
              </w:rPr>
              <w:t>Intoxicación neurotóxica por mariscos Ácido domoico</w:t>
            </w:r>
          </w:p>
          <w:p w14:paraId="576416B3" w14:textId="77777777" w:rsidR="00924992" w:rsidRDefault="00924992">
            <w:pPr>
              <w:pStyle w:val="Other0"/>
              <w:framePr w:w="11443" w:h="5842" w:vSpace="216" w:wrap="none" w:hAnchor="page" w:x="615" w:y="351"/>
              <w:spacing w:line="283" w:lineRule="auto"/>
              <w:ind w:firstLine="280"/>
              <w:rPr>
                <w:sz w:val="16"/>
                <w:szCs w:val="16"/>
              </w:rPr>
            </w:pPr>
            <w:r>
              <w:rPr>
                <w:rFonts w:ascii="Times New Roman" w:eastAsia="Times New Roman" w:hAnsi="Times New Roman" w:cs="Times New Roman"/>
                <w:sz w:val="16"/>
                <w:szCs w:val="16"/>
              </w:rPr>
              <w:t>Glutamato monosódico</w:t>
            </w:r>
          </w:p>
        </w:tc>
        <w:tc>
          <w:tcPr>
            <w:tcW w:w="3547" w:type="dxa"/>
            <w:shd w:val="clear" w:color="auto" w:fill="FFFFFF"/>
          </w:tcPr>
          <w:p w14:paraId="35C7B1C3" w14:textId="77777777" w:rsidR="00924992" w:rsidRDefault="00924992">
            <w:pPr>
              <w:pStyle w:val="Other0"/>
              <w:framePr w:w="11443" w:h="5842" w:vSpace="216" w:wrap="none" w:hAnchor="page" w:x="615" w:y="351"/>
              <w:spacing w:line="283" w:lineRule="auto"/>
              <w:ind w:firstLine="0"/>
              <w:rPr>
                <w:sz w:val="16"/>
                <w:szCs w:val="16"/>
              </w:rPr>
            </w:pPr>
            <w:r>
              <w:rPr>
                <w:rFonts w:ascii="Times New Roman" w:eastAsia="Times New Roman" w:hAnsi="Times New Roman" w:cs="Times New Roman"/>
                <w:sz w:val="16"/>
                <w:szCs w:val="16"/>
              </w:rPr>
              <w:t>Pez globo</w:t>
            </w:r>
          </w:p>
          <w:p w14:paraId="48FB4C6C" w14:textId="77777777" w:rsidR="00924992" w:rsidRDefault="00924992">
            <w:pPr>
              <w:pStyle w:val="Other0"/>
              <w:framePr w:w="11443" w:h="5842" w:vSpace="216" w:wrap="none" w:hAnchor="page" w:x="615" w:y="351"/>
              <w:spacing w:line="283" w:lineRule="auto"/>
              <w:ind w:firstLine="0"/>
              <w:rPr>
                <w:sz w:val="16"/>
                <w:szCs w:val="16"/>
              </w:rPr>
            </w:pPr>
            <w:r>
              <w:rPr>
                <w:rFonts w:ascii="Times New Roman" w:eastAsia="Times New Roman" w:hAnsi="Times New Roman" w:cs="Times New Roman"/>
                <w:sz w:val="16"/>
                <w:szCs w:val="16"/>
              </w:rPr>
              <w:t>Peces (casabe, barracuda, mero, guachinango)</w:t>
            </w:r>
          </w:p>
          <w:p w14:paraId="6BAFA91E" w14:textId="77777777" w:rsidR="00924992" w:rsidRDefault="00924992">
            <w:pPr>
              <w:pStyle w:val="Other0"/>
              <w:framePr w:w="11443" w:h="5842" w:vSpace="216" w:wrap="none" w:hAnchor="page" w:x="615" w:y="351"/>
              <w:spacing w:line="283" w:lineRule="auto"/>
              <w:ind w:left="200" w:hanging="200"/>
              <w:rPr>
                <w:sz w:val="16"/>
                <w:szCs w:val="16"/>
              </w:rPr>
            </w:pPr>
            <w:r>
              <w:rPr>
                <w:rFonts w:ascii="Times New Roman" w:eastAsia="Times New Roman" w:hAnsi="Times New Roman" w:cs="Times New Roman"/>
                <w:sz w:val="16"/>
                <w:szCs w:val="16"/>
              </w:rPr>
              <w:t>Mariscos (ostras, mejillones, ostiones, veneras y otros moluscos)</w:t>
            </w:r>
          </w:p>
          <w:p w14:paraId="4CF7D497" w14:textId="77777777" w:rsidR="00924992" w:rsidRDefault="00924992">
            <w:pPr>
              <w:pStyle w:val="Other0"/>
              <w:framePr w:w="11443" w:h="5842" w:vSpace="216" w:wrap="none" w:hAnchor="page" w:x="615" w:y="351"/>
              <w:spacing w:line="283" w:lineRule="auto"/>
              <w:ind w:firstLine="0"/>
              <w:rPr>
                <w:sz w:val="16"/>
                <w:szCs w:val="16"/>
              </w:rPr>
            </w:pPr>
            <w:r>
              <w:rPr>
                <w:rFonts w:ascii="Times New Roman" w:eastAsia="Times New Roman" w:hAnsi="Times New Roman" w:cs="Times New Roman"/>
                <w:sz w:val="16"/>
                <w:szCs w:val="16"/>
              </w:rPr>
              <w:t>Mariscos</w:t>
            </w:r>
          </w:p>
          <w:p w14:paraId="5AA385E3" w14:textId="77777777" w:rsidR="00924992" w:rsidRDefault="00924992">
            <w:pPr>
              <w:pStyle w:val="Other0"/>
              <w:framePr w:w="11443" w:h="5842" w:vSpace="216" w:wrap="none" w:hAnchor="page" w:x="615" w:y="351"/>
              <w:spacing w:line="283" w:lineRule="auto"/>
              <w:ind w:firstLine="0"/>
              <w:rPr>
                <w:sz w:val="16"/>
                <w:szCs w:val="16"/>
              </w:rPr>
            </w:pPr>
            <w:r>
              <w:rPr>
                <w:rFonts w:ascii="Times New Roman" w:eastAsia="Times New Roman" w:hAnsi="Times New Roman" w:cs="Times New Roman"/>
                <w:sz w:val="16"/>
                <w:szCs w:val="16"/>
              </w:rPr>
              <w:t>Mejillones</w:t>
            </w:r>
          </w:p>
          <w:p w14:paraId="4E5437EC" w14:textId="77777777" w:rsidR="00924992" w:rsidRDefault="00924992">
            <w:pPr>
              <w:pStyle w:val="Other0"/>
              <w:framePr w:w="11443" w:h="5842" w:vSpace="216" w:wrap="none" w:hAnchor="page" w:x="615" w:y="351"/>
              <w:spacing w:line="283" w:lineRule="auto"/>
              <w:ind w:firstLine="0"/>
              <w:rPr>
                <w:sz w:val="16"/>
                <w:szCs w:val="16"/>
              </w:rPr>
            </w:pPr>
            <w:r>
              <w:rPr>
                <w:rFonts w:ascii="Times New Roman" w:eastAsia="Times New Roman" w:hAnsi="Times New Roman" w:cs="Times New Roman"/>
                <w:sz w:val="16"/>
                <w:szCs w:val="16"/>
              </w:rPr>
              <w:t>Comida china</w:t>
            </w:r>
          </w:p>
        </w:tc>
      </w:tr>
      <w:tr w:rsidR="00924992" w14:paraId="3E5358A0" w14:textId="77777777">
        <w:tblPrEx>
          <w:tblCellMar>
            <w:top w:w="0" w:type="dxa"/>
            <w:bottom w:w="0" w:type="dxa"/>
          </w:tblCellMar>
        </w:tblPrEx>
        <w:trPr>
          <w:trHeight w:hRule="exact" w:val="230"/>
        </w:trPr>
        <w:tc>
          <w:tcPr>
            <w:tcW w:w="2808" w:type="dxa"/>
            <w:shd w:val="clear" w:color="auto" w:fill="FFFFFF"/>
            <w:vAlign w:val="bottom"/>
          </w:tcPr>
          <w:p w14:paraId="57ADD88B" w14:textId="77777777" w:rsidR="00924992" w:rsidRDefault="00924992">
            <w:pPr>
              <w:pStyle w:val="Other0"/>
              <w:framePr w:w="11443" w:h="5842" w:vSpace="216" w:wrap="none" w:hAnchor="page" w:x="615" w:y="351"/>
              <w:spacing w:line="240" w:lineRule="auto"/>
              <w:ind w:firstLine="0"/>
              <w:rPr>
                <w:sz w:val="16"/>
                <w:szCs w:val="16"/>
              </w:rPr>
            </w:pPr>
            <w:r>
              <w:rPr>
                <w:rFonts w:ascii="Times New Roman" w:eastAsia="Times New Roman" w:hAnsi="Times New Roman" w:cs="Times New Roman"/>
                <w:sz w:val="16"/>
                <w:szCs w:val="16"/>
              </w:rPr>
              <w:t>Síntomas neurológicos que incluyen</w:t>
            </w:r>
          </w:p>
        </w:tc>
        <w:tc>
          <w:tcPr>
            <w:tcW w:w="1493" w:type="dxa"/>
            <w:shd w:val="clear" w:color="auto" w:fill="FFFFFF"/>
            <w:vAlign w:val="bottom"/>
          </w:tcPr>
          <w:p w14:paraId="43591F71" w14:textId="77777777" w:rsidR="00924992" w:rsidRDefault="00924992">
            <w:pPr>
              <w:pStyle w:val="Other0"/>
              <w:framePr w:w="11443" w:h="5842" w:vSpace="216" w:wrap="none" w:hAnchor="page" w:x="615" w:y="351"/>
              <w:spacing w:line="240" w:lineRule="auto"/>
              <w:ind w:firstLine="0"/>
              <w:rPr>
                <w:sz w:val="16"/>
                <w:szCs w:val="16"/>
              </w:rPr>
            </w:pPr>
            <w:r>
              <w:rPr>
                <w:rFonts w:ascii="Times New Roman" w:eastAsia="Times New Roman" w:hAnsi="Times New Roman" w:cs="Times New Roman"/>
                <w:sz w:val="16"/>
                <w:szCs w:val="16"/>
              </w:rPr>
              <w:t>0-2 h</w:t>
            </w:r>
          </w:p>
        </w:tc>
        <w:tc>
          <w:tcPr>
            <w:tcW w:w="3595" w:type="dxa"/>
            <w:shd w:val="clear" w:color="auto" w:fill="FFFFFF"/>
            <w:vAlign w:val="bottom"/>
          </w:tcPr>
          <w:p w14:paraId="4D180ED0" w14:textId="77777777" w:rsidR="00924992" w:rsidRDefault="00924992">
            <w:pPr>
              <w:pStyle w:val="Other0"/>
              <w:framePr w:w="11443" w:h="5842" w:vSpace="216" w:wrap="none" w:hAnchor="page" w:x="615" w:y="351"/>
              <w:spacing w:line="240" w:lineRule="auto"/>
              <w:ind w:firstLine="280"/>
              <w:rPr>
                <w:sz w:val="16"/>
                <w:szCs w:val="16"/>
              </w:rPr>
            </w:pPr>
            <w:r>
              <w:rPr>
                <w:rFonts w:ascii="Times New Roman" w:eastAsia="Times New Roman" w:hAnsi="Times New Roman" w:cs="Times New Roman"/>
                <w:sz w:val="16"/>
                <w:szCs w:val="16"/>
              </w:rPr>
              <w:t>Toxinas de setas y hongos (comienzo temprano)</w:t>
            </w:r>
          </w:p>
        </w:tc>
        <w:tc>
          <w:tcPr>
            <w:tcW w:w="3547" w:type="dxa"/>
            <w:shd w:val="clear" w:color="auto" w:fill="FFFFFF"/>
            <w:vAlign w:val="bottom"/>
          </w:tcPr>
          <w:p w14:paraId="2EFD1675" w14:textId="77777777" w:rsidR="00924992" w:rsidRDefault="00924992">
            <w:pPr>
              <w:pStyle w:val="Other0"/>
              <w:framePr w:w="11443" w:h="5842" w:vSpace="216" w:wrap="none" w:hAnchor="page" w:x="615" w:y="351"/>
              <w:spacing w:line="240" w:lineRule="auto"/>
              <w:ind w:firstLine="0"/>
              <w:rPr>
                <w:sz w:val="16"/>
                <w:szCs w:val="16"/>
              </w:rPr>
            </w:pPr>
            <w:r>
              <w:rPr>
                <w:rFonts w:ascii="Times New Roman" w:eastAsia="Times New Roman" w:hAnsi="Times New Roman" w:cs="Times New Roman"/>
                <w:sz w:val="16"/>
                <w:szCs w:val="16"/>
              </w:rPr>
              <w:t>Setas</w:t>
            </w:r>
          </w:p>
        </w:tc>
      </w:tr>
      <w:tr w:rsidR="00924992" w14:paraId="65E6986F" w14:textId="77777777">
        <w:tblPrEx>
          <w:tblCellMar>
            <w:top w:w="0" w:type="dxa"/>
            <w:bottom w:w="0" w:type="dxa"/>
          </w:tblCellMar>
        </w:tblPrEx>
        <w:trPr>
          <w:trHeight w:hRule="exact" w:val="658"/>
        </w:trPr>
        <w:tc>
          <w:tcPr>
            <w:tcW w:w="2808" w:type="dxa"/>
            <w:shd w:val="clear" w:color="auto" w:fill="FFFFFF"/>
            <w:vAlign w:val="bottom"/>
          </w:tcPr>
          <w:p w14:paraId="1E7BCEF7" w14:textId="77777777" w:rsidR="00924992" w:rsidRDefault="00924992">
            <w:pPr>
              <w:pStyle w:val="Other0"/>
              <w:framePr w:w="11443" w:h="5842" w:vSpace="216" w:wrap="none" w:hAnchor="page" w:x="615" w:y="351"/>
              <w:spacing w:line="283" w:lineRule="auto"/>
              <w:ind w:left="160" w:firstLine="0"/>
              <w:rPr>
                <w:sz w:val="16"/>
                <w:szCs w:val="16"/>
              </w:rPr>
            </w:pPr>
            <w:r>
              <w:rPr>
                <w:rFonts w:ascii="Times New Roman" w:eastAsia="Times New Roman" w:hAnsi="Times New Roman" w:cs="Times New Roman"/>
                <w:sz w:val="16"/>
                <w:szCs w:val="16"/>
              </w:rPr>
              <w:t>confusión, hipersialorrea, alucinaciones y manifestaciones de vías gastrointestinales</w:t>
            </w:r>
          </w:p>
        </w:tc>
        <w:tc>
          <w:tcPr>
            <w:tcW w:w="8635" w:type="dxa"/>
            <w:gridSpan w:val="3"/>
            <w:shd w:val="clear" w:color="auto" w:fill="FFFFFF"/>
          </w:tcPr>
          <w:p w14:paraId="0EBF8F3C" w14:textId="77777777" w:rsidR="00924992" w:rsidRDefault="00924992">
            <w:pPr>
              <w:framePr w:w="11443" w:h="5842" w:vSpace="216" w:wrap="none" w:hAnchor="page" w:x="615" w:y="351"/>
              <w:rPr>
                <w:sz w:val="10"/>
                <w:szCs w:val="10"/>
              </w:rPr>
            </w:pPr>
          </w:p>
        </w:tc>
      </w:tr>
      <w:tr w:rsidR="00924992" w14:paraId="5301E655" w14:textId="77777777">
        <w:tblPrEx>
          <w:tblCellMar>
            <w:top w:w="0" w:type="dxa"/>
            <w:bottom w:w="0" w:type="dxa"/>
          </w:tblCellMar>
        </w:tblPrEx>
        <w:trPr>
          <w:trHeight w:hRule="exact" w:val="413"/>
        </w:trPr>
        <w:tc>
          <w:tcPr>
            <w:tcW w:w="2808" w:type="dxa"/>
            <w:shd w:val="clear" w:color="auto" w:fill="FFFFFF"/>
          </w:tcPr>
          <w:p w14:paraId="5A72B789" w14:textId="77777777" w:rsidR="00924992" w:rsidRDefault="00924992">
            <w:pPr>
              <w:pStyle w:val="Other0"/>
              <w:framePr w:w="11443" w:h="5842" w:vSpace="216" w:wrap="none" w:hAnchor="page" w:x="615" w:y="351"/>
              <w:spacing w:line="283" w:lineRule="auto"/>
              <w:ind w:left="160" w:hanging="160"/>
              <w:rPr>
                <w:sz w:val="16"/>
                <w:szCs w:val="16"/>
              </w:rPr>
            </w:pPr>
            <w:r>
              <w:rPr>
                <w:rFonts w:ascii="Times New Roman" w:eastAsia="Times New Roman" w:hAnsi="Times New Roman" w:cs="Times New Roman"/>
                <w:sz w:val="16"/>
                <w:szCs w:val="16"/>
              </w:rPr>
              <w:t>Cólicos abdominales moderados o intensos y diarrea acuosa,</w:t>
            </w:r>
          </w:p>
        </w:tc>
        <w:tc>
          <w:tcPr>
            <w:tcW w:w="1493" w:type="dxa"/>
            <w:shd w:val="clear" w:color="auto" w:fill="FFFFFF"/>
          </w:tcPr>
          <w:p w14:paraId="7DF7DB1B" w14:textId="77777777" w:rsidR="00924992" w:rsidRDefault="00924992">
            <w:pPr>
              <w:pStyle w:val="Other0"/>
              <w:framePr w:w="11443" w:h="5842" w:vSpace="216" w:wrap="none" w:hAnchor="page" w:x="615" w:y="351"/>
              <w:spacing w:line="240" w:lineRule="auto"/>
              <w:ind w:firstLine="0"/>
              <w:rPr>
                <w:sz w:val="16"/>
                <w:szCs w:val="16"/>
              </w:rPr>
            </w:pPr>
            <w:r>
              <w:rPr>
                <w:rFonts w:ascii="Times New Roman" w:eastAsia="Times New Roman" w:hAnsi="Times New Roman" w:cs="Times New Roman"/>
                <w:sz w:val="16"/>
                <w:szCs w:val="16"/>
              </w:rPr>
              <w:t>6-24 h</w:t>
            </w:r>
          </w:p>
        </w:tc>
        <w:tc>
          <w:tcPr>
            <w:tcW w:w="3595" w:type="dxa"/>
            <w:shd w:val="clear" w:color="auto" w:fill="FFFFFF"/>
          </w:tcPr>
          <w:p w14:paraId="289DA0EF" w14:textId="77777777" w:rsidR="00924992" w:rsidRDefault="00924992">
            <w:pPr>
              <w:pStyle w:val="Other0"/>
              <w:framePr w:w="11443" w:h="5842" w:vSpace="216" w:wrap="none" w:hAnchor="page" w:x="615" w:y="351"/>
              <w:spacing w:line="240" w:lineRule="auto"/>
              <w:ind w:firstLine="280"/>
              <w:rPr>
                <w:sz w:val="16"/>
                <w:szCs w:val="16"/>
              </w:rPr>
            </w:pPr>
            <w:r>
              <w:rPr>
                <w:rFonts w:ascii="Times New Roman" w:eastAsia="Times New Roman" w:hAnsi="Times New Roman" w:cs="Times New Roman"/>
                <w:sz w:val="16"/>
                <w:szCs w:val="16"/>
              </w:rPr>
              <w:t xml:space="preserve">Enterotoxina de </w:t>
            </w:r>
            <w:r>
              <w:rPr>
                <w:rFonts w:ascii="Times New Roman" w:eastAsia="Times New Roman" w:hAnsi="Times New Roman" w:cs="Times New Roman"/>
                <w:i/>
                <w:iCs/>
                <w:sz w:val="16"/>
                <w:szCs w:val="16"/>
              </w:rPr>
              <w:t>B. cereus</w:t>
            </w:r>
          </w:p>
        </w:tc>
        <w:tc>
          <w:tcPr>
            <w:tcW w:w="3547" w:type="dxa"/>
            <w:shd w:val="clear" w:color="auto" w:fill="FFFFFF"/>
          </w:tcPr>
          <w:p w14:paraId="4233A9B2" w14:textId="77777777" w:rsidR="00924992" w:rsidRDefault="00924992">
            <w:pPr>
              <w:pStyle w:val="Other0"/>
              <w:framePr w:w="11443" w:h="5842" w:vSpace="216" w:wrap="none" w:hAnchor="page" w:x="615" w:y="351"/>
              <w:spacing w:line="283" w:lineRule="auto"/>
              <w:ind w:left="200" w:hanging="200"/>
              <w:rPr>
                <w:sz w:val="16"/>
                <w:szCs w:val="16"/>
              </w:rPr>
            </w:pPr>
            <w:r>
              <w:rPr>
                <w:rFonts w:ascii="Times New Roman" w:eastAsia="Times New Roman" w:hAnsi="Times New Roman" w:cs="Times New Roman"/>
                <w:sz w:val="16"/>
                <w:szCs w:val="16"/>
              </w:rPr>
              <w:t>Carnes, potasios, salsas de carnes, salsa de vainilla</w:t>
            </w:r>
          </w:p>
        </w:tc>
      </w:tr>
      <w:tr w:rsidR="00924992" w14:paraId="6E368EC1" w14:textId="77777777">
        <w:tblPrEx>
          <w:tblCellMar>
            <w:top w:w="0" w:type="dxa"/>
            <w:bottom w:w="0" w:type="dxa"/>
          </w:tblCellMar>
        </w:tblPrEx>
        <w:trPr>
          <w:trHeight w:hRule="exact" w:val="451"/>
        </w:trPr>
        <w:tc>
          <w:tcPr>
            <w:tcW w:w="2808" w:type="dxa"/>
            <w:shd w:val="clear" w:color="auto" w:fill="FFFFFF"/>
          </w:tcPr>
          <w:p w14:paraId="0AEE2E76" w14:textId="77777777" w:rsidR="00924992" w:rsidRDefault="00924992">
            <w:pPr>
              <w:pStyle w:val="Other0"/>
              <w:framePr w:w="11443" w:h="5842" w:vSpace="216" w:wrap="none" w:hAnchor="page" w:x="615" w:y="351"/>
              <w:spacing w:line="240" w:lineRule="auto"/>
              <w:ind w:firstLine="160"/>
              <w:rPr>
                <w:sz w:val="16"/>
                <w:szCs w:val="16"/>
              </w:rPr>
            </w:pPr>
            <w:r>
              <w:rPr>
                <w:rFonts w:ascii="Times New Roman" w:eastAsia="Times New Roman" w:hAnsi="Times New Roman" w:cs="Times New Roman"/>
                <w:sz w:val="16"/>
                <w:szCs w:val="16"/>
              </w:rPr>
              <w:t>con vómitos</w:t>
            </w:r>
          </w:p>
        </w:tc>
        <w:tc>
          <w:tcPr>
            <w:tcW w:w="1493" w:type="dxa"/>
            <w:shd w:val="clear" w:color="auto" w:fill="FFFFFF"/>
          </w:tcPr>
          <w:p w14:paraId="6E7927B3" w14:textId="77777777" w:rsidR="00924992" w:rsidRDefault="00924992">
            <w:pPr>
              <w:framePr w:w="11443" w:h="5842" w:vSpace="216" w:wrap="none" w:hAnchor="page" w:x="615" w:y="351"/>
              <w:rPr>
                <w:sz w:val="10"/>
                <w:szCs w:val="10"/>
              </w:rPr>
            </w:pPr>
          </w:p>
        </w:tc>
        <w:tc>
          <w:tcPr>
            <w:tcW w:w="3595" w:type="dxa"/>
            <w:shd w:val="clear" w:color="auto" w:fill="FFFFFF"/>
          </w:tcPr>
          <w:p w14:paraId="38F4FF21" w14:textId="77777777" w:rsidR="00924992" w:rsidRDefault="00924992">
            <w:pPr>
              <w:pStyle w:val="Other0"/>
              <w:framePr w:w="11443" w:h="5842" w:vSpace="216" w:wrap="none" w:hAnchor="page" w:x="615" w:y="351"/>
              <w:spacing w:line="240" w:lineRule="auto"/>
              <w:ind w:firstLine="280"/>
              <w:rPr>
                <w:sz w:val="16"/>
                <w:szCs w:val="16"/>
              </w:rPr>
            </w:pPr>
            <w:r>
              <w:rPr>
                <w:rFonts w:ascii="Times New Roman" w:eastAsia="Times New Roman" w:hAnsi="Times New Roman" w:cs="Times New Roman"/>
                <w:sz w:val="16"/>
                <w:szCs w:val="16"/>
              </w:rPr>
              <w:t xml:space="preserve">Enterotoxina de </w:t>
            </w:r>
            <w:r>
              <w:rPr>
                <w:rFonts w:ascii="Times New Roman" w:eastAsia="Times New Roman" w:hAnsi="Times New Roman" w:cs="Times New Roman"/>
                <w:i/>
                <w:iCs/>
                <w:sz w:val="16"/>
                <w:szCs w:val="16"/>
              </w:rPr>
              <w:t>Clostridium perfringens</w:t>
            </w:r>
          </w:p>
        </w:tc>
        <w:tc>
          <w:tcPr>
            <w:tcW w:w="3547" w:type="dxa"/>
            <w:shd w:val="clear" w:color="auto" w:fill="FFFFFF"/>
            <w:vAlign w:val="bottom"/>
          </w:tcPr>
          <w:p w14:paraId="29EC6DA1" w14:textId="77777777" w:rsidR="00924992" w:rsidRDefault="00924992">
            <w:pPr>
              <w:pStyle w:val="Other0"/>
              <w:framePr w:w="11443" w:h="5842" w:vSpace="216" w:wrap="none" w:hAnchor="page" w:x="615" w:y="351"/>
              <w:spacing w:line="283" w:lineRule="auto"/>
              <w:ind w:left="200" w:hanging="200"/>
              <w:rPr>
                <w:sz w:val="16"/>
                <w:szCs w:val="16"/>
              </w:rPr>
            </w:pPr>
            <w:r>
              <w:rPr>
                <w:rFonts w:ascii="Times New Roman" w:eastAsia="Times New Roman" w:hAnsi="Times New Roman" w:cs="Times New Roman"/>
                <w:sz w:val="16"/>
                <w:szCs w:val="16"/>
              </w:rPr>
              <w:t>Carnes, aves de corral, salsa de carne, alimentos secos o precocidos</w:t>
            </w:r>
          </w:p>
        </w:tc>
      </w:tr>
      <w:tr w:rsidR="00924992" w14:paraId="341A68AE" w14:textId="77777777">
        <w:tblPrEx>
          <w:tblCellMar>
            <w:top w:w="0" w:type="dxa"/>
            <w:bottom w:w="0" w:type="dxa"/>
          </w:tblCellMar>
        </w:tblPrEx>
        <w:trPr>
          <w:trHeight w:hRule="exact" w:val="226"/>
        </w:trPr>
        <w:tc>
          <w:tcPr>
            <w:tcW w:w="2808" w:type="dxa"/>
            <w:shd w:val="clear" w:color="auto" w:fill="FFFFFF"/>
          </w:tcPr>
          <w:p w14:paraId="3E0F7714" w14:textId="77777777" w:rsidR="00924992" w:rsidRDefault="00924992">
            <w:pPr>
              <w:framePr w:w="11443" w:h="5842" w:vSpace="216" w:wrap="none" w:hAnchor="page" w:x="615" w:y="351"/>
              <w:rPr>
                <w:sz w:val="10"/>
                <w:szCs w:val="10"/>
              </w:rPr>
            </w:pPr>
          </w:p>
        </w:tc>
        <w:tc>
          <w:tcPr>
            <w:tcW w:w="1493" w:type="dxa"/>
            <w:shd w:val="clear" w:color="auto" w:fill="FFFFFF"/>
          </w:tcPr>
          <w:p w14:paraId="72580292" w14:textId="77777777" w:rsidR="00924992" w:rsidRDefault="00924992">
            <w:pPr>
              <w:pStyle w:val="Other0"/>
              <w:framePr w:w="11443" w:h="5842" w:vSpace="216" w:wrap="none" w:hAnchor="page" w:x="615" w:y="351"/>
              <w:spacing w:line="240" w:lineRule="auto"/>
              <w:ind w:firstLine="0"/>
              <w:rPr>
                <w:sz w:val="16"/>
                <w:szCs w:val="16"/>
              </w:rPr>
            </w:pPr>
            <w:r>
              <w:rPr>
                <w:rFonts w:ascii="Times New Roman" w:eastAsia="Times New Roman" w:hAnsi="Times New Roman" w:cs="Times New Roman"/>
                <w:sz w:val="16"/>
                <w:szCs w:val="16"/>
              </w:rPr>
              <w:t>16-72 h</w:t>
            </w:r>
          </w:p>
        </w:tc>
        <w:tc>
          <w:tcPr>
            <w:tcW w:w="3595" w:type="dxa"/>
            <w:shd w:val="clear" w:color="auto" w:fill="FFFFFF"/>
          </w:tcPr>
          <w:p w14:paraId="35677FBE" w14:textId="77777777" w:rsidR="00924992" w:rsidRDefault="00924992">
            <w:pPr>
              <w:pStyle w:val="Other0"/>
              <w:framePr w:w="11443" w:h="5842" w:vSpace="216" w:wrap="none" w:hAnchor="page" w:x="615" w:y="351"/>
              <w:spacing w:line="240" w:lineRule="auto"/>
              <w:ind w:firstLine="280"/>
              <w:rPr>
                <w:sz w:val="16"/>
                <w:szCs w:val="16"/>
              </w:rPr>
            </w:pPr>
            <w:r>
              <w:rPr>
                <w:rFonts w:ascii="Times New Roman" w:eastAsia="Times New Roman" w:hAnsi="Times New Roman" w:cs="Times New Roman"/>
                <w:sz w:val="16"/>
                <w:szCs w:val="16"/>
              </w:rPr>
              <w:t>Calicivirus que incluyen virus Norwalk</w:t>
            </w:r>
          </w:p>
        </w:tc>
        <w:tc>
          <w:tcPr>
            <w:tcW w:w="3547" w:type="dxa"/>
            <w:shd w:val="clear" w:color="auto" w:fill="FFFFFF"/>
          </w:tcPr>
          <w:p w14:paraId="5E9C7AA8" w14:textId="77777777" w:rsidR="00924992" w:rsidRDefault="00924992">
            <w:pPr>
              <w:pStyle w:val="Other0"/>
              <w:framePr w:w="11443" w:h="5842" w:vSpace="216" w:wrap="none" w:hAnchor="page" w:x="615" w:y="351"/>
              <w:spacing w:line="240" w:lineRule="auto"/>
              <w:ind w:firstLine="0"/>
              <w:rPr>
                <w:sz w:val="16"/>
                <w:szCs w:val="16"/>
              </w:rPr>
            </w:pPr>
            <w:r>
              <w:rPr>
                <w:rFonts w:ascii="Times New Roman" w:eastAsia="Times New Roman" w:hAnsi="Times New Roman" w:cs="Times New Roman"/>
                <w:sz w:val="16"/>
                <w:szCs w:val="16"/>
              </w:rPr>
              <w:t>Mariscos, ensaladas, hielo, galletitas dulces,</w:t>
            </w:r>
          </w:p>
        </w:tc>
      </w:tr>
    </w:tbl>
    <w:p w14:paraId="742EB965" w14:textId="77777777" w:rsidR="00924992" w:rsidRDefault="00924992">
      <w:pPr>
        <w:framePr w:w="11443" w:h="5842" w:vSpace="216" w:wrap="none" w:hAnchor="page" w:x="615" w:y="351"/>
        <w:spacing w:line="1" w:lineRule="exact"/>
      </w:pPr>
    </w:p>
    <w:p w14:paraId="3F8B3DE5" w14:textId="77777777" w:rsidR="00924992" w:rsidRDefault="00924992">
      <w:pPr>
        <w:pStyle w:val="Tablecaption0"/>
        <w:framePr w:w="1800" w:h="235" w:wrap="none" w:hAnchor="page" w:x="8693" w:y="6173"/>
        <w:spacing w:line="240" w:lineRule="auto"/>
        <w:ind w:left="0"/>
        <w:rPr>
          <w:sz w:val="16"/>
          <w:szCs w:val="16"/>
        </w:rPr>
      </w:pPr>
      <w:r>
        <w:rPr>
          <w:sz w:val="16"/>
          <w:szCs w:val="16"/>
        </w:rPr>
        <w:t>agua, emparedados, fruta</w:t>
      </w:r>
    </w:p>
    <w:p w14:paraId="5BD24ABD" w14:textId="77777777" w:rsidR="00924992" w:rsidRDefault="00924992">
      <w:pPr>
        <w:pStyle w:val="Bodytext80"/>
        <w:framePr w:w="192" w:h="3898" w:hRule="exact" w:wrap="none" w:hAnchor="page" w:x="12390" w:y="3001"/>
        <w:tabs>
          <w:tab w:val="left" w:pos="3581"/>
        </w:tabs>
        <w:textDirection w:val="tbRl"/>
        <w:rPr>
          <w:sz w:val="16"/>
          <w:szCs w:val="16"/>
        </w:rPr>
      </w:pPr>
      <w:r>
        <w:t>APÉNDICE VI</w:t>
      </w:r>
      <w:r>
        <w:tab/>
      </w:r>
      <w:r>
        <w:rPr>
          <w:sz w:val="16"/>
          <w:szCs w:val="16"/>
        </w:rPr>
        <w:t>847</w:t>
      </w:r>
    </w:p>
    <w:p w14:paraId="2D8A189E" w14:textId="77777777" w:rsidR="00924992" w:rsidRDefault="00924992">
      <w:pPr>
        <w:spacing w:line="360" w:lineRule="exact"/>
      </w:pPr>
    </w:p>
    <w:p w14:paraId="25DF24B7" w14:textId="77777777" w:rsidR="00924992" w:rsidRDefault="00924992">
      <w:pPr>
        <w:spacing w:line="360" w:lineRule="exact"/>
      </w:pPr>
    </w:p>
    <w:p w14:paraId="7C90469C" w14:textId="77777777" w:rsidR="00924992" w:rsidRDefault="00924992">
      <w:pPr>
        <w:spacing w:line="360" w:lineRule="exact"/>
      </w:pPr>
    </w:p>
    <w:p w14:paraId="45F1CF79" w14:textId="77777777" w:rsidR="00924992" w:rsidRDefault="00924992">
      <w:pPr>
        <w:spacing w:line="360" w:lineRule="exact"/>
      </w:pPr>
    </w:p>
    <w:p w14:paraId="68B13816" w14:textId="77777777" w:rsidR="00924992" w:rsidRDefault="00924992">
      <w:pPr>
        <w:spacing w:line="360" w:lineRule="exact"/>
      </w:pPr>
    </w:p>
    <w:p w14:paraId="71C189BE" w14:textId="77777777" w:rsidR="00924992" w:rsidRDefault="00924992">
      <w:pPr>
        <w:spacing w:line="360" w:lineRule="exact"/>
      </w:pPr>
    </w:p>
    <w:p w14:paraId="28CE317D" w14:textId="77777777" w:rsidR="00924992" w:rsidRDefault="00924992">
      <w:pPr>
        <w:spacing w:line="360" w:lineRule="exact"/>
      </w:pPr>
    </w:p>
    <w:p w14:paraId="094D5ECE" w14:textId="77777777" w:rsidR="00924992" w:rsidRDefault="00924992">
      <w:pPr>
        <w:spacing w:line="360" w:lineRule="exact"/>
      </w:pPr>
    </w:p>
    <w:p w14:paraId="783AC8DE" w14:textId="77777777" w:rsidR="00924992" w:rsidRDefault="00924992">
      <w:pPr>
        <w:spacing w:line="360" w:lineRule="exact"/>
      </w:pPr>
    </w:p>
    <w:p w14:paraId="0238EA28" w14:textId="77777777" w:rsidR="00924992" w:rsidRDefault="00924992">
      <w:pPr>
        <w:spacing w:line="360" w:lineRule="exact"/>
      </w:pPr>
    </w:p>
    <w:p w14:paraId="5C7BBD99" w14:textId="77777777" w:rsidR="00924992" w:rsidRDefault="00924992">
      <w:pPr>
        <w:spacing w:line="360" w:lineRule="exact"/>
      </w:pPr>
    </w:p>
    <w:p w14:paraId="122571DA" w14:textId="77777777" w:rsidR="00924992" w:rsidRDefault="00924992">
      <w:pPr>
        <w:spacing w:line="360" w:lineRule="exact"/>
      </w:pPr>
    </w:p>
    <w:p w14:paraId="418D6574" w14:textId="77777777" w:rsidR="00924992" w:rsidRDefault="00924992">
      <w:pPr>
        <w:spacing w:line="360" w:lineRule="exact"/>
      </w:pPr>
    </w:p>
    <w:p w14:paraId="6879E1E3" w14:textId="77777777" w:rsidR="00924992" w:rsidRDefault="00924992">
      <w:pPr>
        <w:spacing w:line="360" w:lineRule="exact"/>
      </w:pPr>
    </w:p>
    <w:p w14:paraId="26DBBDFF" w14:textId="77777777" w:rsidR="00924992" w:rsidRDefault="00924992">
      <w:pPr>
        <w:spacing w:line="360" w:lineRule="exact"/>
      </w:pPr>
    </w:p>
    <w:p w14:paraId="5714B521" w14:textId="77777777" w:rsidR="00924992" w:rsidRDefault="00924992">
      <w:pPr>
        <w:spacing w:line="360" w:lineRule="exact"/>
      </w:pPr>
    </w:p>
    <w:p w14:paraId="5075967E" w14:textId="77777777" w:rsidR="00924992" w:rsidRDefault="00924992">
      <w:pPr>
        <w:spacing w:line="360" w:lineRule="exact"/>
      </w:pPr>
    </w:p>
    <w:p w14:paraId="4A1B4201" w14:textId="77777777" w:rsidR="00924992" w:rsidRDefault="00924992">
      <w:pPr>
        <w:spacing w:after="661" w:line="1" w:lineRule="exact"/>
      </w:pPr>
    </w:p>
    <w:p w14:paraId="12BFFF3A" w14:textId="77777777" w:rsidR="00924992" w:rsidRDefault="00924992">
      <w:pPr>
        <w:spacing w:line="1" w:lineRule="exact"/>
        <w:sectPr w:rsidR="00924992" w:rsidSect="00924992">
          <w:headerReference w:type="even" r:id="rId509"/>
          <w:headerReference w:type="default" r:id="rId510"/>
          <w:footerReference w:type="even" r:id="rId511"/>
          <w:footerReference w:type="default" r:id="rId512"/>
          <w:footnotePr>
            <w:numFmt w:val="chicago"/>
          </w:footnotePr>
          <w:pgSz w:w="13022" w:h="8501" w:orient="landscape"/>
          <w:pgMar w:top="1099" w:right="441" w:bottom="620" w:left="614" w:header="671" w:footer="3" w:gutter="0"/>
          <w:pgNumType w:start="1033"/>
          <w:cols w:space="720"/>
          <w:noEndnote/>
          <w:docGrid w:linePitch="360"/>
          <w15:footnoteColumns w:val="1"/>
        </w:sectPr>
      </w:pPr>
    </w:p>
    <w:tbl>
      <w:tblPr>
        <w:tblOverlap w:val="never"/>
        <w:tblW w:w="0" w:type="auto"/>
        <w:tblLayout w:type="fixed"/>
        <w:tblCellMar>
          <w:left w:w="10" w:type="dxa"/>
          <w:right w:w="10" w:type="dxa"/>
        </w:tblCellMar>
        <w:tblLook w:val="04A0" w:firstRow="1" w:lastRow="0" w:firstColumn="1" w:lastColumn="0" w:noHBand="0" w:noVBand="1"/>
      </w:tblPr>
      <w:tblGrid>
        <w:gridCol w:w="2746"/>
        <w:gridCol w:w="1555"/>
        <w:gridCol w:w="3149"/>
        <w:gridCol w:w="3994"/>
      </w:tblGrid>
      <w:tr w:rsidR="00924992" w14:paraId="6AF049E0" w14:textId="77777777">
        <w:tblPrEx>
          <w:tblCellMar>
            <w:top w:w="0" w:type="dxa"/>
            <w:bottom w:w="0" w:type="dxa"/>
          </w:tblCellMar>
        </w:tblPrEx>
        <w:trPr>
          <w:trHeight w:hRule="exact" w:val="571"/>
        </w:trPr>
        <w:tc>
          <w:tcPr>
            <w:tcW w:w="2746" w:type="dxa"/>
            <w:shd w:val="clear" w:color="auto" w:fill="231F20"/>
          </w:tcPr>
          <w:p w14:paraId="6AAF05E5" w14:textId="77777777" w:rsidR="00924992" w:rsidRDefault="00924992">
            <w:pPr>
              <w:pStyle w:val="Other0"/>
              <w:framePr w:w="11443" w:h="5842" w:hSpace="514" w:vSpace="322" w:wrap="notBeside" w:vAnchor="text" w:hAnchor="text" w:y="323"/>
              <w:pBdr>
                <w:top w:val="single" w:sz="0" w:space="0" w:color="231F20"/>
                <w:left w:val="single" w:sz="0" w:space="0" w:color="231F20"/>
                <w:bottom w:val="single" w:sz="0" w:space="0" w:color="231F20"/>
                <w:right w:val="single" w:sz="0" w:space="0" w:color="231F20"/>
              </w:pBdr>
              <w:shd w:val="clear" w:color="auto" w:fill="231F20"/>
              <w:spacing w:line="240" w:lineRule="auto"/>
              <w:ind w:firstLine="0"/>
              <w:rPr>
                <w:sz w:val="24"/>
                <w:szCs w:val="24"/>
              </w:rPr>
            </w:pPr>
            <w:r>
              <w:rPr>
                <w:rFonts w:ascii="Arial" w:eastAsia="Arial" w:hAnsi="Arial" w:cs="Arial"/>
                <w:b/>
                <w:bCs/>
                <w:color w:val="FFFFFF"/>
                <w:w w:val="70"/>
                <w:sz w:val="24"/>
                <w:szCs w:val="24"/>
              </w:rPr>
              <w:t>Síndrome clínico</w:t>
            </w:r>
          </w:p>
        </w:tc>
        <w:tc>
          <w:tcPr>
            <w:tcW w:w="1555" w:type="dxa"/>
            <w:shd w:val="clear" w:color="auto" w:fill="231F20"/>
          </w:tcPr>
          <w:p w14:paraId="57821A60" w14:textId="77777777" w:rsidR="00924992" w:rsidRDefault="00924992">
            <w:pPr>
              <w:pStyle w:val="Other0"/>
              <w:framePr w:w="11443" w:h="5842" w:hSpace="514" w:vSpace="322" w:wrap="notBeside" w:vAnchor="text" w:hAnchor="text" w:y="323"/>
              <w:pBdr>
                <w:top w:val="single" w:sz="0" w:space="0" w:color="231F20"/>
                <w:left w:val="single" w:sz="0" w:space="0" w:color="231F20"/>
                <w:bottom w:val="single" w:sz="0" w:space="0" w:color="231F20"/>
                <w:right w:val="single" w:sz="0" w:space="0" w:color="231F20"/>
              </w:pBdr>
              <w:shd w:val="clear" w:color="auto" w:fill="231F20"/>
              <w:spacing w:line="204" w:lineRule="auto"/>
              <w:ind w:left="140"/>
              <w:rPr>
                <w:sz w:val="24"/>
                <w:szCs w:val="24"/>
              </w:rPr>
            </w:pPr>
            <w:r>
              <w:rPr>
                <w:rFonts w:ascii="Arial" w:eastAsia="Arial" w:hAnsi="Arial" w:cs="Arial"/>
                <w:b/>
                <w:bCs/>
                <w:color w:val="FFFFFF"/>
                <w:w w:val="70"/>
                <w:sz w:val="24"/>
                <w:szCs w:val="24"/>
              </w:rPr>
              <w:t>Periodo de incubación</w:t>
            </w:r>
          </w:p>
        </w:tc>
        <w:tc>
          <w:tcPr>
            <w:tcW w:w="3149" w:type="dxa"/>
            <w:shd w:val="clear" w:color="auto" w:fill="231F20"/>
          </w:tcPr>
          <w:p w14:paraId="353ABC34" w14:textId="77777777" w:rsidR="00924992" w:rsidRDefault="00924992">
            <w:pPr>
              <w:pStyle w:val="Other0"/>
              <w:framePr w:w="11443" w:h="5842" w:hSpace="514" w:vSpace="322" w:wrap="notBeside" w:vAnchor="text" w:hAnchor="text" w:y="323"/>
              <w:pBdr>
                <w:top w:val="single" w:sz="0" w:space="0" w:color="231F20"/>
                <w:left w:val="single" w:sz="0" w:space="0" w:color="231F20"/>
                <w:bottom w:val="single" w:sz="0" w:space="0" w:color="231F20"/>
                <w:right w:val="single" w:sz="0" w:space="0" w:color="231F20"/>
              </w:pBdr>
              <w:shd w:val="clear" w:color="auto" w:fill="231F20"/>
              <w:spacing w:line="240" w:lineRule="auto"/>
              <w:ind w:firstLine="280"/>
              <w:rPr>
                <w:sz w:val="24"/>
                <w:szCs w:val="24"/>
              </w:rPr>
            </w:pPr>
            <w:r>
              <w:rPr>
                <w:rFonts w:ascii="Arial" w:eastAsia="Arial" w:hAnsi="Arial" w:cs="Arial"/>
                <w:b/>
                <w:bCs/>
                <w:color w:val="FFFFFF"/>
                <w:w w:val="70"/>
                <w:sz w:val="24"/>
                <w:szCs w:val="24"/>
              </w:rPr>
              <w:t>Agentes causales</w:t>
            </w:r>
          </w:p>
        </w:tc>
        <w:tc>
          <w:tcPr>
            <w:tcW w:w="3994" w:type="dxa"/>
            <w:shd w:val="clear" w:color="auto" w:fill="231F20"/>
          </w:tcPr>
          <w:p w14:paraId="2952DCE0" w14:textId="77777777" w:rsidR="00924992" w:rsidRDefault="00924992">
            <w:pPr>
              <w:pStyle w:val="Other0"/>
              <w:framePr w:w="11443" w:h="5842" w:hSpace="514" w:vSpace="322" w:wrap="notBeside" w:vAnchor="text" w:hAnchor="text" w:y="323"/>
              <w:pBdr>
                <w:top w:val="single" w:sz="0" w:space="0" w:color="231F20"/>
                <w:left w:val="single" w:sz="0" w:space="0" w:color="231F20"/>
                <w:bottom w:val="single" w:sz="0" w:space="0" w:color="231F20"/>
                <w:right w:val="single" w:sz="0" w:space="0" w:color="231F20"/>
              </w:pBdr>
              <w:shd w:val="clear" w:color="auto" w:fill="231F20"/>
              <w:spacing w:line="240" w:lineRule="auto"/>
              <w:ind w:firstLine="540"/>
              <w:rPr>
                <w:sz w:val="24"/>
                <w:szCs w:val="24"/>
              </w:rPr>
            </w:pPr>
            <w:r>
              <w:rPr>
                <w:rFonts w:ascii="Arial" w:eastAsia="Arial" w:hAnsi="Arial" w:cs="Arial"/>
                <w:b/>
                <w:bCs/>
                <w:color w:val="FFFFFF"/>
                <w:w w:val="70"/>
                <w:sz w:val="24"/>
                <w:szCs w:val="24"/>
              </w:rPr>
              <w:t>Vehículos más frecuentes</w:t>
            </w:r>
          </w:p>
        </w:tc>
      </w:tr>
      <w:tr w:rsidR="00924992" w14:paraId="45309193" w14:textId="77777777">
        <w:tblPrEx>
          <w:tblCellMar>
            <w:top w:w="0" w:type="dxa"/>
            <w:bottom w:w="0" w:type="dxa"/>
          </w:tblCellMar>
        </w:tblPrEx>
        <w:trPr>
          <w:trHeight w:hRule="exact" w:val="274"/>
        </w:trPr>
        <w:tc>
          <w:tcPr>
            <w:tcW w:w="2746" w:type="dxa"/>
            <w:shd w:val="clear" w:color="auto" w:fill="FFFFFF"/>
          </w:tcPr>
          <w:p w14:paraId="1F4F01AD" w14:textId="77777777" w:rsidR="00924992" w:rsidRDefault="00924992">
            <w:pPr>
              <w:framePr w:w="11443" w:h="5842" w:hSpace="514" w:vSpace="322" w:wrap="notBeside" w:vAnchor="text" w:hAnchor="text" w:y="323"/>
              <w:rPr>
                <w:sz w:val="10"/>
                <w:szCs w:val="10"/>
              </w:rPr>
            </w:pPr>
          </w:p>
        </w:tc>
        <w:tc>
          <w:tcPr>
            <w:tcW w:w="1555" w:type="dxa"/>
            <w:shd w:val="clear" w:color="auto" w:fill="FFFFFF"/>
            <w:vAlign w:val="bottom"/>
          </w:tcPr>
          <w:p w14:paraId="35000185" w14:textId="77777777" w:rsidR="00924992" w:rsidRDefault="00924992">
            <w:pPr>
              <w:pStyle w:val="Other0"/>
              <w:framePr w:w="11443" w:h="5842" w:hSpace="514" w:vSpace="322" w:wrap="notBeside" w:vAnchor="text" w:hAnchor="text" w:y="323"/>
              <w:spacing w:line="240" w:lineRule="auto"/>
              <w:ind w:firstLine="140"/>
              <w:rPr>
                <w:sz w:val="16"/>
                <w:szCs w:val="16"/>
              </w:rPr>
            </w:pPr>
            <w:r>
              <w:rPr>
                <w:rFonts w:ascii="Times New Roman" w:eastAsia="Times New Roman" w:hAnsi="Times New Roman" w:cs="Times New Roman"/>
                <w:sz w:val="16"/>
                <w:szCs w:val="16"/>
              </w:rPr>
              <w:t>1-3 días</w:t>
            </w:r>
          </w:p>
        </w:tc>
        <w:tc>
          <w:tcPr>
            <w:tcW w:w="3149" w:type="dxa"/>
            <w:shd w:val="clear" w:color="auto" w:fill="FFFFFF"/>
            <w:vAlign w:val="bottom"/>
          </w:tcPr>
          <w:p w14:paraId="5C472395" w14:textId="77777777" w:rsidR="00924992" w:rsidRDefault="00924992">
            <w:pPr>
              <w:pStyle w:val="Other0"/>
              <w:framePr w:w="11443" w:h="5842" w:hSpace="514" w:vSpace="322" w:wrap="notBeside" w:vAnchor="text" w:hAnchor="text" w:y="323"/>
              <w:spacing w:line="240" w:lineRule="auto"/>
              <w:ind w:firstLine="280"/>
              <w:rPr>
                <w:sz w:val="16"/>
                <w:szCs w:val="16"/>
              </w:rPr>
            </w:pPr>
            <w:r>
              <w:rPr>
                <w:rFonts w:ascii="Times New Roman" w:eastAsia="Times New Roman" w:hAnsi="Times New Roman" w:cs="Times New Roman"/>
                <w:sz w:val="16"/>
                <w:szCs w:val="16"/>
              </w:rPr>
              <w:t>Rotavirus</w:t>
            </w:r>
          </w:p>
        </w:tc>
        <w:tc>
          <w:tcPr>
            <w:tcW w:w="3994" w:type="dxa"/>
            <w:shd w:val="clear" w:color="auto" w:fill="FFFFFF"/>
            <w:vAlign w:val="bottom"/>
          </w:tcPr>
          <w:p w14:paraId="302CE3EC" w14:textId="77777777" w:rsidR="00924992" w:rsidRDefault="00924992">
            <w:pPr>
              <w:pStyle w:val="Other0"/>
              <w:framePr w:w="11443" w:h="5842" w:hSpace="514" w:vSpace="322" w:wrap="notBeside" w:vAnchor="text" w:hAnchor="text" w:y="323"/>
              <w:spacing w:line="240" w:lineRule="auto"/>
              <w:ind w:firstLine="540"/>
              <w:rPr>
                <w:sz w:val="16"/>
                <w:szCs w:val="16"/>
              </w:rPr>
            </w:pPr>
            <w:r>
              <w:rPr>
                <w:rFonts w:ascii="Times New Roman" w:eastAsia="Times New Roman" w:hAnsi="Times New Roman" w:cs="Times New Roman"/>
                <w:sz w:val="16"/>
                <w:szCs w:val="16"/>
              </w:rPr>
              <w:t>Alimentos contaminados con heces (ensaladas,</w:t>
            </w:r>
          </w:p>
        </w:tc>
      </w:tr>
      <w:tr w:rsidR="00924992" w14:paraId="4804C03C" w14:textId="77777777">
        <w:tblPrEx>
          <w:tblCellMar>
            <w:top w:w="0" w:type="dxa"/>
            <w:bottom w:w="0" w:type="dxa"/>
          </w:tblCellMar>
        </w:tblPrEx>
        <w:trPr>
          <w:trHeight w:hRule="exact" w:val="446"/>
        </w:trPr>
        <w:tc>
          <w:tcPr>
            <w:tcW w:w="2746" w:type="dxa"/>
            <w:shd w:val="clear" w:color="auto" w:fill="FFFFFF"/>
          </w:tcPr>
          <w:p w14:paraId="734DA11F" w14:textId="77777777" w:rsidR="00924992" w:rsidRDefault="00924992">
            <w:pPr>
              <w:framePr w:w="11443" w:h="5842" w:hSpace="514" w:vSpace="322" w:wrap="notBeside" w:vAnchor="text" w:hAnchor="text" w:y="323"/>
              <w:rPr>
                <w:sz w:val="10"/>
                <w:szCs w:val="10"/>
              </w:rPr>
            </w:pPr>
          </w:p>
        </w:tc>
        <w:tc>
          <w:tcPr>
            <w:tcW w:w="1555" w:type="dxa"/>
            <w:shd w:val="clear" w:color="auto" w:fill="FFFFFF"/>
            <w:vAlign w:val="bottom"/>
          </w:tcPr>
          <w:p w14:paraId="042B119C" w14:textId="77777777" w:rsidR="00924992" w:rsidRDefault="00924992">
            <w:pPr>
              <w:pStyle w:val="Other0"/>
              <w:framePr w:w="11443" w:h="5842" w:hSpace="514" w:vSpace="322" w:wrap="notBeside" w:vAnchor="text" w:hAnchor="text" w:y="323"/>
              <w:spacing w:line="240" w:lineRule="auto"/>
              <w:ind w:firstLine="140"/>
              <w:rPr>
                <w:sz w:val="16"/>
                <w:szCs w:val="16"/>
              </w:rPr>
            </w:pPr>
            <w:r>
              <w:rPr>
                <w:rFonts w:ascii="Times New Roman" w:eastAsia="Times New Roman" w:hAnsi="Times New Roman" w:cs="Times New Roman"/>
                <w:sz w:val="16"/>
                <w:szCs w:val="16"/>
              </w:rPr>
              <w:t>1-4 días</w:t>
            </w:r>
          </w:p>
        </w:tc>
        <w:tc>
          <w:tcPr>
            <w:tcW w:w="3149" w:type="dxa"/>
            <w:shd w:val="clear" w:color="auto" w:fill="FFFFFF"/>
            <w:vAlign w:val="bottom"/>
          </w:tcPr>
          <w:p w14:paraId="034F3E28" w14:textId="77777777" w:rsidR="00924992" w:rsidRDefault="00924992">
            <w:pPr>
              <w:pStyle w:val="Other0"/>
              <w:framePr w:w="11443" w:h="5842" w:hSpace="514" w:vSpace="322" w:wrap="notBeside" w:vAnchor="text" w:hAnchor="text" w:y="323"/>
              <w:spacing w:line="240" w:lineRule="auto"/>
              <w:ind w:firstLine="280"/>
              <w:rPr>
                <w:sz w:val="16"/>
                <w:szCs w:val="16"/>
              </w:rPr>
            </w:pPr>
            <w:r>
              <w:rPr>
                <w:rFonts w:ascii="Times New Roman" w:eastAsia="Times New Roman" w:hAnsi="Times New Roman" w:cs="Times New Roman"/>
                <w:i/>
                <w:iCs/>
                <w:sz w:val="16"/>
                <w:szCs w:val="16"/>
              </w:rPr>
              <w:t>Escherichia coli</w:t>
            </w:r>
            <w:r>
              <w:rPr>
                <w:rFonts w:ascii="Times New Roman" w:eastAsia="Times New Roman" w:hAnsi="Times New Roman" w:cs="Times New Roman"/>
                <w:sz w:val="16"/>
                <w:szCs w:val="16"/>
              </w:rPr>
              <w:t xml:space="preserve"> enterotoxígena</w:t>
            </w:r>
          </w:p>
        </w:tc>
        <w:tc>
          <w:tcPr>
            <w:tcW w:w="3994" w:type="dxa"/>
            <w:shd w:val="clear" w:color="auto" w:fill="FFFFFF"/>
            <w:vAlign w:val="bottom"/>
          </w:tcPr>
          <w:p w14:paraId="121025A7" w14:textId="77777777" w:rsidR="00924992" w:rsidRDefault="00924992">
            <w:pPr>
              <w:pStyle w:val="Other0"/>
              <w:framePr w:w="11443" w:h="5842" w:hSpace="514" w:vSpace="322" w:wrap="notBeside" w:vAnchor="text" w:hAnchor="text" w:y="323"/>
              <w:spacing w:line="240" w:lineRule="auto"/>
              <w:ind w:firstLine="640"/>
              <w:rPr>
                <w:sz w:val="16"/>
                <w:szCs w:val="16"/>
              </w:rPr>
            </w:pPr>
            <w:r>
              <w:rPr>
                <w:rFonts w:ascii="Times New Roman" w:eastAsia="Times New Roman" w:hAnsi="Times New Roman" w:cs="Times New Roman"/>
                <w:sz w:val="16"/>
                <w:szCs w:val="16"/>
              </w:rPr>
              <w:t>frutas)</w:t>
            </w:r>
          </w:p>
          <w:p w14:paraId="10813617" w14:textId="77777777" w:rsidR="00924992" w:rsidRDefault="00924992">
            <w:pPr>
              <w:pStyle w:val="Other0"/>
              <w:framePr w:w="11443" w:h="5842" w:hSpace="514" w:vSpace="322" w:wrap="notBeside" w:vAnchor="text" w:hAnchor="text" w:y="323"/>
              <w:spacing w:line="240" w:lineRule="auto"/>
              <w:ind w:firstLine="540"/>
              <w:rPr>
                <w:sz w:val="16"/>
                <w:szCs w:val="16"/>
              </w:rPr>
            </w:pPr>
            <w:r>
              <w:rPr>
                <w:rFonts w:ascii="Times New Roman" w:eastAsia="Times New Roman" w:hAnsi="Times New Roman" w:cs="Times New Roman"/>
                <w:sz w:val="16"/>
                <w:szCs w:val="16"/>
              </w:rPr>
              <w:t>Frutas, verduras, agua</w:t>
            </w:r>
          </w:p>
        </w:tc>
      </w:tr>
      <w:tr w:rsidR="00924992" w14:paraId="14786B74" w14:textId="77777777">
        <w:tblPrEx>
          <w:tblCellMar>
            <w:top w:w="0" w:type="dxa"/>
            <w:bottom w:w="0" w:type="dxa"/>
          </w:tblCellMar>
        </w:tblPrEx>
        <w:trPr>
          <w:trHeight w:hRule="exact" w:val="235"/>
        </w:trPr>
        <w:tc>
          <w:tcPr>
            <w:tcW w:w="2746" w:type="dxa"/>
            <w:shd w:val="clear" w:color="auto" w:fill="FFFFFF"/>
          </w:tcPr>
          <w:p w14:paraId="794F9A41" w14:textId="77777777" w:rsidR="00924992" w:rsidRDefault="00924992">
            <w:pPr>
              <w:framePr w:w="11443" w:h="5842" w:hSpace="514" w:vSpace="322" w:wrap="notBeside" w:vAnchor="text" w:hAnchor="text" w:y="323"/>
              <w:rPr>
                <w:sz w:val="10"/>
                <w:szCs w:val="10"/>
              </w:rPr>
            </w:pPr>
          </w:p>
        </w:tc>
        <w:tc>
          <w:tcPr>
            <w:tcW w:w="1555" w:type="dxa"/>
            <w:shd w:val="clear" w:color="auto" w:fill="FFFFFF"/>
          </w:tcPr>
          <w:p w14:paraId="7DDDB55B" w14:textId="77777777" w:rsidR="00924992" w:rsidRDefault="00924992">
            <w:pPr>
              <w:pStyle w:val="Other0"/>
              <w:framePr w:w="11443" w:h="5842" w:hSpace="514" w:vSpace="322" w:wrap="notBeside" w:vAnchor="text" w:hAnchor="text" w:y="323"/>
              <w:spacing w:line="240" w:lineRule="auto"/>
              <w:ind w:firstLine="140"/>
              <w:rPr>
                <w:sz w:val="16"/>
                <w:szCs w:val="16"/>
              </w:rPr>
            </w:pPr>
            <w:r>
              <w:rPr>
                <w:rFonts w:ascii="Times New Roman" w:eastAsia="Times New Roman" w:hAnsi="Times New Roman" w:cs="Times New Roman"/>
                <w:sz w:val="16"/>
                <w:szCs w:val="16"/>
              </w:rPr>
              <w:t>1-5 días</w:t>
            </w:r>
          </w:p>
        </w:tc>
        <w:tc>
          <w:tcPr>
            <w:tcW w:w="3149" w:type="dxa"/>
            <w:shd w:val="clear" w:color="auto" w:fill="FFFFFF"/>
          </w:tcPr>
          <w:p w14:paraId="3D836D1A" w14:textId="77777777" w:rsidR="00924992" w:rsidRDefault="00924992">
            <w:pPr>
              <w:pStyle w:val="Other0"/>
              <w:framePr w:w="11443" w:h="5842" w:hSpace="514" w:vSpace="322" w:wrap="notBeside" w:vAnchor="text" w:hAnchor="text" w:y="323"/>
              <w:spacing w:line="240" w:lineRule="auto"/>
              <w:ind w:firstLine="280"/>
              <w:rPr>
                <w:sz w:val="16"/>
                <w:szCs w:val="16"/>
              </w:rPr>
            </w:pPr>
            <w:r>
              <w:rPr>
                <w:rFonts w:ascii="Times New Roman" w:eastAsia="Times New Roman" w:hAnsi="Times New Roman" w:cs="Times New Roman"/>
                <w:i/>
                <w:iCs/>
                <w:sz w:val="16"/>
                <w:szCs w:val="16"/>
              </w:rPr>
              <w:t>Vibrio cholerae</w:t>
            </w:r>
            <w:r>
              <w:rPr>
                <w:rFonts w:ascii="Times New Roman" w:eastAsia="Times New Roman" w:hAnsi="Times New Roman" w:cs="Times New Roman"/>
                <w:sz w:val="16"/>
                <w:szCs w:val="16"/>
              </w:rPr>
              <w:t xml:space="preserve"> O1 y O139</w:t>
            </w:r>
          </w:p>
        </w:tc>
        <w:tc>
          <w:tcPr>
            <w:tcW w:w="3994" w:type="dxa"/>
            <w:shd w:val="clear" w:color="auto" w:fill="FFFFFF"/>
          </w:tcPr>
          <w:p w14:paraId="75FD60D3" w14:textId="77777777" w:rsidR="00924992" w:rsidRDefault="00924992">
            <w:pPr>
              <w:pStyle w:val="Other0"/>
              <w:framePr w:w="11443" w:h="5842" w:hSpace="514" w:vSpace="322" w:wrap="notBeside" w:vAnchor="text" w:hAnchor="text" w:y="323"/>
              <w:spacing w:line="240" w:lineRule="auto"/>
              <w:ind w:firstLine="540"/>
              <w:rPr>
                <w:sz w:val="16"/>
                <w:szCs w:val="16"/>
              </w:rPr>
            </w:pPr>
            <w:r>
              <w:rPr>
                <w:rFonts w:ascii="Times New Roman" w:eastAsia="Times New Roman" w:hAnsi="Times New Roman" w:cs="Times New Roman"/>
                <w:sz w:val="16"/>
                <w:szCs w:val="16"/>
              </w:rPr>
              <w:t>Mariscos (incluidos cangrejos y camarones),</w:t>
            </w:r>
          </w:p>
        </w:tc>
      </w:tr>
      <w:tr w:rsidR="00924992" w14:paraId="469F1728" w14:textId="77777777">
        <w:tblPrEx>
          <w:tblCellMar>
            <w:top w:w="0" w:type="dxa"/>
            <w:bottom w:w="0" w:type="dxa"/>
          </w:tblCellMar>
        </w:tblPrEx>
        <w:trPr>
          <w:trHeight w:hRule="exact" w:val="629"/>
        </w:trPr>
        <w:tc>
          <w:tcPr>
            <w:tcW w:w="2746" w:type="dxa"/>
            <w:shd w:val="clear" w:color="auto" w:fill="FFFFFF"/>
          </w:tcPr>
          <w:p w14:paraId="6ABEEAB9" w14:textId="77777777" w:rsidR="00924992" w:rsidRDefault="00924992">
            <w:pPr>
              <w:framePr w:w="11443" w:h="5842" w:hSpace="514" w:vSpace="322" w:wrap="notBeside" w:vAnchor="text" w:hAnchor="text" w:y="323"/>
              <w:rPr>
                <w:sz w:val="10"/>
                <w:szCs w:val="10"/>
              </w:rPr>
            </w:pPr>
          </w:p>
        </w:tc>
        <w:tc>
          <w:tcPr>
            <w:tcW w:w="1555" w:type="dxa"/>
            <w:shd w:val="clear" w:color="auto" w:fill="FFFFFF"/>
            <w:vAlign w:val="bottom"/>
          </w:tcPr>
          <w:p w14:paraId="393FB424" w14:textId="77777777" w:rsidR="00924992" w:rsidRDefault="00924992">
            <w:pPr>
              <w:pStyle w:val="Other0"/>
              <w:framePr w:w="11443" w:h="5842" w:hSpace="514" w:vSpace="322" w:wrap="notBeside" w:vAnchor="text" w:hAnchor="text" w:y="323"/>
              <w:spacing w:line="240" w:lineRule="auto"/>
              <w:ind w:firstLine="140"/>
              <w:rPr>
                <w:sz w:val="16"/>
                <w:szCs w:val="16"/>
              </w:rPr>
            </w:pPr>
            <w:r>
              <w:rPr>
                <w:rFonts w:ascii="Times New Roman" w:eastAsia="Times New Roman" w:hAnsi="Times New Roman" w:cs="Times New Roman"/>
                <w:sz w:val="16"/>
                <w:szCs w:val="16"/>
              </w:rPr>
              <w:t>1-14 días</w:t>
            </w:r>
          </w:p>
        </w:tc>
        <w:tc>
          <w:tcPr>
            <w:tcW w:w="3149" w:type="dxa"/>
            <w:shd w:val="clear" w:color="auto" w:fill="FFFFFF"/>
            <w:vAlign w:val="bottom"/>
          </w:tcPr>
          <w:p w14:paraId="5BEEA95C" w14:textId="77777777" w:rsidR="00924992" w:rsidRDefault="00924992">
            <w:pPr>
              <w:pStyle w:val="Other0"/>
              <w:framePr w:w="11443" w:h="5842" w:hSpace="514" w:vSpace="322" w:wrap="notBeside" w:vAnchor="text" w:hAnchor="text" w:y="323"/>
              <w:spacing w:line="283" w:lineRule="auto"/>
              <w:ind w:left="280" w:firstLine="0"/>
              <w:rPr>
                <w:sz w:val="16"/>
                <w:szCs w:val="16"/>
              </w:rPr>
            </w:pPr>
            <w:r>
              <w:rPr>
                <w:rFonts w:ascii="Times New Roman" w:eastAsia="Times New Roman" w:hAnsi="Times New Roman" w:cs="Times New Roman"/>
                <w:i/>
                <w:iCs/>
                <w:sz w:val="16"/>
                <w:szCs w:val="16"/>
              </w:rPr>
              <w:t>V cholerae</w:t>
            </w:r>
            <w:r>
              <w:rPr>
                <w:rFonts w:ascii="Times New Roman" w:eastAsia="Times New Roman" w:hAnsi="Times New Roman" w:cs="Times New Roman"/>
                <w:sz w:val="16"/>
                <w:szCs w:val="16"/>
              </w:rPr>
              <w:t xml:space="preserve"> que no pertenece a O1 Especies de </w:t>
            </w:r>
            <w:r>
              <w:rPr>
                <w:rFonts w:ascii="Times New Roman" w:eastAsia="Times New Roman" w:hAnsi="Times New Roman" w:cs="Times New Roman"/>
                <w:i/>
                <w:iCs/>
                <w:sz w:val="16"/>
                <w:szCs w:val="16"/>
              </w:rPr>
              <w:t>Cyclospora</w:t>
            </w:r>
          </w:p>
        </w:tc>
        <w:tc>
          <w:tcPr>
            <w:tcW w:w="3994" w:type="dxa"/>
            <w:shd w:val="clear" w:color="auto" w:fill="FFFFFF"/>
            <w:vAlign w:val="bottom"/>
          </w:tcPr>
          <w:p w14:paraId="6DE417EB" w14:textId="77777777" w:rsidR="00924992" w:rsidRDefault="00924992">
            <w:pPr>
              <w:pStyle w:val="Other0"/>
              <w:framePr w:w="11443" w:h="5842" w:hSpace="514" w:vSpace="322" w:wrap="notBeside" w:vAnchor="text" w:hAnchor="text" w:y="323"/>
              <w:spacing w:after="40" w:line="240" w:lineRule="auto"/>
              <w:ind w:firstLine="640"/>
              <w:rPr>
                <w:sz w:val="16"/>
                <w:szCs w:val="16"/>
              </w:rPr>
            </w:pPr>
            <w:r>
              <w:rPr>
                <w:rFonts w:ascii="Times New Roman" w:eastAsia="Times New Roman" w:hAnsi="Times New Roman" w:cs="Times New Roman"/>
                <w:sz w:val="16"/>
                <w:szCs w:val="16"/>
              </w:rPr>
              <w:t>peces, agua</w:t>
            </w:r>
          </w:p>
          <w:p w14:paraId="627688FB" w14:textId="77777777" w:rsidR="00924992" w:rsidRDefault="00924992">
            <w:pPr>
              <w:pStyle w:val="Other0"/>
              <w:framePr w:w="11443" w:h="5842" w:hSpace="514" w:vSpace="322" w:wrap="notBeside" w:vAnchor="text" w:hAnchor="text" w:y="323"/>
              <w:spacing w:after="40" w:line="240" w:lineRule="auto"/>
              <w:ind w:firstLine="540"/>
              <w:rPr>
                <w:sz w:val="16"/>
                <w:szCs w:val="16"/>
              </w:rPr>
            </w:pPr>
            <w:r>
              <w:rPr>
                <w:rFonts w:ascii="Times New Roman" w:eastAsia="Times New Roman" w:hAnsi="Times New Roman" w:cs="Times New Roman"/>
                <w:sz w:val="16"/>
                <w:szCs w:val="16"/>
              </w:rPr>
              <w:t>Mariscos</w:t>
            </w:r>
          </w:p>
          <w:p w14:paraId="7871F3B3" w14:textId="77777777" w:rsidR="00924992" w:rsidRDefault="00924992">
            <w:pPr>
              <w:pStyle w:val="Other0"/>
              <w:framePr w:w="11443" w:h="5842" w:hSpace="514" w:vSpace="322" w:wrap="notBeside" w:vAnchor="text" w:hAnchor="text" w:y="323"/>
              <w:spacing w:after="40" w:line="240" w:lineRule="auto"/>
              <w:ind w:firstLine="540"/>
              <w:rPr>
                <w:sz w:val="16"/>
                <w:szCs w:val="16"/>
              </w:rPr>
            </w:pPr>
            <w:r>
              <w:rPr>
                <w:rFonts w:ascii="Times New Roman" w:eastAsia="Times New Roman" w:hAnsi="Times New Roman" w:cs="Times New Roman"/>
                <w:sz w:val="16"/>
                <w:szCs w:val="16"/>
              </w:rPr>
              <w:t>Frambuesas, verduras, agua</w:t>
            </w:r>
          </w:p>
        </w:tc>
      </w:tr>
      <w:tr w:rsidR="00924992" w14:paraId="59E58933" w14:textId="77777777">
        <w:tblPrEx>
          <w:tblCellMar>
            <w:top w:w="0" w:type="dxa"/>
            <w:bottom w:w="0" w:type="dxa"/>
          </w:tblCellMar>
        </w:tblPrEx>
        <w:trPr>
          <w:trHeight w:hRule="exact" w:val="216"/>
        </w:trPr>
        <w:tc>
          <w:tcPr>
            <w:tcW w:w="2746" w:type="dxa"/>
            <w:shd w:val="clear" w:color="auto" w:fill="FFFFFF"/>
          </w:tcPr>
          <w:p w14:paraId="6048408E" w14:textId="77777777" w:rsidR="00924992" w:rsidRDefault="00924992">
            <w:pPr>
              <w:framePr w:w="11443" w:h="5842" w:hSpace="514" w:vSpace="322" w:wrap="notBeside" w:vAnchor="text" w:hAnchor="text" w:y="323"/>
              <w:rPr>
                <w:sz w:val="10"/>
                <w:szCs w:val="10"/>
              </w:rPr>
            </w:pPr>
          </w:p>
        </w:tc>
        <w:tc>
          <w:tcPr>
            <w:tcW w:w="1555" w:type="dxa"/>
            <w:shd w:val="clear" w:color="auto" w:fill="FFFFFF"/>
          </w:tcPr>
          <w:p w14:paraId="4EE17E6C" w14:textId="77777777" w:rsidR="00924992" w:rsidRDefault="00924992">
            <w:pPr>
              <w:pStyle w:val="Other0"/>
              <w:framePr w:w="11443" w:h="5842" w:hSpace="514" w:vSpace="322" w:wrap="notBeside" w:vAnchor="text" w:hAnchor="text" w:y="323"/>
              <w:spacing w:line="240" w:lineRule="auto"/>
              <w:ind w:firstLine="140"/>
              <w:rPr>
                <w:sz w:val="16"/>
                <w:szCs w:val="16"/>
              </w:rPr>
            </w:pPr>
            <w:r>
              <w:rPr>
                <w:rFonts w:ascii="Times New Roman" w:eastAsia="Times New Roman" w:hAnsi="Times New Roman" w:cs="Times New Roman"/>
                <w:sz w:val="16"/>
                <w:szCs w:val="16"/>
              </w:rPr>
              <w:t>2-14 días</w:t>
            </w:r>
          </w:p>
        </w:tc>
        <w:tc>
          <w:tcPr>
            <w:tcW w:w="3149" w:type="dxa"/>
            <w:shd w:val="clear" w:color="auto" w:fill="FFFFFF"/>
          </w:tcPr>
          <w:p w14:paraId="3BBBD239" w14:textId="77777777" w:rsidR="00924992" w:rsidRDefault="00924992">
            <w:pPr>
              <w:pStyle w:val="Other0"/>
              <w:framePr w:w="11443" w:h="5842" w:hSpace="514" w:vSpace="322" w:wrap="notBeside" w:vAnchor="text" w:hAnchor="text" w:y="323"/>
              <w:spacing w:line="240" w:lineRule="auto"/>
              <w:ind w:left="280" w:firstLine="0"/>
              <w:rPr>
                <w:sz w:val="16"/>
                <w:szCs w:val="16"/>
              </w:rPr>
            </w:pPr>
            <w:r>
              <w:rPr>
                <w:rFonts w:ascii="Times New Roman" w:eastAsia="Times New Roman" w:hAnsi="Times New Roman" w:cs="Times New Roman"/>
                <w:sz w:val="16"/>
                <w:szCs w:val="16"/>
              </w:rPr>
              <w:t xml:space="preserve">Especies de </w:t>
            </w:r>
            <w:r>
              <w:rPr>
                <w:rFonts w:ascii="Times New Roman" w:eastAsia="Times New Roman" w:hAnsi="Times New Roman" w:cs="Times New Roman"/>
                <w:i/>
                <w:iCs/>
                <w:sz w:val="16"/>
                <w:szCs w:val="16"/>
              </w:rPr>
              <w:t>Cryptosporidium</w:t>
            </w:r>
          </w:p>
        </w:tc>
        <w:tc>
          <w:tcPr>
            <w:tcW w:w="3994" w:type="dxa"/>
            <w:shd w:val="clear" w:color="auto" w:fill="FFFFFF"/>
          </w:tcPr>
          <w:p w14:paraId="2F7C9825" w14:textId="77777777" w:rsidR="00924992" w:rsidRDefault="00924992">
            <w:pPr>
              <w:pStyle w:val="Other0"/>
              <w:framePr w:w="11443" w:h="5842" w:hSpace="514" w:vSpace="322" w:wrap="notBeside" w:vAnchor="text" w:hAnchor="text" w:y="323"/>
              <w:spacing w:line="240" w:lineRule="auto"/>
              <w:ind w:firstLine="540"/>
              <w:rPr>
                <w:sz w:val="16"/>
                <w:szCs w:val="16"/>
              </w:rPr>
            </w:pPr>
            <w:r>
              <w:rPr>
                <w:rFonts w:ascii="Times New Roman" w:eastAsia="Times New Roman" w:hAnsi="Times New Roman" w:cs="Times New Roman"/>
                <w:sz w:val="16"/>
                <w:szCs w:val="16"/>
              </w:rPr>
              <w:t>Verduras, frutas, leche, agua</w:t>
            </w:r>
          </w:p>
        </w:tc>
      </w:tr>
      <w:tr w:rsidR="00924992" w14:paraId="1A5165BD" w14:textId="77777777">
        <w:tblPrEx>
          <w:tblCellMar>
            <w:top w:w="0" w:type="dxa"/>
            <w:bottom w:w="0" w:type="dxa"/>
          </w:tblCellMar>
        </w:tblPrEx>
        <w:trPr>
          <w:trHeight w:hRule="exact" w:val="202"/>
        </w:trPr>
        <w:tc>
          <w:tcPr>
            <w:tcW w:w="2746" w:type="dxa"/>
            <w:shd w:val="clear" w:color="auto" w:fill="FFFFFF"/>
          </w:tcPr>
          <w:p w14:paraId="55CD477D" w14:textId="77777777" w:rsidR="00924992" w:rsidRDefault="00924992">
            <w:pPr>
              <w:framePr w:w="11443" w:h="5842" w:hSpace="514" w:vSpace="322" w:wrap="notBeside" w:vAnchor="text" w:hAnchor="text" w:y="323"/>
              <w:rPr>
                <w:sz w:val="10"/>
                <w:szCs w:val="10"/>
              </w:rPr>
            </w:pPr>
          </w:p>
        </w:tc>
        <w:tc>
          <w:tcPr>
            <w:tcW w:w="1555" w:type="dxa"/>
            <w:shd w:val="clear" w:color="auto" w:fill="FFFFFF"/>
          </w:tcPr>
          <w:p w14:paraId="3F3C57B5" w14:textId="77777777" w:rsidR="00924992" w:rsidRDefault="00924992">
            <w:pPr>
              <w:pStyle w:val="Other0"/>
              <w:framePr w:w="11443" w:h="5842" w:hSpace="514" w:vSpace="322" w:wrap="notBeside" w:vAnchor="text" w:hAnchor="text" w:y="323"/>
              <w:spacing w:line="240" w:lineRule="auto"/>
              <w:ind w:firstLine="140"/>
              <w:rPr>
                <w:sz w:val="16"/>
                <w:szCs w:val="16"/>
              </w:rPr>
            </w:pPr>
            <w:r>
              <w:rPr>
                <w:rFonts w:ascii="Times New Roman" w:eastAsia="Times New Roman" w:hAnsi="Times New Roman" w:cs="Times New Roman"/>
                <w:sz w:val="16"/>
                <w:szCs w:val="16"/>
              </w:rPr>
              <w:t>1-4 semanas</w:t>
            </w:r>
          </w:p>
        </w:tc>
        <w:tc>
          <w:tcPr>
            <w:tcW w:w="3149" w:type="dxa"/>
            <w:shd w:val="clear" w:color="auto" w:fill="FFFFFF"/>
          </w:tcPr>
          <w:p w14:paraId="08FD97AB" w14:textId="77777777" w:rsidR="00924992" w:rsidRDefault="00924992">
            <w:pPr>
              <w:pStyle w:val="Other0"/>
              <w:framePr w:w="11443" w:h="5842" w:hSpace="514" w:vSpace="322" w:wrap="notBeside" w:vAnchor="text" w:hAnchor="text" w:y="323"/>
              <w:spacing w:line="240" w:lineRule="auto"/>
              <w:ind w:left="280" w:firstLine="0"/>
              <w:rPr>
                <w:sz w:val="16"/>
                <w:szCs w:val="16"/>
              </w:rPr>
            </w:pPr>
            <w:r>
              <w:rPr>
                <w:rFonts w:ascii="Times New Roman" w:eastAsia="Times New Roman" w:hAnsi="Times New Roman" w:cs="Times New Roman"/>
                <w:i/>
                <w:iCs/>
                <w:sz w:val="16"/>
                <w:szCs w:val="16"/>
              </w:rPr>
              <w:t>Giardia lamblia</w:t>
            </w:r>
          </w:p>
        </w:tc>
        <w:tc>
          <w:tcPr>
            <w:tcW w:w="3994" w:type="dxa"/>
            <w:shd w:val="clear" w:color="auto" w:fill="FFFFFF"/>
          </w:tcPr>
          <w:p w14:paraId="03B03798" w14:textId="77777777" w:rsidR="00924992" w:rsidRDefault="00924992">
            <w:pPr>
              <w:pStyle w:val="Other0"/>
              <w:framePr w:w="11443" w:h="5842" w:hSpace="514" w:vSpace="322" w:wrap="notBeside" w:vAnchor="text" w:hAnchor="text" w:y="323"/>
              <w:spacing w:line="240" w:lineRule="auto"/>
              <w:ind w:firstLine="540"/>
              <w:rPr>
                <w:sz w:val="16"/>
                <w:szCs w:val="16"/>
              </w:rPr>
            </w:pPr>
            <w:r>
              <w:rPr>
                <w:rFonts w:ascii="Times New Roman" w:eastAsia="Times New Roman" w:hAnsi="Times New Roman" w:cs="Times New Roman"/>
                <w:sz w:val="16"/>
                <w:szCs w:val="16"/>
              </w:rPr>
              <w:t>Agua, fuentes de alimento</w:t>
            </w:r>
          </w:p>
        </w:tc>
      </w:tr>
      <w:tr w:rsidR="00924992" w14:paraId="011AF7BA" w14:textId="77777777">
        <w:tblPrEx>
          <w:tblCellMar>
            <w:top w:w="0" w:type="dxa"/>
            <w:bottom w:w="0" w:type="dxa"/>
          </w:tblCellMar>
        </w:tblPrEx>
        <w:trPr>
          <w:trHeight w:hRule="exact" w:val="216"/>
        </w:trPr>
        <w:tc>
          <w:tcPr>
            <w:tcW w:w="2746" w:type="dxa"/>
            <w:shd w:val="clear" w:color="auto" w:fill="FFFFFF"/>
            <w:vAlign w:val="bottom"/>
          </w:tcPr>
          <w:p w14:paraId="3FB8BAE2" w14:textId="77777777" w:rsidR="00924992" w:rsidRDefault="00924992">
            <w:pPr>
              <w:pStyle w:val="Other0"/>
              <w:framePr w:w="11443" w:h="5842" w:hSpace="514" w:vSpace="322" w:wrap="notBeside" w:vAnchor="text" w:hAnchor="text" w:y="323"/>
              <w:spacing w:line="240" w:lineRule="auto"/>
              <w:ind w:firstLine="0"/>
              <w:rPr>
                <w:sz w:val="16"/>
                <w:szCs w:val="16"/>
              </w:rPr>
            </w:pPr>
            <w:r>
              <w:rPr>
                <w:rFonts w:ascii="Times New Roman" w:eastAsia="Times New Roman" w:hAnsi="Times New Roman" w:cs="Times New Roman"/>
                <w:sz w:val="16"/>
                <w:szCs w:val="16"/>
              </w:rPr>
              <w:t>Diarrea, fiebre, cólicos abdominales,</w:t>
            </w:r>
          </w:p>
        </w:tc>
        <w:tc>
          <w:tcPr>
            <w:tcW w:w="1555" w:type="dxa"/>
            <w:shd w:val="clear" w:color="auto" w:fill="FFFFFF"/>
            <w:vAlign w:val="bottom"/>
          </w:tcPr>
          <w:p w14:paraId="2CE644EC" w14:textId="77777777" w:rsidR="00924992" w:rsidRDefault="00924992">
            <w:pPr>
              <w:pStyle w:val="Other0"/>
              <w:framePr w:w="11443" w:h="5842" w:hSpace="514" w:vSpace="322" w:wrap="notBeside" w:vAnchor="text" w:hAnchor="text" w:y="323"/>
              <w:spacing w:line="240" w:lineRule="auto"/>
              <w:ind w:firstLine="140"/>
              <w:rPr>
                <w:sz w:val="16"/>
                <w:szCs w:val="16"/>
              </w:rPr>
            </w:pPr>
            <w:r>
              <w:rPr>
                <w:rFonts w:ascii="Times New Roman" w:eastAsia="Times New Roman" w:hAnsi="Times New Roman" w:cs="Times New Roman"/>
                <w:sz w:val="16"/>
                <w:szCs w:val="16"/>
              </w:rPr>
              <w:t>16-</w:t>
            </w:r>
            <w:r>
              <w:rPr>
                <w:rFonts w:ascii="Times New Roman" w:eastAsia="Times New Roman" w:hAnsi="Times New Roman" w:cs="Times New Roman"/>
                <w:sz w:val="20"/>
                <w:szCs w:val="20"/>
              </w:rPr>
              <w:t>&gt;</w:t>
            </w:r>
            <w:r>
              <w:rPr>
                <w:rFonts w:ascii="Times New Roman" w:eastAsia="Times New Roman" w:hAnsi="Times New Roman" w:cs="Times New Roman"/>
                <w:sz w:val="16"/>
                <w:szCs w:val="16"/>
              </w:rPr>
              <w:t>72 h</w:t>
            </w:r>
          </w:p>
        </w:tc>
        <w:tc>
          <w:tcPr>
            <w:tcW w:w="3149" w:type="dxa"/>
            <w:shd w:val="clear" w:color="auto" w:fill="FFFFFF"/>
            <w:vAlign w:val="bottom"/>
          </w:tcPr>
          <w:p w14:paraId="18EEDCE4" w14:textId="77777777" w:rsidR="00924992" w:rsidRDefault="00924992">
            <w:pPr>
              <w:pStyle w:val="Other0"/>
              <w:framePr w:w="11443" w:h="5842" w:hSpace="514" w:vSpace="322" w:wrap="notBeside" w:vAnchor="text" w:hAnchor="text" w:y="323"/>
              <w:spacing w:line="240" w:lineRule="auto"/>
              <w:ind w:left="280" w:firstLine="0"/>
              <w:rPr>
                <w:sz w:val="16"/>
                <w:szCs w:val="16"/>
              </w:rPr>
            </w:pPr>
            <w:r>
              <w:rPr>
                <w:rFonts w:ascii="Times New Roman" w:eastAsia="Times New Roman" w:hAnsi="Times New Roman" w:cs="Times New Roman"/>
                <w:sz w:val="16"/>
                <w:szCs w:val="16"/>
              </w:rPr>
              <w:t xml:space="preserve">Especies de </w:t>
            </w:r>
            <w:r>
              <w:rPr>
                <w:rFonts w:ascii="Times New Roman" w:eastAsia="Times New Roman" w:hAnsi="Times New Roman" w:cs="Times New Roman"/>
                <w:i/>
                <w:iCs/>
                <w:sz w:val="16"/>
                <w:szCs w:val="16"/>
              </w:rPr>
              <w:t>Salmonella</w:t>
            </w:r>
          </w:p>
        </w:tc>
        <w:tc>
          <w:tcPr>
            <w:tcW w:w="3994" w:type="dxa"/>
            <w:shd w:val="clear" w:color="auto" w:fill="FFFFFF"/>
            <w:vAlign w:val="bottom"/>
          </w:tcPr>
          <w:p w14:paraId="1E9CD16D" w14:textId="77777777" w:rsidR="00924992" w:rsidRDefault="00924992">
            <w:pPr>
              <w:pStyle w:val="Other0"/>
              <w:framePr w:w="11443" w:h="5842" w:hSpace="514" w:vSpace="322" w:wrap="notBeside" w:vAnchor="text" w:hAnchor="text" w:y="323"/>
              <w:spacing w:line="240" w:lineRule="auto"/>
              <w:ind w:firstLine="540"/>
              <w:rPr>
                <w:sz w:val="16"/>
                <w:szCs w:val="16"/>
              </w:rPr>
            </w:pPr>
            <w:r>
              <w:rPr>
                <w:rFonts w:ascii="Times New Roman" w:eastAsia="Times New Roman" w:hAnsi="Times New Roman" w:cs="Times New Roman"/>
                <w:sz w:val="16"/>
                <w:szCs w:val="16"/>
              </w:rPr>
              <w:t>Aves de corral; carne de cerdo, res; huevos,</w:t>
            </w:r>
          </w:p>
        </w:tc>
      </w:tr>
      <w:tr w:rsidR="00924992" w14:paraId="1456ABCA" w14:textId="77777777">
        <w:tblPrEx>
          <w:tblCellMar>
            <w:top w:w="0" w:type="dxa"/>
            <w:bottom w:w="0" w:type="dxa"/>
          </w:tblCellMar>
        </w:tblPrEx>
        <w:trPr>
          <w:trHeight w:hRule="exact" w:val="1958"/>
        </w:trPr>
        <w:tc>
          <w:tcPr>
            <w:tcW w:w="2746" w:type="dxa"/>
            <w:shd w:val="clear" w:color="auto" w:fill="FFFFFF"/>
            <w:vAlign w:val="bottom"/>
          </w:tcPr>
          <w:p w14:paraId="029E45BC" w14:textId="77777777" w:rsidR="00924992" w:rsidRDefault="00924992">
            <w:pPr>
              <w:pStyle w:val="Other0"/>
              <w:framePr w:w="11443" w:h="5842" w:hSpace="514" w:vSpace="322" w:wrap="notBeside" w:vAnchor="text" w:hAnchor="text" w:y="323"/>
              <w:spacing w:after="1520" w:line="240" w:lineRule="auto"/>
              <w:ind w:firstLine="160"/>
              <w:rPr>
                <w:sz w:val="16"/>
                <w:szCs w:val="16"/>
              </w:rPr>
            </w:pPr>
            <w:r>
              <w:rPr>
                <w:rFonts w:ascii="Times New Roman" w:eastAsia="Times New Roman" w:hAnsi="Times New Roman" w:cs="Times New Roman"/>
                <w:sz w:val="16"/>
                <w:szCs w:val="16"/>
              </w:rPr>
              <w:t>sangre y moco en los excrementos</w:t>
            </w:r>
          </w:p>
          <w:p w14:paraId="0CE5E264" w14:textId="77777777" w:rsidR="00924992" w:rsidRDefault="00924992">
            <w:pPr>
              <w:pStyle w:val="Other0"/>
              <w:framePr w:w="11443" w:h="5842" w:hSpace="514" w:vSpace="322" w:wrap="notBeside" w:vAnchor="text" w:hAnchor="text" w:y="323"/>
              <w:spacing w:line="240" w:lineRule="auto"/>
              <w:ind w:firstLine="0"/>
              <w:rPr>
                <w:sz w:val="16"/>
                <w:szCs w:val="16"/>
              </w:rPr>
            </w:pPr>
            <w:r>
              <w:rPr>
                <w:rFonts w:ascii="Times New Roman" w:eastAsia="Times New Roman" w:hAnsi="Times New Roman" w:cs="Times New Roman"/>
                <w:sz w:val="16"/>
                <w:szCs w:val="16"/>
              </w:rPr>
              <w:t>Diarrea sanguinolenta, cólicos</w:t>
            </w:r>
          </w:p>
        </w:tc>
        <w:tc>
          <w:tcPr>
            <w:tcW w:w="1555" w:type="dxa"/>
            <w:shd w:val="clear" w:color="auto" w:fill="FFFFFF"/>
            <w:vAlign w:val="bottom"/>
          </w:tcPr>
          <w:p w14:paraId="6A2AD1EE" w14:textId="77777777" w:rsidR="00924992" w:rsidRDefault="00924992">
            <w:pPr>
              <w:pStyle w:val="Other0"/>
              <w:framePr w:w="11443" w:h="5842" w:hSpace="514" w:vSpace="322" w:wrap="notBeside" w:vAnchor="text" w:hAnchor="text" w:y="323"/>
              <w:spacing w:line="240" w:lineRule="auto"/>
              <w:ind w:firstLine="140"/>
              <w:rPr>
                <w:sz w:val="16"/>
                <w:szCs w:val="16"/>
              </w:rPr>
            </w:pPr>
            <w:r>
              <w:rPr>
                <w:rFonts w:ascii="Times New Roman" w:eastAsia="Times New Roman" w:hAnsi="Times New Roman" w:cs="Times New Roman"/>
                <w:sz w:val="16"/>
                <w:szCs w:val="16"/>
              </w:rPr>
              <w:t>72-120 h</w:t>
            </w:r>
          </w:p>
        </w:tc>
        <w:tc>
          <w:tcPr>
            <w:tcW w:w="3149" w:type="dxa"/>
            <w:shd w:val="clear" w:color="auto" w:fill="FFFFFF"/>
            <w:vAlign w:val="bottom"/>
          </w:tcPr>
          <w:p w14:paraId="07C4807C" w14:textId="77777777" w:rsidR="00924992" w:rsidRDefault="00924992">
            <w:pPr>
              <w:pStyle w:val="Other0"/>
              <w:framePr w:w="11443" w:h="5842" w:hSpace="514" w:vSpace="322" w:wrap="notBeside" w:vAnchor="text" w:hAnchor="text" w:y="323"/>
              <w:spacing w:line="283" w:lineRule="auto"/>
              <w:ind w:left="280" w:firstLine="0"/>
              <w:rPr>
                <w:sz w:val="16"/>
                <w:szCs w:val="16"/>
              </w:rPr>
            </w:pPr>
            <w:r>
              <w:rPr>
                <w:rFonts w:ascii="Times New Roman" w:eastAsia="Times New Roman" w:hAnsi="Times New Roman" w:cs="Times New Roman"/>
                <w:i/>
                <w:iCs/>
                <w:sz w:val="16"/>
                <w:szCs w:val="16"/>
              </w:rPr>
              <w:t>Shigella</w:t>
            </w:r>
          </w:p>
          <w:p w14:paraId="1881DA6F" w14:textId="77777777" w:rsidR="00924992" w:rsidRDefault="00924992">
            <w:pPr>
              <w:pStyle w:val="Other0"/>
              <w:framePr w:w="11443" w:h="5842" w:hSpace="514" w:vSpace="322" w:wrap="notBeside" w:vAnchor="text" w:hAnchor="text" w:y="323"/>
              <w:spacing w:line="283" w:lineRule="auto"/>
              <w:ind w:left="280" w:firstLine="0"/>
              <w:rPr>
                <w:sz w:val="16"/>
                <w:szCs w:val="16"/>
              </w:rPr>
            </w:pPr>
            <w:r>
              <w:rPr>
                <w:rFonts w:ascii="Times New Roman" w:eastAsia="Times New Roman" w:hAnsi="Times New Roman" w:cs="Times New Roman"/>
                <w:i/>
                <w:iCs/>
                <w:sz w:val="16"/>
                <w:szCs w:val="16"/>
              </w:rPr>
              <w:t>Campylobacter jejuni</w:t>
            </w:r>
          </w:p>
          <w:p w14:paraId="48A58F71" w14:textId="77777777" w:rsidR="00924992" w:rsidRDefault="00924992">
            <w:pPr>
              <w:pStyle w:val="Other0"/>
              <w:framePr w:w="11443" w:h="5842" w:hSpace="514" w:vSpace="322" w:wrap="notBeside" w:vAnchor="text" w:hAnchor="text" w:y="323"/>
              <w:spacing w:line="283" w:lineRule="auto"/>
              <w:ind w:left="280" w:firstLine="0"/>
              <w:rPr>
                <w:sz w:val="16"/>
                <w:szCs w:val="16"/>
              </w:rPr>
            </w:pPr>
            <w:r>
              <w:rPr>
                <w:rFonts w:ascii="Times New Roman" w:eastAsia="Times New Roman" w:hAnsi="Times New Roman" w:cs="Times New Roman"/>
                <w:i/>
                <w:iCs/>
                <w:sz w:val="16"/>
                <w:szCs w:val="16"/>
              </w:rPr>
              <w:t>E. coli</w:t>
            </w:r>
            <w:r>
              <w:rPr>
                <w:rFonts w:ascii="Times New Roman" w:eastAsia="Times New Roman" w:hAnsi="Times New Roman" w:cs="Times New Roman"/>
                <w:sz w:val="16"/>
                <w:szCs w:val="16"/>
              </w:rPr>
              <w:t xml:space="preserve"> enteroinvasora </w:t>
            </w:r>
            <w:r>
              <w:rPr>
                <w:rFonts w:ascii="Times New Roman" w:eastAsia="Times New Roman" w:hAnsi="Times New Roman" w:cs="Times New Roman"/>
                <w:i/>
                <w:iCs/>
                <w:sz w:val="16"/>
                <w:szCs w:val="16"/>
              </w:rPr>
              <w:t>Yersinia enterocolitica Vibrio parahaemolyticus</w:t>
            </w:r>
          </w:p>
          <w:p w14:paraId="127CC7F5" w14:textId="77777777" w:rsidR="00924992" w:rsidRDefault="00924992">
            <w:pPr>
              <w:pStyle w:val="Other0"/>
              <w:framePr w:w="11443" w:h="5842" w:hSpace="514" w:vSpace="322" w:wrap="notBeside" w:vAnchor="text" w:hAnchor="text" w:y="323"/>
              <w:spacing w:line="283" w:lineRule="auto"/>
              <w:ind w:firstLine="280"/>
              <w:rPr>
                <w:sz w:val="16"/>
                <w:szCs w:val="16"/>
              </w:rPr>
            </w:pPr>
            <w:r>
              <w:rPr>
                <w:rFonts w:ascii="Times New Roman" w:eastAsia="Times New Roman" w:hAnsi="Times New Roman" w:cs="Times New Roman"/>
                <w:i/>
                <w:iCs/>
                <w:sz w:val="16"/>
                <w:szCs w:val="16"/>
              </w:rPr>
              <w:t>E. coli</w:t>
            </w:r>
            <w:r>
              <w:rPr>
                <w:rFonts w:ascii="Times New Roman" w:eastAsia="Times New Roman" w:hAnsi="Times New Roman" w:cs="Times New Roman"/>
                <w:sz w:val="16"/>
                <w:szCs w:val="16"/>
              </w:rPr>
              <w:t xml:space="preserve"> enterohemorrágica</w:t>
            </w:r>
          </w:p>
        </w:tc>
        <w:tc>
          <w:tcPr>
            <w:tcW w:w="3994" w:type="dxa"/>
            <w:shd w:val="clear" w:color="auto" w:fill="FFFFFF"/>
            <w:vAlign w:val="bottom"/>
          </w:tcPr>
          <w:p w14:paraId="580FB6AD" w14:textId="77777777" w:rsidR="00924992" w:rsidRDefault="00924992">
            <w:pPr>
              <w:pStyle w:val="Other0"/>
              <w:framePr w:w="11443" w:h="5842" w:hSpace="514" w:vSpace="322" w:wrap="notBeside" w:vAnchor="text" w:hAnchor="text" w:y="323"/>
              <w:spacing w:line="283" w:lineRule="auto"/>
              <w:ind w:left="640" w:firstLine="0"/>
              <w:rPr>
                <w:sz w:val="16"/>
                <w:szCs w:val="16"/>
              </w:rPr>
            </w:pPr>
            <w:r>
              <w:rPr>
                <w:rFonts w:ascii="Times New Roman" w:eastAsia="Times New Roman" w:hAnsi="Times New Roman" w:cs="Times New Roman"/>
                <w:sz w:val="16"/>
                <w:szCs w:val="16"/>
              </w:rPr>
              <w:t>productos lácteos incluidos helados de crema; verduras; frutas; jugo de naranja; germinado de alfalfa</w:t>
            </w:r>
          </w:p>
          <w:p w14:paraId="6DDFFF49" w14:textId="77777777" w:rsidR="00924992" w:rsidRDefault="00924992">
            <w:pPr>
              <w:pStyle w:val="Other0"/>
              <w:framePr w:w="11443" w:h="5842" w:hSpace="514" w:vSpace="322" w:wrap="notBeside" w:vAnchor="text" w:hAnchor="text" w:y="323"/>
              <w:spacing w:line="283" w:lineRule="auto"/>
              <w:ind w:firstLine="540"/>
              <w:rPr>
                <w:sz w:val="16"/>
                <w:szCs w:val="16"/>
              </w:rPr>
            </w:pPr>
            <w:r>
              <w:rPr>
                <w:rFonts w:ascii="Times New Roman" w:eastAsia="Times New Roman" w:hAnsi="Times New Roman" w:cs="Times New Roman"/>
                <w:sz w:val="16"/>
                <w:szCs w:val="16"/>
              </w:rPr>
              <w:t>Ensalada de huevo, verduras, chalotes</w:t>
            </w:r>
          </w:p>
          <w:p w14:paraId="455177B3" w14:textId="77777777" w:rsidR="00924992" w:rsidRDefault="00924992">
            <w:pPr>
              <w:pStyle w:val="Other0"/>
              <w:framePr w:w="11443" w:h="5842" w:hSpace="514" w:vSpace="322" w:wrap="notBeside" w:vAnchor="text" w:hAnchor="text" w:y="323"/>
              <w:spacing w:line="283" w:lineRule="auto"/>
              <w:ind w:firstLine="540"/>
              <w:rPr>
                <w:sz w:val="16"/>
                <w:szCs w:val="16"/>
              </w:rPr>
            </w:pPr>
            <w:r>
              <w:rPr>
                <w:rFonts w:ascii="Times New Roman" w:eastAsia="Times New Roman" w:hAnsi="Times New Roman" w:cs="Times New Roman"/>
                <w:sz w:val="16"/>
                <w:szCs w:val="16"/>
              </w:rPr>
              <w:t>Aves de corral, leche cruda, agua</w:t>
            </w:r>
          </w:p>
          <w:p w14:paraId="6169E252" w14:textId="77777777" w:rsidR="00924992" w:rsidRDefault="00924992">
            <w:pPr>
              <w:pStyle w:val="Other0"/>
              <w:framePr w:w="11443" w:h="5842" w:hSpace="514" w:vSpace="322" w:wrap="notBeside" w:vAnchor="text" w:hAnchor="text" w:y="323"/>
              <w:spacing w:line="283" w:lineRule="auto"/>
              <w:ind w:firstLine="540"/>
              <w:rPr>
                <w:sz w:val="16"/>
                <w:szCs w:val="16"/>
              </w:rPr>
            </w:pPr>
            <w:r>
              <w:rPr>
                <w:rFonts w:ascii="Times New Roman" w:eastAsia="Times New Roman" w:hAnsi="Times New Roman" w:cs="Times New Roman"/>
                <w:sz w:val="16"/>
                <w:szCs w:val="16"/>
              </w:rPr>
              <w:t>Verduras</w:t>
            </w:r>
          </w:p>
          <w:p w14:paraId="361C4AE4" w14:textId="77777777" w:rsidR="00924992" w:rsidRDefault="00924992">
            <w:pPr>
              <w:pStyle w:val="Other0"/>
              <w:framePr w:w="11443" w:h="5842" w:hSpace="514" w:vSpace="322" w:wrap="notBeside" w:vAnchor="text" w:hAnchor="text" w:y="323"/>
              <w:spacing w:line="283" w:lineRule="auto"/>
              <w:ind w:firstLine="540"/>
              <w:rPr>
                <w:sz w:val="16"/>
                <w:szCs w:val="16"/>
              </w:rPr>
            </w:pPr>
            <w:r>
              <w:rPr>
                <w:rFonts w:ascii="Times New Roman" w:eastAsia="Times New Roman" w:hAnsi="Times New Roman" w:cs="Times New Roman"/>
                <w:sz w:val="16"/>
                <w:szCs w:val="16"/>
              </w:rPr>
              <w:t>Tripas de cerdo, tofu, leche cruda</w:t>
            </w:r>
          </w:p>
          <w:p w14:paraId="7671E444" w14:textId="77777777" w:rsidR="00924992" w:rsidRDefault="00924992">
            <w:pPr>
              <w:pStyle w:val="Other0"/>
              <w:framePr w:w="11443" w:h="5842" w:hSpace="514" w:vSpace="322" w:wrap="notBeside" w:vAnchor="text" w:hAnchor="text" w:y="323"/>
              <w:spacing w:line="283" w:lineRule="auto"/>
              <w:ind w:firstLine="540"/>
              <w:rPr>
                <w:sz w:val="16"/>
                <w:szCs w:val="16"/>
              </w:rPr>
            </w:pPr>
            <w:r>
              <w:rPr>
                <w:rFonts w:ascii="Times New Roman" w:eastAsia="Times New Roman" w:hAnsi="Times New Roman" w:cs="Times New Roman"/>
                <w:sz w:val="16"/>
                <w:szCs w:val="16"/>
              </w:rPr>
              <w:t>Peces, mariscos</w:t>
            </w:r>
          </w:p>
          <w:p w14:paraId="0A4F03EF" w14:textId="77777777" w:rsidR="00924992" w:rsidRDefault="00924992">
            <w:pPr>
              <w:pStyle w:val="Other0"/>
              <w:framePr w:w="11443" w:h="5842" w:hSpace="514" w:vSpace="322" w:wrap="notBeside" w:vAnchor="text" w:hAnchor="text" w:y="323"/>
              <w:spacing w:line="283" w:lineRule="auto"/>
              <w:ind w:firstLine="540"/>
              <w:rPr>
                <w:sz w:val="16"/>
                <w:szCs w:val="16"/>
              </w:rPr>
            </w:pPr>
            <w:r>
              <w:rPr>
                <w:rFonts w:ascii="Times New Roman" w:eastAsia="Times New Roman" w:hAnsi="Times New Roman" w:cs="Times New Roman"/>
                <w:sz w:val="16"/>
                <w:szCs w:val="16"/>
              </w:rPr>
              <w:t>Carne de res (hamburguesas); leche cruda;</w:t>
            </w:r>
          </w:p>
        </w:tc>
      </w:tr>
      <w:tr w:rsidR="00924992" w14:paraId="3BF048CE" w14:textId="77777777">
        <w:tblPrEx>
          <w:tblCellMar>
            <w:top w:w="0" w:type="dxa"/>
            <w:bottom w:w="0" w:type="dxa"/>
          </w:tblCellMar>
        </w:tblPrEx>
        <w:trPr>
          <w:trHeight w:hRule="exact" w:val="1094"/>
        </w:trPr>
        <w:tc>
          <w:tcPr>
            <w:tcW w:w="2746" w:type="dxa"/>
            <w:shd w:val="clear" w:color="auto" w:fill="FFFFFF"/>
          </w:tcPr>
          <w:p w14:paraId="5C090E31" w14:textId="77777777" w:rsidR="00924992" w:rsidRDefault="00924992">
            <w:pPr>
              <w:pStyle w:val="Other0"/>
              <w:framePr w:w="11443" w:h="5842" w:hSpace="514" w:vSpace="322" w:wrap="notBeside" w:vAnchor="text" w:hAnchor="text" w:y="323"/>
              <w:spacing w:after="660" w:line="240" w:lineRule="auto"/>
              <w:ind w:firstLine="160"/>
              <w:rPr>
                <w:sz w:val="16"/>
                <w:szCs w:val="16"/>
              </w:rPr>
            </w:pPr>
            <w:r>
              <w:rPr>
                <w:rFonts w:ascii="Times New Roman" w:eastAsia="Times New Roman" w:hAnsi="Times New Roman" w:cs="Times New Roman"/>
                <w:sz w:val="16"/>
                <w:szCs w:val="16"/>
              </w:rPr>
              <w:t>abdominales</w:t>
            </w:r>
          </w:p>
          <w:p w14:paraId="62725546" w14:textId="77777777" w:rsidR="00924992" w:rsidRDefault="00924992">
            <w:pPr>
              <w:pStyle w:val="Other0"/>
              <w:framePr w:w="11443" w:h="5842" w:hSpace="514" w:vSpace="322" w:wrap="notBeside" w:vAnchor="text" w:hAnchor="text" w:y="323"/>
              <w:spacing w:line="240" w:lineRule="auto"/>
              <w:ind w:firstLine="0"/>
              <w:rPr>
                <w:sz w:val="16"/>
                <w:szCs w:val="16"/>
              </w:rPr>
            </w:pPr>
            <w:r>
              <w:rPr>
                <w:rFonts w:ascii="Times New Roman" w:eastAsia="Times New Roman" w:hAnsi="Times New Roman" w:cs="Times New Roman"/>
                <w:sz w:val="16"/>
                <w:szCs w:val="16"/>
              </w:rPr>
              <w:t>Insuficiencia hepatorrenal</w:t>
            </w:r>
          </w:p>
        </w:tc>
        <w:tc>
          <w:tcPr>
            <w:tcW w:w="1555" w:type="dxa"/>
            <w:shd w:val="clear" w:color="auto" w:fill="FFFFFF"/>
            <w:vAlign w:val="bottom"/>
          </w:tcPr>
          <w:p w14:paraId="573E58B6" w14:textId="77777777" w:rsidR="00924992" w:rsidRDefault="00924992">
            <w:pPr>
              <w:pStyle w:val="Other0"/>
              <w:framePr w:w="11443" w:h="5842" w:hSpace="514" w:vSpace="322" w:wrap="notBeside" w:vAnchor="text" w:hAnchor="text" w:y="323"/>
              <w:spacing w:line="240" w:lineRule="auto"/>
              <w:ind w:firstLine="140"/>
              <w:rPr>
                <w:sz w:val="16"/>
                <w:szCs w:val="16"/>
              </w:rPr>
            </w:pPr>
            <w:r>
              <w:rPr>
                <w:rFonts w:ascii="Times New Roman" w:eastAsia="Times New Roman" w:hAnsi="Times New Roman" w:cs="Times New Roman"/>
                <w:sz w:val="16"/>
                <w:szCs w:val="16"/>
              </w:rPr>
              <w:t>6-24 h</w:t>
            </w:r>
          </w:p>
        </w:tc>
        <w:tc>
          <w:tcPr>
            <w:tcW w:w="3149" w:type="dxa"/>
            <w:shd w:val="clear" w:color="auto" w:fill="FFFFFF"/>
            <w:vAlign w:val="bottom"/>
          </w:tcPr>
          <w:p w14:paraId="0DDE28BE" w14:textId="77777777" w:rsidR="00924992" w:rsidRDefault="00924992">
            <w:pPr>
              <w:pStyle w:val="Other0"/>
              <w:framePr w:w="11443" w:h="5842" w:hSpace="514" w:vSpace="322" w:wrap="notBeside" w:vAnchor="text" w:hAnchor="text" w:y="323"/>
              <w:spacing w:line="240" w:lineRule="auto"/>
              <w:ind w:firstLine="280"/>
              <w:rPr>
                <w:sz w:val="16"/>
                <w:szCs w:val="16"/>
              </w:rPr>
            </w:pPr>
            <w:r>
              <w:rPr>
                <w:rFonts w:ascii="Times New Roman" w:eastAsia="Times New Roman" w:hAnsi="Times New Roman" w:cs="Times New Roman"/>
                <w:sz w:val="16"/>
                <w:szCs w:val="16"/>
              </w:rPr>
              <w:t>setas (comienzo tardío)</w:t>
            </w:r>
          </w:p>
        </w:tc>
        <w:tc>
          <w:tcPr>
            <w:tcW w:w="3994" w:type="dxa"/>
            <w:shd w:val="clear" w:color="auto" w:fill="FFFFFF"/>
          </w:tcPr>
          <w:p w14:paraId="1ECDC6B6" w14:textId="77777777" w:rsidR="00924992" w:rsidRDefault="00924992">
            <w:pPr>
              <w:pStyle w:val="Other0"/>
              <w:framePr w:w="11443" w:h="5842" w:hSpace="514" w:vSpace="322" w:wrap="notBeside" w:vAnchor="text" w:hAnchor="text" w:y="323"/>
              <w:spacing w:line="283" w:lineRule="auto"/>
              <w:ind w:left="640" w:firstLine="0"/>
              <w:rPr>
                <w:sz w:val="16"/>
                <w:szCs w:val="16"/>
              </w:rPr>
            </w:pPr>
            <w:r>
              <w:rPr>
                <w:rFonts w:ascii="Times New Roman" w:eastAsia="Times New Roman" w:hAnsi="Times New Roman" w:cs="Times New Roman"/>
                <w:sz w:val="16"/>
                <w:szCs w:val="16"/>
              </w:rPr>
              <w:t>roast beef; salami, aderezos de ensalada; lechuga; jugos no pasteurizados incluida sidra de manzana; germinados de alfalfa y rábano; agua</w:t>
            </w:r>
          </w:p>
          <w:p w14:paraId="574CE4BF" w14:textId="77777777" w:rsidR="00924992" w:rsidRDefault="00924992">
            <w:pPr>
              <w:pStyle w:val="Other0"/>
              <w:framePr w:w="11443" w:h="5842" w:hSpace="514" w:vSpace="322" w:wrap="notBeside" w:vAnchor="text" w:hAnchor="text" w:y="323"/>
              <w:spacing w:line="283" w:lineRule="auto"/>
              <w:ind w:firstLine="540"/>
              <w:rPr>
                <w:sz w:val="16"/>
                <w:szCs w:val="16"/>
              </w:rPr>
            </w:pPr>
            <w:r>
              <w:rPr>
                <w:rFonts w:ascii="Times New Roman" w:eastAsia="Times New Roman" w:hAnsi="Times New Roman" w:cs="Times New Roman"/>
                <w:sz w:val="16"/>
                <w:szCs w:val="16"/>
              </w:rPr>
              <w:t xml:space="preserve">Setas (en particular especies de </w:t>
            </w:r>
            <w:r>
              <w:rPr>
                <w:rFonts w:ascii="Times New Roman" w:eastAsia="Times New Roman" w:hAnsi="Times New Roman" w:cs="Times New Roman"/>
                <w:i/>
                <w:iCs/>
                <w:sz w:val="16"/>
                <w:szCs w:val="16"/>
              </w:rPr>
              <w:t>Amanita</w:t>
            </w:r>
            <w:r>
              <w:rPr>
                <w:rFonts w:ascii="Times New Roman" w:eastAsia="Times New Roman" w:hAnsi="Times New Roman" w:cs="Times New Roman"/>
                <w:sz w:val="16"/>
                <w:szCs w:val="16"/>
              </w:rPr>
              <w:t>)</w:t>
            </w:r>
          </w:p>
        </w:tc>
      </w:tr>
    </w:tbl>
    <w:p w14:paraId="0C25E360" w14:textId="77777777" w:rsidR="00924992" w:rsidRDefault="00924992">
      <w:pPr>
        <w:pStyle w:val="Tablecaption0"/>
        <w:framePr w:w="192" w:h="3898" w:hRule="exact" w:hSpace="11765" w:wrap="notBeside" w:vAnchor="text" w:hAnchor="text" w:x="11766" w:y="1"/>
        <w:tabs>
          <w:tab w:val="left" w:pos="2962"/>
        </w:tabs>
        <w:spacing w:line="240" w:lineRule="auto"/>
        <w:ind w:left="0"/>
        <w:textDirection w:val="tbRl"/>
        <w:rPr>
          <w:sz w:val="14"/>
          <w:szCs w:val="14"/>
        </w:rPr>
      </w:pPr>
      <w:r>
        <w:rPr>
          <w:rFonts w:ascii="Arial" w:eastAsia="Arial" w:hAnsi="Arial" w:cs="Arial"/>
          <w:sz w:val="16"/>
          <w:szCs w:val="16"/>
        </w:rPr>
        <w:t>848</w:t>
      </w:r>
      <w:r>
        <w:rPr>
          <w:rFonts w:ascii="Arial" w:eastAsia="Arial" w:hAnsi="Arial" w:cs="Arial"/>
          <w:sz w:val="16"/>
          <w:szCs w:val="16"/>
        </w:rPr>
        <w:tab/>
      </w:r>
      <w:r>
        <w:rPr>
          <w:rFonts w:ascii="Arial" w:eastAsia="Arial" w:hAnsi="Arial" w:cs="Arial"/>
          <w:sz w:val="14"/>
          <w:szCs w:val="14"/>
        </w:rPr>
        <w:t>APÉNDICE VI</w:t>
      </w:r>
    </w:p>
    <w:p w14:paraId="249099DE" w14:textId="77777777" w:rsidR="00924992" w:rsidRDefault="00924992">
      <w:pPr>
        <w:spacing w:line="1" w:lineRule="exact"/>
        <w:sectPr w:rsidR="00924992" w:rsidSect="00924992">
          <w:footnotePr>
            <w:numFmt w:val="chicago"/>
          </w:footnotePr>
          <w:pgSz w:w="13022" w:h="8501" w:orient="landscape"/>
          <w:pgMar w:top="461" w:right="442" w:bottom="1349" w:left="624" w:header="33" w:footer="3" w:gutter="0"/>
          <w:cols w:space="720"/>
          <w:noEndnote/>
          <w:docGrid w:linePitch="360"/>
          <w15:footnoteColumns w:val="1"/>
        </w:sectPr>
      </w:pPr>
      <w:r>
        <w:rPr>
          <w:noProof/>
        </w:rPr>
        <mc:AlternateContent>
          <mc:Choice Requires="wps">
            <w:drawing>
              <wp:anchor distT="0" distB="0" distL="0" distR="0" simplePos="0" relativeHeight="251768832" behindDoc="0" locked="0" layoutInCell="1" allowOverlap="1" wp14:anchorId="40C7EBE3" wp14:editId="50B128C6">
                <wp:simplePos x="0" y="0"/>
                <wp:positionH relativeFrom="page">
                  <wp:posOffset>1420495</wp:posOffset>
                </wp:positionH>
                <wp:positionV relativeFrom="margin">
                  <wp:posOffset>0</wp:posOffset>
                </wp:positionV>
                <wp:extent cx="5218430" cy="204470"/>
                <wp:effectExtent l="0" t="0" r="0" b="0"/>
                <wp:wrapSquare wrapText="bothSides"/>
                <wp:docPr id="2619" name="Shape 2619"/>
                <wp:cNvGraphicFramePr/>
                <a:graphic xmlns:a="http://schemas.openxmlformats.org/drawingml/2006/main">
                  <a:graphicData uri="http://schemas.microsoft.com/office/word/2010/wordprocessingShape">
                    <wps:wsp>
                      <wps:cNvSpPr txBox="1"/>
                      <wps:spPr>
                        <a:xfrm>
                          <a:off x="0" y="0"/>
                          <a:ext cx="5218430" cy="204470"/>
                        </a:xfrm>
                        <a:prstGeom prst="rect">
                          <a:avLst/>
                        </a:prstGeom>
                        <a:noFill/>
                      </wps:spPr>
                      <wps:txbx>
                        <w:txbxContent>
                          <w:p w14:paraId="2AE36D95" w14:textId="77777777" w:rsidR="00924992" w:rsidRDefault="00924992">
                            <w:pPr>
                              <w:pStyle w:val="Other0"/>
                              <w:spacing w:line="240" w:lineRule="auto"/>
                              <w:ind w:firstLine="0"/>
                              <w:rPr>
                                <w:sz w:val="16"/>
                                <w:szCs w:val="16"/>
                              </w:rPr>
                            </w:pPr>
                            <w:r>
                              <w:rPr>
                                <w:rFonts w:ascii="Arial" w:eastAsia="Arial" w:hAnsi="Arial" w:cs="Arial"/>
                                <w:w w:val="70"/>
                                <w:sz w:val="26"/>
                                <w:szCs w:val="26"/>
                              </w:rPr>
                              <w:t xml:space="preserve">Cuadro. </w:t>
                            </w:r>
                            <w:r>
                              <w:rPr>
                                <w:rFonts w:ascii="Arial" w:eastAsia="Arial" w:hAnsi="Arial" w:cs="Arial"/>
                                <w:b/>
                                <w:bCs/>
                                <w:w w:val="70"/>
                                <w:sz w:val="26"/>
                                <w:szCs w:val="26"/>
                              </w:rPr>
                              <w:t xml:space="preserve">Síndromes clínicos que surgen en enfermedades de origen alimentario </w:t>
                            </w:r>
                            <w:r>
                              <w:rPr>
                                <w:rFonts w:ascii="Times New Roman" w:eastAsia="Times New Roman" w:hAnsi="Times New Roman" w:cs="Times New Roman"/>
                                <w:i/>
                                <w:iCs/>
                                <w:sz w:val="16"/>
                                <w:szCs w:val="16"/>
                              </w:rPr>
                              <w:t>continuación</w:t>
                            </w:r>
                          </w:p>
                        </w:txbxContent>
                      </wps:txbx>
                      <wps:bodyPr wrap="none" lIns="0" tIns="0" rIns="0" bIns="0"/>
                    </wps:wsp>
                  </a:graphicData>
                </a:graphic>
              </wp:anchor>
            </w:drawing>
          </mc:Choice>
          <mc:Fallback>
            <w:pict>
              <v:shape w14:anchorId="40C7EBE3" id="Shape 2619" o:spid="_x0000_s1150" type="#_x0000_t202" style="position:absolute;margin-left:111.85pt;margin-top:0;width:410.9pt;height:16.1pt;z-index:251768832;visibility:visible;mso-wrap-style:none;mso-wrap-distance-left:0;mso-wrap-distance-top:0;mso-wrap-distance-right:0;mso-wrap-distance-bottom:0;mso-position-horizontal:absolute;mso-position-horizontal-relative:page;mso-position-vertical:absolute;mso-position-vertical-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" filled="f" stroked="f">
                <v:textbox inset="0,0,0,0">
                  <w:txbxContent>
                    <w:p w14:paraId="2AE36D95" w14:textId="77777777" w:rsidR="00924992" w:rsidRDefault="00924992">
                      <w:pPr>
                        <w:pStyle w:val="Other0"/>
                        <w:spacing w:line="240" w:lineRule="auto"/>
                        <w:ind w:firstLine="0"/>
                        <w:rPr>
                          <w:sz w:val="16"/>
                          <w:szCs w:val="16"/>
                        </w:rPr>
                      </w:pPr>
                      <w:r>
                        <w:rPr>
                          <w:rFonts w:ascii="Arial" w:eastAsia="Arial" w:hAnsi="Arial" w:cs="Arial"/>
                          <w:w w:val="70"/>
                          <w:sz w:val="26"/>
                          <w:szCs w:val="26"/>
                        </w:rPr>
                        <w:t xml:space="preserve">Cuadro. </w:t>
                      </w:r>
                      <w:r>
                        <w:rPr>
                          <w:rFonts w:ascii="Arial" w:eastAsia="Arial" w:hAnsi="Arial" w:cs="Arial"/>
                          <w:b/>
                          <w:bCs/>
                          <w:w w:val="70"/>
                          <w:sz w:val="26"/>
                          <w:szCs w:val="26"/>
                        </w:rPr>
                        <w:t xml:space="preserve">Síndromes clínicos que surgen en enfermedades de origen alimentario </w:t>
                      </w:r>
                      <w:r>
                        <w:rPr>
                          <w:rFonts w:ascii="Times New Roman" w:eastAsia="Times New Roman" w:hAnsi="Times New Roman" w:cs="Times New Roman"/>
                          <w:i/>
                          <w:iCs/>
                          <w:sz w:val="16"/>
                          <w:szCs w:val="16"/>
                        </w:rPr>
                        <w:t>continuación</w:t>
                      </w:r>
                    </w:p>
                  </w:txbxContent>
                </v:textbox>
                <w10:wrap type="square" anchorx="page" anchory="margin"/>
              </v:shape>
            </w:pict>
          </mc:Fallback>
        </mc:AlternateContent>
      </w:r>
    </w:p>
    <w:p w14:paraId="5A6B91C5" w14:textId="77777777" w:rsidR="00924992" w:rsidRDefault="00924992">
      <w:pPr>
        <w:pStyle w:val="Heading31"/>
        <w:keepNext/>
        <w:keepLines/>
        <w:framePr w:w="7200" w:h="317" w:wrap="none" w:hAnchor="page" w:x="2751" w:y="1"/>
      </w:pPr>
      <w:bookmarkStart w:id="949" w:name="bookmark2338"/>
      <w:bookmarkStart w:id="950" w:name="bookmark2339"/>
      <w:bookmarkStart w:id="951" w:name="bookmark2340"/>
      <w:r>
        <w:rPr>
          <w:b w:val="0"/>
          <w:bCs w:val="0"/>
        </w:rPr>
        <w:t xml:space="preserve">Cuadro. </w:t>
      </w:r>
      <w:r>
        <w:t>Síndromes clínicos que surgen en enfermedades de origen alimentario</w:t>
      </w:r>
      <w:bookmarkEnd w:id="949"/>
      <w:bookmarkEnd w:id="950"/>
      <w:bookmarkEnd w:id="951"/>
    </w:p>
    <w:tbl>
      <w:tblPr>
        <w:tblOverlap w:val="never"/>
        <w:tblW w:w="0" w:type="auto"/>
        <w:tblLayout w:type="fixed"/>
        <w:tblCellMar>
          <w:left w:w="10" w:type="dxa"/>
          <w:right w:w="10" w:type="dxa"/>
        </w:tblCellMar>
        <w:tblLook w:val="04A0" w:firstRow="1" w:lastRow="0" w:firstColumn="1" w:lastColumn="0" w:noHBand="0" w:noVBand="1"/>
      </w:tblPr>
      <w:tblGrid>
        <w:gridCol w:w="4301"/>
        <w:gridCol w:w="2909"/>
        <w:gridCol w:w="4234"/>
      </w:tblGrid>
      <w:tr w:rsidR="00924992" w14:paraId="115BB9B9" w14:textId="77777777">
        <w:tblPrEx>
          <w:tblCellMar>
            <w:top w:w="0" w:type="dxa"/>
            <w:bottom w:w="0" w:type="dxa"/>
          </w:tblCellMar>
        </w:tblPrEx>
        <w:trPr>
          <w:trHeight w:hRule="exact" w:val="571"/>
        </w:trPr>
        <w:tc>
          <w:tcPr>
            <w:tcW w:w="4301" w:type="dxa"/>
            <w:shd w:val="clear" w:color="auto" w:fill="231F20"/>
          </w:tcPr>
          <w:p w14:paraId="6BC40E47" w14:textId="77777777" w:rsidR="00924992" w:rsidRDefault="00924992">
            <w:pPr>
              <w:pStyle w:val="Other0"/>
              <w:framePr w:w="11443" w:h="3898" w:wrap="none" w:hAnchor="page" w:x="625" w:y="351"/>
              <w:pBdr>
                <w:top w:val="single" w:sz="0" w:space="0" w:color="231F20"/>
                <w:left w:val="single" w:sz="0" w:space="0" w:color="231F20"/>
                <w:bottom w:val="single" w:sz="0" w:space="0" w:color="231F20"/>
                <w:right w:val="single" w:sz="0" w:space="0" w:color="231F20"/>
              </w:pBdr>
              <w:shd w:val="clear" w:color="auto" w:fill="231F20"/>
              <w:tabs>
                <w:tab w:val="left" w:pos="2832"/>
              </w:tabs>
              <w:spacing w:line="240" w:lineRule="auto"/>
              <w:ind w:firstLine="0"/>
              <w:rPr>
                <w:sz w:val="24"/>
                <w:szCs w:val="24"/>
              </w:rPr>
            </w:pPr>
            <w:r>
              <w:rPr>
                <w:rFonts w:ascii="Arial" w:eastAsia="Arial" w:hAnsi="Arial" w:cs="Arial"/>
                <w:b/>
                <w:bCs/>
                <w:color w:val="FFFFFF"/>
                <w:w w:val="70"/>
                <w:sz w:val="24"/>
                <w:szCs w:val="24"/>
              </w:rPr>
              <w:t>Síndrome clínico</w:t>
            </w:r>
            <w:r>
              <w:rPr>
                <w:rFonts w:ascii="Arial" w:eastAsia="Arial" w:hAnsi="Arial" w:cs="Arial"/>
                <w:b/>
                <w:bCs/>
                <w:color w:val="FFFFFF"/>
                <w:w w:val="70"/>
                <w:sz w:val="24"/>
                <w:szCs w:val="24"/>
              </w:rPr>
              <w:tab/>
              <w:t>Periodo</w:t>
            </w:r>
          </w:p>
          <w:p w14:paraId="5B64A038" w14:textId="77777777" w:rsidR="00924992" w:rsidRDefault="00924992">
            <w:pPr>
              <w:pStyle w:val="Other0"/>
              <w:framePr w:w="11443" w:h="3898" w:wrap="none" w:hAnchor="page" w:x="625" w:y="351"/>
              <w:pBdr>
                <w:top w:val="single" w:sz="0" w:space="0" w:color="231F20"/>
                <w:left w:val="single" w:sz="0" w:space="0" w:color="231F20"/>
                <w:bottom w:val="single" w:sz="0" w:space="0" w:color="231F20"/>
                <w:right w:val="single" w:sz="0" w:space="0" w:color="231F20"/>
              </w:pBdr>
              <w:shd w:val="clear" w:color="auto" w:fill="231F20"/>
              <w:spacing w:line="204" w:lineRule="auto"/>
              <w:ind w:left="2880" w:firstLine="0"/>
              <w:rPr>
                <w:sz w:val="24"/>
                <w:szCs w:val="24"/>
              </w:rPr>
            </w:pPr>
            <w:r>
              <w:rPr>
                <w:rFonts w:ascii="Arial" w:eastAsia="Arial" w:hAnsi="Arial" w:cs="Arial"/>
                <w:b/>
                <w:bCs/>
                <w:color w:val="FFFFFF"/>
                <w:w w:val="70"/>
                <w:sz w:val="24"/>
                <w:szCs w:val="24"/>
              </w:rPr>
              <w:t>de incubación</w:t>
            </w:r>
          </w:p>
        </w:tc>
        <w:tc>
          <w:tcPr>
            <w:tcW w:w="2909" w:type="dxa"/>
            <w:shd w:val="clear" w:color="auto" w:fill="231F20"/>
          </w:tcPr>
          <w:p w14:paraId="3E6369DF" w14:textId="77777777" w:rsidR="00924992" w:rsidRDefault="00924992">
            <w:pPr>
              <w:pStyle w:val="Other0"/>
              <w:framePr w:w="11443" w:h="3898" w:wrap="none" w:hAnchor="page" w:x="625" w:y="351"/>
              <w:pBdr>
                <w:top w:val="single" w:sz="0" w:space="0" w:color="231F20"/>
                <w:left w:val="single" w:sz="0" w:space="0" w:color="231F20"/>
                <w:bottom w:val="single" w:sz="0" w:space="0" w:color="231F20"/>
                <w:right w:val="single" w:sz="0" w:space="0" w:color="231F20"/>
              </w:pBdr>
              <w:shd w:val="clear" w:color="auto" w:fill="231F20"/>
              <w:spacing w:line="240" w:lineRule="auto"/>
              <w:ind w:firstLine="280"/>
              <w:rPr>
                <w:sz w:val="24"/>
                <w:szCs w:val="24"/>
              </w:rPr>
            </w:pPr>
            <w:r>
              <w:rPr>
                <w:rFonts w:ascii="Arial" w:eastAsia="Arial" w:hAnsi="Arial" w:cs="Arial"/>
                <w:b/>
                <w:bCs/>
                <w:color w:val="FFFFFF"/>
                <w:w w:val="70"/>
                <w:sz w:val="24"/>
                <w:szCs w:val="24"/>
              </w:rPr>
              <w:t>Agentes causales</w:t>
            </w:r>
          </w:p>
        </w:tc>
        <w:tc>
          <w:tcPr>
            <w:tcW w:w="4234" w:type="dxa"/>
            <w:shd w:val="clear" w:color="auto" w:fill="231F20"/>
          </w:tcPr>
          <w:p w14:paraId="06E16E93" w14:textId="77777777" w:rsidR="00924992" w:rsidRDefault="00924992">
            <w:pPr>
              <w:pStyle w:val="Other0"/>
              <w:framePr w:w="11443" w:h="3898" w:wrap="none" w:hAnchor="page" w:x="625" w:y="351"/>
              <w:pBdr>
                <w:top w:val="single" w:sz="0" w:space="0" w:color="231F20"/>
                <w:left w:val="single" w:sz="0" w:space="0" w:color="231F20"/>
                <w:bottom w:val="single" w:sz="0" w:space="0" w:color="231F20"/>
                <w:right w:val="single" w:sz="0" w:space="0" w:color="231F20"/>
              </w:pBdr>
              <w:shd w:val="clear" w:color="auto" w:fill="231F20"/>
              <w:spacing w:line="240" w:lineRule="auto"/>
              <w:ind w:firstLine="780"/>
              <w:rPr>
                <w:sz w:val="24"/>
                <w:szCs w:val="24"/>
              </w:rPr>
            </w:pPr>
            <w:r>
              <w:rPr>
                <w:rFonts w:ascii="Arial" w:eastAsia="Arial" w:hAnsi="Arial" w:cs="Arial"/>
                <w:b/>
                <w:bCs/>
                <w:color w:val="FFFFFF"/>
                <w:w w:val="70"/>
                <w:sz w:val="24"/>
                <w:szCs w:val="24"/>
              </w:rPr>
              <w:t>Vehículos más frecuentes</w:t>
            </w:r>
          </w:p>
        </w:tc>
      </w:tr>
      <w:tr w:rsidR="00924992" w14:paraId="631D82EE" w14:textId="77777777">
        <w:tblPrEx>
          <w:tblCellMar>
            <w:top w:w="0" w:type="dxa"/>
            <w:bottom w:w="0" w:type="dxa"/>
          </w:tblCellMar>
        </w:tblPrEx>
        <w:trPr>
          <w:trHeight w:hRule="exact" w:val="274"/>
        </w:trPr>
        <w:tc>
          <w:tcPr>
            <w:tcW w:w="4301" w:type="dxa"/>
            <w:shd w:val="clear" w:color="auto" w:fill="FFFFFF"/>
            <w:vAlign w:val="bottom"/>
          </w:tcPr>
          <w:p w14:paraId="06F0AA27" w14:textId="77777777" w:rsidR="00924992" w:rsidRDefault="00924992">
            <w:pPr>
              <w:pStyle w:val="Other0"/>
              <w:framePr w:w="11443" w:h="3898" w:wrap="none" w:hAnchor="page" w:x="625" w:y="351"/>
              <w:tabs>
                <w:tab w:val="left" w:pos="2846"/>
              </w:tabs>
              <w:spacing w:line="240" w:lineRule="auto"/>
              <w:ind w:firstLine="0"/>
              <w:rPr>
                <w:sz w:val="16"/>
                <w:szCs w:val="16"/>
              </w:rPr>
            </w:pPr>
            <w:r>
              <w:rPr>
                <w:rFonts w:ascii="Times New Roman" w:eastAsia="Times New Roman" w:hAnsi="Times New Roman" w:cs="Times New Roman"/>
                <w:sz w:val="16"/>
                <w:szCs w:val="16"/>
              </w:rPr>
              <w:t>Manifestaciones de vías</w:t>
            </w:r>
            <w:r>
              <w:rPr>
                <w:rFonts w:ascii="Times New Roman" w:eastAsia="Times New Roman" w:hAnsi="Times New Roman" w:cs="Times New Roman"/>
                <w:sz w:val="16"/>
                <w:szCs w:val="16"/>
              </w:rPr>
              <w:tab/>
              <w:t>12-48 h</w:t>
            </w:r>
          </w:p>
        </w:tc>
        <w:tc>
          <w:tcPr>
            <w:tcW w:w="2909" w:type="dxa"/>
            <w:shd w:val="clear" w:color="auto" w:fill="FFFFFF"/>
            <w:vAlign w:val="bottom"/>
          </w:tcPr>
          <w:p w14:paraId="59BC59A2" w14:textId="77777777" w:rsidR="00924992" w:rsidRDefault="00924992">
            <w:pPr>
              <w:pStyle w:val="Other0"/>
              <w:framePr w:w="11443" w:h="3898" w:wrap="none" w:hAnchor="page" w:x="625" w:y="351"/>
              <w:spacing w:line="240" w:lineRule="auto"/>
              <w:ind w:firstLine="280"/>
              <w:rPr>
                <w:sz w:val="16"/>
                <w:szCs w:val="16"/>
              </w:rPr>
            </w:pPr>
            <w:r>
              <w:rPr>
                <w:rFonts w:ascii="Times New Roman" w:eastAsia="Times New Roman" w:hAnsi="Times New Roman" w:cs="Times New Roman"/>
                <w:i/>
                <w:iCs/>
                <w:sz w:val="16"/>
                <w:szCs w:val="16"/>
              </w:rPr>
              <w:t>Clostridium botulinum</w:t>
            </w:r>
          </w:p>
        </w:tc>
        <w:tc>
          <w:tcPr>
            <w:tcW w:w="4234" w:type="dxa"/>
            <w:shd w:val="clear" w:color="auto" w:fill="FFFFFF"/>
            <w:vAlign w:val="bottom"/>
          </w:tcPr>
          <w:p w14:paraId="29C76FEC" w14:textId="77777777" w:rsidR="00924992" w:rsidRDefault="00924992">
            <w:pPr>
              <w:pStyle w:val="Other0"/>
              <w:framePr w:w="11443" w:h="3898" w:wrap="none" w:hAnchor="page" w:x="625" w:y="351"/>
              <w:spacing w:line="240" w:lineRule="auto"/>
              <w:ind w:firstLine="780"/>
              <w:rPr>
                <w:sz w:val="16"/>
                <w:szCs w:val="16"/>
              </w:rPr>
            </w:pPr>
            <w:r>
              <w:rPr>
                <w:rFonts w:ascii="Times New Roman" w:eastAsia="Times New Roman" w:hAnsi="Times New Roman" w:cs="Times New Roman"/>
                <w:sz w:val="16"/>
                <w:szCs w:val="16"/>
              </w:rPr>
              <w:t>Alimentos envasados en el hogar, verduras,</w:t>
            </w:r>
          </w:p>
        </w:tc>
      </w:tr>
      <w:tr w:rsidR="00924992" w14:paraId="2E00A5F2" w14:textId="77777777">
        <w:tblPrEx>
          <w:tblCellMar>
            <w:top w:w="0" w:type="dxa"/>
            <w:bottom w:w="0" w:type="dxa"/>
          </w:tblCellMar>
        </w:tblPrEx>
        <w:trPr>
          <w:trHeight w:hRule="exact" w:val="230"/>
        </w:trPr>
        <w:tc>
          <w:tcPr>
            <w:tcW w:w="4301" w:type="dxa"/>
            <w:shd w:val="clear" w:color="auto" w:fill="FFFFFF"/>
            <w:vAlign w:val="bottom"/>
          </w:tcPr>
          <w:p w14:paraId="7E34C843" w14:textId="77777777" w:rsidR="00924992" w:rsidRDefault="00924992">
            <w:pPr>
              <w:pStyle w:val="Other0"/>
              <w:framePr w:w="11443" w:h="3898" w:wrap="none" w:hAnchor="page" w:x="625" w:y="351"/>
              <w:spacing w:line="240" w:lineRule="auto"/>
              <w:ind w:firstLine="160"/>
              <w:rPr>
                <w:sz w:val="16"/>
                <w:szCs w:val="16"/>
              </w:rPr>
            </w:pPr>
            <w:r>
              <w:rPr>
                <w:rFonts w:ascii="Times New Roman" w:eastAsia="Times New Roman" w:hAnsi="Times New Roman" w:cs="Times New Roman"/>
                <w:sz w:val="16"/>
                <w:szCs w:val="16"/>
              </w:rPr>
              <w:t>gastrointestinales, después visión</w:t>
            </w:r>
          </w:p>
        </w:tc>
        <w:tc>
          <w:tcPr>
            <w:tcW w:w="2909" w:type="dxa"/>
            <w:shd w:val="clear" w:color="auto" w:fill="FFFFFF"/>
          </w:tcPr>
          <w:p w14:paraId="49F3B072" w14:textId="77777777" w:rsidR="00924992" w:rsidRDefault="00924992">
            <w:pPr>
              <w:framePr w:w="11443" w:h="3898" w:wrap="none" w:hAnchor="page" w:x="625" w:y="351"/>
              <w:rPr>
                <w:sz w:val="10"/>
                <w:szCs w:val="10"/>
              </w:rPr>
            </w:pPr>
          </w:p>
        </w:tc>
        <w:tc>
          <w:tcPr>
            <w:tcW w:w="4234" w:type="dxa"/>
            <w:shd w:val="clear" w:color="auto" w:fill="FFFFFF"/>
            <w:vAlign w:val="bottom"/>
          </w:tcPr>
          <w:p w14:paraId="24C4D3DE" w14:textId="77777777" w:rsidR="00924992" w:rsidRDefault="00924992">
            <w:pPr>
              <w:pStyle w:val="Other0"/>
              <w:framePr w:w="11443" w:h="3898" w:wrap="none" w:hAnchor="page" w:x="625" w:y="351"/>
              <w:spacing w:line="240" w:lineRule="auto"/>
              <w:ind w:firstLine="880"/>
              <w:jc w:val="both"/>
              <w:rPr>
                <w:sz w:val="16"/>
                <w:szCs w:val="16"/>
              </w:rPr>
            </w:pPr>
            <w:r>
              <w:rPr>
                <w:rFonts w:ascii="Times New Roman" w:eastAsia="Times New Roman" w:hAnsi="Times New Roman" w:cs="Times New Roman"/>
                <w:sz w:val="16"/>
                <w:szCs w:val="16"/>
              </w:rPr>
              <w:t>frutas y peces, peces salados, carnes, ajo</w:t>
            </w:r>
          </w:p>
        </w:tc>
      </w:tr>
      <w:tr w:rsidR="00924992" w14:paraId="3E08A67A" w14:textId="77777777">
        <w:tblPrEx>
          <w:tblCellMar>
            <w:top w:w="0" w:type="dxa"/>
            <w:bottom w:w="0" w:type="dxa"/>
          </w:tblCellMar>
        </w:tblPrEx>
        <w:trPr>
          <w:trHeight w:hRule="exact" w:val="206"/>
        </w:trPr>
        <w:tc>
          <w:tcPr>
            <w:tcW w:w="4301" w:type="dxa"/>
            <w:shd w:val="clear" w:color="auto" w:fill="FFFFFF"/>
            <w:vAlign w:val="bottom"/>
          </w:tcPr>
          <w:p w14:paraId="69EAF487" w14:textId="77777777" w:rsidR="00924992" w:rsidRDefault="00924992">
            <w:pPr>
              <w:pStyle w:val="Other0"/>
              <w:framePr w:w="11443" w:h="3898" w:wrap="none" w:hAnchor="page" w:x="625" w:y="351"/>
              <w:spacing w:line="240" w:lineRule="auto"/>
              <w:ind w:firstLine="160"/>
              <w:rPr>
                <w:sz w:val="16"/>
                <w:szCs w:val="16"/>
              </w:rPr>
            </w:pPr>
            <w:r>
              <w:rPr>
                <w:rFonts w:ascii="Times New Roman" w:eastAsia="Times New Roman" w:hAnsi="Times New Roman" w:cs="Times New Roman"/>
                <w:sz w:val="16"/>
                <w:szCs w:val="16"/>
              </w:rPr>
              <w:t>borrosa, boca seca, disartria, diplopía,</w:t>
            </w:r>
          </w:p>
        </w:tc>
        <w:tc>
          <w:tcPr>
            <w:tcW w:w="2909" w:type="dxa"/>
            <w:shd w:val="clear" w:color="auto" w:fill="FFFFFF"/>
          </w:tcPr>
          <w:p w14:paraId="75B3C10C" w14:textId="77777777" w:rsidR="00924992" w:rsidRDefault="00924992">
            <w:pPr>
              <w:framePr w:w="11443" w:h="3898" w:wrap="none" w:hAnchor="page" w:x="625" w:y="351"/>
              <w:rPr>
                <w:sz w:val="10"/>
                <w:szCs w:val="10"/>
              </w:rPr>
            </w:pPr>
          </w:p>
        </w:tc>
        <w:tc>
          <w:tcPr>
            <w:tcW w:w="4234" w:type="dxa"/>
            <w:shd w:val="clear" w:color="auto" w:fill="FFFFFF"/>
            <w:vAlign w:val="bottom"/>
          </w:tcPr>
          <w:p w14:paraId="0C01D9AE" w14:textId="77777777" w:rsidR="00924992" w:rsidRDefault="00924992">
            <w:pPr>
              <w:pStyle w:val="Other0"/>
              <w:framePr w:w="11443" w:h="3898" w:wrap="none" w:hAnchor="page" w:x="625" w:y="351"/>
              <w:spacing w:line="240" w:lineRule="auto"/>
              <w:ind w:firstLine="880"/>
              <w:jc w:val="both"/>
              <w:rPr>
                <w:sz w:val="16"/>
                <w:szCs w:val="16"/>
              </w:rPr>
            </w:pPr>
            <w:r>
              <w:rPr>
                <w:rFonts w:ascii="Times New Roman" w:eastAsia="Times New Roman" w:hAnsi="Times New Roman" w:cs="Times New Roman"/>
                <w:sz w:val="16"/>
                <w:szCs w:val="16"/>
              </w:rPr>
              <w:t>embotellado, patatas horneadas dentro de hoja</w:t>
            </w:r>
          </w:p>
        </w:tc>
      </w:tr>
      <w:tr w:rsidR="00924992" w14:paraId="447B3E64" w14:textId="77777777">
        <w:tblPrEx>
          <w:tblCellMar>
            <w:top w:w="0" w:type="dxa"/>
            <w:bottom w:w="0" w:type="dxa"/>
          </w:tblCellMar>
        </w:tblPrEx>
        <w:trPr>
          <w:trHeight w:hRule="exact" w:val="221"/>
        </w:trPr>
        <w:tc>
          <w:tcPr>
            <w:tcW w:w="4301" w:type="dxa"/>
            <w:shd w:val="clear" w:color="auto" w:fill="FFFFFF"/>
            <w:vAlign w:val="bottom"/>
          </w:tcPr>
          <w:p w14:paraId="6CE76DFC" w14:textId="77777777" w:rsidR="00924992" w:rsidRDefault="00924992">
            <w:pPr>
              <w:pStyle w:val="Other0"/>
              <w:framePr w:w="11443" w:h="3898" w:wrap="none" w:hAnchor="page" w:x="625" w:y="351"/>
              <w:spacing w:line="240" w:lineRule="auto"/>
              <w:ind w:firstLine="160"/>
              <w:rPr>
                <w:sz w:val="16"/>
                <w:szCs w:val="16"/>
              </w:rPr>
            </w:pPr>
            <w:r>
              <w:rPr>
                <w:rFonts w:ascii="Times New Roman" w:eastAsia="Times New Roman" w:hAnsi="Times New Roman" w:cs="Times New Roman"/>
                <w:sz w:val="16"/>
                <w:szCs w:val="16"/>
              </w:rPr>
              <w:t>y parálisis descendente</w:t>
            </w:r>
          </w:p>
        </w:tc>
        <w:tc>
          <w:tcPr>
            <w:tcW w:w="2909" w:type="dxa"/>
            <w:shd w:val="clear" w:color="auto" w:fill="FFFFFF"/>
          </w:tcPr>
          <w:p w14:paraId="05734A52" w14:textId="77777777" w:rsidR="00924992" w:rsidRDefault="00924992">
            <w:pPr>
              <w:framePr w:w="11443" w:h="3898" w:wrap="none" w:hAnchor="page" w:x="625" w:y="351"/>
              <w:rPr>
                <w:sz w:val="10"/>
                <w:szCs w:val="10"/>
              </w:rPr>
            </w:pPr>
          </w:p>
        </w:tc>
        <w:tc>
          <w:tcPr>
            <w:tcW w:w="4234" w:type="dxa"/>
            <w:shd w:val="clear" w:color="auto" w:fill="FFFFFF"/>
            <w:vAlign w:val="bottom"/>
          </w:tcPr>
          <w:p w14:paraId="32F6E350" w14:textId="77777777" w:rsidR="00924992" w:rsidRDefault="00924992">
            <w:pPr>
              <w:pStyle w:val="Other0"/>
              <w:framePr w:w="11443" w:h="3898" w:wrap="none" w:hAnchor="page" w:x="625" w:y="351"/>
              <w:spacing w:line="240" w:lineRule="auto"/>
              <w:ind w:firstLine="880"/>
              <w:rPr>
                <w:sz w:val="16"/>
                <w:szCs w:val="16"/>
              </w:rPr>
            </w:pPr>
            <w:r>
              <w:rPr>
                <w:rFonts w:ascii="Times New Roman" w:eastAsia="Times New Roman" w:hAnsi="Times New Roman" w:cs="Times New Roman"/>
                <w:sz w:val="16"/>
                <w:szCs w:val="16"/>
              </w:rPr>
              <w:t>de aluminio, salsa de queso, miel</w:t>
            </w:r>
          </w:p>
        </w:tc>
      </w:tr>
      <w:tr w:rsidR="00924992" w14:paraId="21A8B3E8" w14:textId="77777777">
        <w:tblPrEx>
          <w:tblCellMar>
            <w:top w:w="0" w:type="dxa"/>
            <w:bottom w:w="0" w:type="dxa"/>
          </w:tblCellMar>
        </w:tblPrEx>
        <w:trPr>
          <w:trHeight w:hRule="exact" w:val="221"/>
        </w:trPr>
        <w:tc>
          <w:tcPr>
            <w:tcW w:w="4301" w:type="dxa"/>
            <w:shd w:val="clear" w:color="auto" w:fill="FFFFFF"/>
          </w:tcPr>
          <w:p w14:paraId="4715635C" w14:textId="77777777" w:rsidR="00924992" w:rsidRDefault="00924992">
            <w:pPr>
              <w:pStyle w:val="Other0"/>
              <w:framePr w:w="11443" w:h="3898" w:wrap="none" w:hAnchor="page" w:x="625" w:y="351"/>
              <w:tabs>
                <w:tab w:val="left" w:pos="2822"/>
              </w:tabs>
              <w:spacing w:line="240" w:lineRule="auto"/>
              <w:ind w:firstLine="0"/>
              <w:rPr>
                <w:sz w:val="16"/>
                <w:szCs w:val="16"/>
              </w:rPr>
            </w:pPr>
            <w:r>
              <w:rPr>
                <w:rFonts w:ascii="Times New Roman" w:eastAsia="Times New Roman" w:hAnsi="Times New Roman" w:cs="Times New Roman"/>
                <w:sz w:val="16"/>
                <w:szCs w:val="16"/>
              </w:rPr>
              <w:t>Diarrea crónica con urgencia</w:t>
            </w:r>
            <w:r>
              <w:rPr>
                <w:rFonts w:ascii="Times New Roman" w:eastAsia="Times New Roman" w:hAnsi="Times New Roman" w:cs="Times New Roman"/>
                <w:sz w:val="16"/>
                <w:szCs w:val="16"/>
              </w:rPr>
              <w:tab/>
              <w:t>Variable</w:t>
            </w:r>
          </w:p>
        </w:tc>
        <w:tc>
          <w:tcPr>
            <w:tcW w:w="2909" w:type="dxa"/>
            <w:shd w:val="clear" w:color="auto" w:fill="FFFFFF"/>
          </w:tcPr>
          <w:p w14:paraId="1A91A2E1" w14:textId="77777777" w:rsidR="00924992" w:rsidRDefault="00924992">
            <w:pPr>
              <w:pStyle w:val="Other0"/>
              <w:framePr w:w="11443" w:h="3898" w:wrap="none" w:hAnchor="page" w:x="625" w:y="351"/>
              <w:spacing w:line="240" w:lineRule="auto"/>
              <w:ind w:firstLine="280"/>
              <w:rPr>
                <w:sz w:val="16"/>
                <w:szCs w:val="16"/>
              </w:rPr>
            </w:pPr>
            <w:r>
              <w:rPr>
                <w:rFonts w:ascii="Times New Roman" w:eastAsia="Times New Roman" w:hAnsi="Times New Roman" w:cs="Times New Roman"/>
                <w:sz w:val="16"/>
                <w:szCs w:val="16"/>
              </w:rPr>
              <w:t>Diarrea fétida</w:t>
            </w:r>
          </w:p>
        </w:tc>
        <w:tc>
          <w:tcPr>
            <w:tcW w:w="4234" w:type="dxa"/>
            <w:shd w:val="clear" w:color="auto" w:fill="FFFFFF"/>
          </w:tcPr>
          <w:p w14:paraId="60225F23" w14:textId="77777777" w:rsidR="00924992" w:rsidRDefault="00924992">
            <w:pPr>
              <w:pStyle w:val="Other0"/>
              <w:framePr w:w="11443" w:h="3898" w:wrap="none" w:hAnchor="page" w:x="625" w:y="351"/>
              <w:spacing w:line="240" w:lineRule="auto"/>
              <w:ind w:firstLine="780"/>
              <w:rPr>
                <w:sz w:val="16"/>
                <w:szCs w:val="16"/>
              </w:rPr>
            </w:pPr>
            <w:r>
              <w:rPr>
                <w:rFonts w:ascii="Times New Roman" w:eastAsia="Times New Roman" w:hAnsi="Times New Roman" w:cs="Times New Roman"/>
                <w:sz w:val="16"/>
                <w:szCs w:val="16"/>
              </w:rPr>
              <w:t>Leche no pasteurizada, agua</w:t>
            </w:r>
          </w:p>
        </w:tc>
      </w:tr>
      <w:tr w:rsidR="00924992" w14:paraId="6482DA8D" w14:textId="77777777">
        <w:tblPrEx>
          <w:tblCellMar>
            <w:top w:w="0" w:type="dxa"/>
            <w:bottom w:w="0" w:type="dxa"/>
          </w:tblCellMar>
        </w:tblPrEx>
        <w:trPr>
          <w:trHeight w:hRule="exact" w:val="418"/>
        </w:trPr>
        <w:tc>
          <w:tcPr>
            <w:tcW w:w="4301" w:type="dxa"/>
            <w:shd w:val="clear" w:color="auto" w:fill="FFFFFF"/>
          </w:tcPr>
          <w:p w14:paraId="600A9E3A" w14:textId="77777777" w:rsidR="00924992" w:rsidRDefault="00924992">
            <w:pPr>
              <w:pStyle w:val="Other0"/>
              <w:framePr w:w="11443" w:h="3898" w:wrap="none" w:hAnchor="page" w:x="625" w:y="351"/>
              <w:tabs>
                <w:tab w:val="left" w:pos="2827"/>
              </w:tabs>
              <w:spacing w:line="240" w:lineRule="auto"/>
              <w:ind w:firstLine="0"/>
              <w:rPr>
                <w:sz w:val="16"/>
                <w:szCs w:val="16"/>
              </w:rPr>
            </w:pPr>
            <w:r>
              <w:rPr>
                <w:rFonts w:ascii="Times New Roman" w:eastAsia="Times New Roman" w:hAnsi="Times New Roman" w:cs="Times New Roman"/>
                <w:sz w:val="16"/>
                <w:szCs w:val="16"/>
              </w:rPr>
              <w:t>Manifestaciones extraintestinales</w:t>
            </w:r>
            <w:r>
              <w:rPr>
                <w:rFonts w:ascii="Times New Roman" w:eastAsia="Times New Roman" w:hAnsi="Times New Roman" w:cs="Times New Roman"/>
                <w:sz w:val="16"/>
                <w:szCs w:val="16"/>
              </w:rPr>
              <w:tab/>
              <w:t>Variable</w:t>
            </w:r>
          </w:p>
        </w:tc>
        <w:tc>
          <w:tcPr>
            <w:tcW w:w="2909" w:type="dxa"/>
            <w:shd w:val="clear" w:color="auto" w:fill="FFFFFF"/>
          </w:tcPr>
          <w:p w14:paraId="1264F3D6" w14:textId="77777777" w:rsidR="00924992" w:rsidRDefault="00924992">
            <w:pPr>
              <w:pStyle w:val="Other0"/>
              <w:framePr w:w="11443" w:h="3898" w:wrap="none" w:hAnchor="page" w:x="625" w:y="351"/>
              <w:spacing w:line="240" w:lineRule="auto"/>
              <w:ind w:firstLine="280"/>
              <w:rPr>
                <w:sz w:val="16"/>
                <w:szCs w:val="16"/>
              </w:rPr>
            </w:pPr>
            <w:r>
              <w:rPr>
                <w:rFonts w:ascii="Times New Roman" w:eastAsia="Times New Roman" w:hAnsi="Times New Roman" w:cs="Times New Roman"/>
                <w:sz w:val="16"/>
                <w:szCs w:val="16"/>
              </w:rPr>
              <w:t xml:space="preserve">Especies de </w:t>
            </w:r>
            <w:r>
              <w:rPr>
                <w:rFonts w:ascii="Times New Roman" w:eastAsia="Times New Roman" w:hAnsi="Times New Roman" w:cs="Times New Roman"/>
                <w:i/>
                <w:iCs/>
                <w:sz w:val="16"/>
                <w:szCs w:val="16"/>
              </w:rPr>
              <w:t>Brucella</w:t>
            </w:r>
          </w:p>
        </w:tc>
        <w:tc>
          <w:tcPr>
            <w:tcW w:w="4234" w:type="dxa"/>
            <w:shd w:val="clear" w:color="auto" w:fill="FFFFFF"/>
          </w:tcPr>
          <w:p w14:paraId="45EB0746" w14:textId="77777777" w:rsidR="00924992" w:rsidRDefault="00924992">
            <w:pPr>
              <w:pStyle w:val="Other0"/>
              <w:framePr w:w="11443" w:h="3898" w:wrap="none" w:hAnchor="page" w:x="625" w:y="351"/>
              <w:spacing w:line="283" w:lineRule="auto"/>
              <w:ind w:left="880" w:hanging="100"/>
              <w:jc w:val="both"/>
              <w:rPr>
                <w:sz w:val="16"/>
                <w:szCs w:val="16"/>
              </w:rPr>
            </w:pPr>
            <w:r>
              <w:rPr>
                <w:rFonts w:ascii="Times New Roman" w:eastAsia="Times New Roman" w:hAnsi="Times New Roman" w:cs="Times New Roman"/>
                <w:sz w:val="16"/>
                <w:szCs w:val="16"/>
              </w:rPr>
              <w:t>Queso de cabra, queso fresco, leche cruda, carnes</w:t>
            </w:r>
          </w:p>
        </w:tc>
      </w:tr>
      <w:tr w:rsidR="00924992" w14:paraId="10A22507" w14:textId="77777777">
        <w:tblPrEx>
          <w:tblCellMar>
            <w:top w:w="0" w:type="dxa"/>
            <w:bottom w:w="0" w:type="dxa"/>
          </w:tblCellMar>
        </w:tblPrEx>
        <w:trPr>
          <w:trHeight w:hRule="exact" w:val="230"/>
        </w:trPr>
        <w:tc>
          <w:tcPr>
            <w:tcW w:w="4301" w:type="dxa"/>
            <w:shd w:val="clear" w:color="auto" w:fill="FFFFFF"/>
          </w:tcPr>
          <w:p w14:paraId="0B073010" w14:textId="77777777" w:rsidR="00924992" w:rsidRDefault="00924992">
            <w:pPr>
              <w:framePr w:w="11443" w:h="3898" w:wrap="none" w:hAnchor="page" w:x="625" w:y="351"/>
              <w:rPr>
                <w:sz w:val="10"/>
                <w:szCs w:val="10"/>
              </w:rPr>
            </w:pPr>
          </w:p>
        </w:tc>
        <w:tc>
          <w:tcPr>
            <w:tcW w:w="2909" w:type="dxa"/>
            <w:shd w:val="clear" w:color="auto" w:fill="FFFFFF"/>
            <w:vAlign w:val="bottom"/>
          </w:tcPr>
          <w:p w14:paraId="2DCB8B50" w14:textId="77777777" w:rsidR="00924992" w:rsidRDefault="00924992">
            <w:pPr>
              <w:pStyle w:val="Other0"/>
              <w:framePr w:w="11443" w:h="3898" w:wrap="none" w:hAnchor="page" w:x="625" w:y="351"/>
              <w:spacing w:line="240" w:lineRule="auto"/>
              <w:ind w:firstLine="280"/>
              <w:rPr>
                <w:sz w:val="16"/>
                <w:szCs w:val="16"/>
              </w:rPr>
            </w:pPr>
            <w:r>
              <w:rPr>
                <w:rFonts w:ascii="Times New Roman" w:eastAsia="Times New Roman" w:hAnsi="Times New Roman" w:cs="Times New Roman"/>
                <w:sz w:val="16"/>
                <w:szCs w:val="16"/>
              </w:rPr>
              <w:t>Estreptococos del grupo A</w:t>
            </w:r>
          </w:p>
        </w:tc>
        <w:tc>
          <w:tcPr>
            <w:tcW w:w="4234" w:type="dxa"/>
            <w:shd w:val="clear" w:color="auto" w:fill="FFFFFF"/>
            <w:vAlign w:val="bottom"/>
          </w:tcPr>
          <w:p w14:paraId="74AC4A0F" w14:textId="77777777" w:rsidR="00924992" w:rsidRDefault="00924992">
            <w:pPr>
              <w:pStyle w:val="Other0"/>
              <w:framePr w:w="11443" w:h="3898" w:wrap="none" w:hAnchor="page" w:x="625" w:y="351"/>
              <w:spacing w:line="240" w:lineRule="auto"/>
              <w:ind w:firstLine="780"/>
              <w:rPr>
                <w:sz w:val="16"/>
                <w:szCs w:val="16"/>
              </w:rPr>
            </w:pPr>
            <w:r>
              <w:rPr>
                <w:rFonts w:ascii="Times New Roman" w:eastAsia="Times New Roman" w:hAnsi="Times New Roman" w:cs="Times New Roman"/>
                <w:sz w:val="16"/>
                <w:szCs w:val="16"/>
              </w:rPr>
              <w:t>Ensalada de huevo y patatas</w:t>
            </w:r>
          </w:p>
        </w:tc>
      </w:tr>
      <w:tr w:rsidR="00924992" w14:paraId="4AE1D4A4" w14:textId="77777777">
        <w:tblPrEx>
          <w:tblCellMar>
            <w:top w:w="0" w:type="dxa"/>
            <w:bottom w:w="0" w:type="dxa"/>
          </w:tblCellMar>
        </w:tblPrEx>
        <w:trPr>
          <w:trHeight w:hRule="exact" w:val="437"/>
        </w:trPr>
        <w:tc>
          <w:tcPr>
            <w:tcW w:w="4301" w:type="dxa"/>
            <w:shd w:val="clear" w:color="auto" w:fill="FFFFFF"/>
          </w:tcPr>
          <w:p w14:paraId="37732F85" w14:textId="77777777" w:rsidR="00924992" w:rsidRDefault="00924992">
            <w:pPr>
              <w:framePr w:w="11443" w:h="3898" w:wrap="none" w:hAnchor="page" w:x="625" w:y="351"/>
              <w:rPr>
                <w:sz w:val="10"/>
                <w:szCs w:val="10"/>
              </w:rPr>
            </w:pPr>
          </w:p>
        </w:tc>
        <w:tc>
          <w:tcPr>
            <w:tcW w:w="2909" w:type="dxa"/>
            <w:shd w:val="clear" w:color="auto" w:fill="FFFFFF"/>
          </w:tcPr>
          <w:p w14:paraId="58F2E113" w14:textId="77777777" w:rsidR="00924992" w:rsidRDefault="00924992">
            <w:pPr>
              <w:pStyle w:val="Other0"/>
              <w:framePr w:w="11443" w:h="3898" w:wrap="none" w:hAnchor="page" w:x="625" w:y="351"/>
              <w:spacing w:line="240" w:lineRule="auto"/>
              <w:ind w:firstLine="280"/>
              <w:rPr>
                <w:sz w:val="16"/>
                <w:szCs w:val="16"/>
              </w:rPr>
            </w:pPr>
            <w:r>
              <w:rPr>
                <w:rFonts w:ascii="Times New Roman" w:eastAsia="Times New Roman" w:hAnsi="Times New Roman" w:cs="Times New Roman"/>
                <w:sz w:val="16"/>
                <w:szCs w:val="16"/>
              </w:rPr>
              <w:t>Virus de hepatitis A</w:t>
            </w:r>
          </w:p>
        </w:tc>
        <w:tc>
          <w:tcPr>
            <w:tcW w:w="4234" w:type="dxa"/>
            <w:shd w:val="clear" w:color="auto" w:fill="FFFFFF"/>
            <w:vAlign w:val="bottom"/>
          </w:tcPr>
          <w:p w14:paraId="78B174FC" w14:textId="77777777" w:rsidR="00924992" w:rsidRDefault="00924992">
            <w:pPr>
              <w:pStyle w:val="Other0"/>
              <w:framePr w:w="11443" w:h="3898" w:wrap="none" w:hAnchor="page" w:x="625" w:y="351"/>
              <w:spacing w:line="283" w:lineRule="auto"/>
              <w:ind w:left="880" w:hanging="100"/>
              <w:jc w:val="both"/>
              <w:rPr>
                <w:sz w:val="16"/>
                <w:szCs w:val="16"/>
              </w:rPr>
            </w:pPr>
            <w:r>
              <w:rPr>
                <w:rFonts w:ascii="Times New Roman" w:eastAsia="Times New Roman" w:hAnsi="Times New Roman" w:cs="Times New Roman"/>
                <w:sz w:val="16"/>
                <w:szCs w:val="16"/>
              </w:rPr>
              <w:t>Mariscos, productos crudos (como fresas o lechuga)</w:t>
            </w:r>
          </w:p>
        </w:tc>
      </w:tr>
      <w:tr w:rsidR="00924992" w14:paraId="64CA3B5A" w14:textId="77777777">
        <w:tblPrEx>
          <w:tblCellMar>
            <w:top w:w="0" w:type="dxa"/>
            <w:bottom w:w="0" w:type="dxa"/>
          </w:tblCellMar>
        </w:tblPrEx>
        <w:trPr>
          <w:trHeight w:hRule="exact" w:val="408"/>
        </w:trPr>
        <w:tc>
          <w:tcPr>
            <w:tcW w:w="4301" w:type="dxa"/>
            <w:shd w:val="clear" w:color="auto" w:fill="FFFFFF"/>
          </w:tcPr>
          <w:p w14:paraId="54A78366" w14:textId="77777777" w:rsidR="00924992" w:rsidRDefault="00924992">
            <w:pPr>
              <w:framePr w:w="11443" w:h="3898" w:wrap="none" w:hAnchor="page" w:x="625" w:y="351"/>
              <w:rPr>
                <w:sz w:val="10"/>
                <w:szCs w:val="10"/>
              </w:rPr>
            </w:pPr>
          </w:p>
        </w:tc>
        <w:tc>
          <w:tcPr>
            <w:tcW w:w="2909" w:type="dxa"/>
            <w:shd w:val="clear" w:color="auto" w:fill="FFFFFF"/>
          </w:tcPr>
          <w:p w14:paraId="3968C881" w14:textId="77777777" w:rsidR="00924992" w:rsidRDefault="00924992">
            <w:pPr>
              <w:pStyle w:val="Other0"/>
              <w:framePr w:w="11443" w:h="3898" w:wrap="none" w:hAnchor="page" w:x="625" w:y="351"/>
              <w:spacing w:line="240" w:lineRule="auto"/>
              <w:ind w:firstLine="280"/>
              <w:rPr>
                <w:sz w:val="16"/>
                <w:szCs w:val="16"/>
              </w:rPr>
            </w:pPr>
            <w:r>
              <w:rPr>
                <w:rFonts w:ascii="Times New Roman" w:eastAsia="Times New Roman" w:hAnsi="Times New Roman" w:cs="Times New Roman"/>
                <w:i/>
                <w:iCs/>
                <w:sz w:val="16"/>
                <w:szCs w:val="16"/>
              </w:rPr>
              <w:t>Listeria monocytogenes</w:t>
            </w:r>
          </w:p>
        </w:tc>
        <w:tc>
          <w:tcPr>
            <w:tcW w:w="4234" w:type="dxa"/>
            <w:shd w:val="clear" w:color="auto" w:fill="FFFFFF"/>
            <w:vAlign w:val="bottom"/>
          </w:tcPr>
          <w:p w14:paraId="03E0DEA6" w14:textId="77777777" w:rsidR="00924992" w:rsidRDefault="00924992">
            <w:pPr>
              <w:pStyle w:val="Other0"/>
              <w:framePr w:w="11443" w:h="3898" w:wrap="none" w:hAnchor="page" w:x="625" w:y="351"/>
              <w:spacing w:line="283" w:lineRule="auto"/>
              <w:ind w:left="880" w:hanging="100"/>
              <w:jc w:val="both"/>
              <w:rPr>
                <w:sz w:val="16"/>
                <w:szCs w:val="16"/>
              </w:rPr>
            </w:pPr>
            <w:r>
              <w:rPr>
                <w:rFonts w:ascii="Times New Roman" w:eastAsia="Times New Roman" w:hAnsi="Times New Roman" w:cs="Times New Roman"/>
                <w:sz w:val="16"/>
                <w:szCs w:val="16"/>
              </w:rPr>
              <w:t>Queso, leche cruda, salchichas, ensalada de col, carnes frías listas para comer</w:t>
            </w:r>
          </w:p>
        </w:tc>
      </w:tr>
      <w:tr w:rsidR="00924992" w14:paraId="2EDE9DBB" w14:textId="77777777">
        <w:tblPrEx>
          <w:tblCellMar>
            <w:top w:w="0" w:type="dxa"/>
            <w:bottom w:w="0" w:type="dxa"/>
          </w:tblCellMar>
        </w:tblPrEx>
        <w:trPr>
          <w:trHeight w:hRule="exact" w:val="221"/>
        </w:trPr>
        <w:tc>
          <w:tcPr>
            <w:tcW w:w="4301" w:type="dxa"/>
            <w:shd w:val="clear" w:color="auto" w:fill="FFFFFF"/>
          </w:tcPr>
          <w:p w14:paraId="3D53DC9D" w14:textId="77777777" w:rsidR="00924992" w:rsidRDefault="00924992">
            <w:pPr>
              <w:framePr w:w="11443" w:h="3898" w:wrap="none" w:hAnchor="page" w:x="625" w:y="351"/>
              <w:rPr>
                <w:sz w:val="10"/>
                <w:szCs w:val="10"/>
              </w:rPr>
            </w:pPr>
          </w:p>
        </w:tc>
        <w:tc>
          <w:tcPr>
            <w:tcW w:w="2909" w:type="dxa"/>
            <w:shd w:val="clear" w:color="auto" w:fill="FFFFFF"/>
            <w:vAlign w:val="bottom"/>
          </w:tcPr>
          <w:p w14:paraId="5543429C" w14:textId="77777777" w:rsidR="00924992" w:rsidRDefault="00924992">
            <w:pPr>
              <w:pStyle w:val="Other0"/>
              <w:framePr w:w="11443" w:h="3898" w:wrap="none" w:hAnchor="page" w:x="625" w:y="351"/>
              <w:spacing w:line="240" w:lineRule="auto"/>
              <w:ind w:firstLine="280"/>
              <w:rPr>
                <w:sz w:val="16"/>
                <w:szCs w:val="16"/>
              </w:rPr>
            </w:pPr>
            <w:r>
              <w:rPr>
                <w:rFonts w:ascii="Times New Roman" w:eastAsia="Times New Roman" w:hAnsi="Times New Roman" w:cs="Times New Roman"/>
                <w:i/>
                <w:iCs/>
                <w:sz w:val="16"/>
                <w:szCs w:val="16"/>
              </w:rPr>
              <w:t>Trichinella spiralis</w:t>
            </w:r>
          </w:p>
        </w:tc>
        <w:tc>
          <w:tcPr>
            <w:tcW w:w="4234" w:type="dxa"/>
            <w:shd w:val="clear" w:color="auto" w:fill="FFFFFF"/>
            <w:vAlign w:val="bottom"/>
          </w:tcPr>
          <w:p w14:paraId="105F30C5" w14:textId="77777777" w:rsidR="00924992" w:rsidRDefault="00924992">
            <w:pPr>
              <w:pStyle w:val="Other0"/>
              <w:framePr w:w="11443" w:h="3898" w:wrap="none" w:hAnchor="page" w:x="625" w:y="351"/>
              <w:spacing w:line="240" w:lineRule="auto"/>
              <w:ind w:firstLine="780"/>
              <w:rPr>
                <w:sz w:val="16"/>
                <w:szCs w:val="16"/>
              </w:rPr>
            </w:pPr>
            <w:r>
              <w:rPr>
                <w:rFonts w:ascii="Times New Roman" w:eastAsia="Times New Roman" w:hAnsi="Times New Roman" w:cs="Times New Roman"/>
                <w:sz w:val="16"/>
                <w:szCs w:val="16"/>
              </w:rPr>
              <w:t>Cerdo, animales salvajes, carnes</w:t>
            </w:r>
          </w:p>
        </w:tc>
      </w:tr>
      <w:tr w:rsidR="00924992" w14:paraId="4020B4F6" w14:textId="77777777">
        <w:tblPrEx>
          <w:tblCellMar>
            <w:top w:w="0" w:type="dxa"/>
            <w:bottom w:w="0" w:type="dxa"/>
          </w:tblCellMar>
        </w:tblPrEx>
        <w:trPr>
          <w:trHeight w:hRule="exact" w:val="230"/>
        </w:trPr>
        <w:tc>
          <w:tcPr>
            <w:tcW w:w="4301" w:type="dxa"/>
            <w:shd w:val="clear" w:color="auto" w:fill="FFFFFF"/>
          </w:tcPr>
          <w:p w14:paraId="2D55D033" w14:textId="77777777" w:rsidR="00924992" w:rsidRDefault="00924992">
            <w:pPr>
              <w:framePr w:w="11443" w:h="3898" w:wrap="none" w:hAnchor="page" w:x="625" w:y="351"/>
              <w:rPr>
                <w:sz w:val="10"/>
                <w:szCs w:val="10"/>
              </w:rPr>
            </w:pPr>
          </w:p>
        </w:tc>
        <w:tc>
          <w:tcPr>
            <w:tcW w:w="2909" w:type="dxa"/>
            <w:shd w:val="clear" w:color="auto" w:fill="FFFFFF"/>
            <w:vAlign w:val="bottom"/>
          </w:tcPr>
          <w:p w14:paraId="5020F005" w14:textId="77777777" w:rsidR="00924992" w:rsidRDefault="00924992">
            <w:pPr>
              <w:pStyle w:val="Other0"/>
              <w:framePr w:w="11443" w:h="3898" w:wrap="none" w:hAnchor="page" w:x="625" w:y="351"/>
              <w:spacing w:line="240" w:lineRule="auto"/>
              <w:ind w:firstLine="280"/>
              <w:rPr>
                <w:sz w:val="16"/>
                <w:szCs w:val="16"/>
              </w:rPr>
            </w:pPr>
            <w:r>
              <w:rPr>
                <w:rFonts w:ascii="Times New Roman" w:eastAsia="Times New Roman" w:hAnsi="Times New Roman" w:cs="Times New Roman"/>
                <w:i/>
                <w:iCs/>
                <w:sz w:val="16"/>
                <w:szCs w:val="16"/>
              </w:rPr>
              <w:t>Vibrio vulnificus</w:t>
            </w:r>
          </w:p>
        </w:tc>
        <w:tc>
          <w:tcPr>
            <w:tcW w:w="4234" w:type="dxa"/>
            <w:shd w:val="clear" w:color="auto" w:fill="FFFFFF"/>
            <w:vAlign w:val="bottom"/>
          </w:tcPr>
          <w:p w14:paraId="1AA4D233" w14:textId="77777777" w:rsidR="00924992" w:rsidRDefault="00924992">
            <w:pPr>
              <w:pStyle w:val="Other0"/>
              <w:framePr w:w="11443" w:h="3898" w:wrap="none" w:hAnchor="page" w:x="625" w:y="351"/>
              <w:spacing w:line="240" w:lineRule="auto"/>
              <w:ind w:firstLine="780"/>
              <w:rPr>
                <w:sz w:val="16"/>
                <w:szCs w:val="16"/>
              </w:rPr>
            </w:pPr>
            <w:r>
              <w:rPr>
                <w:rFonts w:ascii="Times New Roman" w:eastAsia="Times New Roman" w:hAnsi="Times New Roman" w:cs="Times New Roman"/>
                <w:sz w:val="16"/>
                <w:szCs w:val="16"/>
              </w:rPr>
              <w:t>Mariscos (en particular ostiones)</w:t>
            </w:r>
          </w:p>
        </w:tc>
      </w:tr>
      <w:tr w:rsidR="00924992" w14:paraId="01BBD0E0" w14:textId="77777777">
        <w:tblPrEx>
          <w:tblCellMar>
            <w:top w:w="0" w:type="dxa"/>
            <w:bottom w:w="0" w:type="dxa"/>
          </w:tblCellMar>
        </w:tblPrEx>
        <w:trPr>
          <w:trHeight w:hRule="exact" w:val="230"/>
        </w:trPr>
        <w:tc>
          <w:tcPr>
            <w:tcW w:w="4301" w:type="dxa"/>
            <w:shd w:val="clear" w:color="auto" w:fill="FFFFFF"/>
          </w:tcPr>
          <w:p w14:paraId="41CB1151" w14:textId="77777777" w:rsidR="00924992" w:rsidRDefault="00924992">
            <w:pPr>
              <w:framePr w:w="11443" w:h="3898" w:wrap="none" w:hAnchor="page" w:x="625" w:y="351"/>
              <w:rPr>
                <w:sz w:val="10"/>
                <w:szCs w:val="10"/>
              </w:rPr>
            </w:pPr>
          </w:p>
        </w:tc>
        <w:tc>
          <w:tcPr>
            <w:tcW w:w="2909" w:type="dxa"/>
            <w:shd w:val="clear" w:color="auto" w:fill="FFFFFF"/>
          </w:tcPr>
          <w:p w14:paraId="26642300" w14:textId="77777777" w:rsidR="00924992" w:rsidRDefault="00924992">
            <w:pPr>
              <w:pStyle w:val="Other0"/>
              <w:framePr w:w="11443" w:h="3898" w:wrap="none" w:hAnchor="page" w:x="625" w:y="351"/>
              <w:spacing w:line="240" w:lineRule="auto"/>
              <w:ind w:firstLine="280"/>
              <w:rPr>
                <w:sz w:val="16"/>
                <w:szCs w:val="16"/>
              </w:rPr>
            </w:pPr>
            <w:r>
              <w:rPr>
                <w:rFonts w:ascii="Times New Roman" w:eastAsia="Times New Roman" w:hAnsi="Times New Roman" w:cs="Times New Roman"/>
                <w:i/>
                <w:iCs/>
                <w:sz w:val="16"/>
                <w:szCs w:val="16"/>
              </w:rPr>
              <w:t>Toxoplasma gondii</w:t>
            </w:r>
          </w:p>
        </w:tc>
        <w:tc>
          <w:tcPr>
            <w:tcW w:w="4234" w:type="dxa"/>
            <w:shd w:val="clear" w:color="auto" w:fill="FFFFFF"/>
          </w:tcPr>
          <w:p w14:paraId="6A9F70EB" w14:textId="77777777" w:rsidR="00924992" w:rsidRDefault="00924992">
            <w:pPr>
              <w:pStyle w:val="Other0"/>
              <w:framePr w:w="11443" w:h="3898" w:wrap="none" w:hAnchor="page" w:x="625" w:y="351"/>
              <w:spacing w:line="240" w:lineRule="auto"/>
              <w:ind w:firstLine="780"/>
              <w:rPr>
                <w:sz w:val="16"/>
                <w:szCs w:val="16"/>
              </w:rPr>
            </w:pPr>
            <w:r>
              <w:rPr>
                <w:rFonts w:ascii="Times New Roman" w:eastAsia="Times New Roman" w:hAnsi="Times New Roman" w:cs="Times New Roman"/>
                <w:sz w:val="16"/>
                <w:szCs w:val="16"/>
              </w:rPr>
              <w:t>Carnes de res, cerdo, cordero o venado</w:t>
            </w:r>
          </w:p>
        </w:tc>
      </w:tr>
    </w:tbl>
    <w:p w14:paraId="1D48CB43" w14:textId="77777777" w:rsidR="00924992" w:rsidRDefault="00924992">
      <w:pPr>
        <w:framePr w:w="11443" w:h="3898" w:wrap="none" w:hAnchor="page" w:x="625" w:y="351"/>
        <w:spacing w:line="1" w:lineRule="exact"/>
      </w:pPr>
    </w:p>
    <w:p w14:paraId="0CAA916D" w14:textId="77777777" w:rsidR="00924992" w:rsidRDefault="00924992">
      <w:pPr>
        <w:pStyle w:val="Bodytext80"/>
        <w:framePr w:w="192" w:h="3898" w:hRule="exact" w:wrap="none" w:hAnchor="page" w:x="12390" w:y="3001"/>
        <w:tabs>
          <w:tab w:val="left" w:pos="3581"/>
        </w:tabs>
        <w:textDirection w:val="tbRl"/>
        <w:rPr>
          <w:sz w:val="16"/>
          <w:szCs w:val="16"/>
        </w:rPr>
      </w:pPr>
      <w:r>
        <w:t>APÉNDICE VI</w:t>
      </w:r>
      <w:r>
        <w:tab/>
      </w:r>
      <w:r>
        <w:rPr>
          <w:sz w:val="16"/>
          <w:szCs w:val="16"/>
        </w:rPr>
        <w:t>849</w:t>
      </w:r>
    </w:p>
    <w:p w14:paraId="0699C30A" w14:textId="77777777" w:rsidR="00924992" w:rsidRDefault="00924992">
      <w:pPr>
        <w:spacing w:line="360" w:lineRule="exact"/>
      </w:pPr>
    </w:p>
    <w:p w14:paraId="53DC1233" w14:textId="77777777" w:rsidR="00924992" w:rsidRDefault="00924992">
      <w:pPr>
        <w:spacing w:line="360" w:lineRule="exact"/>
      </w:pPr>
    </w:p>
    <w:p w14:paraId="3CB317E1" w14:textId="77777777" w:rsidR="00924992" w:rsidRDefault="00924992">
      <w:pPr>
        <w:spacing w:line="360" w:lineRule="exact"/>
      </w:pPr>
    </w:p>
    <w:p w14:paraId="3DA7D50D" w14:textId="77777777" w:rsidR="00924992" w:rsidRDefault="00924992">
      <w:pPr>
        <w:spacing w:line="360" w:lineRule="exact"/>
      </w:pPr>
    </w:p>
    <w:p w14:paraId="6AA5240B" w14:textId="77777777" w:rsidR="00924992" w:rsidRDefault="00924992">
      <w:pPr>
        <w:spacing w:line="360" w:lineRule="exact"/>
      </w:pPr>
    </w:p>
    <w:p w14:paraId="5C64AF68" w14:textId="77777777" w:rsidR="00924992" w:rsidRDefault="00924992">
      <w:pPr>
        <w:spacing w:line="360" w:lineRule="exact"/>
      </w:pPr>
    </w:p>
    <w:p w14:paraId="1DAA1AD3" w14:textId="77777777" w:rsidR="00924992" w:rsidRDefault="00924992">
      <w:pPr>
        <w:spacing w:line="360" w:lineRule="exact"/>
      </w:pPr>
    </w:p>
    <w:p w14:paraId="21D3D5AA" w14:textId="77777777" w:rsidR="00924992" w:rsidRDefault="00924992">
      <w:pPr>
        <w:spacing w:line="360" w:lineRule="exact"/>
      </w:pPr>
    </w:p>
    <w:p w14:paraId="56B89966" w14:textId="77777777" w:rsidR="00924992" w:rsidRDefault="00924992">
      <w:pPr>
        <w:spacing w:line="360" w:lineRule="exact"/>
      </w:pPr>
    </w:p>
    <w:p w14:paraId="02E1B234" w14:textId="77777777" w:rsidR="00924992" w:rsidRDefault="00924992">
      <w:pPr>
        <w:spacing w:line="360" w:lineRule="exact"/>
      </w:pPr>
    </w:p>
    <w:p w14:paraId="277E27B2" w14:textId="77777777" w:rsidR="00924992" w:rsidRDefault="00924992">
      <w:pPr>
        <w:spacing w:line="360" w:lineRule="exact"/>
      </w:pPr>
    </w:p>
    <w:p w14:paraId="2DC590FD" w14:textId="77777777" w:rsidR="00924992" w:rsidRDefault="00924992">
      <w:pPr>
        <w:spacing w:line="360" w:lineRule="exact"/>
      </w:pPr>
    </w:p>
    <w:p w14:paraId="0F5802AB" w14:textId="77777777" w:rsidR="00924992" w:rsidRDefault="00924992">
      <w:pPr>
        <w:spacing w:line="360" w:lineRule="exact"/>
      </w:pPr>
    </w:p>
    <w:p w14:paraId="3E6B1BE9" w14:textId="77777777" w:rsidR="00924992" w:rsidRDefault="00924992">
      <w:pPr>
        <w:spacing w:line="360" w:lineRule="exact"/>
      </w:pPr>
    </w:p>
    <w:p w14:paraId="2E1A7F8E" w14:textId="77777777" w:rsidR="00924992" w:rsidRDefault="00924992">
      <w:pPr>
        <w:spacing w:line="360" w:lineRule="exact"/>
      </w:pPr>
    </w:p>
    <w:p w14:paraId="499C301E" w14:textId="77777777" w:rsidR="00924992" w:rsidRDefault="00924992">
      <w:pPr>
        <w:spacing w:line="360" w:lineRule="exact"/>
      </w:pPr>
    </w:p>
    <w:p w14:paraId="07EEDE52" w14:textId="77777777" w:rsidR="00924992" w:rsidRDefault="00924992">
      <w:pPr>
        <w:spacing w:line="360" w:lineRule="exact"/>
      </w:pPr>
    </w:p>
    <w:p w14:paraId="71D3A715" w14:textId="77777777" w:rsidR="00924992" w:rsidRDefault="00924992">
      <w:pPr>
        <w:spacing w:line="360" w:lineRule="exact"/>
      </w:pPr>
    </w:p>
    <w:p w14:paraId="5FBDD2C7" w14:textId="77777777" w:rsidR="00924992" w:rsidRDefault="00924992">
      <w:pPr>
        <w:spacing w:after="417" w:line="1" w:lineRule="exact"/>
      </w:pPr>
    </w:p>
    <w:p w14:paraId="104C09C4" w14:textId="77777777" w:rsidR="00924992" w:rsidRDefault="00924992">
      <w:pPr>
        <w:spacing w:line="1" w:lineRule="exact"/>
        <w:sectPr w:rsidR="00924992" w:rsidSect="00924992">
          <w:headerReference w:type="even" r:id="rId513"/>
          <w:headerReference w:type="default" r:id="rId514"/>
          <w:footerReference w:type="even" r:id="rId515"/>
          <w:footerReference w:type="default" r:id="rId516"/>
          <w:footnotePr>
            <w:numFmt w:val="chicago"/>
          </w:footnotePr>
          <w:pgSz w:w="13022" w:h="8501" w:orient="landscape"/>
          <w:pgMar w:top="1099" w:right="442" w:bottom="304" w:left="624" w:header="671" w:footer="3" w:gutter="0"/>
          <w:cols w:space="720"/>
          <w:noEndnote/>
          <w:docGrid w:linePitch="360"/>
          <w15:footnoteColumns w:val="1"/>
        </w:sectPr>
      </w:pPr>
    </w:p>
    <w:p w14:paraId="501F6624" w14:textId="77777777" w:rsidR="00924992" w:rsidRDefault="00924992">
      <w:pPr>
        <w:pStyle w:val="Bodytext100"/>
        <w:spacing w:before="100" w:after="140" w:line="202" w:lineRule="auto"/>
        <w:rPr>
          <w:sz w:val="34"/>
          <w:szCs w:val="34"/>
        </w:rPr>
      </w:pPr>
      <w:r>
        <w:rPr>
          <w:sz w:val="34"/>
          <w:szCs w:val="34"/>
        </w:rPr>
        <w:t>A</w:t>
      </w:r>
      <w:r>
        <w:t>péndice vii</w:t>
      </w:r>
      <w:r>
        <w:rPr>
          <w:sz w:val="34"/>
          <w:szCs w:val="34"/>
        </w:rPr>
        <w:t>.</w:t>
      </w:r>
    </w:p>
    <w:p w14:paraId="5F9E46EC" w14:textId="77777777" w:rsidR="00924992" w:rsidRDefault="00924992">
      <w:pPr>
        <w:pStyle w:val="Bodytext70"/>
        <w:spacing w:after="140" w:line="214" w:lineRule="auto"/>
        <w:jc w:val="center"/>
      </w:pPr>
      <w:r>
        <w:t>Prevención de enfermedades por productos alimenticios</w:t>
      </w:r>
      <w:r>
        <w:br/>
        <w:t>potencialmente contaminados</w:t>
      </w:r>
      <w:r>
        <w:footnoteReference w:id="60"/>
      </w:r>
    </w:p>
    <w:p w14:paraId="5613AF63" w14:textId="77777777" w:rsidR="00924992" w:rsidRDefault="00924992">
      <w:pPr>
        <w:pStyle w:val="BodyText"/>
        <w:spacing w:line="276" w:lineRule="auto"/>
        <w:ind w:firstLine="0"/>
      </w:pPr>
      <w:r>
        <w:t xml:space="preserve">Las enfermedades de origen alimentario se acompañan de morbilidad y mortalidad considerables en personas de cualquier edad. En Estados Unidos los </w:t>
      </w:r>
      <w:r>
        <w:rPr>
          <w:rFonts w:ascii="Times New Roman" w:eastAsia="Times New Roman" w:hAnsi="Times New Roman" w:cs="Times New Roman"/>
          <w:i/>
          <w:iCs/>
          <w:sz w:val="16"/>
          <w:szCs w:val="16"/>
        </w:rPr>
        <w:t>Centers for Disease Control and Prevention</w:t>
      </w:r>
      <w:r>
        <w:t xml:space="preserve"> (CDC) calculan que en ese país cada año surgen más de 76 millones de casos de este tipo de enfermedades, lo que ocasiona 325 000 hospitalizaciones y 5 000 fallecimientos. Los niños de corta edad, los ancianos y en particular los sujetos inmunodeficientes son los más susceptibles a presentar las enfermedades y las complicaciones causadas por muchos de los microorganismos vinculados con este tipo de padecimientos. Las medidas preventivas que se señalan a continuación pueden ponerse en práctica para disminuir el peligro de infección y enfermedad por alimentos potencialmente contaminados.</w:t>
      </w:r>
    </w:p>
    <w:p w14:paraId="4C3C5922" w14:textId="77777777" w:rsidR="00924992" w:rsidRDefault="00924992">
      <w:pPr>
        <w:pStyle w:val="BodyText"/>
        <w:spacing w:line="276" w:lineRule="auto"/>
        <w:ind w:firstLine="360"/>
      </w:pPr>
      <w:r>
        <w:rPr>
          <w:rFonts w:ascii="Times New Roman" w:eastAsia="Times New Roman" w:hAnsi="Times New Roman" w:cs="Times New Roman"/>
          <w:b/>
          <w:bCs/>
          <w:i/>
          <w:iCs/>
          <w:sz w:val="16"/>
          <w:szCs w:val="16"/>
        </w:rPr>
        <w:t>Leche y quesos no pasteurizados.</w:t>
      </w:r>
      <w:r>
        <w:t xml:space="preserve"> La </w:t>
      </w:r>
      <w:r>
        <w:rPr>
          <w:rFonts w:ascii="Times New Roman" w:eastAsia="Times New Roman" w:hAnsi="Times New Roman" w:cs="Times New Roman"/>
          <w:i/>
          <w:iCs/>
          <w:sz w:val="16"/>
          <w:szCs w:val="16"/>
        </w:rPr>
        <w:t>American Academy of Pediatrics</w:t>
      </w:r>
      <w:r>
        <w:t xml:space="preserve"> (AAP) recomienda decididamente el uso de leche pasteurizada y que los padres y funcionarios sanitarios estén perfectamente informados de los riesgos importantes que acompañan al consumo de dicho líquido no pasteurizado. En Estados Unidos, la </w:t>
      </w:r>
      <w:r>
        <w:rPr>
          <w:rFonts w:ascii="Times New Roman" w:eastAsia="Times New Roman" w:hAnsi="Times New Roman" w:cs="Times New Roman"/>
          <w:i/>
          <w:iCs/>
          <w:sz w:val="16"/>
          <w:szCs w:val="16"/>
        </w:rPr>
        <w:t>Food and Drug Administration</w:t>
      </w:r>
      <w:r>
        <w:t xml:space="preserve"> prohíbe la venta de leche cruda entre un estado y otro de la Unión Norteamericana. Los niños no deben consumir ese tipo de leche o productos lácteos, como queso y mantequilla, no pasteurizados. Se han atribuido infecciones sistémicas graves por especies de </w:t>
      </w:r>
      <w:r>
        <w:rPr>
          <w:rFonts w:ascii="Times New Roman" w:eastAsia="Times New Roman" w:hAnsi="Times New Roman" w:cs="Times New Roman"/>
          <w:i/>
          <w:iCs/>
          <w:sz w:val="16"/>
          <w:szCs w:val="16"/>
        </w:rPr>
        <w:t>Salmonella, Campylobacter, Mycobacterium bovis</w:t>
      </w:r>
      <w:r>
        <w:t xml:space="preserve"> y </w:t>
      </w:r>
      <w:r>
        <w:rPr>
          <w:rFonts w:ascii="Times New Roman" w:eastAsia="Times New Roman" w:hAnsi="Times New Roman" w:cs="Times New Roman"/>
          <w:i/>
          <w:iCs/>
          <w:sz w:val="16"/>
          <w:szCs w:val="16"/>
        </w:rPr>
        <w:t xml:space="preserve">Escherichia coli </w:t>
      </w:r>
      <w:r>
        <w:t xml:space="preserve">O157:H7 al consumo de leche no pasteurizada, inclusive la leche cruda certificada. En particular, un número cada vez mayor de brotes de campilobacteriosis en niños se han vinculado con excursiones escolares a granjas y el consumo de leche cruda; este último debe prohibirse en los viajes educativos. Los quesos de leche no pasteurizada se han vinculado con aparición de enfermedades atribuibles a especies de </w:t>
      </w:r>
      <w:r>
        <w:rPr>
          <w:rFonts w:ascii="Times New Roman" w:eastAsia="Times New Roman" w:hAnsi="Times New Roman" w:cs="Times New Roman"/>
          <w:i/>
          <w:iCs/>
          <w:sz w:val="16"/>
          <w:szCs w:val="16"/>
        </w:rPr>
        <w:t>Brucella</w:t>
      </w:r>
      <w:r>
        <w:t xml:space="preserve"> y </w:t>
      </w:r>
      <w:r>
        <w:rPr>
          <w:rFonts w:ascii="Times New Roman" w:eastAsia="Times New Roman" w:hAnsi="Times New Roman" w:cs="Times New Roman"/>
          <w:i/>
          <w:iCs/>
          <w:sz w:val="16"/>
          <w:szCs w:val="16"/>
        </w:rPr>
        <w:t>Listeria monocytogenes</w:t>
      </w:r>
      <w:r>
        <w:rPr>
          <w:i/>
          <w:iCs/>
        </w:rPr>
        <w:t>.</w:t>
      </w:r>
    </w:p>
    <w:p w14:paraId="423443F8" w14:textId="77777777" w:rsidR="00924992" w:rsidRDefault="00924992">
      <w:pPr>
        <w:pStyle w:val="BodyText"/>
        <w:ind w:firstLine="360"/>
      </w:pPr>
      <w:r>
        <w:rPr>
          <w:rFonts w:ascii="Times New Roman" w:eastAsia="Times New Roman" w:hAnsi="Times New Roman" w:cs="Times New Roman"/>
          <w:b/>
          <w:bCs/>
          <w:i/>
          <w:iCs/>
          <w:sz w:val="16"/>
          <w:szCs w:val="16"/>
        </w:rPr>
        <w:t>Huevos.</w:t>
      </w:r>
      <w:r>
        <w:t xml:space="preserve"> Los niños no deben consumir huevos crudos o cocidos insuficientemente, huevos en polvo no pasteurizados o productos que contengan huevos crudos. Los principales vehículos de transmisión de especies de </w:t>
      </w:r>
      <w:r>
        <w:rPr>
          <w:rFonts w:ascii="Times New Roman" w:eastAsia="Times New Roman" w:hAnsi="Times New Roman" w:cs="Times New Roman"/>
          <w:i/>
          <w:iCs/>
          <w:sz w:val="16"/>
          <w:szCs w:val="16"/>
        </w:rPr>
        <w:t>Salmonella</w:t>
      </w:r>
      <w:r>
        <w:t xml:space="preserve"> son los alimentos de origen animal, incluidos los huevos. La ingestión de tales alimentos crudos o mal cocidos puede ocasionar salmonelosis grave. Entre los ejemplos de alimentos que pueden contener huevos mal cocidos están algunas coberturas de pasteles y mayonesa hechos en casa, helados hechos de crema cruda, huevos preparados “a la cazuela”, aderezo de ensalada César preparado en el momento, salsa holandesa y crema pastelera para galletas y pasteles.</w:t>
      </w:r>
    </w:p>
    <w:p w14:paraId="6A205A08" w14:textId="77777777" w:rsidR="00924992" w:rsidRDefault="00924992">
      <w:pPr>
        <w:pStyle w:val="BodyText"/>
        <w:spacing w:line="276" w:lineRule="auto"/>
        <w:ind w:firstLine="360"/>
      </w:pPr>
      <w:r>
        <w:rPr>
          <w:rFonts w:ascii="Times New Roman" w:eastAsia="Times New Roman" w:hAnsi="Times New Roman" w:cs="Times New Roman"/>
          <w:b/>
          <w:bCs/>
          <w:i/>
          <w:iCs/>
          <w:sz w:val="16"/>
          <w:szCs w:val="16"/>
        </w:rPr>
        <w:t>Carnes crudas y mal cocidas.</w:t>
      </w:r>
      <w:r>
        <w:t xml:space="preserve"> Los niños no deben consumir estas carnes o sus productos, en particular las hamburguesas (tortas de carne molida). Varios productos de carne cruda o mal cocida se han vinculado con enfermedad; por ejemplo, carne de aves, con la infección por </w:t>
      </w:r>
      <w:r>
        <w:rPr>
          <w:rFonts w:ascii="Times New Roman" w:eastAsia="Times New Roman" w:hAnsi="Times New Roman" w:cs="Times New Roman"/>
          <w:i/>
          <w:iCs/>
          <w:sz w:val="16"/>
          <w:szCs w:val="16"/>
        </w:rPr>
        <w:t>Salmonella</w:t>
      </w:r>
      <w:r>
        <w:t xml:space="preserve"> o </w:t>
      </w:r>
      <w:r>
        <w:rPr>
          <w:rFonts w:ascii="Times New Roman" w:eastAsia="Times New Roman" w:hAnsi="Times New Roman" w:cs="Times New Roman"/>
          <w:i/>
          <w:iCs/>
          <w:sz w:val="16"/>
          <w:szCs w:val="16"/>
        </w:rPr>
        <w:t>Campylobacter</w:t>
      </w:r>
      <w:r>
        <w:t xml:space="preserve">; carne molida de res, con infección por </w:t>
      </w:r>
      <w:r>
        <w:rPr>
          <w:rFonts w:ascii="Times New Roman" w:eastAsia="Times New Roman" w:hAnsi="Times New Roman" w:cs="Times New Roman"/>
          <w:i/>
          <w:iCs/>
          <w:sz w:val="16"/>
          <w:szCs w:val="16"/>
        </w:rPr>
        <w:t>E. coli</w:t>
      </w:r>
      <w:r>
        <w:t xml:space="preserve"> O157:H7, </w:t>
      </w:r>
      <w:r>
        <w:rPr>
          <w:rFonts w:ascii="Times New Roman" w:eastAsia="Times New Roman" w:hAnsi="Times New Roman" w:cs="Times New Roman"/>
          <w:i/>
          <w:iCs/>
          <w:sz w:val="16"/>
          <w:szCs w:val="16"/>
        </w:rPr>
        <w:t>E. coli</w:t>
      </w:r>
      <w:r>
        <w:t xml:space="preserve"> enterohemorrágica o </w:t>
      </w:r>
      <w:r>
        <w:rPr>
          <w:rFonts w:ascii="Times New Roman" w:eastAsia="Times New Roman" w:hAnsi="Times New Roman" w:cs="Times New Roman"/>
          <w:i/>
          <w:iCs/>
          <w:sz w:val="16"/>
          <w:szCs w:val="16"/>
        </w:rPr>
        <w:t>Salmonella</w:t>
      </w:r>
      <w:r>
        <w:rPr>
          <w:i/>
          <w:iCs/>
        </w:rPr>
        <w:t>;</w:t>
      </w:r>
      <w:r>
        <w:t xml:space="preserve"> salchichas (perros calientes) con infección por </w:t>
      </w:r>
      <w:r>
        <w:rPr>
          <w:rFonts w:ascii="Times New Roman" w:eastAsia="Times New Roman" w:hAnsi="Times New Roman" w:cs="Times New Roman"/>
          <w:i/>
          <w:iCs/>
          <w:sz w:val="16"/>
          <w:szCs w:val="16"/>
        </w:rPr>
        <w:t>Listeria</w:t>
      </w:r>
      <w:r>
        <w:t>; cerdo, con triquinosis; y carne de animales salvajes, con brucelosis, tularemia o triquinosis. Es importante que los cuchillos, tablones para picar, platos y otros utensilios que se usan con carnes crudas no se empleen para preparar frutas o verduras frescas, sino después de una limpieza muy minuciosa.</w:t>
      </w:r>
    </w:p>
    <w:p w14:paraId="762AD60C" w14:textId="77777777" w:rsidR="00924992" w:rsidRDefault="00924992">
      <w:pPr>
        <w:pStyle w:val="BodyText"/>
        <w:spacing w:line="276" w:lineRule="auto"/>
        <w:ind w:firstLine="360"/>
      </w:pPr>
      <w:r>
        <w:rPr>
          <w:rFonts w:ascii="Times New Roman" w:eastAsia="Times New Roman" w:hAnsi="Times New Roman" w:cs="Times New Roman"/>
          <w:b/>
          <w:bCs/>
          <w:i/>
          <w:iCs/>
          <w:sz w:val="16"/>
          <w:szCs w:val="16"/>
        </w:rPr>
        <w:t>Jugos no pasteurizados.</w:t>
      </w:r>
      <w:r>
        <w:t xml:space="preserve"> Los niños deben consumir sólo jugos pasteurizados, salvo que la fruta haya sido lavada y exprimida recientemente (como el jugo de naranja) poco antes de su consumo. El consumo de frutas empacadas y jugos de verduras no pasteurizados o sometidos a tratamiento similar se ha vinculado con la aparición de enfermedades de origen alimentario atribuibles a especies de </w:t>
      </w:r>
      <w:r>
        <w:rPr>
          <w:rFonts w:ascii="Times New Roman" w:eastAsia="Times New Roman" w:hAnsi="Times New Roman" w:cs="Times New Roman"/>
          <w:i/>
          <w:iCs/>
          <w:sz w:val="16"/>
          <w:szCs w:val="16"/>
        </w:rPr>
        <w:t>E. coli</w:t>
      </w:r>
      <w:r>
        <w:t xml:space="preserve"> O157:H7 y </w:t>
      </w:r>
      <w:r>
        <w:rPr>
          <w:rFonts w:ascii="Times New Roman" w:eastAsia="Times New Roman" w:hAnsi="Times New Roman" w:cs="Times New Roman"/>
          <w:i/>
          <w:iCs/>
          <w:sz w:val="16"/>
          <w:szCs w:val="16"/>
        </w:rPr>
        <w:t>Salmonella</w:t>
      </w:r>
      <w:r>
        <w:rPr>
          <w:i/>
          <w:iCs/>
        </w:rPr>
        <w:t>.</w:t>
      </w:r>
      <w:r>
        <w:t xml:space="preserve"> Los consumidores, para identificar un jugo empacado de material no pasteurizado ni sometido a tratamiento similar, deberán buscar en la etiqueta la información de que el producto no ha sido pasteurizado y, por consiguiente, puede contener bacterias nocivas que originen enfermedades graves en niños, ancianos o personas con deterioro del sistema inmunitario.</w:t>
      </w:r>
    </w:p>
    <w:p w14:paraId="64626ED6" w14:textId="77777777" w:rsidR="00924992" w:rsidRDefault="00924992">
      <w:pPr>
        <w:pStyle w:val="BodyText"/>
        <w:spacing w:line="276" w:lineRule="auto"/>
        <w:ind w:firstLine="360"/>
      </w:pPr>
      <w:r>
        <w:rPr>
          <w:rFonts w:ascii="Times New Roman" w:eastAsia="Times New Roman" w:hAnsi="Times New Roman" w:cs="Times New Roman"/>
          <w:b/>
          <w:bCs/>
          <w:i/>
          <w:iCs/>
          <w:sz w:val="16"/>
          <w:szCs w:val="16"/>
        </w:rPr>
        <w:t>Germinados de semillas.</w:t>
      </w:r>
      <w:r>
        <w:t xml:space="preserve"> La FDA y los CDC han afirmado de nuevo las recomendaciones sanitarias de que las personas expuestas a gran peligro de mostrar enfermedades graves por alimentos, incluidos niños, personas con sistemas inmunitarios deficientes y ancianos, no deben consumir gérmenes crudos de semillas (germinados) hasta llevar a la práctica métodos intervencionistas para mejorar su inocuidad.</w:t>
      </w:r>
      <w:r>
        <w:footnoteReference w:id="61"/>
      </w:r>
      <w:r>
        <w:t xml:space="preserve"> Se han establecido vínculos entre el consumo de germinados crudos y brotes de enfermedades por especies de </w:t>
      </w:r>
      <w:r>
        <w:rPr>
          <w:rFonts w:ascii="Times New Roman" w:eastAsia="Times New Roman" w:hAnsi="Times New Roman" w:cs="Times New Roman"/>
          <w:i/>
          <w:iCs/>
          <w:sz w:val="16"/>
          <w:szCs w:val="16"/>
        </w:rPr>
        <w:t>Salmonella</w:t>
      </w:r>
      <w:r>
        <w:t xml:space="preserve"> y </w:t>
      </w:r>
      <w:r>
        <w:rPr>
          <w:rFonts w:ascii="Times New Roman" w:eastAsia="Times New Roman" w:hAnsi="Times New Roman" w:cs="Times New Roman"/>
          <w:i/>
          <w:iCs/>
          <w:sz w:val="16"/>
          <w:szCs w:val="16"/>
        </w:rPr>
        <w:t>E. coli</w:t>
      </w:r>
      <w:r>
        <w:t xml:space="preserve"> O157:H7.</w:t>
      </w:r>
    </w:p>
    <w:p w14:paraId="2F42F7E9" w14:textId="77777777" w:rsidR="00924992" w:rsidRDefault="00924992">
      <w:pPr>
        <w:pStyle w:val="BodyText"/>
        <w:spacing w:line="276" w:lineRule="auto"/>
        <w:ind w:firstLine="360"/>
      </w:pPr>
      <w:r>
        <w:rPr>
          <w:rFonts w:ascii="Times New Roman" w:eastAsia="Times New Roman" w:hAnsi="Times New Roman" w:cs="Times New Roman"/>
          <w:b/>
          <w:bCs/>
          <w:i/>
          <w:iCs/>
          <w:sz w:val="16"/>
          <w:szCs w:val="16"/>
        </w:rPr>
        <w:t>Frutas, verduras y nueces frescas.</w:t>
      </w:r>
      <w:r>
        <w:t xml:space="preserve"> Muchas frutas y verduras frescas han ocasionado enfermedades atribuibles a </w:t>
      </w:r>
      <w:r>
        <w:rPr>
          <w:rFonts w:ascii="Times New Roman" w:eastAsia="Times New Roman" w:hAnsi="Times New Roman" w:cs="Times New Roman"/>
          <w:i/>
          <w:iCs/>
          <w:sz w:val="16"/>
          <w:szCs w:val="16"/>
        </w:rPr>
        <w:t>Cryptosporidium</w:t>
      </w:r>
      <w:r>
        <w:rPr>
          <w:i/>
          <w:iCs/>
        </w:rPr>
        <w:t xml:space="preserve">, </w:t>
      </w:r>
      <w:r>
        <w:rPr>
          <w:rFonts w:ascii="Times New Roman" w:eastAsia="Times New Roman" w:hAnsi="Times New Roman" w:cs="Times New Roman"/>
          <w:i/>
          <w:iCs/>
          <w:sz w:val="16"/>
          <w:szCs w:val="16"/>
        </w:rPr>
        <w:t>Cyclospora, calicivirus, Giardia</w:t>
      </w:r>
      <w:r>
        <w:rPr>
          <w:i/>
          <w:iCs/>
        </w:rPr>
        <w:t>,</w:t>
      </w:r>
      <w:r>
        <w:t xml:space="preserve"> especies de </w:t>
      </w:r>
      <w:r>
        <w:rPr>
          <w:rFonts w:ascii="Times New Roman" w:eastAsia="Times New Roman" w:hAnsi="Times New Roman" w:cs="Times New Roman"/>
          <w:i/>
          <w:iCs/>
          <w:sz w:val="16"/>
          <w:szCs w:val="16"/>
        </w:rPr>
        <w:t>E. coli</w:t>
      </w:r>
      <w:r>
        <w:t xml:space="preserve"> y de </w:t>
      </w:r>
      <w:r>
        <w:rPr>
          <w:rFonts w:ascii="Times New Roman" w:eastAsia="Times New Roman" w:hAnsi="Times New Roman" w:cs="Times New Roman"/>
          <w:i/>
          <w:iCs/>
          <w:sz w:val="16"/>
          <w:szCs w:val="16"/>
        </w:rPr>
        <w:t>Shigella</w:t>
      </w:r>
      <w:r>
        <w:rPr>
          <w:i/>
          <w:iCs/>
        </w:rPr>
        <w:t>.</w:t>
      </w:r>
      <w:r>
        <w:t xml:space="preserve"> Los dos tipos de alimentos deben ser limpiados perfectamente antes de ingerirlos. Los cuchillos, tablones de picar, utensilios y platos empleados con carnes crudas no se utilizarán para preparar frutas o verduras frescas, y se les usará sólo después de limpiarlos minuciosamente. Las nueces crudas con cascarilla se han vinculado con brotes de salmonelosis.</w:t>
      </w:r>
    </w:p>
    <w:p w14:paraId="372D7C43" w14:textId="77777777" w:rsidR="00924992" w:rsidRDefault="00924992">
      <w:pPr>
        <w:pStyle w:val="BodyText"/>
        <w:spacing w:line="276" w:lineRule="auto"/>
        <w:ind w:firstLine="360"/>
      </w:pPr>
      <w:r>
        <w:rPr>
          <w:rFonts w:ascii="Times New Roman" w:eastAsia="Times New Roman" w:hAnsi="Times New Roman" w:cs="Times New Roman"/>
          <w:b/>
          <w:bCs/>
          <w:i/>
          <w:iCs/>
          <w:sz w:val="16"/>
          <w:szCs w:val="16"/>
        </w:rPr>
        <w:t>Mariscos y peces crudos.</w:t>
      </w:r>
      <w:r>
        <w:t xml:space="preserve"> Muchos expertos recomiendan que los niños no deben consumir carne de peces o mariscos crudos, en particular los ostiones. Las especies de </w:t>
      </w:r>
      <w:r>
        <w:rPr>
          <w:rFonts w:ascii="Times New Roman" w:eastAsia="Times New Roman" w:hAnsi="Times New Roman" w:cs="Times New Roman"/>
          <w:i/>
          <w:iCs/>
          <w:sz w:val="16"/>
          <w:szCs w:val="16"/>
        </w:rPr>
        <w:t>Vibrio</w:t>
      </w:r>
      <w:r>
        <w:t xml:space="preserve"> que contaminan los mariscos crudos pueden ocasionar cuadros graves en personas con hepatopatía. Algunos expertos recomiendan cuidar que los niños no ingieran carne cruda de peces. El consumo de mariscos crudos, mejillones, almejas, ostiones, veneras y otros moluscos se ha relacionado con la presencia de patógenos y toxinas (véase apéndice VI), y la carne de pescado crudo también se ha vinculado con la transmisión de parásitos.</w:t>
      </w:r>
    </w:p>
    <w:p w14:paraId="6704EF47" w14:textId="77777777" w:rsidR="00924992" w:rsidRDefault="00924992">
      <w:pPr>
        <w:pStyle w:val="BodyText"/>
        <w:spacing w:line="276" w:lineRule="auto"/>
        <w:ind w:firstLine="360"/>
      </w:pPr>
      <w:r>
        <w:rPr>
          <w:rFonts w:ascii="Times New Roman" w:eastAsia="Times New Roman" w:hAnsi="Times New Roman" w:cs="Times New Roman"/>
          <w:b/>
          <w:bCs/>
          <w:i/>
          <w:iCs/>
          <w:sz w:val="16"/>
          <w:szCs w:val="16"/>
        </w:rPr>
        <w:t>Miel.</w:t>
      </w:r>
      <w:r>
        <w:t xml:space="preserve"> Es importante no dar miel a niños menores de un año porque se ha demostrado que contiene esporas de </w:t>
      </w:r>
      <w:r>
        <w:rPr>
          <w:rFonts w:ascii="Times New Roman" w:eastAsia="Times New Roman" w:hAnsi="Times New Roman" w:cs="Times New Roman"/>
          <w:i/>
          <w:iCs/>
          <w:sz w:val="16"/>
          <w:szCs w:val="16"/>
        </w:rPr>
        <w:t>Clostridium botulinum</w:t>
      </w:r>
      <w:r>
        <w:t xml:space="preserve">. Los jarabes claros y oscuros de maíz se fabrican bajo condiciones sanitarias estrictas. Sin embargo, los productos no siempre se empacan con asepsia ni se esterilizan en forma terminal. Las esporas de </w:t>
      </w:r>
      <w:r>
        <w:rPr>
          <w:rFonts w:ascii="Times New Roman" w:eastAsia="Times New Roman" w:hAnsi="Times New Roman" w:cs="Times New Roman"/>
          <w:i/>
          <w:iCs/>
          <w:sz w:val="16"/>
          <w:szCs w:val="16"/>
        </w:rPr>
        <w:t>C. botulinum</w:t>
      </w:r>
      <w:r>
        <w:t xml:space="preserve"> están en el entorno y pueden aparecer en el jarabe de maíz, razón por la cual los fabricantes no pueden asegurar que todos los productos de este tipo no tengan esporas del microorganismo mencionado.</w:t>
      </w:r>
    </w:p>
    <w:p w14:paraId="435C67EF" w14:textId="77777777" w:rsidR="00924992" w:rsidRDefault="00924992">
      <w:pPr>
        <w:pStyle w:val="BodyText"/>
        <w:spacing w:line="283" w:lineRule="auto"/>
        <w:ind w:firstLine="360"/>
      </w:pPr>
      <w:r>
        <w:rPr>
          <w:rFonts w:ascii="Times New Roman" w:eastAsia="Times New Roman" w:hAnsi="Times New Roman" w:cs="Times New Roman"/>
          <w:b/>
          <w:bCs/>
          <w:i/>
          <w:iCs/>
          <w:sz w:val="16"/>
          <w:szCs w:val="16"/>
        </w:rPr>
        <w:t>Radiación de alimentos</w:t>
      </w:r>
      <w:r>
        <w:rPr>
          <w:rFonts w:ascii="Times New Roman" w:eastAsia="Times New Roman" w:hAnsi="Times New Roman" w:cs="Times New Roman"/>
          <w:b/>
          <w:bCs/>
          <w:i/>
          <w:iCs/>
          <w:sz w:val="16"/>
          <w:szCs w:val="16"/>
          <w:vertAlign w:val="superscript"/>
        </w:rPr>
        <w:t>1</w:t>
      </w:r>
      <w:r>
        <w:rPr>
          <w:rFonts w:ascii="Times New Roman" w:eastAsia="Times New Roman" w:hAnsi="Times New Roman" w:cs="Times New Roman"/>
          <w:b/>
          <w:bCs/>
          <w:i/>
          <w:iCs/>
          <w:sz w:val="16"/>
          <w:szCs w:val="16"/>
        </w:rPr>
        <w:t>'.</w:t>
      </w:r>
      <w:r>
        <w:t xml:space="preserve"> No existe ningún método para eliminar todas las enfermedades de origen alimentario; sin embargo, muchos expertos bromatólogos piensan que la radiación puede ser un medio eficaz para desterrar patógenos en alimentos. La radiación consiste en exponer brevemente los alimentos a energía radiante (como rayos gamma o X o electrones de alto voltaje) que a menudo se le conoce como “pasteurización en frío”. A nivel mundial, más de 40 países han aprobado el uso de radiación en diversos tipos de alimentos. Además, todas las organizaciones oficiales y profesionales que han revisado la eficacia y la inocuidad de la radiación en alimentos han recomendado su empleo. En Estados Unidos, los consumidores pueden adquirir carne radiada y algunos otros productos. Es posible que en lo futuro se aumente la posibilidad de obtener los alimentos radiados. El riesgo de enfermedades de origen alimentario en niños puede disminuir notablemente con el consumo habitual de carnes de diversos tipos y de aves así como otros alimentos radiados.</w:t>
      </w:r>
    </w:p>
    <w:p w14:paraId="4B0C204D" w14:textId="77777777" w:rsidR="00924992" w:rsidRDefault="00924992">
      <w:pPr>
        <w:pStyle w:val="BodyText"/>
        <w:spacing w:line="276" w:lineRule="auto"/>
        <w:ind w:firstLine="360"/>
      </w:pPr>
      <w:r>
        <w:rPr>
          <w:rFonts w:ascii="Times New Roman" w:eastAsia="Times New Roman" w:hAnsi="Times New Roman" w:cs="Times New Roman"/>
          <w:b/>
          <w:bCs/>
          <w:i/>
          <w:iCs/>
          <w:sz w:val="16"/>
          <w:szCs w:val="16"/>
        </w:rPr>
        <w:t xml:space="preserve">Infecciones por </w:t>
      </w:r>
      <w:r>
        <w:rPr>
          <w:rFonts w:ascii="Times New Roman" w:eastAsia="Times New Roman" w:hAnsi="Times New Roman" w:cs="Times New Roman"/>
          <w:i/>
          <w:iCs/>
          <w:sz w:val="16"/>
          <w:szCs w:val="16"/>
        </w:rPr>
        <w:t xml:space="preserve">E. coli </w:t>
      </w:r>
      <w:r>
        <w:rPr>
          <w:rFonts w:ascii="Times New Roman" w:eastAsia="Times New Roman" w:hAnsi="Times New Roman" w:cs="Times New Roman"/>
          <w:b/>
          <w:bCs/>
          <w:i/>
          <w:iCs/>
          <w:sz w:val="16"/>
          <w:szCs w:val="16"/>
        </w:rPr>
        <w:t>productora de toxina de shiga.</w:t>
      </w:r>
      <w:r>
        <w:t xml:space="preserve"> Ante la morbilidad y la mortalidad importantes que conllevan las infecciones por </w:t>
      </w:r>
      <w:r>
        <w:rPr>
          <w:rFonts w:ascii="Times New Roman" w:eastAsia="Times New Roman" w:hAnsi="Times New Roman" w:cs="Times New Roman"/>
          <w:i/>
          <w:iCs/>
          <w:sz w:val="16"/>
          <w:szCs w:val="16"/>
        </w:rPr>
        <w:t>E. coli</w:t>
      </w:r>
      <w:r>
        <w:t xml:space="preserve"> productora de toxina de shiga </w:t>
      </w:r>
      <w:r>
        <w:rPr>
          <w:i/>
          <w:iCs/>
        </w:rPr>
        <w:t>(</w:t>
      </w:r>
      <w:r>
        <w:rPr>
          <w:rFonts w:ascii="Times New Roman" w:eastAsia="Times New Roman" w:hAnsi="Times New Roman" w:cs="Times New Roman"/>
          <w:i/>
          <w:iCs/>
          <w:sz w:val="16"/>
          <w:szCs w:val="16"/>
        </w:rPr>
        <w:t>shiga toxin-producing E. coli</w:t>
      </w:r>
      <w:r>
        <w:rPr>
          <w:i/>
          <w:iCs/>
        </w:rPr>
        <w:t>,</w:t>
      </w:r>
      <w:r>
        <w:t xml:space="preserve"> STEC) es necesario destacar los puntos siguientes:</w:t>
      </w:r>
    </w:p>
    <w:p w14:paraId="2B401A11" w14:textId="77777777" w:rsidR="00924992" w:rsidRDefault="00924992">
      <w:pPr>
        <w:pStyle w:val="BodyText"/>
        <w:numPr>
          <w:ilvl w:val="0"/>
          <w:numId w:val="159"/>
        </w:numPr>
        <w:tabs>
          <w:tab w:val="left" w:pos="341"/>
        </w:tabs>
        <w:ind w:left="360" w:hanging="360"/>
      </w:pPr>
      <w:bookmarkStart w:id="952" w:name="bookmark2341"/>
      <w:bookmarkEnd w:id="952"/>
      <w:r>
        <w:t>Es importante notificar a los departamentos estatales de salud los casos de niños infectados por STEC para que apliquen las medidas de salud pública que faciliten la identificación inmediata de brotes.</w:t>
      </w:r>
    </w:p>
    <w:p w14:paraId="5534CDD3" w14:textId="77777777" w:rsidR="00924992" w:rsidRDefault="00924992">
      <w:pPr>
        <w:pStyle w:val="BodyText"/>
        <w:numPr>
          <w:ilvl w:val="0"/>
          <w:numId w:val="159"/>
        </w:numPr>
        <w:tabs>
          <w:tab w:val="left" w:pos="341"/>
        </w:tabs>
        <w:ind w:left="360" w:hanging="360"/>
      </w:pPr>
      <w:bookmarkStart w:id="953" w:name="bookmark2342"/>
      <w:bookmarkEnd w:id="953"/>
      <w:r>
        <w:t>Los niños no deben consumir leche o jugos no pasteurizados, tampoco deben comer quesos no pasteurizados o germinados crudos, ni consumirán huevos, mariscos, aves de corral o carnes crudos o insuficientemente cocidos.</w:t>
      </w:r>
    </w:p>
    <w:p w14:paraId="65C8F4B6" w14:textId="77777777" w:rsidR="00924992" w:rsidRDefault="00924992">
      <w:pPr>
        <w:pStyle w:val="BodyText"/>
        <w:numPr>
          <w:ilvl w:val="0"/>
          <w:numId w:val="159"/>
        </w:numPr>
        <w:tabs>
          <w:tab w:val="left" w:pos="341"/>
        </w:tabs>
        <w:ind w:left="360" w:hanging="360"/>
      </w:pPr>
      <w:bookmarkStart w:id="954" w:name="bookmark2343"/>
      <w:bookmarkEnd w:id="954"/>
      <w:r>
        <w:t>Es importante evitar la contaminación de alimentos; específicamente las carnes crudas no se pondrán en contacto con otros alimentos. Es indispensable lavarse las manos, así como tablones de picado, cuchillos y otros utensilios de cocina después de que han estado en contacto con carnes crudas.</w:t>
      </w:r>
    </w:p>
    <w:p w14:paraId="6960DAE2" w14:textId="77777777" w:rsidR="00924992" w:rsidRDefault="00924992">
      <w:pPr>
        <w:pStyle w:val="BodyText"/>
        <w:numPr>
          <w:ilvl w:val="0"/>
          <w:numId w:val="159"/>
        </w:numPr>
        <w:tabs>
          <w:tab w:val="left" w:pos="341"/>
        </w:tabs>
        <w:ind w:left="360" w:hanging="360"/>
        <w:sectPr w:rsidR="00924992" w:rsidSect="00924992">
          <w:headerReference w:type="even" r:id="rId517"/>
          <w:headerReference w:type="default" r:id="rId518"/>
          <w:footerReference w:type="even" r:id="rId519"/>
          <w:footerReference w:type="default" r:id="rId520"/>
          <w:footnotePr>
            <w:numFmt w:val="chicago"/>
          </w:footnotePr>
          <w:pgSz w:w="8501" w:h="13022"/>
          <w:pgMar w:top="941" w:right="923" w:bottom="547" w:left="699" w:header="0" w:footer="3" w:gutter="0"/>
          <w:pgNumType w:start="850"/>
          <w:cols w:space="720"/>
          <w:noEndnote/>
          <w:docGrid w:linePitch="360"/>
          <w15:footnoteColumns w:val="1"/>
        </w:sectPr>
      </w:pPr>
      <w:bookmarkStart w:id="955" w:name="bookmark2344"/>
      <w:bookmarkEnd w:id="955"/>
      <w:r>
        <w:t>Es necesario instruir cada vez más a los padres y profesionales asistenciales sobre los beneficios de la radiación de carnes, frutas y verduras para reducir al mínimo la propagación de cualquier patógeno intestinal, incluida STEC.</w:t>
      </w:r>
    </w:p>
    <w:p w14:paraId="43B9F81A" w14:textId="77777777" w:rsidR="00924992" w:rsidRDefault="00924992">
      <w:pPr>
        <w:pStyle w:val="Bodytext100"/>
        <w:spacing w:after="100"/>
        <w:rPr>
          <w:sz w:val="34"/>
          <w:szCs w:val="34"/>
        </w:rPr>
      </w:pPr>
      <w:r>
        <w:rPr>
          <w:sz w:val="34"/>
          <w:szCs w:val="34"/>
        </w:rPr>
        <w:t>A</w:t>
      </w:r>
      <w:r>
        <w:t>péndice viii</w:t>
      </w:r>
      <w:r>
        <w:rPr>
          <w:sz w:val="34"/>
          <w:szCs w:val="34"/>
        </w:rPr>
        <w:t>.</w:t>
      </w:r>
    </w:p>
    <w:p w14:paraId="506FDBC8" w14:textId="77777777" w:rsidR="00924992" w:rsidRDefault="00924992">
      <w:pPr>
        <w:pStyle w:val="Bodytext70"/>
        <w:jc w:val="center"/>
      </w:pPr>
      <w:r>
        <w:t>Enfermedades transmitidas por animales</w:t>
      </w:r>
    </w:p>
    <w:p w14:paraId="6E4F556E" w14:textId="77777777" w:rsidR="00924992" w:rsidRDefault="00924992">
      <w:pPr>
        <w:pStyle w:val="BodyText"/>
        <w:spacing w:line="271" w:lineRule="auto"/>
        <w:ind w:firstLine="0"/>
      </w:pPr>
      <w:r>
        <w:t>La transmisión de enfermedades de los animales a los seres humanos tiene interés especial en la atención de los niños, pues ellos interactúan con mascotas, roedores indeseables y otros animales. En esta obra se revisan zoonosis importantes que a veces surgen en Estados Unidos (véanse resúmenes específicos de enfermedades en la sección 3 para mayores datos), las cuales se incluyen en el cuadro “Enfermedades transmitidas por animales” en este apéndice. Entre los mecanismos primarios de transmisión están: contacto directo, rasguños, mordeduras, inhalación, contacto con orina o heces e ingestión de alimentos, agua o excrementos contaminados, así como el contacto con artrópodos que actúan como hospedadores intermedios. Para llevar al mínimo el contagio de enfermedades intestinales en granjas de mascotas hay que insistir en las siguientes actividades de erradicación de infecciones: las instalaciones de lavado de manos deben estar al alcance de todos y adaptadas para uso infantil; hay que separar las actividades relacionadas con alimentos de las áreas que albergan animales, y habrá que supervisar a los niños durante el contacto con los animales y durante el lavado de manos. La transmisión directa de un ser humano a otro puede surgir en el caso de algunas enfermedades zoonóticas. Para una lista más completa de las enfermedades en cuestión conviene consultar los textos corrientes de infectología.</w:t>
      </w:r>
    </w:p>
    <w:p w14:paraId="748D4BA1" w14:textId="77777777" w:rsidR="00924992" w:rsidRDefault="00924992">
      <w:pPr>
        <w:pStyle w:val="BodyText"/>
        <w:spacing w:line="271" w:lineRule="auto"/>
        <w:ind w:firstLine="360"/>
      </w:pPr>
      <w:r>
        <w:t xml:space="preserve">Cada año en los </w:t>
      </w:r>
      <w:r>
        <w:rPr>
          <w:rFonts w:ascii="Times New Roman" w:eastAsia="Times New Roman" w:hAnsi="Times New Roman" w:cs="Times New Roman"/>
          <w:i/>
          <w:iCs/>
          <w:sz w:val="16"/>
          <w:szCs w:val="16"/>
        </w:rPr>
        <w:t>Centers for Disease Control and Prevention</w:t>
      </w:r>
      <w:r>
        <w:t xml:space="preserve"> se notifican las complicaciones que surgieron de enfermedades zoonóticas escogidas (véase </w:t>
      </w:r>
      <w:r>
        <w:rPr>
          <w:rFonts w:ascii="Times New Roman" w:eastAsia="Times New Roman" w:hAnsi="Times New Roman" w:cs="Times New Roman"/>
          <w:i/>
          <w:iCs/>
          <w:sz w:val="16"/>
          <w:szCs w:val="16"/>
        </w:rPr>
        <w:t>“Summary of Notifiable Disease”</w:t>
      </w:r>
      <w:r>
        <w:t xml:space="preserve"> en: </w:t>
      </w:r>
      <w:hyperlink r:id="rId521" w:history="1">
        <w:r>
          <w:t>www.cdc.gov/epo/dphsi/annsum/</w:t>
        </w:r>
      </w:hyperlink>
      <w:r>
        <w:t>). La información también se obtiene de las siguientes páginas Web:</w:t>
      </w:r>
    </w:p>
    <w:p w14:paraId="6B9B4444" w14:textId="77777777" w:rsidR="00924992" w:rsidRDefault="00924992">
      <w:pPr>
        <w:pStyle w:val="Bodytext20"/>
        <w:numPr>
          <w:ilvl w:val="0"/>
          <w:numId w:val="159"/>
        </w:numPr>
        <w:tabs>
          <w:tab w:val="left" w:pos="341"/>
        </w:tabs>
        <w:spacing w:line="271" w:lineRule="auto"/>
        <w:ind w:left="360" w:hanging="360"/>
        <w:rPr>
          <w:sz w:val="19"/>
          <w:szCs w:val="19"/>
        </w:rPr>
      </w:pPr>
      <w:bookmarkStart w:id="956" w:name="bookmark2345"/>
      <w:bookmarkEnd w:id="956"/>
      <w:r>
        <w:rPr>
          <w:rFonts w:ascii="Garamond" w:eastAsia="Garamond" w:hAnsi="Garamond" w:cs="Garamond"/>
          <w:sz w:val="19"/>
          <w:szCs w:val="19"/>
        </w:rPr>
        <w:t xml:space="preserve">Página Web del </w:t>
      </w:r>
      <w:r>
        <w:rPr>
          <w:i/>
          <w:iCs/>
        </w:rPr>
        <w:t>National Center for Infectious Diseases, Bacterial Zoonoses Branch</w:t>
      </w:r>
      <w:r>
        <w:rPr>
          <w:rFonts w:ascii="Garamond" w:eastAsia="Garamond" w:hAnsi="Garamond" w:cs="Garamond"/>
          <w:i/>
          <w:iCs/>
          <w:sz w:val="19"/>
          <w:szCs w:val="19"/>
        </w:rPr>
        <w:t xml:space="preserve">: </w:t>
      </w:r>
      <w:hyperlink r:id="rId522" w:history="1">
        <w:r>
          <w:rPr>
            <w:rFonts w:ascii="Garamond" w:eastAsia="Garamond" w:hAnsi="Garamond" w:cs="Garamond"/>
            <w:sz w:val="19"/>
            <w:szCs w:val="19"/>
          </w:rPr>
          <w:t>www.cdc.gov/ncidod/dvbid/misc/bzb.htm</w:t>
        </w:r>
      </w:hyperlink>
      <w:r>
        <w:rPr>
          <w:rFonts w:ascii="Garamond" w:eastAsia="Garamond" w:hAnsi="Garamond" w:cs="Garamond"/>
          <w:sz w:val="19"/>
          <w:szCs w:val="19"/>
        </w:rPr>
        <w:t>.</w:t>
      </w:r>
    </w:p>
    <w:p w14:paraId="3E96CA62" w14:textId="77777777" w:rsidR="00924992" w:rsidRDefault="00924992">
      <w:pPr>
        <w:pStyle w:val="BodyText"/>
        <w:numPr>
          <w:ilvl w:val="0"/>
          <w:numId w:val="159"/>
        </w:numPr>
        <w:tabs>
          <w:tab w:val="left" w:pos="341"/>
        </w:tabs>
        <w:spacing w:after="160" w:line="271" w:lineRule="auto"/>
        <w:ind w:left="360" w:hanging="360"/>
        <w:sectPr w:rsidR="00924992" w:rsidSect="00924992">
          <w:headerReference w:type="even" r:id="rId523"/>
          <w:headerReference w:type="default" r:id="rId524"/>
          <w:footerReference w:type="even" r:id="rId525"/>
          <w:footerReference w:type="default" r:id="rId526"/>
          <w:footnotePr>
            <w:numFmt w:val="chicago"/>
          </w:footnotePr>
          <w:pgSz w:w="8501" w:h="13022"/>
          <w:pgMar w:top="1037" w:right="543" w:bottom="1037" w:left="1133" w:header="0" w:footer="609" w:gutter="0"/>
          <w:cols w:space="720"/>
          <w:noEndnote/>
          <w:docGrid w:linePitch="360"/>
          <w15:footnoteColumns w:val="1"/>
        </w:sectPr>
      </w:pPr>
      <w:bookmarkStart w:id="957" w:name="bookmark2346"/>
      <w:bookmarkEnd w:id="957"/>
      <w:r>
        <w:t xml:space="preserve">Rosenman K. </w:t>
      </w:r>
      <w:r>
        <w:rPr>
          <w:rFonts w:ascii="Times New Roman" w:eastAsia="Times New Roman" w:hAnsi="Times New Roman" w:cs="Times New Roman"/>
          <w:i/>
          <w:iCs/>
          <w:sz w:val="16"/>
          <w:szCs w:val="16"/>
        </w:rPr>
        <w:t>Zoonoses—Animals Can Make You Sick.</w:t>
      </w:r>
      <w:r>
        <w:t xml:space="preserve"> Lansing, MI: Michigan State University; 1992. Página Web: </w:t>
      </w:r>
      <w:hyperlink r:id="rId527" w:history="1">
        <w:r>
          <w:t>www.cdc.gov/nsad/docs/d000701-d000800/</w:t>
        </w:r>
      </w:hyperlink>
      <w:r>
        <w:t xml:space="preserve"> d000752/d000752.html.</w:t>
      </w:r>
    </w:p>
    <w:p w14:paraId="39DED7CF" w14:textId="77777777" w:rsidR="00924992" w:rsidRDefault="00924992">
      <w:pPr>
        <w:spacing w:line="1" w:lineRule="exact"/>
      </w:pPr>
      <w:r>
        <w:rPr>
          <w:noProof/>
        </w:rPr>
        <mc:AlternateContent>
          <mc:Choice Requires="wps">
            <w:drawing>
              <wp:anchor distT="0" distB="399415" distL="2305685" distR="2272030" simplePos="0" relativeHeight="251769856" behindDoc="0" locked="0" layoutInCell="1" allowOverlap="1" wp14:anchorId="37760E72" wp14:editId="4714EF13">
                <wp:simplePos x="0" y="0"/>
                <wp:positionH relativeFrom="page">
                  <wp:posOffset>2606040</wp:posOffset>
                </wp:positionH>
                <wp:positionV relativeFrom="paragraph">
                  <wp:posOffset>12700</wp:posOffset>
                </wp:positionV>
                <wp:extent cx="2853055" cy="201295"/>
                <wp:effectExtent l="0" t="0" r="0" b="0"/>
                <wp:wrapTopAndBottom/>
                <wp:docPr id="2633" name="Shape 2633"/>
                <wp:cNvGraphicFramePr/>
                <a:graphic xmlns:a="http://schemas.openxmlformats.org/drawingml/2006/main">
                  <a:graphicData uri="http://schemas.microsoft.com/office/word/2010/wordprocessingShape">
                    <wps:wsp>
                      <wps:cNvSpPr txBox="1"/>
                      <wps:spPr>
                        <a:xfrm>
                          <a:off x="0" y="0"/>
                          <a:ext cx="2853055" cy="201295"/>
                        </a:xfrm>
                        <a:prstGeom prst="rect">
                          <a:avLst/>
                        </a:prstGeom>
                        <a:noFill/>
                      </wps:spPr>
                      <wps:txbx>
                        <w:txbxContent>
                          <w:p w14:paraId="149761F4" w14:textId="77777777" w:rsidR="00924992" w:rsidRDefault="00924992">
                            <w:pPr>
                              <w:pStyle w:val="Heading31"/>
                              <w:keepNext/>
                              <w:keepLines/>
                            </w:pPr>
                            <w:bookmarkStart w:id="958" w:name="bookmark2347"/>
                            <w:bookmarkStart w:id="959" w:name="bookmark2348"/>
                            <w:bookmarkStart w:id="960" w:name="bookmark2349"/>
                            <w:r>
                              <w:rPr>
                                <w:b w:val="0"/>
                                <w:bCs w:val="0"/>
                              </w:rPr>
                              <w:t xml:space="preserve">Cuadro. </w:t>
                            </w:r>
                            <w:r>
                              <w:t>Enfermedades transmitidas por animales</w:t>
                            </w:r>
                            <w:bookmarkEnd w:id="958"/>
                            <w:bookmarkEnd w:id="959"/>
                            <w:bookmarkEnd w:id="960"/>
                          </w:p>
                        </w:txbxContent>
                      </wps:txbx>
                      <wps:bodyPr lIns="0" tIns="0" rIns="0" bIns="0"/>
                    </wps:wsp>
                  </a:graphicData>
                </a:graphic>
              </wp:anchor>
            </w:drawing>
          </mc:Choice>
          <mc:Fallback>
            <w:pict>
              <v:shape w14:anchorId="37760E72" id="Shape 2633" o:spid="_x0000_s1151" type="#_x0000_t202" style="position:absolute;margin-left:205.2pt;margin-top:1pt;width:224.65pt;height:15.85pt;z-index:251769856;visibility:visible;mso-wrap-style:square;mso-wrap-distance-left:181.55pt;mso-wrap-distance-top:0;mso-wrap-distance-right:178.9pt;mso-wrap-distance-bottom:31.45pt;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" filled="f" stroked="f">
                <v:textbox inset="0,0,0,0">
                  <w:txbxContent>
                    <w:p w14:paraId="149761F4" w14:textId="77777777" w:rsidR="00924992" w:rsidRDefault="00924992">
                      <w:pPr>
                        <w:pStyle w:val="Heading31"/>
                        <w:keepNext/>
                        <w:keepLines/>
                      </w:pPr>
                      <w:bookmarkStart w:id="961" w:name="bookmark2347"/>
                      <w:bookmarkStart w:id="962" w:name="bookmark2348"/>
                      <w:bookmarkStart w:id="963" w:name="bookmark2349"/>
                      <w:r>
                        <w:rPr>
                          <w:b w:val="0"/>
                          <w:bCs w:val="0"/>
                        </w:rPr>
                        <w:t xml:space="preserve">Cuadro. </w:t>
                      </w:r>
                      <w:r>
                        <w:t>Enfermedades transmitidas por animales</w:t>
                      </w:r>
                      <w:bookmarkEnd w:id="961"/>
                      <w:bookmarkEnd w:id="962"/>
                      <w:bookmarkEnd w:id="963"/>
                    </w:p>
                  </w:txbxContent>
                </v:textbox>
                <w10:wrap type="topAndBottom" anchorx="page"/>
              </v:shape>
            </w:pict>
          </mc:Fallback>
        </mc:AlternateContent>
      </w:r>
      <w:r>
        <w:rPr>
          <w:noProof/>
        </w:rPr>
        <mc:AlternateContent>
          <mc:Choice Requires="wps">
            <w:drawing>
              <wp:anchor distT="222250" distB="635" distL="114300" distR="114300" simplePos="0" relativeHeight="251770880" behindDoc="0" locked="0" layoutInCell="1" allowOverlap="1" wp14:anchorId="09248692" wp14:editId="594B3A45">
                <wp:simplePos x="0" y="0"/>
                <wp:positionH relativeFrom="page">
                  <wp:posOffset>414655</wp:posOffset>
                </wp:positionH>
                <wp:positionV relativeFrom="paragraph">
                  <wp:posOffset>234950</wp:posOffset>
                </wp:positionV>
                <wp:extent cx="7202170" cy="377825"/>
                <wp:effectExtent l="0" t="0" r="0" b="0"/>
                <wp:wrapTopAndBottom/>
                <wp:docPr id="2635" name="Shape 2635"/>
                <wp:cNvGraphicFramePr/>
                <a:graphic xmlns:a="http://schemas.openxmlformats.org/drawingml/2006/main">
                  <a:graphicData uri="http://schemas.microsoft.com/office/word/2010/wordprocessingShape">
                    <wps:wsp>
                      <wps:cNvSpPr txBox="1"/>
                      <wps:spPr>
                        <a:xfrm>
                          <a:off x="0" y="0"/>
                          <a:ext cx="7202170" cy="377825"/>
                        </a:xfrm>
                        <a:prstGeom prst="rect">
                          <a:avLst/>
                        </a:prstGeom>
                        <a:solidFill>
                          <a:srgbClr val="231F20"/>
                        </a:solidFill>
                      </wps:spPr>
                      <wps:txbx>
                        <w:txbxContent>
                          <w:p w14:paraId="18FA2866" w14:textId="77777777" w:rsidR="00924992" w:rsidRDefault="00924992">
                            <w:pPr>
                              <w:pStyle w:val="Heading41"/>
                              <w:keepNext/>
                              <w:keepLines/>
                              <w:pBdr>
                                <w:top w:val="single" w:sz="0" w:space="0" w:color="231F20"/>
                                <w:left w:val="single" w:sz="0" w:space="0" w:color="231F20"/>
                                <w:bottom w:val="single" w:sz="0" w:space="4" w:color="231F20"/>
                                <w:right w:val="single" w:sz="0" w:space="0" w:color="231F20"/>
                              </w:pBdr>
                              <w:shd w:val="clear" w:color="auto" w:fill="231F20"/>
                              <w:tabs>
                                <w:tab w:val="left" w:pos="7354"/>
                              </w:tabs>
                            </w:pPr>
                            <w:bookmarkStart w:id="964" w:name="bookmark2352"/>
                            <w:r>
                              <w:rPr>
                                <w:color w:val="FFFFFF"/>
                              </w:rPr>
                              <w:t>Enfermedad, microorganismo o ambos Animales que frecuentemente</w:t>
                            </w:r>
                            <w:r>
                              <w:rPr>
                                <w:color w:val="FFFFFF"/>
                              </w:rPr>
                              <w:tab/>
                              <w:t>Vectores o mecanismos de transmisión</w:t>
                            </w:r>
                            <w:bookmarkEnd w:id="964"/>
                          </w:p>
                          <w:p w14:paraId="4FEC9F0E" w14:textId="77777777" w:rsidR="00924992" w:rsidRDefault="00924992">
                            <w:pPr>
                              <w:pStyle w:val="Heading41"/>
                              <w:keepNext/>
                              <w:keepLines/>
                              <w:pBdr>
                                <w:top w:val="single" w:sz="0" w:space="0" w:color="231F20"/>
                                <w:left w:val="single" w:sz="0" w:space="0" w:color="231F20"/>
                                <w:bottom w:val="single" w:sz="0" w:space="4" w:color="231F20"/>
                                <w:right w:val="single" w:sz="0" w:space="0" w:color="231F20"/>
                              </w:pBdr>
                              <w:shd w:val="clear" w:color="auto" w:fill="231F20"/>
                              <w:spacing w:line="209" w:lineRule="auto"/>
                              <w:ind w:left="4000"/>
                            </w:pPr>
                            <w:bookmarkStart w:id="965" w:name="bookmark2350"/>
                            <w:bookmarkStart w:id="966" w:name="bookmark2351"/>
                            <w:bookmarkStart w:id="967" w:name="bookmark2353"/>
                            <w:r>
                              <w:rPr>
                                <w:color w:val="FFFFFF"/>
                              </w:rPr>
                              <w:t>sirven como punto de origen</w:t>
                            </w:r>
                            <w:bookmarkEnd w:id="965"/>
                            <w:bookmarkEnd w:id="966"/>
                            <w:bookmarkEnd w:id="967"/>
                          </w:p>
                        </w:txbxContent>
                      </wps:txbx>
                      <wps:bodyPr lIns="0" tIns="0" rIns="0" bIns="0"/>
                    </wps:wsp>
                  </a:graphicData>
                </a:graphic>
              </wp:anchor>
            </w:drawing>
          </mc:Choice>
          <mc:Fallback>
            <w:pict>
              <v:shape w14:anchorId="09248692" id="Shape 2635" o:spid="_x0000_s1152" type="#_x0000_t202" style="position:absolute;margin-left:32.65pt;margin-top:18.5pt;width:567.1pt;height:29.75pt;z-index:251770880;visibility:visible;mso-wrap-style:square;mso-wrap-distance-left:9pt;mso-wrap-distance-top:17.5pt;mso-wrap-distance-right:9pt;mso-wrap-distance-bottom:.05pt;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" fillcolor="#231f20" stroked="f">
                <v:textbox inset="0,0,0,0">
                  <w:txbxContent>
                    <w:p w14:paraId="18FA2866" w14:textId="77777777" w:rsidR="00924992" w:rsidRDefault="00924992">
                      <w:pPr>
                        <w:pStyle w:val="Heading41"/>
                        <w:keepNext/>
                        <w:keepLines/>
                        <w:pBdr>
                          <w:top w:val="single" w:sz="0" w:space="0" w:color="231F20"/>
                          <w:left w:val="single" w:sz="0" w:space="0" w:color="231F20"/>
                          <w:bottom w:val="single" w:sz="0" w:space="4" w:color="231F20"/>
                          <w:right w:val="single" w:sz="0" w:space="0" w:color="231F20"/>
                        </w:pBdr>
                        <w:shd w:val="clear" w:color="auto" w:fill="231F20"/>
                        <w:tabs>
                          <w:tab w:val="left" w:pos="7354"/>
                        </w:tabs>
                      </w:pPr>
                      <w:bookmarkStart w:id="968" w:name="bookmark2352"/>
                      <w:r>
                        <w:rPr>
                          <w:color w:val="FFFFFF"/>
                        </w:rPr>
                        <w:t>Enfermedad, microorganismo o ambos Animales que frecuentemente</w:t>
                      </w:r>
                      <w:r>
                        <w:rPr>
                          <w:color w:val="FFFFFF"/>
                        </w:rPr>
                        <w:tab/>
                        <w:t>Vectores o mecanismos de transmisión</w:t>
                      </w:r>
                      <w:bookmarkEnd w:id="968"/>
                    </w:p>
                    <w:p w14:paraId="4FEC9F0E" w14:textId="77777777" w:rsidR="00924992" w:rsidRDefault="00924992">
                      <w:pPr>
                        <w:pStyle w:val="Heading41"/>
                        <w:keepNext/>
                        <w:keepLines/>
                        <w:pBdr>
                          <w:top w:val="single" w:sz="0" w:space="0" w:color="231F20"/>
                          <w:left w:val="single" w:sz="0" w:space="0" w:color="231F20"/>
                          <w:bottom w:val="single" w:sz="0" w:space="4" w:color="231F20"/>
                          <w:right w:val="single" w:sz="0" w:space="0" w:color="231F20"/>
                        </w:pBdr>
                        <w:shd w:val="clear" w:color="auto" w:fill="231F20"/>
                        <w:spacing w:line="209" w:lineRule="auto"/>
                        <w:ind w:left="4000"/>
                      </w:pPr>
                      <w:bookmarkStart w:id="969" w:name="bookmark2350"/>
                      <w:bookmarkStart w:id="970" w:name="bookmark2351"/>
                      <w:bookmarkStart w:id="971" w:name="bookmark2353"/>
                      <w:r>
                        <w:rPr>
                          <w:color w:val="FFFFFF"/>
                        </w:rPr>
                        <w:t>sirven como punto de origen</w:t>
                      </w:r>
                      <w:bookmarkEnd w:id="969"/>
                      <w:bookmarkEnd w:id="970"/>
                      <w:bookmarkEnd w:id="971"/>
                    </w:p>
                  </w:txbxContent>
                </v:textbox>
                <w10:wrap type="topAndBottom" anchorx="page"/>
              </v:shape>
            </w:pict>
          </mc:Fallback>
        </mc:AlternateContent>
      </w:r>
      <w:r>
        <w:rPr>
          <w:noProof/>
        </w:rPr>
        <mc:AlternateContent>
          <mc:Choice Requires="wps">
            <w:drawing>
              <wp:anchor distT="0" distB="0" distL="0" distR="0" simplePos="0" relativeHeight="251771904" behindDoc="0" locked="0" layoutInCell="1" allowOverlap="1" wp14:anchorId="360761DA" wp14:editId="5441BA8A">
                <wp:simplePos x="0" y="0"/>
                <wp:positionH relativeFrom="page">
                  <wp:posOffset>2934970</wp:posOffset>
                </wp:positionH>
                <wp:positionV relativeFrom="paragraph">
                  <wp:posOffset>765175</wp:posOffset>
                </wp:positionV>
                <wp:extent cx="2127250" cy="2075815"/>
                <wp:effectExtent l="0" t="0" r="0" b="0"/>
                <wp:wrapSquare wrapText="bothSides"/>
                <wp:docPr id="2637" name="Shape 2637"/>
                <wp:cNvGraphicFramePr/>
                <a:graphic xmlns:a="http://schemas.openxmlformats.org/drawingml/2006/main">
                  <a:graphicData uri="http://schemas.microsoft.com/office/word/2010/wordprocessingShape">
                    <wps:wsp>
                      <wps:cNvSpPr txBox="1"/>
                      <wps:spPr>
                        <a:xfrm>
                          <a:off x="0" y="0"/>
                          <a:ext cx="2127250" cy="2075815"/>
                        </a:xfrm>
                        <a:prstGeom prst="rect">
                          <a:avLst/>
                        </a:prstGeom>
                        <a:noFill/>
                      </wps:spPr>
                      <wps:txbx>
                        <w:txbxContent>
                          <w:p w14:paraId="3B3770F3" w14:textId="77777777" w:rsidR="00924992" w:rsidRDefault="00924992">
                            <w:pPr>
                              <w:pStyle w:val="Bodytext20"/>
                              <w:spacing w:after="200"/>
                            </w:pPr>
                            <w:r>
                              <w:t>Animales acuáticos</w:t>
                            </w:r>
                          </w:p>
                          <w:p w14:paraId="58F4FA09" w14:textId="77777777" w:rsidR="00924992" w:rsidRDefault="00924992">
                            <w:pPr>
                              <w:pStyle w:val="Bodytext20"/>
                              <w:spacing w:after="200"/>
                            </w:pPr>
                            <w:r>
                              <w:t>Gatos, y pocas veces otros animales (&lt;10%)</w:t>
                            </w:r>
                          </w:p>
                          <w:p w14:paraId="49290A5A" w14:textId="77777777" w:rsidR="00924992" w:rsidRDefault="00924992">
                            <w:pPr>
                              <w:pStyle w:val="Bodytext20"/>
                            </w:pPr>
                            <w:r>
                              <w:t>Ganado vacuno, caprino, ovino, porcino</w:t>
                            </w:r>
                          </w:p>
                          <w:p w14:paraId="467F0BCA" w14:textId="77777777" w:rsidR="00924992" w:rsidRDefault="00924992">
                            <w:pPr>
                              <w:pStyle w:val="Bodytext20"/>
                              <w:spacing w:after="60"/>
                            </w:pPr>
                            <w:r>
                              <w:t>y rara vez perros</w:t>
                            </w:r>
                          </w:p>
                          <w:p w14:paraId="12F43035" w14:textId="77777777" w:rsidR="00924992" w:rsidRDefault="00924992">
                            <w:pPr>
                              <w:pStyle w:val="Bodytext20"/>
                              <w:spacing w:after="200"/>
                            </w:pPr>
                            <w:r>
                              <w:t>Aves de corral, perros (en particular cachorros), gatos, hurones y cricetos (hamsters)</w:t>
                            </w:r>
                          </w:p>
                          <w:p w14:paraId="3CEA2357" w14:textId="77777777" w:rsidR="00924992" w:rsidRDefault="00924992">
                            <w:pPr>
                              <w:pStyle w:val="Bodytext20"/>
                            </w:pPr>
                            <w:r>
                              <w:t>Perros y rara vez gatos</w:t>
                            </w:r>
                          </w:p>
                          <w:p w14:paraId="7D5AA262" w14:textId="77777777" w:rsidR="00924992" w:rsidRDefault="00924992">
                            <w:pPr>
                              <w:pStyle w:val="Bodytext20"/>
                              <w:spacing w:after="200"/>
                            </w:pPr>
                            <w:r>
                              <w:t>Animales de granja, peces y mariscos</w:t>
                            </w:r>
                          </w:p>
                          <w:p w14:paraId="19148B61" w14:textId="77777777" w:rsidR="00924992" w:rsidRDefault="00924992">
                            <w:pPr>
                              <w:pStyle w:val="Bodytext20"/>
                              <w:spacing w:after="200"/>
                            </w:pPr>
                            <w:r>
                              <w:t>Roedores (en particular ratas)</w:t>
                            </w:r>
                          </w:p>
                          <w:p w14:paraId="4433D2CB" w14:textId="77777777" w:rsidR="00924992" w:rsidRDefault="00924992">
                            <w:pPr>
                              <w:pStyle w:val="Bodytext20"/>
                              <w:spacing w:after="200"/>
                            </w:pPr>
                            <w:r>
                              <w:t>Ganado vacuno</w:t>
                            </w:r>
                          </w:p>
                        </w:txbxContent>
                      </wps:txbx>
                      <wps:bodyPr lIns="0" tIns="0" rIns="0" bIns="0"/>
                    </wps:wsp>
                  </a:graphicData>
                </a:graphic>
              </wp:anchor>
            </w:drawing>
          </mc:Choice>
          <mc:Fallback>
            <w:pict>
              <v:shape w14:anchorId="360761DA" id="Shape 2637" o:spid="_x0000_s1153" type="#_x0000_t202" style="position:absolute;margin-left:231.1pt;margin-top:60.25pt;width:167.5pt;height:163.45pt;z-index:25177190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" filled="f" stroked="f">
                <v:textbox inset="0,0,0,0">
                  <w:txbxContent>
                    <w:p w14:paraId="3B3770F3" w14:textId="77777777" w:rsidR="00924992" w:rsidRDefault="00924992">
                      <w:pPr>
                        <w:pStyle w:val="Bodytext20"/>
                        <w:spacing w:after="200"/>
                      </w:pPr>
                      <w:r>
                        <w:t>Animales acuáticos</w:t>
                      </w:r>
                    </w:p>
                    <w:p w14:paraId="58F4FA09" w14:textId="77777777" w:rsidR="00924992" w:rsidRDefault="00924992">
                      <w:pPr>
                        <w:pStyle w:val="Bodytext20"/>
                        <w:spacing w:after="200"/>
                      </w:pPr>
                      <w:r>
                        <w:t>Gatos, y pocas veces otros animales (&lt;10%)</w:t>
                      </w:r>
                    </w:p>
                    <w:p w14:paraId="49290A5A" w14:textId="77777777" w:rsidR="00924992" w:rsidRDefault="00924992">
                      <w:pPr>
                        <w:pStyle w:val="Bodytext20"/>
                      </w:pPr>
                      <w:r>
                        <w:t>Ganado vacuno, caprino, ovino, porcino</w:t>
                      </w:r>
                    </w:p>
                    <w:p w14:paraId="467F0BCA" w14:textId="77777777" w:rsidR="00924992" w:rsidRDefault="00924992">
                      <w:pPr>
                        <w:pStyle w:val="Bodytext20"/>
                        <w:spacing w:after="60"/>
                      </w:pPr>
                      <w:r>
                        <w:t>y rara vez perros</w:t>
                      </w:r>
                    </w:p>
                    <w:p w14:paraId="12F43035" w14:textId="77777777" w:rsidR="00924992" w:rsidRDefault="00924992">
                      <w:pPr>
                        <w:pStyle w:val="Bodytext20"/>
                        <w:spacing w:after="200"/>
                      </w:pPr>
                      <w:r>
                        <w:t>Aves de corral, perros (en particular cachorros), gatos, hurones y cricetos (hamsters)</w:t>
                      </w:r>
                    </w:p>
                    <w:p w14:paraId="3CEA2357" w14:textId="77777777" w:rsidR="00924992" w:rsidRDefault="00924992">
                      <w:pPr>
                        <w:pStyle w:val="Bodytext20"/>
                      </w:pPr>
                      <w:r>
                        <w:t>Perros y rara vez gatos</w:t>
                      </w:r>
                    </w:p>
                    <w:p w14:paraId="7D5AA262" w14:textId="77777777" w:rsidR="00924992" w:rsidRDefault="00924992">
                      <w:pPr>
                        <w:pStyle w:val="Bodytext20"/>
                        <w:spacing w:after="200"/>
                      </w:pPr>
                      <w:r>
                        <w:t>Animales de granja, peces y mariscos</w:t>
                      </w:r>
                    </w:p>
                    <w:p w14:paraId="19148B61" w14:textId="77777777" w:rsidR="00924992" w:rsidRDefault="00924992">
                      <w:pPr>
                        <w:pStyle w:val="Bodytext20"/>
                        <w:spacing w:after="200"/>
                      </w:pPr>
                      <w:r>
                        <w:t>Roedores (en particular ratas)</w:t>
                      </w:r>
                    </w:p>
                    <w:p w14:paraId="4433D2CB" w14:textId="77777777" w:rsidR="00924992" w:rsidRDefault="00924992">
                      <w:pPr>
                        <w:pStyle w:val="Bodytext20"/>
                        <w:spacing w:after="200"/>
                      </w:pPr>
                      <w:r>
                        <w:t>Ganado vacuno</w:t>
                      </w:r>
                    </w:p>
                  </w:txbxContent>
                </v:textbox>
                <w10:wrap type="square" anchorx="page"/>
              </v:shape>
            </w:pict>
          </mc:Fallback>
        </mc:AlternateContent>
      </w:r>
      <w:r>
        <w:rPr>
          <w:noProof/>
        </w:rPr>
        <mc:AlternateContent>
          <mc:Choice Requires="wps">
            <w:drawing>
              <wp:anchor distT="0" distB="0" distL="114300" distR="114300" simplePos="0" relativeHeight="251772928" behindDoc="0" locked="0" layoutInCell="1" allowOverlap="1" wp14:anchorId="789E31DF" wp14:editId="67EC2DDF">
                <wp:simplePos x="0" y="0"/>
                <wp:positionH relativeFrom="page">
                  <wp:posOffset>2944495</wp:posOffset>
                </wp:positionH>
                <wp:positionV relativeFrom="paragraph">
                  <wp:posOffset>3234055</wp:posOffset>
                </wp:positionV>
                <wp:extent cx="1454150" cy="978535"/>
                <wp:effectExtent l="0" t="0" r="0" b="0"/>
                <wp:wrapSquare wrapText="bothSides"/>
                <wp:docPr id="2639" name="Shape 2639"/>
                <wp:cNvGraphicFramePr/>
                <a:graphic xmlns:a="http://schemas.openxmlformats.org/drawingml/2006/main">
                  <a:graphicData uri="http://schemas.microsoft.com/office/word/2010/wordprocessingShape">
                    <wps:wsp>
                      <wps:cNvSpPr txBox="1"/>
                      <wps:spPr>
                        <a:xfrm>
                          <a:off x="0" y="0"/>
                          <a:ext cx="1454150" cy="978535"/>
                        </a:xfrm>
                        <a:prstGeom prst="rect">
                          <a:avLst/>
                        </a:prstGeom>
                        <a:noFill/>
                      </wps:spPr>
                      <wps:txbx>
                        <w:txbxContent>
                          <w:p w14:paraId="614970E1" w14:textId="77777777" w:rsidR="00924992" w:rsidRDefault="00924992">
                            <w:pPr>
                              <w:pStyle w:val="Bodytext20"/>
                              <w:spacing w:after="200"/>
                            </w:pPr>
                            <w:r>
                              <w:t>Perros, ratas, ganado</w:t>
                            </w:r>
                          </w:p>
                          <w:p w14:paraId="597C5CA0" w14:textId="77777777" w:rsidR="00924992" w:rsidRDefault="00924992">
                            <w:pPr>
                              <w:pStyle w:val="Bodytext20"/>
                            </w:pPr>
                            <w:r>
                              <w:t>Roedores salvajes, aves</w:t>
                            </w:r>
                          </w:p>
                          <w:p w14:paraId="12FA4DC1" w14:textId="77777777" w:rsidR="00924992" w:rsidRDefault="00924992">
                            <w:pPr>
                              <w:pStyle w:val="Bodytext20"/>
                              <w:spacing w:after="200"/>
                            </w:pPr>
                            <w:r>
                              <w:t>Peces (y limpieza de acuarios)</w:t>
                            </w:r>
                          </w:p>
                          <w:p w14:paraId="2785A09C" w14:textId="77777777" w:rsidR="00924992" w:rsidRDefault="00924992">
                            <w:pPr>
                              <w:pStyle w:val="Bodytext20"/>
                              <w:spacing w:after="200"/>
                            </w:pPr>
                            <w:r>
                              <w:t>Gatos y pocas veces perros Roedores, conejos salvajes, gatos</w:t>
                            </w:r>
                          </w:p>
                        </w:txbxContent>
                      </wps:txbx>
                      <wps:bodyPr lIns="0" tIns="0" rIns="0" bIns="0"/>
                    </wps:wsp>
                  </a:graphicData>
                </a:graphic>
              </wp:anchor>
            </w:drawing>
          </mc:Choice>
          <mc:Fallback>
            <w:pict>
              <v:shape w14:anchorId="789E31DF" id="Shape 2639" o:spid="_x0000_s1154" type="#_x0000_t202" style="position:absolute;margin-left:231.85pt;margin-top:254.65pt;width:114.5pt;height:77.05pt;z-index:251772928;visibility:visible;mso-wrap-style:square;mso-wrap-distance-left:9pt;mso-wrap-distance-top:0;mso-wrap-distance-right:9pt;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" filled="f" stroked="f">
                <v:textbox inset="0,0,0,0">
                  <w:txbxContent>
                    <w:p w14:paraId="614970E1" w14:textId="77777777" w:rsidR="00924992" w:rsidRDefault="00924992">
                      <w:pPr>
                        <w:pStyle w:val="Bodytext20"/>
                        <w:spacing w:after="200"/>
                      </w:pPr>
                      <w:r>
                        <w:t>Perros, ratas, ganado</w:t>
                      </w:r>
                    </w:p>
                    <w:p w14:paraId="597C5CA0" w14:textId="77777777" w:rsidR="00924992" w:rsidRDefault="00924992">
                      <w:pPr>
                        <w:pStyle w:val="Bodytext20"/>
                      </w:pPr>
                      <w:r>
                        <w:t>Roedores salvajes, aves</w:t>
                      </w:r>
                    </w:p>
                    <w:p w14:paraId="12FA4DC1" w14:textId="77777777" w:rsidR="00924992" w:rsidRDefault="00924992">
                      <w:pPr>
                        <w:pStyle w:val="Bodytext20"/>
                        <w:spacing w:after="200"/>
                      </w:pPr>
                      <w:r>
                        <w:t>Peces (y limpieza de acuarios)</w:t>
                      </w:r>
                    </w:p>
                    <w:p w14:paraId="2785A09C" w14:textId="77777777" w:rsidR="00924992" w:rsidRDefault="00924992">
                      <w:pPr>
                        <w:pStyle w:val="Bodytext20"/>
                        <w:spacing w:after="200"/>
                      </w:pPr>
                      <w:r>
                        <w:t>Gatos y pocas veces perros Roedores, conejos salvajes, gatos</w:t>
                      </w:r>
                    </w:p>
                  </w:txbxContent>
                </v:textbox>
                <w10:wrap type="square" anchorx="page"/>
              </v:shape>
            </w:pict>
          </mc:Fallback>
        </mc:AlternateContent>
      </w:r>
      <w:r>
        <w:rPr>
          <w:noProof/>
        </w:rPr>
        <mc:AlternateContent>
          <mc:Choice Requires="wps">
            <w:drawing>
              <wp:anchor distT="0" distB="0" distL="114300" distR="114300" simplePos="0" relativeHeight="251773952" behindDoc="0" locked="0" layoutInCell="1" allowOverlap="1" wp14:anchorId="6AA8B992" wp14:editId="65E41604">
                <wp:simplePos x="0" y="0"/>
                <wp:positionH relativeFrom="page">
                  <wp:posOffset>7867015</wp:posOffset>
                </wp:positionH>
                <wp:positionV relativeFrom="paragraph">
                  <wp:posOffset>21590</wp:posOffset>
                </wp:positionV>
                <wp:extent cx="121920" cy="2499360"/>
                <wp:effectExtent l="0" t="0" r="0" b="0"/>
                <wp:wrapSquare wrapText="bothSides"/>
                <wp:docPr id="2641" name="Shape 2641"/>
                <wp:cNvGraphicFramePr/>
                <a:graphic xmlns:a="http://schemas.openxmlformats.org/drawingml/2006/main">
                  <a:graphicData uri="http://schemas.microsoft.com/office/word/2010/wordprocessingShape">
                    <wps:wsp>
                      <wps:cNvSpPr txBox="1"/>
                      <wps:spPr>
                        <a:xfrm>
                          <a:off x="0" y="0"/>
                          <a:ext cx="121920" cy="2499360"/>
                        </a:xfrm>
                        <a:prstGeom prst="rect">
                          <a:avLst/>
                        </a:prstGeom>
                        <a:noFill/>
                      </wps:spPr>
                      <wps:txbx>
                        <w:txbxContent>
                          <w:p w14:paraId="627818BB" w14:textId="77777777" w:rsidR="00924992" w:rsidRDefault="00924992">
                            <w:pPr>
                              <w:pStyle w:val="Bodytext80"/>
                              <w:tabs>
                                <w:tab w:val="left" w:pos="2923"/>
                              </w:tabs>
                            </w:pPr>
                            <w:r>
                              <w:rPr>
                                <w:sz w:val="16"/>
                                <w:szCs w:val="16"/>
                              </w:rPr>
                              <w:t>854</w:t>
                            </w:r>
                            <w:r>
                              <w:rPr>
                                <w:sz w:val="16"/>
                                <w:szCs w:val="16"/>
                              </w:rPr>
                              <w:tab/>
                            </w:r>
                            <w:r>
                              <w:t>APÉNDICE VIII</w:t>
                            </w:r>
                          </w:p>
                        </w:txbxContent>
                      </wps:txbx>
                      <wps:bodyPr vert="vert" lIns="0" tIns="0" rIns="0" bIns="0" upright="1"/>
                    </wps:wsp>
                  </a:graphicData>
                </a:graphic>
              </wp:anchor>
            </w:drawing>
          </mc:Choice>
          <mc:Fallback>
            <w:pict>
              <v:shape w14:anchorId="6AA8B992" id="Shape 2641" o:spid="_x0000_s1155" type="#_x0000_t202" style="position:absolute;margin-left:619.45pt;margin-top:1.7pt;width:9.6pt;height:196.8pt;z-index:251773952;visibility:visible;mso-wrap-style:square;mso-wrap-distance-left:9pt;mso-wrap-distance-top:0;mso-wrap-distance-right:9pt;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" filled="f" stroked="f">
                <v:textbox style="layout-flow:vertical" inset="0,0,0,0">
                  <w:txbxContent>
                    <w:p w14:paraId="627818BB" w14:textId="77777777" w:rsidR="00924992" w:rsidRDefault="00924992">
                      <w:pPr>
                        <w:pStyle w:val="Bodytext80"/>
                        <w:tabs>
                          <w:tab w:val="left" w:pos="2923"/>
                        </w:tabs>
                      </w:pPr>
                      <w:r>
                        <w:rPr>
                          <w:sz w:val="16"/>
                          <w:szCs w:val="16"/>
                        </w:rPr>
                        <w:t>854</w:t>
                      </w:r>
                      <w:r>
                        <w:rPr>
                          <w:sz w:val="16"/>
                          <w:szCs w:val="16"/>
                        </w:rPr>
                        <w:tab/>
                      </w:r>
                      <w:r>
                        <w:t>APÉNDICE VIII</w:t>
                      </w:r>
                    </w:p>
                  </w:txbxContent>
                </v:textbox>
                <w10:wrap type="square" anchorx="page"/>
              </v:shape>
            </w:pict>
          </mc:Fallback>
        </mc:AlternateContent>
      </w:r>
    </w:p>
    <w:p w14:paraId="350A019B" w14:textId="77777777" w:rsidR="00924992" w:rsidRDefault="00924992">
      <w:pPr>
        <w:pStyle w:val="Bodytext20"/>
      </w:pPr>
      <w:r>
        <w:rPr>
          <w:b/>
          <w:bCs/>
        </w:rPr>
        <w:t>Bacterianas, enfermedades</w:t>
      </w:r>
    </w:p>
    <w:p w14:paraId="5BEC763E" w14:textId="77777777" w:rsidR="00924992" w:rsidRDefault="00924992">
      <w:pPr>
        <w:pStyle w:val="Bodytext20"/>
        <w:spacing w:after="200"/>
        <w:jc w:val="both"/>
      </w:pPr>
      <w:r>
        <w:rPr>
          <w:i/>
          <w:iCs/>
        </w:rPr>
        <w:t>Aeromonas,</w:t>
      </w:r>
      <w:r>
        <w:t xml:space="preserve"> especies</w:t>
      </w:r>
    </w:p>
    <w:p w14:paraId="198107AF" w14:textId="77777777" w:rsidR="00924992" w:rsidRDefault="00924992">
      <w:pPr>
        <w:pStyle w:val="Bodytext20"/>
        <w:spacing w:after="200"/>
      </w:pPr>
      <w:r>
        <w:rPr>
          <w:i/>
          <w:iCs/>
        </w:rPr>
        <w:t>Bartonella henselae</w:t>
      </w:r>
      <w:r>
        <w:t xml:space="preserve"> (linforreticulosis)</w:t>
      </w:r>
    </w:p>
    <w:p w14:paraId="06109247" w14:textId="77777777" w:rsidR="00924992" w:rsidRDefault="00924992">
      <w:pPr>
        <w:pStyle w:val="Bodytext20"/>
        <w:spacing w:after="200"/>
        <w:rPr>
          <w:sz w:val="15"/>
          <w:szCs w:val="15"/>
        </w:rPr>
      </w:pPr>
      <w:r>
        <w:t xml:space="preserve">Brucelosis (especies de </w:t>
      </w:r>
      <w:r>
        <w:rPr>
          <w:i/>
          <w:iCs/>
        </w:rPr>
        <w:t>Brucella</w:t>
      </w:r>
      <w:r>
        <w:rPr>
          <w:i/>
          <w:iCs/>
          <w:sz w:val="15"/>
          <w:szCs w:val="15"/>
        </w:rPr>
        <w:t>)</w:t>
      </w:r>
    </w:p>
    <w:p w14:paraId="44C86F21" w14:textId="77777777" w:rsidR="00924992" w:rsidRDefault="00924992">
      <w:pPr>
        <w:pStyle w:val="Bodytext20"/>
        <w:spacing w:after="420"/>
      </w:pPr>
      <w:r>
        <w:t xml:space="preserve">Campilobacteriosis </w:t>
      </w:r>
      <w:r>
        <w:rPr>
          <w:i/>
          <w:iCs/>
        </w:rPr>
        <w:t>(Campylobacter jejuni)</w:t>
      </w:r>
    </w:p>
    <w:p w14:paraId="585C2DD0" w14:textId="77777777" w:rsidR="00924992" w:rsidRDefault="00924992">
      <w:pPr>
        <w:pStyle w:val="Bodytext20"/>
      </w:pPr>
      <w:r>
        <w:rPr>
          <w:i/>
          <w:iCs/>
        </w:rPr>
        <w:t>Capnocytophaga canimorsus</w:t>
      </w:r>
    </w:p>
    <w:p w14:paraId="635662D2" w14:textId="77777777" w:rsidR="00924992" w:rsidRDefault="00924992">
      <w:pPr>
        <w:pStyle w:val="Bodytext20"/>
        <w:spacing w:after="200"/>
      </w:pPr>
      <w:r>
        <w:rPr>
          <w:i/>
          <w:iCs/>
        </w:rPr>
        <w:t>Erysipelothrix rhusiopathiae</w:t>
      </w:r>
    </w:p>
    <w:p w14:paraId="0419FF77" w14:textId="77777777" w:rsidR="00924992" w:rsidRDefault="00924992">
      <w:pPr>
        <w:pStyle w:val="Bodytext20"/>
      </w:pPr>
      <w:r>
        <w:t xml:space="preserve">Espirilosis o sodoku </w:t>
      </w:r>
      <w:r>
        <w:rPr>
          <w:i/>
          <w:iCs/>
          <w:sz w:val="15"/>
          <w:szCs w:val="15"/>
        </w:rPr>
        <w:t>(</w:t>
      </w:r>
      <w:r>
        <w:rPr>
          <w:i/>
          <w:iCs/>
        </w:rPr>
        <w:t>Streptobacillus moniliformis, Spirillum minus</w:t>
      </w:r>
      <w:r>
        <w:t>)</w:t>
      </w:r>
    </w:p>
    <w:p w14:paraId="746A1E4B" w14:textId="77777777" w:rsidR="00924992" w:rsidRDefault="00924992">
      <w:pPr>
        <w:pStyle w:val="Bodytext20"/>
        <w:spacing w:after="420"/>
      </w:pPr>
      <w:r>
        <w:t xml:space="preserve">Hemolítico-urémico, síndrome (por </w:t>
      </w:r>
      <w:r>
        <w:rPr>
          <w:i/>
          <w:iCs/>
        </w:rPr>
        <w:t xml:space="preserve">Escherichia coli </w:t>
      </w:r>
      <w:r>
        <w:t>enterohemorrágica)</w:t>
      </w:r>
    </w:p>
    <w:p w14:paraId="26190794" w14:textId="77777777" w:rsidR="00924992" w:rsidRDefault="00924992">
      <w:pPr>
        <w:pStyle w:val="Bodytext20"/>
        <w:spacing w:after="200"/>
      </w:pPr>
      <w:r>
        <w:t xml:space="preserve">Leptospirosis (especies de </w:t>
      </w:r>
      <w:r>
        <w:rPr>
          <w:i/>
          <w:iCs/>
        </w:rPr>
        <w:t>Leptospira</w:t>
      </w:r>
      <w:r>
        <w:t>)</w:t>
      </w:r>
    </w:p>
    <w:p w14:paraId="294474A3" w14:textId="77777777" w:rsidR="00924992" w:rsidRDefault="00924992">
      <w:pPr>
        <w:pStyle w:val="Bodytext20"/>
      </w:pPr>
      <w:r>
        <w:t>Lyme, enfermedad de (</w:t>
      </w:r>
      <w:r>
        <w:rPr>
          <w:i/>
          <w:iCs/>
        </w:rPr>
        <w:t>Borrelia burgdorferi</w:t>
      </w:r>
      <w:r>
        <w:t>)</w:t>
      </w:r>
    </w:p>
    <w:p w14:paraId="423B49B6" w14:textId="77777777" w:rsidR="00924992" w:rsidRDefault="00924992">
      <w:pPr>
        <w:pStyle w:val="Bodytext20"/>
      </w:pPr>
      <w:r>
        <w:t xml:space="preserve">Micobacteriosis (por </w:t>
      </w:r>
      <w:r>
        <w:rPr>
          <w:i/>
          <w:iCs/>
        </w:rPr>
        <w:t xml:space="preserve">Mycobacterium marinum </w:t>
      </w:r>
      <w:r>
        <w:t>y otros gérmenes)</w:t>
      </w:r>
    </w:p>
    <w:p w14:paraId="7787A34E" w14:textId="77777777" w:rsidR="00924992" w:rsidRDefault="00924992">
      <w:pPr>
        <w:pStyle w:val="Bodytext20"/>
        <w:jc w:val="both"/>
      </w:pPr>
      <w:r>
        <w:rPr>
          <w:i/>
          <w:iCs/>
        </w:rPr>
        <w:t>Pasteurella multocida</w:t>
      </w:r>
    </w:p>
    <w:p w14:paraId="2990DF86" w14:textId="77777777" w:rsidR="00924992" w:rsidRDefault="00924992">
      <w:pPr>
        <w:pStyle w:val="Bodytext20"/>
        <w:spacing w:after="200"/>
        <w:jc w:val="both"/>
      </w:pPr>
      <w:r>
        <w:t>Peste (</w:t>
      </w:r>
      <w:r>
        <w:rPr>
          <w:i/>
          <w:iCs/>
        </w:rPr>
        <w:t>Yersinia pestis</w:t>
      </w:r>
      <w:r>
        <w:t>)</w:t>
      </w:r>
    </w:p>
    <w:p w14:paraId="35DBD8A5" w14:textId="77777777" w:rsidR="00924992" w:rsidRDefault="00924992">
      <w:pPr>
        <w:pStyle w:val="Bodytext20"/>
      </w:pPr>
      <w:r>
        <w:t>Infección de heridas, ingestión de alimentos contaminados</w:t>
      </w:r>
    </w:p>
    <w:p w14:paraId="4E12F7ED" w14:textId="77777777" w:rsidR="00924992" w:rsidRDefault="00924992">
      <w:pPr>
        <w:pStyle w:val="Bodytext20"/>
      </w:pPr>
      <w:r>
        <w:t>Excoriaciones, mordeduras, pulgas; es importante la transmisión de un gato a otro</w:t>
      </w:r>
    </w:p>
    <w:p w14:paraId="48BE0B99" w14:textId="77777777" w:rsidR="00924992" w:rsidRDefault="00924992">
      <w:pPr>
        <w:pStyle w:val="Bodytext20"/>
      </w:pPr>
      <w:r>
        <w:t>Contacto directo con productos del parto, ingestión de leche contaminada, inhalación de aerosoles</w:t>
      </w:r>
    </w:p>
    <w:p w14:paraId="3DCFD7E1" w14:textId="77777777" w:rsidR="00924992" w:rsidRDefault="00924992">
      <w:pPr>
        <w:pStyle w:val="Bodytext20"/>
      </w:pPr>
      <w:r>
        <w:t>Ingestión de alimentos contaminados, contacto directo (particularmente con animales con diarrea), contacto de una persona con otra (fecal-oral)</w:t>
      </w:r>
    </w:p>
    <w:p w14:paraId="6999B0C5" w14:textId="77777777" w:rsidR="00924992" w:rsidRDefault="00924992">
      <w:pPr>
        <w:pStyle w:val="Bodytext20"/>
      </w:pPr>
      <w:r>
        <w:t>Mordeduras, contacto</w:t>
      </w:r>
    </w:p>
    <w:p w14:paraId="481F7432" w14:textId="77777777" w:rsidR="00924992" w:rsidRDefault="00924992">
      <w:pPr>
        <w:pStyle w:val="Bodytext20"/>
      </w:pPr>
      <w:r>
        <w:t>Contacto directo con animales o productos animales contaminados</w:t>
      </w:r>
    </w:p>
    <w:p w14:paraId="79B97AF3" w14:textId="77777777" w:rsidR="00924992" w:rsidRDefault="00924992">
      <w:pPr>
        <w:pStyle w:val="Bodytext20"/>
        <w:spacing w:after="200"/>
      </w:pPr>
      <w:r>
        <w:t>Mordeduras</w:t>
      </w:r>
    </w:p>
    <w:p w14:paraId="5BAEC5D8" w14:textId="77777777" w:rsidR="00924992" w:rsidRDefault="00924992">
      <w:pPr>
        <w:pStyle w:val="Bodytext20"/>
      </w:pPr>
      <w:r>
        <w:t>Ingestión de carne molida de res contaminada y mal cocida u otros alimentos o agua contaminados, contagio de una persona a otra (fecal-oral), picadura de garrapatas</w:t>
      </w:r>
    </w:p>
    <w:p w14:paraId="5AE8DC30" w14:textId="77777777" w:rsidR="00924992" w:rsidRDefault="00924992">
      <w:pPr>
        <w:pStyle w:val="Bodytext20"/>
      </w:pPr>
      <w:r>
        <w:t>Contacto con orina, particularmente en agua contaminada</w:t>
      </w:r>
    </w:p>
    <w:p w14:paraId="32540CC8" w14:textId="77777777" w:rsidR="00924992" w:rsidRDefault="00924992">
      <w:pPr>
        <w:pStyle w:val="Bodytext20"/>
      </w:pPr>
      <w:r>
        <w:t>Picadura de garrapatas</w:t>
      </w:r>
    </w:p>
    <w:p w14:paraId="5D7B2B59" w14:textId="77777777" w:rsidR="00924992" w:rsidRDefault="00924992">
      <w:pPr>
        <w:pStyle w:val="Bodytext20"/>
        <w:spacing w:after="200"/>
      </w:pPr>
      <w:r>
        <w:t>Lesiones cutáneas o contaminación de una herida previa</w:t>
      </w:r>
    </w:p>
    <w:p w14:paraId="593AD53D" w14:textId="77777777" w:rsidR="00924992" w:rsidRDefault="00924992">
      <w:pPr>
        <w:pStyle w:val="Bodytext20"/>
      </w:pPr>
      <w:r>
        <w:t>Mordeduras, excoriaciones, lameduras</w:t>
      </w:r>
    </w:p>
    <w:p w14:paraId="4113722E" w14:textId="77777777" w:rsidR="00924992" w:rsidRDefault="00924992">
      <w:pPr>
        <w:pStyle w:val="Bodytext20"/>
        <w:spacing w:after="200"/>
        <w:sectPr w:rsidR="00924992" w:rsidSect="00924992">
          <w:headerReference w:type="even" r:id="rId528"/>
          <w:headerReference w:type="default" r:id="rId529"/>
          <w:footerReference w:type="even" r:id="rId530"/>
          <w:footerReference w:type="default" r:id="rId531"/>
          <w:footnotePr>
            <w:numFmt w:val="chicago"/>
          </w:footnotePr>
          <w:pgSz w:w="13022" w:h="8501" w:orient="landscape"/>
          <w:pgMar w:top="470" w:right="1003" w:bottom="980" w:left="662" w:header="42" w:footer="3" w:gutter="0"/>
          <w:pgNumType w:start="1040"/>
          <w:cols w:num="2" w:space="3408"/>
          <w:noEndnote/>
          <w:docGrid w:linePitch="360"/>
          <w15:footnoteColumns w:val="1"/>
        </w:sectPr>
      </w:pPr>
      <w:r>
        <w:t>Picadura de pulgas de roedores, contacto directo con animales infectados</w:t>
      </w:r>
    </w:p>
    <w:p w14:paraId="22103391" w14:textId="77777777" w:rsidR="00924992" w:rsidRDefault="00924992">
      <w:pPr>
        <w:pStyle w:val="Heading31"/>
        <w:keepNext/>
        <w:keepLines/>
        <w:jc w:val="right"/>
        <w:rPr>
          <w:sz w:val="16"/>
          <w:szCs w:val="16"/>
        </w:rPr>
        <w:sectPr w:rsidR="00924992" w:rsidSect="00924992">
          <w:footnotePr>
            <w:numFmt w:val="chicago"/>
          </w:footnotePr>
          <w:pgSz w:w="13022" w:h="8501" w:orient="landscape"/>
          <w:pgMar w:top="1099" w:right="3922" w:bottom="304" w:left="672" w:header="671" w:footer="3" w:gutter="0"/>
          <w:cols w:space="720"/>
          <w:noEndnote/>
          <w:docGrid w:linePitch="360"/>
          <w15:footnoteColumns w:val="1"/>
        </w:sectPr>
      </w:pPr>
      <w:bookmarkStart w:id="972" w:name="bookmark2354"/>
      <w:bookmarkStart w:id="973" w:name="bookmark2355"/>
      <w:bookmarkStart w:id="974" w:name="bookmark2356"/>
      <w:r>
        <w:rPr>
          <w:b w:val="0"/>
          <w:bCs w:val="0"/>
        </w:rPr>
        <w:t xml:space="preserve">Cuadro. </w:t>
      </w:r>
      <w:r>
        <w:t xml:space="preserve">Enfermedades transmitidas por animales </w:t>
      </w:r>
      <w:r>
        <w:rPr>
          <w:rFonts w:ascii="Times New Roman" w:eastAsia="Times New Roman" w:hAnsi="Times New Roman" w:cs="Times New Roman"/>
          <w:b w:val="0"/>
          <w:bCs w:val="0"/>
          <w:i/>
          <w:iCs/>
          <w:w w:val="100"/>
          <w:sz w:val="16"/>
          <w:szCs w:val="16"/>
        </w:rPr>
        <w:t>continuación</w:t>
      </w:r>
      <w:bookmarkEnd w:id="972"/>
      <w:bookmarkEnd w:id="973"/>
      <w:bookmarkEnd w:id="974"/>
    </w:p>
    <w:p w14:paraId="629707E2" w14:textId="77777777" w:rsidR="00924992" w:rsidRDefault="00924992">
      <w:pPr>
        <w:spacing w:line="1" w:lineRule="exact"/>
      </w:pPr>
      <w:r>
        <w:rPr>
          <w:noProof/>
        </w:rPr>
        <mc:AlternateContent>
          <mc:Choice Requires="wps">
            <w:drawing>
              <wp:anchor distT="0" distB="0" distL="0" distR="0" simplePos="0" relativeHeight="251774976" behindDoc="0" locked="0" layoutInCell="1" allowOverlap="1" wp14:anchorId="7A2D7A94" wp14:editId="3DC48BE2">
                <wp:simplePos x="0" y="0"/>
                <wp:positionH relativeFrom="page">
                  <wp:posOffset>5099050</wp:posOffset>
                </wp:positionH>
                <wp:positionV relativeFrom="paragraph">
                  <wp:posOffset>12700</wp:posOffset>
                </wp:positionV>
                <wp:extent cx="2078990" cy="189230"/>
                <wp:effectExtent l="0" t="0" r="0" b="0"/>
                <wp:wrapSquare wrapText="bothSides"/>
                <wp:docPr id="2647" name="Shape 2647"/>
                <wp:cNvGraphicFramePr/>
                <a:graphic xmlns:a="http://schemas.openxmlformats.org/drawingml/2006/main">
                  <a:graphicData uri="http://schemas.microsoft.com/office/word/2010/wordprocessingShape">
                    <wps:wsp>
                      <wps:cNvSpPr txBox="1"/>
                      <wps:spPr>
                        <a:xfrm>
                          <a:off x="0" y="0"/>
                          <a:ext cx="2078990" cy="189230"/>
                        </a:xfrm>
                        <a:prstGeom prst="rect">
                          <a:avLst/>
                        </a:prstGeom>
                        <a:solidFill>
                          <a:srgbClr val="231F20"/>
                        </a:solidFill>
                      </wps:spPr>
                      <wps:txbx>
                        <w:txbxContent>
                          <w:p w14:paraId="7064A774" w14:textId="77777777" w:rsidR="00924992" w:rsidRDefault="00924992">
                            <w:pPr>
                              <w:pStyle w:val="Other0"/>
                              <w:pBdr>
                                <w:top w:val="single" w:sz="0" w:space="0" w:color="231F20"/>
                                <w:left w:val="single" w:sz="0" w:space="0" w:color="231F20"/>
                                <w:bottom w:val="single" w:sz="0" w:space="0" w:color="231F20"/>
                                <w:right w:val="single" w:sz="0" w:space="0" w:color="231F20"/>
                              </w:pBdr>
                              <w:shd w:val="clear" w:color="auto" w:fill="231F20"/>
                              <w:spacing w:line="240" w:lineRule="auto"/>
                              <w:ind w:firstLine="0"/>
                              <w:jc w:val="center"/>
                              <w:rPr>
                                <w:sz w:val="24"/>
                                <w:szCs w:val="24"/>
                              </w:rPr>
                            </w:pPr>
                            <w:r>
                              <w:rPr>
                                <w:rFonts w:ascii="Arial" w:eastAsia="Arial" w:hAnsi="Arial" w:cs="Arial"/>
                                <w:b/>
                                <w:bCs/>
                                <w:color w:val="FFFFFF"/>
                                <w:w w:val="70"/>
                                <w:sz w:val="24"/>
                                <w:szCs w:val="24"/>
                              </w:rPr>
                              <w:t>Vectores o mecanismos de transmisión</w:t>
                            </w:r>
                          </w:p>
                        </w:txbxContent>
                      </wps:txbx>
                      <wps:bodyPr wrap="none" lIns="0" tIns="0" rIns="0" bIns="0"/>
                    </wps:wsp>
                  </a:graphicData>
                </a:graphic>
              </wp:anchor>
            </w:drawing>
          </mc:Choice>
          <mc:Fallback>
            <w:pict>
              <v:shape w14:anchorId="7A2D7A94" id="Shape 2647" o:spid="_x0000_s1156" type="#_x0000_t202" style="position:absolute;margin-left:401.5pt;margin-top:1pt;width:163.7pt;height:14.9pt;z-index:251774976;visibility:visible;mso-wrap-style:non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" fillcolor="#231f20" stroked="f">
                <v:textbox inset="0,0,0,0">
                  <w:txbxContent>
                    <w:p w14:paraId="7064A774" w14:textId="77777777" w:rsidR="00924992" w:rsidRDefault="00924992">
                      <w:pPr>
                        <w:pStyle w:val="Other0"/>
                        <w:pBdr>
                          <w:top w:val="single" w:sz="0" w:space="0" w:color="231F20"/>
                          <w:left w:val="single" w:sz="0" w:space="0" w:color="231F20"/>
                          <w:bottom w:val="single" w:sz="0" w:space="0" w:color="231F20"/>
                          <w:right w:val="single" w:sz="0" w:space="0" w:color="231F20"/>
                        </w:pBdr>
                        <w:shd w:val="clear" w:color="auto" w:fill="231F20"/>
                        <w:spacing w:line="240" w:lineRule="auto"/>
                        <w:ind w:firstLine="0"/>
                        <w:jc w:val="center"/>
                        <w:rPr>
                          <w:sz w:val="24"/>
                          <w:szCs w:val="24"/>
                        </w:rPr>
                      </w:pPr>
                      <w:r>
                        <w:rPr>
                          <w:rFonts w:ascii="Arial" w:eastAsia="Arial" w:hAnsi="Arial" w:cs="Arial"/>
                          <w:b/>
                          <w:bCs/>
                          <w:color w:val="FFFFFF"/>
                          <w:w w:val="70"/>
                          <w:sz w:val="24"/>
                          <w:szCs w:val="24"/>
                        </w:rPr>
                        <w:t>Vectores o mecanismos de transmisión</w:t>
                      </w:r>
                    </w:p>
                  </w:txbxContent>
                </v:textbox>
                <w10:wrap type="square" anchorx="page"/>
              </v:shape>
            </w:pict>
          </mc:Fallback>
        </mc:AlternateContent>
      </w:r>
      <w:r>
        <w:rPr>
          <w:noProof/>
        </w:rPr>
        <mc:AlternateContent>
          <mc:Choice Requires="wps">
            <w:drawing>
              <wp:anchor distT="0" distB="0" distL="12700" distR="12700" simplePos="0" relativeHeight="251776000" behindDoc="0" locked="0" layoutInCell="1" allowOverlap="1" wp14:anchorId="38372A5A" wp14:editId="3760A2F3">
                <wp:simplePos x="0" y="0"/>
                <wp:positionH relativeFrom="page">
                  <wp:posOffset>5111750</wp:posOffset>
                </wp:positionH>
                <wp:positionV relativeFrom="paragraph">
                  <wp:posOffset>399415</wp:posOffset>
                </wp:positionV>
                <wp:extent cx="2520950" cy="3584575"/>
                <wp:effectExtent l="0" t="0" r="0" b="0"/>
                <wp:wrapSquare wrapText="bothSides"/>
                <wp:docPr id="2649" name="Shape 2649"/>
                <wp:cNvGraphicFramePr/>
                <a:graphic xmlns:a="http://schemas.openxmlformats.org/drawingml/2006/main">
                  <a:graphicData uri="http://schemas.microsoft.com/office/word/2010/wordprocessingShape">
                    <wps:wsp>
                      <wps:cNvSpPr txBox="1"/>
                      <wps:spPr>
                        <a:xfrm>
                          <a:off x="0" y="0"/>
                          <a:ext cx="2520950" cy="3584575"/>
                        </a:xfrm>
                        <a:prstGeom prst="rect">
                          <a:avLst/>
                        </a:prstGeom>
                        <a:noFill/>
                      </wps:spPr>
                      <wps:txbx>
                        <w:txbxContent>
                          <w:p w14:paraId="1FF8EF99" w14:textId="77777777" w:rsidR="00924992" w:rsidRDefault="00924992">
                            <w:pPr>
                              <w:pStyle w:val="Bodytext20"/>
                              <w:spacing w:after="200"/>
                            </w:pPr>
                            <w:r>
                              <w:t>Picadura de garrapatas</w:t>
                            </w:r>
                          </w:p>
                          <w:p w14:paraId="2C0C7170" w14:textId="77777777" w:rsidR="00924992" w:rsidRDefault="00924992">
                            <w:pPr>
                              <w:pStyle w:val="Bodytext20"/>
                            </w:pPr>
                            <w:r>
                              <w:t>Ingestión de alimentos contaminados, contacto directo, contacto con superficies contaminadas con excrementos, transmisión de una persona a otra</w:t>
                            </w:r>
                          </w:p>
                          <w:p w14:paraId="746899A5" w14:textId="77777777" w:rsidR="00924992" w:rsidRDefault="00924992">
                            <w:pPr>
                              <w:pStyle w:val="Bodytext20"/>
                              <w:spacing w:after="200"/>
                            </w:pPr>
                            <w:r>
                              <w:t>Lesión cutánea durante el manejo de peces</w:t>
                            </w:r>
                          </w:p>
                          <w:p w14:paraId="6BDB457A" w14:textId="77777777" w:rsidR="00924992" w:rsidRDefault="00924992">
                            <w:pPr>
                              <w:pStyle w:val="Bodytext20"/>
                            </w:pPr>
                            <w:r>
                              <w:t>Infección de heridas y lesiones de la piel o partes blandas, con inoculación de bacterias; mordeduras contaminadas</w:t>
                            </w:r>
                          </w:p>
                          <w:p w14:paraId="560540F2" w14:textId="77777777" w:rsidR="00924992" w:rsidRDefault="00924992">
                            <w:pPr>
                              <w:pStyle w:val="Bodytext20"/>
                            </w:pPr>
                            <w:r>
                              <w:t>Picaduras de garrapatas y a veces picaduras de mosca del ciervo o mosquitos; contacto directo con el animal infectado; ingestión de agua contaminada, transmisión mecánica de garras o dientes (gatos), aerosol de tejidos o excrementos</w:t>
                            </w:r>
                          </w:p>
                          <w:p w14:paraId="229965D9" w14:textId="77777777" w:rsidR="00924992" w:rsidRDefault="00924992">
                            <w:pPr>
                              <w:pStyle w:val="Bodytext20"/>
                            </w:pPr>
                            <w:r>
                              <w:t>Lesión cutánea o contaminación de una herida previa, ingestión de alimentos contaminados</w:t>
                            </w:r>
                          </w:p>
                          <w:p w14:paraId="71E4F8D1" w14:textId="77777777" w:rsidR="00924992" w:rsidRDefault="00924992">
                            <w:pPr>
                              <w:pStyle w:val="Bodytext20"/>
                              <w:spacing w:after="200"/>
                            </w:pPr>
                            <w:r>
                              <w:t>Ingestión de alimentos o agua contaminados, rara vez contacto directo de una persona a otra (fecal-oral)</w:t>
                            </w:r>
                          </w:p>
                          <w:p w14:paraId="782A5299" w14:textId="77777777" w:rsidR="00924992" w:rsidRDefault="00924992">
                            <w:pPr>
                              <w:pStyle w:val="Bodytext20"/>
                            </w:pPr>
                            <w:r>
                              <w:t>Inhalación de aerosoles por excremento de palomas acumulados</w:t>
                            </w:r>
                          </w:p>
                          <w:p w14:paraId="0AAFAE59" w14:textId="77777777" w:rsidR="00924992" w:rsidRDefault="00924992">
                            <w:pPr>
                              <w:pStyle w:val="Bodytext20"/>
                            </w:pPr>
                            <w:r>
                              <w:t>Contacto directo</w:t>
                            </w:r>
                          </w:p>
                          <w:p w14:paraId="10C03C11" w14:textId="77777777" w:rsidR="00924992" w:rsidRDefault="00924992">
                            <w:pPr>
                              <w:pStyle w:val="Bodytext20"/>
                            </w:pPr>
                            <w:r>
                              <w:t>Inhalación de aerosoles por excrementos de murciélagos y aves acumulados</w:t>
                            </w:r>
                          </w:p>
                          <w:p w14:paraId="39CD0057" w14:textId="77777777" w:rsidR="00924992" w:rsidRDefault="00924992">
                            <w:pPr>
                              <w:pStyle w:val="Bodytext20"/>
                              <w:spacing w:after="200"/>
                            </w:pPr>
                            <w:r>
                              <w:t>Contacto directo</w:t>
                            </w:r>
                          </w:p>
                        </w:txbxContent>
                      </wps:txbx>
                      <wps:bodyPr lIns="0" tIns="0" rIns="0" bIns="0"/>
                    </wps:wsp>
                  </a:graphicData>
                </a:graphic>
              </wp:anchor>
            </w:drawing>
          </mc:Choice>
          <mc:Fallback>
            <w:pict>
              <v:shape w14:anchorId="38372A5A" id="Shape 2649" o:spid="_x0000_s1157" type="#_x0000_t202" style="position:absolute;margin-left:402.5pt;margin-top:31.45pt;width:198.5pt;height:282.25pt;z-index:251776000;visibility:visible;mso-wrap-style:square;mso-wrap-distance-left:1pt;mso-wrap-distance-top:0;mso-wrap-distance-right:1pt;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" filled="f" stroked="f">
                <v:textbox inset="0,0,0,0">
                  <w:txbxContent>
                    <w:p w14:paraId="1FF8EF99" w14:textId="77777777" w:rsidR="00924992" w:rsidRDefault="00924992">
                      <w:pPr>
                        <w:pStyle w:val="Bodytext20"/>
                        <w:spacing w:after="200"/>
                      </w:pPr>
                      <w:r>
                        <w:t>Picadura de garrapatas</w:t>
                      </w:r>
                    </w:p>
                    <w:p w14:paraId="2C0C7170" w14:textId="77777777" w:rsidR="00924992" w:rsidRDefault="00924992">
                      <w:pPr>
                        <w:pStyle w:val="Bodytext20"/>
                      </w:pPr>
                      <w:r>
                        <w:t>Ingestión de alimentos contaminados, contacto directo, contacto con superficies contaminadas con excrementos, transmisión de una persona a otra</w:t>
                      </w:r>
                    </w:p>
                    <w:p w14:paraId="746899A5" w14:textId="77777777" w:rsidR="00924992" w:rsidRDefault="00924992">
                      <w:pPr>
                        <w:pStyle w:val="Bodytext20"/>
                        <w:spacing w:after="200"/>
                      </w:pPr>
                      <w:r>
                        <w:t>Lesión cutánea durante el manejo de peces</w:t>
                      </w:r>
                    </w:p>
                    <w:p w14:paraId="6BDB457A" w14:textId="77777777" w:rsidR="00924992" w:rsidRDefault="00924992">
                      <w:pPr>
                        <w:pStyle w:val="Bodytext20"/>
                      </w:pPr>
                      <w:r>
                        <w:t>Infección de heridas y lesiones de la piel o partes blandas, con inoculación de bacterias; mordeduras contaminadas</w:t>
                      </w:r>
                    </w:p>
                    <w:p w14:paraId="560540F2" w14:textId="77777777" w:rsidR="00924992" w:rsidRDefault="00924992">
                      <w:pPr>
                        <w:pStyle w:val="Bodytext20"/>
                      </w:pPr>
                      <w:r>
                        <w:t>Picaduras de garrapatas y a veces picaduras de mosca del ciervo o mosquitos; contacto directo con el animal infectado; ingestión de agua contaminada, transmisión mecánica de garras o dientes (gatos), aerosol de tejidos o excrementos</w:t>
                      </w:r>
                    </w:p>
                    <w:p w14:paraId="229965D9" w14:textId="77777777" w:rsidR="00924992" w:rsidRDefault="00924992">
                      <w:pPr>
                        <w:pStyle w:val="Bodytext20"/>
                      </w:pPr>
                      <w:r>
                        <w:t>Lesión cutánea o contaminación de una herida previa, ingestión de alimentos contaminados</w:t>
                      </w:r>
                    </w:p>
                    <w:p w14:paraId="71E4F8D1" w14:textId="77777777" w:rsidR="00924992" w:rsidRDefault="00924992">
                      <w:pPr>
                        <w:pStyle w:val="Bodytext20"/>
                        <w:spacing w:after="200"/>
                      </w:pPr>
                      <w:r>
                        <w:t>Ingestión de alimentos o agua contaminados, rara vez contacto directo de una persona a otra (fecal-oral)</w:t>
                      </w:r>
                    </w:p>
                    <w:p w14:paraId="782A5299" w14:textId="77777777" w:rsidR="00924992" w:rsidRDefault="00924992">
                      <w:pPr>
                        <w:pStyle w:val="Bodytext20"/>
                      </w:pPr>
                      <w:r>
                        <w:t>Inhalación de aerosoles por excremento de palomas acumulados</w:t>
                      </w:r>
                    </w:p>
                    <w:p w14:paraId="0AAFAE59" w14:textId="77777777" w:rsidR="00924992" w:rsidRDefault="00924992">
                      <w:pPr>
                        <w:pStyle w:val="Bodytext20"/>
                      </w:pPr>
                      <w:r>
                        <w:t>Contacto directo</w:t>
                      </w:r>
                    </w:p>
                    <w:p w14:paraId="10C03C11" w14:textId="77777777" w:rsidR="00924992" w:rsidRDefault="00924992">
                      <w:pPr>
                        <w:pStyle w:val="Bodytext20"/>
                      </w:pPr>
                      <w:r>
                        <w:t>Inhalación de aerosoles por excrementos de murciélagos y aves acumulados</w:t>
                      </w:r>
                    </w:p>
                    <w:p w14:paraId="39CD0057" w14:textId="77777777" w:rsidR="00924992" w:rsidRDefault="00924992">
                      <w:pPr>
                        <w:pStyle w:val="Bodytext20"/>
                        <w:spacing w:after="200"/>
                      </w:pPr>
                      <w:r>
                        <w:t>Contacto directo</w:t>
                      </w:r>
                    </w:p>
                  </w:txbxContent>
                </v:textbox>
                <w10:wrap type="square" anchorx="page"/>
              </v:shape>
            </w:pict>
          </mc:Fallback>
        </mc:AlternateContent>
      </w:r>
      <w:r>
        <w:rPr>
          <w:noProof/>
        </w:rPr>
        <mc:AlternateContent>
          <mc:Choice Requires="wps">
            <w:drawing>
              <wp:anchor distT="0" distB="0" distL="114300" distR="114300" simplePos="0" relativeHeight="251777024" behindDoc="0" locked="0" layoutInCell="1" allowOverlap="1" wp14:anchorId="11581F78" wp14:editId="7CBBF43D">
                <wp:simplePos x="0" y="0"/>
                <wp:positionH relativeFrom="page">
                  <wp:posOffset>7867015</wp:posOffset>
                </wp:positionH>
                <wp:positionV relativeFrom="paragraph">
                  <wp:posOffset>1642745</wp:posOffset>
                </wp:positionV>
                <wp:extent cx="121920" cy="2502535"/>
                <wp:effectExtent l="0" t="0" r="0" b="0"/>
                <wp:wrapSquare wrapText="bothSides"/>
                <wp:docPr id="2651" name="Shape 2651"/>
                <wp:cNvGraphicFramePr/>
                <a:graphic xmlns:a="http://schemas.openxmlformats.org/drawingml/2006/main">
                  <a:graphicData uri="http://schemas.microsoft.com/office/word/2010/wordprocessingShape">
                    <wps:wsp>
                      <wps:cNvSpPr txBox="1"/>
                      <wps:spPr>
                        <a:xfrm>
                          <a:off x="0" y="0"/>
                          <a:ext cx="121920" cy="2502535"/>
                        </a:xfrm>
                        <a:prstGeom prst="rect">
                          <a:avLst/>
                        </a:prstGeom>
                        <a:noFill/>
                      </wps:spPr>
                      <wps:txbx>
                        <w:txbxContent>
                          <w:p w14:paraId="027D8882" w14:textId="77777777" w:rsidR="00924992" w:rsidRDefault="00924992">
                            <w:pPr>
                              <w:pStyle w:val="Bodytext80"/>
                              <w:tabs>
                                <w:tab w:val="left" w:pos="3624"/>
                              </w:tabs>
                              <w:rPr>
                                <w:sz w:val="16"/>
                                <w:szCs w:val="16"/>
                              </w:rPr>
                            </w:pPr>
                            <w:r>
                              <w:t>APÉNDICE VIII</w:t>
                            </w:r>
                            <w:r>
                              <w:tab/>
                            </w:r>
                            <w:r>
                              <w:rPr>
                                <w:sz w:val="16"/>
                                <w:szCs w:val="16"/>
                              </w:rPr>
                              <w:t>855</w:t>
                            </w:r>
                          </w:p>
                        </w:txbxContent>
                      </wps:txbx>
                      <wps:bodyPr vert="vert" lIns="0" tIns="0" rIns="0" bIns="0" upright="1"/>
                    </wps:wsp>
                  </a:graphicData>
                </a:graphic>
              </wp:anchor>
            </w:drawing>
          </mc:Choice>
          <mc:Fallback>
            <w:pict>
              <v:shape w14:anchorId="11581F78" id="Shape 2651" o:spid="_x0000_s1158" type="#_x0000_t202" style="position:absolute;margin-left:619.45pt;margin-top:129.35pt;width:9.6pt;height:197.05pt;z-index:251777024;visibility:visible;mso-wrap-style:square;mso-wrap-distance-left:9pt;mso-wrap-distance-top:0;mso-wrap-distance-right:9pt;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" filled="f" stroked="f">
                <v:textbox style="layout-flow:vertical" inset="0,0,0,0">
                  <w:txbxContent>
                    <w:p w14:paraId="027D8882" w14:textId="77777777" w:rsidR="00924992" w:rsidRDefault="00924992">
                      <w:pPr>
                        <w:pStyle w:val="Bodytext80"/>
                        <w:tabs>
                          <w:tab w:val="left" w:pos="3624"/>
                        </w:tabs>
                        <w:rPr>
                          <w:sz w:val="16"/>
                          <w:szCs w:val="16"/>
                        </w:rPr>
                      </w:pPr>
                      <w:r>
                        <w:t>APÉNDICE VIII</w:t>
                      </w:r>
                      <w:r>
                        <w:tab/>
                      </w:r>
                      <w:r>
                        <w:rPr>
                          <w:sz w:val="16"/>
                          <w:szCs w:val="16"/>
                        </w:rPr>
                        <w:t>855</w:t>
                      </w:r>
                    </w:p>
                  </w:txbxContent>
                </v:textbox>
                <w10:wrap type="square" anchorx="page"/>
              </v:shape>
            </w:pict>
          </mc:Fallback>
        </mc:AlternateContent>
      </w:r>
    </w:p>
    <w:p w14:paraId="57164A82" w14:textId="77777777" w:rsidR="00924992" w:rsidRDefault="00924992">
      <w:pPr>
        <w:pStyle w:val="Heading41"/>
        <w:keepNext/>
        <w:keepLines/>
        <w:pBdr>
          <w:top w:val="single" w:sz="0" w:space="0" w:color="231F20"/>
          <w:left w:val="single" w:sz="0" w:space="0" w:color="231F20"/>
          <w:bottom w:val="single" w:sz="0" w:space="0" w:color="231F20"/>
          <w:right w:val="single" w:sz="0" w:space="0" w:color="231F20"/>
        </w:pBdr>
        <w:shd w:val="clear" w:color="auto" w:fill="231F20"/>
        <w:spacing w:after="340"/>
      </w:pPr>
      <w:bookmarkStart w:id="975" w:name="bookmark2357"/>
      <w:bookmarkStart w:id="976" w:name="bookmark2358"/>
      <w:bookmarkStart w:id="977" w:name="bookmark2359"/>
      <w:r>
        <w:rPr>
          <w:color w:val="FFFFFF"/>
        </w:rPr>
        <w:t>Enfermedad, microorganismo o ambos</w:t>
      </w:r>
      <w:bookmarkEnd w:id="975"/>
      <w:bookmarkEnd w:id="976"/>
      <w:bookmarkEnd w:id="977"/>
    </w:p>
    <w:p w14:paraId="0D353C2A" w14:textId="77777777" w:rsidR="00924992" w:rsidRDefault="00924992">
      <w:pPr>
        <w:pStyle w:val="Bodytext20"/>
      </w:pPr>
      <w:r>
        <w:t>Recurrente, fiebre (por garrapatas)</w:t>
      </w:r>
    </w:p>
    <w:p w14:paraId="4E51D00E" w14:textId="77777777" w:rsidR="00924992" w:rsidRDefault="00924992">
      <w:pPr>
        <w:pStyle w:val="Bodytext20"/>
        <w:rPr>
          <w:sz w:val="15"/>
          <w:szCs w:val="15"/>
        </w:rPr>
      </w:pPr>
      <w:r>
        <w:t xml:space="preserve">(especies de </w:t>
      </w:r>
      <w:r>
        <w:rPr>
          <w:i/>
          <w:iCs/>
        </w:rPr>
        <w:t>Borrelia</w:t>
      </w:r>
      <w:r>
        <w:rPr>
          <w:i/>
          <w:iCs/>
          <w:sz w:val="15"/>
          <w:szCs w:val="15"/>
        </w:rPr>
        <w:t>)</w:t>
      </w:r>
    </w:p>
    <w:p w14:paraId="33A776CA" w14:textId="77777777" w:rsidR="00924992" w:rsidRDefault="00924992">
      <w:pPr>
        <w:pStyle w:val="Bodytext20"/>
        <w:spacing w:after="420"/>
        <w:rPr>
          <w:sz w:val="15"/>
          <w:szCs w:val="15"/>
        </w:rPr>
      </w:pPr>
      <w:r>
        <w:t xml:space="preserve">Salmonelosis (especies de </w:t>
      </w:r>
      <w:r>
        <w:rPr>
          <w:i/>
          <w:iCs/>
        </w:rPr>
        <w:t>Salmonella</w:t>
      </w:r>
      <w:r>
        <w:rPr>
          <w:i/>
          <w:iCs/>
          <w:sz w:val="15"/>
          <w:szCs w:val="15"/>
        </w:rPr>
        <w:t>)</w:t>
      </w:r>
    </w:p>
    <w:p w14:paraId="3A84E4B9" w14:textId="77777777" w:rsidR="00924992" w:rsidRDefault="00924992">
      <w:pPr>
        <w:pStyle w:val="Bodytext20"/>
        <w:spacing w:after="200"/>
      </w:pPr>
      <w:r>
        <w:rPr>
          <w:i/>
          <w:iCs/>
        </w:rPr>
        <w:t>Streptococcus iniae</w:t>
      </w:r>
    </w:p>
    <w:p w14:paraId="17474FAC" w14:textId="77777777" w:rsidR="00924992" w:rsidRDefault="00924992">
      <w:pPr>
        <w:pStyle w:val="Bodytext20"/>
        <w:spacing w:after="420"/>
        <w:rPr>
          <w:sz w:val="15"/>
          <w:szCs w:val="15"/>
        </w:rPr>
      </w:pPr>
      <w:r>
        <w:t xml:space="preserve">Tétanos </w:t>
      </w:r>
      <w:r>
        <w:rPr>
          <w:i/>
          <w:iCs/>
          <w:sz w:val="15"/>
          <w:szCs w:val="15"/>
        </w:rPr>
        <w:t>(</w:t>
      </w:r>
      <w:r>
        <w:rPr>
          <w:i/>
          <w:iCs/>
        </w:rPr>
        <w:t>Clostridium tetani</w:t>
      </w:r>
      <w:r>
        <w:rPr>
          <w:i/>
          <w:iCs/>
          <w:sz w:val="15"/>
          <w:szCs w:val="15"/>
        </w:rPr>
        <w:t>)</w:t>
      </w:r>
    </w:p>
    <w:p w14:paraId="25C83162" w14:textId="77777777" w:rsidR="00924992" w:rsidRDefault="00924992">
      <w:pPr>
        <w:pStyle w:val="Bodytext20"/>
        <w:spacing w:after="840"/>
      </w:pPr>
      <w:r>
        <w:t xml:space="preserve">Tularemia </w:t>
      </w:r>
      <w:r>
        <w:rPr>
          <w:i/>
          <w:iCs/>
          <w:sz w:val="15"/>
          <w:szCs w:val="15"/>
        </w:rPr>
        <w:t>(</w:t>
      </w:r>
      <w:r>
        <w:rPr>
          <w:i/>
          <w:iCs/>
        </w:rPr>
        <w:t>Francisella tularensis)</w:t>
      </w:r>
    </w:p>
    <w:p w14:paraId="0C1B436A" w14:textId="77777777" w:rsidR="00924992" w:rsidRDefault="00924992">
      <w:pPr>
        <w:pStyle w:val="Bodytext20"/>
        <w:spacing w:after="200"/>
      </w:pPr>
      <w:r>
        <w:rPr>
          <w:i/>
          <w:iCs/>
        </w:rPr>
        <w:t>Vibrio</w:t>
      </w:r>
      <w:r>
        <w:rPr>
          <w:i/>
          <w:iCs/>
          <w:sz w:val="15"/>
          <w:szCs w:val="15"/>
        </w:rPr>
        <w:t>,</w:t>
      </w:r>
      <w:r>
        <w:t xml:space="preserve"> especies de</w:t>
      </w:r>
    </w:p>
    <w:p w14:paraId="0CF5DF93" w14:textId="77777777" w:rsidR="00924992" w:rsidRDefault="00924992">
      <w:pPr>
        <w:pStyle w:val="Bodytext20"/>
        <w:spacing w:after="200"/>
      </w:pPr>
      <w:r>
        <w:t xml:space="preserve">Yersiniosis </w:t>
      </w:r>
      <w:r>
        <w:rPr>
          <w:i/>
          <w:iCs/>
          <w:sz w:val="15"/>
          <w:szCs w:val="15"/>
        </w:rPr>
        <w:t>(</w:t>
      </w:r>
      <w:r>
        <w:rPr>
          <w:i/>
          <w:iCs/>
        </w:rPr>
        <w:t>Yersinia enterocolitica)</w:t>
      </w:r>
    </w:p>
    <w:p w14:paraId="4F8EC85E" w14:textId="77777777" w:rsidR="00924992" w:rsidRDefault="00924992">
      <w:pPr>
        <w:pStyle w:val="Bodytext20"/>
      </w:pPr>
      <w:r>
        <w:rPr>
          <w:b/>
          <w:bCs/>
        </w:rPr>
        <w:t>Micosis</w:t>
      </w:r>
    </w:p>
    <w:p w14:paraId="33A9A04E" w14:textId="77777777" w:rsidR="00924992" w:rsidRDefault="00924992">
      <w:pPr>
        <w:pStyle w:val="Bodytext20"/>
        <w:spacing w:after="200"/>
      </w:pPr>
      <w:r>
        <w:t xml:space="preserve">Criptococosis </w:t>
      </w:r>
      <w:r>
        <w:rPr>
          <w:i/>
          <w:iCs/>
          <w:sz w:val="15"/>
          <w:szCs w:val="15"/>
        </w:rPr>
        <w:t>(</w:t>
      </w:r>
      <w:r>
        <w:rPr>
          <w:i/>
          <w:iCs/>
        </w:rPr>
        <w:t>Cryptococcus neoformans}</w:t>
      </w:r>
    </w:p>
    <w:p w14:paraId="0D77A83B" w14:textId="77777777" w:rsidR="00924992" w:rsidRDefault="00924992">
      <w:pPr>
        <w:pStyle w:val="Bodytext20"/>
        <w:spacing w:after="200"/>
      </w:pPr>
      <w:r>
        <w:t xml:space="preserve">Esporotricosis </w:t>
      </w:r>
      <w:r>
        <w:rPr>
          <w:i/>
          <w:iCs/>
          <w:sz w:val="15"/>
          <w:szCs w:val="15"/>
        </w:rPr>
        <w:t>(</w:t>
      </w:r>
      <w:r>
        <w:rPr>
          <w:i/>
          <w:iCs/>
        </w:rPr>
        <w:t>Sporothrix schenckii</w:t>
      </w:r>
      <w:r>
        <w:rPr>
          <w:i/>
          <w:iCs/>
          <w:sz w:val="15"/>
          <w:szCs w:val="15"/>
        </w:rPr>
        <w:t xml:space="preserve">) </w:t>
      </w:r>
      <w:r>
        <w:t xml:space="preserve">Histoplasmosis </w:t>
      </w:r>
      <w:r>
        <w:rPr>
          <w:i/>
          <w:iCs/>
          <w:sz w:val="15"/>
          <w:szCs w:val="15"/>
        </w:rPr>
        <w:t>(</w:t>
      </w:r>
      <w:r>
        <w:rPr>
          <w:i/>
          <w:iCs/>
        </w:rPr>
        <w:t>Histoplasma capsulatum)</w:t>
      </w:r>
    </w:p>
    <w:p w14:paraId="427D9562" w14:textId="77777777" w:rsidR="00924992" w:rsidRDefault="00924992">
      <w:pPr>
        <w:pStyle w:val="Bodytext20"/>
        <w:spacing w:after="280"/>
      </w:pPr>
      <w:r>
        <w:t xml:space="preserve">Tiñas (especies de </w:t>
      </w:r>
      <w:r>
        <w:rPr>
          <w:i/>
          <w:iCs/>
        </w:rPr>
        <w:t>Microsporum y Trichophyton)</w:t>
      </w:r>
    </w:p>
    <w:p w14:paraId="66D8A20C" w14:textId="77777777" w:rsidR="00924992" w:rsidRDefault="00924992">
      <w:pPr>
        <w:spacing w:line="1" w:lineRule="exact"/>
        <w:rPr>
          <w:sz w:val="2"/>
          <w:szCs w:val="2"/>
        </w:rPr>
      </w:pPr>
      <w:r>
        <w:br w:type="column"/>
      </w:r>
    </w:p>
    <w:p w14:paraId="1FCD9136" w14:textId="77777777" w:rsidR="00924992" w:rsidRDefault="00924992">
      <w:pPr>
        <w:pStyle w:val="Heading41"/>
        <w:keepNext/>
        <w:keepLines/>
        <w:pBdr>
          <w:top w:val="single" w:sz="0" w:space="0" w:color="231F20"/>
          <w:left w:val="single" w:sz="0" w:space="0" w:color="231F20"/>
          <w:bottom w:val="single" w:sz="0" w:space="0" w:color="231F20"/>
          <w:right w:val="single" w:sz="0" w:space="0" w:color="231F20"/>
        </w:pBdr>
        <w:shd w:val="clear" w:color="auto" w:fill="231F20"/>
        <w:spacing w:after="120" w:line="204" w:lineRule="auto"/>
      </w:pPr>
      <w:bookmarkStart w:id="978" w:name="bookmark2360"/>
      <w:bookmarkStart w:id="979" w:name="bookmark2361"/>
      <w:bookmarkStart w:id="980" w:name="bookmark2362"/>
      <w:r>
        <w:rPr>
          <w:color w:val="FFFFFF"/>
        </w:rPr>
        <w:t>Animales que frecuentemente sirven como punto de origen</w:t>
      </w:r>
      <w:bookmarkEnd w:id="978"/>
      <w:bookmarkEnd w:id="979"/>
      <w:bookmarkEnd w:id="980"/>
    </w:p>
    <w:p w14:paraId="2C4878D8" w14:textId="77777777" w:rsidR="00924992" w:rsidRDefault="00924992">
      <w:pPr>
        <w:pStyle w:val="Bodytext20"/>
        <w:spacing w:after="200"/>
      </w:pPr>
      <w:r>
        <w:t>Roedores salvajes</w:t>
      </w:r>
    </w:p>
    <w:p w14:paraId="7350C118" w14:textId="77777777" w:rsidR="00924992" w:rsidRDefault="00924992">
      <w:pPr>
        <w:pStyle w:val="Bodytext20"/>
      </w:pPr>
      <w:r>
        <w:t>Aves de corral, reptiles, perros, gatos, roedores, hurones, tortugas, y otros animales salvajes y domésticos</w:t>
      </w:r>
    </w:p>
    <w:p w14:paraId="7C0CB29F" w14:textId="77777777" w:rsidR="00924992" w:rsidRDefault="00924992">
      <w:pPr>
        <w:pStyle w:val="Bodytext20"/>
      </w:pPr>
      <w:r>
        <w:t>Peces cultivados en granjas acuáticas (acuacultura)</w:t>
      </w:r>
    </w:p>
    <w:p w14:paraId="0E2D762D" w14:textId="77777777" w:rsidR="00924992" w:rsidRDefault="00924992">
      <w:pPr>
        <w:pStyle w:val="Bodytext20"/>
        <w:spacing w:after="200"/>
      </w:pPr>
      <w:r>
        <w:t>Cualquier animal y de manera indirecta por la tierra</w:t>
      </w:r>
    </w:p>
    <w:p w14:paraId="011B4BEE" w14:textId="77777777" w:rsidR="00924992" w:rsidRDefault="00924992">
      <w:pPr>
        <w:pStyle w:val="Bodytext20"/>
        <w:spacing w:after="640"/>
      </w:pPr>
      <w:r>
        <w:t>Conejos salvajes, roedores, gatas almizcleras, topos, gatos</w:t>
      </w:r>
    </w:p>
    <w:p w14:paraId="0F3CAA0D" w14:textId="77777777" w:rsidR="00924992" w:rsidRDefault="00924992">
      <w:pPr>
        <w:pStyle w:val="Bodytext20"/>
        <w:spacing w:after="200"/>
      </w:pPr>
      <w:r>
        <w:t>Mariscos (crustáceos)</w:t>
      </w:r>
    </w:p>
    <w:p w14:paraId="25547E3B" w14:textId="77777777" w:rsidR="00924992" w:rsidRDefault="00924992">
      <w:pPr>
        <w:pStyle w:val="Bodytext20"/>
        <w:spacing w:after="420"/>
      </w:pPr>
      <w:r>
        <w:t>Cerdos; rara vez perros, gatos o roedores</w:t>
      </w:r>
    </w:p>
    <w:p w14:paraId="357B63AE" w14:textId="77777777" w:rsidR="00924992" w:rsidRDefault="00924992">
      <w:pPr>
        <w:pStyle w:val="Bodytext20"/>
        <w:spacing w:after="200"/>
      </w:pPr>
      <w:r>
        <w:t>Aves, en particular palomas</w:t>
      </w:r>
    </w:p>
    <w:p w14:paraId="59ABDBEB" w14:textId="77777777" w:rsidR="00924992" w:rsidRDefault="00924992">
      <w:pPr>
        <w:pStyle w:val="Bodytext20"/>
      </w:pPr>
      <w:r>
        <w:t>Gatos</w:t>
      </w:r>
    </w:p>
    <w:p w14:paraId="3120B677" w14:textId="77777777" w:rsidR="00924992" w:rsidRDefault="00924992">
      <w:pPr>
        <w:pStyle w:val="Bodytext20"/>
      </w:pPr>
      <w:r>
        <w:t>Murciélagos, aves y particularmente los esterninos</w:t>
      </w:r>
    </w:p>
    <w:p w14:paraId="4F04C2E1" w14:textId="77777777" w:rsidR="00924992" w:rsidRDefault="00924992">
      <w:pPr>
        <w:pStyle w:val="Bodytext20"/>
        <w:spacing w:after="200"/>
        <w:sectPr w:rsidR="00924992" w:rsidSect="00924992">
          <w:footnotePr>
            <w:numFmt w:val="chicago"/>
          </w:footnotePr>
          <w:type w:val="continuous"/>
          <w:pgSz w:w="13022" w:h="8501" w:orient="landscape"/>
          <w:pgMar w:top="1099" w:right="5093" w:bottom="304" w:left="672" w:header="0" w:footer="3" w:gutter="0"/>
          <w:cols w:num="2" w:space="643"/>
          <w:noEndnote/>
          <w:docGrid w:linePitch="360"/>
          <w15:footnoteColumns w:val="1"/>
        </w:sectPr>
      </w:pPr>
      <w:r>
        <w:t>Gatos, perros, conejos, roedores</w:t>
      </w:r>
    </w:p>
    <w:p w14:paraId="04B50ECE" w14:textId="77777777" w:rsidR="00924992" w:rsidRDefault="00924992">
      <w:pPr>
        <w:spacing w:line="1" w:lineRule="exact"/>
      </w:pPr>
      <w:r>
        <w:rPr>
          <w:noProof/>
        </w:rPr>
        <mc:AlternateContent>
          <mc:Choice Requires="wps">
            <w:drawing>
              <wp:anchor distT="0" distB="405130" distL="1979930" distR="1951990" simplePos="0" relativeHeight="251778048" behindDoc="0" locked="0" layoutInCell="1" allowOverlap="1" wp14:anchorId="5195CA76" wp14:editId="7A84E5E8">
                <wp:simplePos x="0" y="0"/>
                <wp:positionH relativeFrom="page">
                  <wp:posOffset>2280285</wp:posOffset>
                </wp:positionH>
                <wp:positionV relativeFrom="paragraph">
                  <wp:posOffset>12700</wp:posOffset>
                </wp:positionV>
                <wp:extent cx="3498850" cy="204470"/>
                <wp:effectExtent l="0" t="0" r="0" b="0"/>
                <wp:wrapTopAndBottom/>
                <wp:docPr id="2653" name="Shape 2653"/>
                <wp:cNvGraphicFramePr/>
                <a:graphic xmlns:a="http://schemas.openxmlformats.org/drawingml/2006/main">
                  <a:graphicData uri="http://schemas.microsoft.com/office/word/2010/wordprocessingShape">
                    <wps:wsp>
                      <wps:cNvSpPr txBox="1"/>
                      <wps:spPr>
                        <a:xfrm>
                          <a:off x="0" y="0"/>
                          <a:ext cx="3498850" cy="204470"/>
                        </a:xfrm>
                        <a:prstGeom prst="rect">
                          <a:avLst/>
                        </a:prstGeom>
                        <a:noFill/>
                      </wps:spPr>
                      <wps:txbx>
                        <w:txbxContent>
                          <w:p w14:paraId="57EBFA52" w14:textId="77777777" w:rsidR="00924992" w:rsidRDefault="00924992">
                            <w:pPr>
                              <w:pStyle w:val="Heading31"/>
                              <w:keepNext/>
                              <w:keepLines/>
                              <w:rPr>
                                <w:sz w:val="16"/>
                                <w:szCs w:val="16"/>
                              </w:rPr>
                            </w:pPr>
                            <w:bookmarkStart w:id="981" w:name="bookmark2363"/>
                            <w:bookmarkStart w:id="982" w:name="bookmark2364"/>
                            <w:bookmarkStart w:id="983" w:name="bookmark2365"/>
                            <w:r>
                              <w:rPr>
                                <w:b w:val="0"/>
                                <w:bCs w:val="0"/>
                              </w:rPr>
                              <w:t xml:space="preserve">Cuadro. </w:t>
                            </w:r>
                            <w:r>
                              <w:t xml:space="preserve">Enfermedades transmitidas por animales </w:t>
                            </w:r>
                            <w:r>
                              <w:rPr>
                                <w:rFonts w:ascii="Times New Roman" w:eastAsia="Times New Roman" w:hAnsi="Times New Roman" w:cs="Times New Roman"/>
                                <w:b w:val="0"/>
                                <w:bCs w:val="0"/>
                                <w:i/>
                                <w:iCs/>
                                <w:w w:val="100"/>
                                <w:sz w:val="16"/>
                                <w:szCs w:val="16"/>
                              </w:rPr>
                              <w:t>continuación</w:t>
                            </w:r>
                            <w:bookmarkEnd w:id="981"/>
                            <w:bookmarkEnd w:id="982"/>
                            <w:bookmarkEnd w:id="983"/>
                          </w:p>
                        </w:txbxContent>
                      </wps:txbx>
                      <wps:bodyPr lIns="0" tIns="0" rIns="0" bIns="0"/>
                    </wps:wsp>
                  </a:graphicData>
                </a:graphic>
              </wp:anchor>
            </w:drawing>
          </mc:Choice>
          <mc:Fallback>
            <w:pict>
              <v:shape w14:anchorId="5195CA76" id="Shape 2653" o:spid="_x0000_s1159" type="#_x0000_t202" style="position:absolute;margin-left:179.55pt;margin-top:1pt;width:275.5pt;height:16.1pt;z-index:251778048;visibility:visible;mso-wrap-style:square;mso-wrap-distance-left:155.9pt;mso-wrap-distance-top:0;mso-wrap-distance-right:153.7pt;mso-wrap-distance-bottom:31.9pt;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" filled="f" stroked="f">
                <v:textbox inset="0,0,0,0">
                  <w:txbxContent>
                    <w:p w14:paraId="57EBFA52" w14:textId="77777777" w:rsidR="00924992" w:rsidRDefault="00924992">
                      <w:pPr>
                        <w:pStyle w:val="Heading31"/>
                        <w:keepNext/>
                        <w:keepLines/>
                        <w:rPr>
                          <w:sz w:val="16"/>
                          <w:szCs w:val="16"/>
                        </w:rPr>
                      </w:pPr>
                      <w:bookmarkStart w:id="984" w:name="bookmark2363"/>
                      <w:bookmarkStart w:id="985" w:name="bookmark2364"/>
                      <w:bookmarkStart w:id="986" w:name="bookmark2365"/>
                      <w:r>
                        <w:rPr>
                          <w:b w:val="0"/>
                          <w:bCs w:val="0"/>
                        </w:rPr>
                        <w:t xml:space="preserve">Cuadro. </w:t>
                      </w:r>
                      <w:r>
                        <w:t xml:space="preserve">Enfermedades transmitidas por animales </w:t>
                      </w:r>
                      <w:r>
                        <w:rPr>
                          <w:rFonts w:ascii="Times New Roman" w:eastAsia="Times New Roman" w:hAnsi="Times New Roman" w:cs="Times New Roman"/>
                          <w:b w:val="0"/>
                          <w:bCs w:val="0"/>
                          <w:i/>
                          <w:iCs/>
                          <w:w w:val="100"/>
                          <w:sz w:val="16"/>
                          <w:szCs w:val="16"/>
                        </w:rPr>
                        <w:t>continuación</w:t>
                      </w:r>
                      <w:bookmarkEnd w:id="984"/>
                      <w:bookmarkEnd w:id="985"/>
                      <w:bookmarkEnd w:id="986"/>
                    </w:p>
                  </w:txbxContent>
                </v:textbox>
                <w10:wrap type="topAndBottom" anchorx="page"/>
              </v:shape>
            </w:pict>
          </mc:Fallback>
        </mc:AlternateContent>
      </w:r>
      <w:r>
        <w:rPr>
          <w:noProof/>
        </w:rPr>
        <mc:AlternateContent>
          <mc:Choice Requires="wps">
            <w:drawing>
              <wp:anchor distT="231775" distB="0" distL="114300" distR="114300" simplePos="0" relativeHeight="251779072" behindDoc="0" locked="0" layoutInCell="1" allowOverlap="1" wp14:anchorId="5774FBB4" wp14:editId="3DE8FD23">
                <wp:simplePos x="0" y="0"/>
                <wp:positionH relativeFrom="page">
                  <wp:posOffset>414655</wp:posOffset>
                </wp:positionH>
                <wp:positionV relativeFrom="paragraph">
                  <wp:posOffset>244475</wp:posOffset>
                </wp:positionV>
                <wp:extent cx="7202170" cy="377825"/>
                <wp:effectExtent l="0" t="0" r="0" b="0"/>
                <wp:wrapTopAndBottom/>
                <wp:docPr id="2655" name="Shape 2655"/>
                <wp:cNvGraphicFramePr/>
                <a:graphic xmlns:a="http://schemas.openxmlformats.org/drawingml/2006/main">
                  <a:graphicData uri="http://schemas.microsoft.com/office/word/2010/wordprocessingShape">
                    <wps:wsp>
                      <wps:cNvSpPr txBox="1"/>
                      <wps:spPr>
                        <a:xfrm>
                          <a:off x="0" y="0"/>
                          <a:ext cx="7202170" cy="377825"/>
                        </a:xfrm>
                        <a:prstGeom prst="rect">
                          <a:avLst/>
                        </a:prstGeom>
                        <a:solidFill>
                          <a:srgbClr val="231F20"/>
                        </a:solidFill>
                      </wps:spPr>
                      <wps:txbx>
                        <w:txbxContent>
                          <w:p w14:paraId="7648FC86" w14:textId="77777777" w:rsidR="00924992" w:rsidRDefault="00924992">
                            <w:pPr>
                              <w:pStyle w:val="Heading41"/>
                              <w:keepNext/>
                              <w:keepLines/>
                              <w:pBdr>
                                <w:top w:val="single" w:sz="0" w:space="0" w:color="231F20"/>
                                <w:left w:val="single" w:sz="0" w:space="0" w:color="231F20"/>
                                <w:bottom w:val="single" w:sz="0" w:space="4" w:color="231F20"/>
                                <w:right w:val="single" w:sz="0" w:space="0" w:color="231F20"/>
                              </w:pBdr>
                              <w:shd w:val="clear" w:color="auto" w:fill="231F20"/>
                              <w:tabs>
                                <w:tab w:val="left" w:pos="7354"/>
                              </w:tabs>
                            </w:pPr>
                            <w:bookmarkStart w:id="987" w:name="bookmark2368"/>
                            <w:r>
                              <w:rPr>
                                <w:color w:val="FFFFFF"/>
                              </w:rPr>
                              <w:t>Enfermedad, microorganismo o ambos Animales que frecuentemente</w:t>
                            </w:r>
                            <w:r>
                              <w:rPr>
                                <w:color w:val="FFFFFF"/>
                              </w:rPr>
                              <w:tab/>
                              <w:t>Vectores o mecanismos de transmisión</w:t>
                            </w:r>
                            <w:bookmarkEnd w:id="987"/>
                          </w:p>
                          <w:p w14:paraId="690CA826" w14:textId="77777777" w:rsidR="00924992" w:rsidRDefault="00924992">
                            <w:pPr>
                              <w:pStyle w:val="Heading41"/>
                              <w:keepNext/>
                              <w:keepLines/>
                              <w:pBdr>
                                <w:top w:val="single" w:sz="0" w:space="0" w:color="231F20"/>
                                <w:left w:val="single" w:sz="0" w:space="0" w:color="231F20"/>
                                <w:bottom w:val="single" w:sz="0" w:space="4" w:color="231F20"/>
                                <w:right w:val="single" w:sz="0" w:space="0" w:color="231F20"/>
                              </w:pBdr>
                              <w:shd w:val="clear" w:color="auto" w:fill="231F20"/>
                              <w:spacing w:line="209" w:lineRule="auto"/>
                              <w:ind w:left="4000"/>
                            </w:pPr>
                            <w:bookmarkStart w:id="988" w:name="bookmark2366"/>
                            <w:bookmarkStart w:id="989" w:name="bookmark2367"/>
                            <w:bookmarkStart w:id="990" w:name="bookmark2369"/>
                            <w:r>
                              <w:rPr>
                                <w:color w:val="FFFFFF"/>
                              </w:rPr>
                              <w:t>sirven como punto de origen</w:t>
                            </w:r>
                            <w:bookmarkEnd w:id="988"/>
                            <w:bookmarkEnd w:id="989"/>
                            <w:bookmarkEnd w:id="990"/>
                          </w:p>
                        </w:txbxContent>
                      </wps:txbx>
                      <wps:bodyPr lIns="0" tIns="0" rIns="0" bIns="0"/>
                    </wps:wsp>
                  </a:graphicData>
                </a:graphic>
              </wp:anchor>
            </w:drawing>
          </mc:Choice>
          <mc:Fallback>
            <w:pict>
              <v:shape w14:anchorId="5774FBB4" id="Shape 2655" o:spid="_x0000_s1160" type="#_x0000_t202" style="position:absolute;margin-left:32.65pt;margin-top:19.25pt;width:567.1pt;height:29.75pt;z-index:251779072;visibility:visible;mso-wrap-style:square;mso-wrap-distance-left:9pt;mso-wrap-distance-top:18.25pt;mso-wrap-distance-right:9pt;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" fillcolor="#231f20" stroked="f">
                <v:textbox inset="0,0,0,0">
                  <w:txbxContent>
                    <w:p w14:paraId="7648FC86" w14:textId="77777777" w:rsidR="00924992" w:rsidRDefault="00924992">
                      <w:pPr>
                        <w:pStyle w:val="Heading41"/>
                        <w:keepNext/>
                        <w:keepLines/>
                        <w:pBdr>
                          <w:top w:val="single" w:sz="0" w:space="0" w:color="231F20"/>
                          <w:left w:val="single" w:sz="0" w:space="0" w:color="231F20"/>
                          <w:bottom w:val="single" w:sz="0" w:space="4" w:color="231F20"/>
                          <w:right w:val="single" w:sz="0" w:space="0" w:color="231F20"/>
                        </w:pBdr>
                        <w:shd w:val="clear" w:color="auto" w:fill="231F20"/>
                        <w:tabs>
                          <w:tab w:val="left" w:pos="7354"/>
                        </w:tabs>
                      </w:pPr>
                      <w:bookmarkStart w:id="991" w:name="bookmark2368"/>
                      <w:r>
                        <w:rPr>
                          <w:color w:val="FFFFFF"/>
                        </w:rPr>
                        <w:t>Enfermedad, microorganismo o ambos Animales que frecuentemente</w:t>
                      </w:r>
                      <w:r>
                        <w:rPr>
                          <w:color w:val="FFFFFF"/>
                        </w:rPr>
                        <w:tab/>
                        <w:t>Vectores o mecanismos de transmisión</w:t>
                      </w:r>
                      <w:bookmarkEnd w:id="991"/>
                    </w:p>
                    <w:p w14:paraId="690CA826" w14:textId="77777777" w:rsidR="00924992" w:rsidRDefault="00924992">
                      <w:pPr>
                        <w:pStyle w:val="Heading41"/>
                        <w:keepNext/>
                        <w:keepLines/>
                        <w:pBdr>
                          <w:top w:val="single" w:sz="0" w:space="0" w:color="231F20"/>
                          <w:left w:val="single" w:sz="0" w:space="0" w:color="231F20"/>
                          <w:bottom w:val="single" w:sz="0" w:space="4" w:color="231F20"/>
                          <w:right w:val="single" w:sz="0" w:space="0" w:color="231F20"/>
                        </w:pBdr>
                        <w:shd w:val="clear" w:color="auto" w:fill="231F20"/>
                        <w:spacing w:line="209" w:lineRule="auto"/>
                        <w:ind w:left="4000"/>
                      </w:pPr>
                      <w:bookmarkStart w:id="992" w:name="bookmark2366"/>
                      <w:bookmarkStart w:id="993" w:name="bookmark2367"/>
                      <w:bookmarkStart w:id="994" w:name="bookmark2369"/>
                      <w:r>
                        <w:rPr>
                          <w:color w:val="FFFFFF"/>
                        </w:rPr>
                        <w:t>sirven como punto de origen</w:t>
                      </w:r>
                      <w:bookmarkEnd w:id="992"/>
                      <w:bookmarkEnd w:id="993"/>
                      <w:bookmarkEnd w:id="994"/>
                    </w:p>
                  </w:txbxContent>
                </v:textbox>
                <w10:wrap type="topAndBottom" anchorx="page"/>
              </v:shape>
            </w:pict>
          </mc:Fallback>
        </mc:AlternateContent>
      </w:r>
      <w:r>
        <w:rPr>
          <w:noProof/>
        </w:rPr>
        <mc:AlternateContent>
          <mc:Choice Requires="wps">
            <w:drawing>
              <wp:anchor distT="0" distB="0" distL="88900" distR="88900" simplePos="0" relativeHeight="251780096" behindDoc="0" locked="0" layoutInCell="1" allowOverlap="1" wp14:anchorId="2E43EBE7" wp14:editId="7EBDBBA1">
                <wp:simplePos x="0" y="0"/>
                <wp:positionH relativeFrom="page">
                  <wp:posOffset>2934970</wp:posOffset>
                </wp:positionH>
                <wp:positionV relativeFrom="paragraph">
                  <wp:posOffset>1871345</wp:posOffset>
                </wp:positionV>
                <wp:extent cx="2020570" cy="2212975"/>
                <wp:effectExtent l="0" t="0" r="0" b="0"/>
                <wp:wrapSquare wrapText="bothSides"/>
                <wp:docPr id="2657" name="Shape 2657"/>
                <wp:cNvGraphicFramePr/>
                <a:graphic xmlns:a="http://schemas.openxmlformats.org/drawingml/2006/main">
                  <a:graphicData uri="http://schemas.microsoft.com/office/word/2010/wordprocessingShape">
                    <wps:wsp>
                      <wps:cNvSpPr txBox="1"/>
                      <wps:spPr>
                        <a:xfrm>
                          <a:off x="0" y="0"/>
                          <a:ext cx="2020570" cy="2212975"/>
                        </a:xfrm>
                        <a:prstGeom prst="rect">
                          <a:avLst/>
                        </a:prstGeom>
                        <a:noFill/>
                      </wps:spPr>
                      <wps:txbx>
                        <w:txbxContent>
                          <w:p w14:paraId="5ED1D7B6" w14:textId="77777777" w:rsidR="00924992" w:rsidRDefault="00924992">
                            <w:pPr>
                              <w:pStyle w:val="Bodytext20"/>
                              <w:spacing w:after="200"/>
                            </w:pPr>
                            <w:r>
                              <w:t>Animales domésticos y en particular vacunos</w:t>
                            </w:r>
                          </w:p>
                          <w:p w14:paraId="334D53AF" w14:textId="77777777" w:rsidR="00924992" w:rsidRDefault="00924992">
                            <w:pPr>
                              <w:pStyle w:val="Bodytext20"/>
                              <w:spacing w:after="420"/>
                            </w:pPr>
                            <w:r>
                              <w:t>Perros, gatos</w:t>
                            </w:r>
                          </w:p>
                          <w:p w14:paraId="38903000" w14:textId="77777777" w:rsidR="00924992" w:rsidRDefault="00924992">
                            <w:pPr>
                              <w:pStyle w:val="Bodytext20"/>
                              <w:spacing w:after="200"/>
                            </w:pPr>
                            <w:r>
                              <w:t>Perros, zorros y quizá otros carnívoros</w:t>
                            </w:r>
                          </w:p>
                          <w:p w14:paraId="0E8E3829" w14:textId="77777777" w:rsidR="00924992" w:rsidRDefault="00924992">
                            <w:pPr>
                              <w:pStyle w:val="Bodytext20"/>
                            </w:pPr>
                            <w:r>
                              <w:t>Animales salvajes y domésticos, incluidos perros, gatos, castores</w:t>
                            </w:r>
                          </w:p>
                          <w:p w14:paraId="010D2D4D" w14:textId="77777777" w:rsidR="00924992" w:rsidRDefault="00924992">
                            <w:pPr>
                              <w:pStyle w:val="Bodytext20"/>
                              <w:spacing w:after="200"/>
                            </w:pPr>
                            <w:r>
                              <w:t>Peces de mar y agua dulce</w:t>
                            </w:r>
                          </w:p>
                          <w:p w14:paraId="718FA37C" w14:textId="77777777" w:rsidR="00924992" w:rsidRDefault="00924992">
                            <w:pPr>
                              <w:pStyle w:val="Bodytext20"/>
                              <w:spacing w:after="200"/>
                            </w:pPr>
                            <w:r>
                              <w:t>Ganado vacuno y porcino</w:t>
                            </w:r>
                          </w:p>
                          <w:p w14:paraId="2E7FB4F3" w14:textId="77777777" w:rsidR="00924992" w:rsidRDefault="00924992">
                            <w:pPr>
                              <w:pStyle w:val="Bodytext20"/>
                              <w:spacing w:after="200"/>
                            </w:pPr>
                            <w:r>
                              <w:t>Cricetos, roedores</w:t>
                            </w:r>
                          </w:p>
                          <w:p w14:paraId="744D98AE" w14:textId="77777777" w:rsidR="00924992" w:rsidRDefault="00924992">
                            <w:pPr>
                              <w:pStyle w:val="Bodytext20"/>
                              <w:spacing w:after="200"/>
                            </w:pPr>
                            <w:r>
                              <w:t>Gatos, ganado</w:t>
                            </w:r>
                          </w:p>
                        </w:txbxContent>
                      </wps:txbx>
                      <wps:bodyPr lIns="0" tIns="0" rIns="0" bIns="0"/>
                    </wps:wsp>
                  </a:graphicData>
                </a:graphic>
              </wp:anchor>
            </w:drawing>
          </mc:Choice>
          <mc:Fallback>
            <w:pict>
              <v:shape w14:anchorId="2E43EBE7" id="Shape 2657" o:spid="_x0000_s1161" type="#_x0000_t202" style="position:absolute;margin-left:231.1pt;margin-top:147.35pt;width:159.1pt;height:174.25pt;z-index:251780096;visibility:visible;mso-wrap-style:square;mso-wrap-distance-left:7pt;mso-wrap-distance-top:0;mso-wrap-distance-right:7pt;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" filled="f" stroked="f">
                <v:textbox inset="0,0,0,0">
                  <w:txbxContent>
                    <w:p w14:paraId="5ED1D7B6" w14:textId="77777777" w:rsidR="00924992" w:rsidRDefault="00924992">
                      <w:pPr>
                        <w:pStyle w:val="Bodytext20"/>
                        <w:spacing w:after="200"/>
                      </w:pPr>
                      <w:r>
                        <w:t>Animales domésticos y en particular vacunos</w:t>
                      </w:r>
                    </w:p>
                    <w:p w14:paraId="334D53AF" w14:textId="77777777" w:rsidR="00924992" w:rsidRDefault="00924992">
                      <w:pPr>
                        <w:pStyle w:val="Bodytext20"/>
                        <w:spacing w:after="420"/>
                      </w:pPr>
                      <w:r>
                        <w:t>Perros, gatos</w:t>
                      </w:r>
                    </w:p>
                    <w:p w14:paraId="38903000" w14:textId="77777777" w:rsidR="00924992" w:rsidRDefault="00924992">
                      <w:pPr>
                        <w:pStyle w:val="Bodytext20"/>
                        <w:spacing w:after="200"/>
                      </w:pPr>
                      <w:r>
                        <w:t>Perros, zorros y quizá otros carnívoros</w:t>
                      </w:r>
                    </w:p>
                    <w:p w14:paraId="0E8E3829" w14:textId="77777777" w:rsidR="00924992" w:rsidRDefault="00924992">
                      <w:pPr>
                        <w:pStyle w:val="Bodytext20"/>
                      </w:pPr>
                      <w:r>
                        <w:t>Animales salvajes y domésticos, incluidos perros, gatos, castores</w:t>
                      </w:r>
                    </w:p>
                    <w:p w14:paraId="010D2D4D" w14:textId="77777777" w:rsidR="00924992" w:rsidRDefault="00924992">
                      <w:pPr>
                        <w:pStyle w:val="Bodytext20"/>
                        <w:spacing w:after="200"/>
                      </w:pPr>
                      <w:r>
                        <w:t>Peces de mar y agua dulce</w:t>
                      </w:r>
                    </w:p>
                    <w:p w14:paraId="718FA37C" w14:textId="77777777" w:rsidR="00924992" w:rsidRDefault="00924992">
                      <w:pPr>
                        <w:pStyle w:val="Bodytext20"/>
                        <w:spacing w:after="200"/>
                      </w:pPr>
                      <w:r>
                        <w:t>Ganado vacuno y porcino</w:t>
                      </w:r>
                    </w:p>
                    <w:p w14:paraId="2E7FB4F3" w14:textId="77777777" w:rsidR="00924992" w:rsidRDefault="00924992">
                      <w:pPr>
                        <w:pStyle w:val="Bodytext20"/>
                        <w:spacing w:after="200"/>
                      </w:pPr>
                      <w:r>
                        <w:t>Cricetos, roedores</w:t>
                      </w:r>
                    </w:p>
                    <w:p w14:paraId="744D98AE" w14:textId="77777777" w:rsidR="00924992" w:rsidRDefault="00924992">
                      <w:pPr>
                        <w:pStyle w:val="Bodytext20"/>
                        <w:spacing w:after="200"/>
                      </w:pPr>
                      <w:r>
                        <w:t>Gatos, ganado</w:t>
                      </w:r>
                    </w:p>
                  </w:txbxContent>
                </v:textbox>
                <w10:wrap type="square" anchorx="page"/>
              </v:shape>
            </w:pict>
          </mc:Fallback>
        </mc:AlternateContent>
      </w:r>
      <w:r>
        <w:rPr>
          <w:noProof/>
        </w:rPr>
        <mc:AlternateContent>
          <mc:Choice Requires="wps">
            <w:drawing>
              <wp:anchor distT="0" distB="0" distL="101600" distR="101600" simplePos="0" relativeHeight="251781120" behindDoc="0" locked="0" layoutInCell="1" allowOverlap="1" wp14:anchorId="4FD410F7" wp14:editId="159BA8C7">
                <wp:simplePos x="0" y="0"/>
                <wp:positionH relativeFrom="page">
                  <wp:posOffset>2944495</wp:posOffset>
                </wp:positionH>
                <wp:positionV relativeFrom="paragraph">
                  <wp:posOffset>774065</wp:posOffset>
                </wp:positionV>
                <wp:extent cx="1517650" cy="697865"/>
                <wp:effectExtent l="0" t="0" r="0" b="0"/>
                <wp:wrapSquare wrapText="bothSides"/>
                <wp:docPr id="2659" name="Shape 2659"/>
                <wp:cNvGraphicFramePr/>
                <a:graphic xmlns:a="http://schemas.openxmlformats.org/drawingml/2006/main">
                  <a:graphicData uri="http://schemas.microsoft.com/office/word/2010/wordprocessingShape">
                    <wps:wsp>
                      <wps:cNvSpPr txBox="1"/>
                      <wps:spPr>
                        <a:xfrm>
                          <a:off x="0" y="0"/>
                          <a:ext cx="1517650" cy="697865"/>
                        </a:xfrm>
                        <a:prstGeom prst="rect">
                          <a:avLst/>
                        </a:prstGeom>
                        <a:noFill/>
                      </wps:spPr>
                      <wps:txbx>
                        <w:txbxContent>
                          <w:p w14:paraId="43A47CF4" w14:textId="77777777" w:rsidR="00924992" w:rsidRDefault="00924992">
                            <w:pPr>
                              <w:pStyle w:val="Bodytext20"/>
                              <w:spacing w:line="240" w:lineRule="auto"/>
                            </w:pPr>
                            <w:r>
                              <w:t>Peces de agua salada y anádromos</w:t>
                            </w:r>
                          </w:p>
                          <w:p w14:paraId="185A6A6B" w14:textId="77777777" w:rsidR="00924992" w:rsidRDefault="00924992">
                            <w:pPr>
                              <w:pStyle w:val="Bodytext20"/>
                              <w:spacing w:line="240" w:lineRule="auto"/>
                            </w:pPr>
                            <w:r>
                              <w:t>Roedores salvajes</w:t>
                            </w:r>
                          </w:p>
                          <w:p w14:paraId="5FB1532D" w14:textId="77777777" w:rsidR="00924992" w:rsidRDefault="00924992">
                            <w:pPr>
                              <w:pStyle w:val="Bodytext20"/>
                              <w:spacing w:line="240" w:lineRule="auto"/>
                            </w:pPr>
                            <w:r>
                              <w:t>Cerdos</w:t>
                            </w:r>
                          </w:p>
                          <w:p w14:paraId="30D0CA0D" w14:textId="77777777" w:rsidR="00924992" w:rsidRDefault="00924992">
                            <w:pPr>
                              <w:pStyle w:val="Bodytext20"/>
                              <w:spacing w:line="240" w:lineRule="auto"/>
                            </w:pPr>
                            <w:r>
                              <w:t>Perros, gatos</w:t>
                            </w:r>
                          </w:p>
                          <w:p w14:paraId="54E4335B" w14:textId="77777777" w:rsidR="00924992" w:rsidRDefault="00924992">
                            <w:pPr>
                              <w:pStyle w:val="Bodytext20"/>
                              <w:spacing w:line="240" w:lineRule="auto"/>
                            </w:pPr>
                            <w:r>
                              <w:t>Cerdos (hospedador intermedio)</w:t>
                            </w:r>
                          </w:p>
                        </w:txbxContent>
                      </wps:txbx>
                      <wps:bodyPr lIns="0" tIns="0" rIns="0" bIns="0"/>
                    </wps:wsp>
                  </a:graphicData>
                </a:graphic>
              </wp:anchor>
            </w:drawing>
          </mc:Choice>
          <mc:Fallback>
            <w:pict>
              <v:shape w14:anchorId="4FD410F7" id="Shape 2659" o:spid="_x0000_s1162" type="#_x0000_t202" style="position:absolute;margin-left:231.85pt;margin-top:60.95pt;width:119.5pt;height:54.95pt;z-index:251781120;visibility:visible;mso-wrap-style:square;mso-wrap-distance-left:8pt;mso-wrap-distance-top:0;mso-wrap-distance-right:8pt;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" filled="f" stroked="f">
                <v:textbox inset="0,0,0,0">
                  <w:txbxContent>
                    <w:p w14:paraId="43A47CF4" w14:textId="77777777" w:rsidR="00924992" w:rsidRDefault="00924992">
                      <w:pPr>
                        <w:pStyle w:val="Bodytext20"/>
                        <w:spacing w:line="240" w:lineRule="auto"/>
                      </w:pPr>
                      <w:r>
                        <w:t>Peces de agua salada y anádromos</w:t>
                      </w:r>
                    </w:p>
                    <w:p w14:paraId="185A6A6B" w14:textId="77777777" w:rsidR="00924992" w:rsidRDefault="00924992">
                      <w:pPr>
                        <w:pStyle w:val="Bodytext20"/>
                        <w:spacing w:line="240" w:lineRule="auto"/>
                      </w:pPr>
                      <w:r>
                        <w:t>Roedores salvajes</w:t>
                      </w:r>
                    </w:p>
                    <w:p w14:paraId="5FB1532D" w14:textId="77777777" w:rsidR="00924992" w:rsidRDefault="00924992">
                      <w:pPr>
                        <w:pStyle w:val="Bodytext20"/>
                        <w:spacing w:line="240" w:lineRule="auto"/>
                      </w:pPr>
                      <w:r>
                        <w:t>Cerdos</w:t>
                      </w:r>
                    </w:p>
                    <w:p w14:paraId="30D0CA0D" w14:textId="77777777" w:rsidR="00924992" w:rsidRDefault="00924992">
                      <w:pPr>
                        <w:pStyle w:val="Bodytext20"/>
                        <w:spacing w:line="240" w:lineRule="auto"/>
                      </w:pPr>
                      <w:r>
                        <w:t>Perros, gatos</w:t>
                      </w:r>
                    </w:p>
                    <w:p w14:paraId="54E4335B" w14:textId="77777777" w:rsidR="00924992" w:rsidRDefault="00924992">
                      <w:pPr>
                        <w:pStyle w:val="Bodytext20"/>
                        <w:spacing w:line="240" w:lineRule="auto"/>
                      </w:pPr>
                      <w:r>
                        <w:t>Cerdos (hospedador intermedio)</w:t>
                      </w:r>
                    </w:p>
                  </w:txbxContent>
                </v:textbox>
                <w10:wrap type="square" anchorx="page"/>
              </v:shape>
            </w:pict>
          </mc:Fallback>
        </mc:AlternateContent>
      </w:r>
      <w:r>
        <w:rPr>
          <w:noProof/>
        </w:rPr>
        <mc:AlternateContent>
          <mc:Choice Requires="wps">
            <w:drawing>
              <wp:anchor distT="0" distB="0" distL="114300" distR="114300" simplePos="0" relativeHeight="251782144" behindDoc="0" locked="0" layoutInCell="1" allowOverlap="1" wp14:anchorId="0FA693FE" wp14:editId="04882582">
                <wp:simplePos x="0" y="0"/>
                <wp:positionH relativeFrom="page">
                  <wp:posOffset>7867015</wp:posOffset>
                </wp:positionH>
                <wp:positionV relativeFrom="paragraph">
                  <wp:posOffset>24130</wp:posOffset>
                </wp:positionV>
                <wp:extent cx="121920" cy="2499360"/>
                <wp:effectExtent l="0" t="0" r="0" b="0"/>
                <wp:wrapSquare wrapText="bothSides"/>
                <wp:docPr id="2661" name="Shape 2661"/>
                <wp:cNvGraphicFramePr/>
                <a:graphic xmlns:a="http://schemas.openxmlformats.org/drawingml/2006/main">
                  <a:graphicData uri="http://schemas.microsoft.com/office/word/2010/wordprocessingShape">
                    <wps:wsp>
                      <wps:cNvSpPr txBox="1"/>
                      <wps:spPr>
                        <a:xfrm>
                          <a:off x="0" y="0"/>
                          <a:ext cx="121920" cy="2499360"/>
                        </a:xfrm>
                        <a:prstGeom prst="rect">
                          <a:avLst/>
                        </a:prstGeom>
                        <a:noFill/>
                      </wps:spPr>
                      <wps:txbx>
                        <w:txbxContent>
                          <w:p w14:paraId="1267E4F1" w14:textId="77777777" w:rsidR="00924992" w:rsidRDefault="00924992">
                            <w:pPr>
                              <w:pStyle w:val="Bodytext80"/>
                              <w:tabs>
                                <w:tab w:val="left" w:pos="2923"/>
                              </w:tabs>
                            </w:pPr>
                            <w:r>
                              <w:rPr>
                                <w:sz w:val="16"/>
                                <w:szCs w:val="16"/>
                              </w:rPr>
                              <w:t>856</w:t>
                            </w:r>
                            <w:r>
                              <w:rPr>
                                <w:sz w:val="16"/>
                                <w:szCs w:val="16"/>
                              </w:rPr>
                              <w:tab/>
                            </w:r>
                            <w:r>
                              <w:t>APÉNDICE VIII</w:t>
                            </w:r>
                          </w:p>
                        </w:txbxContent>
                      </wps:txbx>
                      <wps:bodyPr vert="vert" lIns="0" tIns="0" rIns="0" bIns="0" upright="1"/>
                    </wps:wsp>
                  </a:graphicData>
                </a:graphic>
              </wp:anchor>
            </w:drawing>
          </mc:Choice>
          <mc:Fallback>
            <w:pict>
              <v:shape w14:anchorId="0FA693FE" id="Shape 2661" o:spid="_x0000_s1163" type="#_x0000_t202" style="position:absolute;margin-left:619.45pt;margin-top:1.9pt;width:9.6pt;height:196.8pt;z-index:251782144;visibility:visible;mso-wrap-style:square;mso-wrap-distance-left:9pt;mso-wrap-distance-top:0;mso-wrap-distance-right:9pt;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" filled="f" stroked="f">
                <v:textbox style="layout-flow:vertical" inset="0,0,0,0">
                  <w:txbxContent>
                    <w:p w14:paraId="1267E4F1" w14:textId="77777777" w:rsidR="00924992" w:rsidRDefault="00924992">
                      <w:pPr>
                        <w:pStyle w:val="Bodytext80"/>
                        <w:tabs>
                          <w:tab w:val="left" w:pos="2923"/>
                        </w:tabs>
                      </w:pPr>
                      <w:r>
                        <w:rPr>
                          <w:sz w:val="16"/>
                          <w:szCs w:val="16"/>
                        </w:rPr>
                        <w:t>856</w:t>
                      </w:r>
                      <w:r>
                        <w:rPr>
                          <w:sz w:val="16"/>
                          <w:szCs w:val="16"/>
                        </w:rPr>
                        <w:tab/>
                      </w:r>
                      <w:r>
                        <w:t>APÉNDICE VIII</w:t>
                      </w:r>
                    </w:p>
                  </w:txbxContent>
                </v:textbox>
                <w10:wrap type="square" anchorx="page"/>
              </v:shape>
            </w:pict>
          </mc:Fallback>
        </mc:AlternateContent>
      </w:r>
    </w:p>
    <w:p w14:paraId="310598E1" w14:textId="77777777" w:rsidR="00924992" w:rsidRDefault="00924992">
      <w:pPr>
        <w:pStyle w:val="Bodytext20"/>
        <w:jc w:val="both"/>
      </w:pPr>
      <w:r>
        <w:rPr>
          <w:b/>
          <w:bCs/>
        </w:rPr>
        <w:t>Parasitarias, enfermedades</w:t>
      </w:r>
    </w:p>
    <w:p w14:paraId="3EC6B160" w14:textId="77777777" w:rsidR="00924992" w:rsidRDefault="00924992">
      <w:pPr>
        <w:pStyle w:val="Bodytext20"/>
        <w:spacing w:after="640"/>
        <w:jc w:val="both"/>
      </w:pPr>
      <w:r>
        <w:t xml:space="preserve">Anisakiasis (especies de </w:t>
      </w:r>
      <w:r>
        <w:rPr>
          <w:i/>
          <w:iCs/>
        </w:rPr>
        <w:t xml:space="preserve">Anisakis) </w:t>
      </w:r>
      <w:r>
        <w:t xml:space="preserve">Babesiosis (especies de </w:t>
      </w:r>
      <w:r>
        <w:rPr>
          <w:i/>
          <w:iCs/>
        </w:rPr>
        <w:t>Babesia</w:t>
      </w:r>
      <w:r>
        <w:rPr>
          <w:i/>
          <w:iCs/>
          <w:sz w:val="15"/>
          <w:szCs w:val="15"/>
        </w:rPr>
        <w:t xml:space="preserve">) </w:t>
      </w:r>
      <w:r>
        <w:t xml:space="preserve">Balantidiasis </w:t>
      </w:r>
      <w:r>
        <w:rPr>
          <w:i/>
          <w:iCs/>
          <w:sz w:val="15"/>
          <w:szCs w:val="15"/>
        </w:rPr>
        <w:t>(</w:t>
      </w:r>
      <w:r>
        <w:rPr>
          <w:i/>
          <w:iCs/>
        </w:rPr>
        <w:t xml:space="preserve">Balantidium coli) </w:t>
      </w:r>
      <w:r>
        <w:t xml:space="preserve">Canina, teniasis </w:t>
      </w:r>
      <w:r>
        <w:rPr>
          <w:i/>
          <w:iCs/>
          <w:sz w:val="15"/>
          <w:szCs w:val="15"/>
        </w:rPr>
        <w:t>(</w:t>
      </w:r>
      <w:r>
        <w:rPr>
          <w:i/>
          <w:iCs/>
        </w:rPr>
        <w:t xml:space="preserve">Dipylidium caninum) </w:t>
      </w:r>
      <w:r>
        <w:t xml:space="preserve">Cisticercosis </w:t>
      </w:r>
      <w:r>
        <w:rPr>
          <w:i/>
          <w:iCs/>
          <w:sz w:val="15"/>
          <w:szCs w:val="15"/>
        </w:rPr>
        <w:t>(</w:t>
      </w:r>
      <w:r>
        <w:rPr>
          <w:i/>
          <w:iCs/>
        </w:rPr>
        <w:t>Taenia solium)</w:t>
      </w:r>
    </w:p>
    <w:p w14:paraId="678F8E35" w14:textId="77777777" w:rsidR="00924992" w:rsidRDefault="00924992">
      <w:pPr>
        <w:pStyle w:val="Bodytext20"/>
        <w:spacing w:after="200"/>
        <w:jc w:val="both"/>
      </w:pPr>
      <w:r>
        <w:t xml:space="preserve">Criptosporidiosis (especies de </w:t>
      </w:r>
      <w:r>
        <w:rPr>
          <w:i/>
          <w:iCs/>
        </w:rPr>
        <w:t>Cryptosporidium)</w:t>
      </w:r>
    </w:p>
    <w:p w14:paraId="094F7B65" w14:textId="77777777" w:rsidR="00924992" w:rsidRDefault="00924992">
      <w:pPr>
        <w:pStyle w:val="Bodytext20"/>
        <w:spacing w:after="420"/>
        <w:jc w:val="both"/>
      </w:pPr>
      <w:r>
        <w:t xml:space="preserve">Cutánea, larva migrans (especies de </w:t>
      </w:r>
      <w:r>
        <w:rPr>
          <w:i/>
          <w:iCs/>
        </w:rPr>
        <w:t>Ancylostoma)</w:t>
      </w:r>
    </w:p>
    <w:p w14:paraId="493D99FF" w14:textId="77777777" w:rsidR="00924992" w:rsidRDefault="00924992">
      <w:pPr>
        <w:pStyle w:val="Bodytext20"/>
        <w:jc w:val="both"/>
      </w:pPr>
      <w:r>
        <w:t>Equinococosis, hidatidiosis</w:t>
      </w:r>
    </w:p>
    <w:p w14:paraId="5B49B057" w14:textId="77777777" w:rsidR="00924992" w:rsidRDefault="00924992">
      <w:pPr>
        <w:pStyle w:val="Bodytext20"/>
      </w:pPr>
      <w:r>
        <w:t xml:space="preserve">(especies de </w:t>
      </w:r>
      <w:r>
        <w:rPr>
          <w:i/>
          <w:iCs/>
        </w:rPr>
        <w:t>Echinococcus</w:t>
      </w:r>
      <w:r>
        <w:t>)</w:t>
      </w:r>
    </w:p>
    <w:p w14:paraId="34FED83E" w14:textId="77777777" w:rsidR="00924992" w:rsidRDefault="00924992">
      <w:pPr>
        <w:pStyle w:val="Bodytext20"/>
        <w:spacing w:after="200"/>
      </w:pPr>
      <w:r>
        <w:t>Giardiasis (</w:t>
      </w:r>
      <w:r>
        <w:rPr>
          <w:i/>
          <w:iCs/>
        </w:rPr>
        <w:t>Giardia lamblia</w:t>
      </w:r>
      <w:r>
        <w:t>)</w:t>
      </w:r>
    </w:p>
    <w:p w14:paraId="2FBA85CF" w14:textId="77777777" w:rsidR="00924992" w:rsidRDefault="00924992">
      <w:pPr>
        <w:pStyle w:val="Bodytext20"/>
        <w:spacing w:after="200"/>
      </w:pPr>
      <w:r>
        <w:t>Peces, tenias de (</w:t>
      </w:r>
      <w:r>
        <w:rPr>
          <w:i/>
          <w:iCs/>
        </w:rPr>
        <w:t>Diphyllobothrium latum</w:t>
      </w:r>
      <w:r>
        <w:t>)</w:t>
      </w:r>
    </w:p>
    <w:p w14:paraId="21AC3463" w14:textId="77777777" w:rsidR="00924992" w:rsidRDefault="00924992">
      <w:pPr>
        <w:pStyle w:val="Bodytext20"/>
      </w:pPr>
      <w:r>
        <w:t xml:space="preserve">Res y cerdo, infección por tenias de </w:t>
      </w:r>
      <w:r>
        <w:rPr>
          <w:i/>
          <w:iCs/>
          <w:sz w:val="15"/>
          <w:szCs w:val="15"/>
        </w:rPr>
        <w:t>(</w:t>
      </w:r>
      <w:r>
        <w:rPr>
          <w:i/>
          <w:iCs/>
        </w:rPr>
        <w:t xml:space="preserve">Taenia saginata </w:t>
      </w:r>
      <w:r>
        <w:t xml:space="preserve">y </w:t>
      </w:r>
      <w:r>
        <w:rPr>
          <w:i/>
          <w:iCs/>
        </w:rPr>
        <w:t>Taenia solium</w:t>
      </w:r>
      <w:r>
        <w:t>)</w:t>
      </w:r>
    </w:p>
    <w:p w14:paraId="666279CD" w14:textId="77777777" w:rsidR="00924992" w:rsidRDefault="00924992">
      <w:pPr>
        <w:pStyle w:val="Bodytext20"/>
        <w:spacing w:after="200"/>
      </w:pPr>
      <w:r>
        <w:t>Tenia enana, infección por (</w:t>
      </w:r>
      <w:r>
        <w:rPr>
          <w:i/>
          <w:iCs/>
        </w:rPr>
        <w:t>Hymenolepis nana</w:t>
      </w:r>
      <w:r>
        <w:t>)</w:t>
      </w:r>
    </w:p>
    <w:p w14:paraId="6AE7A462" w14:textId="77777777" w:rsidR="00924992" w:rsidRDefault="00924992">
      <w:pPr>
        <w:pStyle w:val="Bodytext20"/>
        <w:spacing w:after="200"/>
      </w:pPr>
      <w:r>
        <w:t>Toxoplasmosis (</w:t>
      </w:r>
      <w:r>
        <w:rPr>
          <w:i/>
          <w:iCs/>
        </w:rPr>
        <w:t>Toxoplasma gondii</w:t>
      </w:r>
      <w:r>
        <w:t>)</w:t>
      </w:r>
    </w:p>
    <w:p w14:paraId="539A278E" w14:textId="77777777" w:rsidR="00924992" w:rsidRDefault="00924992">
      <w:pPr>
        <w:pStyle w:val="Bodytext20"/>
      </w:pPr>
      <w:r>
        <w:t>Ingestión de peces crudos o mal cocidos (como sushi)</w:t>
      </w:r>
    </w:p>
    <w:p w14:paraId="5BEC5869" w14:textId="77777777" w:rsidR="00924992" w:rsidRDefault="00924992">
      <w:pPr>
        <w:pStyle w:val="Bodytext20"/>
      </w:pPr>
      <w:r>
        <w:t>Picadura de garrapatas</w:t>
      </w:r>
    </w:p>
    <w:p w14:paraId="1508AE95" w14:textId="77777777" w:rsidR="00924992" w:rsidRDefault="00924992">
      <w:pPr>
        <w:pStyle w:val="Bodytext20"/>
      </w:pPr>
      <w:r>
        <w:t>Ingestión de alimentos o agua contaminados</w:t>
      </w:r>
    </w:p>
    <w:p w14:paraId="091E35F7" w14:textId="77777777" w:rsidR="00924992" w:rsidRDefault="00924992">
      <w:pPr>
        <w:pStyle w:val="Bodytext20"/>
      </w:pPr>
      <w:r>
        <w:t>Ingestión de pulgas infectadas con larvas</w:t>
      </w:r>
    </w:p>
    <w:p w14:paraId="6709022B" w14:textId="77777777" w:rsidR="00924992" w:rsidRDefault="00924992">
      <w:pPr>
        <w:pStyle w:val="Bodytext20"/>
      </w:pPr>
      <w:r>
        <w:t>Ingestión de huevecillos por contacto fecal-oral o ingestión de agua o alimentos contaminados, o de quistes en carne cruda o mal cocida (infección por flatelmintos adultos)</w:t>
      </w:r>
    </w:p>
    <w:p w14:paraId="5FA529B9" w14:textId="77777777" w:rsidR="00924992" w:rsidRDefault="00924992">
      <w:pPr>
        <w:pStyle w:val="Bodytext20"/>
      </w:pPr>
      <w:r>
        <w:t>Ingestión de agua o alimentos contaminados; de una persona a otra</w:t>
      </w:r>
    </w:p>
    <w:p w14:paraId="5E3E92F2" w14:textId="77777777" w:rsidR="00924992" w:rsidRDefault="00924992">
      <w:pPr>
        <w:pStyle w:val="Bodytext20"/>
      </w:pPr>
      <w:r>
        <w:t>Penetración de las larvas en la piel, que se desarrollaron en tierra contaminada con huevecillos expulsados en excrementos de animales</w:t>
      </w:r>
    </w:p>
    <w:p w14:paraId="2198279B" w14:textId="77777777" w:rsidR="00924992" w:rsidRDefault="00924992">
      <w:pPr>
        <w:pStyle w:val="Bodytext20"/>
      </w:pPr>
      <w:r>
        <w:t>Ingestión de huevos expulsados en excrementos de animales</w:t>
      </w:r>
    </w:p>
    <w:p w14:paraId="6534290B" w14:textId="77777777" w:rsidR="00924992" w:rsidRDefault="00924992">
      <w:pPr>
        <w:pStyle w:val="Bodytext20"/>
      </w:pPr>
      <w:r>
        <w:t>Ingestión de quistes por contacto fecal-oral o en alimentos, o agua contaminados; de una persona a otra</w:t>
      </w:r>
    </w:p>
    <w:p w14:paraId="1D176CA1" w14:textId="77777777" w:rsidR="00924992" w:rsidRDefault="00924992">
      <w:pPr>
        <w:pStyle w:val="Bodytext20"/>
      </w:pPr>
      <w:r>
        <w:t>Ingestión de larvas en carne cruda o mal cocida de peces</w:t>
      </w:r>
    </w:p>
    <w:p w14:paraId="26AF29F7" w14:textId="77777777" w:rsidR="00924992" w:rsidRDefault="00924992">
      <w:pPr>
        <w:pStyle w:val="Bodytext20"/>
        <w:spacing w:after="200"/>
      </w:pPr>
      <w:r>
        <w:t>Ingestión o de larva en carne de res o cerdo mal cocidas</w:t>
      </w:r>
    </w:p>
    <w:p w14:paraId="28E9BB87" w14:textId="77777777" w:rsidR="00924992" w:rsidRDefault="00924992">
      <w:pPr>
        <w:pStyle w:val="Bodytext20"/>
      </w:pPr>
      <w:r>
        <w:t>Ingestión de huevecillos en los excrementos (alimentos o agua contaminados)</w:t>
      </w:r>
    </w:p>
    <w:p w14:paraId="29CBF8DF" w14:textId="77777777" w:rsidR="00924992" w:rsidRDefault="00924992">
      <w:pPr>
        <w:pStyle w:val="Bodytext20"/>
        <w:sectPr w:rsidR="00924992" w:rsidSect="00924992">
          <w:footnotePr>
            <w:numFmt w:val="chicago"/>
          </w:footnotePr>
          <w:pgSz w:w="13022" w:h="8501" w:orient="landscape"/>
          <w:pgMar w:top="466" w:right="1046" w:bottom="972" w:left="667" w:header="38" w:footer="3" w:gutter="0"/>
          <w:cols w:num="2" w:space="3456"/>
          <w:noEndnote/>
          <w:docGrid w:linePitch="360"/>
          <w15:footnoteColumns w:val="1"/>
        </w:sectPr>
      </w:pPr>
      <w:r>
        <w:t>Ingestión de oocistos de excremento de gato, consumo de quistes en carne mal cocida; contacto con productos de parto de gatas</w:t>
      </w:r>
    </w:p>
    <w:p w14:paraId="111739CA" w14:textId="77777777" w:rsidR="00924992" w:rsidRDefault="00924992">
      <w:pPr>
        <w:rPr>
          <w:sz w:val="2"/>
          <w:szCs w:val="2"/>
        </w:rPr>
        <w:sectPr w:rsidR="00924992" w:rsidSect="00924992">
          <w:footnotePr>
            <w:numFmt w:val="chicago"/>
          </w:footnotePr>
          <w:type w:val="continuous"/>
          <w:pgSz w:w="13022" w:h="8501" w:orient="landscape"/>
          <w:pgMar w:top="466" w:right="1046" w:bottom="972" w:left="667" w:header="0" w:footer="3" w:gutter="0"/>
          <w:cols w:num="2" w:space="3456"/>
          <w:noEndnote/>
          <w:docGrid w:linePitch="360"/>
          <w15:footnoteColumns w:val="1"/>
        </w:sectPr>
      </w:pPr>
    </w:p>
    <w:p w14:paraId="4310A564" w14:textId="77777777" w:rsidR="00924992" w:rsidRDefault="00924992">
      <w:pPr>
        <w:pStyle w:val="Heading31"/>
        <w:keepNext/>
        <w:keepLines/>
        <w:jc w:val="center"/>
        <w:rPr>
          <w:sz w:val="16"/>
          <w:szCs w:val="16"/>
        </w:rPr>
        <w:sectPr w:rsidR="00924992" w:rsidSect="00924992">
          <w:footnotePr>
            <w:numFmt w:val="chicago"/>
          </w:footnotePr>
          <w:pgSz w:w="13022" w:h="8501" w:orient="landscape"/>
          <w:pgMar w:top="1104" w:right="1142" w:bottom="304" w:left="662" w:header="676" w:footer="3" w:gutter="0"/>
          <w:cols w:space="720"/>
          <w:noEndnote/>
          <w:docGrid w:linePitch="360"/>
          <w15:footnoteColumns w:val="1"/>
        </w:sectPr>
      </w:pPr>
      <w:bookmarkStart w:id="995" w:name="bookmark2370"/>
      <w:bookmarkStart w:id="996" w:name="bookmark2371"/>
      <w:bookmarkStart w:id="997" w:name="bookmark2372"/>
      <w:r>
        <w:rPr>
          <w:b w:val="0"/>
          <w:bCs w:val="0"/>
        </w:rPr>
        <w:t xml:space="preserve">Cuadro. </w:t>
      </w:r>
      <w:r>
        <w:t xml:space="preserve">Enfermedades transmitidas por animales </w:t>
      </w:r>
      <w:r>
        <w:rPr>
          <w:rFonts w:ascii="Times New Roman" w:eastAsia="Times New Roman" w:hAnsi="Times New Roman" w:cs="Times New Roman"/>
          <w:b w:val="0"/>
          <w:bCs w:val="0"/>
          <w:i/>
          <w:iCs/>
          <w:w w:val="100"/>
          <w:sz w:val="16"/>
          <w:szCs w:val="16"/>
        </w:rPr>
        <w:t>continuación</w:t>
      </w:r>
      <w:bookmarkEnd w:id="995"/>
      <w:bookmarkEnd w:id="996"/>
      <w:bookmarkEnd w:id="997"/>
    </w:p>
    <w:p w14:paraId="70A5D134" w14:textId="77777777" w:rsidR="00924992" w:rsidRDefault="00924992">
      <w:pPr>
        <w:spacing w:line="1" w:lineRule="exact"/>
      </w:pPr>
      <w:r>
        <w:rPr>
          <w:noProof/>
        </w:rPr>
        <mc:AlternateContent>
          <mc:Choice Requires="wps">
            <w:drawing>
              <wp:anchor distT="0" distB="0" distL="114300" distR="114300" simplePos="0" relativeHeight="251783168" behindDoc="0" locked="0" layoutInCell="1" allowOverlap="1" wp14:anchorId="7613A279" wp14:editId="6A4CE946">
                <wp:simplePos x="0" y="0"/>
                <wp:positionH relativeFrom="page">
                  <wp:posOffset>2934970</wp:posOffset>
                </wp:positionH>
                <wp:positionV relativeFrom="paragraph">
                  <wp:posOffset>18415</wp:posOffset>
                </wp:positionV>
                <wp:extent cx="1588135" cy="323215"/>
                <wp:effectExtent l="0" t="0" r="0" b="0"/>
                <wp:wrapSquare wrapText="bothSides"/>
                <wp:docPr id="2663" name="Shape 2663"/>
                <wp:cNvGraphicFramePr/>
                <a:graphic xmlns:a="http://schemas.openxmlformats.org/drawingml/2006/main">
                  <a:graphicData uri="http://schemas.microsoft.com/office/word/2010/wordprocessingShape">
                    <wps:wsp>
                      <wps:cNvSpPr txBox="1"/>
                      <wps:spPr>
                        <a:xfrm>
                          <a:off x="0" y="0"/>
                          <a:ext cx="1588135" cy="323215"/>
                        </a:xfrm>
                        <a:prstGeom prst="rect">
                          <a:avLst/>
                        </a:prstGeom>
                        <a:solidFill>
                          <a:srgbClr val="231F20"/>
                        </a:solidFill>
                      </wps:spPr>
                      <wps:txbx>
                        <w:txbxContent>
                          <w:p w14:paraId="7F9019DF" w14:textId="77777777" w:rsidR="00924992" w:rsidRDefault="00924992">
                            <w:pPr>
                              <w:pStyle w:val="Other0"/>
                              <w:pBdr>
                                <w:top w:val="single" w:sz="0" w:space="0" w:color="231F20"/>
                                <w:left w:val="single" w:sz="0" w:space="0" w:color="231F20"/>
                                <w:bottom w:val="single" w:sz="0" w:space="0" w:color="231F20"/>
                                <w:right w:val="single" w:sz="0" w:space="0" w:color="231F20"/>
                              </w:pBdr>
                              <w:shd w:val="clear" w:color="auto" w:fill="231F20"/>
                              <w:spacing w:line="204" w:lineRule="auto"/>
                              <w:ind w:firstLine="0"/>
                              <w:rPr>
                                <w:sz w:val="24"/>
                                <w:szCs w:val="24"/>
                              </w:rPr>
                            </w:pPr>
                            <w:r>
                              <w:rPr>
                                <w:rFonts w:ascii="Arial" w:eastAsia="Arial" w:hAnsi="Arial" w:cs="Arial"/>
                                <w:b/>
                                <w:bCs/>
                                <w:color w:val="FFFFFF"/>
                                <w:w w:val="70"/>
                                <w:sz w:val="24"/>
                                <w:szCs w:val="24"/>
                              </w:rPr>
                              <w:t>Animales que frecuentemente sirven como punto de origen</w:t>
                            </w:r>
                          </w:p>
                        </w:txbxContent>
                      </wps:txbx>
                      <wps:bodyPr lIns="0" tIns="0" rIns="0" bIns="0"/>
                    </wps:wsp>
                  </a:graphicData>
                </a:graphic>
              </wp:anchor>
            </w:drawing>
          </mc:Choice>
          <mc:Fallback>
            <w:pict>
              <v:shape w14:anchorId="7613A279" id="Shape 2663" o:spid="_x0000_s1164" type="#_x0000_t202" style="position:absolute;margin-left:231.1pt;margin-top:1.45pt;width:125.05pt;height:25.45pt;z-index:251783168;visibility:visible;mso-wrap-style:square;mso-wrap-distance-left:9pt;mso-wrap-distance-top:0;mso-wrap-distance-right:9pt;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" fillcolor="#231f20" stroked="f">
                <v:textbox inset="0,0,0,0">
                  <w:txbxContent>
                    <w:p w14:paraId="7F9019DF" w14:textId="77777777" w:rsidR="00924992" w:rsidRDefault="00924992">
                      <w:pPr>
                        <w:pStyle w:val="Other0"/>
                        <w:pBdr>
                          <w:top w:val="single" w:sz="0" w:space="0" w:color="231F20"/>
                          <w:left w:val="single" w:sz="0" w:space="0" w:color="231F20"/>
                          <w:bottom w:val="single" w:sz="0" w:space="0" w:color="231F20"/>
                          <w:right w:val="single" w:sz="0" w:space="0" w:color="231F20"/>
                        </w:pBdr>
                        <w:shd w:val="clear" w:color="auto" w:fill="231F20"/>
                        <w:spacing w:line="204" w:lineRule="auto"/>
                        <w:ind w:firstLine="0"/>
                        <w:rPr>
                          <w:sz w:val="24"/>
                          <w:szCs w:val="24"/>
                        </w:rPr>
                      </w:pPr>
                      <w:r>
                        <w:rPr>
                          <w:rFonts w:ascii="Arial" w:eastAsia="Arial" w:hAnsi="Arial" w:cs="Arial"/>
                          <w:b/>
                          <w:bCs/>
                          <w:color w:val="FFFFFF"/>
                          <w:w w:val="70"/>
                          <w:sz w:val="24"/>
                          <w:szCs w:val="24"/>
                        </w:rPr>
                        <w:t>Animales que frecuentemente sirven como punto de origen</w:t>
                      </w:r>
                    </w:p>
                  </w:txbxContent>
                </v:textbox>
                <w10:wrap type="square" anchorx="page"/>
              </v:shape>
            </w:pict>
          </mc:Fallback>
        </mc:AlternateContent>
      </w:r>
    </w:p>
    <w:p w14:paraId="2457BCF7" w14:textId="77777777" w:rsidR="00924992" w:rsidRDefault="00924992">
      <w:pPr>
        <w:pStyle w:val="Heading41"/>
        <w:keepNext/>
        <w:keepLines/>
        <w:pBdr>
          <w:top w:val="single" w:sz="0" w:space="0" w:color="231F20"/>
          <w:left w:val="single" w:sz="0" w:space="0" w:color="231F20"/>
          <w:bottom w:val="single" w:sz="0" w:space="0" w:color="231F20"/>
          <w:right w:val="single" w:sz="0" w:space="0" w:color="231F20"/>
        </w:pBdr>
        <w:shd w:val="clear" w:color="auto" w:fill="231F20"/>
      </w:pPr>
      <w:bookmarkStart w:id="998" w:name="bookmark2373"/>
      <w:bookmarkStart w:id="999" w:name="bookmark2374"/>
      <w:bookmarkStart w:id="1000" w:name="bookmark2375"/>
      <w:r>
        <w:rPr>
          <w:color w:val="FFFFFF"/>
        </w:rPr>
        <w:t>Enfermedad, microorganismo o ambos</w:t>
      </w:r>
      <w:bookmarkEnd w:id="998"/>
      <w:bookmarkEnd w:id="999"/>
      <w:bookmarkEnd w:id="1000"/>
    </w:p>
    <w:p w14:paraId="54F919FC" w14:textId="77777777" w:rsidR="00924992" w:rsidRDefault="00924992">
      <w:pPr>
        <w:pStyle w:val="Heading41"/>
        <w:keepNext/>
        <w:keepLines/>
        <w:pBdr>
          <w:top w:val="single" w:sz="0" w:space="0" w:color="231F20"/>
          <w:left w:val="single" w:sz="0" w:space="0" w:color="231F20"/>
          <w:bottom w:val="single" w:sz="0" w:space="0" w:color="231F20"/>
          <w:right w:val="single" w:sz="0" w:space="0" w:color="231F20"/>
        </w:pBdr>
        <w:shd w:val="clear" w:color="auto" w:fill="231F20"/>
        <w:sectPr w:rsidR="00924992" w:rsidSect="00924992">
          <w:footnotePr>
            <w:numFmt w:val="chicago"/>
          </w:footnotePr>
          <w:type w:val="continuous"/>
          <w:pgSz w:w="13022" w:h="8501" w:orient="landscape"/>
          <w:pgMar w:top="1104" w:right="1728" w:bottom="304" w:left="662" w:header="0" w:footer="3" w:gutter="0"/>
          <w:cols w:num="2" w:space="4094"/>
          <w:noEndnote/>
          <w:docGrid w:linePitch="360"/>
          <w15:footnoteColumns w:val="1"/>
        </w:sectPr>
      </w:pPr>
      <w:bookmarkStart w:id="1001" w:name="bookmark2376"/>
      <w:bookmarkStart w:id="1002" w:name="bookmark2377"/>
      <w:bookmarkStart w:id="1003" w:name="bookmark2378"/>
      <w:r>
        <w:rPr>
          <w:color w:val="FFFFFF"/>
        </w:rPr>
        <w:t>Vectores o mecanismos de transmisión</w:t>
      </w:r>
      <w:bookmarkEnd w:id="1001"/>
      <w:bookmarkEnd w:id="1002"/>
      <w:bookmarkEnd w:id="1003"/>
    </w:p>
    <w:p w14:paraId="7366B29C" w14:textId="77777777" w:rsidR="00924992" w:rsidRDefault="00924992">
      <w:pPr>
        <w:spacing w:line="1" w:lineRule="exact"/>
      </w:pPr>
      <w:r>
        <w:rPr>
          <w:noProof/>
        </w:rPr>
        <mc:AlternateContent>
          <mc:Choice Requires="wps">
            <w:drawing>
              <wp:anchor distT="0" distB="0" distL="114300" distR="114300" simplePos="0" relativeHeight="251784192" behindDoc="0" locked="0" layoutInCell="1" allowOverlap="1" wp14:anchorId="239E233C" wp14:editId="04BA717E">
                <wp:simplePos x="0" y="0"/>
                <wp:positionH relativeFrom="page">
                  <wp:posOffset>7867015</wp:posOffset>
                </wp:positionH>
                <wp:positionV relativeFrom="paragraph">
                  <wp:posOffset>1240790</wp:posOffset>
                </wp:positionV>
                <wp:extent cx="121920" cy="2502535"/>
                <wp:effectExtent l="0" t="0" r="0" b="0"/>
                <wp:wrapSquare wrapText="bothSides"/>
                <wp:docPr id="2665" name="Shape 2665"/>
                <wp:cNvGraphicFramePr/>
                <a:graphic xmlns:a="http://schemas.openxmlformats.org/drawingml/2006/main">
                  <a:graphicData uri="http://schemas.microsoft.com/office/word/2010/wordprocessingShape">
                    <wps:wsp>
                      <wps:cNvSpPr txBox="1"/>
                      <wps:spPr>
                        <a:xfrm>
                          <a:off x="0" y="0"/>
                          <a:ext cx="121920" cy="2502535"/>
                        </a:xfrm>
                        <a:prstGeom prst="rect">
                          <a:avLst/>
                        </a:prstGeom>
                        <a:noFill/>
                      </wps:spPr>
                      <wps:txbx>
                        <w:txbxContent>
                          <w:p w14:paraId="11F09E59" w14:textId="77777777" w:rsidR="00924992" w:rsidRDefault="00924992">
                            <w:pPr>
                              <w:pStyle w:val="Bodytext80"/>
                              <w:tabs>
                                <w:tab w:val="left" w:pos="3624"/>
                              </w:tabs>
                              <w:rPr>
                                <w:sz w:val="16"/>
                                <w:szCs w:val="16"/>
                              </w:rPr>
                            </w:pPr>
                            <w:r>
                              <w:t>APÉNDICE VIII</w:t>
                            </w:r>
                            <w:r>
                              <w:tab/>
                            </w:r>
                            <w:r>
                              <w:rPr>
                                <w:sz w:val="16"/>
                                <w:szCs w:val="16"/>
                              </w:rPr>
                              <w:t>857</w:t>
                            </w:r>
                          </w:p>
                        </w:txbxContent>
                      </wps:txbx>
                      <wps:bodyPr vert="vert" lIns="0" tIns="0" rIns="0" bIns="0" upright="1"/>
                    </wps:wsp>
                  </a:graphicData>
                </a:graphic>
              </wp:anchor>
            </w:drawing>
          </mc:Choice>
          <mc:Fallback>
            <w:pict>
              <v:shape w14:anchorId="239E233C" id="Shape 2665" o:spid="_x0000_s1165" type="#_x0000_t202" style="position:absolute;margin-left:619.45pt;margin-top:97.7pt;width:9.6pt;height:197.05pt;z-index:251784192;visibility:visible;mso-wrap-style:square;mso-wrap-distance-left:9pt;mso-wrap-distance-top:0;mso-wrap-distance-right:9pt;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" filled="f" stroked="f">
                <v:textbox style="layout-flow:vertical" inset="0,0,0,0">
                  <w:txbxContent>
                    <w:p w14:paraId="11F09E59" w14:textId="77777777" w:rsidR="00924992" w:rsidRDefault="00924992">
                      <w:pPr>
                        <w:pStyle w:val="Bodytext80"/>
                        <w:tabs>
                          <w:tab w:val="left" w:pos="3624"/>
                        </w:tabs>
                        <w:rPr>
                          <w:sz w:val="16"/>
                          <w:szCs w:val="16"/>
                        </w:rPr>
                      </w:pPr>
                      <w:r>
                        <w:t>APÉNDICE VIII</w:t>
                      </w:r>
                      <w:r>
                        <w:tab/>
                      </w:r>
                      <w:r>
                        <w:rPr>
                          <w:sz w:val="16"/>
                          <w:szCs w:val="16"/>
                        </w:rPr>
                        <w:t>857</w:t>
                      </w:r>
                    </w:p>
                  </w:txbxContent>
                </v:textbox>
                <w10:wrap type="square" anchorx="page"/>
              </v:shape>
            </w:pict>
          </mc:Fallback>
        </mc:AlternateContent>
      </w:r>
    </w:p>
    <w:p w14:paraId="45DEF140" w14:textId="77777777" w:rsidR="00924992" w:rsidRDefault="00924992">
      <w:pPr>
        <w:pStyle w:val="Bodytext20"/>
        <w:spacing w:line="240" w:lineRule="auto"/>
      </w:pPr>
      <w:r>
        <w:t xml:space="preserve">Triquinosis ( </w:t>
      </w:r>
      <w:r>
        <w:rPr>
          <w:i/>
          <w:iCs/>
        </w:rPr>
        <w:t>Trichinella spiralis)</w:t>
      </w:r>
    </w:p>
    <w:p w14:paraId="14D9F15B" w14:textId="77777777" w:rsidR="00924992" w:rsidRDefault="00924992">
      <w:pPr>
        <w:pStyle w:val="Bodytext20"/>
        <w:spacing w:line="240" w:lineRule="auto"/>
      </w:pPr>
      <w:r>
        <w:t xml:space="preserve">Visceral, larva migrans </w:t>
      </w:r>
      <w:r>
        <w:rPr>
          <w:i/>
          <w:iCs/>
          <w:sz w:val="15"/>
          <w:szCs w:val="15"/>
        </w:rPr>
        <w:t>(</w:t>
      </w:r>
      <w:r>
        <w:rPr>
          <w:i/>
          <w:iCs/>
        </w:rPr>
        <w:t>Toxocara canis</w:t>
      </w:r>
    </w:p>
    <w:p w14:paraId="080CE004" w14:textId="77777777" w:rsidR="00924992" w:rsidRDefault="00924992">
      <w:pPr>
        <w:pStyle w:val="Bodytext20"/>
        <w:spacing w:line="240" w:lineRule="auto"/>
        <w:rPr>
          <w:sz w:val="15"/>
          <w:szCs w:val="15"/>
        </w:rPr>
      </w:pPr>
      <w:r>
        <w:rPr>
          <w:i/>
          <w:iCs/>
          <w:sz w:val="15"/>
          <w:szCs w:val="15"/>
        </w:rPr>
        <w:t xml:space="preserve">y </w:t>
      </w:r>
      <w:r>
        <w:rPr>
          <w:i/>
          <w:iCs/>
        </w:rPr>
        <w:t>Toxocara cati</w:t>
      </w:r>
      <w:r>
        <w:rPr>
          <w:i/>
          <w:iCs/>
          <w:sz w:val="15"/>
          <w:szCs w:val="15"/>
        </w:rPr>
        <w:t>)</w:t>
      </w:r>
    </w:p>
    <w:p w14:paraId="70FAB684" w14:textId="77777777" w:rsidR="00924992" w:rsidRDefault="00924992">
      <w:pPr>
        <w:pStyle w:val="Bodytext20"/>
        <w:spacing w:line="240" w:lineRule="auto"/>
      </w:pPr>
      <w:r>
        <w:rPr>
          <w:b/>
          <w:bCs/>
        </w:rPr>
        <w:t>Clamidiasis y rickettsiosis</w:t>
      </w:r>
    </w:p>
    <w:p w14:paraId="5D38E794" w14:textId="77777777" w:rsidR="00924992" w:rsidRDefault="00924992">
      <w:pPr>
        <w:pStyle w:val="Bodytext20"/>
        <w:spacing w:line="240" w:lineRule="auto"/>
        <w:rPr>
          <w:sz w:val="15"/>
          <w:szCs w:val="15"/>
        </w:rPr>
      </w:pPr>
      <w:r>
        <w:t xml:space="preserve">Ehrlichiosis (especies de </w:t>
      </w:r>
      <w:r>
        <w:rPr>
          <w:i/>
          <w:iCs/>
        </w:rPr>
        <w:t>Ehrlichia</w:t>
      </w:r>
      <w:r>
        <w:rPr>
          <w:i/>
          <w:iCs/>
          <w:sz w:val="15"/>
          <w:szCs w:val="15"/>
        </w:rPr>
        <w:t>)</w:t>
      </w:r>
    </w:p>
    <w:p w14:paraId="6B18FBE5" w14:textId="77777777" w:rsidR="00924992" w:rsidRDefault="00924992">
      <w:pPr>
        <w:pStyle w:val="Bodytext20"/>
        <w:spacing w:line="240" w:lineRule="auto"/>
        <w:rPr>
          <w:sz w:val="15"/>
          <w:szCs w:val="15"/>
        </w:rPr>
      </w:pPr>
      <w:r>
        <w:t xml:space="preserve">Psitacosis </w:t>
      </w:r>
      <w:r>
        <w:rPr>
          <w:i/>
          <w:iCs/>
          <w:sz w:val="15"/>
          <w:szCs w:val="15"/>
        </w:rPr>
        <w:t>(</w:t>
      </w:r>
      <w:r>
        <w:rPr>
          <w:i/>
          <w:iCs/>
        </w:rPr>
        <w:t>Chlamydia psittaci</w:t>
      </w:r>
      <w:r>
        <w:rPr>
          <w:i/>
          <w:iCs/>
          <w:sz w:val="15"/>
          <w:szCs w:val="15"/>
        </w:rPr>
        <w:t>)</w:t>
      </w:r>
    </w:p>
    <w:p w14:paraId="388465F2" w14:textId="77777777" w:rsidR="00924992" w:rsidRDefault="00924992">
      <w:pPr>
        <w:pStyle w:val="Bodytext20"/>
        <w:spacing w:after="440" w:line="240" w:lineRule="auto"/>
        <w:rPr>
          <w:sz w:val="15"/>
          <w:szCs w:val="15"/>
        </w:rPr>
      </w:pPr>
      <w:r>
        <w:t xml:space="preserve">Q, fiebre </w:t>
      </w:r>
      <w:r>
        <w:rPr>
          <w:i/>
          <w:iCs/>
          <w:sz w:val="15"/>
          <w:szCs w:val="15"/>
        </w:rPr>
        <w:t>(</w:t>
      </w:r>
      <w:r>
        <w:rPr>
          <w:i/>
          <w:iCs/>
        </w:rPr>
        <w:t>Coxiella burnetii</w:t>
      </w:r>
      <w:r>
        <w:rPr>
          <w:i/>
          <w:iCs/>
          <w:sz w:val="15"/>
          <w:szCs w:val="15"/>
        </w:rPr>
        <w:t>)</w:t>
      </w:r>
    </w:p>
    <w:p w14:paraId="4A47C22A" w14:textId="77777777" w:rsidR="00924992" w:rsidRDefault="00924992">
      <w:pPr>
        <w:pStyle w:val="Bodytext20"/>
        <w:spacing w:line="240" w:lineRule="auto"/>
      </w:pPr>
      <w:r>
        <w:t>Rickettsiosis pustulosa (</w:t>
      </w:r>
      <w:r>
        <w:rPr>
          <w:i/>
          <w:iCs/>
        </w:rPr>
        <w:t>Rickettsia akari</w:t>
      </w:r>
      <w:r>
        <w:t>)</w:t>
      </w:r>
    </w:p>
    <w:p w14:paraId="3DF0A983" w14:textId="77777777" w:rsidR="00924992" w:rsidRDefault="00924992">
      <w:pPr>
        <w:pStyle w:val="Bodytext20"/>
        <w:spacing w:line="240" w:lineRule="auto"/>
      </w:pPr>
      <w:r>
        <w:t>Rocosas, fiebre maculada de las Montañas</w:t>
      </w:r>
    </w:p>
    <w:p w14:paraId="54A3E1C7" w14:textId="77777777" w:rsidR="00924992" w:rsidRDefault="00924992">
      <w:pPr>
        <w:pStyle w:val="Bodytext20"/>
        <w:spacing w:line="240" w:lineRule="auto"/>
      </w:pPr>
      <w:r>
        <w:t>(</w:t>
      </w:r>
      <w:r>
        <w:rPr>
          <w:i/>
          <w:iCs/>
        </w:rPr>
        <w:t>Rickettsia rickettsii</w:t>
      </w:r>
      <w:r>
        <w:t>)</w:t>
      </w:r>
    </w:p>
    <w:p w14:paraId="2E196B4E" w14:textId="77777777" w:rsidR="00924992" w:rsidRDefault="00924992">
      <w:pPr>
        <w:pStyle w:val="Bodytext20"/>
        <w:spacing w:line="240" w:lineRule="auto"/>
      </w:pPr>
      <w:r>
        <w:t>Tifus y tifus endémico por piojos</w:t>
      </w:r>
    </w:p>
    <w:p w14:paraId="20366B46" w14:textId="77777777" w:rsidR="00924992" w:rsidRDefault="00924992">
      <w:pPr>
        <w:pStyle w:val="Bodytext20"/>
        <w:spacing w:after="220" w:line="240" w:lineRule="auto"/>
        <w:rPr>
          <w:sz w:val="15"/>
          <w:szCs w:val="15"/>
        </w:rPr>
      </w:pPr>
      <w:r>
        <w:rPr>
          <w:i/>
          <w:iCs/>
          <w:sz w:val="15"/>
          <w:szCs w:val="15"/>
        </w:rPr>
        <w:t>(</w:t>
      </w:r>
      <w:r>
        <w:rPr>
          <w:i/>
          <w:iCs/>
        </w:rPr>
        <w:t>Rickettsia prowazekii</w:t>
      </w:r>
      <w:r>
        <w:rPr>
          <w:i/>
          <w:iCs/>
          <w:sz w:val="15"/>
          <w:szCs w:val="15"/>
        </w:rPr>
        <w:t>)</w:t>
      </w:r>
    </w:p>
    <w:p w14:paraId="62BE3166" w14:textId="77777777" w:rsidR="00924992" w:rsidRDefault="00924992">
      <w:pPr>
        <w:pStyle w:val="Bodytext20"/>
        <w:spacing w:line="240" w:lineRule="auto"/>
      </w:pPr>
      <w:r>
        <w:t>Tifus y tifus endémico por pulgas (</w:t>
      </w:r>
      <w:r>
        <w:rPr>
          <w:i/>
          <w:iCs/>
        </w:rPr>
        <w:t>Rickettsia typhi</w:t>
      </w:r>
      <w:r>
        <w:t>)</w:t>
      </w:r>
    </w:p>
    <w:p w14:paraId="3579EF25" w14:textId="77777777" w:rsidR="00924992" w:rsidRDefault="00924992">
      <w:pPr>
        <w:pStyle w:val="Bodytext20"/>
        <w:spacing w:line="240" w:lineRule="auto"/>
      </w:pPr>
      <w:r>
        <w:rPr>
          <w:b/>
          <w:bCs/>
        </w:rPr>
        <w:t>Víricas, enfermedades</w:t>
      </w:r>
    </w:p>
    <w:p w14:paraId="21D83729" w14:textId="77777777" w:rsidR="00924992" w:rsidRDefault="00924992">
      <w:pPr>
        <w:pStyle w:val="Bodytext20"/>
        <w:spacing w:line="240" w:lineRule="auto"/>
      </w:pPr>
      <w:r>
        <w:t>Colorado, fiebre por garrapatas de</w:t>
      </w:r>
    </w:p>
    <w:p w14:paraId="7EC8D5C4" w14:textId="77777777" w:rsidR="00924992" w:rsidRDefault="00924992">
      <w:pPr>
        <w:pStyle w:val="Bodytext20"/>
        <w:spacing w:line="240" w:lineRule="auto"/>
      </w:pPr>
      <w:r>
        <w:t>Encefalitis</w:t>
      </w:r>
    </w:p>
    <w:p w14:paraId="79BDB10B" w14:textId="77777777" w:rsidR="00924992" w:rsidRDefault="00924992">
      <w:pPr>
        <w:pStyle w:val="Bodytext20"/>
        <w:spacing w:line="240" w:lineRule="auto"/>
        <w:jc w:val="both"/>
      </w:pPr>
      <w:r>
        <w:t>California</w:t>
      </w:r>
    </w:p>
    <w:p w14:paraId="7D3DE21D" w14:textId="77777777" w:rsidR="00924992" w:rsidRDefault="00924992">
      <w:pPr>
        <w:pStyle w:val="Bodytext20"/>
        <w:spacing w:line="240" w:lineRule="auto"/>
        <w:jc w:val="both"/>
      </w:pPr>
      <w:r>
        <w:t>Equina oriental (Estados Unidos)</w:t>
      </w:r>
    </w:p>
    <w:p w14:paraId="4A185AC3" w14:textId="77777777" w:rsidR="00924992" w:rsidRDefault="00924992">
      <w:pPr>
        <w:pStyle w:val="Bodytext20"/>
        <w:spacing w:line="240" w:lineRule="auto"/>
        <w:jc w:val="both"/>
      </w:pPr>
      <w:r>
        <w:t>Equina occidental (Estados Unidos)</w:t>
      </w:r>
    </w:p>
    <w:p w14:paraId="235EB7CB" w14:textId="77777777" w:rsidR="00924992" w:rsidRDefault="00924992">
      <w:pPr>
        <w:pStyle w:val="Bodytext20"/>
        <w:spacing w:line="240" w:lineRule="auto"/>
        <w:jc w:val="both"/>
      </w:pPr>
      <w:r>
        <w:t>St. Louis</w:t>
      </w:r>
    </w:p>
    <w:p w14:paraId="03BDAF21" w14:textId="77777777" w:rsidR="00924992" w:rsidRDefault="00924992">
      <w:pPr>
        <w:pStyle w:val="Bodytext20"/>
        <w:spacing w:line="240" w:lineRule="auto"/>
      </w:pPr>
      <w:r>
        <w:t>Equina venezolana</w:t>
      </w:r>
    </w:p>
    <w:p w14:paraId="1EF44A4D" w14:textId="77777777" w:rsidR="00924992" w:rsidRDefault="00924992">
      <w:pPr>
        <w:pStyle w:val="Bodytext20"/>
        <w:spacing w:line="240" w:lineRule="auto"/>
      </w:pPr>
      <w:r>
        <w:t>Powassan</w:t>
      </w:r>
    </w:p>
    <w:p w14:paraId="1CD32020" w14:textId="77777777" w:rsidR="00924992" w:rsidRDefault="00924992">
      <w:pPr>
        <w:pStyle w:val="Bodytext20"/>
        <w:spacing w:line="240" w:lineRule="auto"/>
      </w:pPr>
      <w:r>
        <w:t>Nilo occidental</w:t>
      </w:r>
    </w:p>
    <w:p w14:paraId="6A842F48" w14:textId="77777777" w:rsidR="00924992" w:rsidRDefault="00924992">
      <w:pPr>
        <w:pStyle w:val="Bodytext20"/>
      </w:pPr>
      <w:r>
        <w:t>Cerdos, osos y quizá otros carnívoros salvajes</w:t>
      </w:r>
    </w:p>
    <w:p w14:paraId="6C16DE2E" w14:textId="77777777" w:rsidR="00924992" w:rsidRDefault="00924992">
      <w:pPr>
        <w:pStyle w:val="Bodytext20"/>
        <w:spacing w:after="420"/>
      </w:pPr>
      <w:r>
        <w:t>Perros, gatos</w:t>
      </w:r>
    </w:p>
    <w:p w14:paraId="445682AC" w14:textId="77777777" w:rsidR="00924992" w:rsidRDefault="00924992">
      <w:pPr>
        <w:pStyle w:val="Bodytext20"/>
      </w:pPr>
      <w:r>
        <w:t>Ciervos, perros, rumiantes, caballos</w:t>
      </w:r>
    </w:p>
    <w:p w14:paraId="45DFD2FB" w14:textId="77777777" w:rsidR="00924992" w:rsidRDefault="00924992">
      <w:pPr>
        <w:pStyle w:val="Bodytext20"/>
        <w:spacing w:after="420"/>
      </w:pPr>
      <w:r>
        <w:t>Psitácidos y aves domésticas, animales de granja Ovejas, otro ganado, roedores salvajes, conejos</w:t>
      </w:r>
    </w:p>
    <w:p w14:paraId="36ADC080" w14:textId="77777777" w:rsidR="00924992" w:rsidRDefault="00924992">
      <w:pPr>
        <w:pStyle w:val="Bodytext20"/>
      </w:pPr>
      <w:r>
        <w:t>Ratones caseros</w:t>
      </w:r>
    </w:p>
    <w:p w14:paraId="42BEB5C2" w14:textId="77777777" w:rsidR="00924992" w:rsidRDefault="00924992">
      <w:pPr>
        <w:pStyle w:val="Bodytext20"/>
        <w:spacing w:after="200"/>
      </w:pPr>
      <w:r>
        <w:t>Perros, roedores salvajes, conejos</w:t>
      </w:r>
    </w:p>
    <w:p w14:paraId="294FA35A" w14:textId="77777777" w:rsidR="00924992" w:rsidRDefault="00924992">
      <w:pPr>
        <w:pStyle w:val="Bodytext20"/>
        <w:spacing w:after="420"/>
      </w:pPr>
      <w:r>
        <w:t>Ardillas voladoras</w:t>
      </w:r>
    </w:p>
    <w:p w14:paraId="6F3A7F4C" w14:textId="77777777" w:rsidR="00924992" w:rsidRDefault="00924992">
      <w:pPr>
        <w:pStyle w:val="Bodytext20"/>
        <w:spacing w:after="200"/>
      </w:pPr>
      <w:r>
        <w:t>Ratas, zarigüeyas, animales domésticos</w:t>
      </w:r>
    </w:p>
    <w:p w14:paraId="32326B04" w14:textId="77777777" w:rsidR="00924992" w:rsidRDefault="00924992">
      <w:pPr>
        <w:pStyle w:val="Bodytext20"/>
        <w:spacing w:after="200"/>
      </w:pPr>
      <w:r>
        <w:t>Roedores salvajes y en particular ardillas</w:t>
      </w:r>
    </w:p>
    <w:p w14:paraId="53403B37" w14:textId="77777777" w:rsidR="00924992" w:rsidRDefault="00924992">
      <w:pPr>
        <w:pStyle w:val="Bodytext20"/>
      </w:pPr>
      <w:r>
        <w:t>Roedores salvajes</w:t>
      </w:r>
    </w:p>
    <w:p w14:paraId="622C80C0" w14:textId="77777777" w:rsidR="00924992" w:rsidRDefault="00924992">
      <w:pPr>
        <w:pStyle w:val="Bodytext20"/>
      </w:pPr>
      <w:r>
        <w:t>Aves salvajes, aves de corral, caballos</w:t>
      </w:r>
    </w:p>
    <w:p w14:paraId="6054226F" w14:textId="77777777" w:rsidR="00924992" w:rsidRDefault="00924992">
      <w:pPr>
        <w:pStyle w:val="Bodytext20"/>
      </w:pPr>
      <w:r>
        <w:t>Aves salvajes, aves de corral, caballos</w:t>
      </w:r>
    </w:p>
    <w:p w14:paraId="16B9F09E" w14:textId="77777777" w:rsidR="00924992" w:rsidRDefault="00924992">
      <w:pPr>
        <w:pStyle w:val="Bodytext20"/>
      </w:pPr>
      <w:r>
        <w:t>Aves salvajes, aves de corral</w:t>
      </w:r>
    </w:p>
    <w:p w14:paraId="76508D46" w14:textId="77777777" w:rsidR="00924992" w:rsidRDefault="00924992">
      <w:pPr>
        <w:pStyle w:val="Bodytext20"/>
      </w:pPr>
      <w:r>
        <w:t>Caballos</w:t>
      </w:r>
    </w:p>
    <w:p w14:paraId="0B48B942" w14:textId="77777777" w:rsidR="00924992" w:rsidRDefault="00924992">
      <w:pPr>
        <w:pStyle w:val="Bodytext20"/>
      </w:pPr>
      <w:r>
        <w:t>Roedores, conejos</w:t>
      </w:r>
    </w:p>
    <w:p w14:paraId="7FF7D225" w14:textId="77777777" w:rsidR="00924992" w:rsidRDefault="00924992">
      <w:pPr>
        <w:pStyle w:val="Bodytext20"/>
        <w:spacing w:after="320"/>
      </w:pPr>
      <w:r>
        <w:t>Pájaros</w:t>
      </w:r>
    </w:p>
    <w:p w14:paraId="6145C5FB" w14:textId="77777777" w:rsidR="00924992" w:rsidRDefault="00924992">
      <w:pPr>
        <w:pStyle w:val="Bodytext20"/>
      </w:pPr>
      <w:r>
        <w:t>Ingestión de larvas en carne cruda o mal cocida</w:t>
      </w:r>
    </w:p>
    <w:p w14:paraId="4CC927CB" w14:textId="77777777" w:rsidR="00924992" w:rsidRDefault="00924992">
      <w:pPr>
        <w:pStyle w:val="Bodytext20"/>
        <w:spacing w:after="200"/>
      </w:pPr>
      <w:r>
        <w:t>Ingestión de huevecillos, por lo común de tierra contaminada por excrementos de animales</w:t>
      </w:r>
    </w:p>
    <w:p w14:paraId="5C086904" w14:textId="77777777" w:rsidR="00924992" w:rsidRDefault="00924992">
      <w:pPr>
        <w:pStyle w:val="Bodytext20"/>
      </w:pPr>
      <w:r>
        <w:t>Picaduras de garrapatas</w:t>
      </w:r>
    </w:p>
    <w:p w14:paraId="49B1A93A" w14:textId="77777777" w:rsidR="00924992" w:rsidRDefault="00924992">
      <w:pPr>
        <w:pStyle w:val="Bodytext20"/>
      </w:pPr>
      <w:r>
        <w:t>Inhalación de aerosoles, de excrementos</w:t>
      </w:r>
    </w:p>
    <w:p w14:paraId="3FB5E9B1" w14:textId="77777777" w:rsidR="00924992" w:rsidRDefault="00924992">
      <w:pPr>
        <w:pStyle w:val="Bodytext20"/>
      </w:pPr>
      <w:r>
        <w:t>Contacto directo de aerosoles en productos del parto, ingestión de leche contaminada y a veces picaduras de garrapatas</w:t>
      </w:r>
    </w:p>
    <w:p w14:paraId="40D2FA0D" w14:textId="77777777" w:rsidR="00924992" w:rsidRDefault="00924992">
      <w:pPr>
        <w:pStyle w:val="Bodytext20"/>
      </w:pPr>
      <w:r>
        <w:t>Picaduras de ácaros</w:t>
      </w:r>
    </w:p>
    <w:p w14:paraId="78CF9AE3" w14:textId="77777777" w:rsidR="00924992" w:rsidRDefault="00924992">
      <w:pPr>
        <w:pStyle w:val="Bodytext20"/>
      </w:pPr>
      <w:r>
        <w:t>Picaduras de garrapatas; rara vez por contaminación directa con material infectante de garrapatas</w:t>
      </w:r>
    </w:p>
    <w:p w14:paraId="4F75F252" w14:textId="77777777" w:rsidR="00924992" w:rsidRDefault="00924992">
      <w:pPr>
        <w:pStyle w:val="Bodytext20"/>
      </w:pPr>
      <w:r>
        <w:t>Piojos del cuerpo, contacto con ardillas y sus nidos, ectoparásitos de una persona a otra por medio de piojos del cuerpo</w:t>
      </w:r>
    </w:p>
    <w:p w14:paraId="7ADE175E" w14:textId="77777777" w:rsidR="00924992" w:rsidRDefault="00924992">
      <w:pPr>
        <w:pStyle w:val="Bodytext20"/>
        <w:spacing w:after="200"/>
      </w:pPr>
      <w:r>
        <w:t>Excrementos de pulga, restregados en las excoriaciones</w:t>
      </w:r>
    </w:p>
    <w:p w14:paraId="35335A59" w14:textId="77777777" w:rsidR="00924992" w:rsidRDefault="00924992">
      <w:pPr>
        <w:pStyle w:val="Bodytext20"/>
        <w:spacing w:after="200"/>
      </w:pPr>
      <w:r>
        <w:t>Picaduras de garrapatas</w:t>
      </w:r>
    </w:p>
    <w:p w14:paraId="0E1DE313" w14:textId="77777777" w:rsidR="00924992" w:rsidRDefault="00924992">
      <w:pPr>
        <w:pStyle w:val="Bodytext20"/>
        <w:spacing w:after="200"/>
        <w:jc w:val="both"/>
        <w:sectPr w:rsidR="00924992" w:rsidSect="00924992">
          <w:footnotePr>
            <w:numFmt w:val="chicago"/>
          </w:footnotePr>
          <w:type w:val="continuous"/>
          <w:pgSz w:w="13022" w:h="8501" w:orient="landscape"/>
          <w:pgMar w:top="1104" w:right="1142" w:bottom="304" w:left="662" w:header="0" w:footer="3" w:gutter="0"/>
          <w:cols w:num="3" w:space="720" w:equalWidth="0">
            <w:col w:w="3581" w:space="374"/>
            <w:col w:w="3322" w:space="100"/>
            <w:col w:w="3840"/>
          </w:cols>
          <w:noEndnote/>
          <w:docGrid w:linePitch="360"/>
          <w15:footnoteColumns w:val="1"/>
        </w:sectPr>
      </w:pPr>
      <w:r>
        <w:t>Picaduras de mosquito Picaduras de mosquito Picaduras de mosquito Picaduras de mosquito Picaduras de mosquito Picaduras de garrapata Picaduras de mosquito</w:t>
      </w:r>
    </w:p>
    <w:p w14:paraId="2B9D021B" w14:textId="77777777" w:rsidR="00924992" w:rsidRDefault="00924992">
      <w:pPr>
        <w:rPr>
          <w:sz w:val="2"/>
          <w:szCs w:val="2"/>
        </w:rPr>
        <w:sectPr w:rsidR="00924992" w:rsidSect="00924992">
          <w:footnotePr>
            <w:numFmt w:val="chicago"/>
          </w:footnotePr>
          <w:type w:val="continuous"/>
          <w:pgSz w:w="13022" w:h="8501" w:orient="landscape"/>
          <w:pgMar w:top="1104" w:right="1142" w:bottom="304" w:left="662" w:header="0" w:footer="3" w:gutter="0"/>
          <w:cols w:num="3" w:space="720" w:equalWidth="0">
            <w:col w:w="3581" w:space="374"/>
            <w:col w:w="3322" w:space="100"/>
            <w:col w:w="3840"/>
          </w:cols>
          <w:noEndnote/>
          <w:docGrid w:linePitch="360"/>
          <w15:footnoteColumns w:val="1"/>
        </w:sectPr>
      </w:pPr>
    </w:p>
    <w:p w14:paraId="4166941C" w14:textId="77777777" w:rsidR="00924992" w:rsidRDefault="00924992">
      <w:pPr>
        <w:pStyle w:val="Heading31"/>
        <w:keepNext/>
        <w:keepLines/>
        <w:framePr w:w="5510" w:h="322" w:wrap="none" w:hAnchor="page" w:x="3591" w:y="1"/>
        <w:rPr>
          <w:sz w:val="16"/>
          <w:szCs w:val="16"/>
        </w:rPr>
      </w:pPr>
      <w:bookmarkStart w:id="1004" w:name="bookmark2379"/>
      <w:bookmarkStart w:id="1005" w:name="bookmark2380"/>
      <w:bookmarkStart w:id="1006" w:name="bookmark2381"/>
      <w:r>
        <w:rPr>
          <w:b w:val="0"/>
          <w:bCs w:val="0"/>
        </w:rPr>
        <w:t xml:space="preserve">Cuadro. </w:t>
      </w:r>
      <w:r>
        <w:t xml:space="preserve">Enfermedades transmitidas por animales </w:t>
      </w:r>
      <w:r>
        <w:rPr>
          <w:rFonts w:ascii="Times New Roman" w:eastAsia="Times New Roman" w:hAnsi="Times New Roman" w:cs="Times New Roman"/>
          <w:b w:val="0"/>
          <w:bCs w:val="0"/>
          <w:i/>
          <w:iCs/>
          <w:w w:val="100"/>
          <w:sz w:val="16"/>
          <w:szCs w:val="16"/>
        </w:rPr>
        <w:t>continuación</w:t>
      </w:r>
      <w:bookmarkEnd w:id="1004"/>
      <w:bookmarkEnd w:id="1005"/>
      <w:bookmarkEnd w:id="1006"/>
    </w:p>
    <w:p w14:paraId="174CC8E5" w14:textId="77777777" w:rsidR="00924992" w:rsidRDefault="00924992">
      <w:pPr>
        <w:pStyle w:val="Heading41"/>
        <w:keepNext/>
        <w:keepLines/>
        <w:framePr w:w="3221" w:h="298" w:wrap="none" w:hAnchor="page" w:x="673" w:y="375"/>
        <w:pBdr>
          <w:top w:val="single" w:sz="0" w:space="0" w:color="231F20"/>
          <w:left w:val="single" w:sz="0" w:space="0" w:color="231F20"/>
          <w:bottom w:val="single" w:sz="0" w:space="0" w:color="231F20"/>
          <w:right w:val="single" w:sz="0" w:space="0" w:color="231F20"/>
        </w:pBdr>
        <w:shd w:val="clear" w:color="auto" w:fill="231F20"/>
      </w:pPr>
      <w:bookmarkStart w:id="1007" w:name="bookmark2382"/>
      <w:bookmarkStart w:id="1008" w:name="bookmark2383"/>
      <w:bookmarkStart w:id="1009" w:name="bookmark2384"/>
      <w:r>
        <w:rPr>
          <w:color w:val="FFFFFF"/>
        </w:rPr>
        <w:t>Enfermedad, microorganismo o ambos</w:t>
      </w:r>
      <w:bookmarkEnd w:id="1007"/>
      <w:bookmarkEnd w:id="1008"/>
      <w:bookmarkEnd w:id="1009"/>
    </w:p>
    <w:p w14:paraId="77C3C10B" w14:textId="77777777" w:rsidR="00924992" w:rsidRDefault="00924992">
      <w:pPr>
        <w:pStyle w:val="Heading41"/>
        <w:keepNext/>
        <w:keepLines/>
        <w:framePr w:w="2501" w:h="509" w:wrap="none" w:hAnchor="page" w:x="4628" w:y="399"/>
        <w:pBdr>
          <w:top w:val="single" w:sz="0" w:space="0" w:color="231F20"/>
          <w:left w:val="single" w:sz="0" w:space="0" w:color="231F20"/>
          <w:bottom w:val="single" w:sz="0" w:space="0" w:color="231F20"/>
          <w:right w:val="single" w:sz="0" w:space="0" w:color="231F20"/>
        </w:pBdr>
        <w:shd w:val="clear" w:color="auto" w:fill="231F20"/>
        <w:spacing w:line="204" w:lineRule="auto"/>
      </w:pPr>
      <w:bookmarkStart w:id="1010" w:name="bookmark2385"/>
      <w:bookmarkStart w:id="1011" w:name="bookmark2386"/>
      <w:bookmarkStart w:id="1012" w:name="bookmark2387"/>
      <w:r>
        <w:rPr>
          <w:color w:val="FFFFFF"/>
        </w:rPr>
        <w:t>Animales que frecuentemente sirven como punto de origen</w:t>
      </w:r>
      <w:bookmarkEnd w:id="1010"/>
      <w:bookmarkEnd w:id="1011"/>
      <w:bookmarkEnd w:id="1012"/>
    </w:p>
    <w:p w14:paraId="2BD1CA9E" w14:textId="77777777" w:rsidR="00924992" w:rsidRDefault="00924992">
      <w:pPr>
        <w:pStyle w:val="Heading41"/>
        <w:keepNext/>
        <w:keepLines/>
        <w:framePr w:w="3274" w:h="298" w:wrap="none" w:hAnchor="page" w:x="8031" w:y="371"/>
        <w:pBdr>
          <w:top w:val="single" w:sz="0" w:space="0" w:color="231F20"/>
          <w:left w:val="single" w:sz="0" w:space="0" w:color="231F20"/>
          <w:bottom w:val="single" w:sz="0" w:space="0" w:color="231F20"/>
          <w:right w:val="single" w:sz="0" w:space="0" w:color="231F20"/>
        </w:pBdr>
        <w:shd w:val="clear" w:color="auto" w:fill="231F20"/>
        <w:jc w:val="center"/>
      </w:pPr>
      <w:bookmarkStart w:id="1013" w:name="bookmark2388"/>
      <w:bookmarkStart w:id="1014" w:name="bookmark2389"/>
      <w:bookmarkStart w:id="1015" w:name="bookmark2390"/>
      <w:r>
        <w:rPr>
          <w:color w:val="FFFFFF"/>
        </w:rPr>
        <w:t>Vectores o mecanismos de transmisión</w:t>
      </w:r>
      <w:bookmarkEnd w:id="1013"/>
      <w:bookmarkEnd w:id="1014"/>
      <w:bookmarkEnd w:id="1015"/>
    </w:p>
    <w:p w14:paraId="2A56E08C" w14:textId="77777777" w:rsidR="00924992" w:rsidRDefault="00924992">
      <w:pPr>
        <w:pStyle w:val="Bodytext20"/>
        <w:framePr w:w="3485" w:h="1099" w:wrap="none" w:hAnchor="page" w:x="678" w:y="1009"/>
      </w:pPr>
      <w:r>
        <w:t>Hanta, por virus</w:t>
      </w:r>
    </w:p>
    <w:p w14:paraId="61F129D5" w14:textId="77777777" w:rsidR="00924992" w:rsidRDefault="00924992">
      <w:pPr>
        <w:pStyle w:val="Bodytext20"/>
        <w:framePr w:w="3485" w:h="1099" w:wrap="none" w:hAnchor="page" w:x="678" w:y="1009"/>
        <w:spacing w:after="200"/>
      </w:pPr>
      <w:r>
        <w:t>B, virus (llamado antes virus herpéticos de simio) Linfocítica, coriomeningitis</w:t>
      </w:r>
    </w:p>
    <w:p w14:paraId="7BDEBB73" w14:textId="77777777" w:rsidR="00924992" w:rsidRDefault="00924992">
      <w:pPr>
        <w:pStyle w:val="Bodytext20"/>
        <w:framePr w:w="3485" w:h="1099" w:wrap="none" w:hAnchor="page" w:x="678" w:y="1009"/>
      </w:pPr>
      <w:r>
        <w:t>Rabia</w:t>
      </w:r>
    </w:p>
    <w:p w14:paraId="2ACA1A46" w14:textId="77777777" w:rsidR="00924992" w:rsidRDefault="00924992">
      <w:pPr>
        <w:pStyle w:val="Bodytext20"/>
        <w:framePr w:w="3178" w:h="1325" w:wrap="none" w:hAnchor="page" w:x="4633" w:y="999"/>
      </w:pPr>
      <w:r>
        <w:t>Roedores salvajes</w:t>
      </w:r>
    </w:p>
    <w:p w14:paraId="265EADB2" w14:textId="77777777" w:rsidR="00924992" w:rsidRDefault="00924992">
      <w:pPr>
        <w:pStyle w:val="Bodytext20"/>
        <w:framePr w:w="3178" w:h="1325" w:wrap="none" w:hAnchor="page" w:x="4633" w:y="999"/>
      </w:pPr>
      <w:r>
        <w:t>Macacos</w:t>
      </w:r>
    </w:p>
    <w:p w14:paraId="193A5D55" w14:textId="77777777" w:rsidR="00924992" w:rsidRDefault="00924992">
      <w:pPr>
        <w:pStyle w:val="Bodytext20"/>
        <w:framePr w:w="3178" w:h="1325" w:wrap="none" w:hAnchor="page" w:x="4633" w:y="999"/>
        <w:spacing w:after="200"/>
      </w:pPr>
      <w:r>
        <w:t>Roedores, en particular cricetos y ratones</w:t>
      </w:r>
    </w:p>
    <w:p w14:paraId="6F1B4D48" w14:textId="77777777" w:rsidR="00924992" w:rsidRDefault="00924992">
      <w:pPr>
        <w:pStyle w:val="Bodytext20"/>
        <w:framePr w:w="3178" w:h="1325" w:wrap="none" w:hAnchor="page" w:x="4633" w:y="999"/>
      </w:pPr>
      <w:r>
        <w:t>Murciélagos, gatos, hurones, mofetas, zorros, perros</w:t>
      </w:r>
    </w:p>
    <w:p w14:paraId="0570C755" w14:textId="77777777" w:rsidR="00924992" w:rsidRDefault="00924992">
      <w:pPr>
        <w:pStyle w:val="Bodytext20"/>
        <w:framePr w:w="3874" w:h="1325" w:wrap="none" w:hAnchor="page" w:x="8046" w:y="999"/>
      </w:pPr>
      <w:r>
        <w:t>Inhalación de aerosoles de secreciones y excreta infectados Mordedura o exposición a secreciones</w:t>
      </w:r>
    </w:p>
    <w:p w14:paraId="529BCB3D" w14:textId="77777777" w:rsidR="00924992" w:rsidRDefault="00924992">
      <w:pPr>
        <w:pStyle w:val="Bodytext20"/>
        <w:framePr w:w="3874" w:h="1325" w:wrap="none" w:hAnchor="page" w:x="8046" w:y="999"/>
      </w:pPr>
      <w:r>
        <w:t>Contacto directo, inhalación de aerosoles, ingestión de alimentos contaminados</w:t>
      </w:r>
    </w:p>
    <w:p w14:paraId="3DD0C850" w14:textId="77777777" w:rsidR="00924992" w:rsidRDefault="00924992">
      <w:pPr>
        <w:pStyle w:val="Bodytext20"/>
        <w:framePr w:w="3874" w:h="1325" w:wrap="none" w:hAnchor="page" w:x="8046" w:y="999"/>
      </w:pPr>
      <w:r>
        <w:t>Mordeduras y contacto de heridas abiertas con materiales infectantes (como saliva)</w:t>
      </w:r>
    </w:p>
    <w:p w14:paraId="0DA18726" w14:textId="77777777" w:rsidR="00924992" w:rsidRDefault="00924992">
      <w:pPr>
        <w:pStyle w:val="Bodytext80"/>
        <w:framePr w:w="192" w:h="3936" w:hRule="exact" w:wrap="none" w:hAnchor="page" w:x="12390" w:y="35"/>
        <w:tabs>
          <w:tab w:val="left" w:pos="2923"/>
        </w:tabs>
        <w:textDirection w:val="tbRl"/>
      </w:pPr>
      <w:r>
        <w:rPr>
          <w:sz w:val="16"/>
          <w:szCs w:val="16"/>
        </w:rPr>
        <w:t>858</w:t>
      </w:r>
      <w:r>
        <w:rPr>
          <w:sz w:val="16"/>
          <w:szCs w:val="16"/>
        </w:rPr>
        <w:tab/>
      </w:r>
      <w:r>
        <w:t>APÉNDICE VIII</w:t>
      </w:r>
    </w:p>
    <w:p w14:paraId="08CA675E" w14:textId="77777777" w:rsidR="00924992" w:rsidRDefault="00924992">
      <w:pPr>
        <w:spacing w:line="360" w:lineRule="exact"/>
      </w:pPr>
    </w:p>
    <w:p w14:paraId="57EC3B37" w14:textId="77777777" w:rsidR="00924992" w:rsidRDefault="00924992">
      <w:pPr>
        <w:spacing w:line="360" w:lineRule="exact"/>
      </w:pPr>
    </w:p>
    <w:p w14:paraId="1CA8A46B" w14:textId="77777777" w:rsidR="00924992" w:rsidRDefault="00924992">
      <w:pPr>
        <w:spacing w:line="360" w:lineRule="exact"/>
      </w:pPr>
    </w:p>
    <w:p w14:paraId="0CB864E1" w14:textId="77777777" w:rsidR="00924992" w:rsidRDefault="00924992">
      <w:pPr>
        <w:spacing w:line="360" w:lineRule="exact"/>
      </w:pPr>
    </w:p>
    <w:p w14:paraId="1902D492" w14:textId="77777777" w:rsidR="00924992" w:rsidRDefault="00924992">
      <w:pPr>
        <w:spacing w:line="360" w:lineRule="exact"/>
      </w:pPr>
    </w:p>
    <w:p w14:paraId="1CA1ADCC" w14:textId="77777777" w:rsidR="00924992" w:rsidRDefault="00924992">
      <w:pPr>
        <w:spacing w:line="360" w:lineRule="exact"/>
      </w:pPr>
    </w:p>
    <w:p w14:paraId="01952CE7" w14:textId="77777777" w:rsidR="00924992" w:rsidRDefault="00924992">
      <w:pPr>
        <w:spacing w:line="360" w:lineRule="exact"/>
      </w:pPr>
    </w:p>
    <w:p w14:paraId="52E83976" w14:textId="77777777" w:rsidR="00924992" w:rsidRDefault="00924992">
      <w:pPr>
        <w:spacing w:line="360" w:lineRule="exact"/>
      </w:pPr>
    </w:p>
    <w:p w14:paraId="31F14FC4" w14:textId="77777777" w:rsidR="00924992" w:rsidRDefault="00924992">
      <w:pPr>
        <w:spacing w:line="360" w:lineRule="exact"/>
      </w:pPr>
    </w:p>
    <w:p w14:paraId="118DE6BA" w14:textId="77777777" w:rsidR="00924992" w:rsidRDefault="00924992">
      <w:pPr>
        <w:spacing w:line="360" w:lineRule="exact"/>
      </w:pPr>
    </w:p>
    <w:p w14:paraId="0BD91CDB" w14:textId="77777777" w:rsidR="00924992" w:rsidRDefault="00924992">
      <w:pPr>
        <w:spacing w:after="369" w:line="1" w:lineRule="exact"/>
      </w:pPr>
    </w:p>
    <w:p w14:paraId="2334A247" w14:textId="77777777" w:rsidR="00924992" w:rsidRDefault="00924992">
      <w:pPr>
        <w:spacing w:line="1" w:lineRule="exact"/>
        <w:sectPr w:rsidR="00924992" w:rsidSect="00924992">
          <w:headerReference w:type="even" r:id="rId532"/>
          <w:headerReference w:type="default" r:id="rId533"/>
          <w:footerReference w:type="even" r:id="rId534"/>
          <w:footerReference w:type="default" r:id="rId535"/>
          <w:footnotePr>
            <w:numFmt w:val="chicago"/>
          </w:footnotePr>
          <w:pgSz w:w="13022" w:h="8501" w:orient="landscape"/>
          <w:pgMar w:top="470" w:right="442" w:bottom="470" w:left="653" w:header="42" w:footer="42" w:gutter="0"/>
          <w:cols w:space="720"/>
          <w:noEndnote/>
          <w:docGrid w:linePitch="360"/>
          <w15:footnoteColumns w:val="1"/>
        </w:sectPr>
      </w:pPr>
    </w:p>
    <w:p w14:paraId="3542316B" w14:textId="77777777" w:rsidR="00924992" w:rsidRDefault="00924992">
      <w:pPr>
        <w:pStyle w:val="Bodytext100"/>
        <w:spacing w:after="140" w:line="197" w:lineRule="auto"/>
        <w:rPr>
          <w:sz w:val="34"/>
          <w:szCs w:val="34"/>
        </w:rPr>
      </w:pPr>
      <w:r>
        <w:rPr>
          <w:sz w:val="34"/>
          <w:szCs w:val="34"/>
        </w:rPr>
        <w:t>A</w:t>
      </w:r>
      <w:r>
        <w:t>péndice ix</w:t>
      </w:r>
      <w:r>
        <w:rPr>
          <w:sz w:val="34"/>
          <w:szCs w:val="34"/>
        </w:rPr>
        <w:t>.</w:t>
      </w:r>
    </w:p>
    <w:p w14:paraId="476EB57B" w14:textId="77777777" w:rsidR="00924992" w:rsidRDefault="00924992">
      <w:pPr>
        <w:pStyle w:val="Bodytext70"/>
        <w:spacing w:after="140" w:line="209" w:lineRule="auto"/>
        <w:jc w:val="center"/>
      </w:pPr>
      <w:r>
        <w:t>Enfermedades infecciosas de notificación nacional</w:t>
      </w:r>
      <w:r>
        <w:br/>
        <w:t>en Estados Unidos</w:t>
      </w:r>
    </w:p>
    <w:p w14:paraId="7D3500D4" w14:textId="77777777" w:rsidR="00924992" w:rsidRDefault="00924992">
      <w:pPr>
        <w:pStyle w:val="BodyText"/>
        <w:ind w:firstLine="0"/>
      </w:pPr>
      <w:r>
        <w:t xml:space="preserve">Los funcionarios de salud pública en los departamentos sanitarios estatales y los </w:t>
      </w:r>
      <w:r>
        <w:rPr>
          <w:rFonts w:ascii="Times New Roman" w:eastAsia="Times New Roman" w:hAnsi="Times New Roman" w:cs="Times New Roman"/>
          <w:i/>
          <w:iCs/>
          <w:sz w:val="16"/>
          <w:szCs w:val="16"/>
        </w:rPr>
        <w:t>Centers for Disease Control and Prevention (CDC)</w:t>
      </w:r>
      <w:r>
        <w:t xml:space="preserve"> en Estados Unidos colaboran para determinar las enfermedades que deben ser objeto de notificación a nivel nacional (véase cuadro “Enfermedades infecciosas clasificadas como notificables a nivel nacional-Estados Unidos, 2002”, en este apéndice). El </w:t>
      </w:r>
      <w:r>
        <w:rPr>
          <w:rFonts w:ascii="Times New Roman" w:eastAsia="Times New Roman" w:hAnsi="Times New Roman" w:cs="Times New Roman"/>
          <w:i/>
          <w:iCs/>
          <w:sz w:val="16"/>
          <w:szCs w:val="16"/>
        </w:rPr>
        <w:t>Council of State and Territorial Epidemiologists</w:t>
      </w:r>
      <w:r>
        <w:rPr>
          <w:i/>
          <w:iCs/>
        </w:rPr>
        <w:t>,</w:t>
      </w:r>
      <w:r>
        <w:t xml:space="preserve"> con orientación recibida de los CDC, cada año hace recomendaciones en cuanto a adiciones y supresiones de la lista de enfermedades notificables a nivel nacional. Se puede agregar a la lista una enfermedad cuando surge un nuevo patógeno, o bien se puede eliminar una enfermedad al disminuir su incidencia. Sin embargo, la notificación de enfermedades a nivel nacional a los CDC por parte de los estados de la Unión Norteamericana es voluntaria. Es obligatoria la notificación (por legislaciones o normas estatales) sólo por estados individuales. por lo tanto, la lista de enfermedades notificables varía un poco con cada estado de la Unión Americana. Hay que conocer las exigencias adicionales y específicas de los departamentos sanitarios estatales apropiados. En todos los estados generalmente se notifican enfermedades que son objeto de cuarentena a nivel internacional (como cólera, peste y fiebre amarilla) en cumplimiento con las Normas Sanitarias Internacionales de la Organización Mundial de la Salud.</w:t>
      </w:r>
    </w:p>
    <w:p w14:paraId="756DBA5A" w14:textId="77777777" w:rsidR="00924992" w:rsidRDefault="00924992">
      <w:pPr>
        <w:pStyle w:val="BodyText"/>
        <w:ind w:firstLine="360"/>
      </w:pPr>
      <w:r>
        <w:t>Cuando los profesionales asistenciales o médicos sospechan o diagnostican un caso de una enfermedad notificable en el estado en que ejercen, deben avisar su aparición por teléfono o por correo al departamento sanitario local, del condado o estatal. Los laboratorios clínicos también informan sobre resultados compatibles con la presencia de enfermedades notificables. Los miembros del personal de los departamentos sanitarios del condado o estatales emprenderán medidas para erradicar la enfermedad según se necesite. La notificación escrita se envía al departamento estatal de salud.</w:t>
      </w:r>
    </w:p>
    <w:p w14:paraId="0D92F9EC" w14:textId="77777777" w:rsidR="00924992" w:rsidRDefault="00924992">
      <w:pPr>
        <w:pStyle w:val="BodyText"/>
        <w:spacing w:after="140"/>
        <w:ind w:firstLine="360"/>
      </w:pPr>
      <w:r>
        <w:t xml:space="preserve">Los CDC en Estados Unidos actúan como un agente común para estados y territorios que reúne información y da a conocer las enfermedades notificables a nivel nacional. Los informes de la aparición de enfermedades de notificación nacional se transmiten a los CDC cada semana desde los 50 estados, dos ciudades (Washington, DC y Nueva York, NY) y cinco territorios (Samoa Americana, la Comunidad en las Islas Septentrionales de Mariana, Guam, Puerto Rico y las Islas Vírgenes). Se publican cada semana datos provisionales en el </w:t>
      </w:r>
      <w:r>
        <w:rPr>
          <w:rFonts w:ascii="Times New Roman" w:eastAsia="Times New Roman" w:hAnsi="Times New Roman" w:cs="Times New Roman"/>
          <w:i/>
          <w:iCs/>
          <w:sz w:val="16"/>
          <w:szCs w:val="16"/>
        </w:rPr>
        <w:t>Morbidity and Mortality Weekly Report</w:t>
      </w:r>
      <w:r>
        <w:rPr>
          <w:i/>
          <w:iCs/>
        </w:rPr>
        <w:t>;</w:t>
      </w:r>
      <w:r>
        <w:t xml:space="preserve"> los datos finales los publican cada año los CDC en el </w:t>
      </w:r>
      <w:r>
        <w:rPr>
          <w:rFonts w:ascii="Times New Roman" w:eastAsia="Times New Roman" w:hAnsi="Times New Roman" w:cs="Times New Roman"/>
          <w:i/>
          <w:iCs/>
          <w:sz w:val="16"/>
          <w:szCs w:val="16"/>
        </w:rPr>
        <w:t>“Summary of Notifiable Diseases, United States”</w:t>
      </w:r>
      <w:r>
        <w:rPr>
          <w:i/>
          <w:iCs/>
        </w:rPr>
        <w:t>.</w:t>
      </w:r>
      <w:r>
        <w:t xml:space="preserve"> Las fechas de los informes semanales provisionales aportan un dato que los CDC o los epidemiólogos estatales o locales usan para detectar e interrumpir con mayor eficacia los brotes. La notificación también aporta información oportuna necesaria para medir y demostrar el efecto de los cambios en las leyes de vacunación o en las nuevas modalidades terapéuticas. Los datos anuales finales también aportan información sobre la incidencia de una enfermedad notificada, necesaria para el estudio de tendencias epidemiológicas y la elaboración de normas para evitar el trastorno. Los CDC constituyen el único sitio de concentración de estos datos, utilizados ampliamente por escuelas de medicina y de salud pública, medios de comunicación y compañías farmacéuticas o de otro tipo que producen artículos vinculados con la salud, así como organizaciones sanitarias locales, estatales y federales y otras instituciones o personas que trabajan con las tendencias de enfermedades notificables en Estados Unidos.</w:t>
      </w:r>
    </w:p>
    <w:p w14:paraId="5A8A8383" w14:textId="77777777" w:rsidR="00924992" w:rsidRDefault="00924992">
      <w:pPr>
        <w:pStyle w:val="Bodytext100"/>
        <w:spacing w:after="140"/>
        <w:rPr>
          <w:sz w:val="34"/>
          <w:szCs w:val="34"/>
        </w:rPr>
      </w:pPr>
      <w:r>
        <w:rPr>
          <w:sz w:val="34"/>
          <w:szCs w:val="34"/>
        </w:rPr>
        <w:t>A</w:t>
      </w:r>
      <w:r>
        <w:t>péndice x</w:t>
      </w:r>
      <w:r>
        <w:rPr>
          <w:sz w:val="34"/>
          <w:szCs w:val="34"/>
        </w:rPr>
        <w:t>.</w:t>
      </w:r>
    </w:p>
    <w:p w14:paraId="0EE41BF3" w14:textId="77777777" w:rsidR="00924992" w:rsidRDefault="00924992">
      <w:pPr>
        <w:pStyle w:val="Bodytext70"/>
        <w:spacing w:after="140" w:line="209" w:lineRule="auto"/>
        <w:jc w:val="center"/>
      </w:pPr>
      <w:r>
        <w:t xml:space="preserve">Servicios de los </w:t>
      </w:r>
      <w:r>
        <w:rPr>
          <w:i/>
          <w:iCs/>
        </w:rPr>
        <w:t>Centers for Disease Control</w:t>
      </w:r>
      <w:r>
        <w:rPr>
          <w:i/>
          <w:iCs/>
        </w:rPr>
        <w:br/>
        <w:t>and Prevention</w:t>
      </w:r>
      <w:r>
        <w:t xml:space="preserve"> (CDC)</w:t>
      </w:r>
    </w:p>
    <w:p w14:paraId="6010E735" w14:textId="77777777" w:rsidR="00924992" w:rsidRDefault="00924992">
      <w:pPr>
        <w:pStyle w:val="BodyText"/>
        <w:ind w:firstLine="0"/>
      </w:pPr>
      <w:r>
        <w:t xml:space="preserve">Los </w:t>
      </w:r>
      <w:r>
        <w:rPr>
          <w:b/>
          <w:bCs/>
        </w:rPr>
        <w:t xml:space="preserve">Centers for Disease Control and Prevention </w:t>
      </w:r>
      <w:r>
        <w:t xml:space="preserve">(CDC), </w:t>
      </w:r>
      <w:r>
        <w:rPr>
          <w:rFonts w:ascii="Times New Roman" w:eastAsia="Times New Roman" w:hAnsi="Times New Roman" w:cs="Times New Roman"/>
          <w:i/>
          <w:iCs/>
          <w:sz w:val="16"/>
          <w:szCs w:val="16"/>
        </w:rPr>
        <w:t>US Public Health Service, Department of Health and Human Services</w:t>
      </w:r>
      <w:r>
        <w:t xml:space="preserve"> (Atlanta, GA) son la organización federal cuya tarea es proteger la salud pública de los habitantes de Estados Unidos al evitar enfermedades y otros cuadros discapacitantes. Los CDC administran programas nacionales para evitar y erradicar lo siguiente: 1) enfermedades infecciosas;</w:t>
      </w:r>
    </w:p>
    <w:p w14:paraId="0382C35C" w14:textId="77777777" w:rsidR="00924992" w:rsidRDefault="00924992">
      <w:pPr>
        <w:pStyle w:val="BodyText"/>
        <w:ind w:firstLine="0"/>
      </w:pPr>
      <w:r>
        <w:t>2) enfermedades evitables por vacunas; 3) enfermedades y lesiones ocupacionales; 4) enfermedades crónicas; 5) lesiones y enfermedades provenientes de factores ambientales, y 6) defectos congénitos y discapacidades del desarrollo. Los CDC también brindan consultas a otras naciones y participan con organizaciones internacionales en la erradicación de enfermedades prevenibles. Además, los CDC dirigen y practican actividades y normas de cuarentena de extranjeros, y también ofrecen consultas y asistencia para mejorar los resultados y las tareas de los laboratorios clínicos.</w:t>
      </w:r>
    </w:p>
    <w:p w14:paraId="4A8D5180" w14:textId="77777777" w:rsidR="00924992" w:rsidRDefault="00924992">
      <w:pPr>
        <w:pStyle w:val="BodyText"/>
        <w:ind w:firstLine="360"/>
      </w:pPr>
      <w:r>
        <w:t>Los CDC se ocupan de servicios vinculados con el tratamiento y erradicación de enfermedades infecciosas. A pesar de que este organismo es más bien un recurso para los departamentos sanitarios estatales y locales, también aporta servicios directos e indirectos a hospitales y profesionales médicos y asistenciales en su práctica. Los servicios incluyen el diagnóstico de laboratorios especializados y la consulta epidemiológica, ambos casi siempre a través de departamentos sanitarios estatales.</w:t>
      </w:r>
    </w:p>
    <w:p w14:paraId="2A7C745E" w14:textId="77777777" w:rsidR="00924992" w:rsidRDefault="00924992">
      <w:pPr>
        <w:pStyle w:val="BodyText"/>
        <w:ind w:firstLine="360"/>
      </w:pPr>
      <w:r>
        <w:t xml:space="preserve">El </w:t>
      </w:r>
      <w:r>
        <w:rPr>
          <w:rFonts w:ascii="Times New Roman" w:eastAsia="Times New Roman" w:hAnsi="Times New Roman" w:cs="Times New Roman"/>
          <w:i/>
          <w:iCs/>
          <w:sz w:val="16"/>
          <w:szCs w:val="16"/>
        </w:rPr>
        <w:t>Drug Service</w:t>
      </w:r>
      <w:r>
        <w:t xml:space="preserve"> de los CDC aporta algunos medicamentos profilácticos o terapéuticos específicos y agentes biológicos. Entre los productos inmunobiológicos específicos que se pueden obtener de dicha institución están la antitoxina equina botulínica (trivalente, ABE), el concentrado inmunoglobulínico de Vaccinia </w:t>
      </w:r>
      <w:r>
        <w:rPr>
          <w:i/>
          <w:iCs/>
        </w:rPr>
        <w:t>(</w:t>
      </w:r>
      <w:r>
        <w:rPr>
          <w:rFonts w:ascii="Times New Roman" w:eastAsia="Times New Roman" w:hAnsi="Times New Roman" w:cs="Times New Roman"/>
          <w:i/>
          <w:iCs/>
          <w:sz w:val="16"/>
          <w:szCs w:val="16"/>
        </w:rPr>
        <w:t>Vaccinia immune globulin</w:t>
      </w:r>
      <w:r>
        <w:t>, ViG), el toxoide botulínico pentavalente y la vacuna contra la vacuna (vaccinia). Además, es posible obtener algunos medicamentos para tratar parasitosis, y que que no han sido aprobados para utilizar en Estados Unidos, dentro de la esfera de fármacos nuevos en investigación. Los antiparasitarios en cuestión incluyen bitionol, dehidroemetina, citrato de dietilcarbamazina, melarsoprol, nifurtimox, estibogluconato sódico y suramina.</w:t>
      </w:r>
    </w:p>
    <w:p w14:paraId="0388FDF6" w14:textId="77777777" w:rsidR="00924992" w:rsidRDefault="00924992">
      <w:pPr>
        <w:pStyle w:val="BodyText"/>
        <w:spacing w:after="140"/>
        <w:ind w:firstLine="360"/>
        <w:sectPr w:rsidR="00924992" w:rsidSect="00924992">
          <w:headerReference w:type="even" r:id="rId536"/>
          <w:headerReference w:type="default" r:id="rId537"/>
          <w:footerReference w:type="even" r:id="rId538"/>
          <w:footerReference w:type="default" r:id="rId539"/>
          <w:footnotePr>
            <w:numFmt w:val="chicago"/>
          </w:footnotePr>
          <w:pgSz w:w="8501" w:h="13022"/>
          <w:pgMar w:top="1037" w:right="829" w:bottom="533" w:left="803" w:header="0" w:footer="3" w:gutter="0"/>
          <w:pgNumType w:start="859"/>
          <w:cols w:space="720"/>
          <w:noEndnote/>
          <w:docGrid w:linePitch="360"/>
          <w15:footnoteColumns w:val="1"/>
        </w:sectPr>
      </w:pPr>
      <w:r>
        <w:t xml:space="preserve">Las solicitudes de productos biológicos, antiparasitarios y la información afín deben dirigirse a </w:t>
      </w:r>
      <w:r>
        <w:rPr>
          <w:rFonts w:ascii="Times New Roman" w:eastAsia="Times New Roman" w:hAnsi="Times New Roman" w:cs="Times New Roman"/>
          <w:i/>
          <w:iCs/>
          <w:sz w:val="16"/>
          <w:szCs w:val="16"/>
        </w:rPr>
        <w:t>CDC Drug Service</w:t>
      </w:r>
      <w:r>
        <w:t xml:space="preserve"> (véase apéndice I, “Directorio de recursos”).</w:t>
      </w:r>
    </w:p>
    <w:p w14:paraId="3983889B" w14:textId="77777777" w:rsidR="00924992" w:rsidRDefault="00924992">
      <w:pPr>
        <w:pStyle w:val="Footnote0"/>
        <w:spacing w:line="252" w:lineRule="auto"/>
        <w:ind w:left="180" w:hanging="180"/>
        <w:jc w:val="both"/>
      </w:pPr>
      <w:r>
        <w:t xml:space="preserve">* Calendarios para poner al día e intervalos mínimos entre las dosis en niños que tienen retraso en sus vacunaciones. No hay necesidad de comenzar de nuevo toda una serie de vacunas, sea cual sea el lapso que ha transcurrido entre las aplicaciones. Utilizar el esquema adecuado para la edad del niño. Si se desea más información sobre vacunas, incluidas precauciones, contraindicaciones y escasez de ellas, visitar la página Web National Immunization Program </w:t>
      </w:r>
      <w:hyperlink r:id="rId540" w:history="1">
        <w:r>
          <w:t>www.cdc.gov/nip</w:t>
        </w:r>
      </w:hyperlink>
      <w:r>
        <w:t xml:space="preserve"> o llamar al número telefónico directo de </w:t>
      </w:r>
      <w:r>
        <w:rPr>
          <w:i/>
          <w:iCs/>
        </w:rPr>
        <w:t>National Immunization Information</w:t>
      </w:r>
      <w:r>
        <w:t xml:space="preserve"> 800-232-2522 (habla inglesa) u 800-232-0233 (habla española). Señalar las reacciones adversas a las vacunas, al </w:t>
      </w:r>
      <w:r>
        <w:rPr>
          <w:i/>
          <w:iCs/>
        </w:rPr>
        <w:t xml:space="preserve">Vaccine Adverse Event Reporting System. </w:t>
      </w:r>
      <w:r>
        <w:t xml:space="preserve">Para información en la. notificación de reacciones después de vacunación, visitar la. página, </w:t>
      </w:r>
      <w:hyperlink r:id="rId541" w:history="1">
        <w:r>
          <w:t>www.vaers.org</w:t>
        </w:r>
      </w:hyperlink>
      <w:r>
        <w:t xml:space="preserve"> o llamar a. la. línea, gratuita, de información a. nivel nacional que funciona las 24 h, 800-822-7967. Notificar casos sospechosos de enfermedades prevenibles con vacunas a los departamentos sanitarios estatal y local.</w:t>
      </w:r>
    </w:p>
    <w:p w14:paraId="061C6BAB" w14:textId="77777777" w:rsidR="00924992" w:rsidRDefault="00924992">
      <w:pPr>
        <w:pStyle w:val="Footnote0"/>
        <w:numPr>
          <w:ilvl w:val="0"/>
          <w:numId w:val="1"/>
        </w:numPr>
        <w:tabs>
          <w:tab w:val="left" w:pos="158"/>
        </w:tabs>
        <w:spacing w:line="329" w:lineRule="auto"/>
        <w:ind w:left="180" w:hanging="180"/>
        <w:jc w:val="both"/>
      </w:pPr>
      <w:r>
        <w:t xml:space="preserve">Toxoides de difteria y tétanos y vacuna acelular de tos ferina </w:t>
      </w:r>
      <w:r>
        <w:rPr>
          <w:i/>
          <w:iCs/>
        </w:rPr>
        <w:t>(diphtheria and tetanus toxoids and acellular pertussis,</w:t>
      </w:r>
      <w:r>
        <w:t xml:space="preserve"> DTaP). No es necesaria la quinta dosis si se administró la cuarta poco después de cumplir cuatro años el niño.</w:t>
      </w:r>
    </w:p>
    <w:p w14:paraId="0B5B2BEF" w14:textId="77777777" w:rsidR="00924992" w:rsidRDefault="00924992">
      <w:pPr>
        <w:pStyle w:val="Footnote0"/>
        <w:numPr>
          <w:ilvl w:val="0"/>
          <w:numId w:val="1"/>
        </w:numPr>
        <w:tabs>
          <w:tab w:val="left" w:pos="158"/>
        </w:tabs>
        <w:spacing w:line="298" w:lineRule="auto"/>
        <w:ind w:left="180" w:hanging="180"/>
        <w:jc w:val="both"/>
      </w:pPr>
      <w:r>
        <w:t>Vacuna de virus poliomielitico inactivado (inactivated poliovirus, IPV): En el caso de niños que recibieron series de OPV o IPV exclusivamente, no se necesita una cuarta dosis si la tercera se administró a los cuatro años de vida o más. Si como parte de la serie se administraron los dos tipos de vacuna, habrá que aplicar un total de cuatro dosis sea cual sea la edad del niño en el momento en que se le atiende.</w:t>
      </w:r>
    </w:p>
    <w:p w14:paraId="43B114C4" w14:textId="77777777" w:rsidR="00924992" w:rsidRDefault="00924992">
      <w:pPr>
        <w:pStyle w:val="Footnote0"/>
        <w:spacing w:line="266" w:lineRule="auto"/>
      </w:pPr>
      <w:r>
        <w:t xml:space="preserve">* Centers for Disease Control and Prevention. US Public Health Service Task Force recommendations for use of antiretroviral drugs in pregnant HIV-1 infected women for maternal health and for interventions to reduce perinatal HIV-1 transmission in the United States. </w:t>
      </w:r>
      <w:r>
        <w:rPr>
          <w:i/>
          <w:iCs/>
        </w:rPr>
        <w:t>MMWR Morb Mortal Wkly Rep.</w:t>
      </w:r>
      <w:r>
        <w:t xml:space="preserve"> 2002;51(RR-18):1-38. Consultar </w:t>
      </w:r>
      <w:hyperlink r:id="rId542" w:history="1">
        <w:r>
          <w:t>www.aidsinfo.nih.gov</w:t>
        </w:r>
      </w:hyperlink>
      <w:r>
        <w:t xml:space="preserve"> respecto a actualizaciones periódicas.</w:t>
      </w:r>
    </w:p>
    <w:p w14:paraId="7B766BBB" w14:textId="77777777" w:rsidR="00924992" w:rsidRDefault="00924992">
      <w:pPr>
        <w:pStyle w:val="Footnote0"/>
        <w:ind w:firstLine="240"/>
      </w:pPr>
      <w:r>
        <w:t xml:space="preserve">RIG, concentrado inmunoglobulínico antirrábico </w:t>
      </w:r>
      <w:r>
        <w:rPr>
          <w:i/>
          <w:iCs/>
        </w:rPr>
        <w:t>(rabiesimmune globulin).</w:t>
      </w:r>
    </w:p>
    <w:p w14:paraId="090FDE8C" w14:textId="77777777" w:rsidR="00924992" w:rsidRDefault="00924992">
      <w:pPr>
        <w:pStyle w:val="Footnote0"/>
        <w:tabs>
          <w:tab w:val="left" w:pos="168"/>
        </w:tabs>
        <w:ind w:left="240" w:hanging="240"/>
      </w:pPr>
      <w:r>
        <w:rPr>
          <w:sz w:val="8"/>
          <w:szCs w:val="8"/>
          <w:vertAlign w:val="superscript"/>
        </w:rPr>
        <w:t>1</w:t>
      </w:r>
      <w:r>
        <w:rPr>
          <w:sz w:val="8"/>
          <w:szCs w:val="8"/>
        </w:rPr>
        <w:tab/>
      </w:r>
      <w:r>
        <w:t>En el periodo de retención de 10 días, al aparecer el primer signo de rabia en el perro, el gato o el hurón agresor habrá que emprender la administración de RIG (humana) y la vacuna. Habrá que sacrificar sin dolor al animal inmediatamente y someterlo a estudio.</w:t>
      </w:r>
    </w:p>
    <w:p w14:paraId="40D94CD8" w14:textId="77777777" w:rsidR="00924992" w:rsidRDefault="00924992">
      <w:pPr>
        <w:pStyle w:val="Footnote0"/>
        <w:tabs>
          <w:tab w:val="left" w:pos="178"/>
        </w:tabs>
        <w:ind w:left="240" w:hanging="240"/>
      </w:pPr>
      <w:r>
        <w:rPr>
          <w:sz w:val="8"/>
          <w:szCs w:val="8"/>
          <w:vertAlign w:val="superscript"/>
        </w:rPr>
        <w:t>2</w:t>
      </w:r>
      <w:r>
        <w:rPr>
          <w:sz w:val="8"/>
          <w:szCs w:val="8"/>
        </w:rPr>
        <w:tab/>
      </w:r>
      <w:r>
        <w:t>Habrá que sacrificar sin dolor al animal y someterlo a estudio a la mayor brevedad posible. No se recomienda retenerlo para observación. La vacunación se interrumpe si los resultados de estudios con inmunofluorescencia del animal son negativos.</w:t>
      </w:r>
    </w:p>
    <w:p w14:paraId="6B65C5D8" w14:textId="77777777" w:rsidR="00924992" w:rsidRDefault="00924992">
      <w:pPr>
        <w:pStyle w:val="Footnote0"/>
        <w:tabs>
          <w:tab w:val="left" w:pos="173"/>
        </w:tabs>
        <w:spacing w:after="440" w:line="470" w:lineRule="auto"/>
      </w:pPr>
      <w:r>
        <w:rPr>
          <w:sz w:val="8"/>
          <w:szCs w:val="8"/>
          <w:vertAlign w:val="superscript"/>
        </w:rPr>
        <w:t>3</w:t>
      </w:r>
      <w:r>
        <w:rPr>
          <w:sz w:val="8"/>
          <w:szCs w:val="8"/>
        </w:rPr>
        <w:tab/>
      </w:r>
      <w:r>
        <w:t>Consultar el texto.</w:t>
      </w:r>
    </w:p>
    <w:p w14:paraId="3A63E555" w14:textId="77777777" w:rsidR="00924992" w:rsidRDefault="00924992">
      <w:pPr>
        <w:pStyle w:val="Footnote0"/>
        <w:spacing w:line="269" w:lineRule="auto"/>
        <w:rPr>
          <w:sz w:val="19"/>
          <w:szCs w:val="19"/>
        </w:rPr>
      </w:pPr>
      <w:r>
        <w:rPr>
          <w:rFonts w:ascii="Garamond" w:eastAsia="Garamond" w:hAnsi="Garamond" w:cs="Garamond"/>
          <w:sz w:val="19"/>
          <w:szCs w:val="19"/>
        </w:rPr>
        <w:t>encefálico) de un animal rabioso. La lesión causada por la mordedura o el arañazo de un murciélago puede ser pequeña y quizá no evidente, o las circunstancias del contacto quizá impidan el recuerdo o memoria precisa de ella (p. ej., el murciélago en una estancia de una persona que duerme o un niño que está solo), por lo que está indicada la profilaxia en situaciones en que existe físicamente el murciélago si es imposible descartar con certeza la mordedura o la exposición en una membrana mucosa, salvo que las pruebas adecuadas hechas en el animal hayan permitido descartar una infección por virus de rabia. Habrá que emprender siempre la profilaxia a la mayor brevedad posible después de las mordeduras de animales rabiosos, confirmados o sospechosos.</w:t>
      </w:r>
    </w:p>
    <w:p w14:paraId="2561BD14" w14:textId="77777777" w:rsidR="00924992" w:rsidRDefault="00924992">
      <w:pPr>
        <w:pStyle w:val="Footnote0"/>
        <w:spacing w:line="269" w:lineRule="auto"/>
        <w:ind w:firstLine="360"/>
        <w:rPr>
          <w:sz w:val="19"/>
          <w:szCs w:val="19"/>
        </w:rPr>
      </w:pPr>
      <w:r>
        <w:rPr>
          <w:rFonts w:ascii="Garamond" w:eastAsia="Garamond" w:hAnsi="Garamond" w:cs="Garamond"/>
          <w:sz w:val="19"/>
          <w:szCs w:val="19"/>
        </w:rPr>
        <w:t>La profilaxia después de exposición también se recomienda en personas que señalan una posible exposición infectante (como sería mordedura, arañazo o herida abierta o contaminación de membranas mucosas con saliva u otro material infectante) de un ser humano con rabia. Sin embargo, no se ha corroborado en Estados Unidos que la exposición a dicho tipo de enfermos sea una forma de transmisión de la rabia, excepto después del transplante de córnea de donantes que fallecieron de encefalitis rábica no</w:t>
      </w:r>
    </w:p>
    <w:p w14:paraId="319F81E2" w14:textId="77777777" w:rsidR="00924992" w:rsidRDefault="00924992">
      <w:pPr>
        <w:pStyle w:val="Footnote0"/>
        <w:spacing w:line="266" w:lineRule="auto"/>
      </w:pPr>
      <w:r>
        <w:t xml:space="preserve">* Centers for Disease Control and Prevention. Prevention of perinatal group B streptococcal disease. Revised guidelines from CDC. </w:t>
      </w:r>
      <w:r>
        <w:rPr>
          <w:i/>
          <w:iCs/>
        </w:rPr>
        <w:t>MMWR Recomm Rep.</w:t>
      </w:r>
      <w:r>
        <w:t xml:space="preserve"> 2002;51(RR-11):1-22.</w:t>
      </w:r>
    </w:p>
    <w:p w14:paraId="4F4677DE" w14:textId="77777777" w:rsidR="00924992" w:rsidRDefault="00924992">
      <w:pPr>
        <w:pStyle w:val="Footnote0"/>
        <w:tabs>
          <w:tab w:val="left" w:pos="374"/>
        </w:tabs>
        <w:ind w:left="380" w:hanging="380"/>
      </w:pPr>
      <w:r>
        <w:rPr>
          <w:color w:val="000000"/>
        </w:rPr>
        <w:t>77.</w:t>
      </w:r>
      <w:r>
        <w:rPr>
          <w:color w:val="000000"/>
        </w:rPr>
        <w:tab/>
        <w:t xml:space="preserve">La dosis para niños no ha recibido aprobación de la FDA y el fármaco no ha sido aprobado para usar durante el embarazo; sin embargo, según informes es inocuo para uso profiláctico durante el segundo o tercer trimestres del embarazo y tal vez durante los comienzos del embarazo. (CDC Health Information for International Travel, 2001-2002, pág. 113; BL Smoak et al, </w:t>
      </w:r>
      <w:r>
        <w:rPr>
          <w:i/>
          <w:iCs/>
          <w:color w:val="000000"/>
        </w:rPr>
        <w:t>J Infect Dis</w:t>
      </w:r>
      <w:r>
        <w:rPr>
          <w:color w:val="000000"/>
        </w:rPr>
        <w:t xml:space="preserve"> 1997; 176:831). No se recomienda usar mefloquina en personas con anormalidades de la conducción cardiaca ni en sujetos con antecedente de convulsiones o trastornos psiquiátricos </w:t>
      </w:r>
      <w:r>
        <w:rPr>
          <w:i/>
          <w:iCs/>
          <w:color w:val="000000"/>
        </w:rPr>
        <w:t>(Medical Letter,</w:t>
      </w:r>
      <w:r>
        <w:rPr>
          <w:color w:val="000000"/>
        </w:rPr>
        <w:t xml:space="preserve"> 1990; 32:13). En algunas áreas como Tailandia se ha señalado resistencia a la mefloquina; en dichas regiones habrá que utilizar doxiciclina en la profilaxia. Se ha utilizado la combinación de proguanil y sulfisoxazol en niños menores de ocho años (KN Suh and JS Keystone, </w:t>
      </w:r>
      <w:r>
        <w:rPr>
          <w:i/>
          <w:iCs/>
          <w:color w:val="000000"/>
        </w:rPr>
        <w:t>Infect Dis Clin Pract</w:t>
      </w:r>
      <w:r>
        <w:rPr>
          <w:color w:val="000000"/>
        </w:rPr>
        <w:t xml:space="preserve"> 1996; 5:541).</w:t>
      </w:r>
    </w:p>
    <w:p w14:paraId="5D716566" w14:textId="77777777" w:rsidR="00924992" w:rsidRDefault="00924992">
      <w:pPr>
        <w:pStyle w:val="Footnote0"/>
        <w:tabs>
          <w:tab w:val="left" w:pos="374"/>
        </w:tabs>
        <w:ind w:left="380" w:hanging="380"/>
      </w:pPr>
      <w:r>
        <w:rPr>
          <w:color w:val="000000"/>
        </w:rPr>
        <w:t>78.</w:t>
      </w:r>
      <w:r>
        <w:rPr>
          <w:color w:val="000000"/>
        </w:rPr>
        <w:tab/>
        <w:t>Comenzar uno a dos días antes del viaje y continuar el tiempo de permanencia en la zona y durante cuatro semanas después de abandonarla. El empleo de tetraciclinas está contraindicado en embarazadas y en niños menores de ocho años. La doxiciclina origina perturbaciones gastrointestinales, moniliasis vaginal y reacciones de fotosensibilidad.</w:t>
      </w:r>
    </w:p>
    <w:p w14:paraId="624BED84" w14:textId="77777777" w:rsidR="00924992" w:rsidRDefault="00924992">
      <w:pPr>
        <w:pStyle w:val="Footnote0"/>
        <w:tabs>
          <w:tab w:val="left" w:pos="374"/>
        </w:tabs>
        <w:jc w:val="both"/>
      </w:pPr>
      <w:r>
        <w:rPr>
          <w:color w:val="000000"/>
          <w:shd w:val="clear" w:color="auto" w:fill="FFFFFF"/>
        </w:rPr>
        <w:t>79.</w:t>
      </w:r>
      <w:r>
        <w:rPr>
          <w:color w:val="000000"/>
          <w:shd w:val="clear" w:color="auto" w:fill="FFFFFF"/>
        </w:rPr>
        <w:tab/>
        <w:t xml:space="preserve">GE Shanks et al, </w:t>
      </w:r>
      <w:r>
        <w:rPr>
          <w:i/>
          <w:iCs/>
          <w:color w:val="000000"/>
          <w:shd w:val="clear" w:color="auto" w:fill="FFFFFF"/>
        </w:rPr>
        <w:t>Clin Infect Dis</w:t>
      </w:r>
      <w:r>
        <w:rPr>
          <w:color w:val="000000"/>
          <w:shd w:val="clear" w:color="auto" w:fill="FFFFFF"/>
        </w:rPr>
        <w:t xml:space="preserve"> 1998; 27:494; B Lell et al, </w:t>
      </w:r>
      <w:r>
        <w:rPr>
          <w:i/>
          <w:iCs/>
          <w:color w:val="000000"/>
          <w:shd w:val="clear" w:color="auto" w:fill="FFFFFF"/>
        </w:rPr>
        <w:t>Lancet</w:t>
      </w:r>
      <w:r>
        <w:rPr>
          <w:color w:val="000000"/>
          <w:shd w:val="clear" w:color="auto" w:fill="FFFFFF"/>
        </w:rPr>
        <w:t xml:space="preserve"> 1998; 351:709. Comenzar uno o dos días antes del viaje y continuar el tiempo de permanencia y durante</w:t>
      </w:r>
    </w:p>
    <w:p w14:paraId="15E3DDA3" w14:textId="77777777" w:rsidR="00924992" w:rsidRDefault="00924992">
      <w:pPr>
        <w:pStyle w:val="Footnote0"/>
        <w:tabs>
          <w:tab w:val="left" w:pos="754"/>
        </w:tabs>
        <w:ind w:firstLine="380"/>
        <w:jc w:val="both"/>
      </w:pPr>
      <w:r>
        <w:rPr>
          <w:color w:val="000000"/>
          <w:shd w:val="clear" w:color="auto" w:fill="FFFFFF"/>
        </w:rPr>
        <w:t>una semana después de salir de la zona. En un estudio de profilaxia del paludismo, atovacuona-proguanil fue mejor tolerada que mefloquina en viajeros no inmunes (D</w:t>
      </w:r>
    </w:p>
    <w:p w14:paraId="61BA7348" w14:textId="77777777" w:rsidR="00924992" w:rsidRDefault="00924992">
      <w:pPr>
        <w:pStyle w:val="Footnote0"/>
        <w:tabs>
          <w:tab w:val="left" w:pos="754"/>
        </w:tabs>
        <w:ind w:firstLine="380"/>
        <w:jc w:val="both"/>
      </w:pPr>
      <w:r>
        <w:rPr>
          <w:color w:val="000000"/>
        </w:rPr>
        <w:t xml:space="preserve">Overbosch et al, </w:t>
      </w:r>
      <w:r>
        <w:rPr>
          <w:i/>
          <w:iCs/>
          <w:color w:val="000000"/>
        </w:rPr>
        <w:t>Clin Infect Dis</w:t>
      </w:r>
      <w:r>
        <w:rPr>
          <w:color w:val="000000"/>
        </w:rPr>
        <w:t xml:space="preserve"> 2001; 33:1015).</w:t>
      </w:r>
    </w:p>
    <w:p w14:paraId="48E56C6B" w14:textId="77777777" w:rsidR="00924992" w:rsidRDefault="00924992">
      <w:pPr>
        <w:pStyle w:val="Footnote0"/>
        <w:spacing w:line="266" w:lineRule="auto"/>
      </w:pPr>
      <w:r>
        <w:t xml:space="preserve">* Centers for Disease Control and Prevention. Guidelines for preventing opportunistic infections among HIV-infected persons-2002. Recommendations of the US Public Health Service and the Infectious Diseases Society of America. </w:t>
      </w:r>
      <w:r>
        <w:rPr>
          <w:i/>
          <w:iCs/>
        </w:rPr>
        <w:t>MMWR Recomm Rep.</w:t>
      </w:r>
      <w:r>
        <w:t xml:space="preserve"> 2002;51(RR-8):1-46.</w:t>
      </w:r>
    </w:p>
    <w:p w14:paraId="1F37A3A2" w14:textId="77777777" w:rsidR="00C31EB8" w:rsidRDefault="00C31EB8"/>
    <w:sectPr w:rsidR="00C31EB8">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C2FD090" w14:textId="77777777" w:rsidR="0073773F" w:rsidRDefault="0073773F" w:rsidP="00924992">
      <w:pPr>
        <w:spacing w:after="0" w:line="240" w:lineRule="auto"/>
      </w:pPr>
      <w:r>
        <w:separator/>
      </w:r>
    </w:p>
  </w:endnote>
  <w:endnote w:type="continuationSeparator" w:id="0">
    <w:p w14:paraId="63E5AE9A" w14:textId="77777777" w:rsidR="0073773F" w:rsidRDefault="0073773F" w:rsidP="0092499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Garamond">
    <w:panose1 w:val="020204040303010108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Book Antiqua">
    <w:panose1 w:val="02040602050305030304"/>
    <w:charset w:val="00"/>
    <w:family w:val="roman"/>
    <w:pitch w:val="variable"/>
    <w:sig w:usb0="00000287" w:usb1="00000000" w:usb2="00000000" w:usb3="00000000" w:csb0="0000009F" w:csb1="00000000"/>
  </w:font>
  <w:font w:name="Courier New">
    <w:panose1 w:val="02070309020205020404"/>
    <w:charset w:val="00"/>
    <w:family w:val="modern"/>
    <w:pitch w:val="fixed"/>
    <w:sig w:usb0="E0002E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28A200" w14:textId="77777777" w:rsidR="00924992" w:rsidRDefault="00924992">
    <w:pPr>
      <w:spacing w:line="1" w:lineRule="exact"/>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AF0660" w14:textId="77777777" w:rsidR="00924992" w:rsidRDefault="00924992">
    <w:pPr>
      <w:spacing w:line="1" w:lineRule="exact"/>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8C01E0" w14:textId="77777777" w:rsidR="00924992" w:rsidRDefault="00924992">
    <w:pPr>
      <w:spacing w:line="1" w:lineRule="exact"/>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2756FE" w14:textId="77777777" w:rsidR="00924992" w:rsidRDefault="00924992"/>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8D3F24" w14:textId="77777777" w:rsidR="00924992" w:rsidRDefault="00924992"/>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09DE7A" w14:textId="77777777" w:rsidR="00924992" w:rsidRDefault="00924992">
    <w:pPr>
      <w:spacing w:line="1" w:lineRule="exact"/>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E3434C" w14:textId="77777777" w:rsidR="00924992" w:rsidRDefault="00924992">
    <w:pPr>
      <w:spacing w:line="1" w:lineRule="exact"/>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9FC5F1" w14:textId="77777777" w:rsidR="00924992" w:rsidRDefault="00924992">
    <w:pPr>
      <w:spacing w:line="1" w:lineRule="exact"/>
    </w:pP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86895D" w14:textId="77777777" w:rsidR="00924992" w:rsidRDefault="00924992">
    <w:pPr>
      <w:spacing w:line="1" w:lineRule="exact"/>
    </w:pP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CF672C" w14:textId="77777777" w:rsidR="00924992" w:rsidRDefault="00924992">
    <w:pPr>
      <w:spacing w:line="1" w:lineRule="exact"/>
    </w:pP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A742AA" w14:textId="77777777" w:rsidR="00924992" w:rsidRDefault="00924992"/>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A37AFC" w14:textId="77777777" w:rsidR="00924992" w:rsidRDefault="00924992"/>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D845B1" w14:textId="77777777" w:rsidR="00924992" w:rsidRDefault="00924992">
    <w:pPr>
      <w:spacing w:line="1" w:lineRule="exact"/>
    </w:pPr>
  </w:p>
</w:ftr>
</file>

<file path=word/footer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111034" w14:textId="77777777" w:rsidR="00924992" w:rsidRDefault="00924992">
    <w:pPr>
      <w:spacing w:line="1" w:lineRule="exact"/>
    </w:pPr>
  </w:p>
</w:ftr>
</file>

<file path=word/footer1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5F65D5" w14:textId="77777777" w:rsidR="00924992" w:rsidRDefault="00924992">
    <w:pPr>
      <w:spacing w:line="1" w:lineRule="exact"/>
    </w:pPr>
  </w:p>
</w:ftr>
</file>

<file path=word/footer1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C817D2" w14:textId="77777777" w:rsidR="00924992" w:rsidRDefault="00924992"/>
</w:ftr>
</file>

<file path=word/footer1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D41802" w14:textId="77777777" w:rsidR="00924992" w:rsidRDefault="00924992"/>
</w:ftr>
</file>

<file path=word/footer1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DDE158" w14:textId="77777777" w:rsidR="00924992" w:rsidRDefault="00924992">
    <w:pPr>
      <w:spacing w:line="1" w:lineRule="exact"/>
    </w:pPr>
  </w:p>
</w:ftr>
</file>

<file path=word/footer1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8036E7" w14:textId="77777777" w:rsidR="00924992" w:rsidRDefault="00924992">
    <w:pPr>
      <w:spacing w:line="1" w:lineRule="exact"/>
    </w:pPr>
  </w:p>
</w:ftr>
</file>

<file path=word/footer2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FC408A" w14:textId="77777777" w:rsidR="00924992" w:rsidRDefault="00924992">
    <w:pPr>
      <w:spacing w:line="1" w:lineRule="exact"/>
    </w:pPr>
  </w:p>
</w:ftr>
</file>

<file path=word/footer2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9978C9" w14:textId="77777777" w:rsidR="00924992" w:rsidRDefault="00924992"/>
</w:ftr>
</file>

<file path=word/footer2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66DF7D" w14:textId="77777777" w:rsidR="00924992" w:rsidRDefault="00924992"/>
</w:ftr>
</file>

<file path=word/footer2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F84F45" w14:textId="77777777" w:rsidR="00924992" w:rsidRDefault="00924992">
    <w:pPr>
      <w:spacing w:line="1" w:lineRule="exact"/>
    </w:pPr>
  </w:p>
</w:ftr>
</file>

<file path=word/footer2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7C1838" w14:textId="77777777" w:rsidR="00924992" w:rsidRDefault="00924992">
    <w:pPr>
      <w:spacing w:line="1" w:lineRule="exact"/>
    </w:pPr>
  </w:p>
</w:ftr>
</file>

<file path=word/footer2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62373D" w14:textId="77777777" w:rsidR="00924992" w:rsidRDefault="00924992">
    <w:pPr>
      <w:spacing w:line="1" w:lineRule="exact"/>
    </w:pPr>
  </w:p>
</w:ftr>
</file>

<file path=word/footer2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981D3B" w14:textId="77777777" w:rsidR="00924992" w:rsidRDefault="00924992">
    <w:pPr>
      <w:spacing w:line="1" w:lineRule="exact"/>
    </w:pPr>
  </w:p>
</w:ftr>
</file>

<file path=word/footer2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F94B73" w14:textId="77777777" w:rsidR="00924992" w:rsidRDefault="00924992">
    <w:pPr>
      <w:spacing w:line="1" w:lineRule="exact"/>
    </w:pPr>
  </w:p>
</w:ftr>
</file>

<file path=word/footer2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A85FA9" w14:textId="77777777" w:rsidR="00924992" w:rsidRDefault="00924992">
    <w:pPr>
      <w:spacing w:line="1" w:lineRule="exact"/>
    </w:pPr>
  </w:p>
</w:ftr>
</file>

<file path=word/footer2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AB37E8" w14:textId="77777777" w:rsidR="00924992" w:rsidRDefault="00924992">
    <w:pPr>
      <w:spacing w:line="1" w:lineRule="exact"/>
    </w:pPr>
  </w:p>
</w:ftr>
</file>

<file path=word/footer3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CC5590" w14:textId="77777777" w:rsidR="00924992" w:rsidRDefault="00924992">
    <w:pPr>
      <w:spacing w:line="1" w:lineRule="exact"/>
    </w:pPr>
  </w:p>
</w:ftr>
</file>

<file path=word/footer3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E874E3" w14:textId="77777777" w:rsidR="00924992" w:rsidRDefault="00924992">
    <w:pPr>
      <w:spacing w:line="1" w:lineRule="exact"/>
    </w:pPr>
  </w:p>
</w:ftr>
</file>

<file path=word/footer3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F4E817" w14:textId="77777777" w:rsidR="00924992" w:rsidRDefault="00924992">
    <w:pPr>
      <w:spacing w:line="1" w:lineRule="exact"/>
    </w:pPr>
  </w:p>
</w:ftr>
</file>

<file path=word/footer3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825EA0" w14:textId="77777777" w:rsidR="00924992" w:rsidRDefault="00924992">
    <w:pPr>
      <w:spacing w:line="1" w:lineRule="exact"/>
    </w:pPr>
  </w:p>
</w:ftr>
</file>

<file path=word/footer3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E4E7B0" w14:textId="77777777" w:rsidR="00924992" w:rsidRDefault="00924992"/>
</w:ftr>
</file>

<file path=word/footer3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390291" w14:textId="77777777" w:rsidR="00924992" w:rsidRDefault="00924992"/>
</w:ftr>
</file>

<file path=word/footer3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F50E67" w14:textId="77777777" w:rsidR="00924992" w:rsidRDefault="00924992">
    <w:pPr>
      <w:spacing w:line="1" w:lineRule="exact"/>
    </w:pPr>
  </w:p>
</w:ftr>
</file>

<file path=word/footer3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35B303" w14:textId="77777777" w:rsidR="00924992" w:rsidRDefault="00924992">
    <w:pPr>
      <w:spacing w:line="1" w:lineRule="exact"/>
    </w:pPr>
  </w:p>
</w:ftr>
</file>

<file path=word/footer3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9FCC50" w14:textId="77777777" w:rsidR="00924992" w:rsidRDefault="00924992">
    <w:pPr>
      <w:spacing w:line="1" w:lineRule="exact"/>
    </w:pPr>
  </w:p>
</w:ftr>
</file>

<file path=word/footer3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B5C674" w14:textId="77777777" w:rsidR="00924992" w:rsidRDefault="00924992">
    <w:pPr>
      <w:spacing w:line="1" w:lineRule="exact"/>
    </w:pPr>
  </w:p>
</w:ftr>
</file>

<file path=word/footer4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A82703" w14:textId="77777777" w:rsidR="00924992" w:rsidRDefault="00924992">
    <w:pPr>
      <w:spacing w:line="1" w:lineRule="exact"/>
    </w:pPr>
  </w:p>
</w:ftr>
</file>

<file path=word/footer4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EDA6B1" w14:textId="77777777" w:rsidR="00924992" w:rsidRDefault="00924992">
    <w:pPr>
      <w:spacing w:line="1" w:lineRule="exact"/>
    </w:pPr>
  </w:p>
</w:ftr>
</file>

<file path=word/footer4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494FC8" w14:textId="77777777" w:rsidR="00924992" w:rsidRDefault="00924992">
    <w:pPr>
      <w:spacing w:line="1" w:lineRule="exact"/>
    </w:pPr>
  </w:p>
</w:ftr>
</file>

<file path=word/footer4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722761" w14:textId="77777777" w:rsidR="00924992" w:rsidRDefault="00924992">
    <w:pPr>
      <w:spacing w:line="1" w:lineRule="exact"/>
    </w:pPr>
  </w:p>
</w:ftr>
</file>

<file path=word/footer4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2591A0" w14:textId="77777777" w:rsidR="00924992" w:rsidRDefault="00924992">
    <w:pPr>
      <w:spacing w:line="1" w:lineRule="exact"/>
    </w:pPr>
  </w:p>
</w:ftr>
</file>

<file path=word/footer4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E709A6" w14:textId="77777777" w:rsidR="00924992" w:rsidRDefault="00924992">
    <w:pPr>
      <w:spacing w:line="1" w:lineRule="exact"/>
    </w:pPr>
  </w:p>
</w:ftr>
</file>

<file path=word/footer4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192778" w14:textId="77777777" w:rsidR="00924992" w:rsidRDefault="00924992">
    <w:pPr>
      <w:spacing w:line="1" w:lineRule="exact"/>
    </w:pPr>
  </w:p>
</w:ftr>
</file>

<file path=word/footer4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B507E0" w14:textId="77777777" w:rsidR="00924992" w:rsidRDefault="00924992">
    <w:pPr>
      <w:spacing w:line="1" w:lineRule="exact"/>
    </w:pPr>
  </w:p>
</w:ftr>
</file>

<file path=word/footer4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E28785" w14:textId="77777777" w:rsidR="00924992" w:rsidRDefault="00924992">
    <w:pPr>
      <w:spacing w:line="1" w:lineRule="exact"/>
    </w:pPr>
  </w:p>
</w:ftr>
</file>

<file path=word/footer4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ED04A3" w14:textId="77777777" w:rsidR="00924992" w:rsidRDefault="00924992">
    <w:pPr>
      <w:spacing w:line="1" w:lineRule="exact"/>
    </w:pPr>
  </w:p>
</w:ftr>
</file>

<file path=word/footer5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B90CA9" w14:textId="77777777" w:rsidR="00924992" w:rsidRDefault="00924992">
    <w:pPr>
      <w:spacing w:line="1" w:lineRule="exact"/>
    </w:pPr>
  </w:p>
</w:ftr>
</file>

<file path=word/footer5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3BE651" w14:textId="77777777" w:rsidR="00924992" w:rsidRDefault="00924992">
    <w:pPr>
      <w:spacing w:line="1" w:lineRule="exact"/>
    </w:pPr>
  </w:p>
</w:ftr>
</file>

<file path=word/footer5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6BC047" w14:textId="77777777" w:rsidR="00924992" w:rsidRDefault="00924992">
    <w:pPr>
      <w:spacing w:line="1" w:lineRule="exact"/>
    </w:pPr>
  </w:p>
</w:ftr>
</file>

<file path=word/footer5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4C011C" w14:textId="77777777" w:rsidR="00924992" w:rsidRDefault="00924992">
    <w:pPr>
      <w:spacing w:line="1" w:lineRule="exact"/>
    </w:pPr>
  </w:p>
</w:ftr>
</file>

<file path=word/footer5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A3D069" w14:textId="77777777" w:rsidR="00924992" w:rsidRDefault="00924992">
    <w:pPr>
      <w:spacing w:line="1" w:lineRule="exact"/>
    </w:pPr>
  </w:p>
</w:ftr>
</file>

<file path=word/footer5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A294E1" w14:textId="77777777" w:rsidR="00924992" w:rsidRDefault="00924992">
    <w:pPr>
      <w:spacing w:line="1" w:lineRule="exact"/>
    </w:pPr>
    <w:r>
      <w:rPr>
        <w:noProof/>
      </w:rPr>
      <mc:AlternateContent>
        <mc:Choice Requires="wps">
          <w:drawing>
            <wp:anchor distT="0" distB="0" distL="0" distR="0" simplePos="0" relativeHeight="251858944" behindDoc="1" locked="0" layoutInCell="1" allowOverlap="1" wp14:anchorId="273FA3B8" wp14:editId="4F7882CA">
              <wp:simplePos x="0" y="0"/>
              <wp:positionH relativeFrom="page">
                <wp:posOffset>7239000</wp:posOffset>
              </wp:positionH>
              <wp:positionV relativeFrom="page">
                <wp:posOffset>4940935</wp:posOffset>
              </wp:positionV>
              <wp:extent cx="408305" cy="82550"/>
              <wp:effectExtent l="0" t="0" r="0" b="0"/>
              <wp:wrapNone/>
              <wp:docPr id="2045" name="Shape 2045"/>
              <wp:cNvGraphicFramePr/>
              <a:graphic xmlns:a="http://schemas.openxmlformats.org/drawingml/2006/main">
                <a:graphicData uri="http://schemas.microsoft.com/office/word/2010/wordprocessingShape">
                  <wps:wsp>
                    <wps:cNvSpPr txBox="1"/>
                    <wps:spPr>
                      <a:xfrm>
                        <a:off x="0" y="0"/>
                        <a:ext cx="408305" cy="82550"/>
                      </a:xfrm>
                      <a:prstGeom prst="rect">
                        <a:avLst/>
                      </a:prstGeom>
                      <a:noFill/>
                    </wps:spPr>
                    <wps:txbx>
                      <w:txbxContent>
                        <w:p w14:paraId="2A03269F" w14:textId="77777777" w:rsidR="00924992" w:rsidRDefault="00924992">
                          <w:pPr>
                            <w:pStyle w:val="Headerorfooter0"/>
                            <w:rPr>
                              <w:sz w:val="16"/>
                              <w:szCs w:val="16"/>
                            </w:rPr>
                          </w:pPr>
                          <w:r>
                            <w:rPr>
                              <w:rFonts w:ascii="Times New Roman" w:eastAsia="Times New Roman" w:hAnsi="Times New Roman" w:cs="Times New Roman"/>
                              <w:i/>
                              <w:iCs/>
                              <w:sz w:val="16"/>
                              <w:szCs w:val="16"/>
                            </w:rPr>
                            <w:t>continúa</w:t>
                          </w:r>
                        </w:p>
                      </w:txbxContent>
                    </wps:txbx>
                    <wps:bodyPr wrap="none" lIns="0" tIns="0" rIns="0" bIns="0">
                      <a:spAutoFit/>
                    </wps:bodyPr>
                  </wps:wsp>
                </a:graphicData>
              </a:graphic>
            </wp:anchor>
          </w:drawing>
        </mc:Choice>
        <mc:Fallback>
          <w:pict>
            <v:shapetype w14:anchorId="273FA3B8" id="_x0000_t202" coordsize="21600,21600" o:spt="202" path="m,l,21600r21600,l21600,xe">
              <v:stroke joinstyle="miter"/>
              <v:path gradientshapeok="t" o:connecttype="rect"/>
            </v:shapetype>
            <v:shape id="Shape 2045" o:spid="_x0000_s1220" type="#_x0000_t202" style="position:absolute;margin-left:570pt;margin-top:389.05pt;width:32.15pt;height:6.5pt;z-index:-251457536;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" filled="f" stroked="f">
              <v:textbox style="mso-fit-shape-to-text:t" inset="0,0,0,0">
                <w:txbxContent>
                  <w:p w14:paraId="2A03269F" w14:textId="77777777" w:rsidR="00924992" w:rsidRDefault="00924992">
                    <w:pPr>
                      <w:pStyle w:val="Headerorfooter0"/>
                      <w:rPr>
                        <w:sz w:val="16"/>
                        <w:szCs w:val="16"/>
                      </w:rPr>
                    </w:pPr>
                    <w:r>
                      <w:rPr>
                        <w:rFonts w:ascii="Times New Roman" w:eastAsia="Times New Roman" w:hAnsi="Times New Roman" w:cs="Times New Roman"/>
                        <w:i/>
                        <w:iCs/>
                        <w:sz w:val="16"/>
                        <w:szCs w:val="16"/>
                      </w:rPr>
                      <w:t>continúa</w:t>
                    </w:r>
                  </w:p>
                </w:txbxContent>
              </v:textbox>
              <w10:wrap anchorx="page" anchory="page"/>
            </v:shape>
          </w:pict>
        </mc:Fallback>
      </mc:AlternateContent>
    </w:r>
  </w:p>
</w:ftr>
</file>

<file path=word/footer5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E01E92" w14:textId="77777777" w:rsidR="00924992" w:rsidRDefault="00924992">
    <w:pPr>
      <w:spacing w:line="1" w:lineRule="exact"/>
    </w:pPr>
    <w:r>
      <w:rPr>
        <w:noProof/>
      </w:rPr>
      <mc:AlternateContent>
        <mc:Choice Requires="wps">
          <w:drawing>
            <wp:anchor distT="0" distB="0" distL="0" distR="0" simplePos="0" relativeHeight="251857920" behindDoc="1" locked="0" layoutInCell="1" allowOverlap="1" wp14:anchorId="5D3E5B05" wp14:editId="3C36AE47">
              <wp:simplePos x="0" y="0"/>
              <wp:positionH relativeFrom="page">
                <wp:posOffset>7239000</wp:posOffset>
              </wp:positionH>
              <wp:positionV relativeFrom="page">
                <wp:posOffset>4940935</wp:posOffset>
              </wp:positionV>
              <wp:extent cx="408305" cy="82550"/>
              <wp:effectExtent l="0" t="0" r="0" b="0"/>
              <wp:wrapNone/>
              <wp:docPr id="2043" name="Shape 2043"/>
              <wp:cNvGraphicFramePr/>
              <a:graphic xmlns:a="http://schemas.openxmlformats.org/drawingml/2006/main">
                <a:graphicData uri="http://schemas.microsoft.com/office/word/2010/wordprocessingShape">
                  <wps:wsp>
                    <wps:cNvSpPr txBox="1"/>
                    <wps:spPr>
                      <a:xfrm>
                        <a:off x="0" y="0"/>
                        <a:ext cx="408305" cy="82550"/>
                      </a:xfrm>
                      <a:prstGeom prst="rect">
                        <a:avLst/>
                      </a:prstGeom>
                      <a:noFill/>
                    </wps:spPr>
                    <wps:txbx>
                      <w:txbxContent>
                        <w:p w14:paraId="11FC3C82" w14:textId="77777777" w:rsidR="00924992" w:rsidRDefault="00924992">
                          <w:pPr>
                            <w:pStyle w:val="Headerorfooter0"/>
                            <w:rPr>
                              <w:sz w:val="16"/>
                              <w:szCs w:val="16"/>
                            </w:rPr>
                          </w:pPr>
                          <w:r>
                            <w:rPr>
                              <w:rFonts w:ascii="Times New Roman" w:eastAsia="Times New Roman" w:hAnsi="Times New Roman" w:cs="Times New Roman"/>
                              <w:i/>
                              <w:iCs/>
                              <w:sz w:val="16"/>
                              <w:szCs w:val="16"/>
                            </w:rPr>
                            <w:t>continúa</w:t>
                          </w:r>
                        </w:p>
                      </w:txbxContent>
                    </wps:txbx>
                    <wps:bodyPr wrap="none" lIns="0" tIns="0" rIns="0" bIns="0">
                      <a:spAutoFit/>
                    </wps:bodyPr>
                  </wps:wsp>
                </a:graphicData>
              </a:graphic>
            </wp:anchor>
          </w:drawing>
        </mc:Choice>
        <mc:Fallback>
          <w:pict>
            <v:shapetype w14:anchorId="5D3E5B05" id="_x0000_t202" coordsize="21600,21600" o:spt="202" path="m,l,21600r21600,l21600,xe">
              <v:stroke joinstyle="miter"/>
              <v:path gradientshapeok="t" o:connecttype="rect"/>
            </v:shapetype>
            <v:shape id="Shape 2043" o:spid="_x0000_s1221" type="#_x0000_t202" style="position:absolute;margin-left:570pt;margin-top:389.05pt;width:32.15pt;height:6.5pt;z-index:-251458560;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" filled="f" stroked="f">
              <v:textbox style="mso-fit-shape-to-text:t" inset="0,0,0,0">
                <w:txbxContent>
                  <w:p w14:paraId="11FC3C82" w14:textId="77777777" w:rsidR="00924992" w:rsidRDefault="00924992">
                    <w:pPr>
                      <w:pStyle w:val="Headerorfooter0"/>
                      <w:rPr>
                        <w:sz w:val="16"/>
                        <w:szCs w:val="16"/>
                      </w:rPr>
                    </w:pPr>
                    <w:r>
                      <w:rPr>
                        <w:rFonts w:ascii="Times New Roman" w:eastAsia="Times New Roman" w:hAnsi="Times New Roman" w:cs="Times New Roman"/>
                        <w:i/>
                        <w:iCs/>
                        <w:sz w:val="16"/>
                        <w:szCs w:val="16"/>
                      </w:rPr>
                      <w:t>continúa</w:t>
                    </w:r>
                  </w:p>
                </w:txbxContent>
              </v:textbox>
              <w10:wrap anchorx="page" anchory="page"/>
            </v:shape>
          </w:pict>
        </mc:Fallback>
      </mc:AlternateContent>
    </w:r>
  </w:p>
</w:ftr>
</file>

<file path=word/footer5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897B77" w14:textId="77777777" w:rsidR="00924992" w:rsidRDefault="00924992">
    <w:pPr>
      <w:spacing w:line="1" w:lineRule="exact"/>
    </w:pPr>
  </w:p>
</w:ftr>
</file>

<file path=word/footer5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C4E32D" w14:textId="77777777" w:rsidR="00924992" w:rsidRDefault="00924992">
    <w:pPr>
      <w:spacing w:line="1" w:lineRule="exact"/>
    </w:pPr>
  </w:p>
</w:ftr>
</file>

<file path=word/footer5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EAF498" w14:textId="77777777" w:rsidR="00924992" w:rsidRDefault="00924992">
    <w:pPr>
      <w:spacing w:line="1" w:lineRule="exact"/>
    </w:pPr>
  </w:p>
</w:ftr>
</file>

<file path=word/footer6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0E1BEA" w14:textId="77777777" w:rsidR="00924992" w:rsidRDefault="00924992">
    <w:pPr>
      <w:spacing w:line="1" w:lineRule="exact"/>
    </w:pPr>
  </w:p>
</w:ftr>
</file>

<file path=word/footer6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A3E4F3" w14:textId="77777777" w:rsidR="00924992" w:rsidRDefault="00924992"/>
</w:ftr>
</file>

<file path=word/footer6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6232FD" w14:textId="77777777" w:rsidR="00924992" w:rsidRDefault="00924992"/>
</w:ftr>
</file>

<file path=word/footer6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FDB275" w14:textId="77777777" w:rsidR="00924992" w:rsidRDefault="00924992">
    <w:pPr>
      <w:spacing w:line="1" w:lineRule="exact"/>
    </w:pPr>
  </w:p>
</w:ftr>
</file>

<file path=word/footer6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83AF8B" w14:textId="77777777" w:rsidR="00924992" w:rsidRDefault="00924992">
    <w:pPr>
      <w:spacing w:line="1" w:lineRule="exact"/>
    </w:pPr>
  </w:p>
</w:ftr>
</file>

<file path=word/footer6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FF7BC4" w14:textId="77777777" w:rsidR="00924992" w:rsidRDefault="00924992"/>
</w:ftr>
</file>

<file path=word/footer6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25DA82" w14:textId="77777777" w:rsidR="00924992" w:rsidRDefault="00924992"/>
</w:ftr>
</file>

<file path=word/footer6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5AF208" w14:textId="77777777" w:rsidR="00924992" w:rsidRDefault="00924992">
    <w:pPr>
      <w:spacing w:line="1" w:lineRule="exact"/>
    </w:pPr>
  </w:p>
</w:ftr>
</file>

<file path=word/footer6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5F3E32" w14:textId="77777777" w:rsidR="00924992" w:rsidRDefault="00924992">
    <w:pPr>
      <w:spacing w:line="1" w:lineRule="exact"/>
    </w:pPr>
  </w:p>
</w:ftr>
</file>

<file path=word/footer6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25608B" w14:textId="77777777" w:rsidR="00924992" w:rsidRDefault="00924992">
    <w:pPr>
      <w:spacing w:line="1" w:lineRule="exact"/>
    </w:pPr>
  </w:p>
</w:ftr>
</file>

<file path=word/footer7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942326" w14:textId="77777777" w:rsidR="00924992" w:rsidRDefault="00924992">
    <w:pPr>
      <w:spacing w:line="1" w:lineRule="exact"/>
    </w:pPr>
  </w:p>
</w:ftr>
</file>

<file path=word/footer7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E1A5B0" w14:textId="77777777" w:rsidR="00924992" w:rsidRDefault="00924992">
    <w:pPr>
      <w:spacing w:line="1" w:lineRule="exact"/>
    </w:pPr>
  </w:p>
</w:ftr>
</file>

<file path=word/footer7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A9A35E" w14:textId="77777777" w:rsidR="00924992" w:rsidRDefault="00924992">
    <w:pPr>
      <w:spacing w:line="1" w:lineRule="exact"/>
    </w:pPr>
  </w:p>
</w:ftr>
</file>

<file path=word/footer7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68A05C" w14:textId="77777777" w:rsidR="00924992" w:rsidRDefault="00924992">
    <w:pPr>
      <w:spacing w:line="1" w:lineRule="exact"/>
    </w:pPr>
  </w:p>
</w:ftr>
</file>

<file path=word/footer7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2256B5" w14:textId="77777777" w:rsidR="00924992" w:rsidRDefault="00924992">
    <w:pPr>
      <w:spacing w:line="1" w:lineRule="exact"/>
    </w:pPr>
  </w:p>
</w:ftr>
</file>

<file path=word/footer7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6BDA3D" w14:textId="77777777" w:rsidR="00924992" w:rsidRDefault="00924992">
    <w:pPr>
      <w:spacing w:line="1" w:lineRule="exact"/>
    </w:pPr>
  </w:p>
</w:ftr>
</file>

<file path=word/footer7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9329FF" w14:textId="77777777" w:rsidR="00924992" w:rsidRDefault="00924992"/>
</w:ftr>
</file>

<file path=word/footer7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74F6AB" w14:textId="77777777" w:rsidR="00924992" w:rsidRDefault="00924992"/>
</w:ftr>
</file>

<file path=word/footer7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4068DF" w14:textId="77777777" w:rsidR="00924992" w:rsidRDefault="00924992">
    <w:pPr>
      <w:spacing w:line="1" w:lineRule="exact"/>
    </w:pPr>
  </w:p>
</w:ftr>
</file>

<file path=word/footer7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237340" w14:textId="77777777" w:rsidR="00924992" w:rsidRDefault="00924992">
    <w:pPr>
      <w:spacing w:line="1" w:lineRule="exact"/>
    </w:pPr>
  </w:p>
</w:ftr>
</file>

<file path=word/footer8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3AA1E9" w14:textId="77777777" w:rsidR="00924992" w:rsidRDefault="00924992">
    <w:pPr>
      <w:spacing w:line="1" w:lineRule="exact"/>
    </w:pPr>
  </w:p>
</w:ftr>
</file>

<file path=word/footer8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3B7023" w14:textId="77777777" w:rsidR="00924992" w:rsidRDefault="00924992">
    <w:pPr>
      <w:spacing w:line="1" w:lineRule="exact"/>
    </w:pPr>
  </w:p>
</w:ftr>
</file>

<file path=word/footer8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2FD1D0" w14:textId="77777777" w:rsidR="00924992" w:rsidRDefault="00924992">
    <w:pPr>
      <w:spacing w:line="1" w:lineRule="exact"/>
    </w:pPr>
  </w:p>
</w:ftr>
</file>

<file path=word/footer8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557470" w14:textId="77777777" w:rsidR="00924992" w:rsidRDefault="00924992">
    <w:pPr>
      <w:spacing w:line="1" w:lineRule="exact"/>
    </w:pPr>
  </w:p>
</w:ftr>
</file>

<file path=word/footer8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12A8A2" w14:textId="77777777" w:rsidR="00924992" w:rsidRDefault="00924992">
    <w:pPr>
      <w:spacing w:line="1" w:lineRule="exact"/>
    </w:pPr>
  </w:p>
</w:ftr>
</file>

<file path=word/footer8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FDC0E0" w14:textId="77777777" w:rsidR="00924992" w:rsidRDefault="00924992">
    <w:pPr>
      <w:spacing w:line="1" w:lineRule="exact"/>
    </w:pPr>
  </w:p>
</w:ftr>
</file>

<file path=word/footer8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E21735" w14:textId="77777777" w:rsidR="00924992" w:rsidRDefault="00924992"/>
</w:ftr>
</file>

<file path=word/footer8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BBAC60" w14:textId="77777777" w:rsidR="00924992" w:rsidRDefault="00924992"/>
</w:ftr>
</file>

<file path=word/footer8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024AEE" w14:textId="77777777" w:rsidR="00924992" w:rsidRDefault="00924992">
    <w:pPr>
      <w:spacing w:line="1" w:lineRule="exact"/>
    </w:pPr>
  </w:p>
</w:ftr>
</file>

<file path=word/footer8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828EE4" w14:textId="77777777" w:rsidR="00924992" w:rsidRDefault="00924992">
    <w:pPr>
      <w:spacing w:line="1" w:lineRule="exact"/>
    </w:pPr>
  </w:p>
</w:ftr>
</file>

<file path=word/footer9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C334C3" w14:textId="77777777" w:rsidR="00924992" w:rsidRDefault="00924992"/>
</w:ftr>
</file>

<file path=word/footer9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F4CEB9" w14:textId="77777777" w:rsidR="00924992" w:rsidRDefault="00924992"/>
</w:ftr>
</file>

<file path=word/footer9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9BD8D8" w14:textId="77777777" w:rsidR="00924992" w:rsidRDefault="00924992">
    <w:pPr>
      <w:spacing w:line="1" w:lineRule="exact"/>
    </w:pPr>
  </w:p>
</w:ftr>
</file>

<file path=word/footer9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1E6CBF" w14:textId="77777777" w:rsidR="00924992" w:rsidRDefault="00924992">
    <w:pPr>
      <w:spacing w:line="1" w:lineRule="exact"/>
    </w:pPr>
  </w:p>
</w:ftr>
</file>

<file path=word/footer9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FC7307" w14:textId="77777777" w:rsidR="00924992" w:rsidRDefault="00924992">
    <w:pPr>
      <w:spacing w:line="1" w:lineRule="exact"/>
    </w:pPr>
  </w:p>
</w:ftr>
</file>

<file path=word/footer9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7FD6DB" w14:textId="77777777" w:rsidR="00924992" w:rsidRDefault="00924992">
    <w:pPr>
      <w:spacing w:line="1" w:lineRule="exact"/>
    </w:pPr>
  </w:p>
</w:ftr>
</file>

<file path=word/footer9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C8B265" w14:textId="77777777" w:rsidR="00924992" w:rsidRDefault="00924992">
    <w:pPr>
      <w:spacing w:line="1" w:lineRule="exact"/>
    </w:pPr>
  </w:p>
</w:ftr>
</file>

<file path=word/footer9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BC4D4C" w14:textId="77777777" w:rsidR="00924992" w:rsidRDefault="00924992"/>
</w:ftr>
</file>

<file path=word/footer9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4D5DB6" w14:textId="77777777" w:rsidR="00924992" w:rsidRDefault="00924992"/>
</w:ftr>
</file>

<file path=word/footer9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D3347C" w14:textId="77777777" w:rsidR="00924992" w:rsidRDefault="00924992"/>
</w:ftr>
</file>

<file path=word/footer10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7B853D" w14:textId="77777777" w:rsidR="00924992" w:rsidRDefault="00924992"/>
</w:ftr>
</file>

<file path=word/footer10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CD3E7E" w14:textId="77777777" w:rsidR="00924992" w:rsidRDefault="00924992"/>
</w:ftr>
</file>

<file path=word/footer10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489009" w14:textId="77777777" w:rsidR="00924992" w:rsidRDefault="00924992"/>
</w:ftr>
</file>

<file path=word/footer10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B65E1E" w14:textId="77777777" w:rsidR="00924992" w:rsidRDefault="00924992"/>
</w:ftr>
</file>

<file path=word/footer10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DD2FB6" w14:textId="77777777" w:rsidR="00924992" w:rsidRDefault="00924992"/>
</w:ftr>
</file>

<file path=word/footer10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D9FF56" w14:textId="77777777" w:rsidR="00924992" w:rsidRDefault="00924992"/>
</w:ftr>
</file>

<file path=word/footer10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70DC7A" w14:textId="77777777" w:rsidR="00924992" w:rsidRDefault="00924992"/>
</w:ftr>
</file>

<file path=word/footer10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B48535" w14:textId="77777777" w:rsidR="00924992" w:rsidRDefault="00924992">
    <w:pPr>
      <w:spacing w:line="1" w:lineRule="exact"/>
    </w:pPr>
  </w:p>
</w:ftr>
</file>

<file path=word/footer10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B9C3E9" w14:textId="77777777" w:rsidR="00924992" w:rsidRDefault="00924992">
    <w:pPr>
      <w:spacing w:line="1" w:lineRule="exact"/>
    </w:pPr>
  </w:p>
</w:ftr>
</file>

<file path=word/footer10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26983B" w14:textId="77777777" w:rsidR="00924992" w:rsidRDefault="00924992">
    <w:pPr>
      <w:spacing w:line="1" w:lineRule="exact"/>
    </w:pPr>
  </w:p>
</w:ftr>
</file>

<file path=word/footer1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D5FB2A" w14:textId="77777777" w:rsidR="00924992" w:rsidRDefault="00924992">
    <w:pPr>
      <w:spacing w:line="1" w:lineRule="exact"/>
    </w:pPr>
  </w:p>
</w:ftr>
</file>

<file path=word/footer1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D0B26D" w14:textId="77777777" w:rsidR="00924992" w:rsidRDefault="00924992">
    <w:pPr>
      <w:spacing w:line="1" w:lineRule="exact"/>
    </w:pPr>
  </w:p>
</w:ftr>
</file>

<file path=word/footer1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0988A2" w14:textId="77777777" w:rsidR="00924992" w:rsidRDefault="00924992">
    <w:pPr>
      <w:spacing w:line="1" w:lineRule="exact"/>
    </w:pPr>
  </w:p>
</w:ftr>
</file>

<file path=word/footer1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C69D5D" w14:textId="77777777" w:rsidR="00924992" w:rsidRDefault="00924992"/>
</w:ftr>
</file>

<file path=word/footer1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DDB24E" w14:textId="77777777" w:rsidR="00924992" w:rsidRDefault="00924992"/>
</w:ftr>
</file>

<file path=word/footer11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EFE53C" w14:textId="77777777" w:rsidR="00924992" w:rsidRDefault="00924992">
    <w:pPr>
      <w:spacing w:line="1" w:lineRule="exact"/>
    </w:pPr>
    <w:r>
      <w:rPr>
        <w:noProof/>
      </w:rPr>
      <mc:AlternateContent>
        <mc:Choice Requires="wps">
          <w:drawing>
            <wp:anchor distT="0" distB="0" distL="0" distR="0" simplePos="0" relativeHeight="251913216" behindDoc="1" locked="0" layoutInCell="1" allowOverlap="1" wp14:anchorId="5A0356CA" wp14:editId="4D256A1C">
              <wp:simplePos x="0" y="0"/>
              <wp:positionH relativeFrom="page">
                <wp:posOffset>7235825</wp:posOffset>
              </wp:positionH>
              <wp:positionV relativeFrom="page">
                <wp:posOffset>5126990</wp:posOffset>
              </wp:positionV>
              <wp:extent cx="408305" cy="82550"/>
              <wp:effectExtent l="0" t="0" r="0" b="0"/>
              <wp:wrapNone/>
              <wp:docPr id="2213" name="Shape 2213"/>
              <wp:cNvGraphicFramePr/>
              <a:graphic xmlns:a="http://schemas.openxmlformats.org/drawingml/2006/main">
                <a:graphicData uri="http://schemas.microsoft.com/office/word/2010/wordprocessingShape">
                  <wps:wsp>
                    <wps:cNvSpPr txBox="1"/>
                    <wps:spPr>
                      <a:xfrm>
                        <a:off x="0" y="0"/>
                        <a:ext cx="408305" cy="82550"/>
                      </a:xfrm>
                      <a:prstGeom prst="rect">
                        <a:avLst/>
                      </a:prstGeom>
                      <a:noFill/>
                    </wps:spPr>
                    <wps:txbx>
                      <w:txbxContent>
                        <w:p w14:paraId="5DE93A50" w14:textId="77777777" w:rsidR="00924992" w:rsidRDefault="00924992">
                          <w:pPr>
                            <w:pStyle w:val="Headerorfooter0"/>
                            <w:rPr>
                              <w:sz w:val="16"/>
                              <w:szCs w:val="16"/>
                            </w:rPr>
                          </w:pPr>
                          <w:r>
                            <w:rPr>
                              <w:rFonts w:ascii="Times New Roman" w:eastAsia="Times New Roman" w:hAnsi="Times New Roman" w:cs="Times New Roman"/>
                              <w:i/>
                              <w:iCs/>
                              <w:color w:val="000000"/>
                              <w:sz w:val="16"/>
                              <w:szCs w:val="16"/>
                            </w:rPr>
                            <w:t>continúa</w:t>
                          </w:r>
                        </w:p>
                      </w:txbxContent>
                    </wps:txbx>
                    <wps:bodyPr wrap="none" lIns="0" tIns="0" rIns="0" bIns="0">
                      <a:spAutoFit/>
                    </wps:bodyPr>
                  </wps:wsp>
                </a:graphicData>
              </a:graphic>
            </wp:anchor>
          </w:drawing>
        </mc:Choice>
        <mc:Fallback>
          <w:pict>
            <v:shapetype w14:anchorId="5A0356CA" id="_x0000_t202" coordsize="21600,21600" o:spt="202" path="m,l,21600r21600,l21600,xe">
              <v:stroke joinstyle="miter"/>
              <v:path gradientshapeok="t" o:connecttype="rect"/>
            </v:shapetype>
            <v:shape id="Shape 2213" o:spid="_x0000_s1274" type="#_x0000_t202" style="position:absolute;margin-left:569.75pt;margin-top:403.7pt;width:32.15pt;height:6.5pt;z-index:-251403264;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" filled="f" stroked="f">
              <v:textbox style="mso-fit-shape-to-text:t" inset="0,0,0,0">
                <w:txbxContent>
                  <w:p w14:paraId="5DE93A50" w14:textId="77777777" w:rsidR="00924992" w:rsidRDefault="00924992">
                    <w:pPr>
                      <w:pStyle w:val="Headerorfooter0"/>
                      <w:rPr>
                        <w:sz w:val="16"/>
                        <w:szCs w:val="16"/>
                      </w:rPr>
                    </w:pPr>
                    <w:r>
                      <w:rPr>
                        <w:rFonts w:ascii="Times New Roman" w:eastAsia="Times New Roman" w:hAnsi="Times New Roman" w:cs="Times New Roman"/>
                        <w:i/>
                        <w:iCs/>
                        <w:color w:val="000000"/>
                        <w:sz w:val="16"/>
                        <w:szCs w:val="16"/>
                      </w:rPr>
                      <w:t>continúa</w:t>
                    </w:r>
                  </w:p>
                </w:txbxContent>
              </v:textbox>
              <w10:wrap anchorx="page" anchory="page"/>
            </v:shape>
          </w:pict>
        </mc:Fallback>
      </mc:AlternateContent>
    </w:r>
  </w:p>
</w:ftr>
</file>

<file path=word/footer11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B76C60" w14:textId="77777777" w:rsidR="00924992" w:rsidRDefault="00924992">
    <w:pPr>
      <w:spacing w:line="1" w:lineRule="exact"/>
    </w:pPr>
  </w:p>
</w:ftr>
</file>

<file path=word/footer11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B6F937" w14:textId="77777777" w:rsidR="00924992" w:rsidRDefault="00924992">
    <w:pPr>
      <w:spacing w:line="1" w:lineRule="exact"/>
    </w:pPr>
    <w:r>
      <w:rPr>
        <w:noProof/>
      </w:rPr>
      <mc:AlternateContent>
        <mc:Choice Requires="wps">
          <w:drawing>
            <wp:anchor distT="0" distB="0" distL="0" distR="0" simplePos="0" relativeHeight="251915264" behindDoc="1" locked="0" layoutInCell="1" allowOverlap="1" wp14:anchorId="2F648F23" wp14:editId="3FD3F8D2">
              <wp:simplePos x="0" y="0"/>
              <wp:positionH relativeFrom="page">
                <wp:posOffset>7235825</wp:posOffset>
              </wp:positionH>
              <wp:positionV relativeFrom="page">
                <wp:posOffset>5126990</wp:posOffset>
              </wp:positionV>
              <wp:extent cx="408305" cy="82550"/>
              <wp:effectExtent l="0" t="0" r="0" b="0"/>
              <wp:wrapNone/>
              <wp:docPr id="2233" name="Shape 2233"/>
              <wp:cNvGraphicFramePr/>
              <a:graphic xmlns:a="http://schemas.openxmlformats.org/drawingml/2006/main">
                <a:graphicData uri="http://schemas.microsoft.com/office/word/2010/wordprocessingShape">
                  <wps:wsp>
                    <wps:cNvSpPr txBox="1"/>
                    <wps:spPr>
                      <a:xfrm>
                        <a:off x="0" y="0"/>
                        <a:ext cx="408305" cy="82550"/>
                      </a:xfrm>
                      <a:prstGeom prst="rect">
                        <a:avLst/>
                      </a:prstGeom>
                      <a:noFill/>
                    </wps:spPr>
                    <wps:txbx>
                      <w:txbxContent>
                        <w:p w14:paraId="59A6C103" w14:textId="77777777" w:rsidR="00924992" w:rsidRDefault="00924992">
                          <w:pPr>
                            <w:pStyle w:val="Headerorfooter0"/>
                            <w:rPr>
                              <w:sz w:val="16"/>
                              <w:szCs w:val="16"/>
                            </w:rPr>
                          </w:pPr>
                          <w:r>
                            <w:rPr>
                              <w:rFonts w:ascii="Times New Roman" w:eastAsia="Times New Roman" w:hAnsi="Times New Roman" w:cs="Times New Roman"/>
                              <w:i/>
                              <w:iCs/>
                              <w:color w:val="000000"/>
                              <w:sz w:val="16"/>
                              <w:szCs w:val="16"/>
                            </w:rPr>
                            <w:t>continúa</w:t>
                          </w:r>
                        </w:p>
                      </w:txbxContent>
                    </wps:txbx>
                    <wps:bodyPr wrap="none" lIns="0" tIns="0" rIns="0" bIns="0">
                      <a:spAutoFit/>
                    </wps:bodyPr>
                  </wps:wsp>
                </a:graphicData>
              </a:graphic>
            </wp:anchor>
          </w:drawing>
        </mc:Choice>
        <mc:Fallback>
          <w:pict>
            <v:shapetype w14:anchorId="2F648F23" id="_x0000_t202" coordsize="21600,21600" o:spt="202" path="m,l,21600r21600,l21600,xe">
              <v:stroke joinstyle="miter"/>
              <v:path gradientshapeok="t" o:connecttype="rect"/>
            </v:shapetype>
            <v:shape id="Shape 2233" o:spid="_x0000_s1275" type="#_x0000_t202" style="position:absolute;margin-left:569.75pt;margin-top:403.7pt;width:32.15pt;height:6.5pt;z-index:-251401216;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" filled="f" stroked="f">
              <v:textbox style="mso-fit-shape-to-text:t" inset="0,0,0,0">
                <w:txbxContent>
                  <w:p w14:paraId="59A6C103" w14:textId="77777777" w:rsidR="00924992" w:rsidRDefault="00924992">
                    <w:pPr>
                      <w:pStyle w:val="Headerorfooter0"/>
                      <w:rPr>
                        <w:sz w:val="16"/>
                        <w:szCs w:val="16"/>
                      </w:rPr>
                    </w:pPr>
                    <w:r>
                      <w:rPr>
                        <w:rFonts w:ascii="Times New Roman" w:eastAsia="Times New Roman" w:hAnsi="Times New Roman" w:cs="Times New Roman"/>
                        <w:i/>
                        <w:iCs/>
                        <w:color w:val="000000"/>
                        <w:sz w:val="16"/>
                        <w:szCs w:val="16"/>
                      </w:rPr>
                      <w:t>continúa</w:t>
                    </w:r>
                  </w:p>
                </w:txbxContent>
              </v:textbox>
              <w10:wrap anchorx="page" anchory="page"/>
            </v:shape>
          </w:pict>
        </mc:Fallback>
      </mc:AlternateContent>
    </w:r>
  </w:p>
</w:ftr>
</file>

<file path=word/footer11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3F54A2" w14:textId="77777777" w:rsidR="00924992" w:rsidRDefault="00924992">
    <w:pPr>
      <w:spacing w:line="1" w:lineRule="exact"/>
    </w:pPr>
    <w:r>
      <w:rPr>
        <w:noProof/>
      </w:rPr>
      <mc:AlternateContent>
        <mc:Choice Requires="wps">
          <w:drawing>
            <wp:anchor distT="0" distB="0" distL="0" distR="0" simplePos="0" relativeHeight="251914240" behindDoc="1" locked="0" layoutInCell="1" allowOverlap="1" wp14:anchorId="41FD7897" wp14:editId="34080CB4">
              <wp:simplePos x="0" y="0"/>
              <wp:positionH relativeFrom="page">
                <wp:posOffset>7235825</wp:posOffset>
              </wp:positionH>
              <wp:positionV relativeFrom="page">
                <wp:posOffset>5126990</wp:posOffset>
              </wp:positionV>
              <wp:extent cx="408305" cy="82550"/>
              <wp:effectExtent l="0" t="0" r="0" b="0"/>
              <wp:wrapNone/>
              <wp:docPr id="2231" name="Shape 2231"/>
              <wp:cNvGraphicFramePr/>
              <a:graphic xmlns:a="http://schemas.openxmlformats.org/drawingml/2006/main">
                <a:graphicData uri="http://schemas.microsoft.com/office/word/2010/wordprocessingShape">
                  <wps:wsp>
                    <wps:cNvSpPr txBox="1"/>
                    <wps:spPr>
                      <a:xfrm>
                        <a:off x="0" y="0"/>
                        <a:ext cx="408305" cy="82550"/>
                      </a:xfrm>
                      <a:prstGeom prst="rect">
                        <a:avLst/>
                      </a:prstGeom>
                      <a:noFill/>
                    </wps:spPr>
                    <wps:txbx>
                      <w:txbxContent>
                        <w:p w14:paraId="6B7D75AD" w14:textId="77777777" w:rsidR="00924992" w:rsidRDefault="00924992">
                          <w:pPr>
                            <w:pStyle w:val="Headerorfooter0"/>
                            <w:rPr>
                              <w:sz w:val="16"/>
                              <w:szCs w:val="16"/>
                            </w:rPr>
                          </w:pPr>
                          <w:r>
                            <w:rPr>
                              <w:rFonts w:ascii="Times New Roman" w:eastAsia="Times New Roman" w:hAnsi="Times New Roman" w:cs="Times New Roman"/>
                              <w:i/>
                              <w:iCs/>
                              <w:color w:val="000000"/>
                              <w:sz w:val="16"/>
                              <w:szCs w:val="16"/>
                            </w:rPr>
                            <w:t>continúa</w:t>
                          </w:r>
                        </w:p>
                      </w:txbxContent>
                    </wps:txbx>
                    <wps:bodyPr wrap="none" lIns="0" tIns="0" rIns="0" bIns="0">
                      <a:spAutoFit/>
                    </wps:bodyPr>
                  </wps:wsp>
                </a:graphicData>
              </a:graphic>
            </wp:anchor>
          </w:drawing>
        </mc:Choice>
        <mc:Fallback>
          <w:pict>
            <v:shapetype w14:anchorId="41FD7897" id="_x0000_t202" coordsize="21600,21600" o:spt="202" path="m,l,21600r21600,l21600,xe">
              <v:stroke joinstyle="miter"/>
              <v:path gradientshapeok="t" o:connecttype="rect"/>
            </v:shapetype>
            <v:shape id="Shape 2231" o:spid="_x0000_s1276" type="#_x0000_t202" style="position:absolute;margin-left:569.75pt;margin-top:403.7pt;width:32.15pt;height:6.5pt;z-index:-251402240;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" filled="f" stroked="f">
              <v:textbox style="mso-fit-shape-to-text:t" inset="0,0,0,0">
                <w:txbxContent>
                  <w:p w14:paraId="6B7D75AD" w14:textId="77777777" w:rsidR="00924992" w:rsidRDefault="00924992">
                    <w:pPr>
                      <w:pStyle w:val="Headerorfooter0"/>
                      <w:rPr>
                        <w:sz w:val="16"/>
                        <w:szCs w:val="16"/>
                      </w:rPr>
                    </w:pPr>
                    <w:r>
                      <w:rPr>
                        <w:rFonts w:ascii="Times New Roman" w:eastAsia="Times New Roman" w:hAnsi="Times New Roman" w:cs="Times New Roman"/>
                        <w:i/>
                        <w:iCs/>
                        <w:color w:val="000000"/>
                        <w:sz w:val="16"/>
                        <w:szCs w:val="16"/>
                      </w:rPr>
                      <w:t>continúa</w:t>
                    </w:r>
                  </w:p>
                </w:txbxContent>
              </v:textbox>
              <w10:wrap anchorx="page" anchory="page"/>
            </v:shape>
          </w:pict>
        </mc:Fallback>
      </mc:AlternateContent>
    </w:r>
  </w:p>
</w:ftr>
</file>

<file path=word/footer11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FCACBC" w14:textId="77777777" w:rsidR="00924992" w:rsidRDefault="00924992">
    <w:pPr>
      <w:spacing w:line="1" w:lineRule="exact"/>
    </w:pPr>
    <w:r>
      <w:rPr>
        <w:noProof/>
      </w:rPr>
      <mc:AlternateContent>
        <mc:Choice Requires="wps">
          <w:drawing>
            <wp:anchor distT="0" distB="0" distL="0" distR="0" simplePos="0" relativeHeight="251917312" behindDoc="1" locked="0" layoutInCell="1" allowOverlap="1" wp14:anchorId="33DC12AF" wp14:editId="1CC58D62">
              <wp:simplePos x="0" y="0"/>
              <wp:positionH relativeFrom="page">
                <wp:posOffset>7235825</wp:posOffset>
              </wp:positionH>
              <wp:positionV relativeFrom="page">
                <wp:posOffset>5126990</wp:posOffset>
              </wp:positionV>
              <wp:extent cx="408305" cy="82550"/>
              <wp:effectExtent l="0" t="0" r="0" b="0"/>
              <wp:wrapNone/>
              <wp:docPr id="2237" name="Shape 2237"/>
              <wp:cNvGraphicFramePr/>
              <a:graphic xmlns:a="http://schemas.openxmlformats.org/drawingml/2006/main">
                <a:graphicData uri="http://schemas.microsoft.com/office/word/2010/wordprocessingShape">
                  <wps:wsp>
                    <wps:cNvSpPr txBox="1"/>
                    <wps:spPr>
                      <a:xfrm>
                        <a:off x="0" y="0"/>
                        <a:ext cx="408305" cy="82550"/>
                      </a:xfrm>
                      <a:prstGeom prst="rect">
                        <a:avLst/>
                      </a:prstGeom>
                      <a:noFill/>
                    </wps:spPr>
                    <wps:txbx>
                      <w:txbxContent>
                        <w:p w14:paraId="0EAD4133" w14:textId="77777777" w:rsidR="00924992" w:rsidRDefault="00924992">
                          <w:pPr>
                            <w:pStyle w:val="Headerorfooter0"/>
                            <w:rPr>
                              <w:sz w:val="16"/>
                              <w:szCs w:val="16"/>
                            </w:rPr>
                          </w:pPr>
                          <w:r>
                            <w:rPr>
                              <w:rFonts w:ascii="Times New Roman" w:eastAsia="Times New Roman" w:hAnsi="Times New Roman" w:cs="Times New Roman"/>
                              <w:i/>
                              <w:iCs/>
                              <w:color w:val="000000"/>
                              <w:sz w:val="16"/>
                              <w:szCs w:val="16"/>
                            </w:rPr>
                            <w:t>continúa</w:t>
                          </w:r>
                        </w:p>
                      </w:txbxContent>
                    </wps:txbx>
                    <wps:bodyPr wrap="none" lIns="0" tIns="0" rIns="0" bIns="0">
                      <a:spAutoFit/>
                    </wps:bodyPr>
                  </wps:wsp>
                </a:graphicData>
              </a:graphic>
            </wp:anchor>
          </w:drawing>
        </mc:Choice>
        <mc:Fallback>
          <w:pict>
            <v:shapetype w14:anchorId="33DC12AF" id="_x0000_t202" coordsize="21600,21600" o:spt="202" path="m,l,21600r21600,l21600,xe">
              <v:stroke joinstyle="miter"/>
              <v:path gradientshapeok="t" o:connecttype="rect"/>
            </v:shapetype>
            <v:shape id="Shape 2237" o:spid="_x0000_s1277" type="#_x0000_t202" style="position:absolute;margin-left:569.75pt;margin-top:403.7pt;width:32.15pt;height:6.5pt;z-index:-251399168;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" filled="f" stroked="f">
              <v:textbox style="mso-fit-shape-to-text:t" inset="0,0,0,0">
                <w:txbxContent>
                  <w:p w14:paraId="0EAD4133" w14:textId="77777777" w:rsidR="00924992" w:rsidRDefault="00924992">
                    <w:pPr>
                      <w:pStyle w:val="Headerorfooter0"/>
                      <w:rPr>
                        <w:sz w:val="16"/>
                        <w:szCs w:val="16"/>
                      </w:rPr>
                    </w:pPr>
                    <w:r>
                      <w:rPr>
                        <w:rFonts w:ascii="Times New Roman" w:eastAsia="Times New Roman" w:hAnsi="Times New Roman" w:cs="Times New Roman"/>
                        <w:i/>
                        <w:iCs/>
                        <w:color w:val="000000"/>
                        <w:sz w:val="16"/>
                        <w:szCs w:val="16"/>
                      </w:rPr>
                      <w:t>continúa</w:t>
                    </w:r>
                  </w:p>
                </w:txbxContent>
              </v:textbox>
              <w10:wrap anchorx="page" anchory="page"/>
            </v:shape>
          </w:pict>
        </mc:Fallback>
      </mc:AlternateContent>
    </w:r>
  </w:p>
</w:ftr>
</file>

<file path=word/footer12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5654BB" w14:textId="77777777" w:rsidR="00924992" w:rsidRDefault="00924992">
    <w:pPr>
      <w:spacing w:line="1" w:lineRule="exact"/>
    </w:pPr>
    <w:r>
      <w:rPr>
        <w:noProof/>
      </w:rPr>
      <mc:AlternateContent>
        <mc:Choice Requires="wps">
          <w:drawing>
            <wp:anchor distT="0" distB="0" distL="0" distR="0" simplePos="0" relativeHeight="251916288" behindDoc="1" locked="0" layoutInCell="1" allowOverlap="1" wp14:anchorId="61CD98DB" wp14:editId="276DE280">
              <wp:simplePos x="0" y="0"/>
              <wp:positionH relativeFrom="page">
                <wp:posOffset>7226935</wp:posOffset>
              </wp:positionH>
              <wp:positionV relativeFrom="page">
                <wp:posOffset>4593590</wp:posOffset>
              </wp:positionV>
              <wp:extent cx="408305" cy="82550"/>
              <wp:effectExtent l="0" t="0" r="0" b="0"/>
              <wp:wrapNone/>
              <wp:docPr id="2235" name="Shape 2235"/>
              <wp:cNvGraphicFramePr/>
              <a:graphic xmlns:a="http://schemas.openxmlformats.org/drawingml/2006/main">
                <a:graphicData uri="http://schemas.microsoft.com/office/word/2010/wordprocessingShape">
                  <wps:wsp>
                    <wps:cNvSpPr txBox="1"/>
                    <wps:spPr>
                      <a:xfrm>
                        <a:off x="0" y="0"/>
                        <a:ext cx="408305" cy="82550"/>
                      </a:xfrm>
                      <a:prstGeom prst="rect">
                        <a:avLst/>
                      </a:prstGeom>
                      <a:noFill/>
                    </wps:spPr>
                    <wps:txbx>
                      <w:txbxContent>
                        <w:p w14:paraId="631EA933" w14:textId="77777777" w:rsidR="00924992" w:rsidRDefault="00924992">
                          <w:pPr>
                            <w:pStyle w:val="Headerorfooter0"/>
                            <w:rPr>
                              <w:sz w:val="16"/>
                              <w:szCs w:val="16"/>
                            </w:rPr>
                          </w:pPr>
                          <w:r>
                            <w:rPr>
                              <w:rFonts w:ascii="Times New Roman" w:eastAsia="Times New Roman" w:hAnsi="Times New Roman" w:cs="Times New Roman"/>
                              <w:i/>
                              <w:iCs/>
                              <w:color w:val="000000"/>
                              <w:sz w:val="16"/>
                              <w:szCs w:val="16"/>
                            </w:rPr>
                            <w:t>continúa</w:t>
                          </w:r>
                        </w:p>
                      </w:txbxContent>
                    </wps:txbx>
                    <wps:bodyPr wrap="none" lIns="0" tIns="0" rIns="0" bIns="0">
                      <a:spAutoFit/>
                    </wps:bodyPr>
                  </wps:wsp>
                </a:graphicData>
              </a:graphic>
            </wp:anchor>
          </w:drawing>
        </mc:Choice>
        <mc:Fallback>
          <w:pict>
            <v:shapetype w14:anchorId="61CD98DB" id="_x0000_t202" coordsize="21600,21600" o:spt="202" path="m,l,21600r21600,l21600,xe">
              <v:stroke joinstyle="miter"/>
              <v:path gradientshapeok="t" o:connecttype="rect"/>
            </v:shapetype>
            <v:shape id="Shape 2235" o:spid="_x0000_s1278" type="#_x0000_t202" style="position:absolute;margin-left:569.05pt;margin-top:361.7pt;width:32.15pt;height:6.5pt;z-index:-251400192;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" filled="f" stroked="f">
              <v:textbox style="mso-fit-shape-to-text:t" inset="0,0,0,0">
                <w:txbxContent>
                  <w:p w14:paraId="631EA933" w14:textId="77777777" w:rsidR="00924992" w:rsidRDefault="00924992">
                    <w:pPr>
                      <w:pStyle w:val="Headerorfooter0"/>
                      <w:rPr>
                        <w:sz w:val="16"/>
                        <w:szCs w:val="16"/>
                      </w:rPr>
                    </w:pPr>
                    <w:r>
                      <w:rPr>
                        <w:rFonts w:ascii="Times New Roman" w:eastAsia="Times New Roman" w:hAnsi="Times New Roman" w:cs="Times New Roman"/>
                        <w:i/>
                        <w:iCs/>
                        <w:color w:val="000000"/>
                        <w:sz w:val="16"/>
                        <w:szCs w:val="16"/>
                      </w:rPr>
                      <w:t>continúa</w:t>
                    </w:r>
                  </w:p>
                </w:txbxContent>
              </v:textbox>
              <w10:wrap anchorx="page" anchory="page"/>
            </v:shape>
          </w:pict>
        </mc:Fallback>
      </mc:AlternateContent>
    </w:r>
  </w:p>
</w:ftr>
</file>

<file path=word/footer12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A1233E" w14:textId="77777777" w:rsidR="00924992" w:rsidRDefault="00924992">
    <w:pPr>
      <w:spacing w:line="1" w:lineRule="exact"/>
    </w:pPr>
    <w:r>
      <w:rPr>
        <w:noProof/>
      </w:rPr>
      <mc:AlternateContent>
        <mc:Choice Requires="wps">
          <w:drawing>
            <wp:anchor distT="0" distB="0" distL="0" distR="0" simplePos="0" relativeHeight="251919360" behindDoc="1" locked="0" layoutInCell="1" allowOverlap="1" wp14:anchorId="3D971347" wp14:editId="67CB6F45">
              <wp:simplePos x="0" y="0"/>
              <wp:positionH relativeFrom="page">
                <wp:posOffset>7235825</wp:posOffset>
              </wp:positionH>
              <wp:positionV relativeFrom="page">
                <wp:posOffset>5126990</wp:posOffset>
              </wp:positionV>
              <wp:extent cx="408305" cy="82550"/>
              <wp:effectExtent l="0" t="0" r="0" b="0"/>
              <wp:wrapNone/>
              <wp:docPr id="2249" name="Shape 2249"/>
              <wp:cNvGraphicFramePr/>
              <a:graphic xmlns:a="http://schemas.openxmlformats.org/drawingml/2006/main">
                <a:graphicData uri="http://schemas.microsoft.com/office/word/2010/wordprocessingShape">
                  <wps:wsp>
                    <wps:cNvSpPr txBox="1"/>
                    <wps:spPr>
                      <a:xfrm>
                        <a:off x="0" y="0"/>
                        <a:ext cx="408305" cy="82550"/>
                      </a:xfrm>
                      <a:prstGeom prst="rect">
                        <a:avLst/>
                      </a:prstGeom>
                      <a:noFill/>
                    </wps:spPr>
                    <wps:txbx>
                      <w:txbxContent>
                        <w:p w14:paraId="0B7CA347" w14:textId="77777777" w:rsidR="00924992" w:rsidRDefault="00924992">
                          <w:pPr>
                            <w:pStyle w:val="Headerorfooter0"/>
                            <w:rPr>
                              <w:sz w:val="16"/>
                              <w:szCs w:val="16"/>
                            </w:rPr>
                          </w:pPr>
                          <w:r>
                            <w:rPr>
                              <w:rFonts w:ascii="Times New Roman" w:eastAsia="Times New Roman" w:hAnsi="Times New Roman" w:cs="Times New Roman"/>
                              <w:i/>
                              <w:iCs/>
                              <w:color w:val="000000"/>
                              <w:sz w:val="16"/>
                              <w:szCs w:val="16"/>
                            </w:rPr>
                            <w:t>continúa</w:t>
                          </w:r>
                        </w:p>
                      </w:txbxContent>
                    </wps:txbx>
                    <wps:bodyPr wrap="none" lIns="0" tIns="0" rIns="0" bIns="0">
                      <a:spAutoFit/>
                    </wps:bodyPr>
                  </wps:wsp>
                </a:graphicData>
              </a:graphic>
            </wp:anchor>
          </w:drawing>
        </mc:Choice>
        <mc:Fallback>
          <w:pict>
            <v:shapetype w14:anchorId="3D971347" id="_x0000_t202" coordsize="21600,21600" o:spt="202" path="m,l,21600r21600,l21600,xe">
              <v:stroke joinstyle="miter"/>
              <v:path gradientshapeok="t" o:connecttype="rect"/>
            </v:shapetype>
            <v:shape id="Shape 2249" o:spid="_x0000_s1279" type="#_x0000_t202" style="position:absolute;margin-left:569.75pt;margin-top:403.7pt;width:32.15pt;height:6.5pt;z-index:-251397120;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" filled="f" stroked="f">
              <v:textbox style="mso-fit-shape-to-text:t" inset="0,0,0,0">
                <w:txbxContent>
                  <w:p w14:paraId="0B7CA347" w14:textId="77777777" w:rsidR="00924992" w:rsidRDefault="00924992">
                    <w:pPr>
                      <w:pStyle w:val="Headerorfooter0"/>
                      <w:rPr>
                        <w:sz w:val="16"/>
                        <w:szCs w:val="16"/>
                      </w:rPr>
                    </w:pPr>
                    <w:r>
                      <w:rPr>
                        <w:rFonts w:ascii="Times New Roman" w:eastAsia="Times New Roman" w:hAnsi="Times New Roman" w:cs="Times New Roman"/>
                        <w:i/>
                        <w:iCs/>
                        <w:color w:val="000000"/>
                        <w:sz w:val="16"/>
                        <w:szCs w:val="16"/>
                      </w:rPr>
                      <w:t>continúa</w:t>
                    </w:r>
                  </w:p>
                </w:txbxContent>
              </v:textbox>
              <w10:wrap anchorx="page" anchory="page"/>
            </v:shape>
          </w:pict>
        </mc:Fallback>
      </mc:AlternateContent>
    </w:r>
  </w:p>
</w:ftr>
</file>

<file path=word/footer12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E7DB53" w14:textId="77777777" w:rsidR="00924992" w:rsidRDefault="00924992">
    <w:pPr>
      <w:spacing w:line="1" w:lineRule="exact"/>
    </w:pPr>
    <w:r>
      <w:rPr>
        <w:noProof/>
      </w:rPr>
      <mc:AlternateContent>
        <mc:Choice Requires="wps">
          <w:drawing>
            <wp:anchor distT="0" distB="0" distL="0" distR="0" simplePos="0" relativeHeight="251918336" behindDoc="1" locked="0" layoutInCell="1" allowOverlap="1" wp14:anchorId="02789A2A" wp14:editId="67BEE68B">
              <wp:simplePos x="0" y="0"/>
              <wp:positionH relativeFrom="page">
                <wp:posOffset>7235825</wp:posOffset>
              </wp:positionH>
              <wp:positionV relativeFrom="page">
                <wp:posOffset>5126990</wp:posOffset>
              </wp:positionV>
              <wp:extent cx="408305" cy="82550"/>
              <wp:effectExtent l="0" t="0" r="0" b="0"/>
              <wp:wrapNone/>
              <wp:docPr id="2247" name="Shape 2247"/>
              <wp:cNvGraphicFramePr/>
              <a:graphic xmlns:a="http://schemas.openxmlformats.org/drawingml/2006/main">
                <a:graphicData uri="http://schemas.microsoft.com/office/word/2010/wordprocessingShape">
                  <wps:wsp>
                    <wps:cNvSpPr txBox="1"/>
                    <wps:spPr>
                      <a:xfrm>
                        <a:off x="0" y="0"/>
                        <a:ext cx="408305" cy="82550"/>
                      </a:xfrm>
                      <a:prstGeom prst="rect">
                        <a:avLst/>
                      </a:prstGeom>
                      <a:noFill/>
                    </wps:spPr>
                    <wps:txbx>
                      <w:txbxContent>
                        <w:p w14:paraId="104CD7A1" w14:textId="77777777" w:rsidR="00924992" w:rsidRDefault="00924992">
                          <w:pPr>
                            <w:pStyle w:val="Headerorfooter0"/>
                            <w:rPr>
                              <w:sz w:val="16"/>
                              <w:szCs w:val="16"/>
                            </w:rPr>
                          </w:pPr>
                          <w:r>
                            <w:rPr>
                              <w:rFonts w:ascii="Times New Roman" w:eastAsia="Times New Roman" w:hAnsi="Times New Roman" w:cs="Times New Roman"/>
                              <w:i/>
                              <w:iCs/>
                              <w:color w:val="000000"/>
                              <w:sz w:val="16"/>
                              <w:szCs w:val="16"/>
                            </w:rPr>
                            <w:t>continúa</w:t>
                          </w:r>
                        </w:p>
                      </w:txbxContent>
                    </wps:txbx>
                    <wps:bodyPr wrap="none" lIns="0" tIns="0" rIns="0" bIns="0">
                      <a:spAutoFit/>
                    </wps:bodyPr>
                  </wps:wsp>
                </a:graphicData>
              </a:graphic>
            </wp:anchor>
          </w:drawing>
        </mc:Choice>
        <mc:Fallback>
          <w:pict>
            <v:shapetype w14:anchorId="02789A2A" id="_x0000_t202" coordsize="21600,21600" o:spt="202" path="m,l,21600r21600,l21600,xe">
              <v:stroke joinstyle="miter"/>
              <v:path gradientshapeok="t" o:connecttype="rect"/>
            </v:shapetype>
            <v:shape id="Shape 2247" o:spid="_x0000_s1280" type="#_x0000_t202" style="position:absolute;margin-left:569.75pt;margin-top:403.7pt;width:32.15pt;height:6.5pt;z-index:-251398144;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" filled="f" stroked="f">
              <v:textbox style="mso-fit-shape-to-text:t" inset="0,0,0,0">
                <w:txbxContent>
                  <w:p w14:paraId="104CD7A1" w14:textId="77777777" w:rsidR="00924992" w:rsidRDefault="00924992">
                    <w:pPr>
                      <w:pStyle w:val="Headerorfooter0"/>
                      <w:rPr>
                        <w:sz w:val="16"/>
                        <w:szCs w:val="16"/>
                      </w:rPr>
                    </w:pPr>
                    <w:r>
                      <w:rPr>
                        <w:rFonts w:ascii="Times New Roman" w:eastAsia="Times New Roman" w:hAnsi="Times New Roman" w:cs="Times New Roman"/>
                        <w:i/>
                        <w:iCs/>
                        <w:color w:val="000000"/>
                        <w:sz w:val="16"/>
                        <w:szCs w:val="16"/>
                      </w:rPr>
                      <w:t>continúa</w:t>
                    </w:r>
                  </w:p>
                </w:txbxContent>
              </v:textbox>
              <w10:wrap anchorx="page" anchory="page"/>
            </v:shape>
          </w:pict>
        </mc:Fallback>
      </mc:AlternateContent>
    </w:r>
  </w:p>
</w:ftr>
</file>

<file path=word/footer12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7A8B89" w14:textId="77777777" w:rsidR="00924992" w:rsidRDefault="00924992">
    <w:pPr>
      <w:spacing w:line="1" w:lineRule="exact"/>
    </w:pPr>
  </w:p>
</w:ftr>
</file>

<file path=word/footer12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A33C4D" w14:textId="77777777" w:rsidR="00924992" w:rsidRDefault="00924992">
    <w:pPr>
      <w:spacing w:line="1" w:lineRule="exact"/>
    </w:pPr>
  </w:p>
</w:ftr>
</file>

<file path=word/footer12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78B558" w14:textId="77777777" w:rsidR="00924992" w:rsidRDefault="00924992">
    <w:pPr>
      <w:spacing w:line="1" w:lineRule="exact"/>
    </w:pPr>
    <w:r>
      <w:rPr>
        <w:noProof/>
      </w:rPr>
      <mc:AlternateContent>
        <mc:Choice Requires="wps">
          <w:drawing>
            <wp:anchor distT="0" distB="0" distL="0" distR="0" simplePos="0" relativeHeight="251921408" behindDoc="1" locked="0" layoutInCell="1" allowOverlap="1" wp14:anchorId="219F3F90" wp14:editId="7556325A">
              <wp:simplePos x="0" y="0"/>
              <wp:positionH relativeFrom="page">
                <wp:posOffset>7235825</wp:posOffset>
              </wp:positionH>
              <wp:positionV relativeFrom="page">
                <wp:posOffset>5126990</wp:posOffset>
              </wp:positionV>
              <wp:extent cx="408305" cy="82550"/>
              <wp:effectExtent l="0" t="0" r="0" b="0"/>
              <wp:wrapNone/>
              <wp:docPr id="2257" name="Shape 2257"/>
              <wp:cNvGraphicFramePr/>
              <a:graphic xmlns:a="http://schemas.openxmlformats.org/drawingml/2006/main">
                <a:graphicData uri="http://schemas.microsoft.com/office/word/2010/wordprocessingShape">
                  <wps:wsp>
                    <wps:cNvSpPr txBox="1"/>
                    <wps:spPr>
                      <a:xfrm>
                        <a:off x="0" y="0"/>
                        <a:ext cx="408305" cy="82550"/>
                      </a:xfrm>
                      <a:prstGeom prst="rect">
                        <a:avLst/>
                      </a:prstGeom>
                      <a:noFill/>
                    </wps:spPr>
                    <wps:txbx>
                      <w:txbxContent>
                        <w:p w14:paraId="5F6A2619" w14:textId="77777777" w:rsidR="00924992" w:rsidRDefault="00924992">
                          <w:pPr>
                            <w:pStyle w:val="Headerorfooter0"/>
                            <w:rPr>
                              <w:sz w:val="16"/>
                              <w:szCs w:val="16"/>
                            </w:rPr>
                          </w:pPr>
                          <w:r>
                            <w:rPr>
                              <w:rFonts w:ascii="Times New Roman" w:eastAsia="Times New Roman" w:hAnsi="Times New Roman" w:cs="Times New Roman"/>
                              <w:i/>
                              <w:iCs/>
                              <w:color w:val="000000"/>
                              <w:sz w:val="16"/>
                              <w:szCs w:val="16"/>
                            </w:rPr>
                            <w:t>continúa</w:t>
                          </w:r>
                        </w:p>
                      </w:txbxContent>
                    </wps:txbx>
                    <wps:bodyPr wrap="none" lIns="0" tIns="0" rIns="0" bIns="0">
                      <a:spAutoFit/>
                    </wps:bodyPr>
                  </wps:wsp>
                </a:graphicData>
              </a:graphic>
            </wp:anchor>
          </w:drawing>
        </mc:Choice>
        <mc:Fallback>
          <w:pict>
            <v:shapetype w14:anchorId="219F3F90" id="_x0000_t202" coordsize="21600,21600" o:spt="202" path="m,l,21600r21600,l21600,xe">
              <v:stroke joinstyle="miter"/>
              <v:path gradientshapeok="t" o:connecttype="rect"/>
            </v:shapetype>
            <v:shape id="Shape 2257" o:spid="_x0000_s1281" type="#_x0000_t202" style="position:absolute;margin-left:569.75pt;margin-top:403.7pt;width:32.15pt;height:6.5pt;z-index:-251395072;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" filled="f" stroked="f">
              <v:textbox style="mso-fit-shape-to-text:t" inset="0,0,0,0">
                <w:txbxContent>
                  <w:p w14:paraId="5F6A2619" w14:textId="77777777" w:rsidR="00924992" w:rsidRDefault="00924992">
                    <w:pPr>
                      <w:pStyle w:val="Headerorfooter0"/>
                      <w:rPr>
                        <w:sz w:val="16"/>
                        <w:szCs w:val="16"/>
                      </w:rPr>
                    </w:pPr>
                    <w:r>
                      <w:rPr>
                        <w:rFonts w:ascii="Times New Roman" w:eastAsia="Times New Roman" w:hAnsi="Times New Roman" w:cs="Times New Roman"/>
                        <w:i/>
                        <w:iCs/>
                        <w:color w:val="000000"/>
                        <w:sz w:val="16"/>
                        <w:szCs w:val="16"/>
                      </w:rPr>
                      <w:t>continúa</w:t>
                    </w:r>
                  </w:p>
                </w:txbxContent>
              </v:textbox>
              <w10:wrap anchorx="page" anchory="page"/>
            </v:shape>
          </w:pict>
        </mc:Fallback>
      </mc:AlternateContent>
    </w:r>
  </w:p>
</w:ftr>
</file>

<file path=word/footer12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E24769" w14:textId="77777777" w:rsidR="00924992" w:rsidRDefault="00924992">
    <w:pPr>
      <w:spacing w:line="1" w:lineRule="exact"/>
    </w:pPr>
    <w:r>
      <w:rPr>
        <w:noProof/>
      </w:rPr>
      <mc:AlternateContent>
        <mc:Choice Requires="wps">
          <w:drawing>
            <wp:anchor distT="0" distB="0" distL="0" distR="0" simplePos="0" relativeHeight="251920384" behindDoc="1" locked="0" layoutInCell="1" allowOverlap="1" wp14:anchorId="06D6ABFF" wp14:editId="74910E81">
              <wp:simplePos x="0" y="0"/>
              <wp:positionH relativeFrom="page">
                <wp:posOffset>7235825</wp:posOffset>
              </wp:positionH>
              <wp:positionV relativeFrom="page">
                <wp:posOffset>5126990</wp:posOffset>
              </wp:positionV>
              <wp:extent cx="408305" cy="82550"/>
              <wp:effectExtent l="0" t="0" r="0" b="0"/>
              <wp:wrapNone/>
              <wp:docPr id="2255" name="Shape 2255"/>
              <wp:cNvGraphicFramePr/>
              <a:graphic xmlns:a="http://schemas.openxmlformats.org/drawingml/2006/main">
                <a:graphicData uri="http://schemas.microsoft.com/office/word/2010/wordprocessingShape">
                  <wps:wsp>
                    <wps:cNvSpPr txBox="1"/>
                    <wps:spPr>
                      <a:xfrm>
                        <a:off x="0" y="0"/>
                        <a:ext cx="408305" cy="82550"/>
                      </a:xfrm>
                      <a:prstGeom prst="rect">
                        <a:avLst/>
                      </a:prstGeom>
                      <a:noFill/>
                    </wps:spPr>
                    <wps:txbx>
                      <w:txbxContent>
                        <w:p w14:paraId="0C8B969D" w14:textId="77777777" w:rsidR="00924992" w:rsidRDefault="00924992">
                          <w:pPr>
                            <w:pStyle w:val="Headerorfooter0"/>
                            <w:rPr>
                              <w:sz w:val="16"/>
                              <w:szCs w:val="16"/>
                            </w:rPr>
                          </w:pPr>
                          <w:r>
                            <w:rPr>
                              <w:rFonts w:ascii="Times New Roman" w:eastAsia="Times New Roman" w:hAnsi="Times New Roman" w:cs="Times New Roman"/>
                              <w:i/>
                              <w:iCs/>
                              <w:color w:val="000000"/>
                              <w:sz w:val="16"/>
                              <w:szCs w:val="16"/>
                            </w:rPr>
                            <w:t>continúa</w:t>
                          </w:r>
                        </w:p>
                      </w:txbxContent>
                    </wps:txbx>
                    <wps:bodyPr wrap="none" lIns="0" tIns="0" rIns="0" bIns="0">
                      <a:spAutoFit/>
                    </wps:bodyPr>
                  </wps:wsp>
                </a:graphicData>
              </a:graphic>
            </wp:anchor>
          </w:drawing>
        </mc:Choice>
        <mc:Fallback>
          <w:pict>
            <v:shapetype w14:anchorId="06D6ABFF" id="_x0000_t202" coordsize="21600,21600" o:spt="202" path="m,l,21600r21600,l21600,xe">
              <v:stroke joinstyle="miter"/>
              <v:path gradientshapeok="t" o:connecttype="rect"/>
            </v:shapetype>
            <v:shape id="Shape 2255" o:spid="_x0000_s1282" type="#_x0000_t202" style="position:absolute;margin-left:569.75pt;margin-top:403.7pt;width:32.15pt;height:6.5pt;z-index:-251396096;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" filled="f" stroked="f">
              <v:textbox style="mso-fit-shape-to-text:t" inset="0,0,0,0">
                <w:txbxContent>
                  <w:p w14:paraId="0C8B969D" w14:textId="77777777" w:rsidR="00924992" w:rsidRDefault="00924992">
                    <w:pPr>
                      <w:pStyle w:val="Headerorfooter0"/>
                      <w:rPr>
                        <w:sz w:val="16"/>
                        <w:szCs w:val="16"/>
                      </w:rPr>
                    </w:pPr>
                    <w:r>
                      <w:rPr>
                        <w:rFonts w:ascii="Times New Roman" w:eastAsia="Times New Roman" w:hAnsi="Times New Roman" w:cs="Times New Roman"/>
                        <w:i/>
                        <w:iCs/>
                        <w:color w:val="000000"/>
                        <w:sz w:val="16"/>
                        <w:szCs w:val="16"/>
                      </w:rPr>
                      <w:t>continúa</w:t>
                    </w:r>
                  </w:p>
                </w:txbxContent>
              </v:textbox>
              <w10:wrap anchorx="page" anchory="page"/>
            </v:shape>
          </w:pict>
        </mc:Fallback>
      </mc:AlternateContent>
    </w:r>
  </w:p>
</w:ftr>
</file>

<file path=word/footer12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7FE202" w14:textId="77777777" w:rsidR="00924992" w:rsidRDefault="00924992"/>
</w:ftr>
</file>

<file path=word/footer12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09F7CC" w14:textId="77777777" w:rsidR="00924992" w:rsidRDefault="00924992"/>
</w:ftr>
</file>

<file path=word/footer12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98F961" w14:textId="77777777" w:rsidR="00924992" w:rsidRDefault="00924992">
    <w:pPr>
      <w:spacing w:line="1" w:lineRule="exact"/>
    </w:pPr>
  </w:p>
</w:ftr>
</file>

<file path=word/footer13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4F63D7" w14:textId="77777777" w:rsidR="00924992" w:rsidRDefault="00924992">
    <w:pPr>
      <w:spacing w:line="1" w:lineRule="exact"/>
    </w:pPr>
  </w:p>
</w:ftr>
</file>

<file path=word/footer13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3B530F" w14:textId="77777777" w:rsidR="00924992" w:rsidRDefault="00924992">
    <w:pPr>
      <w:spacing w:line="1" w:lineRule="exact"/>
    </w:pPr>
  </w:p>
</w:ftr>
</file>

<file path=word/footer13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A7F868" w14:textId="77777777" w:rsidR="00924992" w:rsidRDefault="00924992">
    <w:pPr>
      <w:spacing w:line="1" w:lineRule="exact"/>
    </w:pPr>
  </w:p>
</w:ftr>
</file>

<file path=word/footer13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85B79F" w14:textId="77777777" w:rsidR="00924992" w:rsidRDefault="00924992">
    <w:pPr>
      <w:spacing w:line="1" w:lineRule="exact"/>
    </w:pPr>
  </w:p>
</w:ftr>
</file>

<file path=word/footer13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E466C2" w14:textId="77777777" w:rsidR="00924992" w:rsidRDefault="00924992">
    <w:pPr>
      <w:spacing w:line="1" w:lineRule="exact"/>
    </w:pPr>
  </w:p>
</w:ftr>
</file>

<file path=word/footer13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2517AD" w14:textId="77777777" w:rsidR="00924992" w:rsidRDefault="00924992"/>
</w:ftr>
</file>

<file path=word/footer13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7688BC" w14:textId="77777777" w:rsidR="00924992" w:rsidRDefault="00924992"/>
</w:ftr>
</file>

<file path=word/footer13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CBCE73" w14:textId="77777777" w:rsidR="00924992" w:rsidRDefault="00924992">
    <w:pPr>
      <w:spacing w:line="1" w:lineRule="exact"/>
    </w:pPr>
  </w:p>
</w:ftr>
</file>

<file path=word/footer13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785979" w14:textId="77777777" w:rsidR="00924992" w:rsidRDefault="00924992">
    <w:pPr>
      <w:spacing w:line="1" w:lineRule="exact"/>
    </w:pPr>
  </w:p>
</w:ftr>
</file>

<file path=word/footer13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B0BCCF" w14:textId="77777777" w:rsidR="00924992" w:rsidRDefault="00924992">
    <w:pPr>
      <w:spacing w:line="1" w:lineRule="exact"/>
    </w:pPr>
    <w:r>
      <w:rPr>
        <w:noProof/>
      </w:rPr>
      <mc:AlternateContent>
        <mc:Choice Requires="wps">
          <w:drawing>
            <wp:anchor distT="0" distB="0" distL="0" distR="0" simplePos="0" relativeHeight="251931648" behindDoc="1" locked="0" layoutInCell="1" allowOverlap="1" wp14:anchorId="3CB15C77" wp14:editId="7B3510A7">
              <wp:simplePos x="0" y="0"/>
              <wp:positionH relativeFrom="page">
                <wp:posOffset>7230110</wp:posOffset>
              </wp:positionH>
              <wp:positionV relativeFrom="page">
                <wp:posOffset>5114290</wp:posOffset>
              </wp:positionV>
              <wp:extent cx="408305" cy="82550"/>
              <wp:effectExtent l="0" t="0" r="0" b="0"/>
              <wp:wrapNone/>
              <wp:docPr id="2301" name="Shape 2301"/>
              <wp:cNvGraphicFramePr/>
              <a:graphic xmlns:a="http://schemas.openxmlformats.org/drawingml/2006/main">
                <a:graphicData uri="http://schemas.microsoft.com/office/word/2010/wordprocessingShape">
                  <wps:wsp>
                    <wps:cNvSpPr txBox="1"/>
                    <wps:spPr>
                      <a:xfrm>
                        <a:off x="0" y="0"/>
                        <a:ext cx="408305" cy="82550"/>
                      </a:xfrm>
                      <a:prstGeom prst="rect">
                        <a:avLst/>
                      </a:prstGeom>
                      <a:noFill/>
                    </wps:spPr>
                    <wps:txbx>
                      <w:txbxContent>
                        <w:p w14:paraId="092A34C5" w14:textId="77777777" w:rsidR="00924992" w:rsidRDefault="00924992">
                          <w:pPr>
                            <w:pStyle w:val="Headerorfooter0"/>
                            <w:rPr>
                              <w:sz w:val="16"/>
                              <w:szCs w:val="16"/>
                            </w:rPr>
                          </w:pPr>
                          <w:r>
                            <w:rPr>
                              <w:rFonts w:ascii="Times New Roman" w:eastAsia="Times New Roman" w:hAnsi="Times New Roman" w:cs="Times New Roman"/>
                              <w:i/>
                              <w:iCs/>
                              <w:color w:val="000000"/>
                              <w:sz w:val="16"/>
                              <w:szCs w:val="16"/>
                            </w:rPr>
                            <w:t>continúa</w:t>
                          </w:r>
                        </w:p>
                      </w:txbxContent>
                    </wps:txbx>
                    <wps:bodyPr wrap="none" lIns="0" tIns="0" rIns="0" bIns="0">
                      <a:spAutoFit/>
                    </wps:bodyPr>
                  </wps:wsp>
                </a:graphicData>
              </a:graphic>
            </wp:anchor>
          </w:drawing>
        </mc:Choice>
        <mc:Fallback>
          <w:pict>
            <v:shapetype w14:anchorId="3CB15C77" id="_x0000_t202" coordsize="21600,21600" o:spt="202" path="m,l,21600r21600,l21600,xe">
              <v:stroke joinstyle="miter"/>
              <v:path gradientshapeok="t" o:connecttype="rect"/>
            </v:shapetype>
            <v:shape id="Shape 2301" o:spid="_x0000_s1291" type="#_x0000_t202" style="position:absolute;margin-left:569.3pt;margin-top:402.7pt;width:32.15pt;height:6.5pt;z-index:-251384832;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" filled="f" stroked="f">
              <v:textbox style="mso-fit-shape-to-text:t" inset="0,0,0,0">
                <w:txbxContent>
                  <w:p w14:paraId="092A34C5" w14:textId="77777777" w:rsidR="00924992" w:rsidRDefault="00924992">
                    <w:pPr>
                      <w:pStyle w:val="Headerorfooter0"/>
                      <w:rPr>
                        <w:sz w:val="16"/>
                        <w:szCs w:val="16"/>
                      </w:rPr>
                    </w:pPr>
                    <w:r>
                      <w:rPr>
                        <w:rFonts w:ascii="Times New Roman" w:eastAsia="Times New Roman" w:hAnsi="Times New Roman" w:cs="Times New Roman"/>
                        <w:i/>
                        <w:iCs/>
                        <w:color w:val="000000"/>
                        <w:sz w:val="16"/>
                        <w:szCs w:val="16"/>
                      </w:rPr>
                      <w:t>continúa</w:t>
                    </w:r>
                  </w:p>
                </w:txbxContent>
              </v:textbox>
              <w10:wrap anchorx="page" anchory="page"/>
            </v:shape>
          </w:pict>
        </mc:Fallback>
      </mc:AlternateContent>
    </w:r>
  </w:p>
</w:ftr>
</file>

<file path=word/footer14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717E45" w14:textId="77777777" w:rsidR="00924992" w:rsidRDefault="00924992">
    <w:pPr>
      <w:spacing w:line="1" w:lineRule="exact"/>
    </w:pPr>
    <w:r>
      <w:rPr>
        <w:noProof/>
      </w:rPr>
      <mc:AlternateContent>
        <mc:Choice Requires="wps">
          <w:drawing>
            <wp:anchor distT="0" distB="0" distL="0" distR="0" simplePos="0" relativeHeight="251930624" behindDoc="1" locked="0" layoutInCell="1" allowOverlap="1" wp14:anchorId="3DCCC530" wp14:editId="73B59947">
              <wp:simplePos x="0" y="0"/>
              <wp:positionH relativeFrom="page">
                <wp:posOffset>7230110</wp:posOffset>
              </wp:positionH>
              <wp:positionV relativeFrom="page">
                <wp:posOffset>5114290</wp:posOffset>
              </wp:positionV>
              <wp:extent cx="408305" cy="82550"/>
              <wp:effectExtent l="0" t="0" r="0" b="0"/>
              <wp:wrapNone/>
              <wp:docPr id="2299" name="Shape 2299"/>
              <wp:cNvGraphicFramePr/>
              <a:graphic xmlns:a="http://schemas.openxmlformats.org/drawingml/2006/main">
                <a:graphicData uri="http://schemas.microsoft.com/office/word/2010/wordprocessingShape">
                  <wps:wsp>
                    <wps:cNvSpPr txBox="1"/>
                    <wps:spPr>
                      <a:xfrm>
                        <a:off x="0" y="0"/>
                        <a:ext cx="408305" cy="82550"/>
                      </a:xfrm>
                      <a:prstGeom prst="rect">
                        <a:avLst/>
                      </a:prstGeom>
                      <a:noFill/>
                    </wps:spPr>
                    <wps:txbx>
                      <w:txbxContent>
                        <w:p w14:paraId="64F1BA33" w14:textId="77777777" w:rsidR="00924992" w:rsidRDefault="00924992">
                          <w:pPr>
                            <w:pStyle w:val="Headerorfooter0"/>
                            <w:rPr>
                              <w:sz w:val="16"/>
                              <w:szCs w:val="16"/>
                            </w:rPr>
                          </w:pPr>
                          <w:r>
                            <w:rPr>
                              <w:rFonts w:ascii="Times New Roman" w:eastAsia="Times New Roman" w:hAnsi="Times New Roman" w:cs="Times New Roman"/>
                              <w:i/>
                              <w:iCs/>
                              <w:color w:val="000000"/>
                              <w:sz w:val="16"/>
                              <w:szCs w:val="16"/>
                            </w:rPr>
                            <w:t>continúa</w:t>
                          </w:r>
                        </w:p>
                      </w:txbxContent>
                    </wps:txbx>
                    <wps:bodyPr wrap="none" lIns="0" tIns="0" rIns="0" bIns="0">
                      <a:spAutoFit/>
                    </wps:bodyPr>
                  </wps:wsp>
                </a:graphicData>
              </a:graphic>
            </wp:anchor>
          </w:drawing>
        </mc:Choice>
        <mc:Fallback>
          <w:pict>
            <v:shapetype w14:anchorId="3DCCC530" id="_x0000_t202" coordsize="21600,21600" o:spt="202" path="m,l,21600r21600,l21600,xe">
              <v:stroke joinstyle="miter"/>
              <v:path gradientshapeok="t" o:connecttype="rect"/>
            </v:shapetype>
            <v:shape id="Shape 2299" o:spid="_x0000_s1292" type="#_x0000_t202" style="position:absolute;margin-left:569.3pt;margin-top:402.7pt;width:32.15pt;height:6.5pt;z-index:-251385856;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" filled="f" stroked="f">
              <v:textbox style="mso-fit-shape-to-text:t" inset="0,0,0,0">
                <w:txbxContent>
                  <w:p w14:paraId="64F1BA33" w14:textId="77777777" w:rsidR="00924992" w:rsidRDefault="00924992">
                    <w:pPr>
                      <w:pStyle w:val="Headerorfooter0"/>
                      <w:rPr>
                        <w:sz w:val="16"/>
                        <w:szCs w:val="16"/>
                      </w:rPr>
                    </w:pPr>
                    <w:r>
                      <w:rPr>
                        <w:rFonts w:ascii="Times New Roman" w:eastAsia="Times New Roman" w:hAnsi="Times New Roman" w:cs="Times New Roman"/>
                        <w:i/>
                        <w:iCs/>
                        <w:color w:val="000000"/>
                        <w:sz w:val="16"/>
                        <w:szCs w:val="16"/>
                      </w:rPr>
                      <w:t>continúa</w:t>
                    </w:r>
                  </w:p>
                </w:txbxContent>
              </v:textbox>
              <w10:wrap anchorx="page" anchory="page"/>
            </v:shape>
          </w:pict>
        </mc:Fallback>
      </mc:AlternateContent>
    </w:r>
  </w:p>
</w:ftr>
</file>

<file path=word/footer14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86D787" w14:textId="77777777" w:rsidR="00924992" w:rsidRDefault="00924992">
    <w:pPr>
      <w:spacing w:line="1" w:lineRule="exact"/>
    </w:pPr>
  </w:p>
</w:ftr>
</file>

<file path=word/footer14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1D054A" w14:textId="77777777" w:rsidR="00924992" w:rsidRDefault="00924992">
    <w:pPr>
      <w:spacing w:line="1" w:lineRule="exact"/>
    </w:pPr>
  </w:p>
</w:ftr>
</file>

<file path=word/footer14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8820A5" w14:textId="77777777" w:rsidR="00924992" w:rsidRDefault="00924992">
    <w:pPr>
      <w:spacing w:line="1" w:lineRule="exact"/>
    </w:pPr>
    <w:r>
      <w:rPr>
        <w:noProof/>
      </w:rPr>
      <mc:AlternateContent>
        <mc:Choice Requires="wps">
          <w:drawing>
            <wp:anchor distT="0" distB="0" distL="0" distR="0" simplePos="0" relativeHeight="251933696" behindDoc="1" locked="0" layoutInCell="1" allowOverlap="1" wp14:anchorId="18C626A4" wp14:editId="04C52026">
              <wp:simplePos x="0" y="0"/>
              <wp:positionH relativeFrom="page">
                <wp:posOffset>7230110</wp:posOffset>
              </wp:positionH>
              <wp:positionV relativeFrom="page">
                <wp:posOffset>5114290</wp:posOffset>
              </wp:positionV>
              <wp:extent cx="408305" cy="82550"/>
              <wp:effectExtent l="0" t="0" r="0" b="0"/>
              <wp:wrapNone/>
              <wp:docPr id="2309" name="Shape 2309"/>
              <wp:cNvGraphicFramePr/>
              <a:graphic xmlns:a="http://schemas.openxmlformats.org/drawingml/2006/main">
                <a:graphicData uri="http://schemas.microsoft.com/office/word/2010/wordprocessingShape">
                  <wps:wsp>
                    <wps:cNvSpPr txBox="1"/>
                    <wps:spPr>
                      <a:xfrm>
                        <a:off x="0" y="0"/>
                        <a:ext cx="408305" cy="82550"/>
                      </a:xfrm>
                      <a:prstGeom prst="rect">
                        <a:avLst/>
                      </a:prstGeom>
                      <a:noFill/>
                    </wps:spPr>
                    <wps:txbx>
                      <w:txbxContent>
                        <w:p w14:paraId="7DEA0EF3" w14:textId="77777777" w:rsidR="00924992" w:rsidRDefault="00924992">
                          <w:pPr>
                            <w:pStyle w:val="Headerorfooter0"/>
                            <w:rPr>
                              <w:sz w:val="16"/>
                              <w:szCs w:val="16"/>
                            </w:rPr>
                          </w:pPr>
                          <w:r>
                            <w:rPr>
                              <w:rFonts w:ascii="Times New Roman" w:eastAsia="Times New Roman" w:hAnsi="Times New Roman" w:cs="Times New Roman"/>
                              <w:i/>
                              <w:iCs/>
                              <w:color w:val="000000"/>
                              <w:sz w:val="16"/>
                              <w:szCs w:val="16"/>
                            </w:rPr>
                            <w:t>continúa</w:t>
                          </w:r>
                        </w:p>
                      </w:txbxContent>
                    </wps:txbx>
                    <wps:bodyPr wrap="none" lIns="0" tIns="0" rIns="0" bIns="0">
                      <a:spAutoFit/>
                    </wps:bodyPr>
                  </wps:wsp>
                </a:graphicData>
              </a:graphic>
            </wp:anchor>
          </w:drawing>
        </mc:Choice>
        <mc:Fallback>
          <w:pict>
            <v:shapetype w14:anchorId="18C626A4" id="_x0000_t202" coordsize="21600,21600" o:spt="202" path="m,l,21600r21600,l21600,xe">
              <v:stroke joinstyle="miter"/>
              <v:path gradientshapeok="t" o:connecttype="rect"/>
            </v:shapetype>
            <v:shape id="Shape 2309" o:spid="_x0000_s1293" type="#_x0000_t202" style="position:absolute;margin-left:569.3pt;margin-top:402.7pt;width:32.15pt;height:6.5pt;z-index:-251382784;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" filled="f" stroked="f">
              <v:textbox style="mso-fit-shape-to-text:t" inset="0,0,0,0">
                <w:txbxContent>
                  <w:p w14:paraId="7DEA0EF3" w14:textId="77777777" w:rsidR="00924992" w:rsidRDefault="00924992">
                    <w:pPr>
                      <w:pStyle w:val="Headerorfooter0"/>
                      <w:rPr>
                        <w:sz w:val="16"/>
                        <w:szCs w:val="16"/>
                      </w:rPr>
                    </w:pPr>
                    <w:r>
                      <w:rPr>
                        <w:rFonts w:ascii="Times New Roman" w:eastAsia="Times New Roman" w:hAnsi="Times New Roman" w:cs="Times New Roman"/>
                        <w:i/>
                        <w:iCs/>
                        <w:color w:val="000000"/>
                        <w:sz w:val="16"/>
                        <w:szCs w:val="16"/>
                      </w:rPr>
                      <w:t>continúa</w:t>
                    </w:r>
                  </w:p>
                </w:txbxContent>
              </v:textbox>
              <w10:wrap anchorx="page" anchory="page"/>
            </v:shape>
          </w:pict>
        </mc:Fallback>
      </mc:AlternateContent>
    </w:r>
  </w:p>
</w:ftr>
</file>

<file path=word/footer14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DED1E7" w14:textId="77777777" w:rsidR="00924992" w:rsidRDefault="00924992">
    <w:pPr>
      <w:spacing w:line="1" w:lineRule="exact"/>
    </w:pPr>
    <w:r>
      <w:rPr>
        <w:noProof/>
      </w:rPr>
      <mc:AlternateContent>
        <mc:Choice Requires="wps">
          <w:drawing>
            <wp:anchor distT="0" distB="0" distL="0" distR="0" simplePos="0" relativeHeight="251932672" behindDoc="1" locked="0" layoutInCell="1" allowOverlap="1" wp14:anchorId="196EF89F" wp14:editId="5144A2AF">
              <wp:simplePos x="0" y="0"/>
              <wp:positionH relativeFrom="page">
                <wp:posOffset>7230110</wp:posOffset>
              </wp:positionH>
              <wp:positionV relativeFrom="page">
                <wp:posOffset>5114290</wp:posOffset>
              </wp:positionV>
              <wp:extent cx="408305" cy="82550"/>
              <wp:effectExtent l="0" t="0" r="0" b="0"/>
              <wp:wrapNone/>
              <wp:docPr id="2307" name="Shape 2307"/>
              <wp:cNvGraphicFramePr/>
              <a:graphic xmlns:a="http://schemas.openxmlformats.org/drawingml/2006/main">
                <a:graphicData uri="http://schemas.microsoft.com/office/word/2010/wordprocessingShape">
                  <wps:wsp>
                    <wps:cNvSpPr txBox="1"/>
                    <wps:spPr>
                      <a:xfrm>
                        <a:off x="0" y="0"/>
                        <a:ext cx="408305" cy="82550"/>
                      </a:xfrm>
                      <a:prstGeom prst="rect">
                        <a:avLst/>
                      </a:prstGeom>
                      <a:noFill/>
                    </wps:spPr>
                    <wps:txbx>
                      <w:txbxContent>
                        <w:p w14:paraId="6D28FD95" w14:textId="77777777" w:rsidR="00924992" w:rsidRDefault="00924992">
                          <w:pPr>
                            <w:pStyle w:val="Headerorfooter0"/>
                            <w:rPr>
                              <w:sz w:val="16"/>
                              <w:szCs w:val="16"/>
                            </w:rPr>
                          </w:pPr>
                          <w:r>
                            <w:rPr>
                              <w:rFonts w:ascii="Times New Roman" w:eastAsia="Times New Roman" w:hAnsi="Times New Roman" w:cs="Times New Roman"/>
                              <w:i/>
                              <w:iCs/>
                              <w:color w:val="000000"/>
                              <w:sz w:val="16"/>
                              <w:szCs w:val="16"/>
                            </w:rPr>
                            <w:t>continúa</w:t>
                          </w:r>
                        </w:p>
                      </w:txbxContent>
                    </wps:txbx>
                    <wps:bodyPr wrap="none" lIns="0" tIns="0" rIns="0" bIns="0">
                      <a:spAutoFit/>
                    </wps:bodyPr>
                  </wps:wsp>
                </a:graphicData>
              </a:graphic>
            </wp:anchor>
          </w:drawing>
        </mc:Choice>
        <mc:Fallback>
          <w:pict>
            <v:shapetype w14:anchorId="196EF89F" id="_x0000_t202" coordsize="21600,21600" o:spt="202" path="m,l,21600r21600,l21600,xe">
              <v:stroke joinstyle="miter"/>
              <v:path gradientshapeok="t" o:connecttype="rect"/>
            </v:shapetype>
            <v:shape id="Shape 2307" o:spid="_x0000_s1294" type="#_x0000_t202" style="position:absolute;margin-left:569.3pt;margin-top:402.7pt;width:32.15pt;height:6.5pt;z-index:-251383808;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" filled="f" stroked="f">
              <v:textbox style="mso-fit-shape-to-text:t" inset="0,0,0,0">
                <w:txbxContent>
                  <w:p w14:paraId="6D28FD95" w14:textId="77777777" w:rsidR="00924992" w:rsidRDefault="00924992">
                    <w:pPr>
                      <w:pStyle w:val="Headerorfooter0"/>
                      <w:rPr>
                        <w:sz w:val="16"/>
                        <w:szCs w:val="16"/>
                      </w:rPr>
                    </w:pPr>
                    <w:r>
                      <w:rPr>
                        <w:rFonts w:ascii="Times New Roman" w:eastAsia="Times New Roman" w:hAnsi="Times New Roman" w:cs="Times New Roman"/>
                        <w:i/>
                        <w:iCs/>
                        <w:color w:val="000000"/>
                        <w:sz w:val="16"/>
                        <w:szCs w:val="16"/>
                      </w:rPr>
                      <w:t>continúa</w:t>
                    </w:r>
                  </w:p>
                </w:txbxContent>
              </v:textbox>
              <w10:wrap anchorx="page" anchory="page"/>
            </v:shape>
          </w:pict>
        </mc:Fallback>
      </mc:AlternateContent>
    </w:r>
  </w:p>
</w:ftr>
</file>

<file path=word/footer14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AA1D0F" w14:textId="77777777" w:rsidR="00924992" w:rsidRDefault="00924992">
    <w:pPr>
      <w:spacing w:line="1" w:lineRule="exact"/>
    </w:pPr>
  </w:p>
</w:ftr>
</file>

<file path=word/footer14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74F760" w14:textId="77777777" w:rsidR="00924992" w:rsidRDefault="00924992">
    <w:pPr>
      <w:spacing w:line="1" w:lineRule="exact"/>
    </w:pPr>
  </w:p>
</w:ftr>
</file>

<file path=word/footer14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9392DC" w14:textId="77777777" w:rsidR="00924992" w:rsidRDefault="00924992">
    <w:pPr>
      <w:spacing w:line="1" w:lineRule="exact"/>
    </w:pPr>
    <w:r>
      <w:rPr>
        <w:noProof/>
      </w:rPr>
      <mc:AlternateContent>
        <mc:Choice Requires="wps">
          <w:drawing>
            <wp:anchor distT="0" distB="0" distL="0" distR="0" simplePos="0" relativeHeight="251935744" behindDoc="1" locked="0" layoutInCell="1" allowOverlap="1" wp14:anchorId="5121F2E2" wp14:editId="1E6FA3BE">
              <wp:simplePos x="0" y="0"/>
              <wp:positionH relativeFrom="page">
                <wp:posOffset>7239000</wp:posOffset>
              </wp:positionH>
              <wp:positionV relativeFrom="page">
                <wp:posOffset>5010785</wp:posOffset>
              </wp:positionV>
              <wp:extent cx="408305" cy="82550"/>
              <wp:effectExtent l="0" t="0" r="0" b="0"/>
              <wp:wrapNone/>
              <wp:docPr id="2313" name="Shape 2313"/>
              <wp:cNvGraphicFramePr/>
              <a:graphic xmlns:a="http://schemas.openxmlformats.org/drawingml/2006/main">
                <a:graphicData uri="http://schemas.microsoft.com/office/word/2010/wordprocessingShape">
                  <wps:wsp>
                    <wps:cNvSpPr txBox="1"/>
                    <wps:spPr>
                      <a:xfrm>
                        <a:off x="0" y="0"/>
                        <a:ext cx="408305" cy="82550"/>
                      </a:xfrm>
                      <a:prstGeom prst="rect">
                        <a:avLst/>
                      </a:prstGeom>
                      <a:noFill/>
                    </wps:spPr>
                    <wps:txbx>
                      <w:txbxContent>
                        <w:p w14:paraId="6F42245A" w14:textId="77777777" w:rsidR="00924992" w:rsidRDefault="00924992">
                          <w:pPr>
                            <w:pStyle w:val="Headerorfooter0"/>
                            <w:rPr>
                              <w:sz w:val="16"/>
                              <w:szCs w:val="16"/>
                            </w:rPr>
                          </w:pPr>
                          <w:r>
                            <w:rPr>
                              <w:rFonts w:ascii="Times New Roman" w:eastAsia="Times New Roman" w:hAnsi="Times New Roman" w:cs="Times New Roman"/>
                              <w:i/>
                              <w:iCs/>
                              <w:color w:val="000000"/>
                              <w:sz w:val="16"/>
                              <w:szCs w:val="16"/>
                            </w:rPr>
                            <w:t>continúa</w:t>
                          </w:r>
                        </w:p>
                      </w:txbxContent>
                    </wps:txbx>
                    <wps:bodyPr wrap="none" lIns="0" tIns="0" rIns="0" bIns="0">
                      <a:spAutoFit/>
                    </wps:bodyPr>
                  </wps:wsp>
                </a:graphicData>
              </a:graphic>
            </wp:anchor>
          </w:drawing>
        </mc:Choice>
        <mc:Fallback>
          <w:pict>
            <v:shapetype w14:anchorId="5121F2E2" id="_x0000_t202" coordsize="21600,21600" o:spt="202" path="m,l,21600r21600,l21600,xe">
              <v:stroke joinstyle="miter"/>
              <v:path gradientshapeok="t" o:connecttype="rect"/>
            </v:shapetype>
            <v:shape id="Shape 2313" o:spid="_x0000_s1295" type="#_x0000_t202" style="position:absolute;margin-left:570pt;margin-top:394.55pt;width:32.15pt;height:6.5pt;z-index:-251380736;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" filled="f" stroked="f">
              <v:textbox style="mso-fit-shape-to-text:t" inset="0,0,0,0">
                <w:txbxContent>
                  <w:p w14:paraId="6F42245A" w14:textId="77777777" w:rsidR="00924992" w:rsidRDefault="00924992">
                    <w:pPr>
                      <w:pStyle w:val="Headerorfooter0"/>
                      <w:rPr>
                        <w:sz w:val="16"/>
                        <w:szCs w:val="16"/>
                      </w:rPr>
                    </w:pPr>
                    <w:r>
                      <w:rPr>
                        <w:rFonts w:ascii="Times New Roman" w:eastAsia="Times New Roman" w:hAnsi="Times New Roman" w:cs="Times New Roman"/>
                        <w:i/>
                        <w:iCs/>
                        <w:color w:val="000000"/>
                        <w:sz w:val="16"/>
                        <w:szCs w:val="16"/>
                      </w:rPr>
                      <w:t>continúa</w:t>
                    </w:r>
                  </w:p>
                </w:txbxContent>
              </v:textbox>
              <w10:wrap anchorx="page" anchory="page"/>
            </v:shape>
          </w:pict>
        </mc:Fallback>
      </mc:AlternateContent>
    </w:r>
  </w:p>
</w:ftr>
</file>

<file path=word/footer14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40EA45" w14:textId="77777777" w:rsidR="00924992" w:rsidRDefault="00924992">
    <w:pPr>
      <w:spacing w:line="1" w:lineRule="exact"/>
    </w:pPr>
    <w:r>
      <w:rPr>
        <w:noProof/>
      </w:rPr>
      <mc:AlternateContent>
        <mc:Choice Requires="wps">
          <w:drawing>
            <wp:anchor distT="0" distB="0" distL="0" distR="0" simplePos="0" relativeHeight="251934720" behindDoc="1" locked="0" layoutInCell="1" allowOverlap="1" wp14:anchorId="3BE9691F" wp14:editId="04728D7A">
              <wp:simplePos x="0" y="0"/>
              <wp:positionH relativeFrom="page">
                <wp:posOffset>7239000</wp:posOffset>
              </wp:positionH>
              <wp:positionV relativeFrom="page">
                <wp:posOffset>5010785</wp:posOffset>
              </wp:positionV>
              <wp:extent cx="408305" cy="82550"/>
              <wp:effectExtent l="0" t="0" r="0" b="0"/>
              <wp:wrapNone/>
              <wp:docPr id="2311" name="Shape 2311"/>
              <wp:cNvGraphicFramePr/>
              <a:graphic xmlns:a="http://schemas.openxmlformats.org/drawingml/2006/main">
                <a:graphicData uri="http://schemas.microsoft.com/office/word/2010/wordprocessingShape">
                  <wps:wsp>
                    <wps:cNvSpPr txBox="1"/>
                    <wps:spPr>
                      <a:xfrm>
                        <a:off x="0" y="0"/>
                        <a:ext cx="408305" cy="82550"/>
                      </a:xfrm>
                      <a:prstGeom prst="rect">
                        <a:avLst/>
                      </a:prstGeom>
                      <a:noFill/>
                    </wps:spPr>
                    <wps:txbx>
                      <w:txbxContent>
                        <w:p w14:paraId="6B8DD255" w14:textId="77777777" w:rsidR="00924992" w:rsidRDefault="00924992">
                          <w:pPr>
                            <w:pStyle w:val="Headerorfooter0"/>
                            <w:rPr>
                              <w:sz w:val="16"/>
                              <w:szCs w:val="16"/>
                            </w:rPr>
                          </w:pPr>
                          <w:r>
                            <w:rPr>
                              <w:rFonts w:ascii="Times New Roman" w:eastAsia="Times New Roman" w:hAnsi="Times New Roman" w:cs="Times New Roman"/>
                              <w:i/>
                              <w:iCs/>
                              <w:color w:val="000000"/>
                              <w:sz w:val="16"/>
                              <w:szCs w:val="16"/>
                            </w:rPr>
                            <w:t>continúa</w:t>
                          </w:r>
                        </w:p>
                      </w:txbxContent>
                    </wps:txbx>
                    <wps:bodyPr wrap="none" lIns="0" tIns="0" rIns="0" bIns="0">
                      <a:spAutoFit/>
                    </wps:bodyPr>
                  </wps:wsp>
                </a:graphicData>
              </a:graphic>
            </wp:anchor>
          </w:drawing>
        </mc:Choice>
        <mc:Fallback>
          <w:pict>
            <v:shapetype w14:anchorId="3BE9691F" id="_x0000_t202" coordsize="21600,21600" o:spt="202" path="m,l,21600r21600,l21600,xe">
              <v:stroke joinstyle="miter"/>
              <v:path gradientshapeok="t" o:connecttype="rect"/>
            </v:shapetype>
            <v:shape id="Shape 2311" o:spid="_x0000_s1296" type="#_x0000_t202" style="position:absolute;margin-left:570pt;margin-top:394.55pt;width:32.15pt;height:6.5pt;z-index:-251381760;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" filled="f" stroked="f">
              <v:textbox style="mso-fit-shape-to-text:t" inset="0,0,0,0">
                <w:txbxContent>
                  <w:p w14:paraId="6B8DD255" w14:textId="77777777" w:rsidR="00924992" w:rsidRDefault="00924992">
                    <w:pPr>
                      <w:pStyle w:val="Headerorfooter0"/>
                      <w:rPr>
                        <w:sz w:val="16"/>
                        <w:szCs w:val="16"/>
                      </w:rPr>
                    </w:pPr>
                    <w:r>
                      <w:rPr>
                        <w:rFonts w:ascii="Times New Roman" w:eastAsia="Times New Roman" w:hAnsi="Times New Roman" w:cs="Times New Roman"/>
                        <w:i/>
                        <w:iCs/>
                        <w:color w:val="000000"/>
                        <w:sz w:val="16"/>
                        <w:szCs w:val="16"/>
                      </w:rPr>
                      <w:t>continúa</w:t>
                    </w:r>
                  </w:p>
                </w:txbxContent>
              </v:textbox>
              <w10:wrap anchorx="page" anchory="page"/>
            </v:shape>
          </w:pict>
        </mc:Fallback>
      </mc:AlternateContent>
    </w:r>
  </w:p>
</w:ftr>
</file>

<file path=word/footer14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638D2D" w14:textId="77777777" w:rsidR="00924992" w:rsidRDefault="00924992">
    <w:pPr>
      <w:spacing w:line="1" w:lineRule="exact"/>
    </w:pPr>
  </w:p>
</w:ftr>
</file>

<file path=word/footer15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CB72B2" w14:textId="77777777" w:rsidR="00924992" w:rsidRDefault="00924992">
    <w:pPr>
      <w:spacing w:line="1" w:lineRule="exact"/>
    </w:pPr>
    <w:r>
      <w:rPr>
        <w:noProof/>
      </w:rPr>
      <mc:AlternateContent>
        <mc:Choice Requires="wps">
          <w:drawing>
            <wp:anchor distT="0" distB="0" distL="0" distR="0" simplePos="0" relativeHeight="251936768" behindDoc="1" locked="0" layoutInCell="1" allowOverlap="1" wp14:anchorId="39AA322D" wp14:editId="5153AC4F">
              <wp:simplePos x="0" y="0"/>
              <wp:positionH relativeFrom="page">
                <wp:posOffset>7230110</wp:posOffset>
              </wp:positionH>
              <wp:positionV relativeFrom="page">
                <wp:posOffset>5114290</wp:posOffset>
              </wp:positionV>
              <wp:extent cx="408305" cy="82550"/>
              <wp:effectExtent l="0" t="0" r="0" b="0"/>
              <wp:wrapNone/>
              <wp:docPr id="2319" name="Shape 2319"/>
              <wp:cNvGraphicFramePr/>
              <a:graphic xmlns:a="http://schemas.openxmlformats.org/drawingml/2006/main">
                <a:graphicData uri="http://schemas.microsoft.com/office/word/2010/wordprocessingShape">
                  <wps:wsp>
                    <wps:cNvSpPr txBox="1"/>
                    <wps:spPr>
                      <a:xfrm>
                        <a:off x="0" y="0"/>
                        <a:ext cx="408305" cy="82550"/>
                      </a:xfrm>
                      <a:prstGeom prst="rect">
                        <a:avLst/>
                      </a:prstGeom>
                      <a:noFill/>
                    </wps:spPr>
                    <wps:txbx>
                      <w:txbxContent>
                        <w:p w14:paraId="1A571CE4" w14:textId="77777777" w:rsidR="00924992" w:rsidRDefault="00924992">
                          <w:pPr>
                            <w:pStyle w:val="Headerorfooter0"/>
                            <w:rPr>
                              <w:sz w:val="16"/>
                              <w:szCs w:val="16"/>
                            </w:rPr>
                          </w:pPr>
                          <w:r>
                            <w:rPr>
                              <w:rFonts w:ascii="Times New Roman" w:eastAsia="Times New Roman" w:hAnsi="Times New Roman" w:cs="Times New Roman"/>
                              <w:i/>
                              <w:iCs/>
                              <w:color w:val="000000"/>
                              <w:sz w:val="16"/>
                              <w:szCs w:val="16"/>
                            </w:rPr>
                            <w:t>continúa</w:t>
                          </w:r>
                        </w:p>
                      </w:txbxContent>
                    </wps:txbx>
                    <wps:bodyPr wrap="none" lIns="0" tIns="0" rIns="0" bIns="0">
                      <a:spAutoFit/>
                    </wps:bodyPr>
                  </wps:wsp>
                </a:graphicData>
              </a:graphic>
            </wp:anchor>
          </w:drawing>
        </mc:Choice>
        <mc:Fallback>
          <w:pict>
            <v:shapetype w14:anchorId="39AA322D" id="_x0000_t202" coordsize="21600,21600" o:spt="202" path="m,l,21600r21600,l21600,xe">
              <v:stroke joinstyle="miter"/>
              <v:path gradientshapeok="t" o:connecttype="rect"/>
            </v:shapetype>
            <v:shape id="Shape 2319" o:spid="_x0000_s1297" type="#_x0000_t202" style="position:absolute;margin-left:569.3pt;margin-top:402.7pt;width:32.15pt;height:6.5pt;z-index:-251379712;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" filled="f" stroked="f">
              <v:textbox style="mso-fit-shape-to-text:t" inset="0,0,0,0">
                <w:txbxContent>
                  <w:p w14:paraId="1A571CE4" w14:textId="77777777" w:rsidR="00924992" w:rsidRDefault="00924992">
                    <w:pPr>
                      <w:pStyle w:val="Headerorfooter0"/>
                      <w:rPr>
                        <w:sz w:val="16"/>
                        <w:szCs w:val="16"/>
                      </w:rPr>
                    </w:pPr>
                    <w:r>
                      <w:rPr>
                        <w:rFonts w:ascii="Times New Roman" w:eastAsia="Times New Roman" w:hAnsi="Times New Roman" w:cs="Times New Roman"/>
                        <w:i/>
                        <w:iCs/>
                        <w:color w:val="000000"/>
                        <w:sz w:val="16"/>
                        <w:szCs w:val="16"/>
                      </w:rPr>
                      <w:t>continúa</w:t>
                    </w:r>
                  </w:p>
                </w:txbxContent>
              </v:textbox>
              <w10:wrap anchorx="page" anchory="page"/>
            </v:shape>
          </w:pict>
        </mc:Fallback>
      </mc:AlternateContent>
    </w:r>
  </w:p>
</w:ftr>
</file>

<file path=word/footer15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DCA3E2" w14:textId="77777777" w:rsidR="00924992" w:rsidRDefault="00924992">
    <w:pPr>
      <w:spacing w:line="1" w:lineRule="exact"/>
    </w:pPr>
    <w:r>
      <w:rPr>
        <w:noProof/>
      </w:rPr>
      <mc:AlternateContent>
        <mc:Choice Requires="wps">
          <w:drawing>
            <wp:anchor distT="0" distB="0" distL="0" distR="0" simplePos="0" relativeHeight="251938816" behindDoc="1" locked="0" layoutInCell="1" allowOverlap="1" wp14:anchorId="120622E0" wp14:editId="1074AC7E">
              <wp:simplePos x="0" y="0"/>
              <wp:positionH relativeFrom="page">
                <wp:posOffset>7230110</wp:posOffset>
              </wp:positionH>
              <wp:positionV relativeFrom="page">
                <wp:posOffset>5114290</wp:posOffset>
              </wp:positionV>
              <wp:extent cx="408305" cy="82550"/>
              <wp:effectExtent l="0" t="0" r="0" b="0"/>
              <wp:wrapNone/>
              <wp:docPr id="2323" name="Shape 2323"/>
              <wp:cNvGraphicFramePr/>
              <a:graphic xmlns:a="http://schemas.openxmlformats.org/drawingml/2006/main">
                <a:graphicData uri="http://schemas.microsoft.com/office/word/2010/wordprocessingShape">
                  <wps:wsp>
                    <wps:cNvSpPr txBox="1"/>
                    <wps:spPr>
                      <a:xfrm>
                        <a:off x="0" y="0"/>
                        <a:ext cx="408305" cy="82550"/>
                      </a:xfrm>
                      <a:prstGeom prst="rect">
                        <a:avLst/>
                      </a:prstGeom>
                      <a:noFill/>
                    </wps:spPr>
                    <wps:txbx>
                      <w:txbxContent>
                        <w:p w14:paraId="565A1382" w14:textId="77777777" w:rsidR="00924992" w:rsidRDefault="00924992">
                          <w:pPr>
                            <w:pStyle w:val="Headerorfooter0"/>
                            <w:rPr>
                              <w:sz w:val="16"/>
                              <w:szCs w:val="16"/>
                            </w:rPr>
                          </w:pPr>
                          <w:r>
                            <w:rPr>
                              <w:rFonts w:ascii="Times New Roman" w:eastAsia="Times New Roman" w:hAnsi="Times New Roman" w:cs="Times New Roman"/>
                              <w:i/>
                              <w:iCs/>
                              <w:color w:val="000000"/>
                              <w:sz w:val="16"/>
                              <w:szCs w:val="16"/>
                            </w:rPr>
                            <w:t>continúa</w:t>
                          </w:r>
                        </w:p>
                      </w:txbxContent>
                    </wps:txbx>
                    <wps:bodyPr wrap="none" lIns="0" tIns="0" rIns="0" bIns="0">
                      <a:spAutoFit/>
                    </wps:bodyPr>
                  </wps:wsp>
                </a:graphicData>
              </a:graphic>
            </wp:anchor>
          </w:drawing>
        </mc:Choice>
        <mc:Fallback>
          <w:pict>
            <v:shapetype w14:anchorId="120622E0" id="_x0000_t202" coordsize="21600,21600" o:spt="202" path="m,l,21600r21600,l21600,xe">
              <v:stroke joinstyle="miter"/>
              <v:path gradientshapeok="t" o:connecttype="rect"/>
            </v:shapetype>
            <v:shape id="Shape 2323" o:spid="_x0000_s1298" type="#_x0000_t202" style="position:absolute;margin-left:569.3pt;margin-top:402.7pt;width:32.15pt;height:6.5pt;z-index:-251377664;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" filled="f" stroked="f">
              <v:textbox style="mso-fit-shape-to-text:t" inset="0,0,0,0">
                <w:txbxContent>
                  <w:p w14:paraId="565A1382" w14:textId="77777777" w:rsidR="00924992" w:rsidRDefault="00924992">
                    <w:pPr>
                      <w:pStyle w:val="Headerorfooter0"/>
                      <w:rPr>
                        <w:sz w:val="16"/>
                        <w:szCs w:val="16"/>
                      </w:rPr>
                    </w:pPr>
                    <w:r>
                      <w:rPr>
                        <w:rFonts w:ascii="Times New Roman" w:eastAsia="Times New Roman" w:hAnsi="Times New Roman" w:cs="Times New Roman"/>
                        <w:i/>
                        <w:iCs/>
                        <w:color w:val="000000"/>
                        <w:sz w:val="16"/>
                        <w:szCs w:val="16"/>
                      </w:rPr>
                      <w:t>continúa</w:t>
                    </w:r>
                  </w:p>
                </w:txbxContent>
              </v:textbox>
              <w10:wrap anchorx="page" anchory="page"/>
            </v:shape>
          </w:pict>
        </mc:Fallback>
      </mc:AlternateContent>
    </w:r>
  </w:p>
</w:ftr>
</file>

<file path=word/footer15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9BFF9A" w14:textId="77777777" w:rsidR="00924992" w:rsidRDefault="00924992">
    <w:pPr>
      <w:spacing w:line="1" w:lineRule="exact"/>
    </w:pPr>
    <w:r>
      <w:rPr>
        <w:noProof/>
      </w:rPr>
      <mc:AlternateContent>
        <mc:Choice Requires="wps">
          <w:drawing>
            <wp:anchor distT="0" distB="0" distL="0" distR="0" simplePos="0" relativeHeight="251937792" behindDoc="1" locked="0" layoutInCell="1" allowOverlap="1" wp14:anchorId="670A0B54" wp14:editId="07618024">
              <wp:simplePos x="0" y="0"/>
              <wp:positionH relativeFrom="page">
                <wp:posOffset>7230110</wp:posOffset>
              </wp:positionH>
              <wp:positionV relativeFrom="page">
                <wp:posOffset>5114290</wp:posOffset>
              </wp:positionV>
              <wp:extent cx="408305" cy="82550"/>
              <wp:effectExtent l="0" t="0" r="0" b="0"/>
              <wp:wrapNone/>
              <wp:docPr id="2321" name="Shape 2321"/>
              <wp:cNvGraphicFramePr/>
              <a:graphic xmlns:a="http://schemas.openxmlformats.org/drawingml/2006/main">
                <a:graphicData uri="http://schemas.microsoft.com/office/word/2010/wordprocessingShape">
                  <wps:wsp>
                    <wps:cNvSpPr txBox="1"/>
                    <wps:spPr>
                      <a:xfrm>
                        <a:off x="0" y="0"/>
                        <a:ext cx="408305" cy="82550"/>
                      </a:xfrm>
                      <a:prstGeom prst="rect">
                        <a:avLst/>
                      </a:prstGeom>
                      <a:noFill/>
                    </wps:spPr>
                    <wps:txbx>
                      <w:txbxContent>
                        <w:p w14:paraId="4039DB29" w14:textId="77777777" w:rsidR="00924992" w:rsidRDefault="00924992">
                          <w:pPr>
                            <w:pStyle w:val="Headerorfooter0"/>
                            <w:rPr>
                              <w:sz w:val="16"/>
                              <w:szCs w:val="16"/>
                            </w:rPr>
                          </w:pPr>
                          <w:r>
                            <w:rPr>
                              <w:rFonts w:ascii="Times New Roman" w:eastAsia="Times New Roman" w:hAnsi="Times New Roman" w:cs="Times New Roman"/>
                              <w:i/>
                              <w:iCs/>
                              <w:color w:val="000000"/>
                              <w:sz w:val="16"/>
                              <w:szCs w:val="16"/>
                            </w:rPr>
                            <w:t>continúa</w:t>
                          </w:r>
                        </w:p>
                      </w:txbxContent>
                    </wps:txbx>
                    <wps:bodyPr wrap="none" lIns="0" tIns="0" rIns="0" bIns="0">
                      <a:spAutoFit/>
                    </wps:bodyPr>
                  </wps:wsp>
                </a:graphicData>
              </a:graphic>
            </wp:anchor>
          </w:drawing>
        </mc:Choice>
        <mc:Fallback>
          <w:pict>
            <v:shapetype w14:anchorId="670A0B54" id="_x0000_t202" coordsize="21600,21600" o:spt="202" path="m,l,21600r21600,l21600,xe">
              <v:stroke joinstyle="miter"/>
              <v:path gradientshapeok="t" o:connecttype="rect"/>
            </v:shapetype>
            <v:shape id="Shape 2321" o:spid="_x0000_s1299" type="#_x0000_t202" style="position:absolute;margin-left:569.3pt;margin-top:402.7pt;width:32.15pt;height:6.5pt;z-index:-251378688;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" filled="f" stroked="f">
              <v:textbox style="mso-fit-shape-to-text:t" inset="0,0,0,0">
                <w:txbxContent>
                  <w:p w14:paraId="4039DB29" w14:textId="77777777" w:rsidR="00924992" w:rsidRDefault="00924992">
                    <w:pPr>
                      <w:pStyle w:val="Headerorfooter0"/>
                      <w:rPr>
                        <w:sz w:val="16"/>
                        <w:szCs w:val="16"/>
                      </w:rPr>
                    </w:pPr>
                    <w:r>
                      <w:rPr>
                        <w:rFonts w:ascii="Times New Roman" w:eastAsia="Times New Roman" w:hAnsi="Times New Roman" w:cs="Times New Roman"/>
                        <w:i/>
                        <w:iCs/>
                        <w:color w:val="000000"/>
                        <w:sz w:val="16"/>
                        <w:szCs w:val="16"/>
                      </w:rPr>
                      <w:t>continúa</w:t>
                    </w:r>
                  </w:p>
                </w:txbxContent>
              </v:textbox>
              <w10:wrap anchorx="page" anchory="page"/>
            </v:shape>
          </w:pict>
        </mc:Fallback>
      </mc:AlternateContent>
    </w:r>
  </w:p>
</w:ftr>
</file>

<file path=word/footer15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E8A99A" w14:textId="77777777" w:rsidR="00924992" w:rsidRDefault="00924992">
    <w:pPr>
      <w:spacing w:line="1" w:lineRule="exact"/>
    </w:pPr>
  </w:p>
</w:ftr>
</file>

<file path=word/footer15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307FA9" w14:textId="77777777" w:rsidR="00924992" w:rsidRDefault="00924992">
    <w:pPr>
      <w:spacing w:line="1" w:lineRule="exact"/>
    </w:pPr>
  </w:p>
</w:ftr>
</file>

<file path=word/footer15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7516B6" w14:textId="77777777" w:rsidR="00924992" w:rsidRDefault="00924992">
    <w:pPr>
      <w:spacing w:line="1" w:lineRule="exact"/>
    </w:pPr>
    <w:r>
      <w:rPr>
        <w:noProof/>
      </w:rPr>
      <mc:AlternateContent>
        <mc:Choice Requires="wps">
          <w:drawing>
            <wp:anchor distT="0" distB="0" distL="0" distR="0" simplePos="0" relativeHeight="251940864" behindDoc="1" locked="0" layoutInCell="1" allowOverlap="1" wp14:anchorId="427DAAC3" wp14:editId="6A0CD1D4">
              <wp:simplePos x="0" y="0"/>
              <wp:positionH relativeFrom="page">
                <wp:posOffset>7239000</wp:posOffset>
              </wp:positionH>
              <wp:positionV relativeFrom="page">
                <wp:posOffset>4599305</wp:posOffset>
              </wp:positionV>
              <wp:extent cx="408305" cy="82550"/>
              <wp:effectExtent l="0" t="0" r="0" b="0"/>
              <wp:wrapNone/>
              <wp:docPr id="2327" name="Shape 2327"/>
              <wp:cNvGraphicFramePr/>
              <a:graphic xmlns:a="http://schemas.openxmlformats.org/drawingml/2006/main">
                <a:graphicData uri="http://schemas.microsoft.com/office/word/2010/wordprocessingShape">
                  <wps:wsp>
                    <wps:cNvSpPr txBox="1"/>
                    <wps:spPr>
                      <a:xfrm>
                        <a:off x="0" y="0"/>
                        <a:ext cx="408305" cy="82550"/>
                      </a:xfrm>
                      <a:prstGeom prst="rect">
                        <a:avLst/>
                      </a:prstGeom>
                      <a:noFill/>
                    </wps:spPr>
                    <wps:txbx>
                      <w:txbxContent>
                        <w:p w14:paraId="4D12C921" w14:textId="77777777" w:rsidR="00924992" w:rsidRDefault="00924992">
                          <w:pPr>
                            <w:pStyle w:val="Headerorfooter0"/>
                            <w:rPr>
                              <w:sz w:val="16"/>
                              <w:szCs w:val="16"/>
                            </w:rPr>
                          </w:pPr>
                          <w:r>
                            <w:rPr>
                              <w:rFonts w:ascii="Times New Roman" w:eastAsia="Times New Roman" w:hAnsi="Times New Roman" w:cs="Times New Roman"/>
                              <w:i/>
                              <w:iCs/>
                              <w:color w:val="000000"/>
                              <w:sz w:val="16"/>
                              <w:szCs w:val="16"/>
                            </w:rPr>
                            <w:t>continúa</w:t>
                          </w:r>
                        </w:p>
                      </w:txbxContent>
                    </wps:txbx>
                    <wps:bodyPr wrap="none" lIns="0" tIns="0" rIns="0" bIns="0">
                      <a:spAutoFit/>
                    </wps:bodyPr>
                  </wps:wsp>
                </a:graphicData>
              </a:graphic>
            </wp:anchor>
          </w:drawing>
        </mc:Choice>
        <mc:Fallback>
          <w:pict>
            <v:shapetype w14:anchorId="427DAAC3" id="_x0000_t202" coordsize="21600,21600" o:spt="202" path="m,l,21600r21600,l21600,xe">
              <v:stroke joinstyle="miter"/>
              <v:path gradientshapeok="t" o:connecttype="rect"/>
            </v:shapetype>
            <v:shape id="Shape 2327" o:spid="_x0000_s1300" type="#_x0000_t202" style="position:absolute;margin-left:570pt;margin-top:362.15pt;width:32.15pt;height:6.5pt;z-index:-251375616;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" filled="f" stroked="f">
              <v:textbox style="mso-fit-shape-to-text:t" inset="0,0,0,0">
                <w:txbxContent>
                  <w:p w14:paraId="4D12C921" w14:textId="77777777" w:rsidR="00924992" w:rsidRDefault="00924992">
                    <w:pPr>
                      <w:pStyle w:val="Headerorfooter0"/>
                      <w:rPr>
                        <w:sz w:val="16"/>
                        <w:szCs w:val="16"/>
                      </w:rPr>
                    </w:pPr>
                    <w:r>
                      <w:rPr>
                        <w:rFonts w:ascii="Times New Roman" w:eastAsia="Times New Roman" w:hAnsi="Times New Roman" w:cs="Times New Roman"/>
                        <w:i/>
                        <w:iCs/>
                        <w:color w:val="000000"/>
                        <w:sz w:val="16"/>
                        <w:szCs w:val="16"/>
                      </w:rPr>
                      <w:t>continúa</w:t>
                    </w:r>
                  </w:p>
                </w:txbxContent>
              </v:textbox>
              <w10:wrap anchorx="page" anchory="page"/>
            </v:shape>
          </w:pict>
        </mc:Fallback>
      </mc:AlternateContent>
    </w:r>
  </w:p>
</w:ftr>
</file>

<file path=word/footer15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F19F94" w14:textId="77777777" w:rsidR="00924992" w:rsidRDefault="00924992">
    <w:pPr>
      <w:spacing w:line="1" w:lineRule="exact"/>
    </w:pPr>
    <w:r>
      <w:rPr>
        <w:noProof/>
      </w:rPr>
      <mc:AlternateContent>
        <mc:Choice Requires="wps">
          <w:drawing>
            <wp:anchor distT="0" distB="0" distL="0" distR="0" simplePos="0" relativeHeight="251939840" behindDoc="1" locked="0" layoutInCell="1" allowOverlap="1" wp14:anchorId="08DAADCD" wp14:editId="484A47A5">
              <wp:simplePos x="0" y="0"/>
              <wp:positionH relativeFrom="page">
                <wp:posOffset>7239000</wp:posOffset>
              </wp:positionH>
              <wp:positionV relativeFrom="page">
                <wp:posOffset>4599305</wp:posOffset>
              </wp:positionV>
              <wp:extent cx="408305" cy="82550"/>
              <wp:effectExtent l="0" t="0" r="0" b="0"/>
              <wp:wrapNone/>
              <wp:docPr id="2325" name="Shape 2325"/>
              <wp:cNvGraphicFramePr/>
              <a:graphic xmlns:a="http://schemas.openxmlformats.org/drawingml/2006/main">
                <a:graphicData uri="http://schemas.microsoft.com/office/word/2010/wordprocessingShape">
                  <wps:wsp>
                    <wps:cNvSpPr txBox="1"/>
                    <wps:spPr>
                      <a:xfrm>
                        <a:off x="0" y="0"/>
                        <a:ext cx="408305" cy="82550"/>
                      </a:xfrm>
                      <a:prstGeom prst="rect">
                        <a:avLst/>
                      </a:prstGeom>
                      <a:noFill/>
                    </wps:spPr>
                    <wps:txbx>
                      <w:txbxContent>
                        <w:p w14:paraId="70C165F7" w14:textId="77777777" w:rsidR="00924992" w:rsidRDefault="00924992">
                          <w:pPr>
                            <w:pStyle w:val="Headerorfooter0"/>
                            <w:rPr>
                              <w:sz w:val="16"/>
                              <w:szCs w:val="16"/>
                            </w:rPr>
                          </w:pPr>
                          <w:r>
                            <w:rPr>
                              <w:rFonts w:ascii="Times New Roman" w:eastAsia="Times New Roman" w:hAnsi="Times New Roman" w:cs="Times New Roman"/>
                              <w:i/>
                              <w:iCs/>
                              <w:color w:val="000000"/>
                              <w:sz w:val="16"/>
                              <w:szCs w:val="16"/>
                            </w:rPr>
                            <w:t>continúa</w:t>
                          </w:r>
                        </w:p>
                      </w:txbxContent>
                    </wps:txbx>
                    <wps:bodyPr wrap="none" lIns="0" tIns="0" rIns="0" bIns="0">
                      <a:spAutoFit/>
                    </wps:bodyPr>
                  </wps:wsp>
                </a:graphicData>
              </a:graphic>
            </wp:anchor>
          </w:drawing>
        </mc:Choice>
        <mc:Fallback>
          <w:pict>
            <v:shapetype w14:anchorId="08DAADCD" id="_x0000_t202" coordsize="21600,21600" o:spt="202" path="m,l,21600r21600,l21600,xe">
              <v:stroke joinstyle="miter"/>
              <v:path gradientshapeok="t" o:connecttype="rect"/>
            </v:shapetype>
            <v:shape id="Shape 2325" o:spid="_x0000_s1301" type="#_x0000_t202" style="position:absolute;margin-left:570pt;margin-top:362.15pt;width:32.15pt;height:6.5pt;z-index:-251376640;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" filled="f" stroked="f">
              <v:textbox style="mso-fit-shape-to-text:t" inset="0,0,0,0">
                <w:txbxContent>
                  <w:p w14:paraId="70C165F7" w14:textId="77777777" w:rsidR="00924992" w:rsidRDefault="00924992">
                    <w:pPr>
                      <w:pStyle w:val="Headerorfooter0"/>
                      <w:rPr>
                        <w:sz w:val="16"/>
                        <w:szCs w:val="16"/>
                      </w:rPr>
                    </w:pPr>
                    <w:r>
                      <w:rPr>
                        <w:rFonts w:ascii="Times New Roman" w:eastAsia="Times New Roman" w:hAnsi="Times New Roman" w:cs="Times New Roman"/>
                        <w:i/>
                        <w:iCs/>
                        <w:color w:val="000000"/>
                        <w:sz w:val="16"/>
                        <w:szCs w:val="16"/>
                      </w:rPr>
                      <w:t>continúa</w:t>
                    </w:r>
                  </w:p>
                </w:txbxContent>
              </v:textbox>
              <w10:wrap anchorx="page" anchory="page"/>
            </v:shape>
          </w:pict>
        </mc:Fallback>
      </mc:AlternateContent>
    </w:r>
  </w:p>
</w:ftr>
</file>

<file path=word/footer15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92FDBA" w14:textId="77777777" w:rsidR="00924992" w:rsidRDefault="00924992">
    <w:pPr>
      <w:spacing w:line="1" w:lineRule="exact"/>
    </w:pPr>
    <w:r>
      <w:rPr>
        <w:noProof/>
      </w:rPr>
      <mc:AlternateContent>
        <mc:Choice Requires="wps">
          <w:drawing>
            <wp:anchor distT="0" distB="0" distL="0" distR="0" simplePos="0" relativeHeight="251942912" behindDoc="1" locked="0" layoutInCell="1" allowOverlap="1" wp14:anchorId="64AB6B4B" wp14:editId="1F3FFABC">
              <wp:simplePos x="0" y="0"/>
              <wp:positionH relativeFrom="page">
                <wp:posOffset>7230110</wp:posOffset>
              </wp:positionH>
              <wp:positionV relativeFrom="page">
                <wp:posOffset>5114290</wp:posOffset>
              </wp:positionV>
              <wp:extent cx="408305" cy="82550"/>
              <wp:effectExtent l="0" t="0" r="0" b="0"/>
              <wp:wrapNone/>
              <wp:docPr id="2331" name="Shape 2331"/>
              <wp:cNvGraphicFramePr/>
              <a:graphic xmlns:a="http://schemas.openxmlformats.org/drawingml/2006/main">
                <a:graphicData uri="http://schemas.microsoft.com/office/word/2010/wordprocessingShape">
                  <wps:wsp>
                    <wps:cNvSpPr txBox="1"/>
                    <wps:spPr>
                      <a:xfrm>
                        <a:off x="0" y="0"/>
                        <a:ext cx="408305" cy="82550"/>
                      </a:xfrm>
                      <a:prstGeom prst="rect">
                        <a:avLst/>
                      </a:prstGeom>
                      <a:noFill/>
                    </wps:spPr>
                    <wps:txbx>
                      <w:txbxContent>
                        <w:p w14:paraId="12203332" w14:textId="77777777" w:rsidR="00924992" w:rsidRDefault="00924992">
                          <w:pPr>
                            <w:pStyle w:val="Headerorfooter0"/>
                            <w:rPr>
                              <w:sz w:val="16"/>
                              <w:szCs w:val="16"/>
                            </w:rPr>
                          </w:pPr>
                          <w:r>
                            <w:rPr>
                              <w:rFonts w:ascii="Times New Roman" w:eastAsia="Times New Roman" w:hAnsi="Times New Roman" w:cs="Times New Roman"/>
                              <w:i/>
                              <w:iCs/>
                              <w:color w:val="000000"/>
                              <w:sz w:val="16"/>
                              <w:szCs w:val="16"/>
                            </w:rPr>
                            <w:t>continúa</w:t>
                          </w:r>
                        </w:p>
                      </w:txbxContent>
                    </wps:txbx>
                    <wps:bodyPr wrap="none" lIns="0" tIns="0" rIns="0" bIns="0">
                      <a:spAutoFit/>
                    </wps:bodyPr>
                  </wps:wsp>
                </a:graphicData>
              </a:graphic>
            </wp:anchor>
          </w:drawing>
        </mc:Choice>
        <mc:Fallback>
          <w:pict>
            <v:shapetype w14:anchorId="64AB6B4B" id="_x0000_t202" coordsize="21600,21600" o:spt="202" path="m,l,21600r21600,l21600,xe">
              <v:stroke joinstyle="miter"/>
              <v:path gradientshapeok="t" o:connecttype="rect"/>
            </v:shapetype>
            <v:shape id="Shape 2331" o:spid="_x0000_s1302" type="#_x0000_t202" style="position:absolute;margin-left:569.3pt;margin-top:402.7pt;width:32.15pt;height:6.5pt;z-index:-251373568;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" filled="f" stroked="f">
              <v:textbox style="mso-fit-shape-to-text:t" inset="0,0,0,0">
                <w:txbxContent>
                  <w:p w14:paraId="12203332" w14:textId="77777777" w:rsidR="00924992" w:rsidRDefault="00924992">
                    <w:pPr>
                      <w:pStyle w:val="Headerorfooter0"/>
                      <w:rPr>
                        <w:sz w:val="16"/>
                        <w:szCs w:val="16"/>
                      </w:rPr>
                    </w:pPr>
                    <w:r>
                      <w:rPr>
                        <w:rFonts w:ascii="Times New Roman" w:eastAsia="Times New Roman" w:hAnsi="Times New Roman" w:cs="Times New Roman"/>
                        <w:i/>
                        <w:iCs/>
                        <w:color w:val="000000"/>
                        <w:sz w:val="16"/>
                        <w:szCs w:val="16"/>
                      </w:rPr>
                      <w:t>continúa</w:t>
                    </w:r>
                  </w:p>
                </w:txbxContent>
              </v:textbox>
              <w10:wrap anchorx="page" anchory="page"/>
            </v:shape>
          </w:pict>
        </mc:Fallback>
      </mc:AlternateContent>
    </w:r>
  </w:p>
</w:ftr>
</file>

<file path=word/footer15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6C926D" w14:textId="77777777" w:rsidR="00924992" w:rsidRDefault="00924992">
    <w:pPr>
      <w:spacing w:line="1" w:lineRule="exact"/>
    </w:pPr>
    <w:r>
      <w:rPr>
        <w:noProof/>
      </w:rPr>
      <mc:AlternateContent>
        <mc:Choice Requires="wps">
          <w:drawing>
            <wp:anchor distT="0" distB="0" distL="0" distR="0" simplePos="0" relativeHeight="251941888" behindDoc="1" locked="0" layoutInCell="1" allowOverlap="1" wp14:anchorId="7482B3A5" wp14:editId="5532A75E">
              <wp:simplePos x="0" y="0"/>
              <wp:positionH relativeFrom="page">
                <wp:posOffset>7230110</wp:posOffset>
              </wp:positionH>
              <wp:positionV relativeFrom="page">
                <wp:posOffset>5114290</wp:posOffset>
              </wp:positionV>
              <wp:extent cx="408305" cy="82550"/>
              <wp:effectExtent l="0" t="0" r="0" b="0"/>
              <wp:wrapNone/>
              <wp:docPr id="2329" name="Shape 2329"/>
              <wp:cNvGraphicFramePr/>
              <a:graphic xmlns:a="http://schemas.openxmlformats.org/drawingml/2006/main">
                <a:graphicData uri="http://schemas.microsoft.com/office/word/2010/wordprocessingShape">
                  <wps:wsp>
                    <wps:cNvSpPr txBox="1"/>
                    <wps:spPr>
                      <a:xfrm>
                        <a:off x="0" y="0"/>
                        <a:ext cx="408305" cy="82550"/>
                      </a:xfrm>
                      <a:prstGeom prst="rect">
                        <a:avLst/>
                      </a:prstGeom>
                      <a:noFill/>
                    </wps:spPr>
                    <wps:txbx>
                      <w:txbxContent>
                        <w:p w14:paraId="7D5FEC61" w14:textId="77777777" w:rsidR="00924992" w:rsidRDefault="00924992">
                          <w:pPr>
                            <w:pStyle w:val="Headerorfooter0"/>
                            <w:rPr>
                              <w:sz w:val="16"/>
                              <w:szCs w:val="16"/>
                            </w:rPr>
                          </w:pPr>
                          <w:r>
                            <w:rPr>
                              <w:rFonts w:ascii="Times New Roman" w:eastAsia="Times New Roman" w:hAnsi="Times New Roman" w:cs="Times New Roman"/>
                              <w:i/>
                              <w:iCs/>
                              <w:color w:val="000000"/>
                              <w:sz w:val="16"/>
                              <w:szCs w:val="16"/>
                            </w:rPr>
                            <w:t>continúa</w:t>
                          </w:r>
                        </w:p>
                      </w:txbxContent>
                    </wps:txbx>
                    <wps:bodyPr wrap="none" lIns="0" tIns="0" rIns="0" bIns="0">
                      <a:spAutoFit/>
                    </wps:bodyPr>
                  </wps:wsp>
                </a:graphicData>
              </a:graphic>
            </wp:anchor>
          </w:drawing>
        </mc:Choice>
        <mc:Fallback>
          <w:pict>
            <v:shapetype w14:anchorId="7482B3A5" id="_x0000_t202" coordsize="21600,21600" o:spt="202" path="m,l,21600r21600,l21600,xe">
              <v:stroke joinstyle="miter"/>
              <v:path gradientshapeok="t" o:connecttype="rect"/>
            </v:shapetype>
            <v:shape id="Shape 2329" o:spid="_x0000_s1303" type="#_x0000_t202" style="position:absolute;margin-left:569.3pt;margin-top:402.7pt;width:32.15pt;height:6.5pt;z-index:-251374592;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" filled="f" stroked="f">
              <v:textbox style="mso-fit-shape-to-text:t" inset="0,0,0,0">
                <w:txbxContent>
                  <w:p w14:paraId="7D5FEC61" w14:textId="77777777" w:rsidR="00924992" w:rsidRDefault="00924992">
                    <w:pPr>
                      <w:pStyle w:val="Headerorfooter0"/>
                      <w:rPr>
                        <w:sz w:val="16"/>
                        <w:szCs w:val="16"/>
                      </w:rPr>
                    </w:pPr>
                    <w:r>
                      <w:rPr>
                        <w:rFonts w:ascii="Times New Roman" w:eastAsia="Times New Roman" w:hAnsi="Times New Roman" w:cs="Times New Roman"/>
                        <w:i/>
                        <w:iCs/>
                        <w:color w:val="000000"/>
                        <w:sz w:val="16"/>
                        <w:szCs w:val="16"/>
                      </w:rPr>
                      <w:t>continúa</w:t>
                    </w:r>
                  </w:p>
                </w:txbxContent>
              </v:textbox>
              <w10:wrap anchorx="page" anchory="page"/>
            </v:shape>
          </w:pict>
        </mc:Fallback>
      </mc:AlternateContent>
    </w:r>
  </w:p>
</w:ftr>
</file>

<file path=word/footer15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29A847" w14:textId="77777777" w:rsidR="00924992" w:rsidRDefault="00924992">
    <w:pPr>
      <w:spacing w:line="1" w:lineRule="exact"/>
    </w:pPr>
  </w:p>
</w:ftr>
</file>

<file path=word/footer16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FAC6DC" w14:textId="77777777" w:rsidR="00924992" w:rsidRDefault="00924992">
    <w:pPr>
      <w:spacing w:line="1" w:lineRule="exact"/>
    </w:pPr>
  </w:p>
</w:ftr>
</file>

<file path=word/footer16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DC82B3" w14:textId="77777777" w:rsidR="00924992" w:rsidRDefault="00924992">
    <w:pPr>
      <w:spacing w:line="1" w:lineRule="exact"/>
    </w:pPr>
    <w:r>
      <w:rPr>
        <w:noProof/>
      </w:rPr>
      <mc:AlternateContent>
        <mc:Choice Requires="wps">
          <w:drawing>
            <wp:anchor distT="0" distB="0" distL="0" distR="0" simplePos="0" relativeHeight="251945984" behindDoc="1" locked="0" layoutInCell="1" allowOverlap="1" wp14:anchorId="6C8CDFCF" wp14:editId="737302A1">
              <wp:simplePos x="0" y="0"/>
              <wp:positionH relativeFrom="page">
                <wp:posOffset>7230110</wp:posOffset>
              </wp:positionH>
              <wp:positionV relativeFrom="page">
                <wp:posOffset>5114290</wp:posOffset>
              </wp:positionV>
              <wp:extent cx="408305" cy="82550"/>
              <wp:effectExtent l="0" t="0" r="0" b="0"/>
              <wp:wrapNone/>
              <wp:docPr id="2344" name="Shape 2344"/>
              <wp:cNvGraphicFramePr/>
              <a:graphic xmlns:a="http://schemas.openxmlformats.org/drawingml/2006/main">
                <a:graphicData uri="http://schemas.microsoft.com/office/word/2010/wordprocessingShape">
                  <wps:wsp>
                    <wps:cNvSpPr txBox="1"/>
                    <wps:spPr>
                      <a:xfrm>
                        <a:off x="0" y="0"/>
                        <a:ext cx="408305" cy="82550"/>
                      </a:xfrm>
                      <a:prstGeom prst="rect">
                        <a:avLst/>
                      </a:prstGeom>
                      <a:noFill/>
                    </wps:spPr>
                    <wps:txbx>
                      <w:txbxContent>
                        <w:p w14:paraId="6D657ADF" w14:textId="77777777" w:rsidR="00924992" w:rsidRDefault="00924992">
                          <w:pPr>
                            <w:pStyle w:val="Headerorfooter0"/>
                            <w:rPr>
                              <w:sz w:val="16"/>
                              <w:szCs w:val="16"/>
                            </w:rPr>
                          </w:pPr>
                          <w:r>
                            <w:rPr>
                              <w:rFonts w:ascii="Times New Roman" w:eastAsia="Times New Roman" w:hAnsi="Times New Roman" w:cs="Times New Roman"/>
                              <w:i/>
                              <w:iCs/>
                              <w:color w:val="000000"/>
                              <w:sz w:val="16"/>
                              <w:szCs w:val="16"/>
                            </w:rPr>
                            <w:t>continúa</w:t>
                          </w:r>
                        </w:p>
                      </w:txbxContent>
                    </wps:txbx>
                    <wps:bodyPr wrap="none" lIns="0" tIns="0" rIns="0" bIns="0">
                      <a:spAutoFit/>
                    </wps:bodyPr>
                  </wps:wsp>
                </a:graphicData>
              </a:graphic>
            </wp:anchor>
          </w:drawing>
        </mc:Choice>
        <mc:Fallback>
          <w:pict>
            <v:shapetype w14:anchorId="6C8CDFCF" id="_x0000_t202" coordsize="21600,21600" o:spt="202" path="m,l,21600r21600,l21600,xe">
              <v:stroke joinstyle="miter"/>
              <v:path gradientshapeok="t" o:connecttype="rect"/>
            </v:shapetype>
            <v:shape id="Shape 2344" o:spid="_x0000_s1305" type="#_x0000_t202" style="position:absolute;margin-left:569.3pt;margin-top:402.7pt;width:32.15pt;height:6.5pt;z-index:-251370496;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" filled="f" stroked="f">
              <v:textbox style="mso-fit-shape-to-text:t" inset="0,0,0,0">
                <w:txbxContent>
                  <w:p w14:paraId="6D657ADF" w14:textId="77777777" w:rsidR="00924992" w:rsidRDefault="00924992">
                    <w:pPr>
                      <w:pStyle w:val="Headerorfooter0"/>
                      <w:rPr>
                        <w:sz w:val="16"/>
                        <w:szCs w:val="16"/>
                      </w:rPr>
                    </w:pPr>
                    <w:r>
                      <w:rPr>
                        <w:rFonts w:ascii="Times New Roman" w:eastAsia="Times New Roman" w:hAnsi="Times New Roman" w:cs="Times New Roman"/>
                        <w:i/>
                        <w:iCs/>
                        <w:color w:val="000000"/>
                        <w:sz w:val="16"/>
                        <w:szCs w:val="16"/>
                      </w:rPr>
                      <w:t>continúa</w:t>
                    </w:r>
                  </w:p>
                </w:txbxContent>
              </v:textbox>
              <w10:wrap anchorx="page" anchory="page"/>
            </v:shape>
          </w:pict>
        </mc:Fallback>
      </mc:AlternateContent>
    </w:r>
  </w:p>
</w:ftr>
</file>

<file path=word/footer16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633479" w14:textId="77777777" w:rsidR="00924992" w:rsidRDefault="00924992">
    <w:pPr>
      <w:spacing w:line="1" w:lineRule="exact"/>
    </w:pPr>
    <w:r>
      <w:rPr>
        <w:noProof/>
      </w:rPr>
      <mc:AlternateContent>
        <mc:Choice Requires="wps">
          <w:drawing>
            <wp:anchor distT="0" distB="0" distL="0" distR="0" simplePos="0" relativeHeight="251944960" behindDoc="1" locked="0" layoutInCell="1" allowOverlap="1" wp14:anchorId="1E38D333" wp14:editId="050B16FC">
              <wp:simplePos x="0" y="0"/>
              <wp:positionH relativeFrom="page">
                <wp:posOffset>7230110</wp:posOffset>
              </wp:positionH>
              <wp:positionV relativeFrom="page">
                <wp:posOffset>5114290</wp:posOffset>
              </wp:positionV>
              <wp:extent cx="408305" cy="82550"/>
              <wp:effectExtent l="0" t="0" r="0" b="0"/>
              <wp:wrapNone/>
              <wp:docPr id="2342" name="Shape 2342"/>
              <wp:cNvGraphicFramePr/>
              <a:graphic xmlns:a="http://schemas.openxmlformats.org/drawingml/2006/main">
                <a:graphicData uri="http://schemas.microsoft.com/office/word/2010/wordprocessingShape">
                  <wps:wsp>
                    <wps:cNvSpPr txBox="1"/>
                    <wps:spPr>
                      <a:xfrm>
                        <a:off x="0" y="0"/>
                        <a:ext cx="408305" cy="82550"/>
                      </a:xfrm>
                      <a:prstGeom prst="rect">
                        <a:avLst/>
                      </a:prstGeom>
                      <a:noFill/>
                    </wps:spPr>
                    <wps:txbx>
                      <w:txbxContent>
                        <w:p w14:paraId="310F0148" w14:textId="77777777" w:rsidR="00924992" w:rsidRDefault="00924992">
                          <w:pPr>
                            <w:pStyle w:val="Headerorfooter0"/>
                            <w:rPr>
                              <w:sz w:val="16"/>
                              <w:szCs w:val="16"/>
                            </w:rPr>
                          </w:pPr>
                          <w:r>
                            <w:rPr>
                              <w:rFonts w:ascii="Times New Roman" w:eastAsia="Times New Roman" w:hAnsi="Times New Roman" w:cs="Times New Roman"/>
                              <w:i/>
                              <w:iCs/>
                              <w:color w:val="000000"/>
                              <w:sz w:val="16"/>
                              <w:szCs w:val="16"/>
                            </w:rPr>
                            <w:t>continúa</w:t>
                          </w:r>
                        </w:p>
                      </w:txbxContent>
                    </wps:txbx>
                    <wps:bodyPr wrap="none" lIns="0" tIns="0" rIns="0" bIns="0">
                      <a:spAutoFit/>
                    </wps:bodyPr>
                  </wps:wsp>
                </a:graphicData>
              </a:graphic>
            </wp:anchor>
          </w:drawing>
        </mc:Choice>
        <mc:Fallback>
          <w:pict>
            <v:shapetype w14:anchorId="1E38D333" id="_x0000_t202" coordsize="21600,21600" o:spt="202" path="m,l,21600r21600,l21600,xe">
              <v:stroke joinstyle="miter"/>
              <v:path gradientshapeok="t" o:connecttype="rect"/>
            </v:shapetype>
            <v:shape id="Shape 2342" o:spid="_x0000_s1306" type="#_x0000_t202" style="position:absolute;margin-left:569.3pt;margin-top:402.7pt;width:32.15pt;height:6.5pt;z-index:-251371520;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" filled="f" stroked="f">
              <v:textbox style="mso-fit-shape-to-text:t" inset="0,0,0,0">
                <w:txbxContent>
                  <w:p w14:paraId="310F0148" w14:textId="77777777" w:rsidR="00924992" w:rsidRDefault="00924992">
                    <w:pPr>
                      <w:pStyle w:val="Headerorfooter0"/>
                      <w:rPr>
                        <w:sz w:val="16"/>
                        <w:szCs w:val="16"/>
                      </w:rPr>
                    </w:pPr>
                    <w:r>
                      <w:rPr>
                        <w:rFonts w:ascii="Times New Roman" w:eastAsia="Times New Roman" w:hAnsi="Times New Roman" w:cs="Times New Roman"/>
                        <w:i/>
                        <w:iCs/>
                        <w:color w:val="000000"/>
                        <w:sz w:val="16"/>
                        <w:szCs w:val="16"/>
                      </w:rPr>
                      <w:t>continúa</w:t>
                    </w:r>
                  </w:p>
                </w:txbxContent>
              </v:textbox>
              <w10:wrap anchorx="page" anchory="page"/>
            </v:shape>
          </w:pict>
        </mc:Fallback>
      </mc:AlternateContent>
    </w:r>
  </w:p>
</w:ftr>
</file>

<file path=word/footer16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D5F70F" w14:textId="77777777" w:rsidR="00924992" w:rsidRDefault="00924992">
    <w:pPr>
      <w:spacing w:line="1" w:lineRule="exact"/>
    </w:pPr>
  </w:p>
</w:ftr>
</file>

<file path=word/footer16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541E37" w14:textId="77777777" w:rsidR="00924992" w:rsidRDefault="00924992">
    <w:pPr>
      <w:spacing w:line="1" w:lineRule="exact"/>
    </w:pPr>
    <w:r>
      <w:rPr>
        <w:noProof/>
      </w:rPr>
      <mc:AlternateContent>
        <mc:Choice Requires="wps">
          <w:drawing>
            <wp:anchor distT="0" distB="0" distL="0" distR="0" simplePos="0" relativeHeight="251947008" behindDoc="1" locked="0" layoutInCell="1" allowOverlap="1" wp14:anchorId="157D71A7" wp14:editId="087DDEAD">
              <wp:simplePos x="0" y="0"/>
              <wp:positionH relativeFrom="page">
                <wp:posOffset>7230110</wp:posOffset>
              </wp:positionH>
              <wp:positionV relativeFrom="page">
                <wp:posOffset>5114290</wp:posOffset>
              </wp:positionV>
              <wp:extent cx="408305" cy="82550"/>
              <wp:effectExtent l="0" t="0" r="0" b="0"/>
              <wp:wrapNone/>
              <wp:docPr id="2366" name="Shape 2366"/>
              <wp:cNvGraphicFramePr/>
              <a:graphic xmlns:a="http://schemas.openxmlformats.org/drawingml/2006/main">
                <a:graphicData uri="http://schemas.microsoft.com/office/word/2010/wordprocessingShape">
                  <wps:wsp>
                    <wps:cNvSpPr txBox="1"/>
                    <wps:spPr>
                      <a:xfrm>
                        <a:off x="0" y="0"/>
                        <a:ext cx="408305" cy="82550"/>
                      </a:xfrm>
                      <a:prstGeom prst="rect">
                        <a:avLst/>
                      </a:prstGeom>
                      <a:noFill/>
                    </wps:spPr>
                    <wps:txbx>
                      <w:txbxContent>
                        <w:p w14:paraId="4C5AA9FD" w14:textId="77777777" w:rsidR="00924992" w:rsidRDefault="00924992">
                          <w:pPr>
                            <w:pStyle w:val="Headerorfooter0"/>
                            <w:rPr>
                              <w:sz w:val="16"/>
                              <w:szCs w:val="16"/>
                            </w:rPr>
                          </w:pPr>
                          <w:r>
                            <w:rPr>
                              <w:rFonts w:ascii="Times New Roman" w:eastAsia="Times New Roman" w:hAnsi="Times New Roman" w:cs="Times New Roman"/>
                              <w:i/>
                              <w:iCs/>
                              <w:color w:val="000000"/>
                              <w:sz w:val="16"/>
                              <w:szCs w:val="16"/>
                            </w:rPr>
                            <w:t>continúa</w:t>
                          </w:r>
                        </w:p>
                      </w:txbxContent>
                    </wps:txbx>
                    <wps:bodyPr wrap="none" lIns="0" tIns="0" rIns="0" bIns="0">
                      <a:spAutoFit/>
                    </wps:bodyPr>
                  </wps:wsp>
                </a:graphicData>
              </a:graphic>
            </wp:anchor>
          </w:drawing>
        </mc:Choice>
        <mc:Fallback>
          <w:pict>
            <v:shapetype w14:anchorId="157D71A7" id="_x0000_t202" coordsize="21600,21600" o:spt="202" path="m,l,21600r21600,l21600,xe">
              <v:stroke joinstyle="miter"/>
              <v:path gradientshapeok="t" o:connecttype="rect"/>
            </v:shapetype>
            <v:shape id="Shape 2366" o:spid="_x0000_s1307" type="#_x0000_t202" style="position:absolute;margin-left:569.3pt;margin-top:402.7pt;width:32.15pt;height:6.5pt;z-index:-251369472;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" filled="f" stroked="f">
              <v:textbox style="mso-fit-shape-to-text:t" inset="0,0,0,0">
                <w:txbxContent>
                  <w:p w14:paraId="4C5AA9FD" w14:textId="77777777" w:rsidR="00924992" w:rsidRDefault="00924992">
                    <w:pPr>
                      <w:pStyle w:val="Headerorfooter0"/>
                      <w:rPr>
                        <w:sz w:val="16"/>
                        <w:szCs w:val="16"/>
                      </w:rPr>
                    </w:pPr>
                    <w:r>
                      <w:rPr>
                        <w:rFonts w:ascii="Times New Roman" w:eastAsia="Times New Roman" w:hAnsi="Times New Roman" w:cs="Times New Roman"/>
                        <w:i/>
                        <w:iCs/>
                        <w:color w:val="000000"/>
                        <w:sz w:val="16"/>
                        <w:szCs w:val="16"/>
                      </w:rPr>
                      <w:t>continúa</w:t>
                    </w:r>
                  </w:p>
                </w:txbxContent>
              </v:textbox>
              <w10:wrap anchorx="page" anchory="page"/>
            </v:shape>
          </w:pict>
        </mc:Fallback>
      </mc:AlternateContent>
    </w:r>
  </w:p>
</w:ftr>
</file>

<file path=word/footer16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B6750B" w14:textId="77777777" w:rsidR="00924992" w:rsidRDefault="00924992">
    <w:pPr>
      <w:spacing w:line="1" w:lineRule="exact"/>
    </w:pPr>
    <w:r>
      <w:rPr>
        <w:noProof/>
      </w:rPr>
      <mc:AlternateContent>
        <mc:Choice Requires="wps">
          <w:drawing>
            <wp:anchor distT="0" distB="0" distL="0" distR="0" simplePos="0" relativeHeight="251949056" behindDoc="1" locked="0" layoutInCell="1" allowOverlap="1" wp14:anchorId="5FD43F81" wp14:editId="6C951B97">
              <wp:simplePos x="0" y="0"/>
              <wp:positionH relativeFrom="page">
                <wp:posOffset>7230110</wp:posOffset>
              </wp:positionH>
              <wp:positionV relativeFrom="page">
                <wp:posOffset>5114290</wp:posOffset>
              </wp:positionV>
              <wp:extent cx="408305" cy="82550"/>
              <wp:effectExtent l="0" t="0" r="0" b="0"/>
              <wp:wrapNone/>
              <wp:docPr id="2408" name="Shape 2408"/>
              <wp:cNvGraphicFramePr/>
              <a:graphic xmlns:a="http://schemas.openxmlformats.org/drawingml/2006/main">
                <a:graphicData uri="http://schemas.microsoft.com/office/word/2010/wordprocessingShape">
                  <wps:wsp>
                    <wps:cNvSpPr txBox="1"/>
                    <wps:spPr>
                      <a:xfrm>
                        <a:off x="0" y="0"/>
                        <a:ext cx="408305" cy="82550"/>
                      </a:xfrm>
                      <a:prstGeom prst="rect">
                        <a:avLst/>
                      </a:prstGeom>
                      <a:noFill/>
                    </wps:spPr>
                    <wps:txbx>
                      <w:txbxContent>
                        <w:p w14:paraId="00B665F3" w14:textId="77777777" w:rsidR="00924992" w:rsidRDefault="00924992">
                          <w:pPr>
                            <w:pStyle w:val="Headerorfooter0"/>
                            <w:rPr>
                              <w:sz w:val="16"/>
                              <w:szCs w:val="16"/>
                            </w:rPr>
                          </w:pPr>
                          <w:r>
                            <w:rPr>
                              <w:rFonts w:ascii="Times New Roman" w:eastAsia="Times New Roman" w:hAnsi="Times New Roman" w:cs="Times New Roman"/>
                              <w:i/>
                              <w:iCs/>
                              <w:color w:val="000000"/>
                              <w:sz w:val="16"/>
                              <w:szCs w:val="16"/>
                            </w:rPr>
                            <w:t>continúa</w:t>
                          </w:r>
                        </w:p>
                      </w:txbxContent>
                    </wps:txbx>
                    <wps:bodyPr wrap="none" lIns="0" tIns="0" rIns="0" bIns="0">
                      <a:spAutoFit/>
                    </wps:bodyPr>
                  </wps:wsp>
                </a:graphicData>
              </a:graphic>
            </wp:anchor>
          </w:drawing>
        </mc:Choice>
        <mc:Fallback>
          <w:pict>
            <v:shapetype w14:anchorId="5FD43F81" id="_x0000_t202" coordsize="21600,21600" o:spt="202" path="m,l,21600r21600,l21600,xe">
              <v:stroke joinstyle="miter"/>
              <v:path gradientshapeok="t" o:connecttype="rect"/>
            </v:shapetype>
            <v:shape id="Shape 2408" o:spid="_x0000_s1308" type="#_x0000_t202" style="position:absolute;margin-left:569.3pt;margin-top:402.7pt;width:32.15pt;height:6.5pt;z-index:-251367424;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" filled="f" stroked="f">
              <v:textbox style="mso-fit-shape-to-text:t" inset="0,0,0,0">
                <w:txbxContent>
                  <w:p w14:paraId="00B665F3" w14:textId="77777777" w:rsidR="00924992" w:rsidRDefault="00924992">
                    <w:pPr>
                      <w:pStyle w:val="Headerorfooter0"/>
                      <w:rPr>
                        <w:sz w:val="16"/>
                        <w:szCs w:val="16"/>
                      </w:rPr>
                    </w:pPr>
                    <w:r>
                      <w:rPr>
                        <w:rFonts w:ascii="Times New Roman" w:eastAsia="Times New Roman" w:hAnsi="Times New Roman" w:cs="Times New Roman"/>
                        <w:i/>
                        <w:iCs/>
                        <w:color w:val="000000"/>
                        <w:sz w:val="16"/>
                        <w:szCs w:val="16"/>
                      </w:rPr>
                      <w:t>continúa</w:t>
                    </w:r>
                  </w:p>
                </w:txbxContent>
              </v:textbox>
              <w10:wrap anchorx="page" anchory="page"/>
            </v:shape>
          </w:pict>
        </mc:Fallback>
      </mc:AlternateContent>
    </w:r>
  </w:p>
</w:ftr>
</file>

<file path=word/footer16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E4C147" w14:textId="77777777" w:rsidR="00924992" w:rsidRDefault="00924992">
    <w:pPr>
      <w:spacing w:line="1" w:lineRule="exact"/>
    </w:pPr>
    <w:r>
      <w:rPr>
        <w:noProof/>
      </w:rPr>
      <mc:AlternateContent>
        <mc:Choice Requires="wps">
          <w:drawing>
            <wp:anchor distT="0" distB="0" distL="0" distR="0" simplePos="0" relativeHeight="251948032" behindDoc="1" locked="0" layoutInCell="1" allowOverlap="1" wp14:anchorId="2F5066FE" wp14:editId="3A8BF0EC">
              <wp:simplePos x="0" y="0"/>
              <wp:positionH relativeFrom="page">
                <wp:posOffset>7230110</wp:posOffset>
              </wp:positionH>
              <wp:positionV relativeFrom="page">
                <wp:posOffset>5114290</wp:posOffset>
              </wp:positionV>
              <wp:extent cx="408305" cy="82550"/>
              <wp:effectExtent l="0" t="0" r="0" b="0"/>
              <wp:wrapNone/>
              <wp:docPr id="2406" name="Shape 2406"/>
              <wp:cNvGraphicFramePr/>
              <a:graphic xmlns:a="http://schemas.openxmlformats.org/drawingml/2006/main">
                <a:graphicData uri="http://schemas.microsoft.com/office/word/2010/wordprocessingShape">
                  <wps:wsp>
                    <wps:cNvSpPr txBox="1"/>
                    <wps:spPr>
                      <a:xfrm>
                        <a:off x="0" y="0"/>
                        <a:ext cx="408305" cy="82550"/>
                      </a:xfrm>
                      <a:prstGeom prst="rect">
                        <a:avLst/>
                      </a:prstGeom>
                      <a:noFill/>
                    </wps:spPr>
                    <wps:txbx>
                      <w:txbxContent>
                        <w:p w14:paraId="5815BF4C" w14:textId="77777777" w:rsidR="00924992" w:rsidRDefault="00924992">
                          <w:pPr>
                            <w:pStyle w:val="Headerorfooter0"/>
                            <w:rPr>
                              <w:sz w:val="16"/>
                              <w:szCs w:val="16"/>
                            </w:rPr>
                          </w:pPr>
                          <w:r>
                            <w:rPr>
                              <w:rFonts w:ascii="Times New Roman" w:eastAsia="Times New Roman" w:hAnsi="Times New Roman" w:cs="Times New Roman"/>
                              <w:i/>
                              <w:iCs/>
                              <w:color w:val="000000"/>
                              <w:sz w:val="16"/>
                              <w:szCs w:val="16"/>
                            </w:rPr>
                            <w:t>continúa</w:t>
                          </w:r>
                        </w:p>
                      </w:txbxContent>
                    </wps:txbx>
                    <wps:bodyPr wrap="none" lIns="0" tIns="0" rIns="0" bIns="0">
                      <a:spAutoFit/>
                    </wps:bodyPr>
                  </wps:wsp>
                </a:graphicData>
              </a:graphic>
            </wp:anchor>
          </w:drawing>
        </mc:Choice>
        <mc:Fallback>
          <w:pict>
            <v:shapetype w14:anchorId="2F5066FE" id="_x0000_t202" coordsize="21600,21600" o:spt="202" path="m,l,21600r21600,l21600,xe">
              <v:stroke joinstyle="miter"/>
              <v:path gradientshapeok="t" o:connecttype="rect"/>
            </v:shapetype>
            <v:shape id="Shape 2406" o:spid="_x0000_s1309" type="#_x0000_t202" style="position:absolute;margin-left:569.3pt;margin-top:402.7pt;width:32.15pt;height:6.5pt;z-index:-251368448;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" filled="f" stroked="f">
              <v:textbox style="mso-fit-shape-to-text:t" inset="0,0,0,0">
                <w:txbxContent>
                  <w:p w14:paraId="5815BF4C" w14:textId="77777777" w:rsidR="00924992" w:rsidRDefault="00924992">
                    <w:pPr>
                      <w:pStyle w:val="Headerorfooter0"/>
                      <w:rPr>
                        <w:sz w:val="16"/>
                        <w:szCs w:val="16"/>
                      </w:rPr>
                    </w:pPr>
                    <w:r>
                      <w:rPr>
                        <w:rFonts w:ascii="Times New Roman" w:eastAsia="Times New Roman" w:hAnsi="Times New Roman" w:cs="Times New Roman"/>
                        <w:i/>
                        <w:iCs/>
                        <w:color w:val="000000"/>
                        <w:sz w:val="16"/>
                        <w:szCs w:val="16"/>
                      </w:rPr>
                      <w:t>continúa</w:t>
                    </w:r>
                  </w:p>
                </w:txbxContent>
              </v:textbox>
              <w10:wrap anchorx="page" anchory="page"/>
            </v:shape>
          </w:pict>
        </mc:Fallback>
      </mc:AlternateContent>
    </w:r>
  </w:p>
</w:ftr>
</file>

<file path=word/footer16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7C06B4" w14:textId="77777777" w:rsidR="00924992" w:rsidRDefault="00924992">
    <w:pPr>
      <w:spacing w:line="1" w:lineRule="exact"/>
    </w:pPr>
  </w:p>
</w:ftr>
</file>

<file path=word/footer16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8955D4" w14:textId="77777777" w:rsidR="00924992" w:rsidRDefault="00924992">
    <w:pPr>
      <w:spacing w:line="1" w:lineRule="exact"/>
    </w:pPr>
  </w:p>
</w:ftr>
</file>

<file path=word/footer16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3D81E7" w14:textId="77777777" w:rsidR="00924992" w:rsidRDefault="00924992">
    <w:pPr>
      <w:spacing w:line="1" w:lineRule="exact"/>
    </w:pPr>
    <w:r>
      <w:rPr>
        <w:noProof/>
      </w:rPr>
      <mc:AlternateContent>
        <mc:Choice Requires="wps">
          <w:drawing>
            <wp:anchor distT="0" distB="0" distL="0" distR="0" simplePos="0" relativeHeight="251951104" behindDoc="1" locked="0" layoutInCell="1" allowOverlap="1" wp14:anchorId="25A64EA0" wp14:editId="78230F23">
              <wp:simplePos x="0" y="0"/>
              <wp:positionH relativeFrom="page">
                <wp:posOffset>7230110</wp:posOffset>
              </wp:positionH>
              <wp:positionV relativeFrom="page">
                <wp:posOffset>5114290</wp:posOffset>
              </wp:positionV>
              <wp:extent cx="408305" cy="82550"/>
              <wp:effectExtent l="0" t="0" r="0" b="0"/>
              <wp:wrapNone/>
              <wp:docPr id="2430" name="Shape 2430"/>
              <wp:cNvGraphicFramePr/>
              <a:graphic xmlns:a="http://schemas.openxmlformats.org/drawingml/2006/main">
                <a:graphicData uri="http://schemas.microsoft.com/office/word/2010/wordprocessingShape">
                  <wps:wsp>
                    <wps:cNvSpPr txBox="1"/>
                    <wps:spPr>
                      <a:xfrm>
                        <a:off x="0" y="0"/>
                        <a:ext cx="408305" cy="82550"/>
                      </a:xfrm>
                      <a:prstGeom prst="rect">
                        <a:avLst/>
                      </a:prstGeom>
                      <a:noFill/>
                    </wps:spPr>
                    <wps:txbx>
                      <w:txbxContent>
                        <w:p w14:paraId="4335B747" w14:textId="77777777" w:rsidR="00924992" w:rsidRDefault="00924992">
                          <w:pPr>
                            <w:pStyle w:val="Headerorfooter0"/>
                            <w:rPr>
                              <w:sz w:val="16"/>
                              <w:szCs w:val="16"/>
                            </w:rPr>
                          </w:pPr>
                          <w:r>
                            <w:rPr>
                              <w:rFonts w:ascii="Times New Roman" w:eastAsia="Times New Roman" w:hAnsi="Times New Roman" w:cs="Times New Roman"/>
                              <w:i/>
                              <w:iCs/>
                              <w:color w:val="000000"/>
                              <w:sz w:val="16"/>
                              <w:szCs w:val="16"/>
                            </w:rPr>
                            <w:t>continúa</w:t>
                          </w:r>
                        </w:p>
                      </w:txbxContent>
                    </wps:txbx>
                    <wps:bodyPr wrap="none" lIns="0" tIns="0" rIns="0" bIns="0">
                      <a:spAutoFit/>
                    </wps:bodyPr>
                  </wps:wsp>
                </a:graphicData>
              </a:graphic>
            </wp:anchor>
          </w:drawing>
        </mc:Choice>
        <mc:Fallback>
          <w:pict>
            <v:shapetype w14:anchorId="25A64EA0" id="_x0000_t202" coordsize="21600,21600" o:spt="202" path="m,l,21600r21600,l21600,xe">
              <v:stroke joinstyle="miter"/>
              <v:path gradientshapeok="t" o:connecttype="rect"/>
            </v:shapetype>
            <v:shape id="Shape 2430" o:spid="_x0000_s1310" type="#_x0000_t202" style="position:absolute;margin-left:569.3pt;margin-top:402.7pt;width:32.15pt;height:6.5pt;z-index:-251365376;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" filled="f" stroked="f">
              <v:textbox style="mso-fit-shape-to-text:t" inset="0,0,0,0">
                <w:txbxContent>
                  <w:p w14:paraId="4335B747" w14:textId="77777777" w:rsidR="00924992" w:rsidRDefault="00924992">
                    <w:pPr>
                      <w:pStyle w:val="Headerorfooter0"/>
                      <w:rPr>
                        <w:sz w:val="16"/>
                        <w:szCs w:val="16"/>
                      </w:rPr>
                    </w:pPr>
                    <w:r>
                      <w:rPr>
                        <w:rFonts w:ascii="Times New Roman" w:eastAsia="Times New Roman" w:hAnsi="Times New Roman" w:cs="Times New Roman"/>
                        <w:i/>
                        <w:iCs/>
                        <w:color w:val="000000"/>
                        <w:sz w:val="16"/>
                        <w:szCs w:val="16"/>
                      </w:rPr>
                      <w:t>continúa</w:t>
                    </w:r>
                  </w:p>
                </w:txbxContent>
              </v:textbox>
              <w10:wrap anchorx="page" anchory="page"/>
            </v:shape>
          </w:pict>
        </mc:Fallback>
      </mc:AlternateContent>
    </w:r>
  </w:p>
</w:ftr>
</file>

<file path=word/footer17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65AA7A" w14:textId="77777777" w:rsidR="00924992" w:rsidRDefault="00924992">
    <w:pPr>
      <w:spacing w:line="1" w:lineRule="exact"/>
    </w:pPr>
    <w:r>
      <w:rPr>
        <w:noProof/>
      </w:rPr>
      <mc:AlternateContent>
        <mc:Choice Requires="wps">
          <w:drawing>
            <wp:anchor distT="0" distB="0" distL="0" distR="0" simplePos="0" relativeHeight="251950080" behindDoc="1" locked="0" layoutInCell="1" allowOverlap="1" wp14:anchorId="7408A8B3" wp14:editId="0B3CC5F4">
              <wp:simplePos x="0" y="0"/>
              <wp:positionH relativeFrom="page">
                <wp:posOffset>7230110</wp:posOffset>
              </wp:positionH>
              <wp:positionV relativeFrom="page">
                <wp:posOffset>5114290</wp:posOffset>
              </wp:positionV>
              <wp:extent cx="408305" cy="82550"/>
              <wp:effectExtent l="0" t="0" r="0" b="0"/>
              <wp:wrapNone/>
              <wp:docPr id="2428" name="Shape 2428"/>
              <wp:cNvGraphicFramePr/>
              <a:graphic xmlns:a="http://schemas.openxmlformats.org/drawingml/2006/main">
                <a:graphicData uri="http://schemas.microsoft.com/office/word/2010/wordprocessingShape">
                  <wps:wsp>
                    <wps:cNvSpPr txBox="1"/>
                    <wps:spPr>
                      <a:xfrm>
                        <a:off x="0" y="0"/>
                        <a:ext cx="408305" cy="82550"/>
                      </a:xfrm>
                      <a:prstGeom prst="rect">
                        <a:avLst/>
                      </a:prstGeom>
                      <a:noFill/>
                    </wps:spPr>
                    <wps:txbx>
                      <w:txbxContent>
                        <w:p w14:paraId="6663666F" w14:textId="77777777" w:rsidR="00924992" w:rsidRDefault="00924992">
                          <w:pPr>
                            <w:pStyle w:val="Headerorfooter0"/>
                            <w:rPr>
                              <w:sz w:val="16"/>
                              <w:szCs w:val="16"/>
                            </w:rPr>
                          </w:pPr>
                          <w:r>
                            <w:rPr>
                              <w:rFonts w:ascii="Times New Roman" w:eastAsia="Times New Roman" w:hAnsi="Times New Roman" w:cs="Times New Roman"/>
                              <w:i/>
                              <w:iCs/>
                              <w:color w:val="000000"/>
                              <w:sz w:val="16"/>
                              <w:szCs w:val="16"/>
                            </w:rPr>
                            <w:t>continúa</w:t>
                          </w:r>
                        </w:p>
                      </w:txbxContent>
                    </wps:txbx>
                    <wps:bodyPr wrap="none" lIns="0" tIns="0" rIns="0" bIns="0">
                      <a:spAutoFit/>
                    </wps:bodyPr>
                  </wps:wsp>
                </a:graphicData>
              </a:graphic>
            </wp:anchor>
          </w:drawing>
        </mc:Choice>
        <mc:Fallback>
          <w:pict>
            <v:shapetype w14:anchorId="7408A8B3" id="_x0000_t202" coordsize="21600,21600" o:spt="202" path="m,l,21600r21600,l21600,xe">
              <v:stroke joinstyle="miter"/>
              <v:path gradientshapeok="t" o:connecttype="rect"/>
            </v:shapetype>
            <v:shape id="Shape 2428" o:spid="_x0000_s1311" type="#_x0000_t202" style="position:absolute;margin-left:569.3pt;margin-top:402.7pt;width:32.15pt;height:6.5pt;z-index:-251366400;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" filled="f" stroked="f">
              <v:textbox style="mso-fit-shape-to-text:t" inset="0,0,0,0">
                <w:txbxContent>
                  <w:p w14:paraId="6663666F" w14:textId="77777777" w:rsidR="00924992" w:rsidRDefault="00924992">
                    <w:pPr>
                      <w:pStyle w:val="Headerorfooter0"/>
                      <w:rPr>
                        <w:sz w:val="16"/>
                        <w:szCs w:val="16"/>
                      </w:rPr>
                    </w:pPr>
                    <w:r>
                      <w:rPr>
                        <w:rFonts w:ascii="Times New Roman" w:eastAsia="Times New Roman" w:hAnsi="Times New Roman" w:cs="Times New Roman"/>
                        <w:i/>
                        <w:iCs/>
                        <w:color w:val="000000"/>
                        <w:sz w:val="16"/>
                        <w:szCs w:val="16"/>
                      </w:rPr>
                      <w:t>continúa</w:t>
                    </w:r>
                  </w:p>
                </w:txbxContent>
              </v:textbox>
              <w10:wrap anchorx="page" anchory="page"/>
            </v:shape>
          </w:pict>
        </mc:Fallback>
      </mc:AlternateContent>
    </w:r>
  </w:p>
</w:ftr>
</file>

<file path=word/footer17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35D6B4" w14:textId="77777777" w:rsidR="00924992" w:rsidRDefault="00924992">
    <w:pPr>
      <w:spacing w:line="1" w:lineRule="exact"/>
    </w:pPr>
  </w:p>
</w:ftr>
</file>

<file path=word/footer17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7586D8" w14:textId="77777777" w:rsidR="00924992" w:rsidRDefault="00924992">
    <w:pPr>
      <w:spacing w:line="1" w:lineRule="exact"/>
    </w:pPr>
  </w:p>
</w:ftr>
</file>

<file path=word/footer17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89012D" w14:textId="77777777" w:rsidR="00924992" w:rsidRDefault="00924992">
    <w:pPr>
      <w:spacing w:line="1" w:lineRule="exact"/>
    </w:pPr>
    <w:r>
      <w:rPr>
        <w:noProof/>
      </w:rPr>
      <mc:AlternateContent>
        <mc:Choice Requires="wps">
          <w:drawing>
            <wp:anchor distT="0" distB="0" distL="0" distR="0" simplePos="0" relativeHeight="251953152" behindDoc="1" locked="0" layoutInCell="1" allowOverlap="1" wp14:anchorId="3582DCE9" wp14:editId="7861A41E">
              <wp:simplePos x="0" y="0"/>
              <wp:positionH relativeFrom="page">
                <wp:posOffset>7230110</wp:posOffset>
              </wp:positionH>
              <wp:positionV relativeFrom="page">
                <wp:posOffset>5114290</wp:posOffset>
              </wp:positionV>
              <wp:extent cx="408305" cy="82550"/>
              <wp:effectExtent l="0" t="0" r="0" b="0"/>
              <wp:wrapNone/>
              <wp:docPr id="2442" name="Shape 2442"/>
              <wp:cNvGraphicFramePr/>
              <a:graphic xmlns:a="http://schemas.openxmlformats.org/drawingml/2006/main">
                <a:graphicData uri="http://schemas.microsoft.com/office/word/2010/wordprocessingShape">
                  <wps:wsp>
                    <wps:cNvSpPr txBox="1"/>
                    <wps:spPr>
                      <a:xfrm>
                        <a:off x="0" y="0"/>
                        <a:ext cx="408305" cy="82550"/>
                      </a:xfrm>
                      <a:prstGeom prst="rect">
                        <a:avLst/>
                      </a:prstGeom>
                      <a:noFill/>
                    </wps:spPr>
                    <wps:txbx>
                      <w:txbxContent>
                        <w:p w14:paraId="390B1695" w14:textId="77777777" w:rsidR="00924992" w:rsidRDefault="00924992">
                          <w:pPr>
                            <w:pStyle w:val="Headerorfooter0"/>
                            <w:rPr>
                              <w:sz w:val="16"/>
                              <w:szCs w:val="16"/>
                            </w:rPr>
                          </w:pPr>
                          <w:r>
                            <w:rPr>
                              <w:rFonts w:ascii="Times New Roman" w:eastAsia="Times New Roman" w:hAnsi="Times New Roman" w:cs="Times New Roman"/>
                              <w:i/>
                              <w:iCs/>
                              <w:color w:val="000000"/>
                              <w:sz w:val="16"/>
                              <w:szCs w:val="16"/>
                            </w:rPr>
                            <w:t>continúa</w:t>
                          </w:r>
                        </w:p>
                      </w:txbxContent>
                    </wps:txbx>
                    <wps:bodyPr wrap="none" lIns="0" tIns="0" rIns="0" bIns="0">
                      <a:spAutoFit/>
                    </wps:bodyPr>
                  </wps:wsp>
                </a:graphicData>
              </a:graphic>
            </wp:anchor>
          </w:drawing>
        </mc:Choice>
        <mc:Fallback>
          <w:pict>
            <v:shapetype w14:anchorId="3582DCE9" id="_x0000_t202" coordsize="21600,21600" o:spt="202" path="m,l,21600r21600,l21600,xe">
              <v:stroke joinstyle="miter"/>
              <v:path gradientshapeok="t" o:connecttype="rect"/>
            </v:shapetype>
            <v:shape id="Shape 2442" o:spid="_x0000_s1312" type="#_x0000_t202" style="position:absolute;margin-left:569.3pt;margin-top:402.7pt;width:32.15pt;height:6.5pt;z-index:-251363328;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" filled="f" stroked="f">
              <v:textbox style="mso-fit-shape-to-text:t" inset="0,0,0,0">
                <w:txbxContent>
                  <w:p w14:paraId="390B1695" w14:textId="77777777" w:rsidR="00924992" w:rsidRDefault="00924992">
                    <w:pPr>
                      <w:pStyle w:val="Headerorfooter0"/>
                      <w:rPr>
                        <w:sz w:val="16"/>
                        <w:szCs w:val="16"/>
                      </w:rPr>
                    </w:pPr>
                    <w:r>
                      <w:rPr>
                        <w:rFonts w:ascii="Times New Roman" w:eastAsia="Times New Roman" w:hAnsi="Times New Roman" w:cs="Times New Roman"/>
                        <w:i/>
                        <w:iCs/>
                        <w:color w:val="000000"/>
                        <w:sz w:val="16"/>
                        <w:szCs w:val="16"/>
                      </w:rPr>
                      <w:t>continúa</w:t>
                    </w:r>
                  </w:p>
                </w:txbxContent>
              </v:textbox>
              <w10:wrap anchorx="page" anchory="page"/>
            </v:shape>
          </w:pict>
        </mc:Fallback>
      </mc:AlternateContent>
    </w:r>
  </w:p>
</w:ftr>
</file>

<file path=word/footer17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4B8696" w14:textId="77777777" w:rsidR="00924992" w:rsidRDefault="00924992">
    <w:pPr>
      <w:spacing w:line="1" w:lineRule="exact"/>
    </w:pPr>
    <w:r>
      <w:rPr>
        <w:noProof/>
      </w:rPr>
      <mc:AlternateContent>
        <mc:Choice Requires="wps">
          <w:drawing>
            <wp:anchor distT="0" distB="0" distL="0" distR="0" simplePos="0" relativeHeight="251952128" behindDoc="1" locked="0" layoutInCell="1" allowOverlap="1" wp14:anchorId="54E20C0E" wp14:editId="7EF56A58">
              <wp:simplePos x="0" y="0"/>
              <wp:positionH relativeFrom="page">
                <wp:posOffset>7230110</wp:posOffset>
              </wp:positionH>
              <wp:positionV relativeFrom="page">
                <wp:posOffset>5114290</wp:posOffset>
              </wp:positionV>
              <wp:extent cx="408305" cy="82550"/>
              <wp:effectExtent l="0" t="0" r="0" b="0"/>
              <wp:wrapNone/>
              <wp:docPr id="2440" name="Shape 2440"/>
              <wp:cNvGraphicFramePr/>
              <a:graphic xmlns:a="http://schemas.openxmlformats.org/drawingml/2006/main">
                <a:graphicData uri="http://schemas.microsoft.com/office/word/2010/wordprocessingShape">
                  <wps:wsp>
                    <wps:cNvSpPr txBox="1"/>
                    <wps:spPr>
                      <a:xfrm>
                        <a:off x="0" y="0"/>
                        <a:ext cx="408305" cy="82550"/>
                      </a:xfrm>
                      <a:prstGeom prst="rect">
                        <a:avLst/>
                      </a:prstGeom>
                      <a:noFill/>
                    </wps:spPr>
                    <wps:txbx>
                      <w:txbxContent>
                        <w:p w14:paraId="0F917DB0" w14:textId="77777777" w:rsidR="00924992" w:rsidRDefault="00924992">
                          <w:pPr>
                            <w:pStyle w:val="Headerorfooter0"/>
                            <w:rPr>
                              <w:sz w:val="16"/>
                              <w:szCs w:val="16"/>
                            </w:rPr>
                          </w:pPr>
                          <w:r>
                            <w:rPr>
                              <w:rFonts w:ascii="Times New Roman" w:eastAsia="Times New Roman" w:hAnsi="Times New Roman" w:cs="Times New Roman"/>
                              <w:i/>
                              <w:iCs/>
                              <w:color w:val="000000"/>
                              <w:sz w:val="16"/>
                              <w:szCs w:val="16"/>
                            </w:rPr>
                            <w:t>continúa</w:t>
                          </w:r>
                        </w:p>
                      </w:txbxContent>
                    </wps:txbx>
                    <wps:bodyPr wrap="none" lIns="0" tIns="0" rIns="0" bIns="0">
                      <a:spAutoFit/>
                    </wps:bodyPr>
                  </wps:wsp>
                </a:graphicData>
              </a:graphic>
            </wp:anchor>
          </w:drawing>
        </mc:Choice>
        <mc:Fallback>
          <w:pict>
            <v:shapetype w14:anchorId="54E20C0E" id="_x0000_t202" coordsize="21600,21600" o:spt="202" path="m,l,21600r21600,l21600,xe">
              <v:stroke joinstyle="miter"/>
              <v:path gradientshapeok="t" o:connecttype="rect"/>
            </v:shapetype>
            <v:shape id="Shape 2440" o:spid="_x0000_s1313" type="#_x0000_t202" style="position:absolute;margin-left:569.3pt;margin-top:402.7pt;width:32.15pt;height:6.5pt;z-index:-251364352;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" filled="f" stroked="f">
              <v:textbox style="mso-fit-shape-to-text:t" inset="0,0,0,0">
                <w:txbxContent>
                  <w:p w14:paraId="0F917DB0" w14:textId="77777777" w:rsidR="00924992" w:rsidRDefault="00924992">
                    <w:pPr>
                      <w:pStyle w:val="Headerorfooter0"/>
                      <w:rPr>
                        <w:sz w:val="16"/>
                        <w:szCs w:val="16"/>
                      </w:rPr>
                    </w:pPr>
                    <w:r>
                      <w:rPr>
                        <w:rFonts w:ascii="Times New Roman" w:eastAsia="Times New Roman" w:hAnsi="Times New Roman" w:cs="Times New Roman"/>
                        <w:i/>
                        <w:iCs/>
                        <w:color w:val="000000"/>
                        <w:sz w:val="16"/>
                        <w:szCs w:val="16"/>
                      </w:rPr>
                      <w:t>continúa</w:t>
                    </w:r>
                  </w:p>
                </w:txbxContent>
              </v:textbox>
              <w10:wrap anchorx="page" anchory="page"/>
            </v:shape>
          </w:pict>
        </mc:Fallback>
      </mc:AlternateContent>
    </w:r>
  </w:p>
</w:ftr>
</file>

<file path=word/footer17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C2B415" w14:textId="77777777" w:rsidR="00924992" w:rsidRDefault="00924992">
    <w:pPr>
      <w:spacing w:line="1" w:lineRule="exact"/>
    </w:pPr>
  </w:p>
</w:ftr>
</file>

<file path=word/footer17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8BEFC6" w14:textId="77777777" w:rsidR="00924992" w:rsidRDefault="00924992">
    <w:pPr>
      <w:spacing w:line="1" w:lineRule="exact"/>
    </w:pPr>
  </w:p>
</w:ftr>
</file>

<file path=word/footer17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F64BA2" w14:textId="77777777" w:rsidR="00924992" w:rsidRDefault="00924992">
    <w:pPr>
      <w:spacing w:line="1" w:lineRule="exact"/>
    </w:pPr>
  </w:p>
</w:ftr>
</file>

<file path=word/footer17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6EC31F" w14:textId="77777777" w:rsidR="00924992" w:rsidRDefault="00924992">
    <w:pPr>
      <w:spacing w:line="1" w:lineRule="exact"/>
    </w:pPr>
  </w:p>
</w:ftr>
</file>

<file path=word/footer17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E0F0A2" w14:textId="77777777" w:rsidR="00924992" w:rsidRDefault="00924992">
    <w:pPr>
      <w:spacing w:line="1" w:lineRule="exact"/>
    </w:pPr>
  </w:p>
</w:ftr>
</file>

<file path=word/footer18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02A4F1" w14:textId="77777777" w:rsidR="00924992" w:rsidRDefault="00924992"/>
</w:ftr>
</file>

<file path=word/footer18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CFD4D2" w14:textId="77777777" w:rsidR="00924992" w:rsidRDefault="00924992"/>
</w:ftr>
</file>

<file path=word/footer18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15196E" w14:textId="77777777" w:rsidR="00924992" w:rsidRDefault="00924992">
    <w:pPr>
      <w:spacing w:line="1" w:lineRule="exact"/>
    </w:pPr>
  </w:p>
</w:ftr>
</file>

<file path=word/footer18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EC6462" w14:textId="77777777" w:rsidR="00924992" w:rsidRDefault="00924992">
    <w:pPr>
      <w:spacing w:line="1" w:lineRule="exact"/>
    </w:pPr>
  </w:p>
</w:ftr>
</file>

<file path=word/footer18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746887" w14:textId="77777777" w:rsidR="00924992" w:rsidRDefault="00924992">
    <w:pPr>
      <w:spacing w:line="1" w:lineRule="exact"/>
    </w:pPr>
    <w:r>
      <w:rPr>
        <w:noProof/>
      </w:rPr>
      <mc:AlternateContent>
        <mc:Choice Requires="wps">
          <w:drawing>
            <wp:anchor distT="0" distB="0" distL="0" distR="0" simplePos="0" relativeHeight="251962368" behindDoc="1" locked="0" layoutInCell="1" allowOverlap="1" wp14:anchorId="3512138F" wp14:editId="1185323D">
              <wp:simplePos x="0" y="0"/>
              <wp:positionH relativeFrom="page">
                <wp:posOffset>332105</wp:posOffset>
              </wp:positionH>
              <wp:positionV relativeFrom="page">
                <wp:posOffset>7684135</wp:posOffset>
              </wp:positionV>
              <wp:extent cx="4160520" cy="213360"/>
              <wp:effectExtent l="0" t="0" r="0" b="0"/>
              <wp:wrapNone/>
              <wp:docPr id="2519" name="Shape 2519"/>
              <wp:cNvGraphicFramePr/>
              <a:graphic xmlns:a="http://schemas.openxmlformats.org/drawingml/2006/main">
                <a:graphicData uri="http://schemas.microsoft.com/office/word/2010/wordprocessingShape">
                  <wps:wsp>
                    <wps:cNvSpPr txBox="1"/>
                    <wps:spPr>
                      <a:xfrm>
                        <a:off x="0" y="0"/>
                        <a:ext cx="4160520" cy="213360"/>
                      </a:xfrm>
                      <a:prstGeom prst="rect">
                        <a:avLst/>
                      </a:prstGeom>
                      <a:noFill/>
                    </wps:spPr>
                    <wps:txbx>
                      <w:txbxContent>
                        <w:p w14:paraId="70682588" w14:textId="77777777" w:rsidR="00924992" w:rsidRDefault="00924992">
                          <w:pPr>
                            <w:pStyle w:val="Headerorfooter0"/>
                            <w:rPr>
                              <w:sz w:val="15"/>
                              <w:szCs w:val="15"/>
                            </w:rPr>
                          </w:pPr>
                          <w:r>
                            <w:rPr>
                              <w:rFonts w:ascii="Times New Roman" w:eastAsia="Times New Roman" w:hAnsi="Times New Roman" w:cs="Times New Roman"/>
                              <w:sz w:val="15"/>
                              <w:szCs w:val="15"/>
                              <w:shd w:val="clear" w:color="auto" w:fill="FFFFFF"/>
                            </w:rPr>
                            <w:t>* Dajani AS, Taubert KA, Wilson W, et al. Prevention of bacterial endocarditis. Recommendations by the</w:t>
                          </w:r>
                        </w:p>
                        <w:p w14:paraId="6674C9EA" w14:textId="77777777" w:rsidR="00924992" w:rsidRDefault="00924992">
                          <w:pPr>
                            <w:pStyle w:val="Headerorfooter0"/>
                            <w:rPr>
                              <w:sz w:val="15"/>
                              <w:szCs w:val="15"/>
                            </w:rPr>
                          </w:pPr>
                          <w:r>
                            <w:rPr>
                              <w:rFonts w:ascii="Times New Roman" w:eastAsia="Times New Roman" w:hAnsi="Times New Roman" w:cs="Times New Roman"/>
                              <w:sz w:val="15"/>
                              <w:szCs w:val="15"/>
                            </w:rPr>
                            <w:t xml:space="preserve">American Heart Association. </w:t>
                          </w:r>
                          <w:r>
                            <w:rPr>
                              <w:rFonts w:ascii="Times New Roman" w:eastAsia="Times New Roman" w:hAnsi="Times New Roman" w:cs="Times New Roman"/>
                              <w:i/>
                              <w:iCs/>
                              <w:sz w:val="15"/>
                              <w:szCs w:val="15"/>
                            </w:rPr>
                            <w:t>/AMA</w:t>
                          </w:r>
                          <w:r>
                            <w:rPr>
                              <w:rFonts w:ascii="Times New Roman" w:eastAsia="Times New Roman" w:hAnsi="Times New Roman" w:cs="Times New Roman"/>
                              <w:sz w:val="15"/>
                              <w:szCs w:val="15"/>
                            </w:rPr>
                            <w:t>. 1997;277:1794-1801.</w:t>
                          </w:r>
                        </w:p>
                      </w:txbxContent>
                    </wps:txbx>
                    <wps:bodyPr wrap="none" lIns="0" tIns="0" rIns="0" bIns="0">
                      <a:spAutoFit/>
                    </wps:bodyPr>
                  </wps:wsp>
                </a:graphicData>
              </a:graphic>
            </wp:anchor>
          </w:drawing>
        </mc:Choice>
        <mc:Fallback>
          <w:pict>
            <v:shapetype w14:anchorId="3512138F" id="_x0000_t202" coordsize="21600,21600" o:spt="202" path="m,l,21600r21600,l21600,xe">
              <v:stroke joinstyle="miter"/>
              <v:path gradientshapeok="t" o:connecttype="rect"/>
            </v:shapetype>
            <v:shape id="Shape 2519" o:spid="_x0000_s1321" type="#_x0000_t202" style="position:absolute;margin-left:26.15pt;margin-top:605.05pt;width:327.6pt;height:16.8pt;z-index:-251354112;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" filled="f" stroked="f">
              <v:textbox style="mso-fit-shape-to-text:t" inset="0,0,0,0">
                <w:txbxContent>
                  <w:p w14:paraId="70682588" w14:textId="77777777" w:rsidR="00924992" w:rsidRDefault="00924992">
                    <w:pPr>
                      <w:pStyle w:val="Headerorfooter0"/>
                      <w:rPr>
                        <w:sz w:val="15"/>
                        <w:szCs w:val="15"/>
                      </w:rPr>
                    </w:pPr>
                    <w:r>
                      <w:rPr>
                        <w:rFonts w:ascii="Times New Roman" w:eastAsia="Times New Roman" w:hAnsi="Times New Roman" w:cs="Times New Roman"/>
                        <w:sz w:val="15"/>
                        <w:szCs w:val="15"/>
                        <w:shd w:val="clear" w:color="auto" w:fill="FFFFFF"/>
                      </w:rPr>
                      <w:t>* Dajani AS, Taubert KA, Wilson W, et al. Prevention of bacterial endocarditis. Recommendations by the</w:t>
                    </w:r>
                  </w:p>
                  <w:p w14:paraId="6674C9EA" w14:textId="77777777" w:rsidR="00924992" w:rsidRDefault="00924992">
                    <w:pPr>
                      <w:pStyle w:val="Headerorfooter0"/>
                      <w:rPr>
                        <w:sz w:val="15"/>
                        <w:szCs w:val="15"/>
                      </w:rPr>
                    </w:pPr>
                    <w:r>
                      <w:rPr>
                        <w:rFonts w:ascii="Times New Roman" w:eastAsia="Times New Roman" w:hAnsi="Times New Roman" w:cs="Times New Roman"/>
                        <w:sz w:val="15"/>
                        <w:szCs w:val="15"/>
                      </w:rPr>
                      <w:t xml:space="preserve">American Heart Association. </w:t>
                    </w:r>
                    <w:r>
                      <w:rPr>
                        <w:rFonts w:ascii="Times New Roman" w:eastAsia="Times New Roman" w:hAnsi="Times New Roman" w:cs="Times New Roman"/>
                        <w:i/>
                        <w:iCs/>
                        <w:sz w:val="15"/>
                        <w:szCs w:val="15"/>
                      </w:rPr>
                      <w:t>/AMA</w:t>
                    </w:r>
                    <w:r>
                      <w:rPr>
                        <w:rFonts w:ascii="Times New Roman" w:eastAsia="Times New Roman" w:hAnsi="Times New Roman" w:cs="Times New Roman"/>
                        <w:sz w:val="15"/>
                        <w:szCs w:val="15"/>
                      </w:rPr>
                      <w:t>. 1997;277:1794-1801.</w:t>
                    </w:r>
                  </w:p>
                </w:txbxContent>
              </v:textbox>
              <w10:wrap anchorx="page" anchory="page"/>
            </v:shape>
          </w:pict>
        </mc:Fallback>
      </mc:AlternateContent>
    </w:r>
  </w:p>
</w:ftr>
</file>

<file path=word/footer18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53B595" w14:textId="77777777" w:rsidR="00924992" w:rsidRDefault="00924992">
    <w:pPr>
      <w:spacing w:line="1" w:lineRule="exact"/>
    </w:pPr>
    <w:r>
      <w:rPr>
        <w:noProof/>
      </w:rPr>
      <mc:AlternateContent>
        <mc:Choice Requires="wps">
          <w:drawing>
            <wp:anchor distT="0" distB="0" distL="0" distR="0" simplePos="0" relativeHeight="251960320" behindDoc="1" locked="0" layoutInCell="1" allowOverlap="1" wp14:anchorId="3DE5071B" wp14:editId="164E7273">
              <wp:simplePos x="0" y="0"/>
              <wp:positionH relativeFrom="page">
                <wp:posOffset>332105</wp:posOffset>
              </wp:positionH>
              <wp:positionV relativeFrom="page">
                <wp:posOffset>7684135</wp:posOffset>
              </wp:positionV>
              <wp:extent cx="4160520" cy="213360"/>
              <wp:effectExtent l="0" t="0" r="0" b="0"/>
              <wp:wrapNone/>
              <wp:docPr id="2514" name="Shape 2514"/>
              <wp:cNvGraphicFramePr/>
              <a:graphic xmlns:a="http://schemas.openxmlformats.org/drawingml/2006/main">
                <a:graphicData uri="http://schemas.microsoft.com/office/word/2010/wordprocessingShape">
                  <wps:wsp>
                    <wps:cNvSpPr txBox="1"/>
                    <wps:spPr>
                      <a:xfrm>
                        <a:off x="0" y="0"/>
                        <a:ext cx="4160520" cy="213360"/>
                      </a:xfrm>
                      <a:prstGeom prst="rect">
                        <a:avLst/>
                      </a:prstGeom>
                      <a:noFill/>
                    </wps:spPr>
                    <wps:txbx>
                      <w:txbxContent>
                        <w:p w14:paraId="3D89F9EA" w14:textId="77777777" w:rsidR="00924992" w:rsidRDefault="00924992">
                          <w:pPr>
                            <w:pStyle w:val="Headerorfooter0"/>
                            <w:rPr>
                              <w:sz w:val="15"/>
                              <w:szCs w:val="15"/>
                            </w:rPr>
                          </w:pPr>
                          <w:r>
                            <w:rPr>
                              <w:rFonts w:ascii="Times New Roman" w:eastAsia="Times New Roman" w:hAnsi="Times New Roman" w:cs="Times New Roman"/>
                              <w:sz w:val="15"/>
                              <w:szCs w:val="15"/>
                              <w:shd w:val="clear" w:color="auto" w:fill="FFFFFF"/>
                            </w:rPr>
                            <w:t>* Dajani AS, Taubert KA, Wilson W, et al. Prevention of bacterial endocarditis. Recommendations by the</w:t>
                          </w:r>
                        </w:p>
                        <w:p w14:paraId="71454B04" w14:textId="77777777" w:rsidR="00924992" w:rsidRDefault="00924992">
                          <w:pPr>
                            <w:pStyle w:val="Headerorfooter0"/>
                            <w:rPr>
                              <w:sz w:val="15"/>
                              <w:szCs w:val="15"/>
                            </w:rPr>
                          </w:pPr>
                          <w:r>
                            <w:rPr>
                              <w:rFonts w:ascii="Times New Roman" w:eastAsia="Times New Roman" w:hAnsi="Times New Roman" w:cs="Times New Roman"/>
                              <w:sz w:val="15"/>
                              <w:szCs w:val="15"/>
                            </w:rPr>
                            <w:t xml:space="preserve">American Heart Association. </w:t>
                          </w:r>
                          <w:r>
                            <w:rPr>
                              <w:rFonts w:ascii="Times New Roman" w:eastAsia="Times New Roman" w:hAnsi="Times New Roman" w:cs="Times New Roman"/>
                              <w:i/>
                              <w:iCs/>
                              <w:sz w:val="15"/>
                              <w:szCs w:val="15"/>
                            </w:rPr>
                            <w:t>/AMA</w:t>
                          </w:r>
                          <w:r>
                            <w:rPr>
                              <w:rFonts w:ascii="Times New Roman" w:eastAsia="Times New Roman" w:hAnsi="Times New Roman" w:cs="Times New Roman"/>
                              <w:sz w:val="15"/>
                              <w:szCs w:val="15"/>
                            </w:rPr>
                            <w:t>. 1997;277:1794-1801.</w:t>
                          </w:r>
                        </w:p>
                      </w:txbxContent>
                    </wps:txbx>
                    <wps:bodyPr wrap="none" lIns="0" tIns="0" rIns="0" bIns="0">
                      <a:spAutoFit/>
                    </wps:bodyPr>
                  </wps:wsp>
                </a:graphicData>
              </a:graphic>
            </wp:anchor>
          </w:drawing>
        </mc:Choice>
        <mc:Fallback>
          <w:pict>
            <v:shapetype w14:anchorId="3DE5071B" id="_x0000_t202" coordsize="21600,21600" o:spt="202" path="m,l,21600r21600,l21600,xe">
              <v:stroke joinstyle="miter"/>
              <v:path gradientshapeok="t" o:connecttype="rect"/>
            </v:shapetype>
            <v:shape id="Shape 2514" o:spid="_x0000_s1322" type="#_x0000_t202" style="position:absolute;margin-left:26.15pt;margin-top:605.05pt;width:327.6pt;height:16.8pt;z-index:-251356160;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" filled="f" stroked="f">
              <v:textbox style="mso-fit-shape-to-text:t" inset="0,0,0,0">
                <w:txbxContent>
                  <w:p w14:paraId="3D89F9EA" w14:textId="77777777" w:rsidR="00924992" w:rsidRDefault="00924992">
                    <w:pPr>
                      <w:pStyle w:val="Headerorfooter0"/>
                      <w:rPr>
                        <w:sz w:val="15"/>
                        <w:szCs w:val="15"/>
                      </w:rPr>
                    </w:pPr>
                    <w:r>
                      <w:rPr>
                        <w:rFonts w:ascii="Times New Roman" w:eastAsia="Times New Roman" w:hAnsi="Times New Roman" w:cs="Times New Roman"/>
                        <w:sz w:val="15"/>
                        <w:szCs w:val="15"/>
                        <w:shd w:val="clear" w:color="auto" w:fill="FFFFFF"/>
                      </w:rPr>
                      <w:t>* Dajani AS, Taubert KA, Wilson W, et al. Prevention of bacterial endocarditis. Recommendations by the</w:t>
                    </w:r>
                  </w:p>
                  <w:p w14:paraId="71454B04" w14:textId="77777777" w:rsidR="00924992" w:rsidRDefault="00924992">
                    <w:pPr>
                      <w:pStyle w:val="Headerorfooter0"/>
                      <w:rPr>
                        <w:sz w:val="15"/>
                        <w:szCs w:val="15"/>
                      </w:rPr>
                    </w:pPr>
                    <w:r>
                      <w:rPr>
                        <w:rFonts w:ascii="Times New Roman" w:eastAsia="Times New Roman" w:hAnsi="Times New Roman" w:cs="Times New Roman"/>
                        <w:sz w:val="15"/>
                        <w:szCs w:val="15"/>
                      </w:rPr>
                      <w:t xml:space="preserve">American Heart Association. </w:t>
                    </w:r>
                    <w:r>
                      <w:rPr>
                        <w:rFonts w:ascii="Times New Roman" w:eastAsia="Times New Roman" w:hAnsi="Times New Roman" w:cs="Times New Roman"/>
                        <w:i/>
                        <w:iCs/>
                        <w:sz w:val="15"/>
                        <w:szCs w:val="15"/>
                      </w:rPr>
                      <w:t>/AMA</w:t>
                    </w:r>
                    <w:r>
                      <w:rPr>
                        <w:rFonts w:ascii="Times New Roman" w:eastAsia="Times New Roman" w:hAnsi="Times New Roman" w:cs="Times New Roman"/>
                        <w:sz w:val="15"/>
                        <w:szCs w:val="15"/>
                      </w:rPr>
                      <w:t>. 1997;277:1794-1801.</w:t>
                    </w:r>
                  </w:p>
                </w:txbxContent>
              </v:textbox>
              <w10:wrap anchorx="page" anchory="page"/>
            </v:shape>
          </w:pict>
        </mc:Fallback>
      </mc:AlternateContent>
    </w:r>
  </w:p>
</w:ftr>
</file>

<file path=word/footer18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AF1952" w14:textId="77777777" w:rsidR="00924992" w:rsidRDefault="00924992"/>
</w:ftr>
</file>

<file path=word/footer18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8E5685" w14:textId="77777777" w:rsidR="00924992" w:rsidRDefault="00924992"/>
</w:ftr>
</file>

<file path=word/footer18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012130" w14:textId="77777777" w:rsidR="00924992" w:rsidRDefault="00924992">
    <w:pPr>
      <w:spacing w:line="1" w:lineRule="exact"/>
    </w:pPr>
  </w:p>
</w:ftr>
</file>

<file path=word/footer18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AADF35" w14:textId="77777777" w:rsidR="00924992" w:rsidRDefault="00924992">
    <w:pPr>
      <w:spacing w:line="1" w:lineRule="exact"/>
    </w:pPr>
  </w:p>
</w:ftr>
</file>

<file path=word/footer19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3F7ADA" w14:textId="77777777" w:rsidR="00924992" w:rsidRDefault="00924992"/>
</w:ftr>
</file>

<file path=word/footer19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9866FE" w14:textId="77777777" w:rsidR="00924992" w:rsidRDefault="00924992"/>
</w:ftr>
</file>

<file path=word/footer19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E7950F" w14:textId="77777777" w:rsidR="00924992" w:rsidRDefault="00924992">
    <w:pPr>
      <w:spacing w:line="1" w:lineRule="exact"/>
    </w:pPr>
  </w:p>
</w:ftr>
</file>

<file path=word/footer19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5B57D7" w14:textId="77777777" w:rsidR="00924992" w:rsidRDefault="00924992">
    <w:pPr>
      <w:spacing w:line="1" w:lineRule="exact"/>
    </w:pPr>
  </w:p>
</w:ftr>
</file>

<file path=word/footer19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073DD7" w14:textId="77777777" w:rsidR="00924992" w:rsidRDefault="00924992">
    <w:pPr>
      <w:spacing w:line="1" w:lineRule="exact"/>
    </w:pPr>
    <w:r>
      <w:rPr>
        <w:noProof/>
      </w:rPr>
      <mc:AlternateContent>
        <mc:Choice Requires="wps">
          <w:drawing>
            <wp:anchor distT="0" distB="0" distL="0" distR="0" simplePos="0" relativeHeight="251968512" behindDoc="1" locked="0" layoutInCell="1" allowOverlap="1" wp14:anchorId="2E78E4C4" wp14:editId="6EED10C9">
              <wp:simplePos x="0" y="0"/>
              <wp:positionH relativeFrom="page">
                <wp:posOffset>7239000</wp:posOffset>
              </wp:positionH>
              <wp:positionV relativeFrom="page">
                <wp:posOffset>5099050</wp:posOffset>
              </wp:positionV>
              <wp:extent cx="408305" cy="82550"/>
              <wp:effectExtent l="0" t="0" r="0" b="0"/>
              <wp:wrapNone/>
              <wp:docPr id="2545" name="Shape 2545"/>
              <wp:cNvGraphicFramePr/>
              <a:graphic xmlns:a="http://schemas.openxmlformats.org/drawingml/2006/main">
                <a:graphicData uri="http://schemas.microsoft.com/office/word/2010/wordprocessingShape">
                  <wps:wsp>
                    <wps:cNvSpPr txBox="1"/>
                    <wps:spPr>
                      <a:xfrm>
                        <a:off x="0" y="0"/>
                        <a:ext cx="408305" cy="82550"/>
                      </a:xfrm>
                      <a:prstGeom prst="rect">
                        <a:avLst/>
                      </a:prstGeom>
                      <a:noFill/>
                    </wps:spPr>
                    <wps:txbx>
                      <w:txbxContent>
                        <w:p w14:paraId="18516E72" w14:textId="77777777" w:rsidR="00924992" w:rsidRDefault="00924992">
                          <w:pPr>
                            <w:pStyle w:val="Headerorfooter0"/>
                            <w:rPr>
                              <w:sz w:val="16"/>
                              <w:szCs w:val="16"/>
                            </w:rPr>
                          </w:pPr>
                          <w:r>
                            <w:rPr>
                              <w:rFonts w:ascii="Times New Roman" w:eastAsia="Times New Roman" w:hAnsi="Times New Roman" w:cs="Times New Roman"/>
                              <w:i/>
                              <w:iCs/>
                              <w:sz w:val="16"/>
                              <w:szCs w:val="16"/>
                            </w:rPr>
                            <w:t>continúa</w:t>
                          </w:r>
                        </w:p>
                      </w:txbxContent>
                    </wps:txbx>
                    <wps:bodyPr wrap="none" lIns="0" tIns="0" rIns="0" bIns="0">
                      <a:spAutoFit/>
                    </wps:bodyPr>
                  </wps:wsp>
                </a:graphicData>
              </a:graphic>
            </wp:anchor>
          </w:drawing>
        </mc:Choice>
        <mc:Fallback>
          <w:pict>
            <v:shapetype w14:anchorId="2E78E4C4" id="_x0000_t202" coordsize="21600,21600" o:spt="202" path="m,l,21600r21600,l21600,xe">
              <v:stroke joinstyle="miter"/>
              <v:path gradientshapeok="t" o:connecttype="rect"/>
            </v:shapetype>
            <v:shape id="Shape 2545" o:spid="_x0000_s1327" type="#_x0000_t202" style="position:absolute;margin-left:570pt;margin-top:401.5pt;width:32.15pt;height:6.5pt;z-index:-251347968;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" filled="f" stroked="f">
              <v:textbox style="mso-fit-shape-to-text:t" inset="0,0,0,0">
                <w:txbxContent>
                  <w:p w14:paraId="18516E72" w14:textId="77777777" w:rsidR="00924992" w:rsidRDefault="00924992">
                    <w:pPr>
                      <w:pStyle w:val="Headerorfooter0"/>
                      <w:rPr>
                        <w:sz w:val="16"/>
                        <w:szCs w:val="16"/>
                      </w:rPr>
                    </w:pPr>
                    <w:r>
                      <w:rPr>
                        <w:rFonts w:ascii="Times New Roman" w:eastAsia="Times New Roman" w:hAnsi="Times New Roman" w:cs="Times New Roman"/>
                        <w:i/>
                        <w:iCs/>
                        <w:sz w:val="16"/>
                        <w:szCs w:val="16"/>
                      </w:rPr>
                      <w:t>continúa</w:t>
                    </w:r>
                  </w:p>
                </w:txbxContent>
              </v:textbox>
              <w10:wrap anchorx="page" anchory="page"/>
            </v:shape>
          </w:pict>
        </mc:Fallback>
      </mc:AlternateContent>
    </w:r>
  </w:p>
</w:ftr>
</file>

<file path=word/footer19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FB777A" w14:textId="77777777" w:rsidR="00924992" w:rsidRDefault="00924992">
    <w:pPr>
      <w:spacing w:line="1" w:lineRule="exact"/>
    </w:pPr>
    <w:r>
      <w:rPr>
        <w:noProof/>
      </w:rPr>
      <mc:AlternateContent>
        <mc:Choice Requires="wps">
          <w:drawing>
            <wp:anchor distT="0" distB="0" distL="0" distR="0" simplePos="0" relativeHeight="251967488" behindDoc="1" locked="0" layoutInCell="1" allowOverlap="1" wp14:anchorId="17A9EA34" wp14:editId="6C8A980B">
              <wp:simplePos x="0" y="0"/>
              <wp:positionH relativeFrom="page">
                <wp:posOffset>7239000</wp:posOffset>
              </wp:positionH>
              <wp:positionV relativeFrom="page">
                <wp:posOffset>5099050</wp:posOffset>
              </wp:positionV>
              <wp:extent cx="408305" cy="82550"/>
              <wp:effectExtent l="0" t="0" r="0" b="0"/>
              <wp:wrapNone/>
              <wp:docPr id="2543" name="Shape 2543"/>
              <wp:cNvGraphicFramePr/>
              <a:graphic xmlns:a="http://schemas.openxmlformats.org/drawingml/2006/main">
                <a:graphicData uri="http://schemas.microsoft.com/office/word/2010/wordprocessingShape">
                  <wps:wsp>
                    <wps:cNvSpPr txBox="1"/>
                    <wps:spPr>
                      <a:xfrm>
                        <a:off x="0" y="0"/>
                        <a:ext cx="408305" cy="82550"/>
                      </a:xfrm>
                      <a:prstGeom prst="rect">
                        <a:avLst/>
                      </a:prstGeom>
                      <a:noFill/>
                    </wps:spPr>
                    <wps:txbx>
                      <w:txbxContent>
                        <w:p w14:paraId="29A7D910" w14:textId="77777777" w:rsidR="00924992" w:rsidRDefault="00924992">
                          <w:pPr>
                            <w:pStyle w:val="Headerorfooter0"/>
                            <w:rPr>
                              <w:sz w:val="16"/>
                              <w:szCs w:val="16"/>
                            </w:rPr>
                          </w:pPr>
                          <w:r>
                            <w:rPr>
                              <w:rFonts w:ascii="Times New Roman" w:eastAsia="Times New Roman" w:hAnsi="Times New Roman" w:cs="Times New Roman"/>
                              <w:i/>
                              <w:iCs/>
                              <w:sz w:val="16"/>
                              <w:szCs w:val="16"/>
                            </w:rPr>
                            <w:t>continúa</w:t>
                          </w:r>
                        </w:p>
                      </w:txbxContent>
                    </wps:txbx>
                    <wps:bodyPr wrap="none" lIns="0" tIns="0" rIns="0" bIns="0">
                      <a:spAutoFit/>
                    </wps:bodyPr>
                  </wps:wsp>
                </a:graphicData>
              </a:graphic>
            </wp:anchor>
          </w:drawing>
        </mc:Choice>
        <mc:Fallback>
          <w:pict>
            <v:shapetype w14:anchorId="17A9EA34" id="_x0000_t202" coordsize="21600,21600" o:spt="202" path="m,l,21600r21600,l21600,xe">
              <v:stroke joinstyle="miter"/>
              <v:path gradientshapeok="t" o:connecttype="rect"/>
            </v:shapetype>
            <v:shape id="Shape 2543" o:spid="_x0000_s1328" type="#_x0000_t202" style="position:absolute;margin-left:570pt;margin-top:401.5pt;width:32.15pt;height:6.5pt;z-index:-251348992;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" filled="f" stroked="f">
              <v:textbox style="mso-fit-shape-to-text:t" inset="0,0,0,0">
                <w:txbxContent>
                  <w:p w14:paraId="29A7D910" w14:textId="77777777" w:rsidR="00924992" w:rsidRDefault="00924992">
                    <w:pPr>
                      <w:pStyle w:val="Headerorfooter0"/>
                      <w:rPr>
                        <w:sz w:val="16"/>
                        <w:szCs w:val="16"/>
                      </w:rPr>
                    </w:pPr>
                    <w:r>
                      <w:rPr>
                        <w:rFonts w:ascii="Times New Roman" w:eastAsia="Times New Roman" w:hAnsi="Times New Roman" w:cs="Times New Roman"/>
                        <w:i/>
                        <w:iCs/>
                        <w:sz w:val="16"/>
                        <w:szCs w:val="16"/>
                      </w:rPr>
                      <w:t>continúa</w:t>
                    </w:r>
                  </w:p>
                </w:txbxContent>
              </v:textbox>
              <w10:wrap anchorx="page" anchory="page"/>
            </v:shape>
          </w:pict>
        </mc:Fallback>
      </mc:AlternateContent>
    </w:r>
  </w:p>
</w:ftr>
</file>

<file path=word/footer19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C57E77" w14:textId="77777777" w:rsidR="00924992" w:rsidRDefault="00924992">
    <w:pPr>
      <w:spacing w:line="1" w:lineRule="exact"/>
    </w:pPr>
  </w:p>
</w:ftr>
</file>

<file path=word/footer19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114789" w14:textId="77777777" w:rsidR="00924992" w:rsidRDefault="00924992">
    <w:pPr>
      <w:spacing w:line="1" w:lineRule="exact"/>
    </w:pPr>
  </w:p>
</w:ftr>
</file>

<file path=word/footer19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05FBB9" w14:textId="77777777" w:rsidR="00924992" w:rsidRDefault="00924992">
    <w:pPr>
      <w:spacing w:line="1" w:lineRule="exact"/>
    </w:pPr>
  </w:p>
</w:ftr>
</file>

<file path=word/footer19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50A1F8" w14:textId="77777777" w:rsidR="00924992" w:rsidRDefault="00924992">
    <w:pPr>
      <w:spacing w:line="1" w:lineRule="exact"/>
    </w:pPr>
  </w:p>
</w:ftr>
</file>

<file path=word/footer20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68FD9E" w14:textId="77777777" w:rsidR="00924992" w:rsidRDefault="00924992">
    <w:pPr>
      <w:spacing w:line="1" w:lineRule="exact"/>
    </w:pPr>
  </w:p>
</w:ftr>
</file>

<file path=word/footer20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6ED36A" w14:textId="77777777" w:rsidR="00924992" w:rsidRDefault="00924992">
    <w:pPr>
      <w:spacing w:line="1" w:lineRule="exact"/>
    </w:pPr>
  </w:p>
</w:ftr>
</file>

<file path=word/footer20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C91C44" w14:textId="77777777" w:rsidR="00924992" w:rsidRDefault="00924992">
    <w:pPr>
      <w:spacing w:line="1" w:lineRule="exact"/>
    </w:pPr>
    <w:r>
      <w:rPr>
        <w:noProof/>
      </w:rPr>
      <mc:AlternateContent>
        <mc:Choice Requires="wps">
          <w:drawing>
            <wp:anchor distT="0" distB="0" distL="0" distR="0" simplePos="0" relativeHeight="251972608" behindDoc="1" locked="0" layoutInCell="1" allowOverlap="1" wp14:anchorId="02916A06" wp14:editId="1F9D17D6">
              <wp:simplePos x="0" y="0"/>
              <wp:positionH relativeFrom="page">
                <wp:posOffset>7239000</wp:posOffset>
              </wp:positionH>
              <wp:positionV relativeFrom="page">
                <wp:posOffset>5099050</wp:posOffset>
              </wp:positionV>
              <wp:extent cx="408305" cy="82550"/>
              <wp:effectExtent l="0" t="0" r="0" b="0"/>
              <wp:wrapNone/>
              <wp:docPr id="2561" name="Shape 2561"/>
              <wp:cNvGraphicFramePr/>
              <a:graphic xmlns:a="http://schemas.openxmlformats.org/drawingml/2006/main">
                <a:graphicData uri="http://schemas.microsoft.com/office/word/2010/wordprocessingShape">
                  <wps:wsp>
                    <wps:cNvSpPr txBox="1"/>
                    <wps:spPr>
                      <a:xfrm>
                        <a:off x="0" y="0"/>
                        <a:ext cx="408305" cy="82550"/>
                      </a:xfrm>
                      <a:prstGeom prst="rect">
                        <a:avLst/>
                      </a:prstGeom>
                      <a:noFill/>
                    </wps:spPr>
                    <wps:txbx>
                      <w:txbxContent>
                        <w:p w14:paraId="5FDE817E" w14:textId="77777777" w:rsidR="00924992" w:rsidRDefault="00924992">
                          <w:pPr>
                            <w:pStyle w:val="Headerorfooter0"/>
                            <w:rPr>
                              <w:sz w:val="16"/>
                              <w:szCs w:val="16"/>
                            </w:rPr>
                          </w:pPr>
                          <w:r>
                            <w:rPr>
                              <w:rFonts w:ascii="Times New Roman" w:eastAsia="Times New Roman" w:hAnsi="Times New Roman" w:cs="Times New Roman"/>
                              <w:i/>
                              <w:iCs/>
                              <w:sz w:val="16"/>
                              <w:szCs w:val="16"/>
                            </w:rPr>
                            <w:t>continúa</w:t>
                          </w:r>
                        </w:p>
                      </w:txbxContent>
                    </wps:txbx>
                    <wps:bodyPr wrap="none" lIns="0" tIns="0" rIns="0" bIns="0">
                      <a:spAutoFit/>
                    </wps:bodyPr>
                  </wps:wsp>
                </a:graphicData>
              </a:graphic>
            </wp:anchor>
          </w:drawing>
        </mc:Choice>
        <mc:Fallback>
          <w:pict>
            <v:shapetype w14:anchorId="02916A06" id="_x0000_t202" coordsize="21600,21600" o:spt="202" path="m,l,21600r21600,l21600,xe">
              <v:stroke joinstyle="miter"/>
              <v:path gradientshapeok="t" o:connecttype="rect"/>
            </v:shapetype>
            <v:shape id="Shape 2561" o:spid="_x0000_s1331" type="#_x0000_t202" style="position:absolute;margin-left:570pt;margin-top:401.5pt;width:32.15pt;height:6.5pt;z-index:-251343872;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" filled="f" stroked="f">
              <v:textbox style="mso-fit-shape-to-text:t" inset="0,0,0,0">
                <w:txbxContent>
                  <w:p w14:paraId="5FDE817E" w14:textId="77777777" w:rsidR="00924992" w:rsidRDefault="00924992">
                    <w:pPr>
                      <w:pStyle w:val="Headerorfooter0"/>
                      <w:rPr>
                        <w:sz w:val="16"/>
                        <w:szCs w:val="16"/>
                      </w:rPr>
                    </w:pPr>
                    <w:r>
                      <w:rPr>
                        <w:rFonts w:ascii="Times New Roman" w:eastAsia="Times New Roman" w:hAnsi="Times New Roman" w:cs="Times New Roman"/>
                        <w:i/>
                        <w:iCs/>
                        <w:sz w:val="16"/>
                        <w:szCs w:val="16"/>
                      </w:rPr>
                      <w:t>continúa</w:t>
                    </w:r>
                  </w:p>
                </w:txbxContent>
              </v:textbox>
              <w10:wrap anchorx="page" anchory="page"/>
            </v:shape>
          </w:pict>
        </mc:Fallback>
      </mc:AlternateContent>
    </w:r>
  </w:p>
</w:ftr>
</file>

<file path=word/footer20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F12B47" w14:textId="77777777" w:rsidR="00924992" w:rsidRDefault="00924992">
    <w:pPr>
      <w:spacing w:line="1" w:lineRule="exact"/>
    </w:pPr>
    <w:r>
      <w:rPr>
        <w:noProof/>
      </w:rPr>
      <mc:AlternateContent>
        <mc:Choice Requires="wps">
          <w:drawing>
            <wp:anchor distT="0" distB="0" distL="0" distR="0" simplePos="0" relativeHeight="251971584" behindDoc="1" locked="0" layoutInCell="1" allowOverlap="1" wp14:anchorId="68A8344D" wp14:editId="17EB4A5D">
              <wp:simplePos x="0" y="0"/>
              <wp:positionH relativeFrom="page">
                <wp:posOffset>7239000</wp:posOffset>
              </wp:positionH>
              <wp:positionV relativeFrom="page">
                <wp:posOffset>5099050</wp:posOffset>
              </wp:positionV>
              <wp:extent cx="408305" cy="82550"/>
              <wp:effectExtent l="0" t="0" r="0" b="0"/>
              <wp:wrapNone/>
              <wp:docPr id="2559" name="Shape 2559"/>
              <wp:cNvGraphicFramePr/>
              <a:graphic xmlns:a="http://schemas.openxmlformats.org/drawingml/2006/main">
                <a:graphicData uri="http://schemas.microsoft.com/office/word/2010/wordprocessingShape">
                  <wps:wsp>
                    <wps:cNvSpPr txBox="1"/>
                    <wps:spPr>
                      <a:xfrm>
                        <a:off x="0" y="0"/>
                        <a:ext cx="408305" cy="82550"/>
                      </a:xfrm>
                      <a:prstGeom prst="rect">
                        <a:avLst/>
                      </a:prstGeom>
                      <a:noFill/>
                    </wps:spPr>
                    <wps:txbx>
                      <w:txbxContent>
                        <w:p w14:paraId="7A3A38B5" w14:textId="77777777" w:rsidR="00924992" w:rsidRDefault="00924992">
                          <w:pPr>
                            <w:pStyle w:val="Headerorfooter0"/>
                            <w:rPr>
                              <w:sz w:val="16"/>
                              <w:szCs w:val="16"/>
                            </w:rPr>
                          </w:pPr>
                          <w:r>
                            <w:rPr>
                              <w:rFonts w:ascii="Times New Roman" w:eastAsia="Times New Roman" w:hAnsi="Times New Roman" w:cs="Times New Roman"/>
                              <w:i/>
                              <w:iCs/>
                              <w:sz w:val="16"/>
                              <w:szCs w:val="16"/>
                            </w:rPr>
                            <w:t>continúa</w:t>
                          </w:r>
                        </w:p>
                      </w:txbxContent>
                    </wps:txbx>
                    <wps:bodyPr wrap="none" lIns="0" tIns="0" rIns="0" bIns="0">
                      <a:spAutoFit/>
                    </wps:bodyPr>
                  </wps:wsp>
                </a:graphicData>
              </a:graphic>
            </wp:anchor>
          </w:drawing>
        </mc:Choice>
        <mc:Fallback>
          <w:pict>
            <v:shapetype w14:anchorId="68A8344D" id="_x0000_t202" coordsize="21600,21600" o:spt="202" path="m,l,21600r21600,l21600,xe">
              <v:stroke joinstyle="miter"/>
              <v:path gradientshapeok="t" o:connecttype="rect"/>
            </v:shapetype>
            <v:shape id="Shape 2559" o:spid="_x0000_s1332" type="#_x0000_t202" style="position:absolute;margin-left:570pt;margin-top:401.5pt;width:32.15pt;height:6.5pt;z-index:-251344896;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" filled="f" stroked="f">
              <v:textbox style="mso-fit-shape-to-text:t" inset="0,0,0,0">
                <w:txbxContent>
                  <w:p w14:paraId="7A3A38B5" w14:textId="77777777" w:rsidR="00924992" w:rsidRDefault="00924992">
                    <w:pPr>
                      <w:pStyle w:val="Headerorfooter0"/>
                      <w:rPr>
                        <w:sz w:val="16"/>
                        <w:szCs w:val="16"/>
                      </w:rPr>
                    </w:pPr>
                    <w:r>
                      <w:rPr>
                        <w:rFonts w:ascii="Times New Roman" w:eastAsia="Times New Roman" w:hAnsi="Times New Roman" w:cs="Times New Roman"/>
                        <w:i/>
                        <w:iCs/>
                        <w:sz w:val="16"/>
                        <w:szCs w:val="16"/>
                      </w:rPr>
                      <w:t>continúa</w:t>
                    </w:r>
                  </w:p>
                </w:txbxContent>
              </v:textbox>
              <w10:wrap anchorx="page" anchory="page"/>
            </v:shape>
          </w:pict>
        </mc:Fallback>
      </mc:AlternateContent>
    </w:r>
  </w:p>
</w:ftr>
</file>

<file path=word/footer20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51650A" w14:textId="77777777" w:rsidR="00924992" w:rsidRDefault="00924992">
    <w:pPr>
      <w:spacing w:line="1" w:lineRule="exact"/>
    </w:pPr>
  </w:p>
</w:ftr>
</file>

<file path=word/footer20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B19065" w14:textId="77777777" w:rsidR="00924992" w:rsidRDefault="00924992">
    <w:pPr>
      <w:spacing w:line="1" w:lineRule="exact"/>
    </w:pPr>
  </w:p>
</w:ftr>
</file>

<file path=word/footer20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373BFE" w14:textId="77777777" w:rsidR="00924992" w:rsidRDefault="00924992"/>
</w:ftr>
</file>

<file path=word/footer20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E373A8" w14:textId="77777777" w:rsidR="00924992" w:rsidRDefault="00924992"/>
</w:ftr>
</file>

<file path=word/footer20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F12CC7" w14:textId="77777777" w:rsidR="00924992" w:rsidRDefault="00924992">
    <w:pPr>
      <w:spacing w:line="1" w:lineRule="exact"/>
    </w:pPr>
  </w:p>
</w:ftr>
</file>

<file path=word/footer20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3C2C23" w14:textId="77777777" w:rsidR="00924992" w:rsidRDefault="00924992">
    <w:pPr>
      <w:spacing w:line="1" w:lineRule="exact"/>
    </w:pPr>
  </w:p>
</w:ftr>
</file>

<file path=word/footer2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4C60AB" w14:textId="77777777" w:rsidR="00924992" w:rsidRDefault="00924992">
    <w:pPr>
      <w:spacing w:line="1" w:lineRule="exact"/>
    </w:pPr>
    <w:r>
      <w:rPr>
        <w:noProof/>
      </w:rPr>
      <mc:AlternateContent>
        <mc:Choice Requires="wps">
          <w:drawing>
            <wp:anchor distT="0" distB="0" distL="0" distR="0" simplePos="0" relativeHeight="251976704" behindDoc="1" locked="0" layoutInCell="1" allowOverlap="1" wp14:anchorId="1A65E4C6" wp14:editId="52064443">
              <wp:simplePos x="0" y="0"/>
              <wp:positionH relativeFrom="page">
                <wp:posOffset>7239000</wp:posOffset>
              </wp:positionH>
              <wp:positionV relativeFrom="page">
                <wp:posOffset>5099050</wp:posOffset>
              </wp:positionV>
              <wp:extent cx="408305" cy="82550"/>
              <wp:effectExtent l="0" t="0" r="0" b="0"/>
              <wp:wrapNone/>
              <wp:docPr id="2595" name="Shape 2595"/>
              <wp:cNvGraphicFramePr/>
              <a:graphic xmlns:a="http://schemas.openxmlformats.org/drawingml/2006/main">
                <a:graphicData uri="http://schemas.microsoft.com/office/word/2010/wordprocessingShape">
                  <wps:wsp>
                    <wps:cNvSpPr txBox="1"/>
                    <wps:spPr>
                      <a:xfrm>
                        <a:off x="0" y="0"/>
                        <a:ext cx="408305" cy="82550"/>
                      </a:xfrm>
                      <a:prstGeom prst="rect">
                        <a:avLst/>
                      </a:prstGeom>
                      <a:noFill/>
                    </wps:spPr>
                    <wps:txbx>
                      <w:txbxContent>
                        <w:p w14:paraId="77449B22" w14:textId="77777777" w:rsidR="00924992" w:rsidRDefault="00924992">
                          <w:pPr>
                            <w:pStyle w:val="Headerorfooter0"/>
                            <w:rPr>
                              <w:sz w:val="16"/>
                              <w:szCs w:val="16"/>
                            </w:rPr>
                          </w:pPr>
                          <w:r>
                            <w:rPr>
                              <w:rFonts w:ascii="Times New Roman" w:eastAsia="Times New Roman" w:hAnsi="Times New Roman" w:cs="Times New Roman"/>
                              <w:i/>
                              <w:iCs/>
                              <w:sz w:val="16"/>
                              <w:szCs w:val="16"/>
                            </w:rPr>
                            <w:t>continúa</w:t>
                          </w:r>
                        </w:p>
                      </w:txbxContent>
                    </wps:txbx>
                    <wps:bodyPr wrap="none" lIns="0" tIns="0" rIns="0" bIns="0">
                      <a:spAutoFit/>
                    </wps:bodyPr>
                  </wps:wsp>
                </a:graphicData>
              </a:graphic>
            </wp:anchor>
          </w:drawing>
        </mc:Choice>
        <mc:Fallback>
          <w:pict>
            <v:shapetype w14:anchorId="1A65E4C6" id="_x0000_t202" coordsize="21600,21600" o:spt="202" path="m,l,21600r21600,l21600,xe">
              <v:stroke joinstyle="miter"/>
              <v:path gradientshapeok="t" o:connecttype="rect"/>
            </v:shapetype>
            <v:shape id="Shape 2595" o:spid="_x0000_s1335" type="#_x0000_t202" style="position:absolute;margin-left:570pt;margin-top:401.5pt;width:32.15pt;height:6.5pt;z-index:-251339776;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" filled="f" stroked="f">
              <v:textbox style="mso-fit-shape-to-text:t" inset="0,0,0,0">
                <w:txbxContent>
                  <w:p w14:paraId="77449B22" w14:textId="77777777" w:rsidR="00924992" w:rsidRDefault="00924992">
                    <w:pPr>
                      <w:pStyle w:val="Headerorfooter0"/>
                      <w:rPr>
                        <w:sz w:val="16"/>
                        <w:szCs w:val="16"/>
                      </w:rPr>
                    </w:pPr>
                    <w:r>
                      <w:rPr>
                        <w:rFonts w:ascii="Times New Roman" w:eastAsia="Times New Roman" w:hAnsi="Times New Roman" w:cs="Times New Roman"/>
                        <w:i/>
                        <w:iCs/>
                        <w:sz w:val="16"/>
                        <w:szCs w:val="16"/>
                      </w:rPr>
                      <w:t>continúa</w:t>
                    </w:r>
                  </w:p>
                </w:txbxContent>
              </v:textbox>
              <w10:wrap anchorx="page" anchory="page"/>
            </v:shape>
          </w:pict>
        </mc:Fallback>
      </mc:AlternateContent>
    </w:r>
  </w:p>
</w:ftr>
</file>

<file path=word/footer2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5EA494" w14:textId="77777777" w:rsidR="00924992" w:rsidRDefault="00924992">
    <w:pPr>
      <w:spacing w:line="1" w:lineRule="exact"/>
    </w:pPr>
    <w:r>
      <w:rPr>
        <w:noProof/>
      </w:rPr>
      <mc:AlternateContent>
        <mc:Choice Requires="wps">
          <w:drawing>
            <wp:anchor distT="0" distB="0" distL="0" distR="0" simplePos="0" relativeHeight="251975680" behindDoc="1" locked="0" layoutInCell="1" allowOverlap="1" wp14:anchorId="5575B15B" wp14:editId="1F21C2EE">
              <wp:simplePos x="0" y="0"/>
              <wp:positionH relativeFrom="page">
                <wp:posOffset>7239000</wp:posOffset>
              </wp:positionH>
              <wp:positionV relativeFrom="page">
                <wp:posOffset>5099050</wp:posOffset>
              </wp:positionV>
              <wp:extent cx="408305" cy="82550"/>
              <wp:effectExtent l="0" t="0" r="0" b="0"/>
              <wp:wrapNone/>
              <wp:docPr id="2593" name="Shape 2593"/>
              <wp:cNvGraphicFramePr/>
              <a:graphic xmlns:a="http://schemas.openxmlformats.org/drawingml/2006/main">
                <a:graphicData uri="http://schemas.microsoft.com/office/word/2010/wordprocessingShape">
                  <wps:wsp>
                    <wps:cNvSpPr txBox="1"/>
                    <wps:spPr>
                      <a:xfrm>
                        <a:off x="0" y="0"/>
                        <a:ext cx="408305" cy="82550"/>
                      </a:xfrm>
                      <a:prstGeom prst="rect">
                        <a:avLst/>
                      </a:prstGeom>
                      <a:noFill/>
                    </wps:spPr>
                    <wps:txbx>
                      <w:txbxContent>
                        <w:p w14:paraId="0D6CA88C" w14:textId="77777777" w:rsidR="00924992" w:rsidRDefault="00924992">
                          <w:pPr>
                            <w:pStyle w:val="Headerorfooter0"/>
                            <w:rPr>
                              <w:sz w:val="16"/>
                              <w:szCs w:val="16"/>
                            </w:rPr>
                          </w:pPr>
                          <w:r>
                            <w:rPr>
                              <w:rFonts w:ascii="Times New Roman" w:eastAsia="Times New Roman" w:hAnsi="Times New Roman" w:cs="Times New Roman"/>
                              <w:i/>
                              <w:iCs/>
                              <w:sz w:val="16"/>
                              <w:szCs w:val="16"/>
                            </w:rPr>
                            <w:t>continúa</w:t>
                          </w:r>
                        </w:p>
                      </w:txbxContent>
                    </wps:txbx>
                    <wps:bodyPr wrap="none" lIns="0" tIns="0" rIns="0" bIns="0">
                      <a:spAutoFit/>
                    </wps:bodyPr>
                  </wps:wsp>
                </a:graphicData>
              </a:graphic>
            </wp:anchor>
          </w:drawing>
        </mc:Choice>
        <mc:Fallback>
          <w:pict>
            <v:shapetype w14:anchorId="5575B15B" id="_x0000_t202" coordsize="21600,21600" o:spt="202" path="m,l,21600r21600,l21600,xe">
              <v:stroke joinstyle="miter"/>
              <v:path gradientshapeok="t" o:connecttype="rect"/>
            </v:shapetype>
            <v:shape id="Shape 2593" o:spid="_x0000_s1336" type="#_x0000_t202" style="position:absolute;margin-left:570pt;margin-top:401.5pt;width:32.15pt;height:6.5pt;z-index:-251340800;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" filled="f" stroked="f">
              <v:textbox style="mso-fit-shape-to-text:t" inset="0,0,0,0">
                <w:txbxContent>
                  <w:p w14:paraId="0D6CA88C" w14:textId="77777777" w:rsidR="00924992" w:rsidRDefault="00924992">
                    <w:pPr>
                      <w:pStyle w:val="Headerorfooter0"/>
                      <w:rPr>
                        <w:sz w:val="16"/>
                        <w:szCs w:val="16"/>
                      </w:rPr>
                    </w:pPr>
                    <w:r>
                      <w:rPr>
                        <w:rFonts w:ascii="Times New Roman" w:eastAsia="Times New Roman" w:hAnsi="Times New Roman" w:cs="Times New Roman"/>
                        <w:i/>
                        <w:iCs/>
                        <w:sz w:val="16"/>
                        <w:szCs w:val="16"/>
                      </w:rPr>
                      <w:t>continúa</w:t>
                    </w:r>
                  </w:p>
                </w:txbxContent>
              </v:textbox>
              <w10:wrap anchorx="page" anchory="page"/>
            </v:shape>
          </w:pict>
        </mc:Fallback>
      </mc:AlternateContent>
    </w:r>
  </w:p>
</w:ftr>
</file>

<file path=word/footer2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3567F5" w14:textId="77777777" w:rsidR="00924992" w:rsidRDefault="00924992"/>
</w:ftr>
</file>

<file path=word/footer2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67C090" w14:textId="77777777" w:rsidR="00924992" w:rsidRDefault="00924992"/>
</w:ftr>
</file>

<file path=word/footer2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349CA4" w14:textId="77777777" w:rsidR="00924992" w:rsidRDefault="00924992"/>
</w:ftr>
</file>

<file path=word/footer21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D19869" w14:textId="77777777" w:rsidR="00924992" w:rsidRDefault="00924992"/>
</w:ftr>
</file>

<file path=word/footer21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550298" w14:textId="77777777" w:rsidR="00924992" w:rsidRDefault="00924992"/>
</w:ftr>
</file>

<file path=word/footer21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94FAD1" w14:textId="77777777" w:rsidR="00924992" w:rsidRDefault="00924992"/>
</w:ftr>
</file>

<file path=word/footer21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4BB293" w14:textId="77777777" w:rsidR="00924992" w:rsidRDefault="00924992">
    <w:pPr>
      <w:spacing w:line="1" w:lineRule="exact"/>
    </w:pPr>
    <w:r>
      <w:rPr>
        <w:noProof/>
      </w:rPr>
      <mc:AlternateContent>
        <mc:Choice Requires="wps">
          <w:drawing>
            <wp:anchor distT="0" distB="0" distL="0" distR="0" simplePos="0" relativeHeight="251982848" behindDoc="1" locked="0" layoutInCell="1" allowOverlap="1" wp14:anchorId="1EF87C19" wp14:editId="3DBD7E09">
              <wp:simplePos x="0" y="0"/>
              <wp:positionH relativeFrom="page">
                <wp:posOffset>7239000</wp:posOffset>
              </wp:positionH>
              <wp:positionV relativeFrom="page">
                <wp:posOffset>5099050</wp:posOffset>
              </wp:positionV>
              <wp:extent cx="408305" cy="82550"/>
              <wp:effectExtent l="0" t="0" r="0" b="0"/>
              <wp:wrapNone/>
              <wp:docPr id="2617" name="Shape 2617"/>
              <wp:cNvGraphicFramePr/>
              <a:graphic xmlns:a="http://schemas.openxmlformats.org/drawingml/2006/main">
                <a:graphicData uri="http://schemas.microsoft.com/office/word/2010/wordprocessingShape">
                  <wps:wsp>
                    <wps:cNvSpPr txBox="1"/>
                    <wps:spPr>
                      <a:xfrm>
                        <a:off x="0" y="0"/>
                        <a:ext cx="408305" cy="82550"/>
                      </a:xfrm>
                      <a:prstGeom prst="rect">
                        <a:avLst/>
                      </a:prstGeom>
                      <a:noFill/>
                    </wps:spPr>
                    <wps:txbx>
                      <w:txbxContent>
                        <w:p w14:paraId="005BBCEC" w14:textId="77777777" w:rsidR="00924992" w:rsidRDefault="00924992">
                          <w:pPr>
                            <w:pStyle w:val="Headerorfooter0"/>
                            <w:rPr>
                              <w:sz w:val="16"/>
                              <w:szCs w:val="16"/>
                            </w:rPr>
                          </w:pPr>
                          <w:r>
                            <w:rPr>
                              <w:rFonts w:ascii="Times New Roman" w:eastAsia="Times New Roman" w:hAnsi="Times New Roman" w:cs="Times New Roman"/>
                              <w:i/>
                              <w:iCs/>
                              <w:sz w:val="16"/>
                              <w:szCs w:val="16"/>
                            </w:rPr>
                            <w:t>continúa</w:t>
                          </w:r>
                        </w:p>
                      </w:txbxContent>
                    </wps:txbx>
                    <wps:bodyPr wrap="none" lIns="0" tIns="0" rIns="0" bIns="0">
                      <a:spAutoFit/>
                    </wps:bodyPr>
                  </wps:wsp>
                </a:graphicData>
              </a:graphic>
            </wp:anchor>
          </w:drawing>
        </mc:Choice>
        <mc:Fallback>
          <w:pict>
            <v:shapetype w14:anchorId="1EF87C19" id="_x0000_t202" coordsize="21600,21600" o:spt="202" path="m,l,21600r21600,l21600,xe">
              <v:stroke joinstyle="miter"/>
              <v:path gradientshapeok="t" o:connecttype="rect"/>
            </v:shapetype>
            <v:shape id="Shape 2617" o:spid="_x0000_s1341" type="#_x0000_t202" style="position:absolute;margin-left:570pt;margin-top:401.5pt;width:32.15pt;height:6.5pt;z-index:-251333632;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" filled="f" stroked="f">
              <v:textbox style="mso-fit-shape-to-text:t" inset="0,0,0,0">
                <w:txbxContent>
                  <w:p w14:paraId="005BBCEC" w14:textId="77777777" w:rsidR="00924992" w:rsidRDefault="00924992">
                    <w:pPr>
                      <w:pStyle w:val="Headerorfooter0"/>
                      <w:rPr>
                        <w:sz w:val="16"/>
                        <w:szCs w:val="16"/>
                      </w:rPr>
                    </w:pPr>
                    <w:r>
                      <w:rPr>
                        <w:rFonts w:ascii="Times New Roman" w:eastAsia="Times New Roman" w:hAnsi="Times New Roman" w:cs="Times New Roman"/>
                        <w:i/>
                        <w:iCs/>
                        <w:sz w:val="16"/>
                        <w:szCs w:val="16"/>
                      </w:rPr>
                      <w:t>continúa</w:t>
                    </w:r>
                  </w:p>
                </w:txbxContent>
              </v:textbox>
              <w10:wrap anchorx="page" anchory="page"/>
            </v:shape>
          </w:pict>
        </mc:Fallback>
      </mc:AlternateContent>
    </w:r>
  </w:p>
</w:ftr>
</file>

<file path=word/footer21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088CC5" w14:textId="77777777" w:rsidR="00924992" w:rsidRDefault="00924992">
    <w:pPr>
      <w:spacing w:line="1" w:lineRule="exact"/>
    </w:pPr>
    <w:r>
      <w:rPr>
        <w:noProof/>
      </w:rPr>
      <mc:AlternateContent>
        <mc:Choice Requires="wps">
          <w:drawing>
            <wp:anchor distT="0" distB="0" distL="0" distR="0" simplePos="0" relativeHeight="251981824" behindDoc="1" locked="0" layoutInCell="1" allowOverlap="1" wp14:anchorId="2998E687" wp14:editId="69D098EA">
              <wp:simplePos x="0" y="0"/>
              <wp:positionH relativeFrom="page">
                <wp:posOffset>7239000</wp:posOffset>
              </wp:positionH>
              <wp:positionV relativeFrom="page">
                <wp:posOffset>5099050</wp:posOffset>
              </wp:positionV>
              <wp:extent cx="408305" cy="82550"/>
              <wp:effectExtent l="0" t="0" r="0" b="0"/>
              <wp:wrapNone/>
              <wp:docPr id="2615" name="Shape 2615"/>
              <wp:cNvGraphicFramePr/>
              <a:graphic xmlns:a="http://schemas.openxmlformats.org/drawingml/2006/main">
                <a:graphicData uri="http://schemas.microsoft.com/office/word/2010/wordprocessingShape">
                  <wps:wsp>
                    <wps:cNvSpPr txBox="1"/>
                    <wps:spPr>
                      <a:xfrm>
                        <a:off x="0" y="0"/>
                        <a:ext cx="408305" cy="82550"/>
                      </a:xfrm>
                      <a:prstGeom prst="rect">
                        <a:avLst/>
                      </a:prstGeom>
                      <a:noFill/>
                    </wps:spPr>
                    <wps:txbx>
                      <w:txbxContent>
                        <w:p w14:paraId="60AD9747" w14:textId="77777777" w:rsidR="00924992" w:rsidRDefault="00924992">
                          <w:pPr>
                            <w:pStyle w:val="Headerorfooter0"/>
                            <w:rPr>
                              <w:sz w:val="16"/>
                              <w:szCs w:val="16"/>
                            </w:rPr>
                          </w:pPr>
                          <w:r>
                            <w:rPr>
                              <w:rFonts w:ascii="Times New Roman" w:eastAsia="Times New Roman" w:hAnsi="Times New Roman" w:cs="Times New Roman"/>
                              <w:i/>
                              <w:iCs/>
                              <w:sz w:val="16"/>
                              <w:szCs w:val="16"/>
                            </w:rPr>
                            <w:t>continúa</w:t>
                          </w:r>
                        </w:p>
                      </w:txbxContent>
                    </wps:txbx>
                    <wps:bodyPr wrap="none" lIns="0" tIns="0" rIns="0" bIns="0">
                      <a:spAutoFit/>
                    </wps:bodyPr>
                  </wps:wsp>
                </a:graphicData>
              </a:graphic>
            </wp:anchor>
          </w:drawing>
        </mc:Choice>
        <mc:Fallback>
          <w:pict>
            <v:shapetype w14:anchorId="2998E687" id="_x0000_t202" coordsize="21600,21600" o:spt="202" path="m,l,21600r21600,l21600,xe">
              <v:stroke joinstyle="miter"/>
              <v:path gradientshapeok="t" o:connecttype="rect"/>
            </v:shapetype>
            <v:shape id="Shape 2615" o:spid="_x0000_s1342" type="#_x0000_t202" style="position:absolute;margin-left:570pt;margin-top:401.5pt;width:32.15pt;height:6.5pt;z-index:-251334656;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" filled="f" stroked="f">
              <v:textbox style="mso-fit-shape-to-text:t" inset="0,0,0,0">
                <w:txbxContent>
                  <w:p w14:paraId="60AD9747" w14:textId="77777777" w:rsidR="00924992" w:rsidRDefault="00924992">
                    <w:pPr>
                      <w:pStyle w:val="Headerorfooter0"/>
                      <w:rPr>
                        <w:sz w:val="16"/>
                        <w:szCs w:val="16"/>
                      </w:rPr>
                    </w:pPr>
                    <w:r>
                      <w:rPr>
                        <w:rFonts w:ascii="Times New Roman" w:eastAsia="Times New Roman" w:hAnsi="Times New Roman" w:cs="Times New Roman"/>
                        <w:i/>
                        <w:iCs/>
                        <w:sz w:val="16"/>
                        <w:szCs w:val="16"/>
                      </w:rPr>
                      <w:t>continúa</w:t>
                    </w:r>
                  </w:p>
                </w:txbxContent>
              </v:textbox>
              <w10:wrap anchorx="page" anchory="page"/>
            </v:shape>
          </w:pict>
        </mc:Fallback>
      </mc:AlternateContent>
    </w:r>
  </w:p>
</w:ftr>
</file>

<file path=word/footer22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813D89" w14:textId="77777777" w:rsidR="00924992" w:rsidRDefault="00924992">
    <w:pPr>
      <w:spacing w:line="1" w:lineRule="exact"/>
    </w:pPr>
  </w:p>
</w:ftr>
</file>

<file path=word/footer22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F32DF3" w14:textId="77777777" w:rsidR="00924992" w:rsidRDefault="00924992">
    <w:pPr>
      <w:spacing w:line="1" w:lineRule="exact"/>
    </w:pPr>
  </w:p>
</w:ftr>
</file>

<file path=word/footer22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6BF16E" w14:textId="77777777" w:rsidR="00924992" w:rsidRDefault="00924992">
    <w:pPr>
      <w:spacing w:line="1" w:lineRule="exact"/>
    </w:pPr>
  </w:p>
</w:ftr>
</file>

<file path=word/footer22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FC7CB7" w14:textId="77777777" w:rsidR="00924992" w:rsidRDefault="00924992">
    <w:pPr>
      <w:spacing w:line="1" w:lineRule="exact"/>
    </w:pPr>
  </w:p>
</w:ftr>
</file>

<file path=word/footer22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EAB3D6" w14:textId="77777777" w:rsidR="00924992" w:rsidRDefault="00924992"/>
</w:ftr>
</file>

<file path=word/footer22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D90871" w14:textId="77777777" w:rsidR="00924992" w:rsidRDefault="00924992"/>
</w:ftr>
</file>

<file path=word/footer22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46E98E" w14:textId="77777777" w:rsidR="00924992" w:rsidRDefault="00924992">
    <w:pPr>
      <w:spacing w:line="1" w:lineRule="exact"/>
    </w:pPr>
    <w:r>
      <w:rPr>
        <w:noProof/>
      </w:rPr>
      <mc:AlternateContent>
        <mc:Choice Requires="wps">
          <w:drawing>
            <wp:anchor distT="0" distB="0" distL="0" distR="0" simplePos="0" relativeHeight="251988992" behindDoc="1" locked="0" layoutInCell="1" allowOverlap="1" wp14:anchorId="3EE055C1" wp14:editId="3F46A082">
              <wp:simplePos x="0" y="0"/>
              <wp:positionH relativeFrom="page">
                <wp:posOffset>7239000</wp:posOffset>
              </wp:positionH>
              <wp:positionV relativeFrom="page">
                <wp:posOffset>5099050</wp:posOffset>
              </wp:positionV>
              <wp:extent cx="408305" cy="82550"/>
              <wp:effectExtent l="0" t="0" r="0" b="0"/>
              <wp:wrapNone/>
              <wp:docPr id="2645" name="Shape 2645"/>
              <wp:cNvGraphicFramePr/>
              <a:graphic xmlns:a="http://schemas.openxmlformats.org/drawingml/2006/main">
                <a:graphicData uri="http://schemas.microsoft.com/office/word/2010/wordprocessingShape">
                  <wps:wsp>
                    <wps:cNvSpPr txBox="1"/>
                    <wps:spPr>
                      <a:xfrm>
                        <a:off x="0" y="0"/>
                        <a:ext cx="408305" cy="82550"/>
                      </a:xfrm>
                      <a:prstGeom prst="rect">
                        <a:avLst/>
                      </a:prstGeom>
                      <a:noFill/>
                    </wps:spPr>
                    <wps:txbx>
                      <w:txbxContent>
                        <w:p w14:paraId="62190A48" w14:textId="77777777" w:rsidR="00924992" w:rsidRDefault="00924992">
                          <w:pPr>
                            <w:pStyle w:val="Headerorfooter0"/>
                            <w:rPr>
                              <w:sz w:val="16"/>
                              <w:szCs w:val="16"/>
                            </w:rPr>
                          </w:pPr>
                          <w:r>
                            <w:rPr>
                              <w:rFonts w:ascii="Times New Roman" w:eastAsia="Times New Roman" w:hAnsi="Times New Roman" w:cs="Times New Roman"/>
                              <w:i/>
                              <w:iCs/>
                              <w:sz w:val="16"/>
                              <w:szCs w:val="16"/>
                            </w:rPr>
                            <w:t>continúa</w:t>
                          </w:r>
                        </w:p>
                      </w:txbxContent>
                    </wps:txbx>
                    <wps:bodyPr wrap="none" lIns="0" tIns="0" rIns="0" bIns="0">
                      <a:spAutoFit/>
                    </wps:bodyPr>
                  </wps:wsp>
                </a:graphicData>
              </a:graphic>
            </wp:anchor>
          </w:drawing>
        </mc:Choice>
        <mc:Fallback>
          <w:pict>
            <v:shapetype w14:anchorId="3EE055C1" id="_x0000_t202" coordsize="21600,21600" o:spt="202" path="m,l,21600r21600,l21600,xe">
              <v:stroke joinstyle="miter"/>
              <v:path gradientshapeok="t" o:connecttype="rect"/>
            </v:shapetype>
            <v:shape id="Shape 2645" o:spid="_x0000_s1347" type="#_x0000_t202" style="position:absolute;margin-left:570pt;margin-top:401.5pt;width:32.15pt;height:6.5pt;z-index:-251327488;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" filled="f" stroked="f">
              <v:textbox style="mso-fit-shape-to-text:t" inset="0,0,0,0">
                <w:txbxContent>
                  <w:p w14:paraId="62190A48" w14:textId="77777777" w:rsidR="00924992" w:rsidRDefault="00924992">
                    <w:pPr>
                      <w:pStyle w:val="Headerorfooter0"/>
                      <w:rPr>
                        <w:sz w:val="16"/>
                        <w:szCs w:val="16"/>
                      </w:rPr>
                    </w:pPr>
                    <w:r>
                      <w:rPr>
                        <w:rFonts w:ascii="Times New Roman" w:eastAsia="Times New Roman" w:hAnsi="Times New Roman" w:cs="Times New Roman"/>
                        <w:i/>
                        <w:iCs/>
                        <w:sz w:val="16"/>
                        <w:szCs w:val="16"/>
                      </w:rPr>
                      <w:t>continúa</w:t>
                    </w:r>
                  </w:p>
                </w:txbxContent>
              </v:textbox>
              <w10:wrap anchorx="page" anchory="page"/>
            </v:shape>
          </w:pict>
        </mc:Fallback>
      </mc:AlternateContent>
    </w:r>
  </w:p>
</w:ftr>
</file>

<file path=word/footer22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4A43C5" w14:textId="77777777" w:rsidR="00924992" w:rsidRDefault="00924992">
    <w:pPr>
      <w:spacing w:line="1" w:lineRule="exact"/>
    </w:pPr>
    <w:r>
      <w:rPr>
        <w:noProof/>
      </w:rPr>
      <mc:AlternateContent>
        <mc:Choice Requires="wps">
          <w:drawing>
            <wp:anchor distT="0" distB="0" distL="0" distR="0" simplePos="0" relativeHeight="251987968" behindDoc="1" locked="0" layoutInCell="1" allowOverlap="1" wp14:anchorId="13887B70" wp14:editId="75F433DA">
              <wp:simplePos x="0" y="0"/>
              <wp:positionH relativeFrom="page">
                <wp:posOffset>7239000</wp:posOffset>
              </wp:positionH>
              <wp:positionV relativeFrom="page">
                <wp:posOffset>5099050</wp:posOffset>
              </wp:positionV>
              <wp:extent cx="408305" cy="82550"/>
              <wp:effectExtent l="0" t="0" r="0" b="0"/>
              <wp:wrapNone/>
              <wp:docPr id="2643" name="Shape 2643"/>
              <wp:cNvGraphicFramePr/>
              <a:graphic xmlns:a="http://schemas.openxmlformats.org/drawingml/2006/main">
                <a:graphicData uri="http://schemas.microsoft.com/office/word/2010/wordprocessingShape">
                  <wps:wsp>
                    <wps:cNvSpPr txBox="1"/>
                    <wps:spPr>
                      <a:xfrm>
                        <a:off x="0" y="0"/>
                        <a:ext cx="408305" cy="82550"/>
                      </a:xfrm>
                      <a:prstGeom prst="rect">
                        <a:avLst/>
                      </a:prstGeom>
                      <a:noFill/>
                    </wps:spPr>
                    <wps:txbx>
                      <w:txbxContent>
                        <w:p w14:paraId="6F8FBC14" w14:textId="77777777" w:rsidR="00924992" w:rsidRDefault="00924992">
                          <w:pPr>
                            <w:pStyle w:val="Headerorfooter0"/>
                            <w:rPr>
                              <w:sz w:val="16"/>
                              <w:szCs w:val="16"/>
                            </w:rPr>
                          </w:pPr>
                          <w:r>
                            <w:rPr>
                              <w:rFonts w:ascii="Times New Roman" w:eastAsia="Times New Roman" w:hAnsi="Times New Roman" w:cs="Times New Roman"/>
                              <w:i/>
                              <w:iCs/>
                              <w:sz w:val="16"/>
                              <w:szCs w:val="16"/>
                            </w:rPr>
                            <w:t>continúa</w:t>
                          </w:r>
                        </w:p>
                      </w:txbxContent>
                    </wps:txbx>
                    <wps:bodyPr wrap="none" lIns="0" tIns="0" rIns="0" bIns="0">
                      <a:spAutoFit/>
                    </wps:bodyPr>
                  </wps:wsp>
                </a:graphicData>
              </a:graphic>
            </wp:anchor>
          </w:drawing>
        </mc:Choice>
        <mc:Fallback>
          <w:pict>
            <v:shapetype w14:anchorId="13887B70" id="_x0000_t202" coordsize="21600,21600" o:spt="202" path="m,l,21600r21600,l21600,xe">
              <v:stroke joinstyle="miter"/>
              <v:path gradientshapeok="t" o:connecttype="rect"/>
            </v:shapetype>
            <v:shape id="Shape 2643" o:spid="_x0000_s1348" type="#_x0000_t202" style="position:absolute;margin-left:570pt;margin-top:401.5pt;width:32.15pt;height:6.5pt;z-index:-251328512;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" filled="f" stroked="f">
              <v:textbox style="mso-fit-shape-to-text:t" inset="0,0,0,0">
                <w:txbxContent>
                  <w:p w14:paraId="6F8FBC14" w14:textId="77777777" w:rsidR="00924992" w:rsidRDefault="00924992">
                    <w:pPr>
                      <w:pStyle w:val="Headerorfooter0"/>
                      <w:rPr>
                        <w:sz w:val="16"/>
                        <w:szCs w:val="16"/>
                      </w:rPr>
                    </w:pPr>
                    <w:r>
                      <w:rPr>
                        <w:rFonts w:ascii="Times New Roman" w:eastAsia="Times New Roman" w:hAnsi="Times New Roman" w:cs="Times New Roman"/>
                        <w:i/>
                        <w:iCs/>
                        <w:sz w:val="16"/>
                        <w:szCs w:val="16"/>
                      </w:rPr>
                      <w:t>continúa</w:t>
                    </w:r>
                  </w:p>
                </w:txbxContent>
              </v:textbox>
              <w10:wrap anchorx="page" anchory="page"/>
            </v:shape>
          </w:pict>
        </mc:Fallback>
      </mc:AlternateContent>
    </w:r>
  </w:p>
</w:ftr>
</file>

<file path=word/footer22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931306" w14:textId="77777777" w:rsidR="00924992" w:rsidRDefault="00924992"/>
</w:ftr>
</file>

<file path=word/footer22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271B54" w14:textId="77777777" w:rsidR="00924992" w:rsidRDefault="00924992"/>
</w:ftr>
</file>

<file path=word/footer23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26F26" w14:textId="77777777" w:rsidR="00924992" w:rsidRDefault="00924992">
    <w:pPr>
      <w:spacing w:line="1" w:lineRule="exact"/>
    </w:pPr>
  </w:p>
</w:ftr>
</file>

<file path=word/footer23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030715" w14:textId="77777777" w:rsidR="00924992" w:rsidRDefault="00924992">
    <w:pPr>
      <w:spacing w:line="1" w:lineRule="exac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E67B474" w14:textId="77777777" w:rsidR="0073773F" w:rsidRDefault="0073773F" w:rsidP="00924992">
      <w:pPr>
        <w:spacing w:after="0" w:line="240" w:lineRule="auto"/>
      </w:pPr>
      <w:r>
        <w:separator/>
      </w:r>
    </w:p>
  </w:footnote>
  <w:footnote w:type="continuationSeparator" w:id="0">
    <w:p w14:paraId="03A0E87A" w14:textId="77777777" w:rsidR="0073773F" w:rsidRDefault="0073773F" w:rsidP="00924992">
      <w:pPr>
        <w:spacing w:after="0" w:line="240" w:lineRule="auto"/>
      </w:pPr>
      <w:r>
        <w:continuationSeparator/>
      </w:r>
    </w:p>
  </w:footnote>
  <w:footnote w:id="1">
    <w:p w14:paraId="7FA0A731" w14:textId="77777777" w:rsidR="00924992" w:rsidRDefault="00924992">
      <w:pPr>
        <w:pStyle w:val="Footnote0"/>
        <w:pBdr>
          <w:top w:val="single" w:sz="4" w:space="0" w:color="auto"/>
        </w:pBdr>
        <w:ind w:left="240"/>
      </w:pPr>
      <w:r>
        <w:t>Td, vacuna de toxoides de difteria y tétanos para el adulto; TIG, concentrado inmunoglobulínico antitetánico (humano).</w:t>
      </w:r>
    </w:p>
  </w:footnote>
  <w:footnote w:id="2">
    <w:p w14:paraId="513AFA63" w14:textId="77777777" w:rsidR="00924992" w:rsidRDefault="00924992">
      <w:pPr>
        <w:pStyle w:val="Footnote0"/>
        <w:tabs>
          <w:tab w:val="left" w:pos="163"/>
        </w:tabs>
        <w:spacing w:line="298" w:lineRule="auto"/>
        <w:ind w:left="240" w:hanging="240"/>
      </w:pPr>
      <w:r>
        <w:rPr>
          <w:sz w:val="8"/>
          <w:szCs w:val="8"/>
          <w:vertAlign w:val="superscript"/>
        </w:rPr>
        <w:footnoteRef/>
      </w:r>
      <w:r>
        <w:rPr>
          <w:sz w:val="8"/>
          <w:szCs w:val="8"/>
        </w:rPr>
        <w:tab/>
      </w:r>
      <w:r>
        <w:t>Por ejemplo (pero no exclusivamente), heridas contaminadas con suciedad, excremento, tierra y saliva; lesiones puntiformes; avulsiones y heridas como consecuencia de proyectiles, aplastamiento, quemaduras y congelamiento.</w:t>
      </w:r>
    </w:p>
  </w:footnote>
  <w:footnote w:id="3">
    <w:p w14:paraId="5EA47DE8" w14:textId="77777777" w:rsidR="00924992" w:rsidRDefault="00924992">
      <w:pPr>
        <w:pStyle w:val="Footnote0"/>
        <w:tabs>
          <w:tab w:val="left" w:pos="173"/>
        </w:tabs>
        <w:spacing w:line="283" w:lineRule="auto"/>
        <w:ind w:left="240" w:hanging="240"/>
      </w:pPr>
      <w:r>
        <w:rPr>
          <w:sz w:val="8"/>
          <w:szCs w:val="8"/>
          <w:vertAlign w:val="superscript"/>
        </w:rPr>
        <w:footnoteRef/>
      </w:r>
      <w:r>
        <w:rPr>
          <w:sz w:val="8"/>
          <w:szCs w:val="8"/>
        </w:rPr>
        <w:tab/>
      </w:r>
      <w:r>
        <w:t>En el caso de niños menores de siete años de edad se recomienda la vacuna triple (toxoides de difteria y tétanos y vacuna acelular de tos ferina [DTaP]); si está contraindicada la vacuna contra la tos ferina, se aplica la vacuna de toxoides de difteria y tétanos (DT). Para niños de siete años o mayores se recomienda la vacuna de difteria y tétanos (Td).</w:t>
      </w:r>
    </w:p>
  </w:footnote>
  <w:footnote w:id="4">
    <w:p w14:paraId="677F143B" w14:textId="77777777" w:rsidR="00924992" w:rsidRDefault="00924992">
      <w:pPr>
        <w:pStyle w:val="Footnote0"/>
        <w:tabs>
          <w:tab w:val="left" w:pos="168"/>
        </w:tabs>
        <w:spacing w:line="326" w:lineRule="auto"/>
        <w:ind w:left="240" w:hanging="240"/>
      </w:pPr>
      <w:r>
        <w:rPr>
          <w:sz w:val="8"/>
          <w:szCs w:val="8"/>
          <w:vertAlign w:val="superscript"/>
        </w:rPr>
        <w:footnoteRef/>
      </w:r>
      <w:r>
        <w:rPr>
          <w:sz w:val="8"/>
          <w:szCs w:val="8"/>
        </w:rPr>
        <w:tab/>
      </w:r>
      <w:r>
        <w:t>Hay que usar la antitoxina tetánica equina si se cuenta con ella en caso de que no se distribuya concentrado inmunoglobulínico antitetánico (TIG).</w:t>
      </w:r>
    </w:p>
  </w:footnote>
  <w:footnote w:id="5">
    <w:p w14:paraId="11380B4E" w14:textId="77777777" w:rsidR="00924992" w:rsidRDefault="00924992">
      <w:pPr>
        <w:pStyle w:val="Footnote0"/>
        <w:tabs>
          <w:tab w:val="left" w:pos="173"/>
        </w:tabs>
        <w:spacing w:line="326" w:lineRule="auto"/>
        <w:jc w:val="center"/>
      </w:pPr>
      <w:r>
        <w:rPr>
          <w:sz w:val="8"/>
          <w:szCs w:val="8"/>
          <w:vertAlign w:val="superscript"/>
        </w:rPr>
        <w:footnoteRef/>
      </w:r>
      <w:r>
        <w:rPr>
          <w:sz w:val="8"/>
          <w:szCs w:val="8"/>
        </w:rPr>
        <w:tab/>
      </w:r>
      <w:r>
        <w:t>Si el niño ha recibido sólo tres dosis del toxoide fluido, habrá que aplicar una cuarta dosis, de preferencia</w:t>
      </w:r>
      <w:r>
        <w:br/>
        <w:t>toxoide adsorbido. A pesar de que su uso está aprobado, rara vez se utiliza el toxoide tetánico fluido.</w:t>
      </w:r>
    </w:p>
  </w:footnote>
  <w:footnote w:id="6">
    <w:p w14:paraId="2E166A15" w14:textId="77777777" w:rsidR="00924992" w:rsidRDefault="00924992">
      <w:pPr>
        <w:pStyle w:val="Footnote0"/>
        <w:tabs>
          <w:tab w:val="left" w:pos="168"/>
        </w:tabs>
        <w:spacing w:line="470" w:lineRule="auto"/>
      </w:pPr>
      <w:r>
        <w:rPr>
          <w:sz w:val="8"/>
          <w:szCs w:val="8"/>
          <w:vertAlign w:val="superscript"/>
        </w:rPr>
        <w:footnoteRef/>
      </w:r>
      <w:r>
        <w:rPr>
          <w:sz w:val="8"/>
          <w:szCs w:val="8"/>
        </w:rPr>
        <w:tab/>
      </w:r>
      <w:r>
        <w:t>Sí, si han transcurrido más de 10 años desde la última dosis.</w:t>
      </w:r>
    </w:p>
  </w:footnote>
  <w:footnote w:id="7">
    <w:p w14:paraId="2CF06AB1" w14:textId="77777777" w:rsidR="00924992" w:rsidRDefault="00924992">
      <w:pPr>
        <w:pStyle w:val="Footnote0"/>
        <w:tabs>
          <w:tab w:val="left" w:pos="173"/>
        </w:tabs>
        <w:spacing w:after="260" w:line="326" w:lineRule="auto"/>
        <w:ind w:left="240" w:hanging="240"/>
      </w:pPr>
      <w:r>
        <w:rPr>
          <w:sz w:val="8"/>
          <w:szCs w:val="8"/>
          <w:vertAlign w:val="superscript"/>
        </w:rPr>
        <w:footnoteRef/>
      </w:r>
      <w:r>
        <w:rPr>
          <w:sz w:val="8"/>
          <w:szCs w:val="8"/>
        </w:rPr>
        <w:tab/>
      </w:r>
      <w:r>
        <w:t>Sí, si han transcurrido más de cinco años desde la última dosis. No se necesitan aplicaciones más frecuentes de las dosis de refuerzo porque pueden agravar los efectos adversos.</w:t>
      </w:r>
    </w:p>
    <w:p w14:paraId="1E39D195" w14:textId="77777777" w:rsidR="00924992" w:rsidRDefault="00924992">
      <w:pPr>
        <w:pStyle w:val="Footnote0"/>
        <w:spacing w:line="269" w:lineRule="auto"/>
        <w:ind w:left="360"/>
        <w:rPr>
          <w:sz w:val="19"/>
          <w:szCs w:val="19"/>
        </w:rPr>
      </w:pPr>
      <w:r>
        <w:rPr>
          <w:rFonts w:ascii="Garamond" w:eastAsia="Garamond" w:hAnsi="Garamond" w:cs="Garamond"/>
          <w:sz w:val="19"/>
          <w:szCs w:val="19"/>
        </w:rPr>
        <w:t xml:space="preserve">conviene aplicar una dosis de refuerzo en la profilaxia de heridas en niños menores de siete años, habrá que utilizar la vacuna triple, es decir con toxoides diftérico y tetánico y acelular de tos ferina (diphtheria and tetanus toxoids and acellular pertussis, DTaP), salvo que esté contraindicada esta última (véase “Tos ferina” en esta sección), y en esta situación se recomienda la aplicación de toxoides de difteria y tétanos </w:t>
      </w:r>
      <w:r>
        <w:rPr>
          <w:rFonts w:ascii="Garamond" w:eastAsia="Garamond" w:hAnsi="Garamond" w:cs="Garamond"/>
          <w:i/>
          <w:iCs/>
          <w:sz w:val="19"/>
          <w:szCs w:val="19"/>
        </w:rPr>
        <w:t>(</w:t>
      </w:r>
      <w:r>
        <w:rPr>
          <w:i/>
          <w:iCs/>
          <w:sz w:val="16"/>
          <w:szCs w:val="16"/>
        </w:rPr>
        <w:t>diphtheria and tetanus toxoids</w:t>
      </w:r>
      <w:r>
        <w:rPr>
          <w:rFonts w:ascii="Garamond" w:eastAsia="Garamond" w:hAnsi="Garamond" w:cs="Garamond"/>
          <w:i/>
          <w:iCs/>
          <w:sz w:val="19"/>
          <w:szCs w:val="19"/>
        </w:rPr>
        <w:t>,</w:t>
      </w:r>
      <w:r>
        <w:rPr>
          <w:rFonts w:ascii="Garamond" w:eastAsia="Garamond" w:hAnsi="Garamond" w:cs="Garamond"/>
          <w:sz w:val="19"/>
          <w:szCs w:val="19"/>
        </w:rPr>
        <w:t xml:space="preserve"> DT).</w:t>
      </w:r>
    </w:p>
    <w:p w14:paraId="2B2A0D55" w14:textId="77777777" w:rsidR="00924992" w:rsidRDefault="00924992">
      <w:pPr>
        <w:pStyle w:val="Footnote0"/>
        <w:numPr>
          <w:ilvl w:val="0"/>
          <w:numId w:val="10"/>
        </w:numPr>
        <w:tabs>
          <w:tab w:val="left" w:pos="341"/>
        </w:tabs>
        <w:spacing w:line="269" w:lineRule="auto"/>
        <w:ind w:left="360" w:hanging="360"/>
        <w:rPr>
          <w:sz w:val="19"/>
          <w:szCs w:val="19"/>
        </w:rPr>
      </w:pPr>
      <w:r>
        <w:rPr>
          <w:rFonts w:ascii="Garamond" w:eastAsia="Garamond" w:hAnsi="Garamond" w:cs="Garamond"/>
          <w:sz w:val="19"/>
          <w:szCs w:val="19"/>
        </w:rPr>
        <w:t>Cuando se necesita TIG para profilaxia de la herida, se la aplica por vía intramuscular en una dosis de 250 U. Conviene utilizar la antitoxina tetánica equina si no se dispone de TIG después de someter a pruebas adecuadas al paciente en cuanto a sensibilidad (véase “Pruebas de sensibilidad a reacciones a sueros de animales”, sección 1). No se dispone de la antitoxina equina en Estados Unidos. Si se aplican simultáneamente el toxoide tetánico y TIG y la antitoxina tetánica equina, será mejor utilizar jeringuillas y sitios independientes. La administración de TIG o de la antitoxina equina no es motivo para no emprender la vacunación activa con toxoide tetánico. Se harán intentos para emprender tal medida y terminarla. La administración simultánea del toxoide tetánico, o después de un intervalo de haber recibido el concentrado inmunoglobulínico, no altera sustancialmente la síntesis de aparición de anticuerpos protectores.</w:t>
      </w:r>
    </w:p>
    <w:p w14:paraId="074E454F" w14:textId="77777777" w:rsidR="00924992" w:rsidRDefault="00924992">
      <w:pPr>
        <w:pStyle w:val="Footnote0"/>
        <w:numPr>
          <w:ilvl w:val="0"/>
          <w:numId w:val="10"/>
        </w:numPr>
        <w:tabs>
          <w:tab w:val="left" w:pos="341"/>
        </w:tabs>
        <w:spacing w:line="269" w:lineRule="auto"/>
        <w:ind w:left="360" w:hanging="360"/>
        <w:rPr>
          <w:sz w:val="19"/>
          <w:szCs w:val="19"/>
        </w:rPr>
      </w:pPr>
      <w:r>
        <w:rPr>
          <w:rFonts w:ascii="Garamond" w:eastAsia="Garamond" w:hAnsi="Garamond" w:cs="Garamond"/>
          <w:sz w:val="19"/>
          <w:szCs w:val="19"/>
        </w:rPr>
        <w:t>Sea cual sea el estado de vacunación hay que limpiar y desbridar lo mejor posible las heridas sucias si se advierte en ellas suciedad o tejido necrótico. En ellas se hará tratamiento quirúrgico inmediato para eliminar todo el tejido desvitalizado y cuerpos extraños como parte esencial de la profilaxia antitetánica. No es necesario ni apropiado desbridar extensamente lesiones puntiformes.</w:t>
      </w:r>
    </w:p>
    <w:p w14:paraId="60C5897D" w14:textId="77777777" w:rsidR="00924992" w:rsidRDefault="00924992">
      <w:pPr>
        <w:pStyle w:val="Footnote0"/>
        <w:spacing w:line="298" w:lineRule="auto"/>
        <w:ind w:firstLine="360"/>
        <w:rPr>
          <w:sz w:val="19"/>
          <w:szCs w:val="19"/>
        </w:rPr>
      </w:pPr>
      <w:r>
        <w:rPr>
          <w:rFonts w:ascii="Arial" w:eastAsia="Arial" w:hAnsi="Arial" w:cs="Arial"/>
          <w:b/>
          <w:bCs/>
          <w:i/>
          <w:iCs/>
        </w:rPr>
        <w:t>Vacunación.</w:t>
      </w:r>
      <w:r>
        <w:rPr>
          <w:rFonts w:ascii="Garamond" w:eastAsia="Garamond" w:hAnsi="Garamond" w:cs="Garamond"/>
          <w:sz w:val="19"/>
          <w:szCs w:val="19"/>
        </w:rPr>
        <w:t xml:space="preserve"> La vacunación activa con toxoide tetánica está indicada en todas las personas. En lo que se refiere a todas las indicaciones, la medida anterior se realiza por</w:t>
      </w:r>
    </w:p>
  </w:footnote>
  <w:footnote w:id="8">
    <w:p w14:paraId="15387D8B" w14:textId="77777777" w:rsidR="00924992" w:rsidRDefault="00924992">
      <w:pPr>
        <w:pStyle w:val="Footnote0"/>
        <w:spacing w:after="380"/>
        <w:ind w:left="240" w:hanging="240"/>
      </w:pPr>
      <w:r>
        <w:rPr>
          <w:sz w:val="8"/>
          <w:szCs w:val="8"/>
          <w:vertAlign w:val="superscript"/>
        </w:rPr>
        <w:footnoteRef/>
      </w:r>
      <w:r>
        <w:rPr>
          <w:sz w:val="8"/>
          <w:szCs w:val="8"/>
        </w:rPr>
        <w:t xml:space="preserve"> </w:t>
      </w:r>
      <w:r>
        <w:t xml:space="preserve">Con autorización de Wharton M, Chorba TL, Vogt RL, Morse DL, Buehler JW. Case definitions for public health surveillance. </w:t>
      </w:r>
      <w:r>
        <w:rPr>
          <w:i/>
          <w:iCs/>
        </w:rPr>
        <w:t>MMWR Recomm Rep.</w:t>
      </w:r>
      <w:r>
        <w:t xml:space="preserve"> 1990;39(RR-13):1-43.</w:t>
      </w:r>
    </w:p>
    <w:p w14:paraId="3334FE03" w14:textId="77777777" w:rsidR="00924992" w:rsidRDefault="00924992">
      <w:pPr>
        <w:pStyle w:val="Footnote0"/>
        <w:spacing w:line="269" w:lineRule="auto"/>
        <w:rPr>
          <w:sz w:val="19"/>
          <w:szCs w:val="19"/>
        </w:rPr>
      </w:pPr>
      <w:r>
        <w:rPr>
          <w:rFonts w:ascii="Garamond" w:eastAsia="Garamond" w:hAnsi="Garamond" w:cs="Garamond"/>
          <w:sz w:val="19"/>
          <w:szCs w:val="19"/>
        </w:rPr>
        <w:t>menstruaban, con predilección por las adolescentes y mujeres jóvenes sin anticuerpos circulantes contra TSST-1. Los cambios en la composición del tampón o toalla íntima y la disminución en su capacidad de absorción realizados en los últimos 20 años coincidieron con una disminución significativa de la proporción de casos vinculados con la menstruación, lo que explicó menos de la mitad de los casos publicados en 1996. Los factores de riesgo de que surja TSS no menstrual se incluyen en el cuadro 3-6.</w:t>
      </w:r>
    </w:p>
    <w:p w14:paraId="13017BA1" w14:textId="77777777" w:rsidR="00924992" w:rsidRDefault="00924992">
      <w:pPr>
        <w:pStyle w:val="Footnote0"/>
        <w:spacing w:line="269" w:lineRule="auto"/>
        <w:ind w:firstLine="360"/>
        <w:rPr>
          <w:sz w:val="19"/>
          <w:szCs w:val="19"/>
        </w:rPr>
      </w:pPr>
      <w:r>
        <w:rPr>
          <w:rFonts w:ascii="Garamond" w:eastAsia="Garamond" w:hAnsi="Garamond" w:cs="Garamond"/>
          <w:sz w:val="19"/>
          <w:szCs w:val="19"/>
        </w:rPr>
        <w:t xml:space="preserve">En los adultos las cepas de </w:t>
      </w:r>
      <w:r>
        <w:rPr>
          <w:i/>
          <w:iCs/>
          <w:sz w:val="16"/>
          <w:szCs w:val="16"/>
        </w:rPr>
        <w:t>S. aureus</w:t>
      </w:r>
      <w:r>
        <w:rPr>
          <w:rFonts w:ascii="Garamond" w:eastAsia="Garamond" w:hAnsi="Garamond" w:cs="Garamond"/>
          <w:sz w:val="19"/>
          <w:szCs w:val="19"/>
        </w:rPr>
        <w:t xml:space="preserve"> productoras de TSST-1 pueden ser parte de la flora normal de la porción anterior de las fosas nasales, y de la vagina. Se piensa que la colonización produce anticuerpos protectores, y más de 90% de los adultos tienen dichas inmunoglobulinas contra TSST-1. Las personas en quienes surge TSS mediada por </w:t>
      </w:r>
      <w:r>
        <w:rPr>
          <w:i/>
          <w:iCs/>
          <w:sz w:val="16"/>
          <w:szCs w:val="16"/>
        </w:rPr>
        <w:t>S. aureus</w:t>
      </w:r>
      <w:r>
        <w:rPr>
          <w:rFonts w:ascii="Garamond" w:eastAsia="Garamond" w:hAnsi="Garamond" w:cs="Garamond"/>
          <w:sz w:val="19"/>
          <w:szCs w:val="19"/>
        </w:rPr>
        <w:t xml:space="preserve"> por cepas productoras de TSST-1 por lo común no tienen anticuerpos contra dicha toxina-1. Rara vez hay transmisión directa de TSS de una persona a otra.</w:t>
      </w:r>
    </w:p>
  </w:footnote>
  <w:footnote w:id="9">
    <w:p w14:paraId="3AF08E5B" w14:textId="77777777" w:rsidR="00924992" w:rsidRDefault="00924992">
      <w:pPr>
        <w:pStyle w:val="Footnote0"/>
        <w:ind w:left="240" w:hanging="240"/>
      </w:pPr>
      <w:r>
        <w:rPr>
          <w:sz w:val="8"/>
          <w:szCs w:val="8"/>
          <w:vertAlign w:val="superscript"/>
        </w:rPr>
        <w:footnoteRef/>
      </w:r>
      <w:r>
        <w:rPr>
          <w:sz w:val="8"/>
          <w:szCs w:val="8"/>
        </w:rPr>
        <w:t xml:space="preserve"> </w:t>
      </w:r>
      <w:r>
        <w:t xml:space="preserve">La enfermedad que cumple con los criterios IA y IIA y IIB puede describirse como un caso </w:t>
      </w:r>
      <w:r>
        <w:rPr>
          <w:i/>
          <w:iCs/>
        </w:rPr>
        <w:t>definido.</w:t>
      </w:r>
      <w:r>
        <w:t xml:space="preserve"> La que cumple los criterios IIB, IIA y IIB se define como </w:t>
      </w:r>
      <w:r>
        <w:rPr>
          <w:i/>
          <w:iCs/>
        </w:rPr>
        <w:t>probable,</w:t>
      </w:r>
      <w:r>
        <w:t xml:space="preserve"> si no se identifica otra causa del cuadro.</w:t>
      </w:r>
    </w:p>
    <w:p w14:paraId="3991FBBF" w14:textId="77777777" w:rsidR="00924992" w:rsidRDefault="00924992">
      <w:pPr>
        <w:pStyle w:val="Footnote0"/>
        <w:spacing w:after="320"/>
      </w:pPr>
      <w:r>
        <w:t xml:space="preserve">Con autorización de The Working Group on Severe Streptococcal Infection. Defining the group A streptococcal toxic shock syndrome: rationale and consensus definition. </w:t>
      </w:r>
      <w:r>
        <w:rPr>
          <w:i/>
          <w:iCs/>
        </w:rPr>
        <w:t>JAMA</w:t>
      </w:r>
      <w:r>
        <w:t xml:space="preserve"> 1993;269:390-391.</w:t>
      </w:r>
    </w:p>
    <w:p w14:paraId="30739B31" w14:textId="77777777" w:rsidR="00924992" w:rsidRDefault="00924992">
      <w:pPr>
        <w:pStyle w:val="Footnote0"/>
        <w:spacing w:line="269" w:lineRule="auto"/>
        <w:rPr>
          <w:sz w:val="19"/>
          <w:szCs w:val="19"/>
        </w:rPr>
      </w:pPr>
      <w:r>
        <w:rPr>
          <w:rFonts w:ascii="Garamond" w:eastAsia="Garamond" w:hAnsi="Garamond" w:cs="Garamond"/>
          <w:sz w:val="19"/>
          <w:szCs w:val="19"/>
        </w:rPr>
        <w:t>Los casos nosocomiales no son frecuentes y muchos han surgido después de métodos quirúrgicos. En dicha situación posoperatoria el microorganismo por lo común proviene de la propia flora del paciente.</w:t>
      </w:r>
    </w:p>
    <w:p w14:paraId="5E15613E" w14:textId="77777777" w:rsidR="00924992" w:rsidRDefault="00924992">
      <w:pPr>
        <w:pStyle w:val="Footnote0"/>
        <w:spacing w:line="269" w:lineRule="auto"/>
        <w:ind w:firstLine="360"/>
        <w:rPr>
          <w:sz w:val="19"/>
          <w:szCs w:val="19"/>
        </w:rPr>
      </w:pPr>
      <w:r>
        <w:rPr>
          <w:rFonts w:ascii="Garamond" w:eastAsia="Garamond" w:hAnsi="Garamond" w:cs="Garamond"/>
          <w:sz w:val="19"/>
          <w:szCs w:val="19"/>
        </w:rPr>
        <w:t>El periodo de incubación de TSS en el posoperatorio puede ser de 12 h. Los cuadros vinculados con la menstruación por lo regular surgen en el tercero o cuarto día de tal fenómeno. La cifra de mortalidad es menor de 5% en forma global, y es máxima en varones y mujeres mayores de 45 años.</w:t>
      </w:r>
    </w:p>
    <w:p w14:paraId="75407B6F" w14:textId="77777777" w:rsidR="00924992" w:rsidRDefault="00924992">
      <w:pPr>
        <w:pStyle w:val="Footnote0"/>
        <w:spacing w:line="269" w:lineRule="auto"/>
        <w:rPr>
          <w:sz w:val="19"/>
          <w:szCs w:val="19"/>
        </w:rPr>
      </w:pPr>
      <w:r>
        <w:rPr>
          <w:rFonts w:ascii="Arial" w:eastAsia="Arial" w:hAnsi="Arial" w:cs="Arial"/>
          <w:b/>
          <w:bCs/>
          <w:i/>
          <w:iCs/>
        </w:rPr>
        <w:t>TSS mediada</w:t>
      </w:r>
      <w:r>
        <w:rPr>
          <w:rFonts w:ascii="Arial" w:eastAsia="Arial" w:hAnsi="Arial" w:cs="Arial"/>
          <w:b/>
          <w:bCs/>
          <w:w w:val="70"/>
          <w:sz w:val="20"/>
          <w:szCs w:val="20"/>
        </w:rPr>
        <w:t xml:space="preserve"> por Streptococcus pyogenes. </w:t>
      </w:r>
      <w:r>
        <w:rPr>
          <w:rFonts w:ascii="Garamond" w:eastAsia="Garamond" w:hAnsi="Garamond" w:cs="Garamond"/>
          <w:sz w:val="19"/>
          <w:szCs w:val="19"/>
        </w:rPr>
        <w:t xml:space="preserve">La incidencia de TSS mediada por </w:t>
      </w:r>
      <w:r>
        <w:rPr>
          <w:i/>
          <w:iCs/>
          <w:sz w:val="16"/>
          <w:szCs w:val="16"/>
        </w:rPr>
        <w:t>S. pyogenes</w:t>
      </w:r>
      <w:r>
        <w:rPr>
          <w:rFonts w:ascii="Garamond" w:eastAsia="Garamond" w:hAnsi="Garamond" w:cs="Garamond"/>
          <w:sz w:val="19"/>
          <w:szCs w:val="19"/>
        </w:rPr>
        <w:t xml:space="preserve"> al parecer alcanza su máximo en niños de corta edad, particularmente aquellos con varicela concomitante, y en los ancianos, aunque puede afectar a personas de cualquier edad. De todos los casos de infecciones estreptocócicas invasoras graves en menores, menos de 10% terminan por causar TSS, en comparación con incluso 33% de tales infecciones en personas mayores de 75 años. Otras personas expuestas a un mayor riesgo de TSS son las que tienen diabetes mellitus, alguna cardiopatía o neumopatía crónicas y la infección por el virus de inmunodeficiencia humana, así como los usuarios de drogas intravenosas y alcohol. En dos estudios se ha calculado que el peligro de infección invasora grave en contactos sería como mínimo 15 veces mayor que el correspondiente a la población general, pero aún así es un cuadro raro. Muchos contactos tienen colonización asintomática.</w:t>
      </w:r>
    </w:p>
    <w:p w14:paraId="45CC5174" w14:textId="77777777" w:rsidR="00924992" w:rsidRDefault="00924992">
      <w:pPr>
        <w:pStyle w:val="Footnote0"/>
        <w:spacing w:line="269" w:lineRule="auto"/>
        <w:ind w:firstLine="360"/>
        <w:rPr>
          <w:sz w:val="19"/>
          <w:szCs w:val="19"/>
        </w:rPr>
      </w:pPr>
      <w:r>
        <w:rPr>
          <w:rFonts w:ascii="Garamond" w:eastAsia="Garamond" w:hAnsi="Garamond" w:cs="Garamond"/>
          <w:sz w:val="19"/>
          <w:szCs w:val="19"/>
        </w:rPr>
        <w:t xml:space="preserve">Las cifras de mortalidad son mayores en adultos que en niños y dependen de si TSS mediada por </w:t>
      </w:r>
      <w:r>
        <w:rPr>
          <w:i/>
          <w:iCs/>
          <w:sz w:val="16"/>
          <w:szCs w:val="16"/>
        </w:rPr>
        <w:t>S. pyogenes</w:t>
      </w:r>
      <w:r>
        <w:rPr>
          <w:rFonts w:ascii="Garamond" w:eastAsia="Garamond" w:hAnsi="Garamond" w:cs="Garamond"/>
          <w:sz w:val="19"/>
          <w:szCs w:val="19"/>
        </w:rPr>
        <w:t xml:space="preserve"> se acompaña sólo de bacteriemia o de una infección focal específica (fasciítis necrosante, miositis o neumonía).</w:t>
      </w:r>
    </w:p>
    <w:p w14:paraId="4A5D99FE" w14:textId="77777777" w:rsidR="00924992" w:rsidRDefault="00924992">
      <w:pPr>
        <w:pStyle w:val="Footnote0"/>
        <w:spacing w:line="269" w:lineRule="auto"/>
        <w:ind w:firstLine="360"/>
        <w:rPr>
          <w:sz w:val="19"/>
          <w:szCs w:val="19"/>
        </w:rPr>
      </w:pPr>
      <w:r>
        <w:rPr>
          <w:rFonts w:ascii="Garamond" w:eastAsia="Garamond" w:hAnsi="Garamond" w:cs="Garamond"/>
          <w:sz w:val="19"/>
          <w:szCs w:val="19"/>
        </w:rPr>
        <w:t>El periodo de incubación no ha sido definido con exactitud y pudiera depender de la vía de la inoculación. El periodo de incubación puede ser incluso de 14 h en casos vinculados con la inoculación subcutánea accidental de microorganismos, como sería durante el parto o después de un traumatismo penetrante.</w:t>
      </w:r>
    </w:p>
    <w:p w14:paraId="03E990B9" w14:textId="77777777" w:rsidR="00924992" w:rsidRDefault="00924992">
      <w:pPr>
        <w:pStyle w:val="Footnote0"/>
        <w:spacing w:line="257" w:lineRule="auto"/>
        <w:rPr>
          <w:sz w:val="20"/>
          <w:szCs w:val="20"/>
        </w:rPr>
      </w:pPr>
      <w:r>
        <w:rPr>
          <w:rFonts w:ascii="Garamond" w:eastAsia="Garamond" w:hAnsi="Garamond" w:cs="Garamond"/>
          <w:b/>
          <w:bCs/>
          <w:smallCaps/>
          <w:sz w:val="20"/>
          <w:szCs w:val="20"/>
        </w:rPr>
        <w:t>M</w:t>
      </w:r>
      <w:r>
        <w:rPr>
          <w:rFonts w:ascii="Garamond" w:eastAsia="Garamond" w:hAnsi="Garamond" w:cs="Garamond"/>
          <w:b/>
          <w:bCs/>
          <w:smallCaps/>
          <w:sz w:val="16"/>
          <w:szCs w:val="16"/>
        </w:rPr>
        <w:t>étodos diagnósticos</w:t>
      </w:r>
      <w:r>
        <w:rPr>
          <w:rFonts w:ascii="Garamond" w:eastAsia="Garamond" w:hAnsi="Garamond" w:cs="Garamond"/>
          <w:b/>
          <w:bCs/>
          <w:smallCaps/>
          <w:sz w:val="20"/>
          <w:szCs w:val="20"/>
        </w:rPr>
        <w:t>:</w:t>
      </w:r>
    </w:p>
    <w:p w14:paraId="3261CED1" w14:textId="77777777" w:rsidR="00924992" w:rsidRDefault="00924992">
      <w:pPr>
        <w:pStyle w:val="Footnote0"/>
        <w:spacing w:line="276" w:lineRule="auto"/>
        <w:rPr>
          <w:sz w:val="19"/>
          <w:szCs w:val="19"/>
        </w:rPr>
      </w:pPr>
      <w:r>
        <w:rPr>
          <w:rFonts w:ascii="Arial" w:eastAsia="Arial" w:hAnsi="Arial" w:cs="Arial"/>
          <w:b/>
          <w:bCs/>
          <w:i/>
          <w:iCs/>
        </w:rPr>
        <w:t>TSS mediada por</w:t>
      </w:r>
      <w:r>
        <w:rPr>
          <w:rFonts w:ascii="Arial" w:eastAsia="Arial" w:hAnsi="Arial" w:cs="Arial"/>
          <w:b/>
          <w:bCs/>
          <w:w w:val="70"/>
          <w:sz w:val="20"/>
          <w:szCs w:val="20"/>
        </w:rPr>
        <w:t xml:space="preserve"> Staphylococcus aureus</w:t>
      </w:r>
      <w:r>
        <w:rPr>
          <w:rFonts w:ascii="Arial" w:eastAsia="Arial" w:hAnsi="Arial" w:cs="Arial"/>
          <w:b/>
          <w:bCs/>
          <w:i/>
          <w:iCs/>
        </w:rPr>
        <w:t>.</w:t>
      </w:r>
      <w:r>
        <w:rPr>
          <w:rFonts w:ascii="Garamond" w:eastAsia="Garamond" w:hAnsi="Garamond" w:cs="Garamond"/>
          <w:sz w:val="19"/>
          <w:szCs w:val="19"/>
        </w:rPr>
        <w:t xml:space="preserve"> El TSS mediado por </w:t>
      </w:r>
      <w:r>
        <w:rPr>
          <w:i/>
          <w:iCs/>
          <w:sz w:val="16"/>
          <w:szCs w:val="16"/>
        </w:rPr>
        <w:t>Staphylococcus aureus</w:t>
      </w:r>
      <w:r>
        <w:rPr>
          <w:rFonts w:ascii="Garamond" w:eastAsia="Garamond" w:hAnsi="Garamond" w:cs="Garamond"/>
          <w:sz w:val="19"/>
          <w:szCs w:val="19"/>
        </w:rPr>
        <w:t xml:space="preserve"> sigue siendo un cuadro con un diagnóstico clínico. Los resultados de cultivos de sangre señalan la presencia de </w:t>
      </w:r>
      <w:r>
        <w:rPr>
          <w:i/>
          <w:iCs/>
          <w:sz w:val="16"/>
          <w:szCs w:val="16"/>
        </w:rPr>
        <w:t>S. aureus</w:t>
      </w:r>
      <w:r>
        <w:rPr>
          <w:rFonts w:ascii="Garamond" w:eastAsia="Garamond" w:hAnsi="Garamond" w:cs="Garamond"/>
          <w:sz w:val="19"/>
          <w:szCs w:val="19"/>
        </w:rPr>
        <w:t xml:space="preserve"> (positivos) en menos de 5% de personas con TSS mediada por </w:t>
      </w:r>
      <w:r>
        <w:rPr>
          <w:i/>
          <w:iCs/>
          <w:sz w:val="16"/>
          <w:szCs w:val="16"/>
        </w:rPr>
        <w:t>S. aureus.</w:t>
      </w:r>
      <w:r>
        <w:rPr>
          <w:rFonts w:ascii="Garamond" w:eastAsia="Garamond" w:hAnsi="Garamond" w:cs="Garamond"/>
          <w:sz w:val="19"/>
          <w:szCs w:val="19"/>
        </w:rPr>
        <w:t xml:space="preserve"> Los resultados del cultivo por lo regular son positivos en cuanto al sitio de infección y deben practicarse tan pronto se identifica tal sitio. En instituciones como los </w:t>
      </w:r>
      <w:r>
        <w:rPr>
          <w:i/>
          <w:iCs/>
          <w:sz w:val="16"/>
          <w:szCs w:val="16"/>
        </w:rPr>
        <w:t>Centers for Disease Control and Prevention</w:t>
      </w:r>
      <w:r>
        <w:rPr>
          <w:rFonts w:ascii="Garamond" w:eastAsia="Garamond" w:hAnsi="Garamond" w:cs="Garamond"/>
          <w:sz w:val="19"/>
          <w:szCs w:val="19"/>
        </w:rPr>
        <w:t xml:space="preserve"> u otros laboratorios especializados en Estados Unidos quizá se practiquen métodos serológicos especializados, como el inmunoanálisis enzimático, para detectar TSST-1. Si se aísla en el laboratorio </w:t>
      </w:r>
      <w:r>
        <w:rPr>
          <w:i/>
          <w:iCs/>
          <w:sz w:val="16"/>
          <w:szCs w:val="16"/>
        </w:rPr>
        <w:t>S. aureus,</w:t>
      </w:r>
      <w:r>
        <w:rPr>
          <w:rFonts w:ascii="Garamond" w:eastAsia="Garamond" w:hAnsi="Garamond" w:cs="Garamond"/>
          <w:sz w:val="19"/>
          <w:szCs w:val="19"/>
        </w:rPr>
        <w:t xml:space="preserve"> es importante hacer antibioticogramas, es decir pruebas de susceptibilidad antimicrobianas, porque se sabe que algunas cepas de </w:t>
      </w:r>
      <w:r>
        <w:rPr>
          <w:i/>
          <w:iCs/>
          <w:sz w:val="16"/>
          <w:szCs w:val="16"/>
        </w:rPr>
        <w:t>S. aureus</w:t>
      </w:r>
      <w:r>
        <w:rPr>
          <w:rFonts w:ascii="Garamond" w:eastAsia="Garamond" w:hAnsi="Garamond" w:cs="Garamond"/>
          <w:sz w:val="19"/>
          <w:szCs w:val="19"/>
        </w:rPr>
        <w:t xml:space="preserve"> resistentes a meticilina han ocasionado TSS, aunque en contadas ocasiones. En promedio 33% de </w:t>
      </w:r>
      <w:r>
        <w:rPr>
          <w:i/>
          <w:iCs/>
          <w:sz w:val="16"/>
          <w:szCs w:val="16"/>
        </w:rPr>
        <w:t xml:space="preserve">S. aureus </w:t>
      </w:r>
      <w:r>
        <w:rPr>
          <w:rFonts w:ascii="Garamond" w:eastAsia="Garamond" w:hAnsi="Garamond" w:cs="Garamond"/>
          <w:sz w:val="19"/>
          <w:szCs w:val="19"/>
        </w:rPr>
        <w:t xml:space="preserve">aislados de situaciones no menstruales producen toxinas distintas de TSST-1, y se sabe que los microorganismos que producen TSST-1 pueden ser parte de la flora normal de la porción anterior de las fosas nasales y la vagina; por ambas causas no es útil en el diagnóstico la producción de TSST-1 por </w:t>
      </w:r>
      <w:r>
        <w:rPr>
          <w:i/>
          <w:iCs/>
          <w:sz w:val="16"/>
          <w:szCs w:val="16"/>
        </w:rPr>
        <w:t>S. aureus</w:t>
      </w:r>
      <w:r>
        <w:rPr>
          <w:rFonts w:ascii="Garamond" w:eastAsia="Garamond" w:hAnsi="Garamond" w:cs="Garamond"/>
          <w:sz w:val="19"/>
          <w:szCs w:val="19"/>
        </w:rPr>
        <w:t xml:space="preserve"> aislado.</w:t>
      </w:r>
    </w:p>
    <w:p w14:paraId="6D47F7F2" w14:textId="77777777" w:rsidR="00924992" w:rsidRDefault="00924992">
      <w:pPr>
        <w:pStyle w:val="Footnote0"/>
        <w:numPr>
          <w:ilvl w:val="0"/>
          <w:numId w:val="11"/>
        </w:numPr>
        <w:tabs>
          <w:tab w:val="left" w:pos="168"/>
        </w:tabs>
        <w:spacing w:line="283" w:lineRule="auto"/>
        <w:ind w:left="260" w:hanging="260"/>
        <w:rPr>
          <w:sz w:val="16"/>
          <w:szCs w:val="16"/>
        </w:rPr>
      </w:pPr>
      <w:r>
        <w:rPr>
          <w:sz w:val="16"/>
          <w:szCs w:val="16"/>
        </w:rPr>
        <w:t>Fluidoterapia para conservar el retorno venoso adecuado y las presiones de llenado cardiaco para evitar daño de órgano terminal</w:t>
      </w:r>
    </w:p>
    <w:p w14:paraId="7CFFFED0" w14:textId="77777777" w:rsidR="00924992" w:rsidRDefault="00924992">
      <w:pPr>
        <w:pStyle w:val="Footnote0"/>
        <w:numPr>
          <w:ilvl w:val="0"/>
          <w:numId w:val="11"/>
        </w:numPr>
        <w:tabs>
          <w:tab w:val="left" w:pos="206"/>
        </w:tabs>
        <w:spacing w:line="283" w:lineRule="auto"/>
        <w:rPr>
          <w:sz w:val="16"/>
          <w:szCs w:val="16"/>
        </w:rPr>
      </w:pPr>
      <w:r>
        <w:rPr>
          <w:sz w:val="16"/>
          <w:szCs w:val="16"/>
        </w:rPr>
        <w:t>Tratamiento anticipatorio de la insuficiencia de múltiples órganos y sistemas</w:t>
      </w:r>
    </w:p>
    <w:p w14:paraId="03DF742B" w14:textId="77777777" w:rsidR="00924992" w:rsidRDefault="00924992">
      <w:pPr>
        <w:pStyle w:val="Footnote0"/>
        <w:numPr>
          <w:ilvl w:val="0"/>
          <w:numId w:val="11"/>
        </w:numPr>
        <w:tabs>
          <w:tab w:val="left" w:pos="154"/>
        </w:tabs>
        <w:spacing w:line="283" w:lineRule="auto"/>
        <w:rPr>
          <w:sz w:val="16"/>
          <w:szCs w:val="16"/>
        </w:rPr>
      </w:pPr>
      <w:r>
        <w:rPr>
          <w:sz w:val="16"/>
          <w:szCs w:val="16"/>
        </w:rPr>
        <w:t>Antimicrobianos parenterales en las dosis máximas correspondientes a la edad</w:t>
      </w:r>
    </w:p>
    <w:p w14:paraId="2E7839D0" w14:textId="77777777" w:rsidR="00924992" w:rsidRDefault="00924992">
      <w:pPr>
        <w:pStyle w:val="Footnote0"/>
        <w:numPr>
          <w:ilvl w:val="0"/>
          <w:numId w:val="12"/>
        </w:numPr>
        <w:tabs>
          <w:tab w:val="left" w:pos="448"/>
        </w:tabs>
        <w:spacing w:line="283" w:lineRule="auto"/>
        <w:ind w:left="440" w:hanging="160"/>
        <w:rPr>
          <w:sz w:val="16"/>
          <w:szCs w:val="16"/>
        </w:rPr>
      </w:pPr>
      <w:r>
        <w:rPr>
          <w:sz w:val="16"/>
          <w:szCs w:val="16"/>
        </w:rPr>
        <w:t>Destruir el microorganismo con un inhibidor bactericida de la pared del germen (como sería un antimicrobiano antiestafilocócico resistente a lactamasa beta)</w:t>
      </w:r>
    </w:p>
    <w:p w14:paraId="554EB023" w14:textId="77777777" w:rsidR="00924992" w:rsidRDefault="00924992">
      <w:pPr>
        <w:pStyle w:val="Footnote0"/>
        <w:numPr>
          <w:ilvl w:val="0"/>
          <w:numId w:val="12"/>
        </w:numPr>
        <w:tabs>
          <w:tab w:val="left" w:pos="448"/>
        </w:tabs>
        <w:spacing w:line="283" w:lineRule="auto"/>
        <w:ind w:left="440" w:hanging="160"/>
        <w:rPr>
          <w:sz w:val="16"/>
          <w:szCs w:val="16"/>
        </w:rPr>
      </w:pPr>
      <w:r>
        <w:rPr>
          <w:sz w:val="16"/>
          <w:szCs w:val="16"/>
        </w:rPr>
        <w:t>Interrumpir la producción de enzimas, toxinas o citocinas con un inhibidor de la síntesis de proteína (como clindamicina)</w:t>
      </w:r>
    </w:p>
    <w:p w14:paraId="46C804CF" w14:textId="77777777" w:rsidR="00924992" w:rsidRDefault="00924992">
      <w:pPr>
        <w:pStyle w:val="Footnote0"/>
        <w:numPr>
          <w:ilvl w:val="0"/>
          <w:numId w:val="11"/>
        </w:numPr>
        <w:pBdr>
          <w:bottom w:val="single" w:sz="4" w:space="0" w:color="auto"/>
        </w:pBdr>
        <w:tabs>
          <w:tab w:val="left" w:pos="168"/>
        </w:tabs>
        <w:spacing w:line="283" w:lineRule="auto"/>
        <w:ind w:left="260" w:hanging="260"/>
        <w:rPr>
          <w:sz w:val="16"/>
          <w:szCs w:val="16"/>
        </w:rPr>
      </w:pPr>
      <w:r>
        <w:rPr>
          <w:sz w:val="16"/>
          <w:szCs w:val="16"/>
        </w:rPr>
        <w:t>Puede considerarse el uso de concentrado inmunoglobulínico intravenoso en infecciones que no mejoran después de varias horas de medidas intensivas, presencia de un foco no drenable u oliguria persistente con edema pulmonar</w:t>
      </w:r>
    </w:p>
    <w:p w14:paraId="026D47BA" w14:textId="77777777" w:rsidR="00924992" w:rsidRDefault="00924992">
      <w:pPr>
        <w:pStyle w:val="Footnote0"/>
        <w:spacing w:line="269" w:lineRule="auto"/>
        <w:ind w:firstLine="360"/>
        <w:rPr>
          <w:sz w:val="19"/>
          <w:szCs w:val="19"/>
        </w:rPr>
      </w:pPr>
      <w:r>
        <w:rPr>
          <w:rFonts w:ascii="Garamond" w:eastAsia="Garamond" w:hAnsi="Garamond" w:cs="Garamond"/>
          <w:sz w:val="19"/>
          <w:szCs w:val="19"/>
        </w:rPr>
        <w:t xml:space="preserve">Una vez identificado el microorganismo se puede cambiar el antimicrobiano por penicilina y clindamicina en el caso de TSS mediada por </w:t>
      </w:r>
      <w:r>
        <w:rPr>
          <w:i/>
          <w:iCs/>
          <w:sz w:val="16"/>
          <w:szCs w:val="16"/>
        </w:rPr>
        <w:t>S. pyogenes.</w:t>
      </w:r>
      <w:r>
        <w:rPr>
          <w:rFonts w:ascii="Garamond" w:eastAsia="Garamond" w:hAnsi="Garamond" w:cs="Garamond"/>
          <w:sz w:val="19"/>
          <w:szCs w:val="19"/>
        </w:rPr>
        <w:t xml:space="preserve"> Si el síndrome es mediado por </w:t>
      </w:r>
      <w:r>
        <w:rPr>
          <w:i/>
          <w:iCs/>
          <w:sz w:val="16"/>
          <w:szCs w:val="16"/>
        </w:rPr>
        <w:t>S. aureus,</w:t>
      </w:r>
      <w:r>
        <w:rPr>
          <w:rFonts w:ascii="Garamond" w:eastAsia="Garamond" w:hAnsi="Garamond" w:cs="Garamond"/>
          <w:sz w:val="19"/>
          <w:szCs w:val="19"/>
        </w:rPr>
        <w:t xml:space="preserve"> habrá que administrar con la clindamicina el antimicrobiano lactámico beta parenteral más adecuado con base en los datos de los antibioticogramas.</w:t>
      </w:r>
    </w:p>
    <w:p w14:paraId="35656BD5" w14:textId="77777777" w:rsidR="00924992" w:rsidRDefault="00924992">
      <w:pPr>
        <w:pStyle w:val="Footnote0"/>
        <w:spacing w:line="269" w:lineRule="auto"/>
        <w:ind w:firstLine="360"/>
        <w:rPr>
          <w:sz w:val="19"/>
          <w:szCs w:val="19"/>
        </w:rPr>
      </w:pPr>
      <w:r>
        <w:rPr>
          <w:rFonts w:ascii="Garamond" w:eastAsia="Garamond" w:hAnsi="Garamond" w:cs="Garamond"/>
          <w:sz w:val="19"/>
          <w:szCs w:val="19"/>
        </w:rPr>
        <w:t xml:space="preserve">En TSS mediada por </w:t>
      </w:r>
      <w:r>
        <w:rPr>
          <w:i/>
          <w:iCs/>
          <w:sz w:val="16"/>
          <w:szCs w:val="16"/>
        </w:rPr>
        <w:t>S. aureus</w:t>
      </w:r>
      <w:r>
        <w:rPr>
          <w:rFonts w:ascii="Garamond" w:eastAsia="Garamond" w:hAnsi="Garamond" w:cs="Garamond"/>
          <w:sz w:val="19"/>
          <w:szCs w:val="19"/>
        </w:rPr>
        <w:t xml:space="preserve"> habrá que continuar la administración del antimicrobiano durante 10 a 14 días como mínimo para erradicar el microorganismo y evitar que reaparezca la enfermedad. Los agentes antimicrobianos pueden ser cambiados a un esquema que incluya dosis altas de producto ingerible una vez que se estabilice el estado hemodinámico del enfermo, haya mejoría franca y él pueda ya recibir alimentación por la boca. La duración total de la terapia debe basarse en el lapso corriente definido para el foco primario, como serían osteomielitis o neumonía.</w:t>
      </w:r>
    </w:p>
    <w:p w14:paraId="0EE6AC3E" w14:textId="77777777" w:rsidR="00924992" w:rsidRDefault="00924992">
      <w:pPr>
        <w:pStyle w:val="Footnote0"/>
        <w:spacing w:line="269" w:lineRule="auto"/>
        <w:ind w:firstLine="360"/>
        <w:rPr>
          <w:sz w:val="19"/>
          <w:szCs w:val="19"/>
        </w:rPr>
      </w:pPr>
      <w:r>
        <w:rPr>
          <w:rFonts w:ascii="Garamond" w:eastAsia="Garamond" w:hAnsi="Garamond" w:cs="Garamond"/>
          <w:sz w:val="19"/>
          <w:szCs w:val="19"/>
        </w:rPr>
        <w:t xml:space="preserve">En el caso de TSS mediado por </w:t>
      </w:r>
      <w:r>
        <w:rPr>
          <w:i/>
          <w:iCs/>
          <w:sz w:val="16"/>
          <w:szCs w:val="16"/>
        </w:rPr>
        <w:t>S. pyogenes,</w:t>
      </w:r>
      <w:r>
        <w:rPr>
          <w:rFonts w:ascii="Garamond" w:eastAsia="Garamond" w:hAnsi="Garamond" w:cs="Garamond"/>
          <w:sz w:val="19"/>
          <w:szCs w:val="19"/>
        </w:rPr>
        <w:t xml:space="preserve"> habrá que continuar la terapia intravenosa hasta que el paciente esté afebril y su estado hemodinámico estable y se haya corroborado que no se detectan microorganismos patógenos en los cultivos de sangre. La duración total de la terapia debe basarse en el lapso establecido contra la infección del foco primario.</w:t>
      </w:r>
    </w:p>
    <w:p w14:paraId="426A732E" w14:textId="77777777" w:rsidR="00924992" w:rsidRDefault="00924992">
      <w:pPr>
        <w:pStyle w:val="Footnote0"/>
        <w:spacing w:line="269" w:lineRule="auto"/>
        <w:ind w:firstLine="360"/>
        <w:rPr>
          <w:sz w:val="19"/>
          <w:szCs w:val="19"/>
        </w:rPr>
      </w:pPr>
      <w:r>
        <w:rPr>
          <w:rFonts w:ascii="Garamond" w:eastAsia="Garamond" w:hAnsi="Garamond" w:cs="Garamond"/>
          <w:sz w:val="19"/>
          <w:szCs w:val="19"/>
        </w:rPr>
        <w:t>Tan pronto sea posible se emprenderá el drenaje y el lavado intensivos de los sitios accesibles de la infección. Se harán intentos concertados para identificar algún cuerpo extraño en el sitio de la infección y se extraerán todos, incluidos los colocados recientemente durante alguna operación, si es posible. Si se sospecha fasciítis necrosante, es de máxima importancia la exploración quirúrgica o la biopsia inmediatas para identificar alguna infección profunda de partes blandas que sea necesario desbridar inmediatamente.</w:t>
      </w:r>
    </w:p>
    <w:p w14:paraId="08D18F72" w14:textId="77777777" w:rsidR="00924992" w:rsidRDefault="00924992">
      <w:pPr>
        <w:pStyle w:val="Footnote0"/>
        <w:spacing w:line="269" w:lineRule="auto"/>
        <w:ind w:firstLine="360"/>
        <w:rPr>
          <w:sz w:val="19"/>
          <w:szCs w:val="19"/>
        </w:rPr>
      </w:pPr>
      <w:r>
        <w:rPr>
          <w:rFonts w:ascii="Garamond" w:eastAsia="Garamond" w:hAnsi="Garamond" w:cs="Garamond"/>
          <w:sz w:val="19"/>
          <w:szCs w:val="19"/>
        </w:rPr>
        <w:t xml:space="preserve">En una u otra formas de TSS cabe considerar el uso posible de concentrado inmunoglobulínico intravenoso (IGIV). No se conoce en detalle el mecanismo de acción de tal inmunoglobulina, pero tal vez neutraliza las toxinas bacterianas circulantes. En lo que se refiere a TSS mediado por </w:t>
      </w:r>
      <w:r>
        <w:rPr>
          <w:i/>
          <w:iCs/>
          <w:sz w:val="16"/>
          <w:szCs w:val="16"/>
        </w:rPr>
        <w:t>S. pyogenes,</w:t>
      </w:r>
      <w:r>
        <w:rPr>
          <w:rFonts w:ascii="Garamond" w:eastAsia="Garamond" w:hAnsi="Garamond" w:cs="Garamond"/>
          <w:sz w:val="19"/>
          <w:szCs w:val="19"/>
        </w:rPr>
        <w:t xml:space="preserve"> la posible utilidad del concentrado comentado ha sido reforzada por datos de estudios in vitro, señalamientos de casos e información de un estudio comparativo por observación en Canadá, pero se necesitan más estudios al respecto. En lo que toca a TSS mediada por </w:t>
      </w:r>
      <w:r>
        <w:rPr>
          <w:i/>
          <w:iCs/>
          <w:sz w:val="16"/>
          <w:szCs w:val="16"/>
        </w:rPr>
        <w:t>S. aureus,</w:t>
      </w:r>
      <w:r>
        <w:rPr>
          <w:rFonts w:ascii="Garamond" w:eastAsia="Garamond" w:hAnsi="Garamond" w:cs="Garamond"/>
          <w:sz w:val="19"/>
          <w:szCs w:val="19"/>
        </w:rPr>
        <w:t xml:space="preserve"> cabe considerar el uso de IGIV en caso de niños que no mejoran con otras medidas terapéuticas y en el caso de pacientes cuya infección está en un área que es imposible drenar. Se han utilizado regímenes diversos a base de IGIV incluidos los que administran 150 a 400 mg/kg de peso al día durante cinco días y una sola dosis de 1 a 2 g/kg, pero no se ha precisado cual es el régimen óptimo. En pacientes de TSS, el tiempo de permanencia en el organismo, es decir el lapso que media hasta que es excretado, puede ser de cuatro a seis días, y algunos expertos han sugerido usar dosis adicionales.</w:t>
      </w:r>
    </w:p>
  </w:footnote>
  <w:footnote w:id="10">
    <w:p w14:paraId="6A78B2D2" w14:textId="77777777" w:rsidR="00924992" w:rsidRDefault="00924992">
      <w:pPr>
        <w:pStyle w:val="Footnote0"/>
        <w:spacing w:line="266" w:lineRule="auto"/>
      </w:pPr>
      <w:r>
        <w:footnoteRef/>
      </w:r>
      <w:r>
        <w:t xml:space="preserve"> Se puede obtener de Eon Labs, Laurelton, NY (800-526-0225).</w:t>
      </w:r>
    </w:p>
    <w:p w14:paraId="33711B26" w14:textId="77777777" w:rsidR="00924992" w:rsidRDefault="00924992">
      <w:pPr>
        <w:pStyle w:val="Footnote0"/>
        <w:spacing w:line="266" w:lineRule="auto"/>
      </w:pPr>
      <w:r>
        <w:t xml:space="preserve">t Centers for Disease Control and Prevention. Guidelines for preventing opportunistic infections among HIV-infected persons—2002. Recommendations of the US Public Health Service and the Infectious Diseases Society of America. </w:t>
      </w:r>
      <w:r>
        <w:rPr>
          <w:i/>
          <w:iCs/>
        </w:rPr>
        <w:t>MMWR Recomm Rep.</w:t>
      </w:r>
      <w:r>
        <w:t xml:space="preserve"> 2002;51(RR-8):1-46. Consultar: </w:t>
      </w:r>
      <w:hyperlink r:id="rId1" w:history="1">
        <w:r>
          <w:t>www.cdc.gov/mmwr/preview/mmwrhtml/rr5108a1.htm</w:t>
        </w:r>
      </w:hyperlink>
      <w:r>
        <w:t>.</w:t>
      </w:r>
    </w:p>
  </w:footnote>
  <w:footnote w:id="11">
    <w:p w14:paraId="152B5A1F" w14:textId="77777777" w:rsidR="00924992" w:rsidRDefault="00924992">
      <w:pPr>
        <w:pStyle w:val="Footnote0"/>
        <w:spacing w:line="276" w:lineRule="auto"/>
      </w:pPr>
      <w:r>
        <w:footnoteRef/>
      </w:r>
      <w:r>
        <w:t xml:space="preserve"> US Food and Drug Administration, Division of Special Pathogen and Immunologic Drug Products. Telephone, 301-827-2127;fax,301-927-2475.</w:t>
      </w:r>
    </w:p>
  </w:footnote>
  <w:footnote w:id="12">
    <w:p w14:paraId="3B2D1E85" w14:textId="77777777" w:rsidR="00924992" w:rsidRDefault="00924992">
      <w:pPr>
        <w:pStyle w:val="Footnote0"/>
        <w:spacing w:line="276" w:lineRule="auto"/>
      </w:pPr>
      <w:r>
        <w:footnoteRef/>
      </w:r>
      <w:r>
        <w:t xml:space="preserve"> US Food and Drug Administration, Division of Special Pathogen and Immunologic Drug Products. Telephone, 301-827-2127;fax,301-927-2475.</w:t>
      </w:r>
    </w:p>
  </w:footnote>
  <w:footnote w:id="13">
    <w:p w14:paraId="4CF8A431" w14:textId="77777777" w:rsidR="00924992" w:rsidRDefault="00924992">
      <w:pPr>
        <w:pStyle w:val="Footnote0"/>
        <w:ind w:firstLine="240"/>
      </w:pPr>
      <w:r>
        <w:t>VIH, virus de inmunodeficiencia humana.</w:t>
      </w:r>
    </w:p>
  </w:footnote>
  <w:footnote w:id="14">
    <w:p w14:paraId="79BFB766" w14:textId="77777777" w:rsidR="00924992" w:rsidRDefault="00924992">
      <w:pPr>
        <w:pStyle w:val="Footnote0"/>
        <w:tabs>
          <w:tab w:val="left" w:pos="163"/>
        </w:tabs>
        <w:ind w:left="240" w:hanging="240"/>
      </w:pPr>
      <w:r>
        <w:rPr>
          <w:sz w:val="8"/>
          <w:szCs w:val="8"/>
          <w:vertAlign w:val="superscript"/>
        </w:rPr>
        <w:footnoteRef/>
      </w:r>
      <w:r>
        <w:rPr>
          <w:sz w:val="8"/>
          <w:szCs w:val="8"/>
        </w:rPr>
        <w:tab/>
      </w:r>
      <w:r>
        <w:t>Las definiciones son válidas independientemente de que se haya aplicado una vacuna con bacilo de Calmette-Guérin (BCG) (véase también “Interpretación de los resultados de TST en quienes han recibido vacuna BCG”, en el resumen de Tuberculosis); el eritema en el sitio de TST no denota positividad de la prueba. Es necesario “leer” TST entre 48 y 72 h después de su práctica.</w:t>
      </w:r>
    </w:p>
  </w:footnote>
  <w:footnote w:id="15">
    <w:p w14:paraId="4AEBCED2" w14:textId="77777777" w:rsidR="00924992" w:rsidRDefault="00924992">
      <w:pPr>
        <w:pStyle w:val="Footnote0"/>
        <w:tabs>
          <w:tab w:val="left" w:pos="173"/>
        </w:tabs>
        <w:ind w:left="240" w:hanging="240"/>
      </w:pPr>
      <w:r>
        <w:rPr>
          <w:sz w:val="8"/>
          <w:szCs w:val="8"/>
          <w:vertAlign w:val="superscript"/>
        </w:rPr>
        <w:footnoteRef/>
      </w:r>
      <w:r>
        <w:rPr>
          <w:sz w:val="8"/>
          <w:szCs w:val="8"/>
        </w:rPr>
        <w:tab/>
      </w:r>
      <w:r>
        <w:t>Datos y pruebas de la exploración física o de estudio de laboratorio que incluirían a la tuberculosis en el diagnóstico diferencial provisional (como meningitis).</w:t>
      </w:r>
    </w:p>
  </w:footnote>
  <w:footnote w:id="16">
    <w:p w14:paraId="536A376A" w14:textId="77777777" w:rsidR="00924992" w:rsidRDefault="00924992">
      <w:pPr>
        <w:pStyle w:val="Footnote0"/>
        <w:tabs>
          <w:tab w:val="left" w:pos="168"/>
        </w:tabs>
        <w:spacing w:after="360"/>
        <w:ind w:left="240" w:hanging="240"/>
      </w:pPr>
      <w:r>
        <w:rPr>
          <w:sz w:val="8"/>
          <w:szCs w:val="8"/>
          <w:vertAlign w:val="superscript"/>
        </w:rPr>
        <w:footnoteRef/>
      </w:r>
      <w:r>
        <w:rPr>
          <w:sz w:val="8"/>
          <w:szCs w:val="8"/>
        </w:rPr>
        <w:tab/>
      </w:r>
      <w:r>
        <w:t>Incluidas dosis inmunosupresoras de corticosteroides (véase “Corticosteroides”, en el resumen de Tuberculosis).</w:t>
      </w:r>
    </w:p>
    <w:p w14:paraId="2CDCB147" w14:textId="77777777" w:rsidR="00924992" w:rsidRDefault="00924992">
      <w:pPr>
        <w:pStyle w:val="Footnote0"/>
        <w:spacing w:line="269" w:lineRule="auto"/>
        <w:ind w:firstLine="360"/>
        <w:rPr>
          <w:sz w:val="19"/>
          <w:szCs w:val="19"/>
        </w:rPr>
      </w:pPr>
      <w:r>
        <w:rPr>
          <w:rFonts w:ascii="Garamond" w:eastAsia="Garamond" w:hAnsi="Garamond" w:cs="Garamond"/>
          <w:sz w:val="19"/>
          <w:szCs w:val="19"/>
        </w:rPr>
        <w:t>Los lactantes y los adolescentes pospúberes están expuestos a un mayor peligro de que evolucione LTBI hasta tener la enfermedad tuberculosa. Otros factores que permiten anticipar la aparición de la enfermedad incluyen infección reciente (en los últimos dos años); inmunodeficiencia, incluida la infección por virus de inmunodeficiencia humana (VIH); empleo de inmunosupresores, como sería corticoterapia duradera o en altas dosis o quimioterapia; uso de drogas intravenosas y algunas enfermedades o cuadros clínicos como la enfermedad de Hodgkin, el linfoma, la diabetes mellitus, la insuficiencia renal crónica y la malnutrición.</w:t>
      </w:r>
    </w:p>
    <w:p w14:paraId="2989CD7B" w14:textId="77777777" w:rsidR="00924992" w:rsidRDefault="00924992">
      <w:pPr>
        <w:pStyle w:val="Footnote0"/>
        <w:spacing w:line="269" w:lineRule="auto"/>
        <w:ind w:firstLine="360"/>
        <w:rPr>
          <w:sz w:val="19"/>
          <w:szCs w:val="19"/>
        </w:rPr>
      </w:pPr>
      <w:r>
        <w:rPr>
          <w:rFonts w:ascii="Garamond" w:eastAsia="Garamond" w:hAnsi="Garamond" w:cs="Garamond"/>
          <w:b/>
          <w:bCs/>
          <w:sz w:val="19"/>
          <w:szCs w:val="19"/>
        </w:rPr>
        <w:t xml:space="preserve">El diagnóstico de LTBI o enfermedad tuberculosa en el niño constituye un “fenómeno centinela” o admonitorio que suele representar la transmisión reciente de </w:t>
      </w:r>
      <w:r>
        <w:rPr>
          <w:b/>
          <w:bCs/>
          <w:i/>
          <w:iCs/>
          <w:sz w:val="16"/>
          <w:szCs w:val="16"/>
        </w:rPr>
        <w:t>M. tuberculosis</w:t>
      </w:r>
      <w:r>
        <w:rPr>
          <w:rFonts w:ascii="Garamond" w:eastAsia="Garamond" w:hAnsi="Garamond" w:cs="Garamond"/>
          <w:b/>
          <w:bCs/>
          <w:i/>
          <w:iCs/>
          <w:sz w:val="19"/>
          <w:szCs w:val="19"/>
        </w:rPr>
        <w:t xml:space="preserve">. </w:t>
      </w:r>
      <w:r>
        <w:rPr>
          <w:i/>
          <w:iCs/>
          <w:sz w:val="16"/>
          <w:szCs w:val="16"/>
        </w:rPr>
        <w:t>M. tuberculosis</w:t>
      </w:r>
      <w:r>
        <w:rPr>
          <w:rFonts w:ascii="Garamond" w:eastAsia="Garamond" w:hAnsi="Garamond" w:cs="Garamond"/>
          <w:sz w:val="19"/>
          <w:szCs w:val="19"/>
        </w:rPr>
        <w:t xml:space="preserve"> se propaga por el aire al inhalar la víctima las gotículas secas producidas por un adulto o adolescente con tuberculosis pulmonar cavitada y contagiosa. La duración del periodo de contagio de un adulto que recibe tratamiento eficaz depende de la susceptibilidad de las micobacterias a fármacos, el número de microorganismos en el esputo y la frecuencia de tos. El carácter contagioso dura unos días o semanas después de comenzar la farmacoterapia eficaz, pero puede durar más, en particular cuando el paciente adulto no cumple con los lineamientos</w:t>
      </w:r>
    </w:p>
  </w:footnote>
  <w:footnote w:id="17">
    <w:p w14:paraId="269CB59C" w14:textId="77777777" w:rsidR="00924992" w:rsidRDefault="00924992">
      <w:pPr>
        <w:pStyle w:val="Footnote0"/>
        <w:ind w:firstLine="260"/>
        <w:jc w:val="both"/>
      </w:pPr>
      <w:r>
        <w:t>VIH, virus de inmunodeficiencia humana.</w:t>
      </w:r>
    </w:p>
  </w:footnote>
  <w:footnote w:id="18">
    <w:p w14:paraId="64EFF7EA" w14:textId="77777777" w:rsidR="00924992" w:rsidRDefault="00924992">
      <w:pPr>
        <w:pStyle w:val="Footnote0"/>
        <w:tabs>
          <w:tab w:val="left" w:pos="168"/>
        </w:tabs>
        <w:spacing w:line="324" w:lineRule="auto"/>
        <w:ind w:left="260" w:hanging="260"/>
      </w:pPr>
      <w:r>
        <w:rPr>
          <w:sz w:val="8"/>
          <w:szCs w:val="8"/>
          <w:vertAlign w:val="superscript"/>
        </w:rPr>
        <w:footnoteRef/>
      </w:r>
      <w:r>
        <w:rPr>
          <w:sz w:val="8"/>
          <w:szCs w:val="8"/>
        </w:rPr>
        <w:tab/>
      </w:r>
      <w:r>
        <w:t>La vacunación con bacilo de Calmette-Guérin constituye contraindicación para la práctica de prueba cutánea con tuberculina.</w:t>
      </w:r>
    </w:p>
  </w:footnote>
  <w:footnote w:id="19">
    <w:p w14:paraId="6506A878" w14:textId="77777777" w:rsidR="00924992" w:rsidRDefault="00924992">
      <w:pPr>
        <w:pStyle w:val="Footnote0"/>
        <w:tabs>
          <w:tab w:val="left" w:pos="178"/>
        </w:tabs>
        <w:spacing w:after="200" w:line="324" w:lineRule="auto"/>
        <w:ind w:left="260" w:hanging="260"/>
      </w:pPr>
      <w:r>
        <w:rPr>
          <w:sz w:val="8"/>
          <w:szCs w:val="8"/>
          <w:vertAlign w:val="superscript"/>
        </w:rPr>
        <w:footnoteRef/>
      </w:r>
      <w:r>
        <w:rPr>
          <w:sz w:val="8"/>
          <w:szCs w:val="8"/>
        </w:rPr>
        <w:tab/>
      </w:r>
      <w:r>
        <w:t>La primera vez que se practica TST corresponde a la fecha del diagnóstico o circunstancia, a partir de los tres meses de vida.</w:t>
      </w:r>
    </w:p>
    <w:p w14:paraId="4B79E2FA" w14:textId="77777777" w:rsidR="00924992" w:rsidRDefault="00924992">
      <w:pPr>
        <w:pStyle w:val="Footnote0"/>
        <w:spacing w:line="276" w:lineRule="auto"/>
        <w:ind w:firstLine="360"/>
        <w:rPr>
          <w:sz w:val="19"/>
          <w:szCs w:val="19"/>
        </w:rPr>
      </w:pPr>
      <w:r>
        <w:rPr>
          <w:rFonts w:ascii="Garamond" w:eastAsia="Garamond" w:hAnsi="Garamond" w:cs="Garamond"/>
          <w:sz w:val="19"/>
          <w:szCs w:val="19"/>
        </w:rPr>
        <w:t xml:space="preserve">Las directrices actuales de los </w:t>
      </w:r>
      <w:r>
        <w:rPr>
          <w:i/>
          <w:iCs/>
          <w:sz w:val="16"/>
          <w:szCs w:val="16"/>
        </w:rPr>
        <w:t>Centers for Disease Control and Prevention</w:t>
      </w:r>
      <w:r>
        <w:rPr>
          <w:rFonts w:ascii="Garamond" w:eastAsia="Garamond" w:hAnsi="Garamond" w:cs="Garamond"/>
          <w:sz w:val="19"/>
          <w:szCs w:val="19"/>
        </w:rPr>
        <w:t xml:space="preserve"> (CDC), la </w:t>
      </w:r>
      <w:r>
        <w:rPr>
          <w:i/>
          <w:iCs/>
          <w:sz w:val="16"/>
          <w:szCs w:val="16"/>
        </w:rPr>
        <w:t>American Thoracic Society y la American Academy of Pediatrics</w:t>
      </w:r>
      <w:r>
        <w:rPr>
          <w:rFonts w:ascii="Garamond" w:eastAsia="Garamond" w:hAnsi="Garamond" w:cs="Garamond"/>
          <w:sz w:val="19"/>
          <w:szCs w:val="19"/>
        </w:rPr>
        <w:t xml:space="preserve"> aceptan como un resultado positivo en cualquier persona 15 mm o más de induración. La interpretación de induración que tenga 5 mm o más o 10 mm o más se resume en el cuadro 3-69. La interpretación se facilita si se conocen los factores de riesgo de infección y enfermedad tuberculosa en el niño. Es recomendable la valoración radiográfica inmediata en todos los menores cuya reacción a TST sea positiva.</w:t>
      </w:r>
    </w:p>
  </w:footnote>
  <w:footnote w:id="20">
    <w:p w14:paraId="1E05736E" w14:textId="77777777" w:rsidR="00924992" w:rsidRDefault="00924992">
      <w:pPr>
        <w:pStyle w:val="Footnote0"/>
        <w:spacing w:line="266" w:lineRule="auto"/>
      </w:pPr>
      <w:r>
        <w:footnoteRef/>
      </w:r>
      <w:r>
        <w:t xml:space="preserve"> Centers for Disease Control and Prevention. The role of BCG vaccine in the prevention and control of tuberculosis in the United States: a joint statement by the Advisory Committee for the Elimination of Tuberculosis and the Advisory Committee on Immunization Practices. </w:t>
      </w:r>
      <w:r>
        <w:rPr>
          <w:i/>
          <w:iCs/>
        </w:rPr>
        <w:t>MMWR Recomm Rep.</w:t>
      </w:r>
      <w:r>
        <w:t xml:space="preserve"> 1996;45(RR-4):1-18.</w:t>
      </w:r>
    </w:p>
  </w:footnote>
  <w:footnote w:id="21">
    <w:p w14:paraId="5229F7EF" w14:textId="77777777" w:rsidR="00924992" w:rsidRDefault="00924992">
      <w:pPr>
        <w:pStyle w:val="Footnote0"/>
        <w:spacing w:line="266" w:lineRule="auto"/>
      </w:pPr>
      <w:r>
        <w:footnoteRef/>
      </w:r>
      <w:r>
        <w:t xml:space="preserve"> Centers for Disease Control and Prevention. Prevention of varicella update: recommendations of the Advisory Committee on Immunization Practices (ACIP). </w:t>
      </w:r>
      <w:r>
        <w:rPr>
          <w:i/>
          <w:iCs/>
        </w:rPr>
        <w:t>MMWR Recomm Rep.</w:t>
      </w:r>
      <w:r>
        <w:t xml:space="preserve"> 1999;48(RR-6):1-5.</w:t>
      </w:r>
    </w:p>
  </w:footnote>
  <w:footnote w:id="22">
    <w:p w14:paraId="2F1975C6" w14:textId="77777777" w:rsidR="00924992" w:rsidRDefault="00924992">
      <w:pPr>
        <w:pStyle w:val="Footnote0"/>
        <w:spacing w:line="252" w:lineRule="auto"/>
        <w:ind w:firstLine="240"/>
      </w:pPr>
      <w:r>
        <w:t>VZIG, concentrado inmunoglobulínico contra varicela-zoster.</w:t>
      </w:r>
    </w:p>
  </w:footnote>
  <w:footnote w:id="23">
    <w:p w14:paraId="7EC8009F" w14:textId="77777777" w:rsidR="00924992" w:rsidRDefault="00924992">
      <w:pPr>
        <w:pStyle w:val="Footnote0"/>
        <w:tabs>
          <w:tab w:val="left" w:pos="163"/>
        </w:tabs>
        <w:spacing w:line="298" w:lineRule="auto"/>
        <w:ind w:left="240" w:hanging="240"/>
      </w:pPr>
      <w:r>
        <w:rPr>
          <w:sz w:val="8"/>
          <w:szCs w:val="8"/>
          <w:vertAlign w:val="superscript"/>
        </w:rPr>
        <w:footnoteRef/>
      </w:r>
      <w:r>
        <w:rPr>
          <w:sz w:val="8"/>
          <w:szCs w:val="8"/>
        </w:rPr>
        <w:tab/>
      </w:r>
      <w:r>
        <w:t>Los pacientes deben cumplir con los criterios de exposición significativa y ser idóneos para recibir VZIG, como se señala en el cuadro 3-77. El concentrado mencionado debe administrarse tan pronto sea posible, y no permitir que transcurran más de 96 h después de la exposición.</w:t>
      </w:r>
    </w:p>
  </w:footnote>
  <w:footnote w:id="24">
    <w:p w14:paraId="59CCCFD7" w14:textId="77777777" w:rsidR="00924992" w:rsidRDefault="00924992">
      <w:pPr>
        <w:pStyle w:val="Footnote0"/>
        <w:tabs>
          <w:tab w:val="left" w:pos="173"/>
        </w:tabs>
        <w:spacing w:after="540" w:line="286" w:lineRule="auto"/>
        <w:ind w:left="240" w:hanging="240"/>
      </w:pPr>
      <w:r>
        <w:rPr>
          <w:sz w:val="8"/>
          <w:szCs w:val="8"/>
          <w:vertAlign w:val="superscript"/>
        </w:rPr>
        <w:footnoteRef/>
      </w:r>
      <w:r>
        <w:rPr>
          <w:sz w:val="8"/>
          <w:szCs w:val="8"/>
        </w:rPr>
        <w:tab/>
      </w:r>
      <w:r>
        <w:t>Los expertos difieren en opinión en cuanto a la duración del contacto cara con cara que justifique la administración de VZIG. Sin embargo, tal contacto no debe ser transitorio. Algunos expertos sugieren un contacto de 5 min o más como exposición significativa para tal finalidad; otros definen el contacto cercano el que ocurre por más de 1 hora.</w:t>
      </w:r>
    </w:p>
    <w:p w14:paraId="214E6384" w14:textId="77777777" w:rsidR="00924992" w:rsidRDefault="00924992">
      <w:pPr>
        <w:pStyle w:val="Footnote0"/>
        <w:spacing w:line="269" w:lineRule="auto"/>
        <w:rPr>
          <w:sz w:val="19"/>
          <w:szCs w:val="19"/>
        </w:rPr>
      </w:pPr>
      <w:r>
        <w:rPr>
          <w:rFonts w:ascii="Garamond" w:eastAsia="Garamond" w:hAnsi="Garamond" w:cs="Garamond"/>
          <w:sz w:val="19"/>
          <w:szCs w:val="19"/>
        </w:rPr>
        <w:t>durante la etapa presintomática o prodrómica de la enfermedad agrave el peligro de que surjan fenómenos adversos por la vacuna o una enfermedad natural más grave.</w:t>
      </w:r>
    </w:p>
    <w:p w14:paraId="574C94D2" w14:textId="77777777" w:rsidR="00924992" w:rsidRDefault="00924992">
      <w:pPr>
        <w:pStyle w:val="Footnote0"/>
        <w:spacing w:line="334" w:lineRule="auto"/>
        <w:ind w:firstLine="360"/>
        <w:rPr>
          <w:sz w:val="19"/>
          <w:szCs w:val="19"/>
        </w:rPr>
      </w:pPr>
      <w:r>
        <w:rPr>
          <w:rFonts w:ascii="Arial" w:eastAsia="Arial" w:hAnsi="Arial" w:cs="Arial"/>
          <w:b/>
          <w:bCs/>
          <w:i/>
          <w:iCs/>
        </w:rPr>
        <w:t>Quimioprofilaxia.</w:t>
      </w:r>
      <w:r>
        <w:rPr>
          <w:rFonts w:ascii="Garamond" w:eastAsia="Garamond" w:hAnsi="Garamond" w:cs="Garamond"/>
          <w:sz w:val="19"/>
          <w:szCs w:val="19"/>
        </w:rPr>
        <w:t xml:space="preserve"> No se recomienda la ingestión de aciclovir.</w:t>
      </w:r>
    </w:p>
    <w:p w14:paraId="2FF61C46" w14:textId="77777777" w:rsidR="00924992" w:rsidRDefault="00924992">
      <w:pPr>
        <w:pStyle w:val="Footnote0"/>
        <w:spacing w:line="276" w:lineRule="auto"/>
        <w:ind w:firstLine="360"/>
        <w:rPr>
          <w:sz w:val="19"/>
          <w:szCs w:val="19"/>
        </w:rPr>
      </w:pPr>
      <w:r>
        <w:rPr>
          <w:rFonts w:ascii="Arial" w:eastAsia="Arial" w:hAnsi="Arial" w:cs="Arial"/>
          <w:b/>
          <w:bCs/>
          <w:i/>
          <w:iCs/>
        </w:rPr>
        <w:t>Inmunoprofilaxia pasiva.</w:t>
      </w:r>
      <w:r>
        <w:rPr>
          <w:rFonts w:ascii="Garamond" w:eastAsia="Garamond" w:hAnsi="Garamond" w:cs="Garamond"/>
          <w:sz w:val="19"/>
          <w:szCs w:val="19"/>
        </w:rPr>
        <w:t xml:space="preserve"> Las personas susceptibles expuestas a un peligro considerable de mostrar varicela grave deben recibir VZIG en término de 96 h; para lograr eficacia máxima, tal inmunoprofilaxia se hará tan pronto sea posible después de la exposición. El concentrado inmunoglobulínico contra varicela-zoster se obtiene al establecer contacto con los servicios locales de la Cruz Roja (en Estados Unidos) o FFF Enterprises (41093 County Center, Temecula, CA 92591; teléfono 800-843-7477). En Estados Unidos, la Cruz Roja ha celebrado un contrato con FFF Enterprises para la distribución de VZIG en todos los estados, excepto en Massachusetts (en que el concentrado es distribuido por Massachusetts Biologic Laboratories, Boston, MA), New Hampshire, Nueva York y Maine.</w:t>
      </w:r>
    </w:p>
    <w:p w14:paraId="0FA7770F" w14:textId="77777777" w:rsidR="00924992" w:rsidRDefault="00924992">
      <w:pPr>
        <w:pStyle w:val="Footnote0"/>
        <w:spacing w:line="269" w:lineRule="auto"/>
        <w:ind w:firstLine="360"/>
        <w:rPr>
          <w:sz w:val="19"/>
          <w:szCs w:val="19"/>
        </w:rPr>
      </w:pPr>
      <w:r>
        <w:rPr>
          <w:rFonts w:ascii="Garamond" w:eastAsia="Garamond" w:hAnsi="Garamond" w:cs="Garamond"/>
          <w:sz w:val="19"/>
          <w:szCs w:val="19"/>
        </w:rPr>
        <w:t>La decisión de aplicar VZIG depende de tres factores: 1) la posibilidad de que la persona expuesta sea susceptible a la varicela; 2) la probabilidad de que una exposición particular a la varicela o al zoster culmine en infección y 3) la posibilidad de que surjan complicaciones de varicela si la persona se infecta.</w:t>
      </w:r>
    </w:p>
    <w:p w14:paraId="268F34D2" w14:textId="77777777" w:rsidR="00924992" w:rsidRDefault="00924992">
      <w:pPr>
        <w:pStyle w:val="Footnote0"/>
        <w:spacing w:line="269" w:lineRule="auto"/>
        <w:ind w:firstLine="360"/>
        <w:rPr>
          <w:sz w:val="19"/>
          <w:szCs w:val="19"/>
        </w:rPr>
      </w:pPr>
      <w:r>
        <w:rPr>
          <w:rFonts w:ascii="Garamond" w:eastAsia="Garamond" w:hAnsi="Garamond" w:cs="Garamond"/>
          <w:sz w:val="19"/>
          <w:szCs w:val="19"/>
        </w:rPr>
        <w:t>La exposición del círculo familiar a la varicela conlleva un riesgo bastante preciso de infección; la exposición a un contacto inmunocompetente con varicela cuya erupción ha perdurado más de cinco días conlleva poco riesgo. El niño con el antecedente de varicela por lo común se considera inmune. Sin embargo, las personas sin dicho antecedente también pueden ser inmunes. Para decidir si el adolescente o adulto joven sin antecedente de infección por varicela es inmune o no, es útil el interrogatorio cuidadoso de los puntos siguientes: 1) antecedente de varicela en otros hermanos (en particular los menores); 2) asistencia a una escuela urbana; 3) exposición</w:t>
      </w:r>
    </w:p>
  </w:footnote>
  <w:footnote w:id="25">
    <w:p w14:paraId="5EEA22DF" w14:textId="77777777" w:rsidR="00924992" w:rsidRDefault="00924992">
      <w:pPr>
        <w:pStyle w:val="Footnote0"/>
        <w:spacing w:line="266" w:lineRule="auto"/>
      </w:pPr>
      <w:r>
        <w:footnoteRef/>
      </w:r>
      <w:r>
        <w:t xml:space="preserve"> American Academy of Pediatrics, Committee on Infectious Diseases. Recommendations for the use of live attenuated varicella vaccine. </w:t>
      </w:r>
      <w:r>
        <w:rPr>
          <w:i/>
          <w:iCs/>
        </w:rPr>
        <w:t>Pediatrics.</w:t>
      </w:r>
      <w:r>
        <w:t xml:space="preserve"> 1995;95:791-796 and American Academy of Pediatrics, Committee on Infectious Diseases. Varicella vaccine update. </w:t>
      </w:r>
      <w:r>
        <w:rPr>
          <w:i/>
          <w:iCs/>
        </w:rPr>
        <w:t>Pediatrics.</w:t>
      </w:r>
      <w:r>
        <w:t xml:space="preserve"> 2000,105:136-141.</w:t>
      </w:r>
    </w:p>
  </w:footnote>
  <w:footnote w:id="26">
    <w:p w14:paraId="5748A2E5" w14:textId="77777777" w:rsidR="00924992" w:rsidRDefault="00924992">
      <w:pPr>
        <w:pStyle w:val="Footnote0"/>
        <w:spacing w:line="266" w:lineRule="auto"/>
      </w:pPr>
      <w:r>
        <w:footnoteRef/>
      </w:r>
      <w:r>
        <w:t xml:space="preserve"> Centers for Disease Control and Prevention. Prevention of varicella update: recommendations of the Advisory Committee on Immunization Practices (ACIP). </w:t>
      </w:r>
      <w:r>
        <w:rPr>
          <w:i/>
          <w:iCs/>
        </w:rPr>
        <w:t>MMWR Morb Mortal Wkly Rep.</w:t>
      </w:r>
      <w:r>
        <w:t xml:space="preserve"> 1999;45(RR-6):1-5.</w:t>
      </w:r>
    </w:p>
  </w:footnote>
  <w:footnote w:id="27">
    <w:p w14:paraId="189E1BE3" w14:textId="77777777" w:rsidR="00924992" w:rsidRDefault="00924992">
      <w:pPr>
        <w:pStyle w:val="Footnote0"/>
        <w:spacing w:line="266" w:lineRule="auto"/>
      </w:pPr>
      <w:r>
        <w:footnoteRef/>
      </w:r>
      <w:r>
        <w:t xml:space="preserve"> Para vacunar un niño con leucemia linfocítica aguda, consultar con The Varivax Coordinating Center, Omnicare Clinical Research, 630 Allendale Rd, King of Prussia, PA 19406; teléfono, 484-679-2856. t El fabricante, en colaboración con los CDC, ha establecido el llamado Registro Varivax de Embarazo para vigilar los resultados de madre y feto de mujeres que reciben inadvertidamente vacuna contra varicela tres meses antes del embarazo o en cualquier fecha durante él. Si se desea notificar casos se puede usar el número telefónico (800-986-8999).</w:t>
      </w:r>
    </w:p>
  </w:footnote>
  <w:footnote w:id="28">
    <w:p w14:paraId="04A08E23" w14:textId="77777777" w:rsidR="00924992" w:rsidRDefault="00924992">
      <w:pPr>
        <w:pStyle w:val="Footnote0"/>
        <w:spacing w:line="266" w:lineRule="auto"/>
      </w:pPr>
      <w:r>
        <w:footnoteRef/>
      </w:r>
      <w:r>
        <w:t xml:space="preserve"> American Academy of Pediatrics. Committee on Quality Improvement, Subcommittee on Acute Gastroenteritis. The management of acute gastroenteritis in young children. </w:t>
      </w:r>
      <w:r>
        <w:rPr>
          <w:i/>
          <w:iCs/>
        </w:rPr>
        <w:t>Pediatrics.</w:t>
      </w:r>
      <w:r>
        <w:t xml:space="preserve"> 1996;97:424-435.</w:t>
      </w:r>
    </w:p>
  </w:footnote>
  <w:footnote w:id="29">
    <w:p w14:paraId="1E7990CF" w14:textId="77777777" w:rsidR="00924992" w:rsidRDefault="00924992">
      <w:pPr>
        <w:pStyle w:val="Footnote0"/>
        <w:spacing w:line="266" w:lineRule="auto"/>
      </w:pPr>
      <w:r>
        <w:footnoteRef/>
      </w:r>
      <w:r>
        <w:t xml:space="preserve"> Centers for Diasease Control and Prevention. Smallpox vaccination and adverse events. </w:t>
      </w:r>
      <w:r>
        <w:rPr>
          <w:i/>
          <w:iCs/>
        </w:rPr>
        <w:t xml:space="preserve">MMWR Dispatch. </w:t>
      </w:r>
      <w:r>
        <w:t>2003;52:1-29.</w:t>
      </w:r>
    </w:p>
  </w:footnote>
  <w:footnote w:id="30">
    <w:p w14:paraId="38B5229A" w14:textId="77777777" w:rsidR="00924992" w:rsidRDefault="00924992">
      <w:pPr>
        <w:pStyle w:val="Footnote0"/>
        <w:spacing w:line="266" w:lineRule="auto"/>
      </w:pPr>
      <w:r>
        <w:rPr>
          <w:color w:val="000000"/>
        </w:rPr>
        <w:footnoteRef/>
      </w:r>
      <w:r>
        <w:rPr>
          <w:color w:val="000000"/>
        </w:rPr>
        <w:t xml:space="preserve"> Dowell SF, Marcy SM, Phillips WR, Gerber MA, Schwartz B. Principles of judicious use of antimicrobial agents for pediatric upper respiratory tract infections. </w:t>
      </w:r>
      <w:r>
        <w:rPr>
          <w:i/>
          <w:iCs/>
          <w:color w:val="000000"/>
        </w:rPr>
        <w:t>Pediatrics.</w:t>
      </w:r>
      <w:r>
        <w:rPr>
          <w:color w:val="000000"/>
        </w:rPr>
        <w:t xml:space="preserve"> 1998;101:S163-S165; and Dowell SF, Schwartz B, Phillips WR. Appropriate use of antibiotics for URIs in children: part II: Cough, pharyngitis and the common cold. The Pediatric URI Consensus Team. </w:t>
      </w:r>
      <w:r>
        <w:rPr>
          <w:i/>
          <w:iCs/>
          <w:color w:val="000000"/>
        </w:rPr>
        <w:t>Am Fam Phys.</w:t>
      </w:r>
      <w:r>
        <w:rPr>
          <w:color w:val="000000"/>
        </w:rPr>
        <w:t xml:space="preserve"> 1998;58:1335-1342, 1345.</w:t>
      </w:r>
    </w:p>
  </w:footnote>
  <w:footnote w:id="31">
    <w:p w14:paraId="17FD39C7" w14:textId="77777777" w:rsidR="00924992" w:rsidRDefault="00924992">
      <w:pPr>
        <w:pStyle w:val="Footnote0"/>
        <w:spacing w:line="266" w:lineRule="auto"/>
      </w:pPr>
      <w:r>
        <w:rPr>
          <w:color w:val="000000"/>
        </w:rPr>
        <w:footnoteRef/>
      </w:r>
      <w:r>
        <w:rPr>
          <w:color w:val="000000"/>
        </w:rPr>
        <w:t xml:space="preserve"> Recommendations for preventing the spread of vancomycin resistance. Recommendations of the Hospital Infection Control Practices Advisory Committee. </w:t>
      </w:r>
      <w:r>
        <w:rPr>
          <w:i/>
          <w:iCs/>
          <w:color w:val="000000"/>
        </w:rPr>
        <w:t>MMWR Recomm Rep,</w:t>
      </w:r>
      <w:r>
        <w:rPr>
          <w:color w:val="000000"/>
        </w:rPr>
        <w:t xml:space="preserve"> 1995; 44(RR-12):1-13.</w:t>
      </w:r>
    </w:p>
  </w:footnote>
  <w:footnote w:id="32">
    <w:p w14:paraId="689E33E0" w14:textId="77777777" w:rsidR="00924992" w:rsidRDefault="00924992">
      <w:pPr>
        <w:pStyle w:val="Footnote0"/>
        <w:spacing w:line="266" w:lineRule="auto"/>
      </w:pPr>
      <w:r>
        <w:rPr>
          <w:color w:val="000000"/>
        </w:rPr>
        <w:footnoteRef/>
      </w:r>
      <w:r>
        <w:rPr>
          <w:color w:val="000000"/>
        </w:rPr>
        <w:t xml:space="preserve"> Recommendations for preventing the spread of vancomycin resistance. Recommendations of the Hospital Infection Control Practices Advisory Committee. </w:t>
      </w:r>
      <w:r>
        <w:rPr>
          <w:i/>
          <w:iCs/>
          <w:color w:val="000000"/>
        </w:rPr>
        <w:t>MMWR Recomm Rep,</w:t>
      </w:r>
      <w:r>
        <w:rPr>
          <w:color w:val="000000"/>
        </w:rPr>
        <w:t xml:space="preserve"> 1995; 44(RR-12):1-13.</w:t>
      </w:r>
    </w:p>
  </w:footnote>
  <w:footnote w:id="33">
    <w:p w14:paraId="1838F524" w14:textId="77777777" w:rsidR="00924992" w:rsidRDefault="00924992">
      <w:pPr>
        <w:pStyle w:val="Footnote0"/>
        <w:ind w:firstLine="240"/>
        <w:jc w:val="both"/>
      </w:pPr>
      <w:r>
        <w:rPr>
          <w:color w:val="000000"/>
        </w:rPr>
        <w:t xml:space="preserve">IM, intramuscular; STD, enfermedad de transmisión sexual </w:t>
      </w:r>
      <w:r>
        <w:rPr>
          <w:i/>
          <w:iCs/>
          <w:color w:val="000000"/>
        </w:rPr>
        <w:t>(sexually transmitted disease)';</w:t>
      </w:r>
      <w:r>
        <w:rPr>
          <w:color w:val="000000"/>
        </w:rPr>
        <w:t xml:space="preserve"> PID, enfermedad inflamatoria pélvica </w:t>
      </w:r>
      <w:r>
        <w:rPr>
          <w:i/>
          <w:iCs/>
          <w:color w:val="000000"/>
        </w:rPr>
        <w:t>(pelvic inflammatory disease).</w:t>
      </w:r>
    </w:p>
  </w:footnote>
  <w:footnote w:id="34">
    <w:p w14:paraId="5C21149B" w14:textId="77777777" w:rsidR="00924992" w:rsidRDefault="00924992">
      <w:pPr>
        <w:pStyle w:val="Footnote0"/>
        <w:tabs>
          <w:tab w:val="left" w:pos="163"/>
        </w:tabs>
        <w:ind w:left="220" w:hanging="220"/>
        <w:jc w:val="both"/>
      </w:pPr>
      <w:r>
        <w:rPr>
          <w:color w:val="000000"/>
          <w:sz w:val="8"/>
          <w:szCs w:val="8"/>
          <w:vertAlign w:val="superscript"/>
        </w:rPr>
        <w:footnoteRef/>
      </w:r>
      <w:r>
        <w:rPr>
          <w:color w:val="000000"/>
          <w:sz w:val="8"/>
          <w:szCs w:val="8"/>
        </w:rPr>
        <w:tab/>
      </w:r>
      <w:r>
        <w:rPr>
          <w:color w:val="000000"/>
        </w:rPr>
        <w:t xml:space="preserve">Si se desea más información y recomendaciones, consúltese Centers for Disease Control and Prevention. Sexually transmitted diseases treatment guidelines-2002. </w:t>
      </w:r>
      <w:r>
        <w:rPr>
          <w:i/>
          <w:iCs/>
          <w:color w:val="000000"/>
        </w:rPr>
        <w:t>MMWR Recomm Rep.</w:t>
      </w:r>
      <w:r>
        <w:rPr>
          <w:color w:val="000000"/>
        </w:rPr>
        <w:t xml:space="preserve"> 2002;51(RR-6):1-80. Algunos regímenes no están indicados para embarazadas adolescentes.</w:t>
      </w:r>
    </w:p>
  </w:footnote>
  <w:footnote w:id="35">
    <w:p w14:paraId="7C2076CA" w14:textId="77777777" w:rsidR="00924992" w:rsidRDefault="00924992">
      <w:pPr>
        <w:pStyle w:val="Footnote0"/>
        <w:tabs>
          <w:tab w:val="left" w:pos="168"/>
        </w:tabs>
        <w:ind w:left="240" w:hanging="240"/>
      </w:pPr>
      <w:r>
        <w:rPr>
          <w:color w:val="000000"/>
          <w:sz w:val="8"/>
          <w:szCs w:val="8"/>
          <w:vertAlign w:val="superscript"/>
        </w:rPr>
        <w:footnoteRef/>
      </w:r>
      <w:r>
        <w:rPr>
          <w:color w:val="000000"/>
          <w:sz w:val="8"/>
          <w:szCs w:val="8"/>
        </w:rPr>
        <w:tab/>
      </w:r>
      <w:r>
        <w:rPr>
          <w:color w:val="000000"/>
        </w:rPr>
        <w:t>No deben utilizarse las quinolonas contra infecciones adquiridas en Asia o países del Pacífico, incluida Hawaii. No es recomendable usar quinolonas para tratar infecciones adquiridas en California.</w:t>
      </w:r>
    </w:p>
  </w:footnote>
  <w:footnote w:id="36">
    <w:p w14:paraId="047A2696" w14:textId="77777777" w:rsidR="00924992" w:rsidRDefault="00924992">
      <w:pPr>
        <w:pStyle w:val="Footnote0"/>
        <w:tabs>
          <w:tab w:val="left" w:pos="168"/>
        </w:tabs>
        <w:jc w:val="both"/>
      </w:pPr>
      <w:r>
        <w:rPr>
          <w:color w:val="000000"/>
          <w:sz w:val="8"/>
          <w:szCs w:val="8"/>
          <w:vertAlign w:val="superscript"/>
        </w:rPr>
        <w:footnoteRef/>
      </w:r>
      <w:r>
        <w:rPr>
          <w:color w:val="000000"/>
          <w:sz w:val="8"/>
          <w:szCs w:val="8"/>
        </w:rPr>
        <w:tab/>
      </w:r>
      <w:r>
        <w:rPr>
          <w:color w:val="000000"/>
        </w:rPr>
        <w:t>La ciprofloxacina, la ofloxacina y la levofloxacina están contraindicadas en embarazadas y mujeres que amamantan y en personas menores de 18 años.</w:t>
      </w:r>
    </w:p>
  </w:footnote>
  <w:footnote w:id="37">
    <w:p w14:paraId="5D26FE11" w14:textId="77777777" w:rsidR="00924992" w:rsidRDefault="00924992">
      <w:pPr>
        <w:pStyle w:val="Footnote0"/>
        <w:tabs>
          <w:tab w:val="left" w:pos="168"/>
        </w:tabs>
        <w:jc w:val="both"/>
      </w:pPr>
      <w:r>
        <w:rPr>
          <w:color w:val="000000"/>
          <w:sz w:val="8"/>
          <w:szCs w:val="8"/>
          <w:vertAlign w:val="superscript"/>
        </w:rPr>
        <w:footnoteRef/>
      </w:r>
      <w:r>
        <w:rPr>
          <w:color w:val="000000"/>
          <w:sz w:val="8"/>
          <w:szCs w:val="8"/>
        </w:rPr>
        <w:tab/>
      </w:r>
      <w:r>
        <w:rPr>
          <w:color w:val="000000"/>
        </w:rPr>
        <w:t>No se ha valorado su inocuidad en niños, y su uso está contraindicado en embarazadas.</w:t>
      </w:r>
    </w:p>
  </w:footnote>
  <w:footnote w:id="38">
    <w:p w14:paraId="3BEDA725" w14:textId="77777777" w:rsidR="00924992" w:rsidRDefault="00924992">
      <w:pPr>
        <w:pStyle w:val="Footnote0"/>
        <w:tabs>
          <w:tab w:val="left" w:pos="163"/>
        </w:tabs>
        <w:spacing w:line="266" w:lineRule="auto"/>
        <w:ind w:left="200" w:hanging="200"/>
      </w:pPr>
      <w:r>
        <w:rPr>
          <w:color w:val="000000"/>
          <w:sz w:val="8"/>
          <w:szCs w:val="8"/>
          <w:vertAlign w:val="superscript"/>
        </w:rPr>
        <w:footnoteRef/>
      </w:r>
      <w:r>
        <w:rPr>
          <w:color w:val="000000"/>
          <w:sz w:val="8"/>
          <w:szCs w:val="8"/>
        </w:rPr>
        <w:tab/>
      </w:r>
      <w:r>
        <w:rPr>
          <w:color w:val="000000"/>
        </w:rPr>
        <w:t>Las cremas y óvulos mencionados tienen base de aceite que pudieran debilitar los condones y diafragmas de caucho. Consultar las instrucciones del fabricante de los condones o el diafragma para obtener mayor información.</w:t>
      </w:r>
    </w:p>
  </w:footnote>
  <w:footnote w:id="39">
    <w:p w14:paraId="27320F88" w14:textId="77777777" w:rsidR="00924992" w:rsidRDefault="00924992">
      <w:pPr>
        <w:pStyle w:val="Footnote0"/>
        <w:tabs>
          <w:tab w:val="left" w:pos="173"/>
        </w:tabs>
        <w:spacing w:line="266" w:lineRule="auto"/>
        <w:jc w:val="both"/>
      </w:pPr>
      <w:r>
        <w:rPr>
          <w:color w:val="000000"/>
          <w:sz w:val="8"/>
          <w:szCs w:val="8"/>
          <w:vertAlign w:val="superscript"/>
        </w:rPr>
        <w:footnoteRef/>
      </w:r>
      <w:r>
        <w:rPr>
          <w:color w:val="000000"/>
          <w:sz w:val="8"/>
          <w:szCs w:val="8"/>
        </w:rPr>
        <w:tab/>
      </w:r>
      <w:r>
        <w:rPr>
          <w:color w:val="000000"/>
        </w:rPr>
        <w:t>Preparados que se adquieren sin receta.</w:t>
      </w:r>
    </w:p>
  </w:footnote>
  <w:footnote w:id="40">
    <w:p w14:paraId="468AAD1F" w14:textId="77777777" w:rsidR="00924992" w:rsidRDefault="00924992">
      <w:pPr>
        <w:pStyle w:val="Footnote0"/>
        <w:ind w:firstLine="240"/>
      </w:pPr>
      <w:r>
        <w:rPr>
          <w:color w:val="000000"/>
        </w:rPr>
        <w:footnoteRef/>
      </w:r>
      <w:r>
        <w:rPr>
          <w:color w:val="000000"/>
        </w:rPr>
        <w:t xml:space="preserve"> intravenosa.</w:t>
      </w:r>
    </w:p>
    <w:p w14:paraId="51205A7F" w14:textId="77777777" w:rsidR="00924992" w:rsidRDefault="00924992">
      <w:pPr>
        <w:pStyle w:val="Footnote0"/>
        <w:ind w:left="240" w:hanging="240"/>
      </w:pPr>
      <w:r>
        <w:rPr>
          <w:color w:val="000000"/>
          <w:sz w:val="8"/>
          <w:szCs w:val="8"/>
          <w:vertAlign w:val="superscript"/>
        </w:rPr>
        <w:t>1</w:t>
      </w:r>
      <w:r>
        <w:rPr>
          <w:color w:val="000000"/>
          <w:sz w:val="8"/>
          <w:szCs w:val="8"/>
        </w:rPr>
        <w:t xml:space="preserve"> </w:t>
      </w:r>
      <w:r>
        <w:rPr>
          <w:color w:val="000000"/>
        </w:rPr>
        <w:t>Posologia para adolescentes según las etapas de Tanner: los jóvenes en los comienzos de la pubertad (etapas I y II de Tanner) deben seguir un esquema posológico para niños, y los que están a finales de la pubertad (etapa V de Tanner) seguirán los esquemas de adultos. Los jovencitos que están en el punto medio de la fase de crecimiento rápido (niñas en etapa III de Tanner y varones en etapa IV de Tanner) deben ser vigilados minuciosamente para corroborar la eficacia del medicamento y detectar efectos tóxicos cuando se siguen directrices para adultos o niños.</w:t>
      </w:r>
    </w:p>
    <w:p w14:paraId="613CAAFA" w14:textId="77777777" w:rsidR="00924992" w:rsidRDefault="00924992">
      <w:pPr>
        <w:pStyle w:val="Footnote0"/>
      </w:pPr>
      <w:r>
        <w:rPr>
          <w:color w:val="000000"/>
        </w:rPr>
        <w:t xml:space="preserve">Si se desea más información sobre fármacos individuales, véase (Greenwood Village, CO: Thomson Micromedex) o </w:t>
      </w:r>
      <w:hyperlink r:id="rId2" w:history="1">
        <w:r>
          <w:rPr>
            <w:color w:val="000000"/>
          </w:rPr>
          <w:t>http://pdrel.thomsonhc.com/pdrel/librarian/action/command.Command</w:t>
        </w:r>
      </w:hyperlink>
      <w:r>
        <w:rPr>
          <w:color w:val="000000"/>
        </w:rPr>
        <w:t xml:space="preserve"> o </w:t>
      </w:r>
      <w:hyperlink r:id="rId3" w:history="1">
        <w:r>
          <w:rPr>
            <w:color w:val="000000"/>
          </w:rPr>
          <w:t>www.aidsinfo.nih.gov/</w:t>
        </w:r>
      </w:hyperlink>
      <w:r>
        <w:rPr>
          <w:color w:val="000000"/>
        </w:rPr>
        <w:t>.</w:t>
      </w:r>
    </w:p>
  </w:footnote>
  <w:footnote w:id="41">
    <w:p w14:paraId="6F7827C9" w14:textId="77777777" w:rsidR="00924992" w:rsidRDefault="00924992">
      <w:pPr>
        <w:pStyle w:val="Footnote0"/>
        <w:tabs>
          <w:tab w:val="left" w:pos="355"/>
        </w:tabs>
        <w:spacing w:line="252" w:lineRule="auto"/>
        <w:ind w:left="420" w:hanging="420"/>
      </w:pPr>
      <w:r>
        <w:rPr>
          <w:color w:val="000000"/>
        </w:rPr>
        <w:footnoteRef/>
      </w:r>
      <w:r>
        <w:rPr>
          <w:color w:val="000000"/>
        </w:rPr>
        <w:tab/>
        <w:t xml:space="preserve">Se ha recurrido a la exsanguinotransfusión en personas muy graves y los que tienen una gran parasitemia (mayor de 10%) (JC Hatcher et al, </w:t>
      </w:r>
      <w:r>
        <w:rPr>
          <w:i/>
          <w:iCs/>
          <w:color w:val="000000"/>
        </w:rPr>
        <w:t>Clin Infect Dis</w:t>
      </w:r>
      <w:r>
        <w:rPr>
          <w:color w:val="000000"/>
        </w:rPr>
        <w:t xml:space="preserve"> 2001; 32:1117). La combinación de atovacuona y azitromicina tiene la misma eficacia que la de clindamicina-quinina y quizá se tolere mejor (PJ Krause et al, </w:t>
      </w:r>
      <w:r>
        <w:rPr>
          <w:i/>
          <w:iCs/>
          <w:color w:val="000000"/>
        </w:rPr>
        <w:t>N Engl J Med</w:t>
      </w:r>
      <w:r>
        <w:rPr>
          <w:color w:val="000000"/>
        </w:rPr>
        <w:t xml:space="preserve"> 2000; 343:1454). Según informes, el empleo simultáneo de pentamidina y trimetoprim-sulfametoxazol ha curado la infección por </w:t>
      </w:r>
      <w:r>
        <w:rPr>
          <w:i/>
          <w:iCs/>
          <w:color w:val="000000"/>
        </w:rPr>
        <w:t>B. divergens,</w:t>
      </w:r>
      <w:r>
        <w:rPr>
          <w:color w:val="000000"/>
        </w:rPr>
        <w:t xml:space="preserve"> que es la especie más común de Babesia en Europa (D Raoult et al, </w:t>
      </w:r>
      <w:r>
        <w:rPr>
          <w:i/>
          <w:iCs/>
          <w:color w:val="000000"/>
        </w:rPr>
        <w:t>Ann Intern Med</w:t>
      </w:r>
      <w:r>
        <w:rPr>
          <w:color w:val="000000"/>
        </w:rPr>
        <w:t xml:space="preserve"> 1987; 107:944).</w:t>
      </w:r>
    </w:p>
  </w:footnote>
  <w:footnote w:id="42">
    <w:p w14:paraId="6F9B4A98" w14:textId="77777777" w:rsidR="00924992" w:rsidRDefault="00924992">
      <w:pPr>
        <w:pStyle w:val="Footnote0"/>
        <w:tabs>
          <w:tab w:val="left" w:pos="350"/>
        </w:tabs>
        <w:spacing w:line="252" w:lineRule="auto"/>
        <w:ind w:left="420" w:hanging="420"/>
      </w:pPr>
      <w:r>
        <w:rPr>
          <w:color w:val="000000"/>
        </w:rPr>
        <w:footnoteRef/>
      </w:r>
      <w:r>
        <w:rPr>
          <w:color w:val="000000"/>
        </w:rPr>
        <w:tab/>
        <w:t xml:space="preserve">Ningún fármaco ha demostrado eficacia. La administración de 25 mg de albendazol/kg/día </w:t>
      </w:r>
      <w:r>
        <w:rPr>
          <w:rFonts w:ascii="Arial" w:eastAsia="Arial" w:hAnsi="Arial" w:cs="Arial"/>
          <w:color w:val="000000"/>
          <w:sz w:val="14"/>
          <w:szCs w:val="14"/>
        </w:rPr>
        <w:t xml:space="preserve">x </w:t>
      </w:r>
      <w:r>
        <w:rPr>
          <w:color w:val="000000"/>
        </w:rPr>
        <w:t xml:space="preserve">10 días que comience antes del tercer día después de la posible infección podría evitar la enfermedad clínica, y es recomendable en niños con exposición sabida (ingestión de excrementos de mapache o tierra contaminada) </w:t>
      </w:r>
      <w:r>
        <w:rPr>
          <w:i/>
          <w:iCs/>
          <w:color w:val="000000"/>
        </w:rPr>
        <w:t xml:space="preserve">(MMWR Morb Mortal Wkly Rep </w:t>
      </w:r>
      <w:r>
        <w:rPr>
          <w:color w:val="000000"/>
        </w:rPr>
        <w:t>2002; 50:1153). También es posible probar fármacos como mebendazol, tiabendazol, levamizol (</w:t>
      </w:r>
      <w:r>
        <w:rPr>
          <w:i/>
          <w:iCs/>
          <w:color w:val="000000"/>
        </w:rPr>
        <w:t>Ergamisol</w:t>
      </w:r>
      <w:r>
        <w:rPr>
          <w:color w:val="000000"/>
        </w:rPr>
        <w:t>) e ivermectina. La corticoterapia puede ser útil, sobre todo en infección de ojos y de SNC. Se ha tratado satisfactoriamente la bailisacariasis ocular con fotocoagulación por láser para destruir las larvas intraretinianas.</w:t>
      </w:r>
    </w:p>
  </w:footnote>
  <w:footnote w:id="43">
    <w:p w14:paraId="33899DBC" w14:textId="77777777" w:rsidR="00924992" w:rsidRDefault="00924992">
      <w:pPr>
        <w:pStyle w:val="Footnote0"/>
        <w:tabs>
          <w:tab w:val="left" w:pos="379"/>
        </w:tabs>
        <w:spacing w:line="252" w:lineRule="auto"/>
      </w:pPr>
      <w:r>
        <w:rPr>
          <w:color w:val="000000"/>
        </w:rPr>
        <w:footnoteRef/>
      </w:r>
      <w:r>
        <w:rPr>
          <w:color w:val="000000"/>
        </w:rPr>
        <w:tab/>
        <w:t>Las tetraciclinas están contraindicadas en embarazadas y en niños menores de ocho años.</w:t>
      </w:r>
    </w:p>
  </w:footnote>
  <w:footnote w:id="44">
    <w:p w14:paraId="4174FA28" w14:textId="77777777" w:rsidR="00924992" w:rsidRDefault="00924992">
      <w:pPr>
        <w:pStyle w:val="Footnote0"/>
        <w:tabs>
          <w:tab w:val="left" w:pos="379"/>
        </w:tabs>
        <w:spacing w:line="252" w:lineRule="auto"/>
        <w:ind w:left="420" w:hanging="420"/>
      </w:pPr>
      <w:r>
        <w:rPr>
          <w:color w:val="000000"/>
        </w:rPr>
        <w:footnoteRef/>
      </w:r>
      <w:r>
        <w:rPr>
          <w:color w:val="000000"/>
        </w:rPr>
        <w:tab/>
        <w:t xml:space="preserve">Es controvertida la importancia clínica de tales microorganismos, pero según informes 750 mg de metronidazol tid </w:t>
      </w:r>
      <w:r>
        <w:rPr>
          <w:rFonts w:ascii="Arial" w:eastAsia="Arial" w:hAnsi="Arial" w:cs="Arial"/>
          <w:color w:val="000000"/>
          <w:sz w:val="14"/>
          <w:szCs w:val="14"/>
        </w:rPr>
        <w:t xml:space="preserve">x </w:t>
      </w:r>
      <w:r>
        <w:rPr>
          <w:color w:val="000000"/>
        </w:rPr>
        <w:t xml:space="preserve">10 días o 650 mg de yodoquinol tid </w:t>
      </w:r>
      <w:r>
        <w:rPr>
          <w:rFonts w:ascii="Arial" w:eastAsia="Arial" w:hAnsi="Arial" w:cs="Arial"/>
          <w:color w:val="000000"/>
          <w:sz w:val="14"/>
          <w:szCs w:val="14"/>
        </w:rPr>
        <w:t xml:space="preserve">x </w:t>
      </w:r>
      <w:r>
        <w:rPr>
          <w:color w:val="000000"/>
        </w:rPr>
        <w:t xml:space="preserve">20 días han sido eficaces (DJ Stenzel and PFL Borenam, </w:t>
      </w:r>
      <w:r>
        <w:rPr>
          <w:i/>
          <w:iCs/>
          <w:color w:val="000000"/>
        </w:rPr>
        <w:t>Clin Microbiol Rev</w:t>
      </w:r>
      <w:r>
        <w:rPr>
          <w:color w:val="000000"/>
        </w:rPr>
        <w:t xml:space="preserve"> 1996; 9:563). La resistencia al metronidazol puede ser frecuente (K Haresh et al, </w:t>
      </w:r>
      <w:r>
        <w:rPr>
          <w:i/>
          <w:iCs/>
          <w:color w:val="000000"/>
        </w:rPr>
        <w:t>Trop Med Int Health</w:t>
      </w:r>
      <w:r>
        <w:rPr>
          <w:color w:val="000000"/>
        </w:rPr>
        <w:t xml:space="preserve"> 1999; 4:274). Otro régimen al que cabe recurrir es trimetoprim-sulfametoxazol (UZ Ok et al, </w:t>
      </w:r>
      <w:r>
        <w:rPr>
          <w:i/>
          <w:iCs/>
          <w:color w:val="000000"/>
        </w:rPr>
        <w:t>Am J Gastroenterol</w:t>
      </w:r>
      <w:r>
        <w:rPr>
          <w:color w:val="000000"/>
        </w:rPr>
        <w:t xml:space="preserve"> 1999; 94:3245).</w:t>
      </w:r>
    </w:p>
  </w:footnote>
  <w:footnote w:id="45">
    <w:p w14:paraId="3FADA799" w14:textId="77777777" w:rsidR="00924992" w:rsidRDefault="00924992">
      <w:pPr>
        <w:pStyle w:val="Footnote0"/>
        <w:tabs>
          <w:tab w:val="left" w:pos="370"/>
        </w:tabs>
        <w:ind w:left="400" w:hanging="400"/>
      </w:pPr>
      <w:r>
        <w:rPr>
          <w:color w:val="000000"/>
        </w:rPr>
        <w:footnoteRef/>
      </w:r>
      <w:r>
        <w:rPr>
          <w:color w:val="000000"/>
        </w:rPr>
        <w:tab/>
        <w:t xml:space="preserve">Para tratar </w:t>
      </w:r>
      <w:r>
        <w:rPr>
          <w:i/>
          <w:iCs/>
          <w:color w:val="000000"/>
        </w:rPr>
        <w:t>P falciparum</w:t>
      </w:r>
      <w:r>
        <w:rPr>
          <w:color w:val="000000"/>
        </w:rPr>
        <w:t xml:space="preserve"> resistente a múltiples fármacos en el sudeste asiático, y en particular Tailandia donde es frecuente la resistencia a la mefloquina y la halofantrina, se recomienda un ciclo a base de quinina y tetraciclina durante siete días (G Watt et al, </w:t>
      </w:r>
      <w:r>
        <w:rPr>
          <w:i/>
          <w:iCs/>
          <w:color w:val="000000"/>
        </w:rPr>
        <w:t>Am J Trop Med Hyg</w:t>
      </w:r>
      <w:r>
        <w:rPr>
          <w:color w:val="000000"/>
        </w:rPr>
        <w:t xml:space="preserve"> 1992; 47:108). En el caso de </w:t>
      </w:r>
      <w:r>
        <w:rPr>
          <w:i/>
          <w:iCs/>
          <w:color w:val="000000"/>
        </w:rPr>
        <w:t>P falciparum</w:t>
      </w:r>
      <w:r>
        <w:rPr>
          <w:color w:val="000000"/>
        </w:rPr>
        <w:t xml:space="preserve"> resistente a múltiples fármacos cabe utilizar combinaciones de artesunato y mefloquina (C Luxemburger et al, </w:t>
      </w:r>
      <w:r>
        <w:rPr>
          <w:i/>
          <w:iCs/>
          <w:color w:val="000000"/>
        </w:rPr>
        <w:t>Trans R Soc Trop MedHyg</w:t>
      </w:r>
      <w:r>
        <w:rPr>
          <w:color w:val="000000"/>
        </w:rPr>
        <w:t xml:space="preserve"> 1994; 88:213), artemeter y mefloquina (J Karbwang et al, </w:t>
      </w:r>
      <w:r>
        <w:rPr>
          <w:i/>
          <w:iCs/>
          <w:color w:val="000000"/>
        </w:rPr>
        <w:t>Trans R Soc Trop MedHyg</w:t>
      </w:r>
      <w:r>
        <w:rPr>
          <w:color w:val="000000"/>
        </w:rPr>
        <w:t xml:space="preserve"> 1995; 89:296), mefloquina y además doxiciclina o atovacuona-proguanil.</w:t>
      </w:r>
    </w:p>
  </w:footnote>
  <w:footnote w:id="46">
    <w:p w14:paraId="040374F9" w14:textId="77777777" w:rsidR="00924992" w:rsidRDefault="00924992">
      <w:pPr>
        <w:pStyle w:val="Footnote0"/>
        <w:tabs>
          <w:tab w:val="left" w:pos="370"/>
        </w:tabs>
        <w:ind w:left="400" w:hanging="400"/>
      </w:pPr>
      <w:r>
        <w:rPr>
          <w:color w:val="000000"/>
        </w:rPr>
        <w:footnoteRef/>
      </w:r>
      <w:r>
        <w:rPr>
          <w:color w:val="000000"/>
        </w:rPr>
        <w:tab/>
        <w:t>Con estas dosis, pueden surgir efectos adversos como náuseas, vómitos, diarrea, mareos, pérdida del sentido del equilibrio, psicosis tóxicas y convulsiones. La mefloquina es teratógena en animales y no debe utilizarse para combatir el paludismo en las embarazadas. Tampoco se le administrará junto con quinina, quinidina o halofantrina y se tendrá gran cuidado en utilizar estos últimos tres fármacos para tratar a personas palúdicas que hayan recibido mefloquina como productos profilácticos. En Estados Unidos, la FDA no ha aprobado tal dosificación para niños. En algunas áreas se ha señalado resistencia a la mefloquina, como Tailandia-Myanmar y la frontera con Camboya y la cuenca amazónica en que habrá que utilizar 25 mg/kg de peso.</w:t>
      </w:r>
    </w:p>
  </w:footnote>
  <w:footnote w:id="47">
    <w:p w14:paraId="13AB2683" w14:textId="77777777" w:rsidR="00924992" w:rsidRDefault="00924992">
      <w:pPr>
        <w:pStyle w:val="Footnote0"/>
        <w:tabs>
          <w:tab w:val="left" w:pos="365"/>
        </w:tabs>
        <w:jc w:val="both"/>
      </w:pPr>
      <w:r>
        <w:rPr>
          <w:color w:val="000000"/>
        </w:rPr>
        <w:footnoteRef/>
      </w:r>
      <w:r>
        <w:rPr>
          <w:color w:val="000000"/>
        </w:rPr>
        <w:tab/>
        <w:t>En Estados Unidos, una tableta de 250 mg de mefloquina contiene 228 mg del fármaco base. Fuera de dicho país cada tableta de 275 mg contiene 250 mg del fármaco base.</w:t>
      </w:r>
    </w:p>
  </w:footnote>
  <w:footnote w:id="48">
    <w:p w14:paraId="27F12FF4" w14:textId="77777777" w:rsidR="00924992" w:rsidRDefault="00924992">
      <w:pPr>
        <w:pStyle w:val="Footnote0"/>
        <w:spacing w:line="252" w:lineRule="auto"/>
        <w:ind w:left="400"/>
      </w:pPr>
      <w:r>
        <w:rPr>
          <w:color w:val="000000"/>
        </w:rPr>
        <w:t xml:space="preserve">En algunos pacientes con una parasitemia extraordinaria (más de 10%), alteración del estado psíquico, edema pulmonar o complicaciones renales ha sido útil la exsanguinotransfusion (KD Miller et al, </w:t>
      </w:r>
      <w:r>
        <w:rPr>
          <w:i/>
          <w:iCs/>
          <w:color w:val="000000"/>
        </w:rPr>
        <w:t>N Engl J Med</w:t>
      </w:r>
      <w:r>
        <w:rPr>
          <w:color w:val="000000"/>
        </w:rPr>
        <w:t xml:space="preserve"> 1989; 321:65).</w:t>
      </w:r>
    </w:p>
    <w:p w14:paraId="6AC97E9A" w14:textId="77777777" w:rsidR="00924992" w:rsidRDefault="00924992">
      <w:pPr>
        <w:pStyle w:val="Footnote0"/>
        <w:spacing w:line="252" w:lineRule="auto"/>
        <w:ind w:left="400"/>
      </w:pPr>
      <w:r>
        <w:rPr>
          <w:color w:val="000000"/>
        </w:rPr>
        <w:t>Se recomienda medir en forma continua electrocardiográfica (ECG), tensión arterial y glucemia, especialmente en embarazadas y niños de corta edad. Si se tienen problemas con la obtención de la quinidina, llamar al fabricante (Eli Lilly, 800-821-0538) o the CDC Malaria Hotline (770-488-7788). La quinidina pudiera tener mayor actividad antipalúdica que la quinina. En pacientes que han recibido quinina o mefloquina habrá que disminuir u omitir la primera dosis. Si se necesita más de 48 h de tratamiento parenteral, habrá que disminuir entre 33 a 50% las dosis de quinina o quinidina.</w:t>
      </w:r>
    </w:p>
    <w:p w14:paraId="4F0AC76A" w14:textId="77777777" w:rsidR="00924992" w:rsidRDefault="00924992">
      <w:pPr>
        <w:pStyle w:val="Footnote0"/>
        <w:spacing w:line="252" w:lineRule="auto"/>
        <w:ind w:firstLine="400"/>
        <w:jc w:val="both"/>
      </w:pPr>
      <w:r>
        <w:rPr>
          <w:color w:val="000000"/>
        </w:rPr>
        <w:t xml:space="preserve">Artemether-Quinine Meta-Analysis Study Group, </w:t>
      </w:r>
      <w:r>
        <w:rPr>
          <w:i/>
          <w:iCs/>
          <w:color w:val="000000"/>
        </w:rPr>
        <w:t>Trans R Soc Trop Med Hyg,</w:t>
      </w:r>
      <w:r>
        <w:rPr>
          <w:color w:val="000000"/>
        </w:rPr>
        <w:t xml:space="preserve"> 2001; 95:637. Ya no se obtiene en Estados Unidos.</w:t>
      </w:r>
    </w:p>
  </w:footnote>
  <w:footnote w:id="49">
    <w:p w14:paraId="6B9115E1" w14:textId="77777777" w:rsidR="00924992" w:rsidRDefault="00924992">
      <w:pPr>
        <w:pStyle w:val="Footnote0"/>
        <w:spacing w:line="266" w:lineRule="auto"/>
      </w:pPr>
      <w:r>
        <w:footnoteRef/>
      </w:r>
      <w:r>
        <w:t xml:space="preserve"> Centers for Disease Control and Prevention. Guidelines for preventing opportunistic infections among HIV-infected persons-2002. Recommendations of the US Public Health Service and the Infectious Diseases Society of America. </w:t>
      </w:r>
      <w:r>
        <w:rPr>
          <w:i/>
          <w:iCs/>
        </w:rPr>
        <w:t>MMWR Recomm Rep.</w:t>
      </w:r>
      <w:r>
        <w:t xml:space="preserve"> 2002;51(RR-8):1-46.</w:t>
      </w:r>
    </w:p>
  </w:footnote>
  <w:footnote w:id="50">
    <w:p w14:paraId="380159EA" w14:textId="77777777" w:rsidR="00924992" w:rsidRDefault="00924992">
      <w:pPr>
        <w:pStyle w:val="Footnote0"/>
        <w:numPr>
          <w:ilvl w:val="0"/>
          <w:numId w:val="13"/>
        </w:numPr>
        <w:tabs>
          <w:tab w:val="left" w:pos="77"/>
        </w:tabs>
        <w:spacing w:line="266" w:lineRule="auto"/>
        <w:jc w:val="both"/>
      </w:pPr>
      <w:r>
        <w:t xml:space="preserve">Antimicrobial prophylaxis in surgery. </w:t>
      </w:r>
      <w:r>
        <w:rPr>
          <w:i/>
          <w:iCs/>
        </w:rPr>
        <w:t>Med Lett Drugs Ther.</w:t>
      </w:r>
      <w:r>
        <w:t xml:space="preserve"> 1999;41:75-79</w:t>
      </w:r>
    </w:p>
    <w:p w14:paraId="26E3458B" w14:textId="77777777" w:rsidR="00924992" w:rsidRDefault="00924992">
      <w:pPr>
        <w:pStyle w:val="Footnote0"/>
        <w:spacing w:line="266" w:lineRule="auto"/>
      </w:pPr>
      <w:r>
        <w:rPr>
          <w:sz w:val="8"/>
          <w:szCs w:val="8"/>
          <w:vertAlign w:val="superscript"/>
        </w:rPr>
        <w:t>f</w:t>
      </w:r>
      <w:r>
        <w:rPr>
          <w:sz w:val="8"/>
          <w:szCs w:val="8"/>
        </w:rPr>
        <w:t xml:space="preserve"> </w:t>
      </w:r>
      <w:r>
        <w:t xml:space="preserve">Page CP, Bohnen JM, Fletcher JR, McManus AT, Solomkin JS, Wittmann DH. Antimicrobial prophylaxis for surgical wounds. Guidelines for clinical care [la colección publicada aparece en </w:t>
      </w:r>
      <w:r>
        <w:rPr>
          <w:i/>
          <w:iCs/>
        </w:rPr>
        <w:t>Arch Surg</w:t>
      </w:r>
      <w:r>
        <w:t xml:space="preserve"> 1993;128:410]. </w:t>
      </w:r>
      <w:r>
        <w:rPr>
          <w:i/>
          <w:iCs/>
        </w:rPr>
        <w:t>Arch Surg.</w:t>
      </w:r>
      <w:r>
        <w:t xml:space="preserve"> 1993;128:79-88.</w:t>
      </w:r>
    </w:p>
  </w:footnote>
  <w:footnote w:id="51">
    <w:p w14:paraId="77EFAFAC" w14:textId="77777777" w:rsidR="00924992" w:rsidRDefault="00924992">
      <w:pPr>
        <w:pStyle w:val="Footnote0"/>
        <w:tabs>
          <w:tab w:val="left" w:pos="91"/>
        </w:tabs>
        <w:spacing w:line="266" w:lineRule="auto"/>
      </w:pPr>
      <w:r>
        <w:rPr>
          <w:sz w:val="8"/>
          <w:szCs w:val="8"/>
        </w:rPr>
        <w:footnoteRef/>
      </w:r>
      <w:r>
        <w:rPr>
          <w:sz w:val="8"/>
          <w:szCs w:val="8"/>
        </w:rPr>
        <w:tab/>
      </w:r>
      <w:r>
        <w:t xml:space="preserve">Mangram AJ, Horan TC, Pearson ML, Silver LC, Jarvis WR. Guideline for prevention of surgical site infection, 1999. Hospital Infection Control Practices Advisory Committee. </w:t>
      </w:r>
      <w:r>
        <w:rPr>
          <w:i/>
          <w:iCs/>
        </w:rPr>
        <w:t xml:space="preserve">Infect Control Hosp Epidemiol. </w:t>
      </w:r>
      <w:r>
        <w:t>1999;20:250-278.</w:t>
      </w:r>
    </w:p>
  </w:footnote>
  <w:footnote w:id="52">
    <w:p w14:paraId="413352F2" w14:textId="77777777" w:rsidR="00924992" w:rsidRDefault="00924992">
      <w:pPr>
        <w:pStyle w:val="Footnote0"/>
        <w:spacing w:line="266" w:lineRule="auto"/>
      </w:pPr>
      <w:r>
        <w:footnoteRef/>
      </w:r>
      <w:r>
        <w:t xml:space="preserve"> Culver DH, Horan TC, Gaynes RP, et al. Surgical wound infection rates by wound class, operative procedure, and patient risk index. National Nosocomial Infections Surveillance System. </w:t>
      </w:r>
      <w:r>
        <w:rPr>
          <w:i/>
          <w:iCs/>
        </w:rPr>
        <w:t>Am J Med.</w:t>
      </w:r>
      <w:r>
        <w:t xml:space="preserve"> 1991;91(suppl 3B): 152S-157S.</w:t>
      </w:r>
    </w:p>
  </w:footnote>
  <w:footnote w:id="53">
    <w:p w14:paraId="6901D252" w14:textId="77777777" w:rsidR="00924992" w:rsidRDefault="00924992">
      <w:pPr>
        <w:pStyle w:val="Footnote0"/>
        <w:spacing w:line="266" w:lineRule="auto"/>
      </w:pPr>
      <w:r>
        <w:footnoteRef/>
      </w:r>
      <w:r>
        <w:t xml:space="preserve"> The National Vaccine Advisory Committee. Standards for Pediatric and Adolescent Immunization Practices. </w:t>
      </w:r>
      <w:r>
        <w:rPr>
          <w:i/>
          <w:iCs/>
        </w:rPr>
        <w:t>Pediatrics.</w:t>
      </w:r>
      <w:r>
        <w:t xml:space="preserve"> En prensa.</w:t>
      </w:r>
    </w:p>
  </w:footnote>
  <w:footnote w:id="54">
    <w:p w14:paraId="05EE8DC7" w14:textId="77777777" w:rsidR="00924992" w:rsidRDefault="00924992">
      <w:pPr>
        <w:pStyle w:val="Footnote0"/>
        <w:spacing w:line="266" w:lineRule="auto"/>
      </w:pPr>
      <w:r>
        <w:t>* The National Vaccine Advisory Committee. Standards for Child and Adolescent Immunization Practices. Pediatrics. En prensa.</w:t>
      </w:r>
    </w:p>
  </w:footnote>
  <w:footnote w:id="55">
    <w:p w14:paraId="2BC1B3AE" w14:textId="77777777" w:rsidR="00924992" w:rsidRDefault="00924992">
      <w:pPr>
        <w:pStyle w:val="Footnote0"/>
        <w:spacing w:line="348" w:lineRule="auto"/>
      </w:pPr>
      <w:r>
        <w:rPr>
          <w:sz w:val="8"/>
          <w:szCs w:val="8"/>
          <w:vertAlign w:val="superscript"/>
        </w:rPr>
        <w:footnoteRef/>
      </w:r>
      <w:r>
        <w:rPr>
          <w:sz w:val="8"/>
          <w:szCs w:val="8"/>
        </w:rPr>
        <w:t xml:space="preserve"> </w:t>
      </w:r>
      <w:r>
        <w:t xml:space="preserve">American Academy of Pediatrics, Medical Home Initiatives for Children With Special Needs Project Advisory Committee. The medical home. </w:t>
      </w:r>
      <w:r>
        <w:rPr>
          <w:i/>
          <w:iCs/>
        </w:rPr>
        <w:t>Pediatrics.</w:t>
      </w:r>
      <w:r>
        <w:t xml:space="preserve"> 2002;110:184-186.</w:t>
      </w:r>
    </w:p>
  </w:footnote>
  <w:footnote w:id="56">
    <w:p w14:paraId="4116F061" w14:textId="77777777" w:rsidR="00924992" w:rsidRDefault="00924992">
      <w:pPr>
        <w:pStyle w:val="Footnote0"/>
        <w:ind w:left="240"/>
      </w:pPr>
      <w:r>
        <w:t xml:space="preserve">DTaP, toxoides de difteria y tétanos y tos ferina </w:t>
      </w:r>
      <w:r>
        <w:rPr>
          <w:i/>
          <w:iCs/>
        </w:rPr>
        <w:t>(pertussis)</w:t>
      </w:r>
      <w:r>
        <w:t xml:space="preserve"> acelular (triple) </w:t>
      </w:r>
      <w:r>
        <w:rPr>
          <w:i/>
          <w:iCs/>
        </w:rPr>
        <w:t>(diphtheria and tetanus toxoids and acellular pertussis)',</w:t>
      </w:r>
      <w:r>
        <w:t xml:space="preserve"> DTP, toxoides de difteria y tétanos y tos ferina (triple) </w:t>
      </w:r>
      <w:r>
        <w:rPr>
          <w:i/>
          <w:iCs/>
        </w:rPr>
        <w:t>(diphtheria and tetanus toxoids and pertussis);</w:t>
      </w:r>
      <w:r>
        <w:t xml:space="preserve"> IPV, virus poliomielitico inactivado </w:t>
      </w:r>
      <w:r>
        <w:rPr>
          <w:i/>
          <w:iCs/>
        </w:rPr>
        <w:t>(inactivated poliovirus);</w:t>
      </w:r>
      <w:r>
        <w:t xml:space="preserve"> MMR, contra sarampión- parotiditis-rubéola (triple vírica) </w:t>
      </w:r>
      <w:r>
        <w:rPr>
          <w:i/>
          <w:iCs/>
        </w:rPr>
        <w:t>(measles-mumps-rubella);</w:t>
      </w:r>
      <w:r>
        <w:t xml:space="preserve"> Hib, contra </w:t>
      </w:r>
      <w:r>
        <w:rPr>
          <w:i/>
          <w:iCs/>
        </w:rPr>
        <w:t>Haemophilus influenzae</w:t>
      </w:r>
      <w:r>
        <w:t xml:space="preserve"> de tipo b </w:t>
      </w:r>
      <w:r>
        <w:rPr>
          <w:i/>
          <w:iCs/>
        </w:rPr>
        <w:t>(Haemophilus influenzae type b);</w:t>
      </w:r>
      <w:r>
        <w:t xml:space="preserve"> GBS, sindrome de Guillain-Barré </w:t>
      </w:r>
      <w:r>
        <w:rPr>
          <w:i/>
          <w:iCs/>
        </w:rPr>
        <w:t>(Guillain-Barré, syndrome);</w:t>
      </w:r>
      <w:r>
        <w:t xml:space="preserve"> VIH, virus de inmunodeficiencia humana; PPD, derivado proteínico purificado (tuberculina) </w:t>
      </w:r>
      <w:r>
        <w:rPr>
          <w:i/>
          <w:iCs/>
        </w:rPr>
        <w:t>(purifiedprotein derivative</w:t>
      </w:r>
      <w:r>
        <w:t>).</w:t>
      </w:r>
    </w:p>
  </w:footnote>
  <w:footnote w:id="57">
    <w:p w14:paraId="28108EBC" w14:textId="77777777" w:rsidR="00924992" w:rsidRDefault="00924992">
      <w:pPr>
        <w:pStyle w:val="Footnote0"/>
        <w:tabs>
          <w:tab w:val="left" w:pos="163"/>
        </w:tabs>
        <w:ind w:left="240" w:hanging="240"/>
      </w:pPr>
      <w:r>
        <w:rPr>
          <w:sz w:val="8"/>
          <w:szCs w:val="8"/>
          <w:vertAlign w:val="superscript"/>
        </w:rPr>
        <w:footnoteRef/>
      </w:r>
      <w:r>
        <w:rPr>
          <w:sz w:val="8"/>
          <w:szCs w:val="8"/>
        </w:rPr>
        <w:tab/>
      </w:r>
      <w:r>
        <w:t>Las situaciones o trastornos incluidos dentro de las precauciones, aunque no constituyen contraindicaciones, deben ser analizados con mucho cuidado. Hay que valorar los beneficios y los riesgos de aplicar una vacuna específica a una persona en las circunstancias mencionadas. Si se piensa que los riesgos son mayores que los beneficios será mejor no vacunar, pero si los beneficios rebasan los riesgos (p. ej., durante un brote o un viaje al extranjero) se vacunará al niño. La decisión de aplicar DTaP y el momento para hacerlo en niños con trastornos ocultos del sistema nervioso, corroborados o sospechados, debe tomarse sobre bases individuales.</w:t>
      </w:r>
    </w:p>
  </w:footnote>
  <w:footnote w:id="58">
    <w:p w14:paraId="1E407F71" w14:textId="77777777" w:rsidR="00924992" w:rsidRDefault="00924992">
      <w:pPr>
        <w:pStyle w:val="Footnote0"/>
        <w:tabs>
          <w:tab w:val="left" w:pos="178"/>
        </w:tabs>
        <w:ind w:left="240" w:hanging="240"/>
      </w:pPr>
      <w:r>
        <w:rPr>
          <w:sz w:val="8"/>
          <w:szCs w:val="8"/>
          <w:vertAlign w:val="superscript"/>
        </w:rPr>
        <w:footnoteRef/>
      </w:r>
      <w:r>
        <w:rPr>
          <w:sz w:val="8"/>
          <w:szCs w:val="8"/>
        </w:rPr>
        <w:tab/>
      </w:r>
      <w:r>
        <w:t>Si existe una alergia intensa (anafiláctica) al caucho, será mejor no administrar las vacunas que están dentro de frascos ámpula o jeringuillas que contienen caucho natural, salvo que los beneficios de la vacunación sean mayores que los riesgos de que surja una reacción alérgica a la vacuna. En el caso de alergias a caucho diferentes de las de tipo anafiláctico (como antecedente de alergia por contacto a guantes de caucho), pueden aplicarse las vacunas que se distribuyen en frascos ámpula o jeringuillas que contienen caucho o látex natural seco.</w:t>
      </w:r>
    </w:p>
    <w:p w14:paraId="2B65CDEC" w14:textId="77777777" w:rsidR="00924992" w:rsidRDefault="00924992">
      <w:pPr>
        <w:pStyle w:val="Footnote0"/>
        <w:ind w:left="9620"/>
        <w:rPr>
          <w:sz w:val="16"/>
          <w:szCs w:val="16"/>
        </w:rPr>
      </w:pPr>
      <w:r>
        <w:rPr>
          <w:i/>
          <w:iCs/>
          <w:sz w:val="16"/>
          <w:szCs w:val="16"/>
        </w:rPr>
        <w:t>continúa</w:t>
      </w:r>
    </w:p>
  </w:footnote>
  <w:footnote w:id="59">
    <w:p w14:paraId="7B998F3A" w14:textId="77777777" w:rsidR="00924992" w:rsidRDefault="00924992">
      <w:pPr>
        <w:pStyle w:val="Footnote0"/>
        <w:spacing w:line="266" w:lineRule="auto"/>
      </w:pPr>
      <w:r>
        <w:footnoteRef/>
      </w:r>
      <w:r>
        <w:t xml:space="preserve"> Centers for Disease Control and Prevention. Diagnosis and management of foodborne illnesses: a primer for physicians. MMWR Recomm Rep. 2001;50(RR-2):1-69. Se puede obtener más información en </w:t>
      </w:r>
      <w:hyperlink r:id="rId4" w:history="1">
        <w:r>
          <w:t>www.cdc.gov/foodsafety/</w:t>
        </w:r>
      </w:hyperlink>
      <w:r>
        <w:t xml:space="preserve"> y </w:t>
      </w:r>
      <w:hyperlink r:id="rId5" w:history="1">
        <w:r>
          <w:t>www.nal.usda.gov/foodborne/</w:t>
        </w:r>
      </w:hyperlink>
      <w:r>
        <w:t>.</w:t>
      </w:r>
    </w:p>
  </w:footnote>
  <w:footnote w:id="60">
    <w:p w14:paraId="4D18A2A0" w14:textId="77777777" w:rsidR="00924992" w:rsidRDefault="00924992">
      <w:pPr>
        <w:pStyle w:val="Footnote0"/>
        <w:spacing w:line="266" w:lineRule="auto"/>
      </w:pPr>
      <w:r>
        <w:footnoteRef/>
      </w:r>
      <w:r>
        <w:t xml:space="preserve"> Dajani AS, Taubert KA, Wilson W, et al. Prevention of bacterial endocarditis. Recommendations by the American Heart Association. </w:t>
      </w:r>
      <w:r>
        <w:rPr>
          <w:i/>
          <w:iCs/>
        </w:rPr>
        <w:t>/AMA</w:t>
      </w:r>
      <w:r>
        <w:t>. 1997;277:1794-1801.</w:t>
      </w:r>
    </w:p>
  </w:footnote>
  <w:footnote w:id="61">
    <w:p w14:paraId="4523A606" w14:textId="77777777" w:rsidR="00924992" w:rsidRDefault="00924992">
      <w:pPr>
        <w:pStyle w:val="Footnote0"/>
        <w:spacing w:line="317" w:lineRule="auto"/>
      </w:pPr>
      <w:r>
        <w:rPr>
          <w:sz w:val="8"/>
          <w:szCs w:val="8"/>
        </w:rPr>
        <w:footnoteRef/>
      </w:r>
      <w:r>
        <w:rPr>
          <w:sz w:val="8"/>
          <w:szCs w:val="8"/>
        </w:rPr>
        <w:t xml:space="preserve"> </w:t>
      </w:r>
      <w:r>
        <w:t xml:space="preserve">Si se desea más información, puede solicitarse a FDA Food Information Line al 1-800-FDA-4010 o el US Department of Agriculture al 1-800-535-4555 o 1-202-720-2791 o consultarse las siguientes páginas Web: </w:t>
      </w:r>
      <w:hyperlink r:id="rId6" w:history="1">
        <w:r>
          <w:t>www.usda.gov/</w:t>
        </w:r>
      </w:hyperlink>
      <w:r>
        <w:t xml:space="preserve"> </w:t>
      </w:r>
      <w:r>
        <w:rPr>
          <w:i/>
          <w:iCs/>
        </w:rPr>
        <w:t>y</w:t>
      </w:r>
      <w:r>
        <w:t xml:space="preserve"> </w:t>
      </w:r>
      <w:hyperlink r:id="rId7" w:history="1">
        <w:r>
          <w:t>www.foodsafety.gov/</w:t>
        </w:r>
      </w:hyperlink>
      <w:r>
        <w:t>.</w:t>
      </w:r>
    </w:p>
    <w:p w14:paraId="03A4FC1D" w14:textId="77777777" w:rsidR="00924992" w:rsidRDefault="00924992">
      <w:pPr>
        <w:pStyle w:val="Footnote0"/>
        <w:spacing w:line="266" w:lineRule="auto"/>
      </w:pPr>
      <w:r>
        <w:t xml:space="preserve">t American Academy of </w:t>
      </w:r>
      <w:r>
        <w:rPr>
          <w:i/>
          <w:iCs/>
        </w:rPr>
        <w:t>Pediatrics.</w:t>
      </w:r>
      <w:r>
        <w:t xml:space="preserve"> Committee on Environmental Health. Technical report: irradiation of food. Pediatrics. 2000;106:1505-1510.</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EF6C97" w14:textId="77777777" w:rsidR="00924992" w:rsidRDefault="00924992">
    <w:pPr>
      <w:spacing w:line="1" w:lineRule="exact"/>
    </w:pPr>
    <w:r>
      <w:rPr>
        <w:noProof/>
      </w:rPr>
      <mc:AlternateContent>
        <mc:Choice Requires="wps">
          <w:drawing>
            <wp:anchor distT="0" distB="0" distL="0" distR="0" simplePos="0" relativeHeight="251803648" behindDoc="1" locked="0" layoutInCell="1" allowOverlap="1" wp14:anchorId="2E4B7B2A" wp14:editId="20C0CF27">
              <wp:simplePos x="0" y="0"/>
              <wp:positionH relativeFrom="page">
                <wp:posOffset>557530</wp:posOffset>
              </wp:positionH>
              <wp:positionV relativeFrom="page">
                <wp:posOffset>311150</wp:posOffset>
              </wp:positionV>
              <wp:extent cx="3688080" cy="85090"/>
              <wp:effectExtent l="0" t="0" r="0" b="0"/>
              <wp:wrapNone/>
              <wp:docPr id="1884" name="Shape 1884"/>
              <wp:cNvGraphicFramePr/>
              <a:graphic xmlns:a="http://schemas.openxmlformats.org/drawingml/2006/main">
                <a:graphicData uri="http://schemas.microsoft.com/office/word/2010/wordprocessingShape">
                  <wps:wsp>
                    <wps:cNvSpPr txBox="1"/>
                    <wps:spPr>
                      <a:xfrm>
                        <a:off x="0" y="0"/>
                        <a:ext cx="3688080" cy="85090"/>
                      </a:xfrm>
                      <a:prstGeom prst="rect">
                        <a:avLst/>
                      </a:prstGeom>
                      <a:noFill/>
                    </wps:spPr>
                    <wps:txbx>
                      <w:txbxContent>
                        <w:p w14:paraId="6B68A665" w14:textId="77777777" w:rsidR="00924992" w:rsidRDefault="00924992">
                          <w:pPr>
                            <w:pStyle w:val="Headerorfooter0"/>
                            <w:tabs>
                              <w:tab w:val="right" w:pos="5808"/>
                            </w:tabs>
                          </w:pPr>
                          <w:r>
                            <w:rPr>
                              <w:sz w:val="16"/>
                              <w:szCs w:val="16"/>
                            </w:rPr>
                            <w:t>708</w:t>
                          </w:r>
                          <w:r>
                            <w:rPr>
                              <w:sz w:val="16"/>
                              <w:szCs w:val="16"/>
                            </w:rPr>
                            <w:tab/>
                          </w:r>
                          <w:r>
                            <w:t>VERMES PLANOS, ENFERMEDADES POR (TENIASIS Y CISTICERCOSIS)</w:t>
                          </w:r>
                        </w:p>
                      </w:txbxContent>
                    </wps:txbx>
                    <wps:bodyPr lIns="0" tIns="0" rIns="0" bIns="0">
                      <a:spAutoFit/>
                    </wps:bodyPr>
                  </wps:wsp>
                </a:graphicData>
              </a:graphic>
            </wp:anchor>
          </w:drawing>
        </mc:Choice>
        <mc:Fallback>
          <w:pict>
            <v:shapetype w14:anchorId="2E4B7B2A" id="_x0000_t202" coordsize="21600,21600" o:spt="202" path="m,l,21600r21600,l21600,xe">
              <v:stroke joinstyle="miter"/>
              <v:path gradientshapeok="t" o:connecttype="rect"/>
            </v:shapetype>
            <v:shape id="Shape 1884" o:spid="_x0000_s1166" type="#_x0000_t202" style="position:absolute;margin-left:43.9pt;margin-top:24.5pt;width:290.4pt;height:6.7pt;z-index:-25151283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" filled="f" stroked="f">
              <v:textbox style="mso-fit-shape-to-text:t" inset="0,0,0,0">
                <w:txbxContent>
                  <w:p w14:paraId="6B68A665" w14:textId="77777777" w:rsidR="00924992" w:rsidRDefault="00924992">
                    <w:pPr>
                      <w:pStyle w:val="Headerorfooter0"/>
                      <w:tabs>
                        <w:tab w:val="right" w:pos="5808"/>
                      </w:tabs>
                    </w:pPr>
                    <w:r>
                      <w:rPr>
                        <w:sz w:val="16"/>
                        <w:szCs w:val="16"/>
                      </w:rPr>
                      <w:t>708</w:t>
                    </w:r>
                    <w:r>
                      <w:rPr>
                        <w:sz w:val="16"/>
                        <w:szCs w:val="16"/>
                      </w:rPr>
                      <w:tab/>
                    </w:r>
                    <w:r>
                      <w:t>VERMES PLANOS, ENFERMEDADES POR (TENIASIS Y CISTICERCOSIS)</w:t>
                    </w:r>
                  </w:p>
                </w:txbxContent>
              </v:textbox>
              <w10:wrap anchorx="page" anchory="page"/>
            </v:shape>
          </w:pict>
        </mc:Fallback>
      </mc:AlternateContent>
    </w:r>
    <w:r>
      <w:rPr>
        <w:noProof/>
      </w:rPr>
      <mc:AlternateContent>
        <mc:Choice Requires="wps">
          <w:drawing>
            <wp:anchor distT="0" distB="0" distL="114300" distR="114300" simplePos="0" relativeHeight="251660288" behindDoc="1" locked="0" layoutInCell="1" allowOverlap="1" wp14:anchorId="1FD7DD4B" wp14:editId="37513CB8">
              <wp:simplePos x="0" y="0"/>
              <wp:positionH relativeFrom="page">
                <wp:posOffset>542290</wp:posOffset>
              </wp:positionH>
              <wp:positionV relativeFrom="page">
                <wp:posOffset>419100</wp:posOffset>
              </wp:positionV>
              <wp:extent cx="4358640" cy="0"/>
              <wp:effectExtent l="0" t="0" r="0" b="0"/>
              <wp:wrapNone/>
              <wp:docPr id="1886" name="Shape 1886"/>
              <wp:cNvGraphicFramePr/>
              <a:graphic xmlns:a="http://schemas.openxmlformats.org/drawingml/2006/main">
                <a:graphicData uri="http://schemas.microsoft.com/office/word/2010/wordprocessingShape">
                  <wps:wsp>
                    <wps:cNvCnPr/>
                    <wps:spPr>
                      <a:xfrm>
                        <a:off x="0" y="0"/>
                        <a:ext cx="4358640" cy="0"/>
                      </a:xfrm>
                      <a:prstGeom prst="straightConnector1">
                        <a:avLst/>
                      </a:prstGeom>
                      <a:ln w="12700">
                        <a:solidFill/>
                      </a:ln>
                    </wps:spPr>
                    <wps:bodyPr/>
                  </wps:wsp>
                </a:graphicData>
              </a:graphic>
            </wp:anchor>
          </w:drawing>
        </mc:Choice>
        <mc:Fallback>
          <w:pict>
            <v:shapetype w14:anchorId="562EDDCE" id="_x0000_t32" coordsize="21600,21600" o:spt="32" o:oned="t" path="m,l21600,21600e" filled="f">
              <v:path arrowok="t" fillok="f" o:connecttype="none"/>
              <o:lock v:ext="edit" shapetype="t"/>
            </v:shapetype>
            <v:shape id="Shape 1886" o:spid="_x0000_s1026" type="#_x0000_t32" style="position:absolute;margin-left:42.7pt;margin-top:33pt;width:343.2pt;height:0;z-index:-251656192;visibility:visible;mso-wrap-style:square;mso-wrap-distance-left:9pt;mso-wrap-distance-top:0;mso-wrap-distance-right:9pt;mso-wrap-distance-bottom:0;mso-position-horizontal:absolute;mso-position-horizontal-relative:page;mso-position-vertical:absolute;mso-position-vertical-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" strokeweight="1pt">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CCDA96" w14:textId="77777777" w:rsidR="00924992" w:rsidRDefault="00924992">
    <w:pPr>
      <w:spacing w:line="1" w:lineRule="exact"/>
    </w:pPr>
    <w:r>
      <w:rPr>
        <w:noProof/>
      </w:rPr>
      <mc:AlternateContent>
        <mc:Choice Requires="wps">
          <w:drawing>
            <wp:anchor distT="0" distB="0" distL="0" distR="0" simplePos="0" relativeHeight="251802624" behindDoc="1" locked="0" layoutInCell="1" allowOverlap="1" wp14:anchorId="42933AB5" wp14:editId="253FFFC2">
              <wp:simplePos x="0" y="0"/>
              <wp:positionH relativeFrom="page">
                <wp:posOffset>557530</wp:posOffset>
              </wp:positionH>
              <wp:positionV relativeFrom="page">
                <wp:posOffset>311150</wp:posOffset>
              </wp:positionV>
              <wp:extent cx="3688080" cy="85090"/>
              <wp:effectExtent l="0" t="0" r="0" b="0"/>
              <wp:wrapNone/>
              <wp:docPr id="1881" name="Shape 1881"/>
              <wp:cNvGraphicFramePr/>
              <a:graphic xmlns:a="http://schemas.openxmlformats.org/drawingml/2006/main">
                <a:graphicData uri="http://schemas.microsoft.com/office/word/2010/wordprocessingShape">
                  <wps:wsp>
                    <wps:cNvSpPr txBox="1"/>
                    <wps:spPr>
                      <a:xfrm>
                        <a:off x="0" y="0"/>
                        <a:ext cx="3688080" cy="85090"/>
                      </a:xfrm>
                      <a:prstGeom prst="rect">
                        <a:avLst/>
                      </a:prstGeom>
                      <a:noFill/>
                    </wps:spPr>
                    <wps:txbx>
                      <w:txbxContent>
                        <w:p w14:paraId="113A8964" w14:textId="77777777" w:rsidR="00924992" w:rsidRDefault="00924992">
                          <w:pPr>
                            <w:pStyle w:val="Headerorfooter0"/>
                            <w:tabs>
                              <w:tab w:val="right" w:pos="5808"/>
                            </w:tabs>
                          </w:pPr>
                          <w:r>
                            <w:rPr>
                              <w:sz w:val="16"/>
                              <w:szCs w:val="16"/>
                            </w:rPr>
                            <w:t>708</w:t>
                          </w:r>
                          <w:r>
                            <w:rPr>
                              <w:sz w:val="16"/>
                              <w:szCs w:val="16"/>
                            </w:rPr>
                            <w:tab/>
                          </w:r>
                          <w:r>
                            <w:t>VERMES PLANOS, ENFERMEDADES POR (TENIASIS Y CISTICERCOSIS)</w:t>
                          </w:r>
                        </w:p>
                      </w:txbxContent>
                    </wps:txbx>
                    <wps:bodyPr lIns="0" tIns="0" rIns="0" bIns="0">
                      <a:spAutoFit/>
                    </wps:bodyPr>
                  </wps:wsp>
                </a:graphicData>
              </a:graphic>
            </wp:anchor>
          </w:drawing>
        </mc:Choice>
        <mc:Fallback>
          <w:pict>
            <v:shapetype w14:anchorId="42933AB5" id="_x0000_t202" coordsize="21600,21600" o:spt="202" path="m,l,21600r21600,l21600,xe">
              <v:stroke joinstyle="miter"/>
              <v:path gradientshapeok="t" o:connecttype="rect"/>
            </v:shapetype>
            <v:shape id="Shape 1881" o:spid="_x0000_s1167" type="#_x0000_t202" style="position:absolute;margin-left:43.9pt;margin-top:24.5pt;width:290.4pt;height:6.7pt;z-index:-25151385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" filled="f" stroked="f">
              <v:textbox style="mso-fit-shape-to-text:t" inset="0,0,0,0">
                <w:txbxContent>
                  <w:p w14:paraId="113A8964" w14:textId="77777777" w:rsidR="00924992" w:rsidRDefault="00924992">
                    <w:pPr>
                      <w:pStyle w:val="Headerorfooter0"/>
                      <w:tabs>
                        <w:tab w:val="right" w:pos="5808"/>
                      </w:tabs>
                    </w:pPr>
                    <w:r>
                      <w:rPr>
                        <w:sz w:val="16"/>
                        <w:szCs w:val="16"/>
                      </w:rPr>
                      <w:t>708</w:t>
                    </w:r>
                    <w:r>
                      <w:rPr>
                        <w:sz w:val="16"/>
                        <w:szCs w:val="16"/>
                      </w:rPr>
                      <w:tab/>
                    </w:r>
                    <w:r>
                      <w:t>VERMES PLANOS, ENFERMEDADES POR (TENIASIS Y CISTICERCOSIS)</w:t>
                    </w:r>
                  </w:p>
                </w:txbxContent>
              </v:textbox>
              <w10:wrap anchorx="page" anchory="page"/>
            </v:shape>
          </w:pict>
        </mc:Fallback>
      </mc:AlternateContent>
    </w:r>
    <w:r>
      <w:rPr>
        <w:noProof/>
      </w:rPr>
      <mc:AlternateContent>
        <mc:Choice Requires="wps">
          <w:drawing>
            <wp:anchor distT="0" distB="0" distL="114300" distR="114300" simplePos="0" relativeHeight="251659264" behindDoc="1" locked="0" layoutInCell="1" allowOverlap="1" wp14:anchorId="23436C53" wp14:editId="6C9F847E">
              <wp:simplePos x="0" y="0"/>
              <wp:positionH relativeFrom="page">
                <wp:posOffset>542290</wp:posOffset>
              </wp:positionH>
              <wp:positionV relativeFrom="page">
                <wp:posOffset>419100</wp:posOffset>
              </wp:positionV>
              <wp:extent cx="4358640" cy="0"/>
              <wp:effectExtent l="0" t="0" r="0" b="0"/>
              <wp:wrapNone/>
              <wp:docPr id="1883" name="Shape 1883"/>
              <wp:cNvGraphicFramePr/>
              <a:graphic xmlns:a="http://schemas.openxmlformats.org/drawingml/2006/main">
                <a:graphicData uri="http://schemas.microsoft.com/office/word/2010/wordprocessingShape">
                  <wps:wsp>
                    <wps:cNvCnPr/>
                    <wps:spPr>
                      <a:xfrm>
                        <a:off x="0" y="0"/>
                        <a:ext cx="4358640" cy="0"/>
                      </a:xfrm>
                      <a:prstGeom prst="straightConnector1">
                        <a:avLst/>
                      </a:prstGeom>
                      <a:ln w="12700">
                        <a:solidFill/>
                      </a:ln>
                    </wps:spPr>
                    <wps:bodyPr/>
                  </wps:wsp>
                </a:graphicData>
              </a:graphic>
            </wp:anchor>
          </w:drawing>
        </mc:Choice>
        <mc:Fallback>
          <w:pict>
            <v:shapetype w14:anchorId="1CB9DF88" id="_x0000_t32" coordsize="21600,21600" o:spt="32" o:oned="t" path="m,l21600,21600e" filled="f">
              <v:path arrowok="t" fillok="f" o:connecttype="none"/>
              <o:lock v:ext="edit" shapetype="t"/>
            </v:shapetype>
            <v:shape id="Shape 1883" o:spid="_x0000_s1026" type="#_x0000_t32" style="position:absolute;margin-left:42.7pt;margin-top:33pt;width:343.2pt;height:0;z-index:-251657216;visibility:visible;mso-wrap-style:square;mso-wrap-distance-left:9pt;mso-wrap-distance-top:0;mso-wrap-distance-right:9pt;mso-wrap-distance-bottom:0;mso-position-horizontal:absolute;mso-position-horizontal-relative:page;mso-position-vertical:absolute;mso-position-vertical-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" strokeweight="1pt">
              <w10:wrap anchorx="page" anchory="page"/>
            </v:shap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6744CF" w14:textId="77777777" w:rsidR="00924992" w:rsidRDefault="00924992">
    <w:pPr>
      <w:spacing w:line="1" w:lineRule="exact"/>
    </w:pPr>
    <w:r>
      <w:rPr>
        <w:noProof/>
      </w:rPr>
      <mc:AlternateContent>
        <mc:Choice Requires="wps">
          <w:drawing>
            <wp:anchor distT="0" distB="0" distL="0" distR="0" simplePos="0" relativeHeight="251804672" behindDoc="1" locked="0" layoutInCell="1" allowOverlap="1" wp14:anchorId="3EAAB588" wp14:editId="360301A4">
              <wp:simplePos x="0" y="0"/>
              <wp:positionH relativeFrom="page">
                <wp:posOffset>1199515</wp:posOffset>
              </wp:positionH>
              <wp:positionV relativeFrom="page">
                <wp:posOffset>311150</wp:posOffset>
              </wp:positionV>
              <wp:extent cx="3684905" cy="85090"/>
              <wp:effectExtent l="0" t="0" r="0" b="0"/>
              <wp:wrapNone/>
              <wp:docPr id="1887" name="Shape 1887"/>
              <wp:cNvGraphicFramePr/>
              <a:graphic xmlns:a="http://schemas.openxmlformats.org/drawingml/2006/main">
                <a:graphicData uri="http://schemas.microsoft.com/office/word/2010/wordprocessingShape">
                  <wps:wsp>
                    <wps:cNvSpPr txBox="1"/>
                    <wps:spPr>
                      <a:xfrm>
                        <a:off x="0" y="0"/>
                        <a:ext cx="3684905" cy="85090"/>
                      </a:xfrm>
                      <a:prstGeom prst="rect">
                        <a:avLst/>
                      </a:prstGeom>
                      <a:noFill/>
                    </wps:spPr>
                    <wps:txbx>
                      <w:txbxContent>
                        <w:p w14:paraId="04EFF8C8" w14:textId="77777777" w:rsidR="00924992" w:rsidRDefault="00924992">
                          <w:pPr>
                            <w:pStyle w:val="Headerorfooter0"/>
                            <w:tabs>
                              <w:tab w:val="right" w:pos="5803"/>
                            </w:tabs>
                            <w:rPr>
                              <w:sz w:val="16"/>
                              <w:szCs w:val="16"/>
                            </w:rPr>
                          </w:pPr>
                          <w:r>
                            <w:t>VERMES PLANOS, ENFERMEDADES POR (TENIASIS Y CISTICERCOSIS)</w:t>
                          </w:r>
                          <w:r>
                            <w:tab/>
                          </w:r>
                          <w:r>
                            <w:rPr>
                              <w:sz w:val="16"/>
                              <w:szCs w:val="16"/>
                            </w:rPr>
                            <w:t>707</w:t>
                          </w:r>
                        </w:p>
                      </w:txbxContent>
                    </wps:txbx>
                    <wps:bodyPr lIns="0" tIns="0" rIns="0" bIns="0">
                      <a:spAutoFit/>
                    </wps:bodyPr>
                  </wps:wsp>
                </a:graphicData>
              </a:graphic>
            </wp:anchor>
          </w:drawing>
        </mc:Choice>
        <mc:Fallback>
          <w:pict>
            <v:shapetype w14:anchorId="3EAAB588" id="_x0000_t202" coordsize="21600,21600" o:spt="202" path="m,l,21600r21600,l21600,xe">
              <v:stroke joinstyle="miter"/>
              <v:path gradientshapeok="t" o:connecttype="rect"/>
            </v:shapetype>
            <v:shape id="Shape 1887" o:spid="_x0000_s1168" type="#_x0000_t202" style="position:absolute;margin-left:94.45pt;margin-top:24.5pt;width:290.15pt;height:6.7pt;z-index:-25151180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" filled="f" stroked="f">
              <v:textbox style="mso-fit-shape-to-text:t" inset="0,0,0,0">
                <w:txbxContent>
                  <w:p w14:paraId="04EFF8C8" w14:textId="77777777" w:rsidR="00924992" w:rsidRDefault="00924992">
                    <w:pPr>
                      <w:pStyle w:val="Headerorfooter0"/>
                      <w:tabs>
                        <w:tab w:val="right" w:pos="5803"/>
                      </w:tabs>
                      <w:rPr>
                        <w:sz w:val="16"/>
                        <w:szCs w:val="16"/>
                      </w:rPr>
                    </w:pPr>
                    <w:r>
                      <w:t>VERMES PLANOS, ENFERMEDADES POR (TENIASIS Y CISTICERCOSIS)</w:t>
                    </w:r>
                    <w:r>
                      <w:tab/>
                    </w:r>
                    <w:r>
                      <w:rPr>
                        <w:sz w:val="16"/>
                        <w:szCs w:val="16"/>
                      </w:rPr>
                      <w:t>707</w:t>
                    </w:r>
                  </w:p>
                </w:txbxContent>
              </v:textbox>
              <w10:wrap anchorx="page" anchory="page"/>
            </v:shape>
          </w:pict>
        </mc:Fallback>
      </mc:AlternateContent>
    </w:r>
    <w:r>
      <w:rPr>
        <w:noProof/>
      </w:rPr>
      <mc:AlternateContent>
        <mc:Choice Requires="wps">
          <w:drawing>
            <wp:anchor distT="0" distB="0" distL="114300" distR="114300" simplePos="0" relativeHeight="251661312" behindDoc="1" locked="0" layoutInCell="1" allowOverlap="1" wp14:anchorId="2C62C540" wp14:editId="6435E577">
              <wp:simplePos x="0" y="0"/>
              <wp:positionH relativeFrom="page">
                <wp:posOffset>547370</wp:posOffset>
              </wp:positionH>
              <wp:positionV relativeFrom="page">
                <wp:posOffset>419100</wp:posOffset>
              </wp:positionV>
              <wp:extent cx="4358640" cy="0"/>
              <wp:effectExtent l="0" t="0" r="0" b="0"/>
              <wp:wrapNone/>
              <wp:docPr id="1889" name="Shape 1889"/>
              <wp:cNvGraphicFramePr/>
              <a:graphic xmlns:a="http://schemas.openxmlformats.org/drawingml/2006/main">
                <a:graphicData uri="http://schemas.microsoft.com/office/word/2010/wordprocessingShape">
                  <wps:wsp>
                    <wps:cNvCnPr/>
                    <wps:spPr>
                      <a:xfrm>
                        <a:off x="0" y="0"/>
                        <a:ext cx="4358640" cy="0"/>
                      </a:xfrm>
                      <a:prstGeom prst="straightConnector1">
                        <a:avLst/>
                      </a:prstGeom>
                      <a:ln w="12700">
                        <a:solidFill/>
                      </a:ln>
                    </wps:spPr>
                    <wps:bodyPr/>
                  </wps:wsp>
                </a:graphicData>
              </a:graphic>
            </wp:anchor>
          </w:drawing>
        </mc:Choice>
        <mc:Fallback>
          <w:pict>
            <v:shapetype w14:anchorId="5515025F" id="_x0000_t32" coordsize="21600,21600" o:spt="32" o:oned="t" path="m,l21600,21600e" filled="f">
              <v:path arrowok="t" fillok="f" o:connecttype="none"/>
              <o:lock v:ext="edit" shapetype="t"/>
            </v:shapetype>
            <v:shape id="Shape 1889" o:spid="_x0000_s1026" type="#_x0000_t32" style="position:absolute;margin-left:43.1pt;margin-top:33pt;width:343.2pt;height:0;z-index:-251655168;visibility:visible;mso-wrap-style:square;mso-wrap-distance-left:9pt;mso-wrap-distance-top:0;mso-wrap-distance-right:9pt;mso-wrap-distance-bottom:0;mso-position-horizontal:absolute;mso-position-horizontal-relative:page;mso-position-vertical:absolute;mso-position-vertical-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" strokeweight="1pt">
              <w10:wrap anchorx="page" anchory="page"/>
            </v:shape>
          </w:pict>
        </mc:Fallback>
      </mc:AlternateConten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21BBCB" w14:textId="77777777" w:rsidR="00924992" w:rsidRDefault="00924992">
    <w:pPr>
      <w:spacing w:line="1" w:lineRule="exact"/>
    </w:pPr>
    <w:r>
      <w:rPr>
        <w:noProof/>
      </w:rPr>
      <mc:AlternateContent>
        <mc:Choice Requires="wps">
          <w:drawing>
            <wp:anchor distT="0" distB="0" distL="0" distR="0" simplePos="0" relativeHeight="251806720" behindDoc="1" locked="0" layoutInCell="1" allowOverlap="1" wp14:anchorId="02B0EF6F" wp14:editId="58DE29B3">
              <wp:simplePos x="0" y="0"/>
              <wp:positionH relativeFrom="page">
                <wp:posOffset>1667510</wp:posOffset>
              </wp:positionH>
              <wp:positionV relativeFrom="page">
                <wp:posOffset>311150</wp:posOffset>
              </wp:positionV>
              <wp:extent cx="3209290" cy="79375"/>
              <wp:effectExtent l="0" t="0" r="0" b="0"/>
              <wp:wrapNone/>
              <wp:docPr id="1893" name="Shape 1893"/>
              <wp:cNvGraphicFramePr/>
              <a:graphic xmlns:a="http://schemas.openxmlformats.org/drawingml/2006/main">
                <a:graphicData uri="http://schemas.microsoft.com/office/word/2010/wordprocessingShape">
                  <wps:wsp>
                    <wps:cNvSpPr txBox="1"/>
                    <wps:spPr>
                      <a:xfrm>
                        <a:off x="0" y="0"/>
                        <a:ext cx="3209290" cy="79375"/>
                      </a:xfrm>
                      <a:prstGeom prst="rect">
                        <a:avLst/>
                      </a:prstGeom>
                      <a:noFill/>
                    </wps:spPr>
                    <wps:txbx>
                      <w:txbxContent>
                        <w:p w14:paraId="5EED1CEE" w14:textId="77777777" w:rsidR="00924992" w:rsidRDefault="00924992">
                          <w:pPr>
                            <w:pStyle w:val="Headerorfooter0"/>
                            <w:tabs>
                              <w:tab w:val="right" w:pos="5054"/>
                            </w:tabs>
                            <w:rPr>
                              <w:sz w:val="16"/>
                              <w:szCs w:val="16"/>
                            </w:rPr>
                          </w:pPr>
                          <w:r>
                            <w:t>VERMES PLANOS, ENFERMEDADES POR OTROS</w:t>
                          </w:r>
                          <w:r>
                            <w:tab/>
                          </w:r>
                          <w:r>
                            <w:rPr>
                              <w:sz w:val="16"/>
                              <w:szCs w:val="16"/>
                            </w:rPr>
                            <w:t>709</w:t>
                          </w:r>
                        </w:p>
                      </w:txbxContent>
                    </wps:txbx>
                    <wps:bodyPr lIns="0" tIns="0" rIns="0" bIns="0">
                      <a:spAutoFit/>
                    </wps:bodyPr>
                  </wps:wsp>
                </a:graphicData>
              </a:graphic>
            </wp:anchor>
          </w:drawing>
        </mc:Choice>
        <mc:Fallback>
          <w:pict>
            <v:shapetype w14:anchorId="02B0EF6F" id="_x0000_t202" coordsize="21600,21600" o:spt="202" path="m,l,21600r21600,l21600,xe">
              <v:stroke joinstyle="miter"/>
              <v:path gradientshapeok="t" o:connecttype="rect"/>
            </v:shapetype>
            <v:shape id="Shape 1893" o:spid="_x0000_s1169" type="#_x0000_t202" style="position:absolute;margin-left:131.3pt;margin-top:24.5pt;width:252.7pt;height:6.25pt;z-index:-25150976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" filled="f" stroked="f">
              <v:textbox style="mso-fit-shape-to-text:t" inset="0,0,0,0">
                <w:txbxContent>
                  <w:p w14:paraId="5EED1CEE" w14:textId="77777777" w:rsidR="00924992" w:rsidRDefault="00924992">
                    <w:pPr>
                      <w:pStyle w:val="Headerorfooter0"/>
                      <w:tabs>
                        <w:tab w:val="right" w:pos="5054"/>
                      </w:tabs>
                      <w:rPr>
                        <w:sz w:val="16"/>
                        <w:szCs w:val="16"/>
                      </w:rPr>
                    </w:pPr>
                    <w:r>
                      <w:t>VERMES PLANOS, ENFERMEDADES POR OTROS</w:t>
                    </w:r>
                    <w:r>
                      <w:tab/>
                    </w:r>
                    <w:r>
                      <w:rPr>
                        <w:sz w:val="16"/>
                        <w:szCs w:val="16"/>
                      </w:rPr>
                      <w:t>709</w:t>
                    </w:r>
                  </w:p>
                </w:txbxContent>
              </v:textbox>
              <w10:wrap anchorx="page" anchory="page"/>
            </v:shape>
          </w:pict>
        </mc:Fallback>
      </mc:AlternateContent>
    </w:r>
    <w:r>
      <w:rPr>
        <w:noProof/>
      </w:rPr>
      <mc:AlternateContent>
        <mc:Choice Requires="wps">
          <w:drawing>
            <wp:anchor distT="0" distB="0" distL="114300" distR="114300" simplePos="0" relativeHeight="251663360" behindDoc="1" locked="0" layoutInCell="1" allowOverlap="1" wp14:anchorId="5DF29098" wp14:editId="3DA1FC86">
              <wp:simplePos x="0" y="0"/>
              <wp:positionH relativeFrom="page">
                <wp:posOffset>539750</wp:posOffset>
              </wp:positionH>
              <wp:positionV relativeFrom="page">
                <wp:posOffset>419100</wp:posOffset>
              </wp:positionV>
              <wp:extent cx="4358640" cy="0"/>
              <wp:effectExtent l="0" t="0" r="0" b="0"/>
              <wp:wrapNone/>
              <wp:docPr id="1895" name="Shape 1895"/>
              <wp:cNvGraphicFramePr/>
              <a:graphic xmlns:a="http://schemas.openxmlformats.org/drawingml/2006/main">
                <a:graphicData uri="http://schemas.microsoft.com/office/word/2010/wordprocessingShape">
                  <wps:wsp>
                    <wps:cNvCnPr/>
                    <wps:spPr>
                      <a:xfrm>
                        <a:off x="0" y="0"/>
                        <a:ext cx="4358640" cy="0"/>
                      </a:xfrm>
                      <a:prstGeom prst="straightConnector1">
                        <a:avLst/>
                      </a:prstGeom>
                      <a:ln w="12700">
                        <a:solidFill/>
                      </a:ln>
                    </wps:spPr>
                    <wps:bodyPr/>
                  </wps:wsp>
                </a:graphicData>
              </a:graphic>
            </wp:anchor>
          </w:drawing>
        </mc:Choice>
        <mc:Fallback>
          <w:pict>
            <v:shapetype w14:anchorId="61717A41" id="_x0000_t32" coordsize="21600,21600" o:spt="32" o:oned="t" path="m,l21600,21600e" filled="f">
              <v:path arrowok="t" fillok="f" o:connecttype="none"/>
              <o:lock v:ext="edit" shapetype="t"/>
            </v:shapetype>
            <v:shape id="Shape 1895" o:spid="_x0000_s1026" type="#_x0000_t32" style="position:absolute;margin-left:42.5pt;margin-top:33pt;width:343.2pt;height:0;z-index:-251653120;visibility:visible;mso-wrap-style:square;mso-wrap-distance-left:9pt;mso-wrap-distance-top:0;mso-wrap-distance-right:9pt;mso-wrap-distance-bottom:0;mso-position-horizontal:absolute;mso-position-horizontal-relative:page;mso-position-vertical:absolute;mso-position-vertical-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" strokeweight="1pt">
              <w10:wrap anchorx="page" anchory="page"/>
            </v:shape>
          </w:pict>
        </mc:Fallback>
      </mc:AlternateConten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57162F" w14:textId="77777777" w:rsidR="00924992" w:rsidRDefault="00924992">
    <w:pPr>
      <w:spacing w:line="1" w:lineRule="exact"/>
    </w:pPr>
    <w:r>
      <w:rPr>
        <w:noProof/>
      </w:rPr>
      <mc:AlternateContent>
        <mc:Choice Requires="wps">
          <w:drawing>
            <wp:anchor distT="0" distB="0" distL="0" distR="0" simplePos="0" relativeHeight="251805696" behindDoc="1" locked="0" layoutInCell="1" allowOverlap="1" wp14:anchorId="0A616A56" wp14:editId="56392DEC">
              <wp:simplePos x="0" y="0"/>
              <wp:positionH relativeFrom="page">
                <wp:posOffset>1667510</wp:posOffset>
              </wp:positionH>
              <wp:positionV relativeFrom="page">
                <wp:posOffset>311150</wp:posOffset>
              </wp:positionV>
              <wp:extent cx="3209290" cy="79375"/>
              <wp:effectExtent l="0" t="0" r="0" b="0"/>
              <wp:wrapNone/>
              <wp:docPr id="1890" name="Shape 1890"/>
              <wp:cNvGraphicFramePr/>
              <a:graphic xmlns:a="http://schemas.openxmlformats.org/drawingml/2006/main">
                <a:graphicData uri="http://schemas.microsoft.com/office/word/2010/wordprocessingShape">
                  <wps:wsp>
                    <wps:cNvSpPr txBox="1"/>
                    <wps:spPr>
                      <a:xfrm>
                        <a:off x="0" y="0"/>
                        <a:ext cx="3209290" cy="79375"/>
                      </a:xfrm>
                      <a:prstGeom prst="rect">
                        <a:avLst/>
                      </a:prstGeom>
                      <a:noFill/>
                    </wps:spPr>
                    <wps:txbx>
                      <w:txbxContent>
                        <w:p w14:paraId="2CF5BFCE" w14:textId="77777777" w:rsidR="00924992" w:rsidRDefault="00924992">
                          <w:pPr>
                            <w:pStyle w:val="Headerorfooter0"/>
                            <w:tabs>
                              <w:tab w:val="right" w:pos="5054"/>
                            </w:tabs>
                            <w:rPr>
                              <w:sz w:val="16"/>
                              <w:szCs w:val="16"/>
                            </w:rPr>
                          </w:pPr>
                          <w:r>
                            <w:t>VERMES PLANOS, ENFERMEDADES POR OTROS</w:t>
                          </w:r>
                          <w:r>
                            <w:tab/>
                          </w:r>
                          <w:r>
                            <w:rPr>
                              <w:sz w:val="16"/>
                              <w:szCs w:val="16"/>
                            </w:rPr>
                            <w:t>709</w:t>
                          </w:r>
                        </w:p>
                      </w:txbxContent>
                    </wps:txbx>
                    <wps:bodyPr lIns="0" tIns="0" rIns="0" bIns="0">
                      <a:spAutoFit/>
                    </wps:bodyPr>
                  </wps:wsp>
                </a:graphicData>
              </a:graphic>
            </wp:anchor>
          </w:drawing>
        </mc:Choice>
        <mc:Fallback>
          <w:pict>
            <v:shapetype w14:anchorId="0A616A56" id="_x0000_t202" coordsize="21600,21600" o:spt="202" path="m,l,21600r21600,l21600,xe">
              <v:stroke joinstyle="miter"/>
              <v:path gradientshapeok="t" o:connecttype="rect"/>
            </v:shapetype>
            <v:shape id="Shape 1890" o:spid="_x0000_s1170" type="#_x0000_t202" style="position:absolute;margin-left:131.3pt;margin-top:24.5pt;width:252.7pt;height:6.25pt;z-index:-25151078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" filled="f" stroked="f">
              <v:textbox style="mso-fit-shape-to-text:t" inset="0,0,0,0">
                <w:txbxContent>
                  <w:p w14:paraId="2CF5BFCE" w14:textId="77777777" w:rsidR="00924992" w:rsidRDefault="00924992">
                    <w:pPr>
                      <w:pStyle w:val="Headerorfooter0"/>
                      <w:tabs>
                        <w:tab w:val="right" w:pos="5054"/>
                      </w:tabs>
                      <w:rPr>
                        <w:sz w:val="16"/>
                        <w:szCs w:val="16"/>
                      </w:rPr>
                    </w:pPr>
                    <w:r>
                      <w:t>VERMES PLANOS, ENFERMEDADES POR OTROS</w:t>
                    </w:r>
                    <w:r>
                      <w:tab/>
                    </w:r>
                    <w:r>
                      <w:rPr>
                        <w:sz w:val="16"/>
                        <w:szCs w:val="16"/>
                      </w:rPr>
                      <w:t>709</w:t>
                    </w:r>
                  </w:p>
                </w:txbxContent>
              </v:textbox>
              <w10:wrap anchorx="page" anchory="page"/>
            </v:shape>
          </w:pict>
        </mc:Fallback>
      </mc:AlternateContent>
    </w:r>
    <w:r>
      <w:rPr>
        <w:noProof/>
      </w:rPr>
      <mc:AlternateContent>
        <mc:Choice Requires="wps">
          <w:drawing>
            <wp:anchor distT="0" distB="0" distL="114300" distR="114300" simplePos="0" relativeHeight="251662336" behindDoc="1" locked="0" layoutInCell="1" allowOverlap="1" wp14:anchorId="6AA397EA" wp14:editId="2107DC67">
              <wp:simplePos x="0" y="0"/>
              <wp:positionH relativeFrom="page">
                <wp:posOffset>539750</wp:posOffset>
              </wp:positionH>
              <wp:positionV relativeFrom="page">
                <wp:posOffset>419100</wp:posOffset>
              </wp:positionV>
              <wp:extent cx="4358640" cy="0"/>
              <wp:effectExtent l="0" t="0" r="0" b="0"/>
              <wp:wrapNone/>
              <wp:docPr id="1892" name="Shape 1892"/>
              <wp:cNvGraphicFramePr/>
              <a:graphic xmlns:a="http://schemas.openxmlformats.org/drawingml/2006/main">
                <a:graphicData uri="http://schemas.microsoft.com/office/word/2010/wordprocessingShape">
                  <wps:wsp>
                    <wps:cNvCnPr/>
                    <wps:spPr>
                      <a:xfrm>
                        <a:off x="0" y="0"/>
                        <a:ext cx="4358640" cy="0"/>
                      </a:xfrm>
                      <a:prstGeom prst="straightConnector1">
                        <a:avLst/>
                      </a:prstGeom>
                      <a:ln w="12700">
                        <a:solidFill/>
                      </a:ln>
                    </wps:spPr>
                    <wps:bodyPr/>
                  </wps:wsp>
                </a:graphicData>
              </a:graphic>
            </wp:anchor>
          </w:drawing>
        </mc:Choice>
        <mc:Fallback>
          <w:pict>
            <v:shapetype w14:anchorId="58B1E3DE" id="_x0000_t32" coordsize="21600,21600" o:spt="32" o:oned="t" path="m,l21600,21600e" filled="f">
              <v:path arrowok="t" fillok="f" o:connecttype="none"/>
              <o:lock v:ext="edit" shapetype="t"/>
            </v:shapetype>
            <v:shape id="Shape 1892" o:spid="_x0000_s1026" type="#_x0000_t32" style="position:absolute;margin-left:42.5pt;margin-top:33pt;width:343.2pt;height:0;z-index:-251654144;visibility:visible;mso-wrap-style:square;mso-wrap-distance-left:9pt;mso-wrap-distance-top:0;mso-wrap-distance-right:9pt;mso-wrap-distance-bottom:0;mso-position-horizontal:absolute;mso-position-horizontal-relative:page;mso-position-vertical:absolute;mso-position-vertical-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" strokeweight="1pt">
              <w10:wrap anchorx="page" anchory="page"/>
            </v:shape>
          </w:pict>
        </mc:Fallback>
      </mc:AlternateConten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E157E4" w14:textId="77777777" w:rsidR="00924992" w:rsidRDefault="00924992">
    <w:pPr>
      <w:spacing w:line="1" w:lineRule="exact"/>
    </w:pPr>
    <w:r>
      <w:rPr>
        <w:noProof/>
      </w:rPr>
      <mc:AlternateContent>
        <mc:Choice Requires="wps">
          <w:drawing>
            <wp:anchor distT="0" distB="0" distL="0" distR="0" simplePos="0" relativeHeight="251808768" behindDoc="1" locked="0" layoutInCell="1" allowOverlap="1" wp14:anchorId="459F2094" wp14:editId="04B19A59">
              <wp:simplePos x="0" y="0"/>
              <wp:positionH relativeFrom="page">
                <wp:posOffset>2156460</wp:posOffset>
              </wp:positionH>
              <wp:positionV relativeFrom="page">
                <wp:posOffset>311150</wp:posOffset>
              </wp:positionV>
              <wp:extent cx="2712720" cy="79375"/>
              <wp:effectExtent l="0" t="0" r="0" b="0"/>
              <wp:wrapNone/>
              <wp:docPr id="1899" name="Shape 1899"/>
              <wp:cNvGraphicFramePr/>
              <a:graphic xmlns:a="http://schemas.openxmlformats.org/drawingml/2006/main">
                <a:graphicData uri="http://schemas.microsoft.com/office/word/2010/wordprocessingShape">
                  <wps:wsp>
                    <wps:cNvSpPr txBox="1"/>
                    <wps:spPr>
                      <a:xfrm>
                        <a:off x="0" y="0"/>
                        <a:ext cx="2712720" cy="79375"/>
                      </a:xfrm>
                      <a:prstGeom prst="rect">
                        <a:avLst/>
                      </a:prstGeom>
                      <a:noFill/>
                    </wps:spPr>
                    <wps:txbx>
                      <w:txbxContent>
                        <w:p w14:paraId="30D909D8" w14:textId="77777777" w:rsidR="00924992" w:rsidRDefault="00924992">
                          <w:pPr>
                            <w:pStyle w:val="Headerorfooter0"/>
                            <w:tabs>
                              <w:tab w:val="right" w:pos="4272"/>
                            </w:tabs>
                            <w:rPr>
                              <w:sz w:val="16"/>
                              <w:szCs w:val="16"/>
                            </w:rPr>
                          </w:pPr>
                          <w:r>
                            <w:t>VIBRIONES, INFECCIONES</w:t>
                          </w:r>
                          <w:r>
                            <w:tab/>
                          </w:r>
                          <w:r>
                            <w:rPr>
                              <w:sz w:val="16"/>
                              <w:szCs w:val="16"/>
                            </w:rPr>
                            <w:t>711</w:t>
                          </w:r>
                        </w:p>
                      </w:txbxContent>
                    </wps:txbx>
                    <wps:bodyPr lIns="0" tIns="0" rIns="0" bIns="0">
                      <a:spAutoFit/>
                    </wps:bodyPr>
                  </wps:wsp>
                </a:graphicData>
              </a:graphic>
            </wp:anchor>
          </w:drawing>
        </mc:Choice>
        <mc:Fallback>
          <w:pict>
            <v:shapetype w14:anchorId="459F2094" id="_x0000_t202" coordsize="21600,21600" o:spt="202" path="m,l,21600r21600,l21600,xe">
              <v:stroke joinstyle="miter"/>
              <v:path gradientshapeok="t" o:connecttype="rect"/>
            </v:shapetype>
            <v:shape id="Shape 1899" o:spid="_x0000_s1171" type="#_x0000_t202" style="position:absolute;margin-left:169.8pt;margin-top:24.5pt;width:213.6pt;height:6.25pt;z-index:-25150771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" filled="f" stroked="f">
              <v:textbox style="mso-fit-shape-to-text:t" inset="0,0,0,0">
                <w:txbxContent>
                  <w:p w14:paraId="30D909D8" w14:textId="77777777" w:rsidR="00924992" w:rsidRDefault="00924992">
                    <w:pPr>
                      <w:pStyle w:val="Headerorfooter0"/>
                      <w:tabs>
                        <w:tab w:val="right" w:pos="4272"/>
                      </w:tabs>
                      <w:rPr>
                        <w:sz w:val="16"/>
                        <w:szCs w:val="16"/>
                      </w:rPr>
                    </w:pPr>
                    <w:r>
                      <w:t>VIBRIONES, INFECCIONES</w:t>
                    </w:r>
                    <w:r>
                      <w:tab/>
                    </w:r>
                    <w:r>
                      <w:rPr>
                        <w:sz w:val="16"/>
                        <w:szCs w:val="16"/>
                      </w:rPr>
                      <w:t>711</w:t>
                    </w:r>
                  </w:p>
                </w:txbxContent>
              </v:textbox>
              <w10:wrap anchorx="page" anchory="page"/>
            </v:shape>
          </w:pict>
        </mc:Fallback>
      </mc:AlternateContent>
    </w:r>
    <w:r>
      <w:rPr>
        <w:noProof/>
      </w:rPr>
      <mc:AlternateContent>
        <mc:Choice Requires="wps">
          <w:drawing>
            <wp:anchor distT="0" distB="0" distL="114300" distR="114300" simplePos="0" relativeHeight="251665408" behindDoc="1" locked="0" layoutInCell="1" allowOverlap="1" wp14:anchorId="2C7AEDDF" wp14:editId="03045DEE">
              <wp:simplePos x="0" y="0"/>
              <wp:positionH relativeFrom="page">
                <wp:posOffset>547370</wp:posOffset>
              </wp:positionH>
              <wp:positionV relativeFrom="page">
                <wp:posOffset>419100</wp:posOffset>
              </wp:positionV>
              <wp:extent cx="4358640" cy="0"/>
              <wp:effectExtent l="0" t="0" r="0" b="0"/>
              <wp:wrapNone/>
              <wp:docPr id="1901" name="Shape 1901"/>
              <wp:cNvGraphicFramePr/>
              <a:graphic xmlns:a="http://schemas.openxmlformats.org/drawingml/2006/main">
                <a:graphicData uri="http://schemas.microsoft.com/office/word/2010/wordprocessingShape">
                  <wps:wsp>
                    <wps:cNvCnPr/>
                    <wps:spPr>
                      <a:xfrm>
                        <a:off x="0" y="0"/>
                        <a:ext cx="4358640" cy="0"/>
                      </a:xfrm>
                      <a:prstGeom prst="straightConnector1">
                        <a:avLst/>
                      </a:prstGeom>
                      <a:ln w="12700">
                        <a:solidFill/>
                      </a:ln>
                    </wps:spPr>
                    <wps:bodyPr/>
                  </wps:wsp>
                </a:graphicData>
              </a:graphic>
            </wp:anchor>
          </w:drawing>
        </mc:Choice>
        <mc:Fallback>
          <w:pict>
            <v:shapetype w14:anchorId="6B626407" id="_x0000_t32" coordsize="21600,21600" o:spt="32" o:oned="t" path="m,l21600,21600e" filled="f">
              <v:path arrowok="t" fillok="f" o:connecttype="none"/>
              <o:lock v:ext="edit" shapetype="t"/>
            </v:shapetype>
            <v:shape id="Shape 1901" o:spid="_x0000_s1026" type="#_x0000_t32" style="position:absolute;margin-left:43.1pt;margin-top:33pt;width:343.2pt;height:0;z-index:-251651072;visibility:visible;mso-wrap-style:square;mso-wrap-distance-left:9pt;mso-wrap-distance-top:0;mso-wrap-distance-right:9pt;mso-wrap-distance-bottom:0;mso-position-horizontal:absolute;mso-position-horizontal-relative:page;mso-position-vertical:absolute;mso-position-vertical-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" strokeweight="1pt">
              <w10:wrap anchorx="page" anchory="page"/>
            </v:shape>
          </w:pict>
        </mc:Fallback>
      </mc:AlternateConten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E74136" w14:textId="77777777" w:rsidR="00924992" w:rsidRDefault="00924992">
    <w:pPr>
      <w:spacing w:line="1" w:lineRule="exact"/>
    </w:pPr>
    <w:r>
      <w:rPr>
        <w:noProof/>
      </w:rPr>
      <mc:AlternateContent>
        <mc:Choice Requires="wps">
          <w:drawing>
            <wp:anchor distT="0" distB="0" distL="0" distR="0" simplePos="0" relativeHeight="251807744" behindDoc="1" locked="0" layoutInCell="1" allowOverlap="1" wp14:anchorId="599425BD" wp14:editId="237898EF">
              <wp:simplePos x="0" y="0"/>
              <wp:positionH relativeFrom="page">
                <wp:posOffset>2156460</wp:posOffset>
              </wp:positionH>
              <wp:positionV relativeFrom="page">
                <wp:posOffset>311150</wp:posOffset>
              </wp:positionV>
              <wp:extent cx="2712720" cy="79375"/>
              <wp:effectExtent l="0" t="0" r="0" b="0"/>
              <wp:wrapNone/>
              <wp:docPr id="1896" name="Shape 1896"/>
              <wp:cNvGraphicFramePr/>
              <a:graphic xmlns:a="http://schemas.openxmlformats.org/drawingml/2006/main">
                <a:graphicData uri="http://schemas.microsoft.com/office/word/2010/wordprocessingShape">
                  <wps:wsp>
                    <wps:cNvSpPr txBox="1"/>
                    <wps:spPr>
                      <a:xfrm>
                        <a:off x="0" y="0"/>
                        <a:ext cx="2712720" cy="79375"/>
                      </a:xfrm>
                      <a:prstGeom prst="rect">
                        <a:avLst/>
                      </a:prstGeom>
                      <a:noFill/>
                    </wps:spPr>
                    <wps:txbx>
                      <w:txbxContent>
                        <w:p w14:paraId="7B1A3171" w14:textId="77777777" w:rsidR="00924992" w:rsidRDefault="00924992">
                          <w:pPr>
                            <w:pStyle w:val="Headerorfooter0"/>
                            <w:tabs>
                              <w:tab w:val="right" w:pos="4272"/>
                            </w:tabs>
                            <w:rPr>
                              <w:sz w:val="16"/>
                              <w:szCs w:val="16"/>
                            </w:rPr>
                          </w:pPr>
                          <w:r>
                            <w:t>VIBRIONES, INFECCIONES</w:t>
                          </w:r>
                          <w:r>
                            <w:tab/>
                          </w:r>
                          <w:r>
                            <w:rPr>
                              <w:sz w:val="16"/>
                              <w:szCs w:val="16"/>
                            </w:rPr>
                            <w:t>711</w:t>
                          </w:r>
                        </w:p>
                      </w:txbxContent>
                    </wps:txbx>
                    <wps:bodyPr lIns="0" tIns="0" rIns="0" bIns="0">
                      <a:spAutoFit/>
                    </wps:bodyPr>
                  </wps:wsp>
                </a:graphicData>
              </a:graphic>
            </wp:anchor>
          </w:drawing>
        </mc:Choice>
        <mc:Fallback>
          <w:pict>
            <v:shapetype w14:anchorId="599425BD" id="_x0000_t202" coordsize="21600,21600" o:spt="202" path="m,l,21600r21600,l21600,xe">
              <v:stroke joinstyle="miter"/>
              <v:path gradientshapeok="t" o:connecttype="rect"/>
            </v:shapetype>
            <v:shape id="Shape 1896" o:spid="_x0000_s1172" type="#_x0000_t202" style="position:absolute;margin-left:169.8pt;margin-top:24.5pt;width:213.6pt;height:6.25pt;z-index:-25150873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" filled="f" stroked="f">
              <v:textbox style="mso-fit-shape-to-text:t" inset="0,0,0,0">
                <w:txbxContent>
                  <w:p w14:paraId="7B1A3171" w14:textId="77777777" w:rsidR="00924992" w:rsidRDefault="00924992">
                    <w:pPr>
                      <w:pStyle w:val="Headerorfooter0"/>
                      <w:tabs>
                        <w:tab w:val="right" w:pos="4272"/>
                      </w:tabs>
                      <w:rPr>
                        <w:sz w:val="16"/>
                        <w:szCs w:val="16"/>
                      </w:rPr>
                    </w:pPr>
                    <w:r>
                      <w:t>VIBRIONES, INFECCIONES</w:t>
                    </w:r>
                    <w:r>
                      <w:tab/>
                    </w:r>
                    <w:r>
                      <w:rPr>
                        <w:sz w:val="16"/>
                        <w:szCs w:val="16"/>
                      </w:rPr>
                      <w:t>711</w:t>
                    </w:r>
                  </w:p>
                </w:txbxContent>
              </v:textbox>
              <w10:wrap anchorx="page" anchory="page"/>
            </v:shape>
          </w:pict>
        </mc:Fallback>
      </mc:AlternateContent>
    </w:r>
    <w:r>
      <w:rPr>
        <w:noProof/>
      </w:rPr>
      <mc:AlternateContent>
        <mc:Choice Requires="wps">
          <w:drawing>
            <wp:anchor distT="0" distB="0" distL="114300" distR="114300" simplePos="0" relativeHeight="251664384" behindDoc="1" locked="0" layoutInCell="1" allowOverlap="1" wp14:anchorId="648FC810" wp14:editId="7AFAF356">
              <wp:simplePos x="0" y="0"/>
              <wp:positionH relativeFrom="page">
                <wp:posOffset>547370</wp:posOffset>
              </wp:positionH>
              <wp:positionV relativeFrom="page">
                <wp:posOffset>419100</wp:posOffset>
              </wp:positionV>
              <wp:extent cx="4358640" cy="0"/>
              <wp:effectExtent l="0" t="0" r="0" b="0"/>
              <wp:wrapNone/>
              <wp:docPr id="1898" name="Shape 1898"/>
              <wp:cNvGraphicFramePr/>
              <a:graphic xmlns:a="http://schemas.openxmlformats.org/drawingml/2006/main">
                <a:graphicData uri="http://schemas.microsoft.com/office/word/2010/wordprocessingShape">
                  <wps:wsp>
                    <wps:cNvCnPr/>
                    <wps:spPr>
                      <a:xfrm>
                        <a:off x="0" y="0"/>
                        <a:ext cx="4358640" cy="0"/>
                      </a:xfrm>
                      <a:prstGeom prst="straightConnector1">
                        <a:avLst/>
                      </a:prstGeom>
                      <a:ln w="12700">
                        <a:solidFill/>
                      </a:ln>
                    </wps:spPr>
                    <wps:bodyPr/>
                  </wps:wsp>
                </a:graphicData>
              </a:graphic>
            </wp:anchor>
          </w:drawing>
        </mc:Choice>
        <mc:Fallback>
          <w:pict>
            <v:shapetype w14:anchorId="43A588CB" id="_x0000_t32" coordsize="21600,21600" o:spt="32" o:oned="t" path="m,l21600,21600e" filled="f">
              <v:path arrowok="t" fillok="f" o:connecttype="none"/>
              <o:lock v:ext="edit" shapetype="t"/>
            </v:shapetype>
            <v:shape id="Shape 1898" o:spid="_x0000_s1026" type="#_x0000_t32" style="position:absolute;margin-left:43.1pt;margin-top:33pt;width:343.2pt;height:0;z-index:-251652096;visibility:visible;mso-wrap-style:square;mso-wrap-distance-left:9pt;mso-wrap-distance-top:0;mso-wrap-distance-right:9pt;mso-wrap-distance-bottom:0;mso-position-horizontal:absolute;mso-position-horizontal-relative:page;mso-position-vertical:absolute;mso-position-vertical-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" strokeweight="1pt">
              <w10:wrap anchorx="page" anchory="page"/>
            </v:shape>
          </w:pict>
        </mc:Fallback>
      </mc:AlternateConten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00F28E" w14:textId="77777777" w:rsidR="00924992" w:rsidRDefault="00924992">
    <w:pPr>
      <w:spacing w:line="1" w:lineRule="exact"/>
    </w:pPr>
    <w:r>
      <w:rPr>
        <w:noProof/>
      </w:rPr>
      <mc:AlternateContent>
        <mc:Choice Requires="wps">
          <w:drawing>
            <wp:anchor distT="0" distB="0" distL="0" distR="0" simplePos="0" relativeHeight="251809792" behindDoc="1" locked="0" layoutInCell="1" allowOverlap="1" wp14:anchorId="08562F2B" wp14:editId="6D5C4116">
              <wp:simplePos x="0" y="0"/>
              <wp:positionH relativeFrom="page">
                <wp:posOffset>559435</wp:posOffset>
              </wp:positionH>
              <wp:positionV relativeFrom="page">
                <wp:posOffset>311150</wp:posOffset>
              </wp:positionV>
              <wp:extent cx="3212465" cy="79375"/>
              <wp:effectExtent l="0" t="0" r="0" b="0"/>
              <wp:wrapNone/>
              <wp:docPr id="1902" name="Shape 1902"/>
              <wp:cNvGraphicFramePr/>
              <a:graphic xmlns:a="http://schemas.openxmlformats.org/drawingml/2006/main">
                <a:graphicData uri="http://schemas.microsoft.com/office/word/2010/wordprocessingShape">
                  <wps:wsp>
                    <wps:cNvSpPr txBox="1"/>
                    <wps:spPr>
                      <a:xfrm>
                        <a:off x="0" y="0"/>
                        <a:ext cx="3212465" cy="79375"/>
                      </a:xfrm>
                      <a:prstGeom prst="rect">
                        <a:avLst/>
                      </a:prstGeom>
                      <a:noFill/>
                    </wps:spPr>
                    <wps:txbx>
                      <w:txbxContent>
                        <w:p w14:paraId="710BB3EE" w14:textId="77777777" w:rsidR="00924992" w:rsidRDefault="00924992">
                          <w:pPr>
                            <w:pStyle w:val="Headerorfooter0"/>
                            <w:tabs>
                              <w:tab w:val="right" w:pos="5059"/>
                            </w:tabs>
                          </w:pPr>
                          <w:r>
                            <w:rPr>
                              <w:sz w:val="16"/>
                              <w:szCs w:val="16"/>
                            </w:rPr>
                            <w:t>710</w:t>
                          </w:r>
                          <w:r>
                            <w:rPr>
                              <w:sz w:val="16"/>
                              <w:szCs w:val="16"/>
                            </w:rPr>
                            <w:tab/>
                          </w:r>
                          <w:r>
                            <w:t>VERMES PLANOS, ENFERMEDADES POR OTROS</w:t>
                          </w:r>
                        </w:p>
                      </w:txbxContent>
                    </wps:txbx>
                    <wps:bodyPr lIns="0" tIns="0" rIns="0" bIns="0">
                      <a:spAutoFit/>
                    </wps:bodyPr>
                  </wps:wsp>
                </a:graphicData>
              </a:graphic>
            </wp:anchor>
          </w:drawing>
        </mc:Choice>
        <mc:Fallback>
          <w:pict>
            <v:shapetype w14:anchorId="08562F2B" id="_x0000_t202" coordsize="21600,21600" o:spt="202" path="m,l,21600r21600,l21600,xe">
              <v:stroke joinstyle="miter"/>
              <v:path gradientshapeok="t" o:connecttype="rect"/>
            </v:shapetype>
            <v:shape id="Shape 1902" o:spid="_x0000_s1173" type="#_x0000_t202" style="position:absolute;margin-left:44.05pt;margin-top:24.5pt;width:252.95pt;height:6.25pt;z-index:-25150668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" filled="f" stroked="f">
              <v:textbox style="mso-fit-shape-to-text:t" inset="0,0,0,0">
                <w:txbxContent>
                  <w:p w14:paraId="710BB3EE" w14:textId="77777777" w:rsidR="00924992" w:rsidRDefault="00924992">
                    <w:pPr>
                      <w:pStyle w:val="Headerorfooter0"/>
                      <w:tabs>
                        <w:tab w:val="right" w:pos="5059"/>
                      </w:tabs>
                    </w:pPr>
                    <w:r>
                      <w:rPr>
                        <w:sz w:val="16"/>
                        <w:szCs w:val="16"/>
                      </w:rPr>
                      <w:t>710</w:t>
                    </w:r>
                    <w:r>
                      <w:rPr>
                        <w:sz w:val="16"/>
                        <w:szCs w:val="16"/>
                      </w:rPr>
                      <w:tab/>
                    </w:r>
                    <w:r>
                      <w:t>VERMES PLANOS, ENFERMEDADES POR OTROS</w:t>
                    </w:r>
                  </w:p>
                </w:txbxContent>
              </v:textbox>
              <w10:wrap anchorx="page" anchory="page"/>
            </v:shape>
          </w:pict>
        </mc:Fallback>
      </mc:AlternateContent>
    </w:r>
    <w:r>
      <w:rPr>
        <w:noProof/>
      </w:rPr>
      <mc:AlternateContent>
        <mc:Choice Requires="wps">
          <w:drawing>
            <wp:anchor distT="0" distB="0" distL="114300" distR="114300" simplePos="0" relativeHeight="251666432" behindDoc="1" locked="0" layoutInCell="1" allowOverlap="1" wp14:anchorId="0739D93D" wp14:editId="514FB088">
              <wp:simplePos x="0" y="0"/>
              <wp:positionH relativeFrom="page">
                <wp:posOffset>544195</wp:posOffset>
              </wp:positionH>
              <wp:positionV relativeFrom="page">
                <wp:posOffset>419100</wp:posOffset>
              </wp:positionV>
              <wp:extent cx="4358640" cy="0"/>
              <wp:effectExtent l="0" t="0" r="0" b="0"/>
              <wp:wrapNone/>
              <wp:docPr id="1904" name="Shape 1904"/>
              <wp:cNvGraphicFramePr/>
              <a:graphic xmlns:a="http://schemas.openxmlformats.org/drawingml/2006/main">
                <a:graphicData uri="http://schemas.microsoft.com/office/word/2010/wordprocessingShape">
                  <wps:wsp>
                    <wps:cNvCnPr/>
                    <wps:spPr>
                      <a:xfrm>
                        <a:off x="0" y="0"/>
                        <a:ext cx="4358640" cy="0"/>
                      </a:xfrm>
                      <a:prstGeom prst="straightConnector1">
                        <a:avLst/>
                      </a:prstGeom>
                      <a:ln w="12700">
                        <a:solidFill/>
                      </a:ln>
                    </wps:spPr>
                    <wps:bodyPr/>
                  </wps:wsp>
                </a:graphicData>
              </a:graphic>
            </wp:anchor>
          </w:drawing>
        </mc:Choice>
        <mc:Fallback>
          <w:pict>
            <v:shapetype w14:anchorId="0DCB0EF1" id="_x0000_t32" coordsize="21600,21600" o:spt="32" o:oned="t" path="m,l21600,21600e" filled="f">
              <v:path arrowok="t" fillok="f" o:connecttype="none"/>
              <o:lock v:ext="edit" shapetype="t"/>
            </v:shapetype>
            <v:shape id="Shape 1904" o:spid="_x0000_s1026" type="#_x0000_t32" style="position:absolute;margin-left:42.85pt;margin-top:33pt;width:343.2pt;height:0;z-index:-251650048;visibility:visible;mso-wrap-style:square;mso-wrap-distance-left:9pt;mso-wrap-distance-top:0;mso-wrap-distance-right:9pt;mso-wrap-distance-bottom:0;mso-position-horizontal:absolute;mso-position-horizontal-relative:page;mso-position-vertical:absolute;mso-position-vertical-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" strokeweight="1pt">
              <w10:wrap anchorx="page" anchory="page"/>
            </v:shape>
          </w:pict>
        </mc:Fallback>
      </mc:AlternateConten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75EF6B" w14:textId="77777777" w:rsidR="00924992" w:rsidRDefault="00924992">
    <w:pPr>
      <w:spacing w:line="1" w:lineRule="exact"/>
    </w:pPr>
    <w:r>
      <w:rPr>
        <w:noProof/>
      </w:rPr>
      <mc:AlternateContent>
        <mc:Choice Requires="wps">
          <w:drawing>
            <wp:anchor distT="0" distB="0" distL="0" distR="0" simplePos="0" relativeHeight="251811840" behindDoc="1" locked="0" layoutInCell="1" allowOverlap="1" wp14:anchorId="79343429" wp14:editId="62C1F22B">
              <wp:simplePos x="0" y="0"/>
              <wp:positionH relativeFrom="page">
                <wp:posOffset>562610</wp:posOffset>
              </wp:positionH>
              <wp:positionV relativeFrom="page">
                <wp:posOffset>295910</wp:posOffset>
              </wp:positionV>
              <wp:extent cx="2365375" cy="85090"/>
              <wp:effectExtent l="0" t="0" r="0" b="0"/>
              <wp:wrapNone/>
              <wp:docPr id="1908" name="Shape 1908"/>
              <wp:cNvGraphicFramePr/>
              <a:graphic xmlns:a="http://schemas.openxmlformats.org/drawingml/2006/main">
                <a:graphicData uri="http://schemas.microsoft.com/office/word/2010/wordprocessingShape">
                  <wps:wsp>
                    <wps:cNvSpPr txBox="1"/>
                    <wps:spPr>
                      <a:xfrm>
                        <a:off x="0" y="0"/>
                        <a:ext cx="2365375" cy="85090"/>
                      </a:xfrm>
                      <a:prstGeom prst="rect">
                        <a:avLst/>
                      </a:prstGeom>
                      <a:noFill/>
                    </wps:spPr>
                    <wps:txbx>
                      <w:txbxContent>
                        <w:p w14:paraId="24FC943D" w14:textId="77777777" w:rsidR="00924992" w:rsidRDefault="00924992">
                          <w:pPr>
                            <w:pStyle w:val="Headerorfooter0"/>
                            <w:tabs>
                              <w:tab w:val="right" w:pos="3725"/>
                            </w:tabs>
                          </w:pPr>
                          <w:r>
                            <w:fldChar w:fldCharType="begin"/>
                          </w:r>
                          <w:r>
                            <w:instrText xml:space="preserve"> PAGE \* MERGEFORMAT </w:instrText>
                          </w:r>
                          <w:r>
                            <w:fldChar w:fldCharType="separate"/>
                          </w:r>
                          <w:r>
                            <w:rPr>
                              <w:sz w:val="16"/>
                              <w:szCs w:val="16"/>
                            </w:rPr>
                            <w:t>#</w:t>
                          </w:r>
                          <w:r>
                            <w:rPr>
                              <w:sz w:val="16"/>
                              <w:szCs w:val="16"/>
                            </w:rPr>
                            <w:fldChar w:fldCharType="end"/>
                          </w:r>
                          <w:r>
                            <w:rPr>
                              <w:sz w:val="16"/>
                              <w:szCs w:val="16"/>
                            </w:rPr>
                            <w:tab/>
                          </w:r>
                          <w:r>
                            <w:t>TÉTANOS</w:t>
                          </w:r>
                        </w:p>
                      </w:txbxContent>
                    </wps:txbx>
                    <wps:bodyPr lIns="0" tIns="0" rIns="0" bIns="0">
                      <a:spAutoFit/>
                    </wps:bodyPr>
                  </wps:wsp>
                </a:graphicData>
              </a:graphic>
            </wp:anchor>
          </w:drawing>
        </mc:Choice>
        <mc:Fallback>
          <w:pict>
            <v:shapetype w14:anchorId="79343429" id="_x0000_t202" coordsize="21600,21600" o:spt="202" path="m,l,21600r21600,l21600,xe">
              <v:stroke joinstyle="miter"/>
              <v:path gradientshapeok="t" o:connecttype="rect"/>
            </v:shapetype>
            <v:shape id="Shape 1908" o:spid="_x0000_s1174" type="#_x0000_t202" style="position:absolute;margin-left:44.3pt;margin-top:23.3pt;width:186.25pt;height:6.7pt;z-index:-25150464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" filled="f" stroked="f">
              <v:textbox style="mso-fit-shape-to-text:t" inset="0,0,0,0">
                <w:txbxContent>
                  <w:p w14:paraId="24FC943D" w14:textId="77777777" w:rsidR="00924992" w:rsidRDefault="00924992">
                    <w:pPr>
                      <w:pStyle w:val="Headerorfooter0"/>
                      <w:tabs>
                        <w:tab w:val="right" w:pos="3725"/>
                      </w:tabs>
                    </w:pPr>
                    <w:r>
                      <w:fldChar w:fldCharType="begin"/>
                    </w:r>
                    <w:r>
                      <w:instrText xml:space="preserve"> PAGE \* MERGEFORMAT </w:instrText>
                    </w:r>
                    <w:r>
                      <w:fldChar w:fldCharType="separate"/>
                    </w:r>
                    <w:r>
                      <w:rPr>
                        <w:sz w:val="16"/>
                        <w:szCs w:val="16"/>
                      </w:rPr>
                      <w:t>#</w:t>
                    </w:r>
                    <w:r>
                      <w:rPr>
                        <w:sz w:val="16"/>
                        <w:szCs w:val="16"/>
                      </w:rPr>
                      <w:fldChar w:fldCharType="end"/>
                    </w:r>
                    <w:r>
                      <w:rPr>
                        <w:sz w:val="16"/>
                        <w:szCs w:val="16"/>
                      </w:rPr>
                      <w:tab/>
                    </w:r>
                    <w:r>
                      <w:t>TÉTANOS</w:t>
                    </w:r>
                  </w:p>
                </w:txbxContent>
              </v:textbox>
              <w10:wrap anchorx="page" anchory="page"/>
            </v:shape>
          </w:pict>
        </mc:Fallback>
      </mc:AlternateContent>
    </w:r>
    <w:r>
      <w:rPr>
        <w:noProof/>
      </w:rPr>
      <mc:AlternateContent>
        <mc:Choice Requires="wps">
          <w:drawing>
            <wp:anchor distT="0" distB="0" distL="114300" distR="114300" simplePos="0" relativeHeight="251668480" behindDoc="1" locked="0" layoutInCell="1" allowOverlap="1" wp14:anchorId="45743D67" wp14:editId="176473D5">
              <wp:simplePos x="0" y="0"/>
              <wp:positionH relativeFrom="page">
                <wp:posOffset>547370</wp:posOffset>
              </wp:positionH>
              <wp:positionV relativeFrom="page">
                <wp:posOffset>419100</wp:posOffset>
              </wp:positionV>
              <wp:extent cx="4358640" cy="0"/>
              <wp:effectExtent l="0" t="0" r="0" b="0"/>
              <wp:wrapNone/>
              <wp:docPr id="1910" name="Shape 1910"/>
              <wp:cNvGraphicFramePr/>
              <a:graphic xmlns:a="http://schemas.openxmlformats.org/drawingml/2006/main">
                <a:graphicData uri="http://schemas.microsoft.com/office/word/2010/wordprocessingShape">
                  <wps:wsp>
                    <wps:cNvCnPr/>
                    <wps:spPr>
                      <a:xfrm>
                        <a:off x="0" y="0"/>
                        <a:ext cx="4358640" cy="0"/>
                      </a:xfrm>
                      <a:prstGeom prst="straightConnector1">
                        <a:avLst/>
                      </a:prstGeom>
                      <a:ln w="12700">
                        <a:solidFill/>
                      </a:ln>
                    </wps:spPr>
                    <wps:bodyPr/>
                  </wps:wsp>
                </a:graphicData>
              </a:graphic>
            </wp:anchor>
          </w:drawing>
        </mc:Choice>
        <mc:Fallback>
          <w:pict>
            <v:shapetype w14:anchorId="3190F8C6" id="_x0000_t32" coordsize="21600,21600" o:spt="32" o:oned="t" path="m,l21600,21600e" filled="f">
              <v:path arrowok="t" fillok="f" o:connecttype="none"/>
              <o:lock v:ext="edit" shapetype="t"/>
            </v:shapetype>
            <v:shape id="Shape 1910" o:spid="_x0000_s1026" type="#_x0000_t32" style="position:absolute;margin-left:43.1pt;margin-top:33pt;width:343.2pt;height:0;z-index:-251648000;visibility:visible;mso-wrap-style:square;mso-wrap-distance-left:9pt;mso-wrap-distance-top:0;mso-wrap-distance-right:9pt;mso-wrap-distance-bottom:0;mso-position-horizontal:absolute;mso-position-horizontal-relative:page;mso-position-vertical:absolute;mso-position-vertical-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" strokeweight="1pt">
              <w10:wrap anchorx="page" anchory="page"/>
            </v:shape>
          </w:pict>
        </mc:Fallback>
      </mc:AlternateContent>
    </w: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31AB57" w14:textId="77777777" w:rsidR="00924992" w:rsidRDefault="00924992">
    <w:pPr>
      <w:spacing w:line="1" w:lineRule="exact"/>
    </w:pPr>
    <w:r>
      <w:rPr>
        <w:noProof/>
      </w:rPr>
      <mc:AlternateContent>
        <mc:Choice Requires="wps">
          <w:drawing>
            <wp:anchor distT="0" distB="0" distL="0" distR="0" simplePos="0" relativeHeight="251810816" behindDoc="1" locked="0" layoutInCell="1" allowOverlap="1" wp14:anchorId="03BC7CF0" wp14:editId="7111AC65">
              <wp:simplePos x="0" y="0"/>
              <wp:positionH relativeFrom="page">
                <wp:posOffset>2517775</wp:posOffset>
              </wp:positionH>
              <wp:positionV relativeFrom="page">
                <wp:posOffset>295910</wp:posOffset>
              </wp:positionV>
              <wp:extent cx="2365375" cy="85090"/>
              <wp:effectExtent l="0" t="0" r="0" b="0"/>
              <wp:wrapNone/>
              <wp:docPr id="1905" name="Shape 1905"/>
              <wp:cNvGraphicFramePr/>
              <a:graphic xmlns:a="http://schemas.openxmlformats.org/drawingml/2006/main">
                <a:graphicData uri="http://schemas.microsoft.com/office/word/2010/wordprocessingShape">
                  <wps:wsp>
                    <wps:cNvSpPr txBox="1"/>
                    <wps:spPr>
                      <a:xfrm>
                        <a:off x="0" y="0"/>
                        <a:ext cx="2365375" cy="85090"/>
                      </a:xfrm>
                      <a:prstGeom prst="rect">
                        <a:avLst/>
                      </a:prstGeom>
                      <a:noFill/>
                    </wps:spPr>
                    <wps:txbx>
                      <w:txbxContent>
                        <w:p w14:paraId="200E2854" w14:textId="77777777" w:rsidR="00924992" w:rsidRDefault="00924992">
                          <w:pPr>
                            <w:pStyle w:val="Headerorfooter0"/>
                            <w:tabs>
                              <w:tab w:val="right" w:pos="3725"/>
                            </w:tabs>
                            <w:rPr>
                              <w:sz w:val="16"/>
                              <w:szCs w:val="16"/>
                            </w:rPr>
                          </w:pPr>
                          <w:r>
                            <w:t>TÉTANOS</w:t>
                          </w:r>
                          <w:r>
                            <w:tab/>
                          </w:r>
                          <w:r>
                            <w:fldChar w:fldCharType="begin"/>
                          </w:r>
                          <w:r>
                            <w:instrText xml:space="preserve"> PAGE \* MERGEFORMAT </w:instrText>
                          </w:r>
                          <w:r>
                            <w:fldChar w:fldCharType="separate"/>
                          </w:r>
                          <w:r>
                            <w:rPr>
                              <w:sz w:val="16"/>
                              <w:szCs w:val="16"/>
                            </w:rPr>
                            <w:t>#</w:t>
                          </w:r>
                          <w:r>
                            <w:rPr>
                              <w:sz w:val="16"/>
                              <w:szCs w:val="16"/>
                            </w:rPr>
                            <w:fldChar w:fldCharType="end"/>
                          </w:r>
                        </w:p>
                      </w:txbxContent>
                    </wps:txbx>
                    <wps:bodyPr lIns="0" tIns="0" rIns="0" bIns="0">
                      <a:spAutoFit/>
                    </wps:bodyPr>
                  </wps:wsp>
                </a:graphicData>
              </a:graphic>
            </wp:anchor>
          </w:drawing>
        </mc:Choice>
        <mc:Fallback>
          <w:pict>
            <v:shapetype w14:anchorId="03BC7CF0" id="_x0000_t202" coordsize="21600,21600" o:spt="202" path="m,l,21600r21600,l21600,xe">
              <v:stroke joinstyle="miter"/>
              <v:path gradientshapeok="t" o:connecttype="rect"/>
            </v:shapetype>
            <v:shape id="Shape 1905" o:spid="_x0000_s1175" type="#_x0000_t202" style="position:absolute;margin-left:198.25pt;margin-top:23.3pt;width:186.25pt;height:6.7pt;z-index:-25150566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" filled="f" stroked="f">
              <v:textbox style="mso-fit-shape-to-text:t" inset="0,0,0,0">
                <w:txbxContent>
                  <w:p w14:paraId="200E2854" w14:textId="77777777" w:rsidR="00924992" w:rsidRDefault="00924992">
                    <w:pPr>
                      <w:pStyle w:val="Headerorfooter0"/>
                      <w:tabs>
                        <w:tab w:val="right" w:pos="3725"/>
                      </w:tabs>
                      <w:rPr>
                        <w:sz w:val="16"/>
                        <w:szCs w:val="16"/>
                      </w:rPr>
                    </w:pPr>
                    <w:r>
                      <w:t>TÉTANOS</w:t>
                    </w:r>
                    <w:r>
                      <w:tab/>
                    </w:r>
                    <w:r>
                      <w:fldChar w:fldCharType="begin"/>
                    </w:r>
                    <w:r>
                      <w:instrText xml:space="preserve"> PAGE \* MERGEFORMAT </w:instrText>
                    </w:r>
                    <w:r>
                      <w:fldChar w:fldCharType="separate"/>
                    </w:r>
                    <w:r>
                      <w:rPr>
                        <w:sz w:val="16"/>
                        <w:szCs w:val="16"/>
                      </w:rPr>
                      <w:t>#</w:t>
                    </w:r>
                    <w:r>
                      <w:rPr>
                        <w:sz w:val="16"/>
                        <w:szCs w:val="16"/>
                      </w:rPr>
                      <w:fldChar w:fldCharType="end"/>
                    </w:r>
                  </w:p>
                </w:txbxContent>
              </v:textbox>
              <w10:wrap anchorx="page" anchory="page"/>
            </v:shape>
          </w:pict>
        </mc:Fallback>
      </mc:AlternateContent>
    </w:r>
    <w:r>
      <w:rPr>
        <w:noProof/>
      </w:rPr>
      <mc:AlternateContent>
        <mc:Choice Requires="wps">
          <w:drawing>
            <wp:anchor distT="0" distB="0" distL="114300" distR="114300" simplePos="0" relativeHeight="251667456" behindDoc="1" locked="0" layoutInCell="1" allowOverlap="1" wp14:anchorId="4E0F9B26" wp14:editId="47BFCF68">
              <wp:simplePos x="0" y="0"/>
              <wp:positionH relativeFrom="page">
                <wp:posOffset>545465</wp:posOffset>
              </wp:positionH>
              <wp:positionV relativeFrom="page">
                <wp:posOffset>419100</wp:posOffset>
              </wp:positionV>
              <wp:extent cx="4358640" cy="0"/>
              <wp:effectExtent l="0" t="0" r="0" b="0"/>
              <wp:wrapNone/>
              <wp:docPr id="1907" name="Shape 1907"/>
              <wp:cNvGraphicFramePr/>
              <a:graphic xmlns:a="http://schemas.openxmlformats.org/drawingml/2006/main">
                <a:graphicData uri="http://schemas.microsoft.com/office/word/2010/wordprocessingShape">
                  <wps:wsp>
                    <wps:cNvCnPr/>
                    <wps:spPr>
                      <a:xfrm>
                        <a:off x="0" y="0"/>
                        <a:ext cx="4358640" cy="0"/>
                      </a:xfrm>
                      <a:prstGeom prst="straightConnector1">
                        <a:avLst/>
                      </a:prstGeom>
                      <a:ln w="12700">
                        <a:solidFill/>
                      </a:ln>
                    </wps:spPr>
                    <wps:bodyPr/>
                  </wps:wsp>
                </a:graphicData>
              </a:graphic>
            </wp:anchor>
          </w:drawing>
        </mc:Choice>
        <mc:Fallback>
          <w:pict>
            <v:shapetype w14:anchorId="650142AB" id="_x0000_t32" coordsize="21600,21600" o:spt="32" o:oned="t" path="m,l21600,21600e" filled="f">
              <v:path arrowok="t" fillok="f" o:connecttype="none"/>
              <o:lock v:ext="edit" shapetype="t"/>
            </v:shapetype>
            <v:shape id="Shape 1907" o:spid="_x0000_s1026" type="#_x0000_t32" style="position:absolute;margin-left:42.95pt;margin-top:33pt;width:343.2pt;height:0;z-index:-251649024;visibility:visible;mso-wrap-style:square;mso-wrap-distance-left:9pt;mso-wrap-distance-top:0;mso-wrap-distance-right:9pt;mso-wrap-distance-bottom:0;mso-position-horizontal:absolute;mso-position-horizontal-relative:page;mso-position-vertical:absolute;mso-position-vertical-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" strokeweight="1pt">
              <w10:wrap anchorx="page" anchory="page"/>
            </v:shape>
          </w:pict>
        </mc:Fallback>
      </mc:AlternateContent>
    </w: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4EB2A1" w14:textId="77777777" w:rsidR="00924992" w:rsidRDefault="00924992">
    <w:pPr>
      <w:spacing w:line="1" w:lineRule="exact"/>
    </w:pPr>
    <w:r>
      <w:rPr>
        <w:noProof/>
      </w:rPr>
      <mc:AlternateContent>
        <mc:Choice Requires="wps">
          <w:drawing>
            <wp:anchor distT="0" distB="0" distL="0" distR="0" simplePos="0" relativeHeight="251813888" behindDoc="1" locked="0" layoutInCell="1" allowOverlap="1" wp14:anchorId="24849104" wp14:editId="0CBBFDD4">
              <wp:simplePos x="0" y="0"/>
              <wp:positionH relativeFrom="page">
                <wp:posOffset>554990</wp:posOffset>
              </wp:positionH>
              <wp:positionV relativeFrom="page">
                <wp:posOffset>295910</wp:posOffset>
              </wp:positionV>
              <wp:extent cx="2541905" cy="85090"/>
              <wp:effectExtent l="0" t="0" r="0" b="0"/>
              <wp:wrapNone/>
              <wp:docPr id="1914" name="Shape 1914"/>
              <wp:cNvGraphicFramePr/>
              <a:graphic xmlns:a="http://schemas.openxmlformats.org/drawingml/2006/main">
                <a:graphicData uri="http://schemas.microsoft.com/office/word/2010/wordprocessingShape">
                  <wps:wsp>
                    <wps:cNvSpPr txBox="1"/>
                    <wps:spPr>
                      <a:xfrm>
                        <a:off x="0" y="0"/>
                        <a:ext cx="2541905" cy="85090"/>
                      </a:xfrm>
                      <a:prstGeom prst="rect">
                        <a:avLst/>
                      </a:prstGeom>
                      <a:noFill/>
                    </wps:spPr>
                    <wps:txbx>
                      <w:txbxContent>
                        <w:p w14:paraId="2CFD1681" w14:textId="77777777" w:rsidR="00924992" w:rsidRDefault="00924992">
                          <w:pPr>
                            <w:pStyle w:val="Headerorfooter0"/>
                            <w:tabs>
                              <w:tab w:val="right" w:pos="4003"/>
                            </w:tabs>
                          </w:pPr>
                          <w:r>
                            <w:fldChar w:fldCharType="begin"/>
                          </w:r>
                          <w:r>
                            <w:instrText xml:space="preserve"> PAGE \* MERGEFORMAT </w:instrText>
                          </w:r>
                          <w:r>
                            <w:fldChar w:fldCharType="separate"/>
                          </w:r>
                          <w:r>
                            <w:rPr>
                              <w:sz w:val="16"/>
                              <w:szCs w:val="16"/>
                            </w:rPr>
                            <w:t>#</w:t>
                          </w:r>
                          <w:r>
                            <w:rPr>
                              <w:sz w:val="16"/>
                              <w:szCs w:val="16"/>
                            </w:rPr>
                            <w:fldChar w:fldCharType="end"/>
                          </w:r>
                          <w:r>
                            <w:rPr>
                              <w:sz w:val="16"/>
                              <w:szCs w:val="16"/>
                            </w:rPr>
                            <w:tab/>
                          </w:r>
                          <w:r>
                            <w:t>TIFUS ENDÉMICO</w:t>
                          </w:r>
                        </w:p>
                      </w:txbxContent>
                    </wps:txbx>
                    <wps:bodyPr lIns="0" tIns="0" rIns="0" bIns="0">
                      <a:spAutoFit/>
                    </wps:bodyPr>
                  </wps:wsp>
                </a:graphicData>
              </a:graphic>
            </wp:anchor>
          </w:drawing>
        </mc:Choice>
        <mc:Fallback>
          <w:pict>
            <v:shapetype w14:anchorId="24849104" id="_x0000_t202" coordsize="21600,21600" o:spt="202" path="m,l,21600r21600,l21600,xe">
              <v:stroke joinstyle="miter"/>
              <v:path gradientshapeok="t" o:connecttype="rect"/>
            </v:shapetype>
            <v:shape id="Shape 1914" o:spid="_x0000_s1176" type="#_x0000_t202" style="position:absolute;margin-left:43.7pt;margin-top:23.3pt;width:200.15pt;height:6.7pt;z-index:-25150259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" filled="f" stroked="f">
              <v:textbox style="mso-fit-shape-to-text:t" inset="0,0,0,0">
                <w:txbxContent>
                  <w:p w14:paraId="2CFD1681" w14:textId="77777777" w:rsidR="00924992" w:rsidRDefault="00924992">
                    <w:pPr>
                      <w:pStyle w:val="Headerorfooter0"/>
                      <w:tabs>
                        <w:tab w:val="right" w:pos="4003"/>
                      </w:tabs>
                    </w:pPr>
                    <w:r>
                      <w:fldChar w:fldCharType="begin"/>
                    </w:r>
                    <w:r>
                      <w:instrText xml:space="preserve"> PAGE \* MERGEFORMAT </w:instrText>
                    </w:r>
                    <w:r>
                      <w:fldChar w:fldCharType="separate"/>
                    </w:r>
                    <w:r>
                      <w:rPr>
                        <w:sz w:val="16"/>
                        <w:szCs w:val="16"/>
                      </w:rPr>
                      <w:t>#</w:t>
                    </w:r>
                    <w:r>
                      <w:rPr>
                        <w:sz w:val="16"/>
                        <w:szCs w:val="16"/>
                      </w:rPr>
                      <w:fldChar w:fldCharType="end"/>
                    </w:r>
                    <w:r>
                      <w:rPr>
                        <w:sz w:val="16"/>
                        <w:szCs w:val="16"/>
                      </w:rPr>
                      <w:tab/>
                    </w:r>
                    <w:r>
                      <w:t>TIFUS ENDÉMICO</w:t>
                    </w:r>
                  </w:p>
                </w:txbxContent>
              </v:textbox>
              <w10:wrap anchorx="page" anchory="page"/>
            </v:shape>
          </w:pict>
        </mc:Fallback>
      </mc:AlternateContent>
    </w:r>
    <w:r>
      <w:rPr>
        <w:noProof/>
      </w:rPr>
      <mc:AlternateContent>
        <mc:Choice Requires="wps">
          <w:drawing>
            <wp:anchor distT="0" distB="0" distL="114300" distR="114300" simplePos="0" relativeHeight="251670528" behindDoc="1" locked="0" layoutInCell="1" allowOverlap="1" wp14:anchorId="23056A69" wp14:editId="21D0010F">
              <wp:simplePos x="0" y="0"/>
              <wp:positionH relativeFrom="page">
                <wp:posOffset>539750</wp:posOffset>
              </wp:positionH>
              <wp:positionV relativeFrom="page">
                <wp:posOffset>419100</wp:posOffset>
              </wp:positionV>
              <wp:extent cx="4358640" cy="0"/>
              <wp:effectExtent l="0" t="0" r="0" b="0"/>
              <wp:wrapNone/>
              <wp:docPr id="1916" name="Shape 1916"/>
              <wp:cNvGraphicFramePr/>
              <a:graphic xmlns:a="http://schemas.openxmlformats.org/drawingml/2006/main">
                <a:graphicData uri="http://schemas.microsoft.com/office/word/2010/wordprocessingShape">
                  <wps:wsp>
                    <wps:cNvCnPr/>
                    <wps:spPr>
                      <a:xfrm>
                        <a:off x="0" y="0"/>
                        <a:ext cx="4358640" cy="0"/>
                      </a:xfrm>
                      <a:prstGeom prst="straightConnector1">
                        <a:avLst/>
                      </a:prstGeom>
                      <a:ln w="12700">
                        <a:solidFill/>
                      </a:ln>
                    </wps:spPr>
                    <wps:bodyPr/>
                  </wps:wsp>
                </a:graphicData>
              </a:graphic>
            </wp:anchor>
          </w:drawing>
        </mc:Choice>
        <mc:Fallback>
          <w:pict>
            <v:shapetype w14:anchorId="003D788E" id="_x0000_t32" coordsize="21600,21600" o:spt="32" o:oned="t" path="m,l21600,21600e" filled="f">
              <v:path arrowok="t" fillok="f" o:connecttype="none"/>
              <o:lock v:ext="edit" shapetype="t"/>
            </v:shapetype>
            <v:shape id="Shape 1916" o:spid="_x0000_s1026" type="#_x0000_t32" style="position:absolute;margin-left:42.5pt;margin-top:33pt;width:343.2pt;height:0;z-index:-251645952;visibility:visible;mso-wrap-style:square;mso-wrap-distance-left:9pt;mso-wrap-distance-top:0;mso-wrap-distance-right:9pt;mso-wrap-distance-bottom:0;mso-position-horizontal:absolute;mso-position-horizontal-relative:page;mso-position-vertical:absolute;mso-position-vertical-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" strokeweight="1pt">
              <w10:wrap anchorx="page" anchory="page"/>
            </v:shape>
          </w:pict>
        </mc:Fallback>
      </mc:AlternateContent>
    </w: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EC1B48" w14:textId="77777777" w:rsidR="00924992" w:rsidRDefault="00924992">
    <w:pPr>
      <w:spacing w:line="1" w:lineRule="exact"/>
    </w:pPr>
    <w:r>
      <w:rPr>
        <w:noProof/>
      </w:rPr>
      <mc:AlternateContent>
        <mc:Choice Requires="wps">
          <w:drawing>
            <wp:anchor distT="0" distB="0" distL="0" distR="0" simplePos="0" relativeHeight="251812864" behindDoc="1" locked="0" layoutInCell="1" allowOverlap="1" wp14:anchorId="43C557CB" wp14:editId="04C5DB32">
              <wp:simplePos x="0" y="0"/>
              <wp:positionH relativeFrom="page">
                <wp:posOffset>554990</wp:posOffset>
              </wp:positionH>
              <wp:positionV relativeFrom="page">
                <wp:posOffset>295910</wp:posOffset>
              </wp:positionV>
              <wp:extent cx="2541905" cy="85090"/>
              <wp:effectExtent l="0" t="0" r="0" b="0"/>
              <wp:wrapNone/>
              <wp:docPr id="1911" name="Shape 1911"/>
              <wp:cNvGraphicFramePr/>
              <a:graphic xmlns:a="http://schemas.openxmlformats.org/drawingml/2006/main">
                <a:graphicData uri="http://schemas.microsoft.com/office/word/2010/wordprocessingShape">
                  <wps:wsp>
                    <wps:cNvSpPr txBox="1"/>
                    <wps:spPr>
                      <a:xfrm>
                        <a:off x="0" y="0"/>
                        <a:ext cx="2541905" cy="85090"/>
                      </a:xfrm>
                      <a:prstGeom prst="rect">
                        <a:avLst/>
                      </a:prstGeom>
                      <a:noFill/>
                    </wps:spPr>
                    <wps:txbx>
                      <w:txbxContent>
                        <w:p w14:paraId="50D1FBE2" w14:textId="77777777" w:rsidR="00924992" w:rsidRDefault="00924992">
                          <w:pPr>
                            <w:pStyle w:val="Headerorfooter0"/>
                            <w:tabs>
                              <w:tab w:val="right" w:pos="4003"/>
                            </w:tabs>
                          </w:pPr>
                          <w:r>
                            <w:fldChar w:fldCharType="begin"/>
                          </w:r>
                          <w:r>
                            <w:instrText xml:space="preserve"> PAGE \* MERGEFORMAT </w:instrText>
                          </w:r>
                          <w:r>
                            <w:fldChar w:fldCharType="separate"/>
                          </w:r>
                          <w:r>
                            <w:rPr>
                              <w:sz w:val="16"/>
                              <w:szCs w:val="16"/>
                            </w:rPr>
                            <w:t>#</w:t>
                          </w:r>
                          <w:r>
                            <w:rPr>
                              <w:sz w:val="16"/>
                              <w:szCs w:val="16"/>
                            </w:rPr>
                            <w:fldChar w:fldCharType="end"/>
                          </w:r>
                          <w:r>
                            <w:rPr>
                              <w:sz w:val="16"/>
                              <w:szCs w:val="16"/>
                            </w:rPr>
                            <w:tab/>
                          </w:r>
                          <w:r>
                            <w:t>TIFUS ENDÉMICO</w:t>
                          </w:r>
                        </w:p>
                      </w:txbxContent>
                    </wps:txbx>
                    <wps:bodyPr lIns="0" tIns="0" rIns="0" bIns="0">
                      <a:spAutoFit/>
                    </wps:bodyPr>
                  </wps:wsp>
                </a:graphicData>
              </a:graphic>
            </wp:anchor>
          </w:drawing>
        </mc:Choice>
        <mc:Fallback>
          <w:pict>
            <v:shapetype w14:anchorId="43C557CB" id="_x0000_t202" coordsize="21600,21600" o:spt="202" path="m,l,21600r21600,l21600,xe">
              <v:stroke joinstyle="miter"/>
              <v:path gradientshapeok="t" o:connecttype="rect"/>
            </v:shapetype>
            <v:shape id="Shape 1911" o:spid="_x0000_s1177" type="#_x0000_t202" style="position:absolute;margin-left:43.7pt;margin-top:23.3pt;width:200.15pt;height:6.7pt;z-index:-25150361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" filled="f" stroked="f">
              <v:textbox style="mso-fit-shape-to-text:t" inset="0,0,0,0">
                <w:txbxContent>
                  <w:p w14:paraId="50D1FBE2" w14:textId="77777777" w:rsidR="00924992" w:rsidRDefault="00924992">
                    <w:pPr>
                      <w:pStyle w:val="Headerorfooter0"/>
                      <w:tabs>
                        <w:tab w:val="right" w:pos="4003"/>
                      </w:tabs>
                    </w:pPr>
                    <w:r>
                      <w:fldChar w:fldCharType="begin"/>
                    </w:r>
                    <w:r>
                      <w:instrText xml:space="preserve"> PAGE \* MERGEFORMAT </w:instrText>
                    </w:r>
                    <w:r>
                      <w:fldChar w:fldCharType="separate"/>
                    </w:r>
                    <w:r>
                      <w:rPr>
                        <w:sz w:val="16"/>
                        <w:szCs w:val="16"/>
                      </w:rPr>
                      <w:t>#</w:t>
                    </w:r>
                    <w:r>
                      <w:rPr>
                        <w:sz w:val="16"/>
                        <w:szCs w:val="16"/>
                      </w:rPr>
                      <w:fldChar w:fldCharType="end"/>
                    </w:r>
                    <w:r>
                      <w:rPr>
                        <w:sz w:val="16"/>
                        <w:szCs w:val="16"/>
                      </w:rPr>
                      <w:tab/>
                    </w:r>
                    <w:r>
                      <w:t>TIFUS ENDÉMICO</w:t>
                    </w:r>
                  </w:p>
                </w:txbxContent>
              </v:textbox>
              <w10:wrap anchorx="page" anchory="page"/>
            </v:shape>
          </w:pict>
        </mc:Fallback>
      </mc:AlternateContent>
    </w:r>
    <w:r>
      <w:rPr>
        <w:noProof/>
      </w:rPr>
      <mc:AlternateContent>
        <mc:Choice Requires="wps">
          <w:drawing>
            <wp:anchor distT="0" distB="0" distL="114300" distR="114300" simplePos="0" relativeHeight="251669504" behindDoc="1" locked="0" layoutInCell="1" allowOverlap="1" wp14:anchorId="3576B57A" wp14:editId="261CD885">
              <wp:simplePos x="0" y="0"/>
              <wp:positionH relativeFrom="page">
                <wp:posOffset>539750</wp:posOffset>
              </wp:positionH>
              <wp:positionV relativeFrom="page">
                <wp:posOffset>419100</wp:posOffset>
              </wp:positionV>
              <wp:extent cx="4358640" cy="0"/>
              <wp:effectExtent l="0" t="0" r="0" b="0"/>
              <wp:wrapNone/>
              <wp:docPr id="1913" name="Shape 1913"/>
              <wp:cNvGraphicFramePr/>
              <a:graphic xmlns:a="http://schemas.openxmlformats.org/drawingml/2006/main">
                <a:graphicData uri="http://schemas.microsoft.com/office/word/2010/wordprocessingShape">
                  <wps:wsp>
                    <wps:cNvCnPr/>
                    <wps:spPr>
                      <a:xfrm>
                        <a:off x="0" y="0"/>
                        <a:ext cx="4358640" cy="0"/>
                      </a:xfrm>
                      <a:prstGeom prst="straightConnector1">
                        <a:avLst/>
                      </a:prstGeom>
                      <a:ln w="12700">
                        <a:solidFill/>
                      </a:ln>
                    </wps:spPr>
                    <wps:bodyPr/>
                  </wps:wsp>
                </a:graphicData>
              </a:graphic>
            </wp:anchor>
          </w:drawing>
        </mc:Choice>
        <mc:Fallback>
          <w:pict>
            <v:shapetype w14:anchorId="0550E9F8" id="_x0000_t32" coordsize="21600,21600" o:spt="32" o:oned="t" path="m,l21600,21600e" filled="f">
              <v:path arrowok="t" fillok="f" o:connecttype="none"/>
              <o:lock v:ext="edit" shapetype="t"/>
            </v:shapetype>
            <v:shape id="Shape 1913" o:spid="_x0000_s1026" type="#_x0000_t32" style="position:absolute;margin-left:42.5pt;margin-top:33pt;width:343.2pt;height:0;z-index:-251646976;visibility:visible;mso-wrap-style:square;mso-wrap-distance-left:9pt;mso-wrap-distance-top:0;mso-wrap-distance-right:9pt;mso-wrap-distance-bottom:0;mso-position-horizontal:absolute;mso-position-horizontal-relative:page;mso-position-vertical:absolute;mso-position-vertical-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" strokeweight="1pt">
              <w10:wrap anchorx="page" anchory="page"/>
            </v:shape>
          </w:pict>
        </mc:Fallback>
      </mc:AlternateContent>
    </w: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131741" w14:textId="77777777" w:rsidR="00924992" w:rsidRDefault="00924992">
    <w:pPr>
      <w:spacing w:line="1" w:lineRule="exact"/>
    </w:pPr>
    <w:r>
      <w:rPr>
        <w:noProof/>
      </w:rPr>
      <mc:AlternateContent>
        <mc:Choice Requires="wps">
          <w:drawing>
            <wp:anchor distT="0" distB="0" distL="0" distR="0" simplePos="0" relativeHeight="251815936" behindDoc="1" locked="0" layoutInCell="1" allowOverlap="1" wp14:anchorId="3BAB3FEE" wp14:editId="33C07098">
              <wp:simplePos x="0" y="0"/>
              <wp:positionH relativeFrom="page">
                <wp:posOffset>556260</wp:posOffset>
              </wp:positionH>
              <wp:positionV relativeFrom="page">
                <wp:posOffset>295910</wp:posOffset>
              </wp:positionV>
              <wp:extent cx="2526665" cy="85090"/>
              <wp:effectExtent l="0" t="0" r="0" b="0"/>
              <wp:wrapNone/>
              <wp:docPr id="1920" name="Shape 1920"/>
              <wp:cNvGraphicFramePr/>
              <a:graphic xmlns:a="http://schemas.openxmlformats.org/drawingml/2006/main">
                <a:graphicData uri="http://schemas.microsoft.com/office/word/2010/wordprocessingShape">
                  <wps:wsp>
                    <wps:cNvSpPr txBox="1"/>
                    <wps:spPr>
                      <a:xfrm>
                        <a:off x="0" y="0"/>
                        <a:ext cx="2526665" cy="85090"/>
                      </a:xfrm>
                      <a:prstGeom prst="rect">
                        <a:avLst/>
                      </a:prstGeom>
                      <a:noFill/>
                    </wps:spPr>
                    <wps:txbx>
                      <w:txbxContent>
                        <w:p w14:paraId="2C214A79" w14:textId="77777777" w:rsidR="00924992" w:rsidRDefault="00924992">
                          <w:pPr>
                            <w:pStyle w:val="Headerorfooter0"/>
                            <w:tabs>
                              <w:tab w:val="right" w:pos="3979"/>
                            </w:tabs>
                          </w:pPr>
                          <w:r>
                            <w:rPr>
                              <w:sz w:val="16"/>
                              <w:szCs w:val="16"/>
                            </w:rPr>
                            <w:t>636</w:t>
                          </w:r>
                          <w:r>
                            <w:rPr>
                              <w:sz w:val="16"/>
                              <w:szCs w:val="16"/>
                            </w:rPr>
                            <w:tab/>
                          </w:r>
                          <w:r>
                            <w:t>TIÑA CORPORAL</w:t>
                          </w:r>
                        </w:p>
                      </w:txbxContent>
                    </wps:txbx>
                    <wps:bodyPr lIns="0" tIns="0" rIns="0" bIns="0">
                      <a:spAutoFit/>
                    </wps:bodyPr>
                  </wps:wsp>
                </a:graphicData>
              </a:graphic>
            </wp:anchor>
          </w:drawing>
        </mc:Choice>
        <mc:Fallback>
          <w:pict>
            <v:shapetype w14:anchorId="3BAB3FEE" id="_x0000_t202" coordsize="21600,21600" o:spt="202" path="m,l,21600r21600,l21600,xe">
              <v:stroke joinstyle="miter"/>
              <v:path gradientshapeok="t" o:connecttype="rect"/>
            </v:shapetype>
            <v:shape id="Shape 1920" o:spid="_x0000_s1178" type="#_x0000_t202" style="position:absolute;margin-left:43.8pt;margin-top:23.3pt;width:198.95pt;height:6.7pt;z-index:-25150054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" filled="f" stroked="f">
              <v:textbox style="mso-fit-shape-to-text:t" inset="0,0,0,0">
                <w:txbxContent>
                  <w:p w14:paraId="2C214A79" w14:textId="77777777" w:rsidR="00924992" w:rsidRDefault="00924992">
                    <w:pPr>
                      <w:pStyle w:val="Headerorfooter0"/>
                      <w:tabs>
                        <w:tab w:val="right" w:pos="3979"/>
                      </w:tabs>
                    </w:pPr>
                    <w:r>
                      <w:rPr>
                        <w:sz w:val="16"/>
                        <w:szCs w:val="16"/>
                      </w:rPr>
                      <w:t>636</w:t>
                    </w:r>
                    <w:r>
                      <w:rPr>
                        <w:sz w:val="16"/>
                        <w:szCs w:val="16"/>
                      </w:rPr>
                      <w:tab/>
                    </w:r>
                    <w:r>
                      <w:t>TIÑA CORPORAL</w:t>
                    </w:r>
                  </w:p>
                </w:txbxContent>
              </v:textbox>
              <w10:wrap anchorx="page" anchory="page"/>
            </v:shape>
          </w:pict>
        </mc:Fallback>
      </mc:AlternateContent>
    </w:r>
    <w:r>
      <w:rPr>
        <w:noProof/>
      </w:rPr>
      <mc:AlternateContent>
        <mc:Choice Requires="wps">
          <w:drawing>
            <wp:anchor distT="0" distB="0" distL="114300" distR="114300" simplePos="0" relativeHeight="251672576" behindDoc="1" locked="0" layoutInCell="1" allowOverlap="1" wp14:anchorId="78AC369B" wp14:editId="01B7CBC7">
              <wp:simplePos x="0" y="0"/>
              <wp:positionH relativeFrom="page">
                <wp:posOffset>541020</wp:posOffset>
              </wp:positionH>
              <wp:positionV relativeFrom="page">
                <wp:posOffset>419100</wp:posOffset>
              </wp:positionV>
              <wp:extent cx="4358640" cy="0"/>
              <wp:effectExtent l="0" t="0" r="0" b="0"/>
              <wp:wrapNone/>
              <wp:docPr id="1922" name="Shape 1922"/>
              <wp:cNvGraphicFramePr/>
              <a:graphic xmlns:a="http://schemas.openxmlformats.org/drawingml/2006/main">
                <a:graphicData uri="http://schemas.microsoft.com/office/word/2010/wordprocessingShape">
                  <wps:wsp>
                    <wps:cNvCnPr/>
                    <wps:spPr>
                      <a:xfrm>
                        <a:off x="0" y="0"/>
                        <a:ext cx="4358640" cy="0"/>
                      </a:xfrm>
                      <a:prstGeom prst="straightConnector1">
                        <a:avLst/>
                      </a:prstGeom>
                      <a:ln w="12700">
                        <a:solidFill/>
                      </a:ln>
                    </wps:spPr>
                    <wps:bodyPr/>
                  </wps:wsp>
                </a:graphicData>
              </a:graphic>
            </wp:anchor>
          </w:drawing>
        </mc:Choice>
        <mc:Fallback>
          <w:pict>
            <v:shapetype w14:anchorId="071289F1" id="_x0000_t32" coordsize="21600,21600" o:spt="32" o:oned="t" path="m,l21600,21600e" filled="f">
              <v:path arrowok="t" fillok="f" o:connecttype="none"/>
              <o:lock v:ext="edit" shapetype="t"/>
            </v:shapetype>
            <v:shape id="Shape 1922" o:spid="_x0000_s1026" type="#_x0000_t32" style="position:absolute;margin-left:42.6pt;margin-top:33pt;width:343.2pt;height:0;z-index:-251643904;visibility:visible;mso-wrap-style:square;mso-wrap-distance-left:9pt;mso-wrap-distance-top:0;mso-wrap-distance-right:9pt;mso-wrap-distance-bottom:0;mso-position-horizontal:absolute;mso-position-horizontal-relative:page;mso-position-vertical:absolute;mso-position-vertical-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" strokeweight="1pt">
              <w10:wrap anchorx="page" anchory="page"/>
            </v:shape>
          </w:pict>
        </mc:Fallback>
      </mc:AlternateContent>
    </w:r>
  </w:p>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947A53" w14:textId="77777777" w:rsidR="00924992" w:rsidRDefault="00924992">
    <w:pPr>
      <w:spacing w:line="1" w:lineRule="exact"/>
    </w:pPr>
    <w:r>
      <w:rPr>
        <w:noProof/>
      </w:rPr>
      <mc:AlternateContent>
        <mc:Choice Requires="wps">
          <w:drawing>
            <wp:anchor distT="0" distB="0" distL="0" distR="0" simplePos="0" relativeHeight="251814912" behindDoc="1" locked="0" layoutInCell="1" allowOverlap="1" wp14:anchorId="03114153" wp14:editId="4803D130">
              <wp:simplePos x="0" y="0"/>
              <wp:positionH relativeFrom="page">
                <wp:posOffset>556260</wp:posOffset>
              </wp:positionH>
              <wp:positionV relativeFrom="page">
                <wp:posOffset>295910</wp:posOffset>
              </wp:positionV>
              <wp:extent cx="2526665" cy="85090"/>
              <wp:effectExtent l="0" t="0" r="0" b="0"/>
              <wp:wrapNone/>
              <wp:docPr id="1917" name="Shape 1917"/>
              <wp:cNvGraphicFramePr/>
              <a:graphic xmlns:a="http://schemas.openxmlformats.org/drawingml/2006/main">
                <a:graphicData uri="http://schemas.microsoft.com/office/word/2010/wordprocessingShape">
                  <wps:wsp>
                    <wps:cNvSpPr txBox="1"/>
                    <wps:spPr>
                      <a:xfrm>
                        <a:off x="0" y="0"/>
                        <a:ext cx="2526665" cy="85090"/>
                      </a:xfrm>
                      <a:prstGeom prst="rect">
                        <a:avLst/>
                      </a:prstGeom>
                      <a:noFill/>
                    </wps:spPr>
                    <wps:txbx>
                      <w:txbxContent>
                        <w:p w14:paraId="7B1273B4" w14:textId="77777777" w:rsidR="00924992" w:rsidRDefault="00924992">
                          <w:pPr>
                            <w:pStyle w:val="Headerorfooter0"/>
                            <w:tabs>
                              <w:tab w:val="right" w:pos="3979"/>
                            </w:tabs>
                          </w:pPr>
                          <w:r>
                            <w:rPr>
                              <w:sz w:val="16"/>
                              <w:szCs w:val="16"/>
                            </w:rPr>
                            <w:t>636</w:t>
                          </w:r>
                          <w:r>
                            <w:rPr>
                              <w:sz w:val="16"/>
                              <w:szCs w:val="16"/>
                            </w:rPr>
                            <w:tab/>
                          </w:r>
                          <w:r>
                            <w:t>TIÑA CORPORAL</w:t>
                          </w:r>
                        </w:p>
                      </w:txbxContent>
                    </wps:txbx>
                    <wps:bodyPr lIns="0" tIns="0" rIns="0" bIns="0">
                      <a:spAutoFit/>
                    </wps:bodyPr>
                  </wps:wsp>
                </a:graphicData>
              </a:graphic>
            </wp:anchor>
          </w:drawing>
        </mc:Choice>
        <mc:Fallback>
          <w:pict>
            <v:shapetype w14:anchorId="03114153" id="_x0000_t202" coordsize="21600,21600" o:spt="202" path="m,l,21600r21600,l21600,xe">
              <v:stroke joinstyle="miter"/>
              <v:path gradientshapeok="t" o:connecttype="rect"/>
            </v:shapetype>
            <v:shape id="Shape 1917" o:spid="_x0000_s1179" type="#_x0000_t202" style="position:absolute;margin-left:43.8pt;margin-top:23.3pt;width:198.95pt;height:6.7pt;z-index:-25150156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" filled="f" stroked="f">
              <v:textbox style="mso-fit-shape-to-text:t" inset="0,0,0,0">
                <w:txbxContent>
                  <w:p w14:paraId="7B1273B4" w14:textId="77777777" w:rsidR="00924992" w:rsidRDefault="00924992">
                    <w:pPr>
                      <w:pStyle w:val="Headerorfooter0"/>
                      <w:tabs>
                        <w:tab w:val="right" w:pos="3979"/>
                      </w:tabs>
                    </w:pPr>
                    <w:r>
                      <w:rPr>
                        <w:sz w:val="16"/>
                        <w:szCs w:val="16"/>
                      </w:rPr>
                      <w:t>636</w:t>
                    </w:r>
                    <w:r>
                      <w:rPr>
                        <w:sz w:val="16"/>
                        <w:szCs w:val="16"/>
                      </w:rPr>
                      <w:tab/>
                    </w:r>
                    <w:r>
                      <w:t>TIÑA CORPORAL</w:t>
                    </w:r>
                  </w:p>
                </w:txbxContent>
              </v:textbox>
              <w10:wrap anchorx="page" anchory="page"/>
            </v:shape>
          </w:pict>
        </mc:Fallback>
      </mc:AlternateContent>
    </w:r>
    <w:r>
      <w:rPr>
        <w:noProof/>
      </w:rPr>
      <mc:AlternateContent>
        <mc:Choice Requires="wps">
          <w:drawing>
            <wp:anchor distT="0" distB="0" distL="114300" distR="114300" simplePos="0" relativeHeight="251671552" behindDoc="1" locked="0" layoutInCell="1" allowOverlap="1" wp14:anchorId="557D0C94" wp14:editId="39585C6A">
              <wp:simplePos x="0" y="0"/>
              <wp:positionH relativeFrom="page">
                <wp:posOffset>541020</wp:posOffset>
              </wp:positionH>
              <wp:positionV relativeFrom="page">
                <wp:posOffset>419100</wp:posOffset>
              </wp:positionV>
              <wp:extent cx="4358640" cy="0"/>
              <wp:effectExtent l="0" t="0" r="0" b="0"/>
              <wp:wrapNone/>
              <wp:docPr id="1919" name="Shape 1919"/>
              <wp:cNvGraphicFramePr/>
              <a:graphic xmlns:a="http://schemas.openxmlformats.org/drawingml/2006/main">
                <a:graphicData uri="http://schemas.microsoft.com/office/word/2010/wordprocessingShape">
                  <wps:wsp>
                    <wps:cNvCnPr/>
                    <wps:spPr>
                      <a:xfrm>
                        <a:off x="0" y="0"/>
                        <a:ext cx="4358640" cy="0"/>
                      </a:xfrm>
                      <a:prstGeom prst="straightConnector1">
                        <a:avLst/>
                      </a:prstGeom>
                      <a:ln w="12700">
                        <a:solidFill/>
                      </a:ln>
                    </wps:spPr>
                    <wps:bodyPr/>
                  </wps:wsp>
                </a:graphicData>
              </a:graphic>
            </wp:anchor>
          </w:drawing>
        </mc:Choice>
        <mc:Fallback>
          <w:pict>
            <v:shapetype w14:anchorId="5B49BD85" id="_x0000_t32" coordsize="21600,21600" o:spt="32" o:oned="t" path="m,l21600,21600e" filled="f">
              <v:path arrowok="t" fillok="f" o:connecttype="none"/>
              <o:lock v:ext="edit" shapetype="t"/>
            </v:shapetype>
            <v:shape id="Shape 1919" o:spid="_x0000_s1026" type="#_x0000_t32" style="position:absolute;margin-left:42.6pt;margin-top:33pt;width:343.2pt;height:0;z-index:-251644928;visibility:visible;mso-wrap-style:square;mso-wrap-distance-left:9pt;mso-wrap-distance-top:0;mso-wrap-distance-right:9pt;mso-wrap-distance-bottom:0;mso-position-horizontal:absolute;mso-position-horizontal-relative:page;mso-position-vertical:absolute;mso-position-vertical-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" strokeweight="1pt">
              <w10:wrap anchorx="page" anchory="page"/>
            </v:shape>
          </w:pict>
        </mc:Fallback>
      </mc:AlternateContent>
    </w:r>
  </w:p>
</w:hdr>
</file>

<file path=word/header1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91A072" w14:textId="77777777" w:rsidR="00924992" w:rsidRDefault="00924992">
    <w:pPr>
      <w:spacing w:line="1" w:lineRule="exact"/>
    </w:pPr>
    <w:r>
      <w:rPr>
        <w:noProof/>
      </w:rPr>
      <mc:AlternateContent>
        <mc:Choice Requires="wps">
          <w:drawing>
            <wp:anchor distT="0" distB="0" distL="0" distR="0" simplePos="0" relativeHeight="251816960" behindDoc="1" locked="0" layoutInCell="1" allowOverlap="1" wp14:anchorId="0DDE0F66" wp14:editId="1B017B12">
              <wp:simplePos x="0" y="0"/>
              <wp:positionH relativeFrom="page">
                <wp:posOffset>2286000</wp:posOffset>
              </wp:positionH>
              <wp:positionV relativeFrom="page">
                <wp:posOffset>295910</wp:posOffset>
              </wp:positionV>
              <wp:extent cx="2593975" cy="85090"/>
              <wp:effectExtent l="0" t="0" r="0" b="0"/>
              <wp:wrapNone/>
              <wp:docPr id="1923" name="Shape 1923"/>
              <wp:cNvGraphicFramePr/>
              <a:graphic xmlns:a="http://schemas.openxmlformats.org/drawingml/2006/main">
                <a:graphicData uri="http://schemas.microsoft.com/office/word/2010/wordprocessingShape">
                  <wps:wsp>
                    <wps:cNvSpPr txBox="1"/>
                    <wps:spPr>
                      <a:xfrm>
                        <a:off x="0" y="0"/>
                        <a:ext cx="2593975" cy="85090"/>
                      </a:xfrm>
                      <a:prstGeom prst="rect">
                        <a:avLst/>
                      </a:prstGeom>
                      <a:noFill/>
                    </wps:spPr>
                    <wps:txbx>
                      <w:txbxContent>
                        <w:p w14:paraId="76DCA38C" w14:textId="77777777" w:rsidR="00924992" w:rsidRDefault="00924992">
                          <w:pPr>
                            <w:pStyle w:val="Headerorfooter0"/>
                            <w:tabs>
                              <w:tab w:val="right" w:pos="4085"/>
                            </w:tabs>
                            <w:rPr>
                              <w:sz w:val="16"/>
                              <w:szCs w:val="16"/>
                            </w:rPr>
                          </w:pPr>
                          <w:r>
                            <w:t>TIÑA DE LA CABEZA</w:t>
                          </w:r>
                          <w:r>
                            <w:tab/>
                          </w:r>
                          <w:r>
                            <w:rPr>
                              <w:sz w:val="16"/>
                              <w:szCs w:val="16"/>
                            </w:rPr>
                            <w:t>635</w:t>
                          </w:r>
                        </w:p>
                      </w:txbxContent>
                    </wps:txbx>
                    <wps:bodyPr lIns="0" tIns="0" rIns="0" bIns="0">
                      <a:spAutoFit/>
                    </wps:bodyPr>
                  </wps:wsp>
                </a:graphicData>
              </a:graphic>
            </wp:anchor>
          </w:drawing>
        </mc:Choice>
        <mc:Fallback>
          <w:pict>
            <v:shapetype w14:anchorId="0DDE0F66" id="_x0000_t202" coordsize="21600,21600" o:spt="202" path="m,l,21600r21600,l21600,xe">
              <v:stroke joinstyle="miter"/>
              <v:path gradientshapeok="t" o:connecttype="rect"/>
            </v:shapetype>
            <v:shape id="Shape 1923" o:spid="_x0000_s1180" type="#_x0000_t202" style="position:absolute;margin-left:180pt;margin-top:23.3pt;width:204.25pt;height:6.7pt;z-index:-25149952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" filled="f" stroked="f">
              <v:textbox style="mso-fit-shape-to-text:t" inset="0,0,0,0">
                <w:txbxContent>
                  <w:p w14:paraId="76DCA38C" w14:textId="77777777" w:rsidR="00924992" w:rsidRDefault="00924992">
                    <w:pPr>
                      <w:pStyle w:val="Headerorfooter0"/>
                      <w:tabs>
                        <w:tab w:val="right" w:pos="4085"/>
                      </w:tabs>
                      <w:rPr>
                        <w:sz w:val="16"/>
                        <w:szCs w:val="16"/>
                      </w:rPr>
                    </w:pPr>
                    <w:r>
                      <w:t>TIÑA DE LA CABEZA</w:t>
                    </w:r>
                    <w:r>
                      <w:tab/>
                    </w:r>
                    <w:r>
                      <w:rPr>
                        <w:sz w:val="16"/>
                        <w:szCs w:val="16"/>
                      </w:rPr>
                      <w:t>635</w:t>
                    </w:r>
                  </w:p>
                </w:txbxContent>
              </v:textbox>
              <w10:wrap anchorx="page" anchory="page"/>
            </v:shape>
          </w:pict>
        </mc:Fallback>
      </mc:AlternateContent>
    </w:r>
    <w:r>
      <w:rPr>
        <w:noProof/>
      </w:rPr>
      <mc:AlternateContent>
        <mc:Choice Requires="wps">
          <w:drawing>
            <wp:anchor distT="0" distB="0" distL="114300" distR="114300" simplePos="0" relativeHeight="251673600" behindDoc="1" locked="0" layoutInCell="1" allowOverlap="1" wp14:anchorId="22DB322A" wp14:editId="4E2039D1">
              <wp:simplePos x="0" y="0"/>
              <wp:positionH relativeFrom="page">
                <wp:posOffset>542290</wp:posOffset>
              </wp:positionH>
              <wp:positionV relativeFrom="page">
                <wp:posOffset>419100</wp:posOffset>
              </wp:positionV>
              <wp:extent cx="4358640" cy="0"/>
              <wp:effectExtent l="0" t="0" r="0" b="0"/>
              <wp:wrapNone/>
              <wp:docPr id="1925" name="Shape 1925"/>
              <wp:cNvGraphicFramePr/>
              <a:graphic xmlns:a="http://schemas.openxmlformats.org/drawingml/2006/main">
                <a:graphicData uri="http://schemas.microsoft.com/office/word/2010/wordprocessingShape">
                  <wps:wsp>
                    <wps:cNvCnPr/>
                    <wps:spPr>
                      <a:xfrm>
                        <a:off x="0" y="0"/>
                        <a:ext cx="4358640" cy="0"/>
                      </a:xfrm>
                      <a:prstGeom prst="straightConnector1">
                        <a:avLst/>
                      </a:prstGeom>
                      <a:ln w="12700">
                        <a:solidFill/>
                      </a:ln>
                    </wps:spPr>
                    <wps:bodyPr/>
                  </wps:wsp>
                </a:graphicData>
              </a:graphic>
            </wp:anchor>
          </w:drawing>
        </mc:Choice>
        <mc:Fallback>
          <w:pict>
            <v:shapetype w14:anchorId="10547526" id="_x0000_t32" coordsize="21600,21600" o:spt="32" o:oned="t" path="m,l21600,21600e" filled="f">
              <v:path arrowok="t" fillok="f" o:connecttype="none"/>
              <o:lock v:ext="edit" shapetype="t"/>
            </v:shapetype>
            <v:shape id="Shape 1925" o:spid="_x0000_s1026" type="#_x0000_t32" style="position:absolute;margin-left:42.7pt;margin-top:33pt;width:343.2pt;height:0;z-index:-251642880;visibility:visible;mso-wrap-style:square;mso-wrap-distance-left:9pt;mso-wrap-distance-top:0;mso-wrap-distance-right:9pt;mso-wrap-distance-bottom:0;mso-position-horizontal:absolute;mso-position-horizontal-relative:page;mso-position-vertical:absolute;mso-position-vertical-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" strokeweight="1pt">
              <w10:wrap anchorx="page" anchory="page"/>
            </v:shape>
          </w:pict>
        </mc:Fallback>
      </mc:AlternateContent>
    </w:r>
  </w:p>
</w:hdr>
</file>

<file path=word/header1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193C7B" w14:textId="77777777" w:rsidR="00924992" w:rsidRDefault="00924992">
    <w:pPr>
      <w:spacing w:line="1" w:lineRule="exact"/>
    </w:pPr>
    <w:r>
      <w:rPr>
        <w:noProof/>
      </w:rPr>
      <mc:AlternateContent>
        <mc:Choice Requires="wps">
          <w:drawing>
            <wp:anchor distT="0" distB="0" distL="0" distR="0" simplePos="0" relativeHeight="251819008" behindDoc="1" locked="0" layoutInCell="1" allowOverlap="1" wp14:anchorId="4556E87B" wp14:editId="3221A38E">
              <wp:simplePos x="0" y="0"/>
              <wp:positionH relativeFrom="page">
                <wp:posOffset>2400300</wp:posOffset>
              </wp:positionH>
              <wp:positionV relativeFrom="page">
                <wp:posOffset>295910</wp:posOffset>
              </wp:positionV>
              <wp:extent cx="2484120" cy="85090"/>
              <wp:effectExtent l="0" t="0" r="0" b="0"/>
              <wp:wrapNone/>
              <wp:docPr id="1929" name="Shape 1929"/>
              <wp:cNvGraphicFramePr/>
              <a:graphic xmlns:a="http://schemas.openxmlformats.org/drawingml/2006/main">
                <a:graphicData uri="http://schemas.microsoft.com/office/word/2010/wordprocessingShape">
                  <wps:wsp>
                    <wps:cNvSpPr txBox="1"/>
                    <wps:spPr>
                      <a:xfrm>
                        <a:off x="0" y="0"/>
                        <a:ext cx="2484120" cy="85090"/>
                      </a:xfrm>
                      <a:prstGeom prst="rect">
                        <a:avLst/>
                      </a:prstGeom>
                      <a:noFill/>
                    </wps:spPr>
                    <wps:txbx>
                      <w:txbxContent>
                        <w:p w14:paraId="57C0702D" w14:textId="77777777" w:rsidR="00924992" w:rsidRDefault="00924992">
                          <w:pPr>
                            <w:pStyle w:val="Headerorfooter0"/>
                            <w:tabs>
                              <w:tab w:val="right" w:pos="3912"/>
                            </w:tabs>
                            <w:rPr>
                              <w:sz w:val="16"/>
                              <w:szCs w:val="16"/>
                            </w:rPr>
                          </w:pPr>
                          <w:r>
                            <w:t>TIÑA INGUINAL</w:t>
                          </w:r>
                          <w:r>
                            <w:tab/>
                          </w:r>
                          <w:r>
                            <w:rPr>
                              <w:sz w:val="16"/>
                              <w:szCs w:val="16"/>
                            </w:rPr>
                            <w:t>637</w:t>
                          </w:r>
                        </w:p>
                      </w:txbxContent>
                    </wps:txbx>
                    <wps:bodyPr lIns="0" tIns="0" rIns="0" bIns="0">
                      <a:spAutoFit/>
                    </wps:bodyPr>
                  </wps:wsp>
                </a:graphicData>
              </a:graphic>
            </wp:anchor>
          </w:drawing>
        </mc:Choice>
        <mc:Fallback>
          <w:pict>
            <v:shapetype w14:anchorId="4556E87B" id="_x0000_t202" coordsize="21600,21600" o:spt="202" path="m,l,21600r21600,l21600,xe">
              <v:stroke joinstyle="miter"/>
              <v:path gradientshapeok="t" o:connecttype="rect"/>
            </v:shapetype>
            <v:shape id="Shape 1929" o:spid="_x0000_s1181" type="#_x0000_t202" style="position:absolute;margin-left:189pt;margin-top:23.3pt;width:195.6pt;height:6.7pt;z-index:-25149747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" filled="f" stroked="f">
              <v:textbox style="mso-fit-shape-to-text:t" inset="0,0,0,0">
                <w:txbxContent>
                  <w:p w14:paraId="57C0702D" w14:textId="77777777" w:rsidR="00924992" w:rsidRDefault="00924992">
                    <w:pPr>
                      <w:pStyle w:val="Headerorfooter0"/>
                      <w:tabs>
                        <w:tab w:val="right" w:pos="3912"/>
                      </w:tabs>
                      <w:rPr>
                        <w:sz w:val="16"/>
                        <w:szCs w:val="16"/>
                      </w:rPr>
                    </w:pPr>
                    <w:r>
                      <w:t>TIÑA INGUINAL</w:t>
                    </w:r>
                    <w:r>
                      <w:tab/>
                    </w:r>
                    <w:r>
                      <w:rPr>
                        <w:sz w:val="16"/>
                        <w:szCs w:val="16"/>
                      </w:rPr>
                      <w:t>637</w:t>
                    </w:r>
                  </w:p>
                </w:txbxContent>
              </v:textbox>
              <w10:wrap anchorx="page" anchory="page"/>
            </v:shape>
          </w:pict>
        </mc:Fallback>
      </mc:AlternateContent>
    </w:r>
    <w:r>
      <w:rPr>
        <w:noProof/>
      </w:rPr>
      <mc:AlternateContent>
        <mc:Choice Requires="wps">
          <w:drawing>
            <wp:anchor distT="0" distB="0" distL="114300" distR="114300" simplePos="0" relativeHeight="251675648" behindDoc="1" locked="0" layoutInCell="1" allowOverlap="1" wp14:anchorId="4F8C5581" wp14:editId="55B90450">
              <wp:simplePos x="0" y="0"/>
              <wp:positionH relativeFrom="page">
                <wp:posOffset>547370</wp:posOffset>
              </wp:positionH>
              <wp:positionV relativeFrom="page">
                <wp:posOffset>419100</wp:posOffset>
              </wp:positionV>
              <wp:extent cx="4358640" cy="0"/>
              <wp:effectExtent l="0" t="0" r="0" b="0"/>
              <wp:wrapNone/>
              <wp:docPr id="1931" name="Shape 1931"/>
              <wp:cNvGraphicFramePr/>
              <a:graphic xmlns:a="http://schemas.openxmlformats.org/drawingml/2006/main">
                <a:graphicData uri="http://schemas.microsoft.com/office/word/2010/wordprocessingShape">
                  <wps:wsp>
                    <wps:cNvCnPr/>
                    <wps:spPr>
                      <a:xfrm>
                        <a:off x="0" y="0"/>
                        <a:ext cx="4358640" cy="0"/>
                      </a:xfrm>
                      <a:prstGeom prst="straightConnector1">
                        <a:avLst/>
                      </a:prstGeom>
                      <a:ln w="12700">
                        <a:solidFill/>
                      </a:ln>
                    </wps:spPr>
                    <wps:bodyPr/>
                  </wps:wsp>
                </a:graphicData>
              </a:graphic>
            </wp:anchor>
          </w:drawing>
        </mc:Choice>
        <mc:Fallback>
          <w:pict>
            <v:shapetype w14:anchorId="7653E47F" id="_x0000_t32" coordsize="21600,21600" o:spt="32" o:oned="t" path="m,l21600,21600e" filled="f">
              <v:path arrowok="t" fillok="f" o:connecttype="none"/>
              <o:lock v:ext="edit" shapetype="t"/>
            </v:shapetype>
            <v:shape id="Shape 1931" o:spid="_x0000_s1026" type="#_x0000_t32" style="position:absolute;margin-left:43.1pt;margin-top:33pt;width:343.2pt;height:0;z-index:-251640832;visibility:visible;mso-wrap-style:square;mso-wrap-distance-left:9pt;mso-wrap-distance-top:0;mso-wrap-distance-right:9pt;mso-wrap-distance-bottom:0;mso-position-horizontal:absolute;mso-position-horizontal-relative:page;mso-position-vertical:absolute;mso-position-vertical-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" strokeweight="1pt">
              <w10:wrap anchorx="page" anchory="page"/>
            </v:shape>
          </w:pict>
        </mc:Fallback>
      </mc:AlternateContent>
    </w:r>
  </w:p>
</w:hdr>
</file>

<file path=word/header1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0E4F99" w14:textId="77777777" w:rsidR="00924992" w:rsidRDefault="00924992">
    <w:pPr>
      <w:spacing w:line="1" w:lineRule="exact"/>
    </w:pPr>
    <w:r>
      <w:rPr>
        <w:noProof/>
      </w:rPr>
      <mc:AlternateContent>
        <mc:Choice Requires="wps">
          <w:drawing>
            <wp:anchor distT="0" distB="0" distL="0" distR="0" simplePos="0" relativeHeight="251817984" behindDoc="1" locked="0" layoutInCell="1" allowOverlap="1" wp14:anchorId="35E751B9" wp14:editId="0636E5D3">
              <wp:simplePos x="0" y="0"/>
              <wp:positionH relativeFrom="page">
                <wp:posOffset>2400300</wp:posOffset>
              </wp:positionH>
              <wp:positionV relativeFrom="page">
                <wp:posOffset>295910</wp:posOffset>
              </wp:positionV>
              <wp:extent cx="2484120" cy="85090"/>
              <wp:effectExtent l="0" t="0" r="0" b="0"/>
              <wp:wrapNone/>
              <wp:docPr id="1926" name="Shape 1926"/>
              <wp:cNvGraphicFramePr/>
              <a:graphic xmlns:a="http://schemas.openxmlformats.org/drawingml/2006/main">
                <a:graphicData uri="http://schemas.microsoft.com/office/word/2010/wordprocessingShape">
                  <wps:wsp>
                    <wps:cNvSpPr txBox="1"/>
                    <wps:spPr>
                      <a:xfrm>
                        <a:off x="0" y="0"/>
                        <a:ext cx="2484120" cy="85090"/>
                      </a:xfrm>
                      <a:prstGeom prst="rect">
                        <a:avLst/>
                      </a:prstGeom>
                      <a:noFill/>
                    </wps:spPr>
                    <wps:txbx>
                      <w:txbxContent>
                        <w:p w14:paraId="61ACD511" w14:textId="77777777" w:rsidR="00924992" w:rsidRDefault="00924992">
                          <w:pPr>
                            <w:pStyle w:val="Headerorfooter0"/>
                            <w:tabs>
                              <w:tab w:val="right" w:pos="3912"/>
                            </w:tabs>
                            <w:rPr>
                              <w:sz w:val="16"/>
                              <w:szCs w:val="16"/>
                            </w:rPr>
                          </w:pPr>
                          <w:r>
                            <w:t>TIÑA INGUINAL</w:t>
                          </w:r>
                          <w:r>
                            <w:tab/>
                          </w:r>
                          <w:r>
                            <w:rPr>
                              <w:sz w:val="16"/>
                              <w:szCs w:val="16"/>
                            </w:rPr>
                            <w:t>637</w:t>
                          </w:r>
                        </w:p>
                      </w:txbxContent>
                    </wps:txbx>
                    <wps:bodyPr lIns="0" tIns="0" rIns="0" bIns="0">
                      <a:spAutoFit/>
                    </wps:bodyPr>
                  </wps:wsp>
                </a:graphicData>
              </a:graphic>
            </wp:anchor>
          </w:drawing>
        </mc:Choice>
        <mc:Fallback>
          <w:pict>
            <v:shapetype w14:anchorId="35E751B9" id="_x0000_t202" coordsize="21600,21600" o:spt="202" path="m,l,21600r21600,l21600,xe">
              <v:stroke joinstyle="miter"/>
              <v:path gradientshapeok="t" o:connecttype="rect"/>
            </v:shapetype>
            <v:shape id="Shape 1926" o:spid="_x0000_s1182" type="#_x0000_t202" style="position:absolute;margin-left:189pt;margin-top:23.3pt;width:195.6pt;height:6.7pt;z-index:-25149849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" filled="f" stroked="f">
              <v:textbox style="mso-fit-shape-to-text:t" inset="0,0,0,0">
                <w:txbxContent>
                  <w:p w14:paraId="61ACD511" w14:textId="77777777" w:rsidR="00924992" w:rsidRDefault="00924992">
                    <w:pPr>
                      <w:pStyle w:val="Headerorfooter0"/>
                      <w:tabs>
                        <w:tab w:val="right" w:pos="3912"/>
                      </w:tabs>
                      <w:rPr>
                        <w:sz w:val="16"/>
                        <w:szCs w:val="16"/>
                      </w:rPr>
                    </w:pPr>
                    <w:r>
                      <w:t>TIÑA INGUINAL</w:t>
                    </w:r>
                    <w:r>
                      <w:tab/>
                    </w:r>
                    <w:r>
                      <w:rPr>
                        <w:sz w:val="16"/>
                        <w:szCs w:val="16"/>
                      </w:rPr>
                      <w:t>637</w:t>
                    </w:r>
                  </w:p>
                </w:txbxContent>
              </v:textbox>
              <w10:wrap anchorx="page" anchory="page"/>
            </v:shape>
          </w:pict>
        </mc:Fallback>
      </mc:AlternateContent>
    </w:r>
    <w:r>
      <w:rPr>
        <w:noProof/>
      </w:rPr>
      <mc:AlternateContent>
        <mc:Choice Requires="wps">
          <w:drawing>
            <wp:anchor distT="0" distB="0" distL="114300" distR="114300" simplePos="0" relativeHeight="251674624" behindDoc="1" locked="0" layoutInCell="1" allowOverlap="1" wp14:anchorId="031B8B4D" wp14:editId="52BBAC90">
              <wp:simplePos x="0" y="0"/>
              <wp:positionH relativeFrom="page">
                <wp:posOffset>547370</wp:posOffset>
              </wp:positionH>
              <wp:positionV relativeFrom="page">
                <wp:posOffset>419100</wp:posOffset>
              </wp:positionV>
              <wp:extent cx="4358640" cy="0"/>
              <wp:effectExtent l="0" t="0" r="0" b="0"/>
              <wp:wrapNone/>
              <wp:docPr id="1928" name="Shape 1928"/>
              <wp:cNvGraphicFramePr/>
              <a:graphic xmlns:a="http://schemas.openxmlformats.org/drawingml/2006/main">
                <a:graphicData uri="http://schemas.microsoft.com/office/word/2010/wordprocessingShape">
                  <wps:wsp>
                    <wps:cNvCnPr/>
                    <wps:spPr>
                      <a:xfrm>
                        <a:off x="0" y="0"/>
                        <a:ext cx="4358640" cy="0"/>
                      </a:xfrm>
                      <a:prstGeom prst="straightConnector1">
                        <a:avLst/>
                      </a:prstGeom>
                      <a:ln w="12700">
                        <a:solidFill/>
                      </a:ln>
                    </wps:spPr>
                    <wps:bodyPr/>
                  </wps:wsp>
                </a:graphicData>
              </a:graphic>
            </wp:anchor>
          </w:drawing>
        </mc:Choice>
        <mc:Fallback>
          <w:pict>
            <v:shapetype w14:anchorId="26468CDA" id="_x0000_t32" coordsize="21600,21600" o:spt="32" o:oned="t" path="m,l21600,21600e" filled="f">
              <v:path arrowok="t" fillok="f" o:connecttype="none"/>
              <o:lock v:ext="edit" shapetype="t"/>
            </v:shapetype>
            <v:shape id="Shape 1928" o:spid="_x0000_s1026" type="#_x0000_t32" style="position:absolute;margin-left:43.1pt;margin-top:33pt;width:343.2pt;height:0;z-index:-251641856;visibility:visible;mso-wrap-style:square;mso-wrap-distance-left:9pt;mso-wrap-distance-top:0;mso-wrap-distance-right:9pt;mso-wrap-distance-bottom:0;mso-position-horizontal:absolute;mso-position-horizontal-relative:page;mso-position-vertical:absolute;mso-position-vertical-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" strokeweight="1pt">
              <w10:wrap anchorx="page" anchory="page"/>
            </v:shape>
          </w:pict>
        </mc:Fallback>
      </mc:AlternateContent>
    </w:r>
  </w:p>
</w:hdr>
</file>

<file path=word/header1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BEAC8C" w14:textId="77777777" w:rsidR="00924992" w:rsidRDefault="00924992">
    <w:pPr>
      <w:spacing w:line="1" w:lineRule="exact"/>
    </w:pPr>
    <w:r>
      <w:rPr>
        <w:noProof/>
      </w:rPr>
      <mc:AlternateContent>
        <mc:Choice Requires="wps">
          <w:drawing>
            <wp:anchor distT="0" distB="0" distL="0" distR="0" simplePos="0" relativeHeight="251821056" behindDoc="1" locked="0" layoutInCell="1" allowOverlap="1" wp14:anchorId="04D7F4DF" wp14:editId="6BD9D059">
              <wp:simplePos x="0" y="0"/>
              <wp:positionH relativeFrom="page">
                <wp:posOffset>556260</wp:posOffset>
              </wp:positionH>
              <wp:positionV relativeFrom="page">
                <wp:posOffset>295910</wp:posOffset>
              </wp:positionV>
              <wp:extent cx="2487295" cy="85090"/>
              <wp:effectExtent l="0" t="0" r="0" b="0"/>
              <wp:wrapNone/>
              <wp:docPr id="1935" name="Shape 1935"/>
              <wp:cNvGraphicFramePr/>
              <a:graphic xmlns:a="http://schemas.openxmlformats.org/drawingml/2006/main">
                <a:graphicData uri="http://schemas.microsoft.com/office/word/2010/wordprocessingShape">
                  <wps:wsp>
                    <wps:cNvSpPr txBox="1"/>
                    <wps:spPr>
                      <a:xfrm>
                        <a:off x="0" y="0"/>
                        <a:ext cx="2487295" cy="85090"/>
                      </a:xfrm>
                      <a:prstGeom prst="rect">
                        <a:avLst/>
                      </a:prstGeom>
                      <a:noFill/>
                    </wps:spPr>
                    <wps:txbx>
                      <w:txbxContent>
                        <w:p w14:paraId="6F3C04EC" w14:textId="77777777" w:rsidR="00924992" w:rsidRDefault="00924992">
                          <w:pPr>
                            <w:pStyle w:val="Headerorfooter0"/>
                            <w:tabs>
                              <w:tab w:val="right" w:pos="3917"/>
                            </w:tabs>
                          </w:pPr>
                          <w:r>
                            <w:fldChar w:fldCharType="begin"/>
                          </w:r>
                          <w:r>
                            <w:instrText xml:space="preserve"> PAGE \* MERGEFORMAT </w:instrText>
                          </w:r>
                          <w:r>
                            <w:fldChar w:fldCharType="separate"/>
                          </w:r>
                          <w:r>
                            <w:rPr>
                              <w:sz w:val="16"/>
                              <w:szCs w:val="16"/>
                            </w:rPr>
                            <w:t>#</w:t>
                          </w:r>
                          <w:r>
                            <w:rPr>
                              <w:sz w:val="16"/>
                              <w:szCs w:val="16"/>
                            </w:rPr>
                            <w:fldChar w:fldCharType="end"/>
                          </w:r>
                          <w:r>
                            <w:rPr>
                              <w:sz w:val="16"/>
                              <w:szCs w:val="16"/>
                            </w:rPr>
                            <w:tab/>
                          </w:r>
                          <w:r>
                            <w:t>TIÑA INGUINAL</w:t>
                          </w:r>
                        </w:p>
                      </w:txbxContent>
                    </wps:txbx>
                    <wps:bodyPr lIns="0" tIns="0" rIns="0" bIns="0">
                      <a:spAutoFit/>
                    </wps:bodyPr>
                  </wps:wsp>
                </a:graphicData>
              </a:graphic>
            </wp:anchor>
          </w:drawing>
        </mc:Choice>
        <mc:Fallback>
          <w:pict>
            <v:shapetype w14:anchorId="04D7F4DF" id="_x0000_t202" coordsize="21600,21600" o:spt="202" path="m,l,21600r21600,l21600,xe">
              <v:stroke joinstyle="miter"/>
              <v:path gradientshapeok="t" o:connecttype="rect"/>
            </v:shapetype>
            <v:shape id="Shape 1935" o:spid="_x0000_s1183" type="#_x0000_t202" style="position:absolute;margin-left:43.8pt;margin-top:23.3pt;width:195.85pt;height:6.7pt;z-index:-25149542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" filled="f" stroked="f">
              <v:textbox style="mso-fit-shape-to-text:t" inset="0,0,0,0">
                <w:txbxContent>
                  <w:p w14:paraId="6F3C04EC" w14:textId="77777777" w:rsidR="00924992" w:rsidRDefault="00924992">
                    <w:pPr>
                      <w:pStyle w:val="Headerorfooter0"/>
                      <w:tabs>
                        <w:tab w:val="right" w:pos="3917"/>
                      </w:tabs>
                    </w:pPr>
                    <w:r>
                      <w:fldChar w:fldCharType="begin"/>
                    </w:r>
                    <w:r>
                      <w:instrText xml:space="preserve"> PAGE \* MERGEFORMAT </w:instrText>
                    </w:r>
                    <w:r>
                      <w:fldChar w:fldCharType="separate"/>
                    </w:r>
                    <w:r>
                      <w:rPr>
                        <w:sz w:val="16"/>
                        <w:szCs w:val="16"/>
                      </w:rPr>
                      <w:t>#</w:t>
                    </w:r>
                    <w:r>
                      <w:rPr>
                        <w:sz w:val="16"/>
                        <w:szCs w:val="16"/>
                      </w:rPr>
                      <w:fldChar w:fldCharType="end"/>
                    </w:r>
                    <w:r>
                      <w:rPr>
                        <w:sz w:val="16"/>
                        <w:szCs w:val="16"/>
                      </w:rPr>
                      <w:tab/>
                    </w:r>
                    <w:r>
                      <w:t>TIÑA INGUINAL</w:t>
                    </w:r>
                  </w:p>
                </w:txbxContent>
              </v:textbox>
              <w10:wrap anchorx="page" anchory="page"/>
            </v:shape>
          </w:pict>
        </mc:Fallback>
      </mc:AlternateContent>
    </w:r>
    <w:r>
      <w:rPr>
        <w:noProof/>
      </w:rPr>
      <mc:AlternateContent>
        <mc:Choice Requires="wps">
          <w:drawing>
            <wp:anchor distT="0" distB="0" distL="114300" distR="114300" simplePos="0" relativeHeight="251677696" behindDoc="1" locked="0" layoutInCell="1" allowOverlap="1" wp14:anchorId="1E1ACF29" wp14:editId="058A0FDF">
              <wp:simplePos x="0" y="0"/>
              <wp:positionH relativeFrom="page">
                <wp:posOffset>541020</wp:posOffset>
              </wp:positionH>
              <wp:positionV relativeFrom="page">
                <wp:posOffset>419100</wp:posOffset>
              </wp:positionV>
              <wp:extent cx="4358640" cy="0"/>
              <wp:effectExtent l="0" t="0" r="0" b="0"/>
              <wp:wrapNone/>
              <wp:docPr id="1937" name="Shape 1937"/>
              <wp:cNvGraphicFramePr/>
              <a:graphic xmlns:a="http://schemas.openxmlformats.org/drawingml/2006/main">
                <a:graphicData uri="http://schemas.microsoft.com/office/word/2010/wordprocessingShape">
                  <wps:wsp>
                    <wps:cNvCnPr/>
                    <wps:spPr>
                      <a:xfrm>
                        <a:off x="0" y="0"/>
                        <a:ext cx="4358640" cy="0"/>
                      </a:xfrm>
                      <a:prstGeom prst="straightConnector1">
                        <a:avLst/>
                      </a:prstGeom>
                      <a:ln w="12700">
                        <a:solidFill/>
                      </a:ln>
                    </wps:spPr>
                    <wps:bodyPr/>
                  </wps:wsp>
                </a:graphicData>
              </a:graphic>
            </wp:anchor>
          </w:drawing>
        </mc:Choice>
        <mc:Fallback>
          <w:pict>
            <v:shapetype w14:anchorId="0FB274AF" id="_x0000_t32" coordsize="21600,21600" o:spt="32" o:oned="t" path="m,l21600,21600e" filled="f">
              <v:path arrowok="t" fillok="f" o:connecttype="none"/>
              <o:lock v:ext="edit" shapetype="t"/>
            </v:shapetype>
            <v:shape id="Shape 1937" o:spid="_x0000_s1026" type="#_x0000_t32" style="position:absolute;margin-left:42.6pt;margin-top:33pt;width:343.2pt;height:0;z-index:-251638784;visibility:visible;mso-wrap-style:square;mso-wrap-distance-left:9pt;mso-wrap-distance-top:0;mso-wrap-distance-right:9pt;mso-wrap-distance-bottom:0;mso-position-horizontal:absolute;mso-position-horizontal-relative:page;mso-position-vertical:absolute;mso-position-vertical-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" strokeweight="1pt">
              <w10:wrap anchorx="page" anchory="page"/>
            </v:shape>
          </w:pict>
        </mc:Fallback>
      </mc:AlternateContent>
    </w:r>
  </w:p>
</w:hdr>
</file>

<file path=word/header1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BDE130" w14:textId="77777777" w:rsidR="00924992" w:rsidRDefault="00924992">
    <w:pPr>
      <w:spacing w:line="1" w:lineRule="exact"/>
    </w:pPr>
    <w:r>
      <w:rPr>
        <w:noProof/>
      </w:rPr>
      <mc:AlternateContent>
        <mc:Choice Requires="wps">
          <w:drawing>
            <wp:anchor distT="0" distB="0" distL="0" distR="0" simplePos="0" relativeHeight="251820032" behindDoc="1" locked="0" layoutInCell="1" allowOverlap="1" wp14:anchorId="1C8F856D" wp14:editId="48FE6EE7">
              <wp:simplePos x="0" y="0"/>
              <wp:positionH relativeFrom="page">
                <wp:posOffset>556260</wp:posOffset>
              </wp:positionH>
              <wp:positionV relativeFrom="page">
                <wp:posOffset>295910</wp:posOffset>
              </wp:positionV>
              <wp:extent cx="2487295" cy="85090"/>
              <wp:effectExtent l="0" t="0" r="0" b="0"/>
              <wp:wrapNone/>
              <wp:docPr id="1932" name="Shape 1932"/>
              <wp:cNvGraphicFramePr/>
              <a:graphic xmlns:a="http://schemas.openxmlformats.org/drawingml/2006/main">
                <a:graphicData uri="http://schemas.microsoft.com/office/word/2010/wordprocessingShape">
                  <wps:wsp>
                    <wps:cNvSpPr txBox="1"/>
                    <wps:spPr>
                      <a:xfrm>
                        <a:off x="0" y="0"/>
                        <a:ext cx="2487295" cy="85090"/>
                      </a:xfrm>
                      <a:prstGeom prst="rect">
                        <a:avLst/>
                      </a:prstGeom>
                      <a:noFill/>
                    </wps:spPr>
                    <wps:txbx>
                      <w:txbxContent>
                        <w:p w14:paraId="48EBE9CC" w14:textId="77777777" w:rsidR="00924992" w:rsidRDefault="00924992">
                          <w:pPr>
                            <w:pStyle w:val="Headerorfooter0"/>
                            <w:tabs>
                              <w:tab w:val="right" w:pos="3917"/>
                            </w:tabs>
                          </w:pPr>
                          <w:r>
                            <w:fldChar w:fldCharType="begin"/>
                          </w:r>
                          <w:r>
                            <w:instrText xml:space="preserve"> PAGE \* MERGEFORMAT </w:instrText>
                          </w:r>
                          <w:r>
                            <w:fldChar w:fldCharType="separate"/>
                          </w:r>
                          <w:r>
                            <w:rPr>
                              <w:sz w:val="16"/>
                              <w:szCs w:val="16"/>
                            </w:rPr>
                            <w:t>#</w:t>
                          </w:r>
                          <w:r>
                            <w:rPr>
                              <w:sz w:val="16"/>
                              <w:szCs w:val="16"/>
                            </w:rPr>
                            <w:fldChar w:fldCharType="end"/>
                          </w:r>
                          <w:r>
                            <w:rPr>
                              <w:sz w:val="16"/>
                              <w:szCs w:val="16"/>
                            </w:rPr>
                            <w:tab/>
                          </w:r>
                          <w:r>
                            <w:t>TIÑA INGUINAL</w:t>
                          </w:r>
                        </w:p>
                      </w:txbxContent>
                    </wps:txbx>
                    <wps:bodyPr lIns="0" tIns="0" rIns="0" bIns="0">
                      <a:spAutoFit/>
                    </wps:bodyPr>
                  </wps:wsp>
                </a:graphicData>
              </a:graphic>
            </wp:anchor>
          </w:drawing>
        </mc:Choice>
        <mc:Fallback>
          <w:pict>
            <v:shapetype w14:anchorId="1C8F856D" id="_x0000_t202" coordsize="21600,21600" o:spt="202" path="m,l,21600r21600,l21600,xe">
              <v:stroke joinstyle="miter"/>
              <v:path gradientshapeok="t" o:connecttype="rect"/>
            </v:shapetype>
            <v:shape id="Shape 1932" o:spid="_x0000_s1184" type="#_x0000_t202" style="position:absolute;margin-left:43.8pt;margin-top:23.3pt;width:195.85pt;height:6.7pt;z-index:-25149644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" filled="f" stroked="f">
              <v:textbox style="mso-fit-shape-to-text:t" inset="0,0,0,0">
                <w:txbxContent>
                  <w:p w14:paraId="48EBE9CC" w14:textId="77777777" w:rsidR="00924992" w:rsidRDefault="00924992">
                    <w:pPr>
                      <w:pStyle w:val="Headerorfooter0"/>
                      <w:tabs>
                        <w:tab w:val="right" w:pos="3917"/>
                      </w:tabs>
                    </w:pPr>
                    <w:r>
                      <w:fldChar w:fldCharType="begin"/>
                    </w:r>
                    <w:r>
                      <w:instrText xml:space="preserve"> PAGE \* MERGEFORMAT </w:instrText>
                    </w:r>
                    <w:r>
                      <w:fldChar w:fldCharType="separate"/>
                    </w:r>
                    <w:r>
                      <w:rPr>
                        <w:sz w:val="16"/>
                        <w:szCs w:val="16"/>
                      </w:rPr>
                      <w:t>#</w:t>
                    </w:r>
                    <w:r>
                      <w:rPr>
                        <w:sz w:val="16"/>
                        <w:szCs w:val="16"/>
                      </w:rPr>
                      <w:fldChar w:fldCharType="end"/>
                    </w:r>
                    <w:r>
                      <w:rPr>
                        <w:sz w:val="16"/>
                        <w:szCs w:val="16"/>
                      </w:rPr>
                      <w:tab/>
                    </w:r>
                    <w:r>
                      <w:t>TIÑA INGUINAL</w:t>
                    </w:r>
                  </w:p>
                </w:txbxContent>
              </v:textbox>
              <w10:wrap anchorx="page" anchory="page"/>
            </v:shape>
          </w:pict>
        </mc:Fallback>
      </mc:AlternateContent>
    </w:r>
    <w:r>
      <w:rPr>
        <w:noProof/>
      </w:rPr>
      <mc:AlternateContent>
        <mc:Choice Requires="wps">
          <w:drawing>
            <wp:anchor distT="0" distB="0" distL="114300" distR="114300" simplePos="0" relativeHeight="251676672" behindDoc="1" locked="0" layoutInCell="1" allowOverlap="1" wp14:anchorId="63F1789F" wp14:editId="41AD4A65">
              <wp:simplePos x="0" y="0"/>
              <wp:positionH relativeFrom="page">
                <wp:posOffset>541020</wp:posOffset>
              </wp:positionH>
              <wp:positionV relativeFrom="page">
                <wp:posOffset>419100</wp:posOffset>
              </wp:positionV>
              <wp:extent cx="4358640" cy="0"/>
              <wp:effectExtent l="0" t="0" r="0" b="0"/>
              <wp:wrapNone/>
              <wp:docPr id="1934" name="Shape 1934"/>
              <wp:cNvGraphicFramePr/>
              <a:graphic xmlns:a="http://schemas.openxmlformats.org/drawingml/2006/main">
                <a:graphicData uri="http://schemas.microsoft.com/office/word/2010/wordprocessingShape">
                  <wps:wsp>
                    <wps:cNvCnPr/>
                    <wps:spPr>
                      <a:xfrm>
                        <a:off x="0" y="0"/>
                        <a:ext cx="4358640" cy="0"/>
                      </a:xfrm>
                      <a:prstGeom prst="straightConnector1">
                        <a:avLst/>
                      </a:prstGeom>
                      <a:ln w="12700">
                        <a:solidFill/>
                      </a:ln>
                    </wps:spPr>
                    <wps:bodyPr/>
                  </wps:wsp>
                </a:graphicData>
              </a:graphic>
            </wp:anchor>
          </w:drawing>
        </mc:Choice>
        <mc:Fallback>
          <w:pict>
            <v:shapetype w14:anchorId="3011D429" id="_x0000_t32" coordsize="21600,21600" o:spt="32" o:oned="t" path="m,l21600,21600e" filled="f">
              <v:path arrowok="t" fillok="f" o:connecttype="none"/>
              <o:lock v:ext="edit" shapetype="t"/>
            </v:shapetype>
            <v:shape id="Shape 1934" o:spid="_x0000_s1026" type="#_x0000_t32" style="position:absolute;margin-left:42.6pt;margin-top:33pt;width:343.2pt;height:0;z-index:-251639808;visibility:visible;mso-wrap-style:square;mso-wrap-distance-left:9pt;mso-wrap-distance-top:0;mso-wrap-distance-right:9pt;mso-wrap-distance-bottom:0;mso-position-horizontal:absolute;mso-position-horizontal-relative:page;mso-position-vertical:absolute;mso-position-vertical-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" strokeweight="1pt">
              <w10:wrap anchorx="page" anchory="page"/>
            </v:shape>
          </w:pict>
        </mc:Fallback>
      </mc:AlternateContent>
    </w:r>
  </w:p>
</w:hdr>
</file>

<file path=word/header2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D3AB8B" w14:textId="77777777" w:rsidR="00924992" w:rsidRDefault="00924992">
    <w:pPr>
      <w:spacing w:line="1" w:lineRule="exact"/>
    </w:pPr>
    <w:r>
      <w:rPr>
        <w:noProof/>
      </w:rPr>
      <mc:AlternateContent>
        <mc:Choice Requires="wps">
          <w:drawing>
            <wp:anchor distT="0" distB="0" distL="0" distR="0" simplePos="0" relativeHeight="251822080" behindDoc="1" locked="0" layoutInCell="1" allowOverlap="1" wp14:anchorId="300BEE57" wp14:editId="54C35DCA">
              <wp:simplePos x="0" y="0"/>
              <wp:positionH relativeFrom="page">
                <wp:posOffset>2400300</wp:posOffset>
              </wp:positionH>
              <wp:positionV relativeFrom="page">
                <wp:posOffset>295910</wp:posOffset>
              </wp:positionV>
              <wp:extent cx="2484120" cy="85090"/>
              <wp:effectExtent l="0" t="0" r="0" b="0"/>
              <wp:wrapNone/>
              <wp:docPr id="1938" name="Shape 1938"/>
              <wp:cNvGraphicFramePr/>
              <a:graphic xmlns:a="http://schemas.openxmlformats.org/drawingml/2006/main">
                <a:graphicData uri="http://schemas.microsoft.com/office/word/2010/wordprocessingShape">
                  <wps:wsp>
                    <wps:cNvSpPr txBox="1"/>
                    <wps:spPr>
                      <a:xfrm>
                        <a:off x="0" y="0"/>
                        <a:ext cx="2484120" cy="85090"/>
                      </a:xfrm>
                      <a:prstGeom prst="rect">
                        <a:avLst/>
                      </a:prstGeom>
                      <a:noFill/>
                    </wps:spPr>
                    <wps:txbx>
                      <w:txbxContent>
                        <w:p w14:paraId="2DE199EB" w14:textId="77777777" w:rsidR="00924992" w:rsidRDefault="00924992">
                          <w:pPr>
                            <w:pStyle w:val="Headerorfooter0"/>
                            <w:tabs>
                              <w:tab w:val="right" w:pos="3912"/>
                            </w:tabs>
                            <w:rPr>
                              <w:sz w:val="16"/>
                              <w:szCs w:val="16"/>
                            </w:rPr>
                          </w:pPr>
                          <w:r>
                            <w:t>TIÑA INGUINAL</w:t>
                          </w:r>
                          <w:r>
                            <w:tab/>
                          </w:r>
                          <w:r>
                            <w:rPr>
                              <w:sz w:val="16"/>
                              <w:szCs w:val="16"/>
                            </w:rPr>
                            <w:t>637</w:t>
                          </w:r>
                        </w:p>
                      </w:txbxContent>
                    </wps:txbx>
                    <wps:bodyPr lIns="0" tIns="0" rIns="0" bIns="0">
                      <a:spAutoFit/>
                    </wps:bodyPr>
                  </wps:wsp>
                </a:graphicData>
              </a:graphic>
            </wp:anchor>
          </w:drawing>
        </mc:Choice>
        <mc:Fallback>
          <w:pict>
            <v:shapetype w14:anchorId="300BEE57" id="_x0000_t202" coordsize="21600,21600" o:spt="202" path="m,l,21600r21600,l21600,xe">
              <v:stroke joinstyle="miter"/>
              <v:path gradientshapeok="t" o:connecttype="rect"/>
            </v:shapetype>
            <v:shape id="Shape 1938" o:spid="_x0000_s1185" type="#_x0000_t202" style="position:absolute;margin-left:189pt;margin-top:23.3pt;width:195.6pt;height:6.7pt;z-index:-25149440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" filled="f" stroked="f">
              <v:textbox style="mso-fit-shape-to-text:t" inset="0,0,0,0">
                <w:txbxContent>
                  <w:p w14:paraId="2DE199EB" w14:textId="77777777" w:rsidR="00924992" w:rsidRDefault="00924992">
                    <w:pPr>
                      <w:pStyle w:val="Headerorfooter0"/>
                      <w:tabs>
                        <w:tab w:val="right" w:pos="3912"/>
                      </w:tabs>
                      <w:rPr>
                        <w:sz w:val="16"/>
                        <w:szCs w:val="16"/>
                      </w:rPr>
                    </w:pPr>
                    <w:r>
                      <w:t>TIÑA INGUINAL</w:t>
                    </w:r>
                    <w:r>
                      <w:tab/>
                    </w:r>
                    <w:r>
                      <w:rPr>
                        <w:sz w:val="16"/>
                        <w:szCs w:val="16"/>
                      </w:rPr>
                      <w:t>637</w:t>
                    </w:r>
                  </w:p>
                </w:txbxContent>
              </v:textbox>
              <w10:wrap anchorx="page" anchory="page"/>
            </v:shape>
          </w:pict>
        </mc:Fallback>
      </mc:AlternateContent>
    </w:r>
    <w:r>
      <w:rPr>
        <w:noProof/>
      </w:rPr>
      <mc:AlternateContent>
        <mc:Choice Requires="wps">
          <w:drawing>
            <wp:anchor distT="0" distB="0" distL="114300" distR="114300" simplePos="0" relativeHeight="251678720" behindDoc="1" locked="0" layoutInCell="1" allowOverlap="1" wp14:anchorId="65F1F495" wp14:editId="0E40EF0B">
              <wp:simplePos x="0" y="0"/>
              <wp:positionH relativeFrom="page">
                <wp:posOffset>547370</wp:posOffset>
              </wp:positionH>
              <wp:positionV relativeFrom="page">
                <wp:posOffset>419100</wp:posOffset>
              </wp:positionV>
              <wp:extent cx="4358640" cy="0"/>
              <wp:effectExtent l="0" t="0" r="0" b="0"/>
              <wp:wrapNone/>
              <wp:docPr id="1940" name="Shape 1940"/>
              <wp:cNvGraphicFramePr/>
              <a:graphic xmlns:a="http://schemas.openxmlformats.org/drawingml/2006/main">
                <a:graphicData uri="http://schemas.microsoft.com/office/word/2010/wordprocessingShape">
                  <wps:wsp>
                    <wps:cNvCnPr/>
                    <wps:spPr>
                      <a:xfrm>
                        <a:off x="0" y="0"/>
                        <a:ext cx="4358640" cy="0"/>
                      </a:xfrm>
                      <a:prstGeom prst="straightConnector1">
                        <a:avLst/>
                      </a:prstGeom>
                      <a:ln w="12700">
                        <a:solidFill/>
                      </a:ln>
                    </wps:spPr>
                    <wps:bodyPr/>
                  </wps:wsp>
                </a:graphicData>
              </a:graphic>
            </wp:anchor>
          </w:drawing>
        </mc:Choice>
        <mc:Fallback>
          <w:pict>
            <v:shapetype w14:anchorId="4AA1A399" id="_x0000_t32" coordsize="21600,21600" o:spt="32" o:oned="t" path="m,l21600,21600e" filled="f">
              <v:path arrowok="t" fillok="f" o:connecttype="none"/>
              <o:lock v:ext="edit" shapetype="t"/>
            </v:shapetype>
            <v:shape id="Shape 1940" o:spid="_x0000_s1026" type="#_x0000_t32" style="position:absolute;margin-left:43.1pt;margin-top:33pt;width:343.2pt;height:0;z-index:-251637760;visibility:visible;mso-wrap-style:square;mso-wrap-distance-left:9pt;mso-wrap-distance-top:0;mso-wrap-distance-right:9pt;mso-wrap-distance-bottom:0;mso-position-horizontal:absolute;mso-position-horizontal-relative:page;mso-position-vertical:absolute;mso-position-vertical-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" strokeweight="1pt">
              <w10:wrap anchorx="page" anchory="page"/>
            </v:shape>
          </w:pict>
        </mc:Fallback>
      </mc:AlternateContent>
    </w:r>
  </w:p>
</w:hdr>
</file>

<file path=word/header2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995116" w14:textId="77777777" w:rsidR="00924992" w:rsidRDefault="00924992">
    <w:pPr>
      <w:spacing w:line="1" w:lineRule="exact"/>
    </w:pPr>
    <w:r>
      <w:rPr>
        <w:noProof/>
      </w:rPr>
      <mc:AlternateContent>
        <mc:Choice Requires="wps">
          <w:drawing>
            <wp:anchor distT="0" distB="0" distL="0" distR="0" simplePos="0" relativeHeight="251824128" behindDoc="1" locked="0" layoutInCell="1" allowOverlap="1" wp14:anchorId="6C1F3696" wp14:editId="047DFE2D">
              <wp:simplePos x="0" y="0"/>
              <wp:positionH relativeFrom="page">
                <wp:posOffset>2435225</wp:posOffset>
              </wp:positionH>
              <wp:positionV relativeFrom="page">
                <wp:posOffset>295910</wp:posOffset>
              </wp:positionV>
              <wp:extent cx="2444750" cy="85090"/>
              <wp:effectExtent l="0" t="0" r="0" b="0"/>
              <wp:wrapNone/>
              <wp:docPr id="1944" name="Shape 1944"/>
              <wp:cNvGraphicFramePr/>
              <a:graphic xmlns:a="http://schemas.openxmlformats.org/drawingml/2006/main">
                <a:graphicData uri="http://schemas.microsoft.com/office/word/2010/wordprocessingShape">
                  <wps:wsp>
                    <wps:cNvSpPr txBox="1"/>
                    <wps:spPr>
                      <a:xfrm>
                        <a:off x="0" y="0"/>
                        <a:ext cx="2444750" cy="85090"/>
                      </a:xfrm>
                      <a:prstGeom prst="rect">
                        <a:avLst/>
                      </a:prstGeom>
                      <a:noFill/>
                    </wps:spPr>
                    <wps:txbx>
                      <w:txbxContent>
                        <w:p w14:paraId="56CB9272" w14:textId="77777777" w:rsidR="00924992" w:rsidRDefault="00924992">
                          <w:pPr>
                            <w:pStyle w:val="Headerorfooter0"/>
                            <w:tabs>
                              <w:tab w:val="right" w:pos="3850"/>
                            </w:tabs>
                            <w:rPr>
                              <w:sz w:val="16"/>
                              <w:szCs w:val="16"/>
                            </w:rPr>
                          </w:pPr>
                          <w:r>
                            <w:t>TIÑA DEL PIE</w:t>
                          </w:r>
                          <w:r>
                            <w:tab/>
                          </w:r>
                          <w:r>
                            <w:fldChar w:fldCharType="begin"/>
                          </w:r>
                          <w:r>
                            <w:instrText xml:space="preserve"> PAGE \* MERGEFORMAT </w:instrText>
                          </w:r>
                          <w:r>
                            <w:fldChar w:fldCharType="separate"/>
                          </w:r>
                          <w:r>
                            <w:rPr>
                              <w:sz w:val="16"/>
                              <w:szCs w:val="16"/>
                            </w:rPr>
                            <w:t>#</w:t>
                          </w:r>
                          <w:r>
                            <w:rPr>
                              <w:sz w:val="16"/>
                              <w:szCs w:val="16"/>
                            </w:rPr>
                            <w:fldChar w:fldCharType="end"/>
                          </w:r>
                        </w:p>
                      </w:txbxContent>
                    </wps:txbx>
                    <wps:bodyPr lIns="0" tIns="0" rIns="0" bIns="0">
                      <a:spAutoFit/>
                    </wps:bodyPr>
                  </wps:wsp>
                </a:graphicData>
              </a:graphic>
            </wp:anchor>
          </w:drawing>
        </mc:Choice>
        <mc:Fallback>
          <w:pict>
            <v:shapetype w14:anchorId="6C1F3696" id="_x0000_t202" coordsize="21600,21600" o:spt="202" path="m,l,21600r21600,l21600,xe">
              <v:stroke joinstyle="miter"/>
              <v:path gradientshapeok="t" o:connecttype="rect"/>
            </v:shapetype>
            <v:shape id="Shape 1944" o:spid="_x0000_s1186" type="#_x0000_t202" style="position:absolute;margin-left:191.75pt;margin-top:23.3pt;width:192.5pt;height:6.7pt;z-index:-25149235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" filled="f" stroked="f">
              <v:textbox style="mso-fit-shape-to-text:t" inset="0,0,0,0">
                <w:txbxContent>
                  <w:p w14:paraId="56CB9272" w14:textId="77777777" w:rsidR="00924992" w:rsidRDefault="00924992">
                    <w:pPr>
                      <w:pStyle w:val="Headerorfooter0"/>
                      <w:tabs>
                        <w:tab w:val="right" w:pos="3850"/>
                      </w:tabs>
                      <w:rPr>
                        <w:sz w:val="16"/>
                        <w:szCs w:val="16"/>
                      </w:rPr>
                    </w:pPr>
                    <w:r>
                      <w:t>TIÑA DEL PIE</w:t>
                    </w:r>
                    <w:r>
                      <w:tab/>
                    </w:r>
                    <w:r>
                      <w:fldChar w:fldCharType="begin"/>
                    </w:r>
                    <w:r>
                      <w:instrText xml:space="preserve"> PAGE \* MERGEFORMAT </w:instrText>
                    </w:r>
                    <w:r>
                      <w:fldChar w:fldCharType="separate"/>
                    </w:r>
                    <w:r>
                      <w:rPr>
                        <w:sz w:val="16"/>
                        <w:szCs w:val="16"/>
                      </w:rPr>
                      <w:t>#</w:t>
                    </w:r>
                    <w:r>
                      <w:rPr>
                        <w:sz w:val="16"/>
                        <w:szCs w:val="16"/>
                      </w:rPr>
                      <w:fldChar w:fldCharType="end"/>
                    </w:r>
                  </w:p>
                </w:txbxContent>
              </v:textbox>
              <w10:wrap anchorx="page" anchory="page"/>
            </v:shape>
          </w:pict>
        </mc:Fallback>
      </mc:AlternateContent>
    </w:r>
    <w:r>
      <w:rPr>
        <w:noProof/>
      </w:rPr>
      <mc:AlternateContent>
        <mc:Choice Requires="wps">
          <w:drawing>
            <wp:anchor distT="0" distB="0" distL="114300" distR="114300" simplePos="0" relativeHeight="251680768" behindDoc="1" locked="0" layoutInCell="1" allowOverlap="1" wp14:anchorId="708CA431" wp14:editId="5E83CD35">
              <wp:simplePos x="0" y="0"/>
              <wp:positionH relativeFrom="page">
                <wp:posOffset>542290</wp:posOffset>
              </wp:positionH>
              <wp:positionV relativeFrom="page">
                <wp:posOffset>419100</wp:posOffset>
              </wp:positionV>
              <wp:extent cx="4358640" cy="0"/>
              <wp:effectExtent l="0" t="0" r="0" b="0"/>
              <wp:wrapNone/>
              <wp:docPr id="1946" name="Shape 1946"/>
              <wp:cNvGraphicFramePr/>
              <a:graphic xmlns:a="http://schemas.openxmlformats.org/drawingml/2006/main">
                <a:graphicData uri="http://schemas.microsoft.com/office/word/2010/wordprocessingShape">
                  <wps:wsp>
                    <wps:cNvCnPr/>
                    <wps:spPr>
                      <a:xfrm>
                        <a:off x="0" y="0"/>
                        <a:ext cx="4358640" cy="0"/>
                      </a:xfrm>
                      <a:prstGeom prst="straightConnector1">
                        <a:avLst/>
                      </a:prstGeom>
                      <a:ln w="12700">
                        <a:solidFill/>
                      </a:ln>
                    </wps:spPr>
                    <wps:bodyPr/>
                  </wps:wsp>
                </a:graphicData>
              </a:graphic>
            </wp:anchor>
          </w:drawing>
        </mc:Choice>
        <mc:Fallback>
          <w:pict>
            <v:shapetype w14:anchorId="788D6859" id="_x0000_t32" coordsize="21600,21600" o:spt="32" o:oned="t" path="m,l21600,21600e" filled="f">
              <v:path arrowok="t" fillok="f" o:connecttype="none"/>
              <o:lock v:ext="edit" shapetype="t"/>
            </v:shapetype>
            <v:shape id="Shape 1946" o:spid="_x0000_s1026" type="#_x0000_t32" style="position:absolute;margin-left:42.7pt;margin-top:33pt;width:343.2pt;height:0;z-index:-251635712;visibility:visible;mso-wrap-style:square;mso-wrap-distance-left:9pt;mso-wrap-distance-top:0;mso-wrap-distance-right:9pt;mso-wrap-distance-bottom:0;mso-position-horizontal:absolute;mso-position-horizontal-relative:page;mso-position-vertical:absolute;mso-position-vertical-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" strokeweight="1pt">
              <w10:wrap anchorx="page" anchory="page"/>
            </v:shape>
          </w:pict>
        </mc:Fallback>
      </mc:AlternateContent>
    </w:r>
  </w:p>
</w:hdr>
</file>

<file path=word/header2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8E0B65" w14:textId="77777777" w:rsidR="00924992" w:rsidRDefault="00924992">
    <w:pPr>
      <w:spacing w:line="1" w:lineRule="exact"/>
    </w:pPr>
    <w:r>
      <w:rPr>
        <w:noProof/>
      </w:rPr>
      <mc:AlternateContent>
        <mc:Choice Requires="wps">
          <w:drawing>
            <wp:anchor distT="0" distB="0" distL="0" distR="0" simplePos="0" relativeHeight="251823104" behindDoc="1" locked="0" layoutInCell="1" allowOverlap="1" wp14:anchorId="01644931" wp14:editId="7F589598">
              <wp:simplePos x="0" y="0"/>
              <wp:positionH relativeFrom="page">
                <wp:posOffset>2435225</wp:posOffset>
              </wp:positionH>
              <wp:positionV relativeFrom="page">
                <wp:posOffset>295910</wp:posOffset>
              </wp:positionV>
              <wp:extent cx="2444750" cy="85090"/>
              <wp:effectExtent l="0" t="0" r="0" b="0"/>
              <wp:wrapNone/>
              <wp:docPr id="1941" name="Shape 1941"/>
              <wp:cNvGraphicFramePr/>
              <a:graphic xmlns:a="http://schemas.openxmlformats.org/drawingml/2006/main">
                <a:graphicData uri="http://schemas.microsoft.com/office/word/2010/wordprocessingShape">
                  <wps:wsp>
                    <wps:cNvSpPr txBox="1"/>
                    <wps:spPr>
                      <a:xfrm>
                        <a:off x="0" y="0"/>
                        <a:ext cx="2444750" cy="85090"/>
                      </a:xfrm>
                      <a:prstGeom prst="rect">
                        <a:avLst/>
                      </a:prstGeom>
                      <a:noFill/>
                    </wps:spPr>
                    <wps:txbx>
                      <w:txbxContent>
                        <w:p w14:paraId="4834E013" w14:textId="77777777" w:rsidR="00924992" w:rsidRDefault="00924992">
                          <w:pPr>
                            <w:pStyle w:val="Headerorfooter0"/>
                            <w:tabs>
                              <w:tab w:val="right" w:pos="3850"/>
                            </w:tabs>
                            <w:rPr>
                              <w:sz w:val="16"/>
                              <w:szCs w:val="16"/>
                            </w:rPr>
                          </w:pPr>
                          <w:r>
                            <w:t>TIÑA DEL PIE</w:t>
                          </w:r>
                          <w:r>
                            <w:tab/>
                          </w:r>
                          <w:r>
                            <w:fldChar w:fldCharType="begin"/>
                          </w:r>
                          <w:r>
                            <w:instrText xml:space="preserve"> PAGE \* MERGEFORMAT </w:instrText>
                          </w:r>
                          <w:r>
                            <w:fldChar w:fldCharType="separate"/>
                          </w:r>
                          <w:r>
                            <w:rPr>
                              <w:sz w:val="16"/>
                              <w:szCs w:val="16"/>
                            </w:rPr>
                            <w:t>#</w:t>
                          </w:r>
                          <w:r>
                            <w:rPr>
                              <w:sz w:val="16"/>
                              <w:szCs w:val="16"/>
                            </w:rPr>
                            <w:fldChar w:fldCharType="end"/>
                          </w:r>
                        </w:p>
                      </w:txbxContent>
                    </wps:txbx>
                    <wps:bodyPr lIns="0" tIns="0" rIns="0" bIns="0">
                      <a:spAutoFit/>
                    </wps:bodyPr>
                  </wps:wsp>
                </a:graphicData>
              </a:graphic>
            </wp:anchor>
          </w:drawing>
        </mc:Choice>
        <mc:Fallback>
          <w:pict>
            <v:shapetype w14:anchorId="01644931" id="_x0000_t202" coordsize="21600,21600" o:spt="202" path="m,l,21600r21600,l21600,xe">
              <v:stroke joinstyle="miter"/>
              <v:path gradientshapeok="t" o:connecttype="rect"/>
            </v:shapetype>
            <v:shape id="Shape 1941" o:spid="_x0000_s1187" type="#_x0000_t202" style="position:absolute;margin-left:191.75pt;margin-top:23.3pt;width:192.5pt;height:6.7pt;z-index:-25149337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" filled="f" stroked="f">
              <v:textbox style="mso-fit-shape-to-text:t" inset="0,0,0,0">
                <w:txbxContent>
                  <w:p w14:paraId="4834E013" w14:textId="77777777" w:rsidR="00924992" w:rsidRDefault="00924992">
                    <w:pPr>
                      <w:pStyle w:val="Headerorfooter0"/>
                      <w:tabs>
                        <w:tab w:val="right" w:pos="3850"/>
                      </w:tabs>
                      <w:rPr>
                        <w:sz w:val="16"/>
                        <w:szCs w:val="16"/>
                      </w:rPr>
                    </w:pPr>
                    <w:r>
                      <w:t>TIÑA DEL PIE</w:t>
                    </w:r>
                    <w:r>
                      <w:tab/>
                    </w:r>
                    <w:r>
                      <w:fldChar w:fldCharType="begin"/>
                    </w:r>
                    <w:r>
                      <w:instrText xml:space="preserve"> PAGE \* MERGEFORMAT </w:instrText>
                    </w:r>
                    <w:r>
                      <w:fldChar w:fldCharType="separate"/>
                    </w:r>
                    <w:r>
                      <w:rPr>
                        <w:sz w:val="16"/>
                        <w:szCs w:val="16"/>
                      </w:rPr>
                      <w:t>#</w:t>
                    </w:r>
                    <w:r>
                      <w:rPr>
                        <w:sz w:val="16"/>
                        <w:szCs w:val="16"/>
                      </w:rPr>
                      <w:fldChar w:fldCharType="end"/>
                    </w:r>
                  </w:p>
                </w:txbxContent>
              </v:textbox>
              <w10:wrap anchorx="page" anchory="page"/>
            </v:shape>
          </w:pict>
        </mc:Fallback>
      </mc:AlternateContent>
    </w:r>
    <w:r>
      <w:rPr>
        <w:noProof/>
      </w:rPr>
      <mc:AlternateContent>
        <mc:Choice Requires="wps">
          <w:drawing>
            <wp:anchor distT="0" distB="0" distL="114300" distR="114300" simplePos="0" relativeHeight="251679744" behindDoc="1" locked="0" layoutInCell="1" allowOverlap="1" wp14:anchorId="046FDC4A" wp14:editId="5262A978">
              <wp:simplePos x="0" y="0"/>
              <wp:positionH relativeFrom="page">
                <wp:posOffset>542290</wp:posOffset>
              </wp:positionH>
              <wp:positionV relativeFrom="page">
                <wp:posOffset>419100</wp:posOffset>
              </wp:positionV>
              <wp:extent cx="4358640" cy="0"/>
              <wp:effectExtent l="0" t="0" r="0" b="0"/>
              <wp:wrapNone/>
              <wp:docPr id="1943" name="Shape 1943"/>
              <wp:cNvGraphicFramePr/>
              <a:graphic xmlns:a="http://schemas.openxmlformats.org/drawingml/2006/main">
                <a:graphicData uri="http://schemas.microsoft.com/office/word/2010/wordprocessingShape">
                  <wps:wsp>
                    <wps:cNvCnPr/>
                    <wps:spPr>
                      <a:xfrm>
                        <a:off x="0" y="0"/>
                        <a:ext cx="4358640" cy="0"/>
                      </a:xfrm>
                      <a:prstGeom prst="straightConnector1">
                        <a:avLst/>
                      </a:prstGeom>
                      <a:ln w="12700">
                        <a:solidFill/>
                      </a:ln>
                    </wps:spPr>
                    <wps:bodyPr/>
                  </wps:wsp>
                </a:graphicData>
              </a:graphic>
            </wp:anchor>
          </w:drawing>
        </mc:Choice>
        <mc:Fallback>
          <w:pict>
            <v:shapetype w14:anchorId="3F3C2AA6" id="_x0000_t32" coordsize="21600,21600" o:spt="32" o:oned="t" path="m,l21600,21600e" filled="f">
              <v:path arrowok="t" fillok="f" o:connecttype="none"/>
              <o:lock v:ext="edit" shapetype="t"/>
            </v:shapetype>
            <v:shape id="Shape 1943" o:spid="_x0000_s1026" type="#_x0000_t32" style="position:absolute;margin-left:42.7pt;margin-top:33pt;width:343.2pt;height:0;z-index:-251636736;visibility:visible;mso-wrap-style:square;mso-wrap-distance-left:9pt;mso-wrap-distance-top:0;mso-wrap-distance-right:9pt;mso-wrap-distance-bottom:0;mso-position-horizontal:absolute;mso-position-horizontal-relative:page;mso-position-vertical:absolute;mso-position-vertical-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" strokeweight="1pt">
              <w10:wrap anchorx="page" anchory="page"/>
            </v:shape>
          </w:pict>
        </mc:Fallback>
      </mc:AlternateContent>
    </w:r>
  </w:p>
</w:hdr>
</file>

<file path=word/header2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FF3B7D" w14:textId="77777777" w:rsidR="00924992" w:rsidRDefault="00924992">
    <w:pPr>
      <w:spacing w:line="1" w:lineRule="exact"/>
    </w:pPr>
    <w:r>
      <w:rPr>
        <w:noProof/>
      </w:rPr>
      <mc:AlternateContent>
        <mc:Choice Requires="wps">
          <w:drawing>
            <wp:anchor distT="0" distB="0" distL="0" distR="0" simplePos="0" relativeHeight="251826176" behindDoc="1" locked="0" layoutInCell="1" allowOverlap="1" wp14:anchorId="2E0C4F57" wp14:editId="294C81EA">
              <wp:simplePos x="0" y="0"/>
              <wp:positionH relativeFrom="page">
                <wp:posOffset>560705</wp:posOffset>
              </wp:positionH>
              <wp:positionV relativeFrom="page">
                <wp:posOffset>295910</wp:posOffset>
              </wp:positionV>
              <wp:extent cx="2563495" cy="85090"/>
              <wp:effectExtent l="0" t="0" r="0" b="0"/>
              <wp:wrapNone/>
              <wp:docPr id="1950" name="Shape 1950"/>
              <wp:cNvGraphicFramePr/>
              <a:graphic xmlns:a="http://schemas.openxmlformats.org/drawingml/2006/main">
                <a:graphicData uri="http://schemas.microsoft.com/office/word/2010/wordprocessingShape">
                  <wps:wsp>
                    <wps:cNvSpPr txBox="1"/>
                    <wps:spPr>
                      <a:xfrm>
                        <a:off x="0" y="0"/>
                        <a:ext cx="2563495" cy="85090"/>
                      </a:xfrm>
                      <a:prstGeom prst="rect">
                        <a:avLst/>
                      </a:prstGeom>
                      <a:noFill/>
                    </wps:spPr>
                    <wps:txbx>
                      <w:txbxContent>
                        <w:p w14:paraId="1EA89AA6" w14:textId="77777777" w:rsidR="00924992" w:rsidRDefault="00924992">
                          <w:pPr>
                            <w:pStyle w:val="Headerorfooter0"/>
                            <w:tabs>
                              <w:tab w:val="right" w:pos="4037"/>
                            </w:tabs>
                          </w:pPr>
                          <w:r>
                            <w:fldChar w:fldCharType="begin"/>
                          </w:r>
                          <w:r>
                            <w:instrText xml:space="preserve"> PAGE \* MERGEFORMAT </w:instrText>
                          </w:r>
                          <w:r>
                            <w:fldChar w:fldCharType="separate"/>
                          </w:r>
                          <w:r>
                            <w:rPr>
                              <w:sz w:val="16"/>
                              <w:szCs w:val="16"/>
                            </w:rPr>
                            <w:t>#</w:t>
                          </w:r>
                          <w:r>
                            <w:rPr>
                              <w:sz w:val="16"/>
                              <w:szCs w:val="16"/>
                            </w:rPr>
                            <w:fldChar w:fldCharType="end"/>
                          </w:r>
                          <w:r>
                            <w:rPr>
                              <w:sz w:val="16"/>
                              <w:szCs w:val="16"/>
                            </w:rPr>
                            <w:tab/>
                          </w:r>
                          <w:r>
                            <w:t>TIÑA VERSICOLOR</w:t>
                          </w:r>
                        </w:p>
                      </w:txbxContent>
                    </wps:txbx>
                    <wps:bodyPr lIns="0" tIns="0" rIns="0" bIns="0">
                      <a:spAutoFit/>
                    </wps:bodyPr>
                  </wps:wsp>
                </a:graphicData>
              </a:graphic>
            </wp:anchor>
          </w:drawing>
        </mc:Choice>
        <mc:Fallback>
          <w:pict>
            <v:shapetype w14:anchorId="2E0C4F57" id="_x0000_t202" coordsize="21600,21600" o:spt="202" path="m,l,21600r21600,l21600,xe">
              <v:stroke joinstyle="miter"/>
              <v:path gradientshapeok="t" o:connecttype="rect"/>
            </v:shapetype>
            <v:shape id="Shape 1950" o:spid="_x0000_s1188" type="#_x0000_t202" style="position:absolute;margin-left:44.15pt;margin-top:23.3pt;width:201.85pt;height:6.7pt;z-index:-25149030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" filled="f" stroked="f">
              <v:textbox style="mso-fit-shape-to-text:t" inset="0,0,0,0">
                <w:txbxContent>
                  <w:p w14:paraId="1EA89AA6" w14:textId="77777777" w:rsidR="00924992" w:rsidRDefault="00924992">
                    <w:pPr>
                      <w:pStyle w:val="Headerorfooter0"/>
                      <w:tabs>
                        <w:tab w:val="right" w:pos="4037"/>
                      </w:tabs>
                    </w:pPr>
                    <w:r>
                      <w:fldChar w:fldCharType="begin"/>
                    </w:r>
                    <w:r>
                      <w:instrText xml:space="preserve"> PAGE \* MERGEFORMAT </w:instrText>
                    </w:r>
                    <w:r>
                      <w:fldChar w:fldCharType="separate"/>
                    </w:r>
                    <w:r>
                      <w:rPr>
                        <w:sz w:val="16"/>
                        <w:szCs w:val="16"/>
                      </w:rPr>
                      <w:t>#</w:t>
                    </w:r>
                    <w:r>
                      <w:rPr>
                        <w:sz w:val="16"/>
                        <w:szCs w:val="16"/>
                      </w:rPr>
                      <w:fldChar w:fldCharType="end"/>
                    </w:r>
                    <w:r>
                      <w:rPr>
                        <w:sz w:val="16"/>
                        <w:szCs w:val="16"/>
                      </w:rPr>
                      <w:tab/>
                    </w:r>
                    <w:r>
                      <w:t>TIÑA VERSICOLOR</w:t>
                    </w:r>
                  </w:p>
                </w:txbxContent>
              </v:textbox>
              <w10:wrap anchorx="page" anchory="page"/>
            </v:shape>
          </w:pict>
        </mc:Fallback>
      </mc:AlternateContent>
    </w:r>
    <w:r>
      <w:rPr>
        <w:noProof/>
      </w:rPr>
      <mc:AlternateContent>
        <mc:Choice Requires="wps">
          <w:drawing>
            <wp:anchor distT="0" distB="0" distL="114300" distR="114300" simplePos="0" relativeHeight="251682816" behindDoc="1" locked="0" layoutInCell="1" allowOverlap="1" wp14:anchorId="7720C885" wp14:editId="3FB98057">
              <wp:simplePos x="0" y="0"/>
              <wp:positionH relativeFrom="page">
                <wp:posOffset>545465</wp:posOffset>
              </wp:positionH>
              <wp:positionV relativeFrom="page">
                <wp:posOffset>419100</wp:posOffset>
              </wp:positionV>
              <wp:extent cx="4358640" cy="0"/>
              <wp:effectExtent l="0" t="0" r="0" b="0"/>
              <wp:wrapNone/>
              <wp:docPr id="1952" name="Shape 1952"/>
              <wp:cNvGraphicFramePr/>
              <a:graphic xmlns:a="http://schemas.openxmlformats.org/drawingml/2006/main">
                <a:graphicData uri="http://schemas.microsoft.com/office/word/2010/wordprocessingShape">
                  <wps:wsp>
                    <wps:cNvCnPr/>
                    <wps:spPr>
                      <a:xfrm>
                        <a:off x="0" y="0"/>
                        <a:ext cx="4358640" cy="0"/>
                      </a:xfrm>
                      <a:prstGeom prst="straightConnector1">
                        <a:avLst/>
                      </a:prstGeom>
                      <a:ln w="12700">
                        <a:solidFill/>
                      </a:ln>
                    </wps:spPr>
                    <wps:bodyPr/>
                  </wps:wsp>
                </a:graphicData>
              </a:graphic>
            </wp:anchor>
          </w:drawing>
        </mc:Choice>
        <mc:Fallback>
          <w:pict>
            <v:shapetype w14:anchorId="28297BDB" id="_x0000_t32" coordsize="21600,21600" o:spt="32" o:oned="t" path="m,l21600,21600e" filled="f">
              <v:path arrowok="t" fillok="f" o:connecttype="none"/>
              <o:lock v:ext="edit" shapetype="t"/>
            </v:shapetype>
            <v:shape id="Shape 1952" o:spid="_x0000_s1026" type="#_x0000_t32" style="position:absolute;margin-left:42.95pt;margin-top:33pt;width:343.2pt;height:0;z-index:-251633664;visibility:visible;mso-wrap-style:square;mso-wrap-distance-left:9pt;mso-wrap-distance-top:0;mso-wrap-distance-right:9pt;mso-wrap-distance-bottom:0;mso-position-horizontal:absolute;mso-position-horizontal-relative:page;mso-position-vertical:absolute;mso-position-vertical-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" strokeweight="1pt">
              <w10:wrap anchorx="page" anchory="page"/>
            </v:shape>
          </w:pict>
        </mc:Fallback>
      </mc:AlternateContent>
    </w:r>
  </w:p>
</w:hdr>
</file>

<file path=word/header2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510985" w14:textId="77777777" w:rsidR="00924992" w:rsidRDefault="00924992">
    <w:pPr>
      <w:spacing w:line="1" w:lineRule="exact"/>
    </w:pPr>
    <w:r>
      <w:rPr>
        <w:noProof/>
      </w:rPr>
      <mc:AlternateContent>
        <mc:Choice Requires="wps">
          <w:drawing>
            <wp:anchor distT="0" distB="0" distL="0" distR="0" simplePos="0" relativeHeight="251825152" behindDoc="1" locked="0" layoutInCell="1" allowOverlap="1" wp14:anchorId="4A7D6458" wp14:editId="477F5C89">
              <wp:simplePos x="0" y="0"/>
              <wp:positionH relativeFrom="page">
                <wp:posOffset>560705</wp:posOffset>
              </wp:positionH>
              <wp:positionV relativeFrom="page">
                <wp:posOffset>295910</wp:posOffset>
              </wp:positionV>
              <wp:extent cx="2563495" cy="85090"/>
              <wp:effectExtent l="0" t="0" r="0" b="0"/>
              <wp:wrapNone/>
              <wp:docPr id="1947" name="Shape 1947"/>
              <wp:cNvGraphicFramePr/>
              <a:graphic xmlns:a="http://schemas.openxmlformats.org/drawingml/2006/main">
                <a:graphicData uri="http://schemas.microsoft.com/office/word/2010/wordprocessingShape">
                  <wps:wsp>
                    <wps:cNvSpPr txBox="1"/>
                    <wps:spPr>
                      <a:xfrm>
                        <a:off x="0" y="0"/>
                        <a:ext cx="2563495" cy="85090"/>
                      </a:xfrm>
                      <a:prstGeom prst="rect">
                        <a:avLst/>
                      </a:prstGeom>
                      <a:noFill/>
                    </wps:spPr>
                    <wps:txbx>
                      <w:txbxContent>
                        <w:p w14:paraId="7D4E9FFB" w14:textId="77777777" w:rsidR="00924992" w:rsidRDefault="00924992">
                          <w:pPr>
                            <w:pStyle w:val="Headerorfooter0"/>
                            <w:tabs>
                              <w:tab w:val="right" w:pos="4037"/>
                            </w:tabs>
                          </w:pPr>
                          <w:r>
                            <w:fldChar w:fldCharType="begin"/>
                          </w:r>
                          <w:r>
                            <w:instrText xml:space="preserve"> PAGE \* MERGEFORMAT </w:instrText>
                          </w:r>
                          <w:r>
                            <w:fldChar w:fldCharType="separate"/>
                          </w:r>
                          <w:r>
                            <w:rPr>
                              <w:sz w:val="16"/>
                              <w:szCs w:val="16"/>
                            </w:rPr>
                            <w:t>#</w:t>
                          </w:r>
                          <w:r>
                            <w:rPr>
                              <w:sz w:val="16"/>
                              <w:szCs w:val="16"/>
                            </w:rPr>
                            <w:fldChar w:fldCharType="end"/>
                          </w:r>
                          <w:r>
                            <w:rPr>
                              <w:sz w:val="16"/>
                              <w:szCs w:val="16"/>
                            </w:rPr>
                            <w:tab/>
                          </w:r>
                          <w:r>
                            <w:t>TIÑA VERSICOLOR</w:t>
                          </w:r>
                        </w:p>
                      </w:txbxContent>
                    </wps:txbx>
                    <wps:bodyPr lIns="0" tIns="0" rIns="0" bIns="0">
                      <a:spAutoFit/>
                    </wps:bodyPr>
                  </wps:wsp>
                </a:graphicData>
              </a:graphic>
            </wp:anchor>
          </w:drawing>
        </mc:Choice>
        <mc:Fallback>
          <w:pict>
            <v:shapetype w14:anchorId="4A7D6458" id="_x0000_t202" coordsize="21600,21600" o:spt="202" path="m,l,21600r21600,l21600,xe">
              <v:stroke joinstyle="miter"/>
              <v:path gradientshapeok="t" o:connecttype="rect"/>
            </v:shapetype>
            <v:shape id="Shape 1947" o:spid="_x0000_s1189" type="#_x0000_t202" style="position:absolute;margin-left:44.15pt;margin-top:23.3pt;width:201.85pt;height:6.7pt;z-index:-25149132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" filled="f" stroked="f">
              <v:textbox style="mso-fit-shape-to-text:t" inset="0,0,0,0">
                <w:txbxContent>
                  <w:p w14:paraId="7D4E9FFB" w14:textId="77777777" w:rsidR="00924992" w:rsidRDefault="00924992">
                    <w:pPr>
                      <w:pStyle w:val="Headerorfooter0"/>
                      <w:tabs>
                        <w:tab w:val="right" w:pos="4037"/>
                      </w:tabs>
                    </w:pPr>
                    <w:r>
                      <w:fldChar w:fldCharType="begin"/>
                    </w:r>
                    <w:r>
                      <w:instrText xml:space="preserve"> PAGE \* MERGEFORMAT </w:instrText>
                    </w:r>
                    <w:r>
                      <w:fldChar w:fldCharType="separate"/>
                    </w:r>
                    <w:r>
                      <w:rPr>
                        <w:sz w:val="16"/>
                        <w:szCs w:val="16"/>
                      </w:rPr>
                      <w:t>#</w:t>
                    </w:r>
                    <w:r>
                      <w:rPr>
                        <w:sz w:val="16"/>
                        <w:szCs w:val="16"/>
                      </w:rPr>
                      <w:fldChar w:fldCharType="end"/>
                    </w:r>
                    <w:r>
                      <w:rPr>
                        <w:sz w:val="16"/>
                        <w:szCs w:val="16"/>
                      </w:rPr>
                      <w:tab/>
                    </w:r>
                    <w:r>
                      <w:t>TIÑA VERSICOLOR</w:t>
                    </w:r>
                  </w:p>
                </w:txbxContent>
              </v:textbox>
              <w10:wrap anchorx="page" anchory="page"/>
            </v:shape>
          </w:pict>
        </mc:Fallback>
      </mc:AlternateContent>
    </w:r>
    <w:r>
      <w:rPr>
        <w:noProof/>
      </w:rPr>
      <mc:AlternateContent>
        <mc:Choice Requires="wps">
          <w:drawing>
            <wp:anchor distT="0" distB="0" distL="114300" distR="114300" simplePos="0" relativeHeight="251681792" behindDoc="1" locked="0" layoutInCell="1" allowOverlap="1" wp14:anchorId="7C0DC211" wp14:editId="36DAFF43">
              <wp:simplePos x="0" y="0"/>
              <wp:positionH relativeFrom="page">
                <wp:posOffset>545465</wp:posOffset>
              </wp:positionH>
              <wp:positionV relativeFrom="page">
                <wp:posOffset>419100</wp:posOffset>
              </wp:positionV>
              <wp:extent cx="4358640" cy="0"/>
              <wp:effectExtent l="0" t="0" r="0" b="0"/>
              <wp:wrapNone/>
              <wp:docPr id="1949" name="Shape 1949"/>
              <wp:cNvGraphicFramePr/>
              <a:graphic xmlns:a="http://schemas.openxmlformats.org/drawingml/2006/main">
                <a:graphicData uri="http://schemas.microsoft.com/office/word/2010/wordprocessingShape">
                  <wps:wsp>
                    <wps:cNvCnPr/>
                    <wps:spPr>
                      <a:xfrm>
                        <a:off x="0" y="0"/>
                        <a:ext cx="4358640" cy="0"/>
                      </a:xfrm>
                      <a:prstGeom prst="straightConnector1">
                        <a:avLst/>
                      </a:prstGeom>
                      <a:ln w="12700">
                        <a:solidFill/>
                      </a:ln>
                    </wps:spPr>
                    <wps:bodyPr/>
                  </wps:wsp>
                </a:graphicData>
              </a:graphic>
            </wp:anchor>
          </w:drawing>
        </mc:Choice>
        <mc:Fallback>
          <w:pict>
            <v:shapetype w14:anchorId="023B3C53" id="_x0000_t32" coordsize="21600,21600" o:spt="32" o:oned="t" path="m,l21600,21600e" filled="f">
              <v:path arrowok="t" fillok="f" o:connecttype="none"/>
              <o:lock v:ext="edit" shapetype="t"/>
            </v:shapetype>
            <v:shape id="Shape 1949" o:spid="_x0000_s1026" type="#_x0000_t32" style="position:absolute;margin-left:42.95pt;margin-top:33pt;width:343.2pt;height:0;z-index:-251634688;visibility:visible;mso-wrap-style:square;mso-wrap-distance-left:9pt;mso-wrap-distance-top:0;mso-wrap-distance-right:9pt;mso-wrap-distance-bottom:0;mso-position-horizontal:absolute;mso-position-horizontal-relative:page;mso-position-vertical:absolute;mso-position-vertical-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" strokeweight="1pt">
              <w10:wrap anchorx="page" anchory="page"/>
            </v:shape>
          </w:pict>
        </mc:Fallback>
      </mc:AlternateContent>
    </w:r>
  </w:p>
</w:hdr>
</file>

<file path=word/header2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11991F" w14:textId="77777777" w:rsidR="00924992" w:rsidRDefault="00924992">
    <w:pPr>
      <w:spacing w:line="1" w:lineRule="exact"/>
    </w:pPr>
    <w:r>
      <w:rPr>
        <w:noProof/>
      </w:rPr>
      <mc:AlternateContent>
        <mc:Choice Requires="wps">
          <w:drawing>
            <wp:anchor distT="0" distB="0" distL="0" distR="0" simplePos="0" relativeHeight="251827200" behindDoc="1" locked="0" layoutInCell="1" allowOverlap="1" wp14:anchorId="0A7F7533" wp14:editId="56BFE06C">
              <wp:simplePos x="0" y="0"/>
              <wp:positionH relativeFrom="page">
                <wp:posOffset>2435225</wp:posOffset>
              </wp:positionH>
              <wp:positionV relativeFrom="page">
                <wp:posOffset>295910</wp:posOffset>
              </wp:positionV>
              <wp:extent cx="2444750" cy="85090"/>
              <wp:effectExtent l="0" t="0" r="0" b="0"/>
              <wp:wrapNone/>
              <wp:docPr id="1953" name="Shape 1953"/>
              <wp:cNvGraphicFramePr/>
              <a:graphic xmlns:a="http://schemas.openxmlformats.org/drawingml/2006/main">
                <a:graphicData uri="http://schemas.microsoft.com/office/word/2010/wordprocessingShape">
                  <wps:wsp>
                    <wps:cNvSpPr txBox="1"/>
                    <wps:spPr>
                      <a:xfrm>
                        <a:off x="0" y="0"/>
                        <a:ext cx="2444750" cy="85090"/>
                      </a:xfrm>
                      <a:prstGeom prst="rect">
                        <a:avLst/>
                      </a:prstGeom>
                      <a:noFill/>
                    </wps:spPr>
                    <wps:txbx>
                      <w:txbxContent>
                        <w:p w14:paraId="0E15D149" w14:textId="77777777" w:rsidR="00924992" w:rsidRDefault="00924992">
                          <w:pPr>
                            <w:pStyle w:val="Headerorfooter0"/>
                            <w:tabs>
                              <w:tab w:val="right" w:pos="3850"/>
                            </w:tabs>
                            <w:rPr>
                              <w:sz w:val="16"/>
                              <w:szCs w:val="16"/>
                            </w:rPr>
                          </w:pPr>
                          <w:r>
                            <w:t>TIÑA DEL PIE</w:t>
                          </w:r>
                          <w:r>
                            <w:tab/>
                          </w:r>
                          <w:r>
                            <w:fldChar w:fldCharType="begin"/>
                          </w:r>
                          <w:r>
                            <w:instrText xml:space="preserve"> PAGE \* MERGEFORMAT </w:instrText>
                          </w:r>
                          <w:r>
                            <w:fldChar w:fldCharType="separate"/>
                          </w:r>
                          <w:r>
                            <w:rPr>
                              <w:sz w:val="16"/>
                              <w:szCs w:val="16"/>
                            </w:rPr>
                            <w:t>#</w:t>
                          </w:r>
                          <w:r>
                            <w:rPr>
                              <w:sz w:val="16"/>
                              <w:szCs w:val="16"/>
                            </w:rPr>
                            <w:fldChar w:fldCharType="end"/>
                          </w:r>
                        </w:p>
                      </w:txbxContent>
                    </wps:txbx>
                    <wps:bodyPr lIns="0" tIns="0" rIns="0" bIns="0">
                      <a:spAutoFit/>
                    </wps:bodyPr>
                  </wps:wsp>
                </a:graphicData>
              </a:graphic>
            </wp:anchor>
          </w:drawing>
        </mc:Choice>
        <mc:Fallback>
          <w:pict>
            <v:shapetype w14:anchorId="0A7F7533" id="_x0000_t202" coordsize="21600,21600" o:spt="202" path="m,l,21600r21600,l21600,xe">
              <v:stroke joinstyle="miter"/>
              <v:path gradientshapeok="t" o:connecttype="rect"/>
            </v:shapetype>
            <v:shape id="Shape 1953" o:spid="_x0000_s1190" type="#_x0000_t202" style="position:absolute;margin-left:191.75pt;margin-top:23.3pt;width:192.5pt;height:6.7pt;z-index:-25148928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" filled="f" stroked="f">
              <v:textbox style="mso-fit-shape-to-text:t" inset="0,0,0,0">
                <w:txbxContent>
                  <w:p w14:paraId="0E15D149" w14:textId="77777777" w:rsidR="00924992" w:rsidRDefault="00924992">
                    <w:pPr>
                      <w:pStyle w:val="Headerorfooter0"/>
                      <w:tabs>
                        <w:tab w:val="right" w:pos="3850"/>
                      </w:tabs>
                      <w:rPr>
                        <w:sz w:val="16"/>
                        <w:szCs w:val="16"/>
                      </w:rPr>
                    </w:pPr>
                    <w:r>
                      <w:t>TIÑA DEL PIE</w:t>
                    </w:r>
                    <w:r>
                      <w:tab/>
                    </w:r>
                    <w:r>
                      <w:fldChar w:fldCharType="begin"/>
                    </w:r>
                    <w:r>
                      <w:instrText xml:space="preserve"> PAGE \* MERGEFORMAT </w:instrText>
                    </w:r>
                    <w:r>
                      <w:fldChar w:fldCharType="separate"/>
                    </w:r>
                    <w:r>
                      <w:rPr>
                        <w:sz w:val="16"/>
                        <w:szCs w:val="16"/>
                      </w:rPr>
                      <w:t>#</w:t>
                    </w:r>
                    <w:r>
                      <w:rPr>
                        <w:sz w:val="16"/>
                        <w:szCs w:val="16"/>
                      </w:rPr>
                      <w:fldChar w:fldCharType="end"/>
                    </w:r>
                  </w:p>
                </w:txbxContent>
              </v:textbox>
              <w10:wrap anchorx="page" anchory="page"/>
            </v:shape>
          </w:pict>
        </mc:Fallback>
      </mc:AlternateContent>
    </w:r>
    <w:r>
      <w:rPr>
        <w:noProof/>
      </w:rPr>
      <mc:AlternateContent>
        <mc:Choice Requires="wps">
          <w:drawing>
            <wp:anchor distT="0" distB="0" distL="114300" distR="114300" simplePos="0" relativeHeight="251683840" behindDoc="1" locked="0" layoutInCell="1" allowOverlap="1" wp14:anchorId="1A11603C" wp14:editId="27A59ED6">
              <wp:simplePos x="0" y="0"/>
              <wp:positionH relativeFrom="page">
                <wp:posOffset>542290</wp:posOffset>
              </wp:positionH>
              <wp:positionV relativeFrom="page">
                <wp:posOffset>419100</wp:posOffset>
              </wp:positionV>
              <wp:extent cx="4358640" cy="0"/>
              <wp:effectExtent l="0" t="0" r="0" b="0"/>
              <wp:wrapNone/>
              <wp:docPr id="1955" name="Shape 1955"/>
              <wp:cNvGraphicFramePr/>
              <a:graphic xmlns:a="http://schemas.openxmlformats.org/drawingml/2006/main">
                <a:graphicData uri="http://schemas.microsoft.com/office/word/2010/wordprocessingShape">
                  <wps:wsp>
                    <wps:cNvCnPr/>
                    <wps:spPr>
                      <a:xfrm>
                        <a:off x="0" y="0"/>
                        <a:ext cx="4358640" cy="0"/>
                      </a:xfrm>
                      <a:prstGeom prst="straightConnector1">
                        <a:avLst/>
                      </a:prstGeom>
                      <a:ln w="12700">
                        <a:solidFill/>
                      </a:ln>
                    </wps:spPr>
                    <wps:bodyPr/>
                  </wps:wsp>
                </a:graphicData>
              </a:graphic>
            </wp:anchor>
          </w:drawing>
        </mc:Choice>
        <mc:Fallback>
          <w:pict>
            <v:shapetype w14:anchorId="40CF04B7" id="_x0000_t32" coordsize="21600,21600" o:spt="32" o:oned="t" path="m,l21600,21600e" filled="f">
              <v:path arrowok="t" fillok="f" o:connecttype="none"/>
              <o:lock v:ext="edit" shapetype="t"/>
            </v:shapetype>
            <v:shape id="Shape 1955" o:spid="_x0000_s1026" type="#_x0000_t32" style="position:absolute;margin-left:42.7pt;margin-top:33pt;width:343.2pt;height:0;z-index:-251632640;visibility:visible;mso-wrap-style:square;mso-wrap-distance-left:9pt;mso-wrap-distance-top:0;mso-wrap-distance-right:9pt;mso-wrap-distance-bottom:0;mso-position-horizontal:absolute;mso-position-horizontal-relative:page;mso-position-vertical:absolute;mso-position-vertical-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" strokeweight="1pt">
              <w10:wrap anchorx="page" anchory="page"/>
            </v:shape>
          </w:pict>
        </mc:Fallback>
      </mc:AlternateContent>
    </w:r>
  </w:p>
</w:hdr>
</file>

<file path=word/header2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1D5631" w14:textId="77777777" w:rsidR="00924992" w:rsidRDefault="00924992">
    <w:pPr>
      <w:spacing w:line="1" w:lineRule="exact"/>
    </w:pPr>
    <w:r>
      <w:rPr>
        <w:noProof/>
      </w:rPr>
      <mc:AlternateContent>
        <mc:Choice Requires="wps">
          <w:drawing>
            <wp:anchor distT="0" distB="0" distL="0" distR="0" simplePos="0" relativeHeight="251829248" behindDoc="1" locked="0" layoutInCell="1" allowOverlap="1" wp14:anchorId="17CB44B2" wp14:editId="6C17290B">
              <wp:simplePos x="0" y="0"/>
              <wp:positionH relativeFrom="page">
                <wp:posOffset>2449195</wp:posOffset>
              </wp:positionH>
              <wp:positionV relativeFrom="page">
                <wp:posOffset>311150</wp:posOffset>
              </wp:positionV>
              <wp:extent cx="2411095" cy="69850"/>
              <wp:effectExtent l="0" t="0" r="0" b="0"/>
              <wp:wrapNone/>
              <wp:docPr id="1959" name="Shape 1959"/>
              <wp:cNvGraphicFramePr/>
              <a:graphic xmlns:a="http://schemas.openxmlformats.org/drawingml/2006/main">
                <a:graphicData uri="http://schemas.microsoft.com/office/word/2010/wordprocessingShape">
                  <wps:wsp>
                    <wps:cNvSpPr txBox="1"/>
                    <wps:spPr>
                      <a:xfrm>
                        <a:off x="0" y="0"/>
                        <a:ext cx="2411095" cy="69850"/>
                      </a:xfrm>
                      <a:prstGeom prst="rect">
                        <a:avLst/>
                      </a:prstGeom>
                      <a:noFill/>
                    </wps:spPr>
                    <wps:txbx>
                      <w:txbxContent>
                        <w:p w14:paraId="0F18B06C" w14:textId="77777777" w:rsidR="00924992" w:rsidRDefault="00924992">
                          <w:pPr>
                            <w:pStyle w:val="Headerorfooter0"/>
                            <w:tabs>
                              <w:tab w:val="right" w:pos="3797"/>
                            </w:tabs>
                            <w:rPr>
                              <w:sz w:val="16"/>
                              <w:szCs w:val="16"/>
                            </w:rPr>
                          </w:pPr>
                          <w:r>
                            <w:t>TOS FERINA</w:t>
                          </w:r>
                          <w:r>
                            <w:tab/>
                          </w:r>
                          <w:r>
                            <w:rPr>
                              <w:sz w:val="16"/>
                              <w:szCs w:val="16"/>
                            </w:rPr>
                            <w:t>641</w:t>
                          </w:r>
                        </w:p>
                      </w:txbxContent>
                    </wps:txbx>
                    <wps:bodyPr lIns="0" tIns="0" rIns="0" bIns="0">
                      <a:spAutoFit/>
                    </wps:bodyPr>
                  </wps:wsp>
                </a:graphicData>
              </a:graphic>
            </wp:anchor>
          </w:drawing>
        </mc:Choice>
        <mc:Fallback>
          <w:pict>
            <v:shapetype w14:anchorId="17CB44B2" id="_x0000_t202" coordsize="21600,21600" o:spt="202" path="m,l,21600r21600,l21600,xe">
              <v:stroke joinstyle="miter"/>
              <v:path gradientshapeok="t" o:connecttype="rect"/>
            </v:shapetype>
            <v:shape id="Shape 1959" o:spid="_x0000_s1191" type="#_x0000_t202" style="position:absolute;margin-left:192.85pt;margin-top:24.5pt;width:189.85pt;height:5.5pt;z-index:-25148723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" filled="f" stroked="f">
              <v:textbox style="mso-fit-shape-to-text:t" inset="0,0,0,0">
                <w:txbxContent>
                  <w:p w14:paraId="0F18B06C" w14:textId="77777777" w:rsidR="00924992" w:rsidRDefault="00924992">
                    <w:pPr>
                      <w:pStyle w:val="Headerorfooter0"/>
                      <w:tabs>
                        <w:tab w:val="right" w:pos="3797"/>
                      </w:tabs>
                      <w:rPr>
                        <w:sz w:val="16"/>
                        <w:szCs w:val="16"/>
                      </w:rPr>
                    </w:pPr>
                    <w:r>
                      <w:t>TOS FERINA</w:t>
                    </w:r>
                    <w:r>
                      <w:tab/>
                    </w:r>
                    <w:r>
                      <w:rPr>
                        <w:sz w:val="16"/>
                        <w:szCs w:val="16"/>
                      </w:rPr>
                      <w:t>641</w:t>
                    </w:r>
                  </w:p>
                </w:txbxContent>
              </v:textbox>
              <w10:wrap anchorx="page" anchory="page"/>
            </v:shape>
          </w:pict>
        </mc:Fallback>
      </mc:AlternateContent>
    </w:r>
    <w:r>
      <w:rPr>
        <w:noProof/>
      </w:rPr>
      <mc:AlternateContent>
        <mc:Choice Requires="wps">
          <w:drawing>
            <wp:anchor distT="0" distB="0" distL="114300" distR="114300" simplePos="0" relativeHeight="251685888" behindDoc="1" locked="0" layoutInCell="1" allowOverlap="1" wp14:anchorId="4F8E76AB" wp14:editId="276B58B6">
              <wp:simplePos x="0" y="0"/>
              <wp:positionH relativeFrom="page">
                <wp:posOffset>537845</wp:posOffset>
              </wp:positionH>
              <wp:positionV relativeFrom="page">
                <wp:posOffset>419100</wp:posOffset>
              </wp:positionV>
              <wp:extent cx="4358640" cy="0"/>
              <wp:effectExtent l="0" t="0" r="0" b="0"/>
              <wp:wrapNone/>
              <wp:docPr id="1961" name="Shape 1961"/>
              <wp:cNvGraphicFramePr/>
              <a:graphic xmlns:a="http://schemas.openxmlformats.org/drawingml/2006/main">
                <a:graphicData uri="http://schemas.microsoft.com/office/word/2010/wordprocessingShape">
                  <wps:wsp>
                    <wps:cNvCnPr/>
                    <wps:spPr>
                      <a:xfrm>
                        <a:off x="0" y="0"/>
                        <a:ext cx="4358640" cy="0"/>
                      </a:xfrm>
                      <a:prstGeom prst="straightConnector1">
                        <a:avLst/>
                      </a:prstGeom>
                      <a:ln w="12700">
                        <a:solidFill/>
                      </a:ln>
                    </wps:spPr>
                    <wps:bodyPr/>
                  </wps:wsp>
                </a:graphicData>
              </a:graphic>
            </wp:anchor>
          </w:drawing>
        </mc:Choice>
        <mc:Fallback>
          <w:pict>
            <v:shapetype w14:anchorId="20E7FB1E" id="_x0000_t32" coordsize="21600,21600" o:spt="32" o:oned="t" path="m,l21600,21600e" filled="f">
              <v:path arrowok="t" fillok="f" o:connecttype="none"/>
              <o:lock v:ext="edit" shapetype="t"/>
            </v:shapetype>
            <v:shape id="Shape 1961" o:spid="_x0000_s1026" type="#_x0000_t32" style="position:absolute;margin-left:42.35pt;margin-top:33pt;width:343.2pt;height:0;z-index:-251630592;visibility:visible;mso-wrap-style:square;mso-wrap-distance-left:9pt;mso-wrap-distance-top:0;mso-wrap-distance-right:9pt;mso-wrap-distance-bottom:0;mso-position-horizontal:absolute;mso-position-horizontal-relative:page;mso-position-vertical:absolute;mso-position-vertical-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" strokeweight="1pt">
              <w10:wrap anchorx="page" anchory="page"/>
            </v:shape>
          </w:pict>
        </mc:Fallback>
      </mc:AlternateContent>
    </w:r>
  </w:p>
</w:hdr>
</file>

<file path=word/header2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958044" w14:textId="77777777" w:rsidR="00924992" w:rsidRDefault="00924992">
    <w:pPr>
      <w:spacing w:line="1" w:lineRule="exact"/>
    </w:pPr>
    <w:r>
      <w:rPr>
        <w:noProof/>
      </w:rPr>
      <mc:AlternateContent>
        <mc:Choice Requires="wps">
          <w:drawing>
            <wp:anchor distT="0" distB="0" distL="0" distR="0" simplePos="0" relativeHeight="251828224" behindDoc="1" locked="0" layoutInCell="1" allowOverlap="1" wp14:anchorId="5C3708BF" wp14:editId="46575DEE">
              <wp:simplePos x="0" y="0"/>
              <wp:positionH relativeFrom="page">
                <wp:posOffset>2449195</wp:posOffset>
              </wp:positionH>
              <wp:positionV relativeFrom="page">
                <wp:posOffset>311150</wp:posOffset>
              </wp:positionV>
              <wp:extent cx="2411095" cy="69850"/>
              <wp:effectExtent l="0" t="0" r="0" b="0"/>
              <wp:wrapNone/>
              <wp:docPr id="1956" name="Shape 1956"/>
              <wp:cNvGraphicFramePr/>
              <a:graphic xmlns:a="http://schemas.openxmlformats.org/drawingml/2006/main">
                <a:graphicData uri="http://schemas.microsoft.com/office/word/2010/wordprocessingShape">
                  <wps:wsp>
                    <wps:cNvSpPr txBox="1"/>
                    <wps:spPr>
                      <a:xfrm>
                        <a:off x="0" y="0"/>
                        <a:ext cx="2411095" cy="69850"/>
                      </a:xfrm>
                      <a:prstGeom prst="rect">
                        <a:avLst/>
                      </a:prstGeom>
                      <a:noFill/>
                    </wps:spPr>
                    <wps:txbx>
                      <w:txbxContent>
                        <w:p w14:paraId="250844D2" w14:textId="77777777" w:rsidR="00924992" w:rsidRDefault="00924992">
                          <w:pPr>
                            <w:pStyle w:val="Headerorfooter0"/>
                            <w:tabs>
                              <w:tab w:val="right" w:pos="3797"/>
                            </w:tabs>
                            <w:rPr>
                              <w:sz w:val="16"/>
                              <w:szCs w:val="16"/>
                            </w:rPr>
                          </w:pPr>
                          <w:r>
                            <w:t>TOS FERINA</w:t>
                          </w:r>
                          <w:r>
                            <w:tab/>
                          </w:r>
                          <w:r>
                            <w:rPr>
                              <w:sz w:val="16"/>
                              <w:szCs w:val="16"/>
                            </w:rPr>
                            <w:t>641</w:t>
                          </w:r>
                        </w:p>
                      </w:txbxContent>
                    </wps:txbx>
                    <wps:bodyPr lIns="0" tIns="0" rIns="0" bIns="0">
                      <a:spAutoFit/>
                    </wps:bodyPr>
                  </wps:wsp>
                </a:graphicData>
              </a:graphic>
            </wp:anchor>
          </w:drawing>
        </mc:Choice>
        <mc:Fallback>
          <w:pict>
            <v:shapetype w14:anchorId="5C3708BF" id="_x0000_t202" coordsize="21600,21600" o:spt="202" path="m,l,21600r21600,l21600,xe">
              <v:stroke joinstyle="miter"/>
              <v:path gradientshapeok="t" o:connecttype="rect"/>
            </v:shapetype>
            <v:shape id="Shape 1956" o:spid="_x0000_s1192" type="#_x0000_t202" style="position:absolute;margin-left:192.85pt;margin-top:24.5pt;width:189.85pt;height:5.5pt;z-index:-25148825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" filled="f" stroked="f">
              <v:textbox style="mso-fit-shape-to-text:t" inset="0,0,0,0">
                <w:txbxContent>
                  <w:p w14:paraId="250844D2" w14:textId="77777777" w:rsidR="00924992" w:rsidRDefault="00924992">
                    <w:pPr>
                      <w:pStyle w:val="Headerorfooter0"/>
                      <w:tabs>
                        <w:tab w:val="right" w:pos="3797"/>
                      </w:tabs>
                      <w:rPr>
                        <w:sz w:val="16"/>
                        <w:szCs w:val="16"/>
                      </w:rPr>
                    </w:pPr>
                    <w:r>
                      <w:t>TOS FERINA</w:t>
                    </w:r>
                    <w:r>
                      <w:tab/>
                    </w:r>
                    <w:r>
                      <w:rPr>
                        <w:sz w:val="16"/>
                        <w:szCs w:val="16"/>
                      </w:rPr>
                      <w:t>641</w:t>
                    </w:r>
                  </w:p>
                </w:txbxContent>
              </v:textbox>
              <w10:wrap anchorx="page" anchory="page"/>
            </v:shape>
          </w:pict>
        </mc:Fallback>
      </mc:AlternateContent>
    </w:r>
    <w:r>
      <w:rPr>
        <w:noProof/>
      </w:rPr>
      <mc:AlternateContent>
        <mc:Choice Requires="wps">
          <w:drawing>
            <wp:anchor distT="0" distB="0" distL="114300" distR="114300" simplePos="0" relativeHeight="251684864" behindDoc="1" locked="0" layoutInCell="1" allowOverlap="1" wp14:anchorId="20BB456F" wp14:editId="4B638239">
              <wp:simplePos x="0" y="0"/>
              <wp:positionH relativeFrom="page">
                <wp:posOffset>537845</wp:posOffset>
              </wp:positionH>
              <wp:positionV relativeFrom="page">
                <wp:posOffset>419100</wp:posOffset>
              </wp:positionV>
              <wp:extent cx="4358640" cy="0"/>
              <wp:effectExtent l="0" t="0" r="0" b="0"/>
              <wp:wrapNone/>
              <wp:docPr id="1958" name="Shape 1958"/>
              <wp:cNvGraphicFramePr/>
              <a:graphic xmlns:a="http://schemas.openxmlformats.org/drawingml/2006/main">
                <a:graphicData uri="http://schemas.microsoft.com/office/word/2010/wordprocessingShape">
                  <wps:wsp>
                    <wps:cNvCnPr/>
                    <wps:spPr>
                      <a:xfrm>
                        <a:off x="0" y="0"/>
                        <a:ext cx="4358640" cy="0"/>
                      </a:xfrm>
                      <a:prstGeom prst="straightConnector1">
                        <a:avLst/>
                      </a:prstGeom>
                      <a:ln w="12700">
                        <a:solidFill/>
                      </a:ln>
                    </wps:spPr>
                    <wps:bodyPr/>
                  </wps:wsp>
                </a:graphicData>
              </a:graphic>
            </wp:anchor>
          </w:drawing>
        </mc:Choice>
        <mc:Fallback>
          <w:pict>
            <v:shapetype w14:anchorId="23FEB1BB" id="_x0000_t32" coordsize="21600,21600" o:spt="32" o:oned="t" path="m,l21600,21600e" filled="f">
              <v:path arrowok="t" fillok="f" o:connecttype="none"/>
              <o:lock v:ext="edit" shapetype="t"/>
            </v:shapetype>
            <v:shape id="Shape 1958" o:spid="_x0000_s1026" type="#_x0000_t32" style="position:absolute;margin-left:42.35pt;margin-top:33pt;width:343.2pt;height:0;z-index:-251631616;visibility:visible;mso-wrap-style:square;mso-wrap-distance-left:9pt;mso-wrap-distance-top:0;mso-wrap-distance-right:9pt;mso-wrap-distance-bottom:0;mso-position-horizontal:absolute;mso-position-horizontal-relative:page;mso-position-vertical:absolute;mso-position-vertical-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" strokeweight="1pt">
              <w10:wrap anchorx="page" anchory="page"/>
            </v:shape>
          </w:pict>
        </mc:Fallback>
      </mc:AlternateContent>
    </w:r>
  </w:p>
</w:hdr>
</file>

<file path=word/header2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02FACB" w14:textId="77777777" w:rsidR="00924992" w:rsidRDefault="00924992">
    <w:pPr>
      <w:spacing w:line="1" w:lineRule="exact"/>
    </w:pPr>
    <w:r>
      <w:rPr>
        <w:noProof/>
      </w:rPr>
      <mc:AlternateContent>
        <mc:Choice Requires="wps">
          <w:drawing>
            <wp:anchor distT="0" distB="0" distL="0" distR="0" simplePos="0" relativeHeight="251830272" behindDoc="1" locked="0" layoutInCell="1" allowOverlap="1" wp14:anchorId="4387A8D0" wp14:editId="466400D0">
              <wp:simplePos x="0" y="0"/>
              <wp:positionH relativeFrom="page">
                <wp:posOffset>560705</wp:posOffset>
              </wp:positionH>
              <wp:positionV relativeFrom="page">
                <wp:posOffset>295910</wp:posOffset>
              </wp:positionV>
              <wp:extent cx="2563495" cy="85090"/>
              <wp:effectExtent l="0" t="0" r="0" b="0"/>
              <wp:wrapNone/>
              <wp:docPr id="1962" name="Shape 1962"/>
              <wp:cNvGraphicFramePr/>
              <a:graphic xmlns:a="http://schemas.openxmlformats.org/drawingml/2006/main">
                <a:graphicData uri="http://schemas.microsoft.com/office/word/2010/wordprocessingShape">
                  <wps:wsp>
                    <wps:cNvSpPr txBox="1"/>
                    <wps:spPr>
                      <a:xfrm>
                        <a:off x="0" y="0"/>
                        <a:ext cx="2563495" cy="85090"/>
                      </a:xfrm>
                      <a:prstGeom prst="rect">
                        <a:avLst/>
                      </a:prstGeom>
                      <a:noFill/>
                    </wps:spPr>
                    <wps:txbx>
                      <w:txbxContent>
                        <w:p w14:paraId="779BB692" w14:textId="77777777" w:rsidR="00924992" w:rsidRDefault="00924992">
                          <w:pPr>
                            <w:pStyle w:val="Headerorfooter0"/>
                            <w:tabs>
                              <w:tab w:val="right" w:pos="4037"/>
                            </w:tabs>
                          </w:pPr>
                          <w:r>
                            <w:fldChar w:fldCharType="begin"/>
                          </w:r>
                          <w:r>
                            <w:instrText xml:space="preserve"> PAGE \* MERGEFORMAT </w:instrText>
                          </w:r>
                          <w:r>
                            <w:fldChar w:fldCharType="separate"/>
                          </w:r>
                          <w:r>
                            <w:rPr>
                              <w:sz w:val="16"/>
                              <w:szCs w:val="16"/>
                            </w:rPr>
                            <w:t>#</w:t>
                          </w:r>
                          <w:r>
                            <w:rPr>
                              <w:sz w:val="16"/>
                              <w:szCs w:val="16"/>
                            </w:rPr>
                            <w:fldChar w:fldCharType="end"/>
                          </w:r>
                          <w:r>
                            <w:rPr>
                              <w:sz w:val="16"/>
                              <w:szCs w:val="16"/>
                            </w:rPr>
                            <w:tab/>
                          </w:r>
                          <w:r>
                            <w:t>TIÑA VERSICOLOR</w:t>
                          </w:r>
                        </w:p>
                      </w:txbxContent>
                    </wps:txbx>
                    <wps:bodyPr lIns="0" tIns="0" rIns="0" bIns="0">
                      <a:spAutoFit/>
                    </wps:bodyPr>
                  </wps:wsp>
                </a:graphicData>
              </a:graphic>
            </wp:anchor>
          </w:drawing>
        </mc:Choice>
        <mc:Fallback>
          <w:pict>
            <v:shapetype w14:anchorId="4387A8D0" id="_x0000_t202" coordsize="21600,21600" o:spt="202" path="m,l,21600r21600,l21600,xe">
              <v:stroke joinstyle="miter"/>
              <v:path gradientshapeok="t" o:connecttype="rect"/>
            </v:shapetype>
            <v:shape id="Shape 1962" o:spid="_x0000_s1193" type="#_x0000_t202" style="position:absolute;margin-left:44.15pt;margin-top:23.3pt;width:201.85pt;height:6.7pt;z-index:-25148620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" filled="f" stroked="f">
              <v:textbox style="mso-fit-shape-to-text:t" inset="0,0,0,0">
                <w:txbxContent>
                  <w:p w14:paraId="779BB692" w14:textId="77777777" w:rsidR="00924992" w:rsidRDefault="00924992">
                    <w:pPr>
                      <w:pStyle w:val="Headerorfooter0"/>
                      <w:tabs>
                        <w:tab w:val="right" w:pos="4037"/>
                      </w:tabs>
                    </w:pPr>
                    <w:r>
                      <w:fldChar w:fldCharType="begin"/>
                    </w:r>
                    <w:r>
                      <w:instrText xml:space="preserve"> PAGE \* MERGEFORMAT </w:instrText>
                    </w:r>
                    <w:r>
                      <w:fldChar w:fldCharType="separate"/>
                    </w:r>
                    <w:r>
                      <w:rPr>
                        <w:sz w:val="16"/>
                        <w:szCs w:val="16"/>
                      </w:rPr>
                      <w:t>#</w:t>
                    </w:r>
                    <w:r>
                      <w:rPr>
                        <w:sz w:val="16"/>
                        <w:szCs w:val="16"/>
                      </w:rPr>
                      <w:fldChar w:fldCharType="end"/>
                    </w:r>
                    <w:r>
                      <w:rPr>
                        <w:sz w:val="16"/>
                        <w:szCs w:val="16"/>
                      </w:rPr>
                      <w:tab/>
                    </w:r>
                    <w:r>
                      <w:t>TIÑA VERSICOLOR</w:t>
                    </w:r>
                  </w:p>
                </w:txbxContent>
              </v:textbox>
              <w10:wrap anchorx="page" anchory="page"/>
            </v:shape>
          </w:pict>
        </mc:Fallback>
      </mc:AlternateContent>
    </w:r>
    <w:r>
      <w:rPr>
        <w:noProof/>
      </w:rPr>
      <mc:AlternateContent>
        <mc:Choice Requires="wps">
          <w:drawing>
            <wp:anchor distT="0" distB="0" distL="114300" distR="114300" simplePos="0" relativeHeight="251686912" behindDoc="1" locked="0" layoutInCell="1" allowOverlap="1" wp14:anchorId="05800FD2" wp14:editId="1CEBA01E">
              <wp:simplePos x="0" y="0"/>
              <wp:positionH relativeFrom="page">
                <wp:posOffset>545465</wp:posOffset>
              </wp:positionH>
              <wp:positionV relativeFrom="page">
                <wp:posOffset>419100</wp:posOffset>
              </wp:positionV>
              <wp:extent cx="4358640" cy="0"/>
              <wp:effectExtent l="0" t="0" r="0" b="0"/>
              <wp:wrapNone/>
              <wp:docPr id="1964" name="Shape 1964"/>
              <wp:cNvGraphicFramePr/>
              <a:graphic xmlns:a="http://schemas.openxmlformats.org/drawingml/2006/main">
                <a:graphicData uri="http://schemas.microsoft.com/office/word/2010/wordprocessingShape">
                  <wps:wsp>
                    <wps:cNvCnPr/>
                    <wps:spPr>
                      <a:xfrm>
                        <a:off x="0" y="0"/>
                        <a:ext cx="4358640" cy="0"/>
                      </a:xfrm>
                      <a:prstGeom prst="straightConnector1">
                        <a:avLst/>
                      </a:prstGeom>
                      <a:ln w="12700">
                        <a:solidFill/>
                      </a:ln>
                    </wps:spPr>
                    <wps:bodyPr/>
                  </wps:wsp>
                </a:graphicData>
              </a:graphic>
            </wp:anchor>
          </w:drawing>
        </mc:Choice>
        <mc:Fallback>
          <w:pict>
            <v:shapetype w14:anchorId="2DA30B0C" id="_x0000_t32" coordsize="21600,21600" o:spt="32" o:oned="t" path="m,l21600,21600e" filled="f">
              <v:path arrowok="t" fillok="f" o:connecttype="none"/>
              <o:lock v:ext="edit" shapetype="t"/>
            </v:shapetype>
            <v:shape id="Shape 1964" o:spid="_x0000_s1026" type="#_x0000_t32" style="position:absolute;margin-left:42.95pt;margin-top:33pt;width:343.2pt;height:0;z-index:-251629568;visibility:visible;mso-wrap-style:square;mso-wrap-distance-left:9pt;mso-wrap-distance-top:0;mso-wrap-distance-right:9pt;mso-wrap-distance-bottom:0;mso-position-horizontal:absolute;mso-position-horizontal-relative:page;mso-position-vertical:absolute;mso-position-vertical-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" strokeweight="1pt">
              <w10:wrap anchorx="page" anchory="page"/>
            </v:shape>
          </w:pict>
        </mc:Fallback>
      </mc:AlternateContent>
    </w:r>
  </w:p>
</w:hdr>
</file>

<file path=word/header2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530D5F" w14:textId="77777777" w:rsidR="00924992" w:rsidRDefault="00924992">
    <w:pPr>
      <w:spacing w:line="1" w:lineRule="exact"/>
    </w:pPr>
    <w:r>
      <w:rPr>
        <w:noProof/>
      </w:rPr>
      <mc:AlternateContent>
        <mc:Choice Requires="wps">
          <w:drawing>
            <wp:anchor distT="0" distB="0" distL="0" distR="0" simplePos="0" relativeHeight="251832320" behindDoc="1" locked="0" layoutInCell="1" allowOverlap="1" wp14:anchorId="166A548D" wp14:editId="083A5ACD">
              <wp:simplePos x="0" y="0"/>
              <wp:positionH relativeFrom="page">
                <wp:posOffset>2078990</wp:posOffset>
              </wp:positionH>
              <wp:positionV relativeFrom="page">
                <wp:posOffset>295910</wp:posOffset>
              </wp:positionV>
              <wp:extent cx="2780030" cy="94615"/>
              <wp:effectExtent l="0" t="0" r="0" b="0"/>
              <wp:wrapNone/>
              <wp:docPr id="1968" name="Shape 1968"/>
              <wp:cNvGraphicFramePr/>
              <a:graphic xmlns:a="http://schemas.openxmlformats.org/drawingml/2006/main">
                <a:graphicData uri="http://schemas.microsoft.com/office/word/2010/wordprocessingShape">
                  <wps:wsp>
                    <wps:cNvSpPr txBox="1"/>
                    <wps:spPr>
                      <a:xfrm>
                        <a:off x="0" y="0"/>
                        <a:ext cx="2780030" cy="94615"/>
                      </a:xfrm>
                      <a:prstGeom prst="rect">
                        <a:avLst/>
                      </a:prstGeom>
                      <a:noFill/>
                    </wps:spPr>
                    <wps:txbx>
                      <w:txbxContent>
                        <w:p w14:paraId="4D2F3A9D" w14:textId="77777777" w:rsidR="00924992" w:rsidRDefault="00924992">
                          <w:pPr>
                            <w:pStyle w:val="Headerorfooter0"/>
                            <w:tabs>
                              <w:tab w:val="right" w:pos="4378"/>
                            </w:tabs>
                            <w:rPr>
                              <w:sz w:val="16"/>
                              <w:szCs w:val="16"/>
                            </w:rPr>
                          </w:pPr>
                          <w:r>
                            <w:t>CHOQUE TÓXICO, SÍNDROME</w:t>
                          </w:r>
                          <w:r>
                            <w:tab/>
                          </w:r>
                          <w:r>
                            <w:rPr>
                              <w:sz w:val="16"/>
                              <w:szCs w:val="16"/>
                            </w:rPr>
                            <w:t>251</w:t>
                          </w:r>
                        </w:p>
                      </w:txbxContent>
                    </wps:txbx>
                    <wps:bodyPr lIns="0" tIns="0" rIns="0" bIns="0">
                      <a:spAutoFit/>
                    </wps:bodyPr>
                  </wps:wsp>
                </a:graphicData>
              </a:graphic>
            </wp:anchor>
          </w:drawing>
        </mc:Choice>
        <mc:Fallback>
          <w:pict>
            <v:shapetype w14:anchorId="166A548D" id="_x0000_t202" coordsize="21600,21600" o:spt="202" path="m,l,21600r21600,l21600,xe">
              <v:stroke joinstyle="miter"/>
              <v:path gradientshapeok="t" o:connecttype="rect"/>
            </v:shapetype>
            <v:shape id="Shape 1968" o:spid="_x0000_s1194" type="#_x0000_t202" style="position:absolute;margin-left:163.7pt;margin-top:23.3pt;width:218.9pt;height:7.45pt;z-index:-25148416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" filled="f" stroked="f">
              <v:textbox style="mso-fit-shape-to-text:t" inset="0,0,0,0">
                <w:txbxContent>
                  <w:p w14:paraId="4D2F3A9D" w14:textId="77777777" w:rsidR="00924992" w:rsidRDefault="00924992">
                    <w:pPr>
                      <w:pStyle w:val="Headerorfooter0"/>
                      <w:tabs>
                        <w:tab w:val="right" w:pos="4378"/>
                      </w:tabs>
                      <w:rPr>
                        <w:sz w:val="16"/>
                        <w:szCs w:val="16"/>
                      </w:rPr>
                    </w:pPr>
                    <w:r>
                      <w:t>CHOQUE TÓXICO, SÍNDROME</w:t>
                    </w:r>
                    <w:r>
                      <w:tab/>
                    </w:r>
                    <w:r>
                      <w:rPr>
                        <w:sz w:val="16"/>
                        <w:szCs w:val="16"/>
                      </w:rPr>
                      <w:t>251</w:t>
                    </w:r>
                  </w:p>
                </w:txbxContent>
              </v:textbox>
              <w10:wrap anchorx="page" anchory="page"/>
            </v:shape>
          </w:pict>
        </mc:Fallback>
      </mc:AlternateContent>
    </w:r>
    <w:r>
      <w:rPr>
        <w:noProof/>
      </w:rPr>
      <mc:AlternateContent>
        <mc:Choice Requires="wps">
          <w:drawing>
            <wp:anchor distT="0" distB="0" distL="114300" distR="114300" simplePos="0" relativeHeight="251688960" behindDoc="1" locked="0" layoutInCell="1" allowOverlap="1" wp14:anchorId="41BA1914" wp14:editId="1B60ED5C">
              <wp:simplePos x="0" y="0"/>
              <wp:positionH relativeFrom="page">
                <wp:posOffset>536575</wp:posOffset>
              </wp:positionH>
              <wp:positionV relativeFrom="page">
                <wp:posOffset>419100</wp:posOffset>
              </wp:positionV>
              <wp:extent cx="4358640" cy="0"/>
              <wp:effectExtent l="0" t="0" r="0" b="0"/>
              <wp:wrapNone/>
              <wp:docPr id="1970" name="Shape 1970"/>
              <wp:cNvGraphicFramePr/>
              <a:graphic xmlns:a="http://schemas.openxmlformats.org/drawingml/2006/main">
                <a:graphicData uri="http://schemas.microsoft.com/office/word/2010/wordprocessingShape">
                  <wps:wsp>
                    <wps:cNvCnPr/>
                    <wps:spPr>
                      <a:xfrm>
                        <a:off x="0" y="0"/>
                        <a:ext cx="4358640" cy="0"/>
                      </a:xfrm>
                      <a:prstGeom prst="straightConnector1">
                        <a:avLst/>
                      </a:prstGeom>
                      <a:ln w="12700">
                        <a:solidFill/>
                      </a:ln>
                    </wps:spPr>
                    <wps:bodyPr/>
                  </wps:wsp>
                </a:graphicData>
              </a:graphic>
            </wp:anchor>
          </w:drawing>
        </mc:Choice>
        <mc:Fallback>
          <w:pict>
            <v:shapetype w14:anchorId="3B6C2AD4" id="_x0000_t32" coordsize="21600,21600" o:spt="32" o:oned="t" path="m,l21600,21600e" filled="f">
              <v:path arrowok="t" fillok="f" o:connecttype="none"/>
              <o:lock v:ext="edit" shapetype="t"/>
            </v:shapetype>
            <v:shape id="Shape 1970" o:spid="_x0000_s1026" type="#_x0000_t32" style="position:absolute;margin-left:42.25pt;margin-top:33pt;width:343.2pt;height:0;z-index:-251627520;visibility:visible;mso-wrap-style:square;mso-wrap-distance-left:9pt;mso-wrap-distance-top:0;mso-wrap-distance-right:9pt;mso-wrap-distance-bottom:0;mso-position-horizontal:absolute;mso-position-horizontal-relative:page;mso-position-vertical:absolute;mso-position-vertical-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" strokeweight="1pt">
              <w10:wrap anchorx="page" anchory="page"/>
            </v:shape>
          </w:pict>
        </mc:Fallback>
      </mc:AlternateContent>
    </w:r>
  </w:p>
</w:hdr>
</file>

<file path=word/header3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558555" w14:textId="77777777" w:rsidR="00924992" w:rsidRDefault="00924992">
    <w:pPr>
      <w:spacing w:line="1" w:lineRule="exact"/>
    </w:pPr>
    <w:r>
      <w:rPr>
        <w:noProof/>
      </w:rPr>
      <mc:AlternateContent>
        <mc:Choice Requires="wps">
          <w:drawing>
            <wp:anchor distT="0" distB="0" distL="0" distR="0" simplePos="0" relativeHeight="251831296" behindDoc="1" locked="0" layoutInCell="1" allowOverlap="1" wp14:anchorId="707E94C5" wp14:editId="431E4C2B">
              <wp:simplePos x="0" y="0"/>
              <wp:positionH relativeFrom="page">
                <wp:posOffset>551815</wp:posOffset>
              </wp:positionH>
              <wp:positionV relativeFrom="page">
                <wp:posOffset>295910</wp:posOffset>
              </wp:positionV>
              <wp:extent cx="2797810" cy="94615"/>
              <wp:effectExtent l="0" t="0" r="0" b="0"/>
              <wp:wrapNone/>
              <wp:docPr id="1965" name="Shape 1965"/>
              <wp:cNvGraphicFramePr/>
              <a:graphic xmlns:a="http://schemas.openxmlformats.org/drawingml/2006/main">
                <a:graphicData uri="http://schemas.microsoft.com/office/word/2010/wordprocessingShape">
                  <wps:wsp>
                    <wps:cNvSpPr txBox="1"/>
                    <wps:spPr>
                      <a:xfrm>
                        <a:off x="0" y="0"/>
                        <a:ext cx="2797810" cy="94615"/>
                      </a:xfrm>
                      <a:prstGeom prst="rect">
                        <a:avLst/>
                      </a:prstGeom>
                      <a:noFill/>
                    </wps:spPr>
                    <wps:txbx>
                      <w:txbxContent>
                        <w:p w14:paraId="1D495901" w14:textId="77777777" w:rsidR="00924992" w:rsidRDefault="00924992">
                          <w:pPr>
                            <w:pStyle w:val="Headerorfooter0"/>
                            <w:tabs>
                              <w:tab w:val="right" w:pos="4406"/>
                            </w:tabs>
                          </w:pPr>
                          <w:r>
                            <w:rPr>
                              <w:sz w:val="16"/>
                              <w:szCs w:val="16"/>
                            </w:rPr>
                            <w:t>252</w:t>
                          </w:r>
                          <w:r>
                            <w:rPr>
                              <w:sz w:val="16"/>
                              <w:szCs w:val="16"/>
                            </w:rPr>
                            <w:tab/>
                          </w:r>
                          <w:r>
                            <w:t>CHOQUE TÓXICO, SÍNDROME</w:t>
                          </w:r>
                        </w:p>
                      </w:txbxContent>
                    </wps:txbx>
                    <wps:bodyPr lIns="0" tIns="0" rIns="0" bIns="0">
                      <a:spAutoFit/>
                    </wps:bodyPr>
                  </wps:wsp>
                </a:graphicData>
              </a:graphic>
            </wp:anchor>
          </w:drawing>
        </mc:Choice>
        <mc:Fallback>
          <w:pict>
            <v:shapetype w14:anchorId="707E94C5" id="_x0000_t202" coordsize="21600,21600" o:spt="202" path="m,l,21600r21600,l21600,xe">
              <v:stroke joinstyle="miter"/>
              <v:path gradientshapeok="t" o:connecttype="rect"/>
            </v:shapetype>
            <v:shape id="Shape 1965" o:spid="_x0000_s1195" type="#_x0000_t202" style="position:absolute;margin-left:43.45pt;margin-top:23.3pt;width:220.3pt;height:7.45pt;z-index:-25148518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" filled="f" stroked="f">
              <v:textbox style="mso-fit-shape-to-text:t" inset="0,0,0,0">
                <w:txbxContent>
                  <w:p w14:paraId="1D495901" w14:textId="77777777" w:rsidR="00924992" w:rsidRDefault="00924992">
                    <w:pPr>
                      <w:pStyle w:val="Headerorfooter0"/>
                      <w:tabs>
                        <w:tab w:val="right" w:pos="4406"/>
                      </w:tabs>
                    </w:pPr>
                    <w:r>
                      <w:rPr>
                        <w:sz w:val="16"/>
                        <w:szCs w:val="16"/>
                      </w:rPr>
                      <w:t>252</w:t>
                    </w:r>
                    <w:r>
                      <w:rPr>
                        <w:sz w:val="16"/>
                        <w:szCs w:val="16"/>
                      </w:rPr>
                      <w:tab/>
                    </w:r>
                    <w:r>
                      <w:t>CHOQUE TÓXICO, SÍNDROME</w:t>
                    </w:r>
                  </w:p>
                </w:txbxContent>
              </v:textbox>
              <w10:wrap anchorx="page" anchory="page"/>
            </v:shape>
          </w:pict>
        </mc:Fallback>
      </mc:AlternateContent>
    </w:r>
    <w:r>
      <w:rPr>
        <w:noProof/>
      </w:rPr>
      <mc:AlternateContent>
        <mc:Choice Requires="wps">
          <w:drawing>
            <wp:anchor distT="0" distB="0" distL="114300" distR="114300" simplePos="0" relativeHeight="251687936" behindDoc="1" locked="0" layoutInCell="1" allowOverlap="1" wp14:anchorId="7C5CD82C" wp14:editId="10DE05ED">
              <wp:simplePos x="0" y="0"/>
              <wp:positionH relativeFrom="page">
                <wp:posOffset>536575</wp:posOffset>
              </wp:positionH>
              <wp:positionV relativeFrom="page">
                <wp:posOffset>419100</wp:posOffset>
              </wp:positionV>
              <wp:extent cx="4358640" cy="0"/>
              <wp:effectExtent l="0" t="0" r="0" b="0"/>
              <wp:wrapNone/>
              <wp:docPr id="1967" name="Shape 1967"/>
              <wp:cNvGraphicFramePr/>
              <a:graphic xmlns:a="http://schemas.openxmlformats.org/drawingml/2006/main">
                <a:graphicData uri="http://schemas.microsoft.com/office/word/2010/wordprocessingShape">
                  <wps:wsp>
                    <wps:cNvCnPr/>
                    <wps:spPr>
                      <a:xfrm>
                        <a:off x="0" y="0"/>
                        <a:ext cx="4358640" cy="0"/>
                      </a:xfrm>
                      <a:prstGeom prst="straightConnector1">
                        <a:avLst/>
                      </a:prstGeom>
                      <a:ln w="12700">
                        <a:solidFill/>
                      </a:ln>
                    </wps:spPr>
                    <wps:bodyPr/>
                  </wps:wsp>
                </a:graphicData>
              </a:graphic>
            </wp:anchor>
          </w:drawing>
        </mc:Choice>
        <mc:Fallback>
          <w:pict>
            <v:shapetype w14:anchorId="6B85F027" id="_x0000_t32" coordsize="21600,21600" o:spt="32" o:oned="t" path="m,l21600,21600e" filled="f">
              <v:path arrowok="t" fillok="f" o:connecttype="none"/>
              <o:lock v:ext="edit" shapetype="t"/>
            </v:shapetype>
            <v:shape id="Shape 1967" o:spid="_x0000_s1026" type="#_x0000_t32" style="position:absolute;margin-left:42.25pt;margin-top:33pt;width:343.2pt;height:0;z-index:-251628544;visibility:visible;mso-wrap-style:square;mso-wrap-distance-left:9pt;mso-wrap-distance-top:0;mso-wrap-distance-right:9pt;mso-wrap-distance-bottom:0;mso-position-horizontal:absolute;mso-position-horizontal-relative:page;mso-position-vertical:absolute;mso-position-vertical-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" strokeweight="1pt">
              <w10:wrap anchorx="page" anchory="page"/>
            </v:shape>
          </w:pict>
        </mc:Fallback>
      </mc:AlternateContent>
    </w:r>
  </w:p>
</w:hdr>
</file>

<file path=word/header3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ABAFCA" w14:textId="77777777" w:rsidR="00924992" w:rsidRDefault="00924992">
    <w:pPr>
      <w:spacing w:line="1" w:lineRule="exact"/>
    </w:pPr>
    <w:r>
      <w:rPr>
        <w:noProof/>
      </w:rPr>
      <mc:AlternateContent>
        <mc:Choice Requires="wps">
          <w:drawing>
            <wp:anchor distT="0" distB="0" distL="0" distR="0" simplePos="0" relativeHeight="251834368" behindDoc="1" locked="0" layoutInCell="1" allowOverlap="1" wp14:anchorId="309604FA" wp14:editId="0649C749">
              <wp:simplePos x="0" y="0"/>
              <wp:positionH relativeFrom="page">
                <wp:posOffset>557530</wp:posOffset>
              </wp:positionH>
              <wp:positionV relativeFrom="page">
                <wp:posOffset>311150</wp:posOffset>
              </wp:positionV>
              <wp:extent cx="2487295" cy="69850"/>
              <wp:effectExtent l="0" t="0" r="0" b="0"/>
              <wp:wrapNone/>
              <wp:docPr id="1974" name="Shape 1974"/>
              <wp:cNvGraphicFramePr/>
              <a:graphic xmlns:a="http://schemas.openxmlformats.org/drawingml/2006/main">
                <a:graphicData uri="http://schemas.microsoft.com/office/word/2010/wordprocessingShape">
                  <wps:wsp>
                    <wps:cNvSpPr txBox="1"/>
                    <wps:spPr>
                      <a:xfrm>
                        <a:off x="0" y="0"/>
                        <a:ext cx="2487295" cy="69850"/>
                      </a:xfrm>
                      <a:prstGeom prst="rect">
                        <a:avLst/>
                      </a:prstGeom>
                      <a:noFill/>
                    </wps:spPr>
                    <wps:txbx>
                      <w:txbxContent>
                        <w:p w14:paraId="654B0967" w14:textId="77777777" w:rsidR="00924992" w:rsidRDefault="00924992">
                          <w:pPr>
                            <w:pStyle w:val="Headerorfooter0"/>
                            <w:tabs>
                              <w:tab w:val="right" w:pos="3917"/>
                            </w:tabs>
                          </w:pPr>
                          <w:r>
                            <w:rPr>
                              <w:sz w:val="16"/>
                              <w:szCs w:val="16"/>
                            </w:rPr>
                            <w:t>656</w:t>
                          </w:r>
                          <w:r>
                            <w:rPr>
                              <w:sz w:val="16"/>
                              <w:szCs w:val="16"/>
                            </w:rPr>
                            <w:tab/>
                          </w:r>
                          <w:r>
                            <w:t>TOXOCARIASIS</w:t>
                          </w:r>
                        </w:p>
                      </w:txbxContent>
                    </wps:txbx>
                    <wps:bodyPr lIns="0" tIns="0" rIns="0" bIns="0">
                      <a:spAutoFit/>
                    </wps:bodyPr>
                  </wps:wsp>
                </a:graphicData>
              </a:graphic>
            </wp:anchor>
          </w:drawing>
        </mc:Choice>
        <mc:Fallback>
          <w:pict>
            <v:shapetype w14:anchorId="309604FA" id="_x0000_t202" coordsize="21600,21600" o:spt="202" path="m,l,21600r21600,l21600,xe">
              <v:stroke joinstyle="miter"/>
              <v:path gradientshapeok="t" o:connecttype="rect"/>
            </v:shapetype>
            <v:shape id="Shape 1974" o:spid="_x0000_s1196" type="#_x0000_t202" style="position:absolute;margin-left:43.9pt;margin-top:24.5pt;width:195.85pt;height:5.5pt;z-index:-25148211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" filled="f" stroked="f">
              <v:textbox style="mso-fit-shape-to-text:t" inset="0,0,0,0">
                <w:txbxContent>
                  <w:p w14:paraId="654B0967" w14:textId="77777777" w:rsidR="00924992" w:rsidRDefault="00924992">
                    <w:pPr>
                      <w:pStyle w:val="Headerorfooter0"/>
                      <w:tabs>
                        <w:tab w:val="right" w:pos="3917"/>
                      </w:tabs>
                    </w:pPr>
                    <w:r>
                      <w:rPr>
                        <w:sz w:val="16"/>
                        <w:szCs w:val="16"/>
                      </w:rPr>
                      <w:t>656</w:t>
                    </w:r>
                    <w:r>
                      <w:rPr>
                        <w:sz w:val="16"/>
                        <w:szCs w:val="16"/>
                      </w:rPr>
                      <w:tab/>
                    </w:r>
                    <w:r>
                      <w:t>TOXOCARIASIS</w:t>
                    </w:r>
                  </w:p>
                </w:txbxContent>
              </v:textbox>
              <w10:wrap anchorx="page" anchory="page"/>
            </v:shape>
          </w:pict>
        </mc:Fallback>
      </mc:AlternateContent>
    </w:r>
    <w:r>
      <w:rPr>
        <w:noProof/>
      </w:rPr>
      <mc:AlternateContent>
        <mc:Choice Requires="wps">
          <w:drawing>
            <wp:anchor distT="0" distB="0" distL="114300" distR="114300" simplePos="0" relativeHeight="251691008" behindDoc="1" locked="0" layoutInCell="1" allowOverlap="1" wp14:anchorId="576EF48A" wp14:editId="56A834BD">
              <wp:simplePos x="0" y="0"/>
              <wp:positionH relativeFrom="page">
                <wp:posOffset>542290</wp:posOffset>
              </wp:positionH>
              <wp:positionV relativeFrom="page">
                <wp:posOffset>419100</wp:posOffset>
              </wp:positionV>
              <wp:extent cx="4358640" cy="0"/>
              <wp:effectExtent l="0" t="0" r="0" b="0"/>
              <wp:wrapNone/>
              <wp:docPr id="1976" name="Shape 1976"/>
              <wp:cNvGraphicFramePr/>
              <a:graphic xmlns:a="http://schemas.openxmlformats.org/drawingml/2006/main">
                <a:graphicData uri="http://schemas.microsoft.com/office/word/2010/wordprocessingShape">
                  <wps:wsp>
                    <wps:cNvCnPr/>
                    <wps:spPr>
                      <a:xfrm>
                        <a:off x="0" y="0"/>
                        <a:ext cx="4358640" cy="0"/>
                      </a:xfrm>
                      <a:prstGeom prst="straightConnector1">
                        <a:avLst/>
                      </a:prstGeom>
                      <a:ln w="12700">
                        <a:solidFill/>
                      </a:ln>
                    </wps:spPr>
                    <wps:bodyPr/>
                  </wps:wsp>
                </a:graphicData>
              </a:graphic>
            </wp:anchor>
          </w:drawing>
        </mc:Choice>
        <mc:Fallback>
          <w:pict>
            <v:shapetype w14:anchorId="2F1BD19C" id="_x0000_t32" coordsize="21600,21600" o:spt="32" o:oned="t" path="m,l21600,21600e" filled="f">
              <v:path arrowok="t" fillok="f" o:connecttype="none"/>
              <o:lock v:ext="edit" shapetype="t"/>
            </v:shapetype>
            <v:shape id="Shape 1976" o:spid="_x0000_s1026" type="#_x0000_t32" style="position:absolute;margin-left:42.7pt;margin-top:33pt;width:343.2pt;height:0;z-index:-251625472;visibility:visible;mso-wrap-style:square;mso-wrap-distance-left:9pt;mso-wrap-distance-top:0;mso-wrap-distance-right:9pt;mso-wrap-distance-bottom:0;mso-position-horizontal:absolute;mso-position-horizontal-relative:page;mso-position-vertical:absolute;mso-position-vertical-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" strokeweight="1pt">
              <w10:wrap anchorx="page" anchory="page"/>
            </v:shape>
          </w:pict>
        </mc:Fallback>
      </mc:AlternateContent>
    </w:r>
  </w:p>
</w:hdr>
</file>

<file path=word/header3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5F9FAC" w14:textId="77777777" w:rsidR="00924992" w:rsidRDefault="00924992">
    <w:pPr>
      <w:spacing w:line="1" w:lineRule="exact"/>
    </w:pPr>
    <w:r>
      <w:rPr>
        <w:noProof/>
      </w:rPr>
      <mc:AlternateContent>
        <mc:Choice Requires="wps">
          <w:drawing>
            <wp:anchor distT="0" distB="0" distL="0" distR="0" simplePos="0" relativeHeight="251833344" behindDoc="1" locked="0" layoutInCell="1" allowOverlap="1" wp14:anchorId="0DFC1200" wp14:editId="1A4B4D97">
              <wp:simplePos x="0" y="0"/>
              <wp:positionH relativeFrom="page">
                <wp:posOffset>557530</wp:posOffset>
              </wp:positionH>
              <wp:positionV relativeFrom="page">
                <wp:posOffset>311150</wp:posOffset>
              </wp:positionV>
              <wp:extent cx="2487295" cy="69850"/>
              <wp:effectExtent l="0" t="0" r="0" b="0"/>
              <wp:wrapNone/>
              <wp:docPr id="1971" name="Shape 1971"/>
              <wp:cNvGraphicFramePr/>
              <a:graphic xmlns:a="http://schemas.openxmlformats.org/drawingml/2006/main">
                <a:graphicData uri="http://schemas.microsoft.com/office/word/2010/wordprocessingShape">
                  <wps:wsp>
                    <wps:cNvSpPr txBox="1"/>
                    <wps:spPr>
                      <a:xfrm>
                        <a:off x="0" y="0"/>
                        <a:ext cx="2487295" cy="69850"/>
                      </a:xfrm>
                      <a:prstGeom prst="rect">
                        <a:avLst/>
                      </a:prstGeom>
                      <a:noFill/>
                    </wps:spPr>
                    <wps:txbx>
                      <w:txbxContent>
                        <w:p w14:paraId="4E1550E1" w14:textId="77777777" w:rsidR="00924992" w:rsidRDefault="00924992">
                          <w:pPr>
                            <w:pStyle w:val="Headerorfooter0"/>
                            <w:tabs>
                              <w:tab w:val="right" w:pos="3917"/>
                            </w:tabs>
                          </w:pPr>
                          <w:r>
                            <w:rPr>
                              <w:sz w:val="16"/>
                              <w:szCs w:val="16"/>
                            </w:rPr>
                            <w:t>656</w:t>
                          </w:r>
                          <w:r>
                            <w:rPr>
                              <w:sz w:val="16"/>
                              <w:szCs w:val="16"/>
                            </w:rPr>
                            <w:tab/>
                          </w:r>
                          <w:r>
                            <w:t>TOXOCARIASIS</w:t>
                          </w:r>
                        </w:p>
                      </w:txbxContent>
                    </wps:txbx>
                    <wps:bodyPr lIns="0" tIns="0" rIns="0" bIns="0">
                      <a:spAutoFit/>
                    </wps:bodyPr>
                  </wps:wsp>
                </a:graphicData>
              </a:graphic>
            </wp:anchor>
          </w:drawing>
        </mc:Choice>
        <mc:Fallback>
          <w:pict>
            <v:shapetype w14:anchorId="0DFC1200" id="_x0000_t202" coordsize="21600,21600" o:spt="202" path="m,l,21600r21600,l21600,xe">
              <v:stroke joinstyle="miter"/>
              <v:path gradientshapeok="t" o:connecttype="rect"/>
            </v:shapetype>
            <v:shape id="Shape 1971" o:spid="_x0000_s1197" type="#_x0000_t202" style="position:absolute;margin-left:43.9pt;margin-top:24.5pt;width:195.85pt;height:5.5pt;z-index:-25148313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" filled="f" stroked="f">
              <v:textbox style="mso-fit-shape-to-text:t" inset="0,0,0,0">
                <w:txbxContent>
                  <w:p w14:paraId="4E1550E1" w14:textId="77777777" w:rsidR="00924992" w:rsidRDefault="00924992">
                    <w:pPr>
                      <w:pStyle w:val="Headerorfooter0"/>
                      <w:tabs>
                        <w:tab w:val="right" w:pos="3917"/>
                      </w:tabs>
                    </w:pPr>
                    <w:r>
                      <w:rPr>
                        <w:sz w:val="16"/>
                        <w:szCs w:val="16"/>
                      </w:rPr>
                      <w:t>656</w:t>
                    </w:r>
                    <w:r>
                      <w:rPr>
                        <w:sz w:val="16"/>
                        <w:szCs w:val="16"/>
                      </w:rPr>
                      <w:tab/>
                    </w:r>
                    <w:r>
                      <w:t>TOXOCARIASIS</w:t>
                    </w:r>
                  </w:p>
                </w:txbxContent>
              </v:textbox>
              <w10:wrap anchorx="page" anchory="page"/>
            </v:shape>
          </w:pict>
        </mc:Fallback>
      </mc:AlternateContent>
    </w:r>
    <w:r>
      <w:rPr>
        <w:noProof/>
      </w:rPr>
      <mc:AlternateContent>
        <mc:Choice Requires="wps">
          <w:drawing>
            <wp:anchor distT="0" distB="0" distL="114300" distR="114300" simplePos="0" relativeHeight="251689984" behindDoc="1" locked="0" layoutInCell="1" allowOverlap="1" wp14:anchorId="55EC4730" wp14:editId="6473D227">
              <wp:simplePos x="0" y="0"/>
              <wp:positionH relativeFrom="page">
                <wp:posOffset>542290</wp:posOffset>
              </wp:positionH>
              <wp:positionV relativeFrom="page">
                <wp:posOffset>419100</wp:posOffset>
              </wp:positionV>
              <wp:extent cx="4358640" cy="0"/>
              <wp:effectExtent l="0" t="0" r="0" b="0"/>
              <wp:wrapNone/>
              <wp:docPr id="1973" name="Shape 1973"/>
              <wp:cNvGraphicFramePr/>
              <a:graphic xmlns:a="http://schemas.openxmlformats.org/drawingml/2006/main">
                <a:graphicData uri="http://schemas.microsoft.com/office/word/2010/wordprocessingShape">
                  <wps:wsp>
                    <wps:cNvCnPr/>
                    <wps:spPr>
                      <a:xfrm>
                        <a:off x="0" y="0"/>
                        <a:ext cx="4358640" cy="0"/>
                      </a:xfrm>
                      <a:prstGeom prst="straightConnector1">
                        <a:avLst/>
                      </a:prstGeom>
                      <a:ln w="12700">
                        <a:solidFill/>
                      </a:ln>
                    </wps:spPr>
                    <wps:bodyPr/>
                  </wps:wsp>
                </a:graphicData>
              </a:graphic>
            </wp:anchor>
          </w:drawing>
        </mc:Choice>
        <mc:Fallback>
          <w:pict>
            <v:shapetype w14:anchorId="3C0950B8" id="_x0000_t32" coordsize="21600,21600" o:spt="32" o:oned="t" path="m,l21600,21600e" filled="f">
              <v:path arrowok="t" fillok="f" o:connecttype="none"/>
              <o:lock v:ext="edit" shapetype="t"/>
            </v:shapetype>
            <v:shape id="Shape 1973" o:spid="_x0000_s1026" type="#_x0000_t32" style="position:absolute;margin-left:42.7pt;margin-top:33pt;width:343.2pt;height:0;z-index:-251626496;visibility:visible;mso-wrap-style:square;mso-wrap-distance-left:9pt;mso-wrap-distance-top:0;mso-wrap-distance-right:9pt;mso-wrap-distance-bottom:0;mso-position-horizontal:absolute;mso-position-horizontal-relative:page;mso-position-vertical:absolute;mso-position-vertical-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" strokeweight="1pt">
              <w10:wrap anchorx="page" anchory="page"/>
            </v:shape>
          </w:pict>
        </mc:Fallback>
      </mc:AlternateContent>
    </w:r>
  </w:p>
</w:hdr>
</file>

<file path=word/header3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697659" w14:textId="77777777" w:rsidR="00924992" w:rsidRDefault="00924992">
    <w:pPr>
      <w:spacing w:line="1" w:lineRule="exact"/>
    </w:pPr>
    <w:r>
      <w:rPr>
        <w:noProof/>
      </w:rPr>
      <mc:AlternateContent>
        <mc:Choice Requires="wps">
          <w:drawing>
            <wp:anchor distT="0" distB="0" distL="0" distR="0" simplePos="0" relativeHeight="251835392" behindDoc="1" locked="0" layoutInCell="1" allowOverlap="1" wp14:anchorId="4A521A94" wp14:editId="4AD275A2">
              <wp:simplePos x="0" y="0"/>
              <wp:positionH relativeFrom="page">
                <wp:posOffset>1897380</wp:posOffset>
              </wp:positionH>
              <wp:positionV relativeFrom="page">
                <wp:posOffset>295910</wp:posOffset>
              </wp:positionV>
              <wp:extent cx="2980690" cy="94615"/>
              <wp:effectExtent l="0" t="0" r="0" b="0"/>
              <wp:wrapNone/>
              <wp:docPr id="1977" name="Shape 1977"/>
              <wp:cNvGraphicFramePr/>
              <a:graphic xmlns:a="http://schemas.openxmlformats.org/drawingml/2006/main">
                <a:graphicData uri="http://schemas.microsoft.com/office/word/2010/wordprocessingShape">
                  <wps:wsp>
                    <wps:cNvSpPr txBox="1"/>
                    <wps:spPr>
                      <a:xfrm>
                        <a:off x="0" y="0"/>
                        <a:ext cx="2980690" cy="94615"/>
                      </a:xfrm>
                      <a:prstGeom prst="rect">
                        <a:avLst/>
                      </a:prstGeom>
                      <a:noFill/>
                    </wps:spPr>
                    <wps:txbx>
                      <w:txbxContent>
                        <w:p w14:paraId="1DF26CDD" w14:textId="77777777" w:rsidR="00924992" w:rsidRDefault="00924992">
                          <w:pPr>
                            <w:pStyle w:val="Headerorfooter0"/>
                            <w:tabs>
                              <w:tab w:val="right" w:pos="4694"/>
                            </w:tabs>
                            <w:rPr>
                              <w:sz w:val="16"/>
                              <w:szCs w:val="16"/>
                            </w:rPr>
                          </w:pPr>
                          <w:r>
                            <w:t>CITOMEGÁLICO, VIRUS, INFECCIONES</w:t>
                          </w:r>
                          <w:r>
                            <w:tab/>
                          </w:r>
                          <w:r>
                            <w:rPr>
                              <w:sz w:val="16"/>
                              <w:szCs w:val="16"/>
                            </w:rPr>
                            <w:t>257</w:t>
                          </w:r>
                        </w:p>
                      </w:txbxContent>
                    </wps:txbx>
                    <wps:bodyPr lIns="0" tIns="0" rIns="0" bIns="0">
                      <a:spAutoFit/>
                    </wps:bodyPr>
                  </wps:wsp>
                </a:graphicData>
              </a:graphic>
            </wp:anchor>
          </w:drawing>
        </mc:Choice>
        <mc:Fallback>
          <w:pict>
            <v:shapetype w14:anchorId="4A521A94" id="_x0000_t202" coordsize="21600,21600" o:spt="202" path="m,l,21600r21600,l21600,xe">
              <v:stroke joinstyle="miter"/>
              <v:path gradientshapeok="t" o:connecttype="rect"/>
            </v:shapetype>
            <v:shape id="Shape 1977" o:spid="_x0000_s1198" type="#_x0000_t202" style="position:absolute;margin-left:149.4pt;margin-top:23.3pt;width:234.7pt;height:7.45pt;z-index:-25148108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" filled="f" stroked="f">
              <v:textbox style="mso-fit-shape-to-text:t" inset="0,0,0,0">
                <w:txbxContent>
                  <w:p w14:paraId="1DF26CDD" w14:textId="77777777" w:rsidR="00924992" w:rsidRDefault="00924992">
                    <w:pPr>
                      <w:pStyle w:val="Headerorfooter0"/>
                      <w:tabs>
                        <w:tab w:val="right" w:pos="4694"/>
                      </w:tabs>
                      <w:rPr>
                        <w:sz w:val="16"/>
                        <w:szCs w:val="16"/>
                      </w:rPr>
                    </w:pPr>
                    <w:r>
                      <w:t>CITOMEGÁLICO, VIRUS, INFECCIONES</w:t>
                    </w:r>
                    <w:r>
                      <w:tab/>
                    </w:r>
                    <w:r>
                      <w:rPr>
                        <w:sz w:val="16"/>
                        <w:szCs w:val="16"/>
                      </w:rPr>
                      <w:t>257</w:t>
                    </w:r>
                  </w:p>
                </w:txbxContent>
              </v:textbox>
              <w10:wrap anchorx="page" anchory="page"/>
            </v:shape>
          </w:pict>
        </mc:Fallback>
      </mc:AlternateContent>
    </w:r>
    <w:r>
      <w:rPr>
        <w:noProof/>
      </w:rPr>
      <mc:AlternateContent>
        <mc:Choice Requires="wps">
          <w:drawing>
            <wp:anchor distT="0" distB="0" distL="114300" distR="114300" simplePos="0" relativeHeight="251692032" behindDoc="1" locked="0" layoutInCell="1" allowOverlap="1" wp14:anchorId="06F7A7D7" wp14:editId="65EE8A5E">
              <wp:simplePos x="0" y="0"/>
              <wp:positionH relativeFrom="page">
                <wp:posOffset>541020</wp:posOffset>
              </wp:positionH>
              <wp:positionV relativeFrom="page">
                <wp:posOffset>419100</wp:posOffset>
              </wp:positionV>
              <wp:extent cx="4358640" cy="0"/>
              <wp:effectExtent l="0" t="0" r="0" b="0"/>
              <wp:wrapNone/>
              <wp:docPr id="1979" name="Shape 1979"/>
              <wp:cNvGraphicFramePr/>
              <a:graphic xmlns:a="http://schemas.openxmlformats.org/drawingml/2006/main">
                <a:graphicData uri="http://schemas.microsoft.com/office/word/2010/wordprocessingShape">
                  <wps:wsp>
                    <wps:cNvCnPr/>
                    <wps:spPr>
                      <a:xfrm>
                        <a:off x="0" y="0"/>
                        <a:ext cx="4358640" cy="0"/>
                      </a:xfrm>
                      <a:prstGeom prst="straightConnector1">
                        <a:avLst/>
                      </a:prstGeom>
                      <a:ln w="12700">
                        <a:solidFill/>
                      </a:ln>
                    </wps:spPr>
                    <wps:bodyPr/>
                  </wps:wsp>
                </a:graphicData>
              </a:graphic>
            </wp:anchor>
          </w:drawing>
        </mc:Choice>
        <mc:Fallback>
          <w:pict>
            <v:shapetype w14:anchorId="4BC88FE5" id="_x0000_t32" coordsize="21600,21600" o:spt="32" o:oned="t" path="m,l21600,21600e" filled="f">
              <v:path arrowok="t" fillok="f" o:connecttype="none"/>
              <o:lock v:ext="edit" shapetype="t"/>
            </v:shapetype>
            <v:shape id="Shape 1979" o:spid="_x0000_s1026" type="#_x0000_t32" style="position:absolute;margin-left:42.6pt;margin-top:33pt;width:343.2pt;height:0;z-index:-251624448;visibility:visible;mso-wrap-style:square;mso-wrap-distance-left:9pt;mso-wrap-distance-top:0;mso-wrap-distance-right:9pt;mso-wrap-distance-bottom:0;mso-position-horizontal:absolute;mso-position-horizontal-relative:page;mso-position-vertical:absolute;mso-position-vertical-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" strokeweight="1pt">
              <w10:wrap anchorx="page" anchory="page"/>
            </v:shape>
          </w:pict>
        </mc:Fallback>
      </mc:AlternateContent>
    </w:r>
  </w:p>
</w:hdr>
</file>

<file path=word/header3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C08043" w14:textId="77777777" w:rsidR="00924992" w:rsidRDefault="00924992">
    <w:pPr>
      <w:spacing w:line="1" w:lineRule="exact"/>
    </w:pPr>
    <w:r>
      <w:rPr>
        <w:noProof/>
      </w:rPr>
      <mc:AlternateContent>
        <mc:Choice Requires="wps">
          <w:drawing>
            <wp:anchor distT="0" distB="0" distL="0" distR="0" simplePos="0" relativeHeight="251837440" behindDoc="1" locked="0" layoutInCell="1" allowOverlap="1" wp14:anchorId="0B3F18E2" wp14:editId="0EAA5CB0">
              <wp:simplePos x="0" y="0"/>
              <wp:positionH relativeFrom="page">
                <wp:posOffset>1927860</wp:posOffset>
              </wp:positionH>
              <wp:positionV relativeFrom="page">
                <wp:posOffset>311150</wp:posOffset>
              </wp:positionV>
              <wp:extent cx="2950210" cy="79375"/>
              <wp:effectExtent l="0" t="0" r="0" b="0"/>
              <wp:wrapNone/>
              <wp:docPr id="1983" name="Shape 1983"/>
              <wp:cNvGraphicFramePr/>
              <a:graphic xmlns:a="http://schemas.openxmlformats.org/drawingml/2006/main">
                <a:graphicData uri="http://schemas.microsoft.com/office/word/2010/wordprocessingShape">
                  <wps:wsp>
                    <wps:cNvSpPr txBox="1"/>
                    <wps:spPr>
                      <a:xfrm>
                        <a:off x="0" y="0"/>
                        <a:ext cx="2950210" cy="79375"/>
                      </a:xfrm>
                      <a:prstGeom prst="rect">
                        <a:avLst/>
                      </a:prstGeom>
                      <a:noFill/>
                    </wps:spPr>
                    <wps:txbx>
                      <w:txbxContent>
                        <w:p w14:paraId="5C8839BD" w14:textId="77777777" w:rsidR="00924992" w:rsidRDefault="00924992">
                          <w:pPr>
                            <w:pStyle w:val="Headerorfooter0"/>
                            <w:tabs>
                              <w:tab w:val="right" w:pos="4646"/>
                            </w:tabs>
                            <w:rPr>
                              <w:sz w:val="16"/>
                              <w:szCs w:val="16"/>
                            </w:rPr>
                          </w:pPr>
                          <w:r>
                            <w:rPr>
                              <w:i/>
                              <w:iCs/>
                              <w:sz w:val="13"/>
                              <w:szCs w:val="13"/>
                            </w:rPr>
                            <w:t>TOXOPLASMA GONDII,</w:t>
                          </w:r>
                          <w:r>
                            <w:t xml:space="preserve"> INFECCIONES</w:t>
                          </w:r>
                          <w:r>
                            <w:tab/>
                          </w:r>
                          <w:r>
                            <w:rPr>
                              <w:sz w:val="16"/>
                              <w:szCs w:val="16"/>
                            </w:rPr>
                            <w:t>657</w:t>
                          </w:r>
                        </w:p>
                      </w:txbxContent>
                    </wps:txbx>
                    <wps:bodyPr lIns="0" tIns="0" rIns="0" bIns="0">
                      <a:spAutoFit/>
                    </wps:bodyPr>
                  </wps:wsp>
                </a:graphicData>
              </a:graphic>
            </wp:anchor>
          </w:drawing>
        </mc:Choice>
        <mc:Fallback>
          <w:pict>
            <v:shapetype w14:anchorId="0B3F18E2" id="_x0000_t202" coordsize="21600,21600" o:spt="202" path="m,l,21600r21600,l21600,xe">
              <v:stroke joinstyle="miter"/>
              <v:path gradientshapeok="t" o:connecttype="rect"/>
            </v:shapetype>
            <v:shape id="Shape 1983" o:spid="_x0000_s1199" type="#_x0000_t202" style="position:absolute;margin-left:151.8pt;margin-top:24.5pt;width:232.3pt;height:6.25pt;z-index:-25147904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" filled="f" stroked="f">
              <v:textbox style="mso-fit-shape-to-text:t" inset="0,0,0,0">
                <w:txbxContent>
                  <w:p w14:paraId="5C8839BD" w14:textId="77777777" w:rsidR="00924992" w:rsidRDefault="00924992">
                    <w:pPr>
                      <w:pStyle w:val="Headerorfooter0"/>
                      <w:tabs>
                        <w:tab w:val="right" w:pos="4646"/>
                      </w:tabs>
                      <w:rPr>
                        <w:sz w:val="16"/>
                        <w:szCs w:val="16"/>
                      </w:rPr>
                    </w:pPr>
                    <w:r>
                      <w:rPr>
                        <w:i/>
                        <w:iCs/>
                        <w:sz w:val="13"/>
                        <w:szCs w:val="13"/>
                      </w:rPr>
                      <w:t>TOXOPLASMA GONDII,</w:t>
                    </w:r>
                    <w:r>
                      <w:t xml:space="preserve"> INFECCIONES</w:t>
                    </w:r>
                    <w:r>
                      <w:tab/>
                    </w:r>
                    <w:r>
                      <w:rPr>
                        <w:sz w:val="16"/>
                        <w:szCs w:val="16"/>
                      </w:rPr>
                      <w:t>657</w:t>
                    </w:r>
                  </w:p>
                </w:txbxContent>
              </v:textbox>
              <w10:wrap anchorx="page" anchory="page"/>
            </v:shape>
          </w:pict>
        </mc:Fallback>
      </mc:AlternateContent>
    </w:r>
    <w:r>
      <w:rPr>
        <w:noProof/>
      </w:rPr>
      <mc:AlternateContent>
        <mc:Choice Requires="wps">
          <w:drawing>
            <wp:anchor distT="0" distB="0" distL="114300" distR="114300" simplePos="0" relativeHeight="251694080" behindDoc="1" locked="0" layoutInCell="1" allowOverlap="1" wp14:anchorId="38B28376" wp14:editId="336A1032">
              <wp:simplePos x="0" y="0"/>
              <wp:positionH relativeFrom="page">
                <wp:posOffset>541020</wp:posOffset>
              </wp:positionH>
              <wp:positionV relativeFrom="page">
                <wp:posOffset>419100</wp:posOffset>
              </wp:positionV>
              <wp:extent cx="4358640" cy="0"/>
              <wp:effectExtent l="0" t="0" r="0" b="0"/>
              <wp:wrapNone/>
              <wp:docPr id="1985" name="Shape 1985"/>
              <wp:cNvGraphicFramePr/>
              <a:graphic xmlns:a="http://schemas.openxmlformats.org/drawingml/2006/main">
                <a:graphicData uri="http://schemas.microsoft.com/office/word/2010/wordprocessingShape">
                  <wps:wsp>
                    <wps:cNvCnPr/>
                    <wps:spPr>
                      <a:xfrm>
                        <a:off x="0" y="0"/>
                        <a:ext cx="4358640" cy="0"/>
                      </a:xfrm>
                      <a:prstGeom prst="straightConnector1">
                        <a:avLst/>
                      </a:prstGeom>
                      <a:ln w="12700">
                        <a:solidFill/>
                      </a:ln>
                    </wps:spPr>
                    <wps:bodyPr/>
                  </wps:wsp>
                </a:graphicData>
              </a:graphic>
            </wp:anchor>
          </w:drawing>
        </mc:Choice>
        <mc:Fallback>
          <w:pict>
            <v:shapetype w14:anchorId="2919BE8E" id="_x0000_t32" coordsize="21600,21600" o:spt="32" o:oned="t" path="m,l21600,21600e" filled="f">
              <v:path arrowok="t" fillok="f" o:connecttype="none"/>
              <o:lock v:ext="edit" shapetype="t"/>
            </v:shapetype>
            <v:shape id="Shape 1985" o:spid="_x0000_s1026" type="#_x0000_t32" style="position:absolute;margin-left:42.6pt;margin-top:33pt;width:343.2pt;height:0;z-index:-251622400;visibility:visible;mso-wrap-style:square;mso-wrap-distance-left:9pt;mso-wrap-distance-top:0;mso-wrap-distance-right:9pt;mso-wrap-distance-bottom:0;mso-position-horizontal:absolute;mso-position-horizontal-relative:page;mso-position-vertical:absolute;mso-position-vertical-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" strokeweight="1pt">
              <w10:wrap anchorx="page" anchory="page"/>
            </v:shape>
          </w:pict>
        </mc:Fallback>
      </mc:AlternateContent>
    </w:r>
  </w:p>
</w:hdr>
</file>

<file path=word/header3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F60308" w14:textId="77777777" w:rsidR="00924992" w:rsidRDefault="00924992">
    <w:pPr>
      <w:spacing w:line="1" w:lineRule="exact"/>
    </w:pPr>
    <w:r>
      <w:rPr>
        <w:noProof/>
      </w:rPr>
      <mc:AlternateContent>
        <mc:Choice Requires="wps">
          <w:drawing>
            <wp:anchor distT="0" distB="0" distL="0" distR="0" simplePos="0" relativeHeight="251836416" behindDoc="1" locked="0" layoutInCell="1" allowOverlap="1" wp14:anchorId="06FC2F33" wp14:editId="13AB739F">
              <wp:simplePos x="0" y="0"/>
              <wp:positionH relativeFrom="page">
                <wp:posOffset>1927860</wp:posOffset>
              </wp:positionH>
              <wp:positionV relativeFrom="page">
                <wp:posOffset>311150</wp:posOffset>
              </wp:positionV>
              <wp:extent cx="2950210" cy="79375"/>
              <wp:effectExtent l="0" t="0" r="0" b="0"/>
              <wp:wrapNone/>
              <wp:docPr id="1980" name="Shape 1980"/>
              <wp:cNvGraphicFramePr/>
              <a:graphic xmlns:a="http://schemas.openxmlformats.org/drawingml/2006/main">
                <a:graphicData uri="http://schemas.microsoft.com/office/word/2010/wordprocessingShape">
                  <wps:wsp>
                    <wps:cNvSpPr txBox="1"/>
                    <wps:spPr>
                      <a:xfrm>
                        <a:off x="0" y="0"/>
                        <a:ext cx="2950210" cy="79375"/>
                      </a:xfrm>
                      <a:prstGeom prst="rect">
                        <a:avLst/>
                      </a:prstGeom>
                      <a:noFill/>
                    </wps:spPr>
                    <wps:txbx>
                      <w:txbxContent>
                        <w:p w14:paraId="5755E9C6" w14:textId="77777777" w:rsidR="00924992" w:rsidRDefault="00924992">
                          <w:pPr>
                            <w:pStyle w:val="Headerorfooter0"/>
                            <w:tabs>
                              <w:tab w:val="right" w:pos="4646"/>
                            </w:tabs>
                            <w:rPr>
                              <w:sz w:val="16"/>
                              <w:szCs w:val="16"/>
                            </w:rPr>
                          </w:pPr>
                          <w:r>
                            <w:rPr>
                              <w:i/>
                              <w:iCs/>
                              <w:sz w:val="13"/>
                              <w:szCs w:val="13"/>
                            </w:rPr>
                            <w:t>TOXOPLASMA GONDII,</w:t>
                          </w:r>
                          <w:r>
                            <w:t xml:space="preserve"> INFECCIONES</w:t>
                          </w:r>
                          <w:r>
                            <w:tab/>
                          </w:r>
                          <w:r>
                            <w:rPr>
                              <w:sz w:val="16"/>
                              <w:szCs w:val="16"/>
                            </w:rPr>
                            <w:t>657</w:t>
                          </w:r>
                        </w:p>
                      </w:txbxContent>
                    </wps:txbx>
                    <wps:bodyPr lIns="0" tIns="0" rIns="0" bIns="0">
                      <a:spAutoFit/>
                    </wps:bodyPr>
                  </wps:wsp>
                </a:graphicData>
              </a:graphic>
            </wp:anchor>
          </w:drawing>
        </mc:Choice>
        <mc:Fallback>
          <w:pict>
            <v:shapetype w14:anchorId="06FC2F33" id="_x0000_t202" coordsize="21600,21600" o:spt="202" path="m,l,21600r21600,l21600,xe">
              <v:stroke joinstyle="miter"/>
              <v:path gradientshapeok="t" o:connecttype="rect"/>
            </v:shapetype>
            <v:shape id="Shape 1980" o:spid="_x0000_s1200" type="#_x0000_t202" style="position:absolute;margin-left:151.8pt;margin-top:24.5pt;width:232.3pt;height:6.25pt;z-index:-25148006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" filled="f" stroked="f">
              <v:textbox style="mso-fit-shape-to-text:t" inset="0,0,0,0">
                <w:txbxContent>
                  <w:p w14:paraId="5755E9C6" w14:textId="77777777" w:rsidR="00924992" w:rsidRDefault="00924992">
                    <w:pPr>
                      <w:pStyle w:val="Headerorfooter0"/>
                      <w:tabs>
                        <w:tab w:val="right" w:pos="4646"/>
                      </w:tabs>
                      <w:rPr>
                        <w:sz w:val="16"/>
                        <w:szCs w:val="16"/>
                      </w:rPr>
                    </w:pPr>
                    <w:r>
                      <w:rPr>
                        <w:i/>
                        <w:iCs/>
                        <w:sz w:val="13"/>
                        <w:szCs w:val="13"/>
                      </w:rPr>
                      <w:t>TOXOPLASMA GONDII,</w:t>
                    </w:r>
                    <w:r>
                      <w:t xml:space="preserve"> INFECCIONES</w:t>
                    </w:r>
                    <w:r>
                      <w:tab/>
                    </w:r>
                    <w:r>
                      <w:rPr>
                        <w:sz w:val="16"/>
                        <w:szCs w:val="16"/>
                      </w:rPr>
                      <w:t>657</w:t>
                    </w:r>
                  </w:p>
                </w:txbxContent>
              </v:textbox>
              <w10:wrap anchorx="page" anchory="page"/>
            </v:shape>
          </w:pict>
        </mc:Fallback>
      </mc:AlternateContent>
    </w:r>
    <w:r>
      <w:rPr>
        <w:noProof/>
      </w:rPr>
      <mc:AlternateContent>
        <mc:Choice Requires="wps">
          <w:drawing>
            <wp:anchor distT="0" distB="0" distL="114300" distR="114300" simplePos="0" relativeHeight="251693056" behindDoc="1" locked="0" layoutInCell="1" allowOverlap="1" wp14:anchorId="337F682A" wp14:editId="39CBDF16">
              <wp:simplePos x="0" y="0"/>
              <wp:positionH relativeFrom="page">
                <wp:posOffset>541020</wp:posOffset>
              </wp:positionH>
              <wp:positionV relativeFrom="page">
                <wp:posOffset>419100</wp:posOffset>
              </wp:positionV>
              <wp:extent cx="4358640" cy="0"/>
              <wp:effectExtent l="0" t="0" r="0" b="0"/>
              <wp:wrapNone/>
              <wp:docPr id="1982" name="Shape 1982"/>
              <wp:cNvGraphicFramePr/>
              <a:graphic xmlns:a="http://schemas.openxmlformats.org/drawingml/2006/main">
                <a:graphicData uri="http://schemas.microsoft.com/office/word/2010/wordprocessingShape">
                  <wps:wsp>
                    <wps:cNvCnPr/>
                    <wps:spPr>
                      <a:xfrm>
                        <a:off x="0" y="0"/>
                        <a:ext cx="4358640" cy="0"/>
                      </a:xfrm>
                      <a:prstGeom prst="straightConnector1">
                        <a:avLst/>
                      </a:prstGeom>
                      <a:ln w="12700">
                        <a:solidFill/>
                      </a:ln>
                    </wps:spPr>
                    <wps:bodyPr/>
                  </wps:wsp>
                </a:graphicData>
              </a:graphic>
            </wp:anchor>
          </w:drawing>
        </mc:Choice>
        <mc:Fallback>
          <w:pict>
            <v:shapetype w14:anchorId="58AC04DB" id="_x0000_t32" coordsize="21600,21600" o:spt="32" o:oned="t" path="m,l21600,21600e" filled="f">
              <v:path arrowok="t" fillok="f" o:connecttype="none"/>
              <o:lock v:ext="edit" shapetype="t"/>
            </v:shapetype>
            <v:shape id="Shape 1982" o:spid="_x0000_s1026" type="#_x0000_t32" style="position:absolute;margin-left:42.6pt;margin-top:33pt;width:343.2pt;height:0;z-index:-251623424;visibility:visible;mso-wrap-style:square;mso-wrap-distance-left:9pt;mso-wrap-distance-top:0;mso-wrap-distance-right:9pt;mso-wrap-distance-bottom:0;mso-position-horizontal:absolute;mso-position-horizontal-relative:page;mso-position-vertical:absolute;mso-position-vertical-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" strokeweight="1pt">
              <w10:wrap anchorx="page" anchory="page"/>
            </v:shape>
          </w:pict>
        </mc:Fallback>
      </mc:AlternateContent>
    </w:r>
  </w:p>
</w:hdr>
</file>

<file path=word/header3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79BAEF" w14:textId="77777777" w:rsidR="00924992" w:rsidRDefault="00924992">
    <w:pPr>
      <w:spacing w:line="1" w:lineRule="exact"/>
    </w:pPr>
    <w:r>
      <w:rPr>
        <w:noProof/>
      </w:rPr>
      <mc:AlternateContent>
        <mc:Choice Requires="wps">
          <w:drawing>
            <wp:anchor distT="0" distB="0" distL="0" distR="0" simplePos="0" relativeHeight="251839488" behindDoc="1" locked="0" layoutInCell="1" allowOverlap="1" wp14:anchorId="5D3A21F0" wp14:editId="1A34D0F4">
              <wp:simplePos x="0" y="0"/>
              <wp:positionH relativeFrom="page">
                <wp:posOffset>556260</wp:posOffset>
              </wp:positionH>
              <wp:positionV relativeFrom="page">
                <wp:posOffset>311150</wp:posOffset>
              </wp:positionV>
              <wp:extent cx="2956560" cy="79375"/>
              <wp:effectExtent l="0" t="0" r="0" b="0"/>
              <wp:wrapNone/>
              <wp:docPr id="1989" name="Shape 1989"/>
              <wp:cNvGraphicFramePr/>
              <a:graphic xmlns:a="http://schemas.openxmlformats.org/drawingml/2006/main">
                <a:graphicData uri="http://schemas.microsoft.com/office/word/2010/wordprocessingShape">
                  <wps:wsp>
                    <wps:cNvSpPr txBox="1"/>
                    <wps:spPr>
                      <a:xfrm>
                        <a:off x="0" y="0"/>
                        <a:ext cx="2956560" cy="79375"/>
                      </a:xfrm>
                      <a:prstGeom prst="rect">
                        <a:avLst/>
                      </a:prstGeom>
                      <a:noFill/>
                    </wps:spPr>
                    <wps:txbx>
                      <w:txbxContent>
                        <w:p w14:paraId="1F1BA184" w14:textId="77777777" w:rsidR="00924992" w:rsidRDefault="00924992">
                          <w:pPr>
                            <w:pStyle w:val="Headerorfooter0"/>
                            <w:tabs>
                              <w:tab w:val="right" w:pos="4656"/>
                            </w:tabs>
                          </w:pPr>
                          <w:r>
                            <w:rPr>
                              <w:sz w:val="16"/>
                              <w:szCs w:val="16"/>
                            </w:rPr>
                            <w:t>658</w:t>
                          </w:r>
                          <w:r>
                            <w:rPr>
                              <w:sz w:val="16"/>
                              <w:szCs w:val="16"/>
                            </w:rPr>
                            <w:tab/>
                          </w:r>
                          <w:r>
                            <w:rPr>
                              <w:i/>
                              <w:iCs/>
                              <w:sz w:val="13"/>
                              <w:szCs w:val="13"/>
                            </w:rPr>
                            <w:t>TOXOPLASMA GONDII,</w:t>
                          </w:r>
                          <w:r>
                            <w:t xml:space="preserve"> INFECCIONES</w:t>
                          </w:r>
                        </w:p>
                      </w:txbxContent>
                    </wps:txbx>
                    <wps:bodyPr lIns="0" tIns="0" rIns="0" bIns="0">
                      <a:spAutoFit/>
                    </wps:bodyPr>
                  </wps:wsp>
                </a:graphicData>
              </a:graphic>
            </wp:anchor>
          </w:drawing>
        </mc:Choice>
        <mc:Fallback>
          <w:pict>
            <v:shapetype w14:anchorId="5D3A21F0" id="_x0000_t202" coordsize="21600,21600" o:spt="202" path="m,l,21600r21600,l21600,xe">
              <v:stroke joinstyle="miter"/>
              <v:path gradientshapeok="t" o:connecttype="rect"/>
            </v:shapetype>
            <v:shape id="Shape 1989" o:spid="_x0000_s1201" type="#_x0000_t202" style="position:absolute;margin-left:43.8pt;margin-top:24.5pt;width:232.8pt;height:6.25pt;z-index:-25147699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" filled="f" stroked="f">
              <v:textbox style="mso-fit-shape-to-text:t" inset="0,0,0,0">
                <w:txbxContent>
                  <w:p w14:paraId="1F1BA184" w14:textId="77777777" w:rsidR="00924992" w:rsidRDefault="00924992">
                    <w:pPr>
                      <w:pStyle w:val="Headerorfooter0"/>
                      <w:tabs>
                        <w:tab w:val="right" w:pos="4656"/>
                      </w:tabs>
                    </w:pPr>
                    <w:r>
                      <w:rPr>
                        <w:sz w:val="16"/>
                        <w:szCs w:val="16"/>
                      </w:rPr>
                      <w:t>658</w:t>
                    </w:r>
                    <w:r>
                      <w:rPr>
                        <w:sz w:val="16"/>
                        <w:szCs w:val="16"/>
                      </w:rPr>
                      <w:tab/>
                    </w:r>
                    <w:r>
                      <w:rPr>
                        <w:i/>
                        <w:iCs/>
                        <w:sz w:val="13"/>
                        <w:szCs w:val="13"/>
                      </w:rPr>
                      <w:t>TOXOPLASMA GONDII,</w:t>
                    </w:r>
                    <w:r>
                      <w:t xml:space="preserve"> INFECCIONES</w:t>
                    </w:r>
                  </w:p>
                </w:txbxContent>
              </v:textbox>
              <w10:wrap anchorx="page" anchory="page"/>
            </v:shape>
          </w:pict>
        </mc:Fallback>
      </mc:AlternateContent>
    </w:r>
    <w:r>
      <w:rPr>
        <w:noProof/>
      </w:rPr>
      <mc:AlternateContent>
        <mc:Choice Requires="wps">
          <w:drawing>
            <wp:anchor distT="0" distB="0" distL="114300" distR="114300" simplePos="0" relativeHeight="251696128" behindDoc="1" locked="0" layoutInCell="1" allowOverlap="1" wp14:anchorId="7740CF2B" wp14:editId="0C589D1C">
              <wp:simplePos x="0" y="0"/>
              <wp:positionH relativeFrom="page">
                <wp:posOffset>541020</wp:posOffset>
              </wp:positionH>
              <wp:positionV relativeFrom="page">
                <wp:posOffset>419100</wp:posOffset>
              </wp:positionV>
              <wp:extent cx="4358640" cy="0"/>
              <wp:effectExtent l="0" t="0" r="0" b="0"/>
              <wp:wrapNone/>
              <wp:docPr id="1991" name="Shape 1991"/>
              <wp:cNvGraphicFramePr/>
              <a:graphic xmlns:a="http://schemas.openxmlformats.org/drawingml/2006/main">
                <a:graphicData uri="http://schemas.microsoft.com/office/word/2010/wordprocessingShape">
                  <wps:wsp>
                    <wps:cNvCnPr/>
                    <wps:spPr>
                      <a:xfrm>
                        <a:off x="0" y="0"/>
                        <a:ext cx="4358640" cy="0"/>
                      </a:xfrm>
                      <a:prstGeom prst="straightConnector1">
                        <a:avLst/>
                      </a:prstGeom>
                      <a:ln w="12700">
                        <a:solidFill/>
                      </a:ln>
                    </wps:spPr>
                    <wps:bodyPr/>
                  </wps:wsp>
                </a:graphicData>
              </a:graphic>
            </wp:anchor>
          </w:drawing>
        </mc:Choice>
        <mc:Fallback>
          <w:pict>
            <v:shapetype w14:anchorId="187DF8BA" id="_x0000_t32" coordsize="21600,21600" o:spt="32" o:oned="t" path="m,l21600,21600e" filled="f">
              <v:path arrowok="t" fillok="f" o:connecttype="none"/>
              <o:lock v:ext="edit" shapetype="t"/>
            </v:shapetype>
            <v:shape id="Shape 1991" o:spid="_x0000_s1026" type="#_x0000_t32" style="position:absolute;margin-left:42.6pt;margin-top:33pt;width:343.2pt;height:0;z-index:-251620352;visibility:visible;mso-wrap-style:square;mso-wrap-distance-left:9pt;mso-wrap-distance-top:0;mso-wrap-distance-right:9pt;mso-wrap-distance-bottom:0;mso-position-horizontal:absolute;mso-position-horizontal-relative:page;mso-position-vertical:absolute;mso-position-vertical-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" strokeweight="1pt">
              <w10:wrap anchorx="page" anchory="page"/>
            </v:shape>
          </w:pict>
        </mc:Fallback>
      </mc:AlternateContent>
    </w:r>
  </w:p>
</w:hdr>
</file>

<file path=word/header3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EC20CC" w14:textId="77777777" w:rsidR="00924992" w:rsidRDefault="00924992">
    <w:pPr>
      <w:spacing w:line="1" w:lineRule="exact"/>
    </w:pPr>
    <w:r>
      <w:rPr>
        <w:noProof/>
      </w:rPr>
      <mc:AlternateContent>
        <mc:Choice Requires="wps">
          <w:drawing>
            <wp:anchor distT="0" distB="0" distL="0" distR="0" simplePos="0" relativeHeight="251838464" behindDoc="1" locked="0" layoutInCell="1" allowOverlap="1" wp14:anchorId="3E8FF1A5" wp14:editId="333622CE">
              <wp:simplePos x="0" y="0"/>
              <wp:positionH relativeFrom="page">
                <wp:posOffset>1927860</wp:posOffset>
              </wp:positionH>
              <wp:positionV relativeFrom="page">
                <wp:posOffset>311150</wp:posOffset>
              </wp:positionV>
              <wp:extent cx="2950210" cy="79375"/>
              <wp:effectExtent l="0" t="0" r="0" b="0"/>
              <wp:wrapNone/>
              <wp:docPr id="1986" name="Shape 1986"/>
              <wp:cNvGraphicFramePr/>
              <a:graphic xmlns:a="http://schemas.openxmlformats.org/drawingml/2006/main">
                <a:graphicData uri="http://schemas.microsoft.com/office/word/2010/wordprocessingShape">
                  <wps:wsp>
                    <wps:cNvSpPr txBox="1"/>
                    <wps:spPr>
                      <a:xfrm>
                        <a:off x="0" y="0"/>
                        <a:ext cx="2950210" cy="79375"/>
                      </a:xfrm>
                      <a:prstGeom prst="rect">
                        <a:avLst/>
                      </a:prstGeom>
                      <a:noFill/>
                    </wps:spPr>
                    <wps:txbx>
                      <w:txbxContent>
                        <w:p w14:paraId="3EB0EC79" w14:textId="77777777" w:rsidR="00924992" w:rsidRDefault="00924992">
                          <w:pPr>
                            <w:pStyle w:val="Headerorfooter0"/>
                            <w:tabs>
                              <w:tab w:val="right" w:pos="4646"/>
                            </w:tabs>
                            <w:rPr>
                              <w:sz w:val="16"/>
                              <w:szCs w:val="16"/>
                            </w:rPr>
                          </w:pPr>
                          <w:r>
                            <w:rPr>
                              <w:i/>
                              <w:iCs/>
                              <w:sz w:val="13"/>
                              <w:szCs w:val="13"/>
                            </w:rPr>
                            <w:t>TOXOPLASMA GONDII,</w:t>
                          </w:r>
                          <w:r>
                            <w:t xml:space="preserve"> INFECCIONES</w:t>
                          </w:r>
                          <w:r>
                            <w:tab/>
                          </w:r>
                          <w:r>
                            <w:rPr>
                              <w:sz w:val="16"/>
                              <w:szCs w:val="16"/>
                            </w:rPr>
                            <w:t>657</w:t>
                          </w:r>
                        </w:p>
                      </w:txbxContent>
                    </wps:txbx>
                    <wps:bodyPr lIns="0" tIns="0" rIns="0" bIns="0">
                      <a:spAutoFit/>
                    </wps:bodyPr>
                  </wps:wsp>
                </a:graphicData>
              </a:graphic>
            </wp:anchor>
          </w:drawing>
        </mc:Choice>
        <mc:Fallback>
          <w:pict>
            <v:shapetype w14:anchorId="3E8FF1A5" id="_x0000_t202" coordsize="21600,21600" o:spt="202" path="m,l,21600r21600,l21600,xe">
              <v:stroke joinstyle="miter"/>
              <v:path gradientshapeok="t" o:connecttype="rect"/>
            </v:shapetype>
            <v:shape id="Shape 1986" o:spid="_x0000_s1202" type="#_x0000_t202" style="position:absolute;margin-left:151.8pt;margin-top:24.5pt;width:232.3pt;height:6.25pt;z-index:-25147801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" filled="f" stroked="f">
              <v:textbox style="mso-fit-shape-to-text:t" inset="0,0,0,0">
                <w:txbxContent>
                  <w:p w14:paraId="3EB0EC79" w14:textId="77777777" w:rsidR="00924992" w:rsidRDefault="00924992">
                    <w:pPr>
                      <w:pStyle w:val="Headerorfooter0"/>
                      <w:tabs>
                        <w:tab w:val="right" w:pos="4646"/>
                      </w:tabs>
                      <w:rPr>
                        <w:sz w:val="16"/>
                        <w:szCs w:val="16"/>
                      </w:rPr>
                    </w:pPr>
                    <w:r>
                      <w:rPr>
                        <w:i/>
                        <w:iCs/>
                        <w:sz w:val="13"/>
                        <w:szCs w:val="13"/>
                      </w:rPr>
                      <w:t>TOXOPLASMA GONDII,</w:t>
                    </w:r>
                    <w:r>
                      <w:t xml:space="preserve"> INFECCIONES</w:t>
                    </w:r>
                    <w:r>
                      <w:tab/>
                    </w:r>
                    <w:r>
                      <w:rPr>
                        <w:sz w:val="16"/>
                        <w:szCs w:val="16"/>
                      </w:rPr>
                      <w:t>657</w:t>
                    </w:r>
                  </w:p>
                </w:txbxContent>
              </v:textbox>
              <w10:wrap anchorx="page" anchory="page"/>
            </v:shape>
          </w:pict>
        </mc:Fallback>
      </mc:AlternateContent>
    </w:r>
    <w:r>
      <w:rPr>
        <w:noProof/>
      </w:rPr>
      <mc:AlternateContent>
        <mc:Choice Requires="wps">
          <w:drawing>
            <wp:anchor distT="0" distB="0" distL="114300" distR="114300" simplePos="0" relativeHeight="251695104" behindDoc="1" locked="0" layoutInCell="1" allowOverlap="1" wp14:anchorId="3EE206D6" wp14:editId="002D1CF5">
              <wp:simplePos x="0" y="0"/>
              <wp:positionH relativeFrom="page">
                <wp:posOffset>541020</wp:posOffset>
              </wp:positionH>
              <wp:positionV relativeFrom="page">
                <wp:posOffset>419100</wp:posOffset>
              </wp:positionV>
              <wp:extent cx="4358640" cy="0"/>
              <wp:effectExtent l="0" t="0" r="0" b="0"/>
              <wp:wrapNone/>
              <wp:docPr id="1988" name="Shape 1988"/>
              <wp:cNvGraphicFramePr/>
              <a:graphic xmlns:a="http://schemas.openxmlformats.org/drawingml/2006/main">
                <a:graphicData uri="http://schemas.microsoft.com/office/word/2010/wordprocessingShape">
                  <wps:wsp>
                    <wps:cNvCnPr/>
                    <wps:spPr>
                      <a:xfrm>
                        <a:off x="0" y="0"/>
                        <a:ext cx="4358640" cy="0"/>
                      </a:xfrm>
                      <a:prstGeom prst="straightConnector1">
                        <a:avLst/>
                      </a:prstGeom>
                      <a:ln w="12700">
                        <a:solidFill/>
                      </a:ln>
                    </wps:spPr>
                    <wps:bodyPr/>
                  </wps:wsp>
                </a:graphicData>
              </a:graphic>
            </wp:anchor>
          </w:drawing>
        </mc:Choice>
        <mc:Fallback>
          <w:pict>
            <v:shapetype w14:anchorId="53CE3432" id="_x0000_t32" coordsize="21600,21600" o:spt="32" o:oned="t" path="m,l21600,21600e" filled="f">
              <v:path arrowok="t" fillok="f" o:connecttype="none"/>
              <o:lock v:ext="edit" shapetype="t"/>
            </v:shapetype>
            <v:shape id="Shape 1988" o:spid="_x0000_s1026" type="#_x0000_t32" style="position:absolute;margin-left:42.6pt;margin-top:33pt;width:343.2pt;height:0;z-index:-251621376;visibility:visible;mso-wrap-style:square;mso-wrap-distance-left:9pt;mso-wrap-distance-top:0;mso-wrap-distance-right:9pt;mso-wrap-distance-bottom:0;mso-position-horizontal:absolute;mso-position-horizontal-relative:page;mso-position-vertical:absolute;mso-position-vertical-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" strokeweight="1pt">
              <w10:wrap anchorx="page" anchory="page"/>
            </v:shape>
          </w:pict>
        </mc:Fallback>
      </mc:AlternateContent>
    </w:r>
  </w:p>
</w:hdr>
</file>

<file path=word/header3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CDD2E5" w14:textId="77777777" w:rsidR="00924992" w:rsidRDefault="00924992">
    <w:pPr>
      <w:spacing w:line="1" w:lineRule="exact"/>
    </w:pPr>
    <w:r>
      <w:rPr>
        <w:noProof/>
      </w:rPr>
      <mc:AlternateContent>
        <mc:Choice Requires="wps">
          <w:drawing>
            <wp:anchor distT="0" distB="0" distL="0" distR="0" simplePos="0" relativeHeight="251841536" behindDoc="1" locked="0" layoutInCell="1" allowOverlap="1" wp14:anchorId="5DBC94FB" wp14:editId="26AC40F2">
              <wp:simplePos x="0" y="0"/>
              <wp:positionH relativeFrom="page">
                <wp:posOffset>551815</wp:posOffset>
              </wp:positionH>
              <wp:positionV relativeFrom="page">
                <wp:posOffset>311150</wp:posOffset>
              </wp:positionV>
              <wp:extent cx="2447290" cy="69850"/>
              <wp:effectExtent l="0" t="0" r="0" b="0"/>
              <wp:wrapNone/>
              <wp:docPr id="1995" name="Shape 1995"/>
              <wp:cNvGraphicFramePr/>
              <a:graphic xmlns:a="http://schemas.openxmlformats.org/drawingml/2006/main">
                <a:graphicData uri="http://schemas.microsoft.com/office/word/2010/wordprocessingShape">
                  <wps:wsp>
                    <wps:cNvSpPr txBox="1"/>
                    <wps:spPr>
                      <a:xfrm>
                        <a:off x="0" y="0"/>
                        <a:ext cx="2447290" cy="69850"/>
                      </a:xfrm>
                      <a:prstGeom prst="rect">
                        <a:avLst/>
                      </a:prstGeom>
                      <a:noFill/>
                    </wps:spPr>
                    <wps:txbx>
                      <w:txbxContent>
                        <w:p w14:paraId="76FF965F" w14:textId="77777777" w:rsidR="00924992" w:rsidRDefault="00924992">
                          <w:pPr>
                            <w:pStyle w:val="Headerorfooter0"/>
                            <w:tabs>
                              <w:tab w:val="right" w:pos="3854"/>
                            </w:tabs>
                          </w:pPr>
                          <w:r>
                            <w:rPr>
                              <w:sz w:val="16"/>
                              <w:szCs w:val="16"/>
                            </w:rPr>
                            <w:t>666</w:t>
                          </w:r>
                          <w:r>
                            <w:rPr>
                              <w:sz w:val="16"/>
                              <w:szCs w:val="16"/>
                            </w:rPr>
                            <w:tab/>
                          </w:r>
                          <w:r>
                            <w:t>TRIQUINOSIS</w:t>
                          </w:r>
                        </w:p>
                      </w:txbxContent>
                    </wps:txbx>
                    <wps:bodyPr lIns="0" tIns="0" rIns="0" bIns="0">
                      <a:spAutoFit/>
                    </wps:bodyPr>
                  </wps:wsp>
                </a:graphicData>
              </a:graphic>
            </wp:anchor>
          </w:drawing>
        </mc:Choice>
        <mc:Fallback>
          <w:pict>
            <v:shapetype w14:anchorId="5DBC94FB" id="_x0000_t202" coordsize="21600,21600" o:spt="202" path="m,l,21600r21600,l21600,xe">
              <v:stroke joinstyle="miter"/>
              <v:path gradientshapeok="t" o:connecttype="rect"/>
            </v:shapetype>
            <v:shape id="Shape 1995" o:spid="_x0000_s1203" type="#_x0000_t202" style="position:absolute;margin-left:43.45pt;margin-top:24.5pt;width:192.7pt;height:5.5pt;z-index:-25147494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" filled="f" stroked="f">
              <v:textbox style="mso-fit-shape-to-text:t" inset="0,0,0,0">
                <w:txbxContent>
                  <w:p w14:paraId="76FF965F" w14:textId="77777777" w:rsidR="00924992" w:rsidRDefault="00924992">
                    <w:pPr>
                      <w:pStyle w:val="Headerorfooter0"/>
                      <w:tabs>
                        <w:tab w:val="right" w:pos="3854"/>
                      </w:tabs>
                    </w:pPr>
                    <w:r>
                      <w:rPr>
                        <w:sz w:val="16"/>
                        <w:szCs w:val="16"/>
                      </w:rPr>
                      <w:t>666</w:t>
                    </w:r>
                    <w:r>
                      <w:rPr>
                        <w:sz w:val="16"/>
                        <w:szCs w:val="16"/>
                      </w:rPr>
                      <w:tab/>
                    </w:r>
                    <w:r>
                      <w:t>TRIQUINOSIS</w:t>
                    </w:r>
                  </w:p>
                </w:txbxContent>
              </v:textbox>
              <w10:wrap anchorx="page" anchory="page"/>
            </v:shape>
          </w:pict>
        </mc:Fallback>
      </mc:AlternateContent>
    </w:r>
    <w:r>
      <w:rPr>
        <w:noProof/>
      </w:rPr>
      <mc:AlternateContent>
        <mc:Choice Requires="wps">
          <w:drawing>
            <wp:anchor distT="0" distB="0" distL="114300" distR="114300" simplePos="0" relativeHeight="251698176" behindDoc="1" locked="0" layoutInCell="1" allowOverlap="1" wp14:anchorId="39444B06" wp14:editId="0BFEE71F">
              <wp:simplePos x="0" y="0"/>
              <wp:positionH relativeFrom="page">
                <wp:posOffset>536575</wp:posOffset>
              </wp:positionH>
              <wp:positionV relativeFrom="page">
                <wp:posOffset>419100</wp:posOffset>
              </wp:positionV>
              <wp:extent cx="4358640" cy="0"/>
              <wp:effectExtent l="0" t="0" r="0" b="0"/>
              <wp:wrapNone/>
              <wp:docPr id="1997" name="Shape 1997"/>
              <wp:cNvGraphicFramePr/>
              <a:graphic xmlns:a="http://schemas.openxmlformats.org/drawingml/2006/main">
                <a:graphicData uri="http://schemas.microsoft.com/office/word/2010/wordprocessingShape">
                  <wps:wsp>
                    <wps:cNvCnPr/>
                    <wps:spPr>
                      <a:xfrm>
                        <a:off x="0" y="0"/>
                        <a:ext cx="4358640" cy="0"/>
                      </a:xfrm>
                      <a:prstGeom prst="straightConnector1">
                        <a:avLst/>
                      </a:prstGeom>
                      <a:ln w="12700">
                        <a:solidFill/>
                      </a:ln>
                    </wps:spPr>
                    <wps:bodyPr/>
                  </wps:wsp>
                </a:graphicData>
              </a:graphic>
            </wp:anchor>
          </w:drawing>
        </mc:Choice>
        <mc:Fallback>
          <w:pict>
            <v:shapetype w14:anchorId="4855099B" id="_x0000_t32" coordsize="21600,21600" o:spt="32" o:oned="t" path="m,l21600,21600e" filled="f">
              <v:path arrowok="t" fillok="f" o:connecttype="none"/>
              <o:lock v:ext="edit" shapetype="t"/>
            </v:shapetype>
            <v:shape id="Shape 1997" o:spid="_x0000_s1026" type="#_x0000_t32" style="position:absolute;margin-left:42.25pt;margin-top:33pt;width:343.2pt;height:0;z-index:-251618304;visibility:visible;mso-wrap-style:square;mso-wrap-distance-left:9pt;mso-wrap-distance-top:0;mso-wrap-distance-right:9pt;mso-wrap-distance-bottom:0;mso-position-horizontal:absolute;mso-position-horizontal-relative:page;mso-position-vertical:absolute;mso-position-vertical-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" strokeweight="1pt">
              <w10:wrap anchorx="page" anchory="page"/>
            </v:shape>
          </w:pict>
        </mc:Fallback>
      </mc:AlternateContent>
    </w:r>
  </w:p>
</w:hdr>
</file>

<file path=word/header3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C0AAE1" w14:textId="77777777" w:rsidR="00924992" w:rsidRDefault="00924992">
    <w:pPr>
      <w:spacing w:line="1" w:lineRule="exact"/>
    </w:pPr>
    <w:r>
      <w:rPr>
        <w:noProof/>
      </w:rPr>
      <mc:AlternateContent>
        <mc:Choice Requires="wps">
          <w:drawing>
            <wp:anchor distT="0" distB="0" distL="0" distR="0" simplePos="0" relativeHeight="251840512" behindDoc="1" locked="0" layoutInCell="1" allowOverlap="1" wp14:anchorId="4CF53DBE" wp14:editId="774E85AD">
              <wp:simplePos x="0" y="0"/>
              <wp:positionH relativeFrom="page">
                <wp:posOffset>551815</wp:posOffset>
              </wp:positionH>
              <wp:positionV relativeFrom="page">
                <wp:posOffset>311150</wp:posOffset>
              </wp:positionV>
              <wp:extent cx="2447290" cy="69850"/>
              <wp:effectExtent l="0" t="0" r="0" b="0"/>
              <wp:wrapNone/>
              <wp:docPr id="1992" name="Shape 1992"/>
              <wp:cNvGraphicFramePr/>
              <a:graphic xmlns:a="http://schemas.openxmlformats.org/drawingml/2006/main">
                <a:graphicData uri="http://schemas.microsoft.com/office/word/2010/wordprocessingShape">
                  <wps:wsp>
                    <wps:cNvSpPr txBox="1"/>
                    <wps:spPr>
                      <a:xfrm>
                        <a:off x="0" y="0"/>
                        <a:ext cx="2447290" cy="69850"/>
                      </a:xfrm>
                      <a:prstGeom prst="rect">
                        <a:avLst/>
                      </a:prstGeom>
                      <a:noFill/>
                    </wps:spPr>
                    <wps:txbx>
                      <w:txbxContent>
                        <w:p w14:paraId="085A3BED" w14:textId="77777777" w:rsidR="00924992" w:rsidRDefault="00924992">
                          <w:pPr>
                            <w:pStyle w:val="Headerorfooter0"/>
                            <w:tabs>
                              <w:tab w:val="right" w:pos="3854"/>
                            </w:tabs>
                          </w:pPr>
                          <w:r>
                            <w:rPr>
                              <w:sz w:val="16"/>
                              <w:szCs w:val="16"/>
                            </w:rPr>
                            <w:t>666</w:t>
                          </w:r>
                          <w:r>
                            <w:rPr>
                              <w:sz w:val="16"/>
                              <w:szCs w:val="16"/>
                            </w:rPr>
                            <w:tab/>
                          </w:r>
                          <w:r>
                            <w:t>TRIQUINOSIS</w:t>
                          </w:r>
                        </w:p>
                      </w:txbxContent>
                    </wps:txbx>
                    <wps:bodyPr lIns="0" tIns="0" rIns="0" bIns="0">
                      <a:spAutoFit/>
                    </wps:bodyPr>
                  </wps:wsp>
                </a:graphicData>
              </a:graphic>
            </wp:anchor>
          </w:drawing>
        </mc:Choice>
        <mc:Fallback>
          <w:pict>
            <v:shapetype w14:anchorId="4CF53DBE" id="_x0000_t202" coordsize="21600,21600" o:spt="202" path="m,l,21600r21600,l21600,xe">
              <v:stroke joinstyle="miter"/>
              <v:path gradientshapeok="t" o:connecttype="rect"/>
            </v:shapetype>
            <v:shape id="Shape 1992" o:spid="_x0000_s1204" type="#_x0000_t202" style="position:absolute;margin-left:43.45pt;margin-top:24.5pt;width:192.7pt;height:5.5pt;z-index:-25147596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" filled="f" stroked="f">
              <v:textbox style="mso-fit-shape-to-text:t" inset="0,0,0,0">
                <w:txbxContent>
                  <w:p w14:paraId="085A3BED" w14:textId="77777777" w:rsidR="00924992" w:rsidRDefault="00924992">
                    <w:pPr>
                      <w:pStyle w:val="Headerorfooter0"/>
                      <w:tabs>
                        <w:tab w:val="right" w:pos="3854"/>
                      </w:tabs>
                    </w:pPr>
                    <w:r>
                      <w:rPr>
                        <w:sz w:val="16"/>
                        <w:szCs w:val="16"/>
                      </w:rPr>
                      <w:t>666</w:t>
                    </w:r>
                    <w:r>
                      <w:rPr>
                        <w:sz w:val="16"/>
                        <w:szCs w:val="16"/>
                      </w:rPr>
                      <w:tab/>
                    </w:r>
                    <w:r>
                      <w:t>TRIQUINOSIS</w:t>
                    </w:r>
                  </w:p>
                </w:txbxContent>
              </v:textbox>
              <w10:wrap anchorx="page" anchory="page"/>
            </v:shape>
          </w:pict>
        </mc:Fallback>
      </mc:AlternateContent>
    </w:r>
    <w:r>
      <w:rPr>
        <w:noProof/>
      </w:rPr>
      <mc:AlternateContent>
        <mc:Choice Requires="wps">
          <w:drawing>
            <wp:anchor distT="0" distB="0" distL="114300" distR="114300" simplePos="0" relativeHeight="251697152" behindDoc="1" locked="0" layoutInCell="1" allowOverlap="1" wp14:anchorId="1A6B2E05" wp14:editId="1CD12626">
              <wp:simplePos x="0" y="0"/>
              <wp:positionH relativeFrom="page">
                <wp:posOffset>536575</wp:posOffset>
              </wp:positionH>
              <wp:positionV relativeFrom="page">
                <wp:posOffset>419100</wp:posOffset>
              </wp:positionV>
              <wp:extent cx="4358640" cy="0"/>
              <wp:effectExtent l="0" t="0" r="0" b="0"/>
              <wp:wrapNone/>
              <wp:docPr id="1994" name="Shape 1994"/>
              <wp:cNvGraphicFramePr/>
              <a:graphic xmlns:a="http://schemas.openxmlformats.org/drawingml/2006/main">
                <a:graphicData uri="http://schemas.microsoft.com/office/word/2010/wordprocessingShape">
                  <wps:wsp>
                    <wps:cNvCnPr/>
                    <wps:spPr>
                      <a:xfrm>
                        <a:off x="0" y="0"/>
                        <a:ext cx="4358640" cy="0"/>
                      </a:xfrm>
                      <a:prstGeom prst="straightConnector1">
                        <a:avLst/>
                      </a:prstGeom>
                      <a:ln w="12700">
                        <a:solidFill/>
                      </a:ln>
                    </wps:spPr>
                    <wps:bodyPr/>
                  </wps:wsp>
                </a:graphicData>
              </a:graphic>
            </wp:anchor>
          </w:drawing>
        </mc:Choice>
        <mc:Fallback>
          <w:pict>
            <v:shapetype w14:anchorId="29A22AD7" id="_x0000_t32" coordsize="21600,21600" o:spt="32" o:oned="t" path="m,l21600,21600e" filled="f">
              <v:path arrowok="t" fillok="f" o:connecttype="none"/>
              <o:lock v:ext="edit" shapetype="t"/>
            </v:shapetype>
            <v:shape id="Shape 1994" o:spid="_x0000_s1026" type="#_x0000_t32" style="position:absolute;margin-left:42.25pt;margin-top:33pt;width:343.2pt;height:0;z-index:-251619328;visibility:visible;mso-wrap-style:square;mso-wrap-distance-left:9pt;mso-wrap-distance-top:0;mso-wrap-distance-right:9pt;mso-wrap-distance-bottom:0;mso-position-horizontal:absolute;mso-position-horizontal-relative:page;mso-position-vertical:absolute;mso-position-vertical-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" strokeweight="1pt">
              <w10:wrap anchorx="page" anchory="page"/>
            </v:shape>
          </w:pict>
        </mc:Fallback>
      </mc:AlternateContent>
    </w:r>
  </w:p>
</w:hdr>
</file>

<file path=word/header4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9AD020" w14:textId="77777777" w:rsidR="00924992" w:rsidRDefault="00924992">
    <w:pPr>
      <w:spacing w:line="1" w:lineRule="exact"/>
    </w:pPr>
    <w:r>
      <w:rPr>
        <w:noProof/>
      </w:rPr>
      <mc:AlternateContent>
        <mc:Choice Requires="wps">
          <w:drawing>
            <wp:anchor distT="0" distB="0" distL="0" distR="0" simplePos="0" relativeHeight="251842560" behindDoc="1" locked="0" layoutInCell="1" allowOverlap="1" wp14:anchorId="1EB1395A" wp14:editId="0FF1F85B">
              <wp:simplePos x="0" y="0"/>
              <wp:positionH relativeFrom="page">
                <wp:posOffset>1831975</wp:posOffset>
              </wp:positionH>
              <wp:positionV relativeFrom="page">
                <wp:posOffset>311150</wp:posOffset>
              </wp:positionV>
              <wp:extent cx="3035935" cy="79375"/>
              <wp:effectExtent l="0" t="0" r="0" b="0"/>
              <wp:wrapNone/>
              <wp:docPr id="1998" name="Shape 1998"/>
              <wp:cNvGraphicFramePr/>
              <a:graphic xmlns:a="http://schemas.openxmlformats.org/drawingml/2006/main">
                <a:graphicData uri="http://schemas.microsoft.com/office/word/2010/wordprocessingShape">
                  <wps:wsp>
                    <wps:cNvSpPr txBox="1"/>
                    <wps:spPr>
                      <a:xfrm>
                        <a:off x="0" y="0"/>
                        <a:ext cx="3035935" cy="79375"/>
                      </a:xfrm>
                      <a:prstGeom prst="rect">
                        <a:avLst/>
                      </a:prstGeom>
                      <a:noFill/>
                    </wps:spPr>
                    <wps:txbx>
                      <w:txbxContent>
                        <w:p w14:paraId="53DC56B9" w14:textId="77777777" w:rsidR="00924992" w:rsidRDefault="00924992">
                          <w:pPr>
                            <w:pStyle w:val="Headerorfooter0"/>
                            <w:tabs>
                              <w:tab w:val="right" w:pos="4781"/>
                            </w:tabs>
                            <w:rPr>
                              <w:sz w:val="16"/>
                              <w:szCs w:val="16"/>
                            </w:rPr>
                          </w:pPr>
                          <w:r>
                            <w:rPr>
                              <w:i/>
                              <w:iCs/>
                              <w:sz w:val="13"/>
                              <w:szCs w:val="13"/>
                            </w:rPr>
                            <w:t>TRICHOMONAS VAGINALIS,</w:t>
                          </w:r>
                          <w:r>
                            <w:t xml:space="preserve"> INFECCIONES</w:t>
                          </w:r>
                          <w:r>
                            <w:tab/>
                          </w:r>
                          <w:r>
                            <w:rPr>
                              <w:sz w:val="16"/>
                              <w:szCs w:val="16"/>
                            </w:rPr>
                            <w:t>661</w:t>
                          </w:r>
                        </w:p>
                      </w:txbxContent>
                    </wps:txbx>
                    <wps:bodyPr lIns="0" tIns="0" rIns="0" bIns="0">
                      <a:spAutoFit/>
                    </wps:bodyPr>
                  </wps:wsp>
                </a:graphicData>
              </a:graphic>
            </wp:anchor>
          </w:drawing>
        </mc:Choice>
        <mc:Fallback>
          <w:pict>
            <v:shapetype w14:anchorId="1EB1395A" id="_x0000_t202" coordsize="21600,21600" o:spt="202" path="m,l,21600r21600,l21600,xe">
              <v:stroke joinstyle="miter"/>
              <v:path gradientshapeok="t" o:connecttype="rect"/>
            </v:shapetype>
            <v:shape id="Shape 1998" o:spid="_x0000_s1205" type="#_x0000_t202" style="position:absolute;margin-left:144.25pt;margin-top:24.5pt;width:239.05pt;height:6.25pt;z-index:-25147392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" filled="f" stroked="f">
              <v:textbox style="mso-fit-shape-to-text:t" inset="0,0,0,0">
                <w:txbxContent>
                  <w:p w14:paraId="53DC56B9" w14:textId="77777777" w:rsidR="00924992" w:rsidRDefault="00924992">
                    <w:pPr>
                      <w:pStyle w:val="Headerorfooter0"/>
                      <w:tabs>
                        <w:tab w:val="right" w:pos="4781"/>
                      </w:tabs>
                      <w:rPr>
                        <w:sz w:val="16"/>
                        <w:szCs w:val="16"/>
                      </w:rPr>
                    </w:pPr>
                    <w:r>
                      <w:rPr>
                        <w:i/>
                        <w:iCs/>
                        <w:sz w:val="13"/>
                        <w:szCs w:val="13"/>
                      </w:rPr>
                      <w:t>TRICHOMONAS VAGINALIS,</w:t>
                    </w:r>
                    <w:r>
                      <w:t xml:space="preserve"> INFECCIONES</w:t>
                    </w:r>
                    <w:r>
                      <w:tab/>
                    </w:r>
                    <w:r>
                      <w:rPr>
                        <w:sz w:val="16"/>
                        <w:szCs w:val="16"/>
                      </w:rPr>
                      <w:t>661</w:t>
                    </w:r>
                  </w:p>
                </w:txbxContent>
              </v:textbox>
              <w10:wrap anchorx="page" anchory="page"/>
            </v:shape>
          </w:pict>
        </mc:Fallback>
      </mc:AlternateContent>
    </w:r>
    <w:r>
      <w:rPr>
        <w:noProof/>
      </w:rPr>
      <mc:AlternateContent>
        <mc:Choice Requires="wps">
          <w:drawing>
            <wp:anchor distT="0" distB="0" distL="114300" distR="114300" simplePos="0" relativeHeight="251699200" behindDoc="1" locked="0" layoutInCell="1" allowOverlap="1" wp14:anchorId="50D1798C" wp14:editId="0F30DC6F">
              <wp:simplePos x="0" y="0"/>
              <wp:positionH relativeFrom="page">
                <wp:posOffset>545465</wp:posOffset>
              </wp:positionH>
              <wp:positionV relativeFrom="page">
                <wp:posOffset>419100</wp:posOffset>
              </wp:positionV>
              <wp:extent cx="4358640" cy="0"/>
              <wp:effectExtent l="0" t="0" r="0" b="0"/>
              <wp:wrapNone/>
              <wp:docPr id="2000" name="Shape 2000"/>
              <wp:cNvGraphicFramePr/>
              <a:graphic xmlns:a="http://schemas.openxmlformats.org/drawingml/2006/main">
                <a:graphicData uri="http://schemas.microsoft.com/office/word/2010/wordprocessingShape">
                  <wps:wsp>
                    <wps:cNvCnPr/>
                    <wps:spPr>
                      <a:xfrm>
                        <a:off x="0" y="0"/>
                        <a:ext cx="4358640" cy="0"/>
                      </a:xfrm>
                      <a:prstGeom prst="straightConnector1">
                        <a:avLst/>
                      </a:prstGeom>
                      <a:ln w="12700">
                        <a:solidFill/>
                      </a:ln>
                    </wps:spPr>
                    <wps:bodyPr/>
                  </wps:wsp>
                </a:graphicData>
              </a:graphic>
            </wp:anchor>
          </w:drawing>
        </mc:Choice>
        <mc:Fallback>
          <w:pict>
            <v:shapetype w14:anchorId="5402A650" id="_x0000_t32" coordsize="21600,21600" o:spt="32" o:oned="t" path="m,l21600,21600e" filled="f">
              <v:path arrowok="t" fillok="f" o:connecttype="none"/>
              <o:lock v:ext="edit" shapetype="t"/>
            </v:shapetype>
            <v:shape id="Shape 2000" o:spid="_x0000_s1026" type="#_x0000_t32" style="position:absolute;margin-left:42.95pt;margin-top:33pt;width:343.2pt;height:0;z-index:-251617280;visibility:visible;mso-wrap-style:square;mso-wrap-distance-left:9pt;mso-wrap-distance-top:0;mso-wrap-distance-right:9pt;mso-wrap-distance-bottom:0;mso-position-horizontal:absolute;mso-position-horizontal-relative:page;mso-position-vertical:absolute;mso-position-vertical-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" strokeweight="1pt">
              <w10:wrap anchorx="page" anchory="page"/>
            </v:shape>
          </w:pict>
        </mc:Fallback>
      </mc:AlternateContent>
    </w:r>
  </w:p>
</w:hdr>
</file>

<file path=word/header4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7A5BF9" w14:textId="77777777" w:rsidR="00924992" w:rsidRDefault="00924992">
    <w:pPr>
      <w:spacing w:line="1" w:lineRule="exact"/>
    </w:pPr>
    <w:r>
      <w:rPr>
        <w:noProof/>
      </w:rPr>
      <mc:AlternateContent>
        <mc:Choice Requires="wps">
          <w:drawing>
            <wp:anchor distT="0" distB="0" distL="0" distR="0" simplePos="0" relativeHeight="251844608" behindDoc="1" locked="0" layoutInCell="1" allowOverlap="1" wp14:anchorId="6085495E" wp14:editId="745C7A14">
              <wp:simplePos x="0" y="0"/>
              <wp:positionH relativeFrom="page">
                <wp:posOffset>1831975</wp:posOffset>
              </wp:positionH>
              <wp:positionV relativeFrom="page">
                <wp:posOffset>311150</wp:posOffset>
              </wp:positionV>
              <wp:extent cx="3035935" cy="79375"/>
              <wp:effectExtent l="0" t="0" r="0" b="0"/>
              <wp:wrapNone/>
              <wp:docPr id="2004" name="Shape 2004"/>
              <wp:cNvGraphicFramePr/>
              <a:graphic xmlns:a="http://schemas.openxmlformats.org/drawingml/2006/main">
                <a:graphicData uri="http://schemas.microsoft.com/office/word/2010/wordprocessingShape">
                  <wps:wsp>
                    <wps:cNvSpPr txBox="1"/>
                    <wps:spPr>
                      <a:xfrm>
                        <a:off x="0" y="0"/>
                        <a:ext cx="3035935" cy="79375"/>
                      </a:xfrm>
                      <a:prstGeom prst="rect">
                        <a:avLst/>
                      </a:prstGeom>
                      <a:noFill/>
                    </wps:spPr>
                    <wps:txbx>
                      <w:txbxContent>
                        <w:p w14:paraId="2C076BF0" w14:textId="77777777" w:rsidR="00924992" w:rsidRDefault="00924992">
                          <w:pPr>
                            <w:pStyle w:val="Headerorfooter0"/>
                            <w:tabs>
                              <w:tab w:val="right" w:pos="4781"/>
                            </w:tabs>
                            <w:rPr>
                              <w:sz w:val="16"/>
                              <w:szCs w:val="16"/>
                            </w:rPr>
                          </w:pPr>
                          <w:r>
                            <w:rPr>
                              <w:i/>
                              <w:iCs/>
                              <w:sz w:val="13"/>
                              <w:szCs w:val="13"/>
                            </w:rPr>
                            <w:t>TRICHOMONAS VAGINALIS,</w:t>
                          </w:r>
                          <w:r>
                            <w:t xml:space="preserve"> INFECCIONES</w:t>
                          </w:r>
                          <w:r>
                            <w:tab/>
                          </w:r>
                          <w:r>
                            <w:rPr>
                              <w:sz w:val="16"/>
                              <w:szCs w:val="16"/>
                            </w:rPr>
                            <w:t>661</w:t>
                          </w:r>
                        </w:p>
                      </w:txbxContent>
                    </wps:txbx>
                    <wps:bodyPr lIns="0" tIns="0" rIns="0" bIns="0">
                      <a:spAutoFit/>
                    </wps:bodyPr>
                  </wps:wsp>
                </a:graphicData>
              </a:graphic>
            </wp:anchor>
          </w:drawing>
        </mc:Choice>
        <mc:Fallback>
          <w:pict>
            <v:shapetype w14:anchorId="6085495E" id="_x0000_t202" coordsize="21600,21600" o:spt="202" path="m,l,21600r21600,l21600,xe">
              <v:stroke joinstyle="miter"/>
              <v:path gradientshapeok="t" o:connecttype="rect"/>
            </v:shapetype>
            <v:shape id="Shape 2004" o:spid="_x0000_s1206" type="#_x0000_t202" style="position:absolute;margin-left:144.25pt;margin-top:24.5pt;width:239.05pt;height:6.25pt;z-index:-25147187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" filled="f" stroked="f">
              <v:textbox style="mso-fit-shape-to-text:t" inset="0,0,0,0">
                <w:txbxContent>
                  <w:p w14:paraId="2C076BF0" w14:textId="77777777" w:rsidR="00924992" w:rsidRDefault="00924992">
                    <w:pPr>
                      <w:pStyle w:val="Headerorfooter0"/>
                      <w:tabs>
                        <w:tab w:val="right" w:pos="4781"/>
                      </w:tabs>
                      <w:rPr>
                        <w:sz w:val="16"/>
                        <w:szCs w:val="16"/>
                      </w:rPr>
                    </w:pPr>
                    <w:r>
                      <w:rPr>
                        <w:i/>
                        <w:iCs/>
                        <w:sz w:val="13"/>
                        <w:szCs w:val="13"/>
                      </w:rPr>
                      <w:t>TRICHOMONAS VAGINALIS,</w:t>
                    </w:r>
                    <w:r>
                      <w:t xml:space="preserve"> INFECCIONES</w:t>
                    </w:r>
                    <w:r>
                      <w:tab/>
                    </w:r>
                    <w:r>
                      <w:rPr>
                        <w:sz w:val="16"/>
                        <w:szCs w:val="16"/>
                      </w:rPr>
                      <w:t>661</w:t>
                    </w:r>
                  </w:p>
                </w:txbxContent>
              </v:textbox>
              <w10:wrap anchorx="page" anchory="page"/>
            </v:shape>
          </w:pict>
        </mc:Fallback>
      </mc:AlternateContent>
    </w:r>
    <w:r>
      <w:rPr>
        <w:noProof/>
      </w:rPr>
      <mc:AlternateContent>
        <mc:Choice Requires="wps">
          <w:drawing>
            <wp:anchor distT="0" distB="0" distL="114300" distR="114300" simplePos="0" relativeHeight="251701248" behindDoc="1" locked="0" layoutInCell="1" allowOverlap="1" wp14:anchorId="1AC456CA" wp14:editId="7942513B">
              <wp:simplePos x="0" y="0"/>
              <wp:positionH relativeFrom="page">
                <wp:posOffset>545465</wp:posOffset>
              </wp:positionH>
              <wp:positionV relativeFrom="page">
                <wp:posOffset>419100</wp:posOffset>
              </wp:positionV>
              <wp:extent cx="4358640" cy="0"/>
              <wp:effectExtent l="0" t="0" r="0" b="0"/>
              <wp:wrapNone/>
              <wp:docPr id="2006" name="Shape 2006"/>
              <wp:cNvGraphicFramePr/>
              <a:graphic xmlns:a="http://schemas.openxmlformats.org/drawingml/2006/main">
                <a:graphicData uri="http://schemas.microsoft.com/office/word/2010/wordprocessingShape">
                  <wps:wsp>
                    <wps:cNvCnPr/>
                    <wps:spPr>
                      <a:xfrm>
                        <a:off x="0" y="0"/>
                        <a:ext cx="4358640" cy="0"/>
                      </a:xfrm>
                      <a:prstGeom prst="straightConnector1">
                        <a:avLst/>
                      </a:prstGeom>
                      <a:ln w="12700">
                        <a:solidFill/>
                      </a:ln>
                    </wps:spPr>
                    <wps:bodyPr/>
                  </wps:wsp>
                </a:graphicData>
              </a:graphic>
            </wp:anchor>
          </w:drawing>
        </mc:Choice>
        <mc:Fallback>
          <w:pict>
            <v:shapetype w14:anchorId="2BB4DDC7" id="_x0000_t32" coordsize="21600,21600" o:spt="32" o:oned="t" path="m,l21600,21600e" filled="f">
              <v:path arrowok="t" fillok="f" o:connecttype="none"/>
              <o:lock v:ext="edit" shapetype="t"/>
            </v:shapetype>
            <v:shape id="Shape 2006" o:spid="_x0000_s1026" type="#_x0000_t32" style="position:absolute;margin-left:42.95pt;margin-top:33pt;width:343.2pt;height:0;z-index:-251615232;visibility:visible;mso-wrap-style:square;mso-wrap-distance-left:9pt;mso-wrap-distance-top:0;mso-wrap-distance-right:9pt;mso-wrap-distance-bottom:0;mso-position-horizontal:absolute;mso-position-horizontal-relative:page;mso-position-vertical:absolute;mso-position-vertical-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" strokeweight="1pt">
              <w10:wrap anchorx="page" anchory="page"/>
            </v:shape>
          </w:pict>
        </mc:Fallback>
      </mc:AlternateContent>
    </w:r>
  </w:p>
</w:hdr>
</file>

<file path=word/header4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464DD4" w14:textId="77777777" w:rsidR="00924992" w:rsidRDefault="00924992">
    <w:pPr>
      <w:spacing w:line="1" w:lineRule="exact"/>
    </w:pPr>
    <w:r>
      <w:rPr>
        <w:noProof/>
      </w:rPr>
      <mc:AlternateContent>
        <mc:Choice Requires="wps">
          <w:drawing>
            <wp:anchor distT="0" distB="0" distL="0" distR="0" simplePos="0" relativeHeight="251843584" behindDoc="1" locked="0" layoutInCell="1" allowOverlap="1" wp14:anchorId="00333A13" wp14:editId="4847A545">
              <wp:simplePos x="0" y="0"/>
              <wp:positionH relativeFrom="page">
                <wp:posOffset>1831975</wp:posOffset>
              </wp:positionH>
              <wp:positionV relativeFrom="page">
                <wp:posOffset>311150</wp:posOffset>
              </wp:positionV>
              <wp:extent cx="3035935" cy="79375"/>
              <wp:effectExtent l="0" t="0" r="0" b="0"/>
              <wp:wrapNone/>
              <wp:docPr id="2001" name="Shape 2001"/>
              <wp:cNvGraphicFramePr/>
              <a:graphic xmlns:a="http://schemas.openxmlformats.org/drawingml/2006/main">
                <a:graphicData uri="http://schemas.microsoft.com/office/word/2010/wordprocessingShape">
                  <wps:wsp>
                    <wps:cNvSpPr txBox="1"/>
                    <wps:spPr>
                      <a:xfrm>
                        <a:off x="0" y="0"/>
                        <a:ext cx="3035935" cy="79375"/>
                      </a:xfrm>
                      <a:prstGeom prst="rect">
                        <a:avLst/>
                      </a:prstGeom>
                      <a:noFill/>
                    </wps:spPr>
                    <wps:txbx>
                      <w:txbxContent>
                        <w:p w14:paraId="1A237F6B" w14:textId="77777777" w:rsidR="00924992" w:rsidRDefault="00924992">
                          <w:pPr>
                            <w:pStyle w:val="Headerorfooter0"/>
                            <w:tabs>
                              <w:tab w:val="right" w:pos="4781"/>
                            </w:tabs>
                            <w:rPr>
                              <w:sz w:val="16"/>
                              <w:szCs w:val="16"/>
                            </w:rPr>
                          </w:pPr>
                          <w:r>
                            <w:rPr>
                              <w:i/>
                              <w:iCs/>
                              <w:sz w:val="13"/>
                              <w:szCs w:val="13"/>
                            </w:rPr>
                            <w:t>TRICHOMONAS VAGINALIS,</w:t>
                          </w:r>
                          <w:r>
                            <w:t xml:space="preserve"> INFECCIONES</w:t>
                          </w:r>
                          <w:r>
                            <w:tab/>
                          </w:r>
                          <w:r>
                            <w:rPr>
                              <w:sz w:val="16"/>
                              <w:szCs w:val="16"/>
                            </w:rPr>
                            <w:t>661</w:t>
                          </w:r>
                        </w:p>
                      </w:txbxContent>
                    </wps:txbx>
                    <wps:bodyPr lIns="0" tIns="0" rIns="0" bIns="0">
                      <a:spAutoFit/>
                    </wps:bodyPr>
                  </wps:wsp>
                </a:graphicData>
              </a:graphic>
            </wp:anchor>
          </w:drawing>
        </mc:Choice>
        <mc:Fallback>
          <w:pict>
            <v:shapetype w14:anchorId="00333A13" id="_x0000_t202" coordsize="21600,21600" o:spt="202" path="m,l,21600r21600,l21600,xe">
              <v:stroke joinstyle="miter"/>
              <v:path gradientshapeok="t" o:connecttype="rect"/>
            </v:shapetype>
            <v:shape id="Shape 2001" o:spid="_x0000_s1207" type="#_x0000_t202" style="position:absolute;margin-left:144.25pt;margin-top:24.5pt;width:239.05pt;height:6.25pt;z-index:-25147289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" filled="f" stroked="f">
              <v:textbox style="mso-fit-shape-to-text:t" inset="0,0,0,0">
                <w:txbxContent>
                  <w:p w14:paraId="1A237F6B" w14:textId="77777777" w:rsidR="00924992" w:rsidRDefault="00924992">
                    <w:pPr>
                      <w:pStyle w:val="Headerorfooter0"/>
                      <w:tabs>
                        <w:tab w:val="right" w:pos="4781"/>
                      </w:tabs>
                      <w:rPr>
                        <w:sz w:val="16"/>
                        <w:szCs w:val="16"/>
                      </w:rPr>
                    </w:pPr>
                    <w:r>
                      <w:rPr>
                        <w:i/>
                        <w:iCs/>
                        <w:sz w:val="13"/>
                        <w:szCs w:val="13"/>
                      </w:rPr>
                      <w:t>TRICHOMONAS VAGINALIS,</w:t>
                    </w:r>
                    <w:r>
                      <w:t xml:space="preserve"> INFECCIONES</w:t>
                    </w:r>
                    <w:r>
                      <w:tab/>
                    </w:r>
                    <w:r>
                      <w:rPr>
                        <w:sz w:val="16"/>
                        <w:szCs w:val="16"/>
                      </w:rPr>
                      <w:t>661</w:t>
                    </w:r>
                  </w:p>
                </w:txbxContent>
              </v:textbox>
              <w10:wrap anchorx="page" anchory="page"/>
            </v:shape>
          </w:pict>
        </mc:Fallback>
      </mc:AlternateContent>
    </w:r>
    <w:r>
      <w:rPr>
        <w:noProof/>
      </w:rPr>
      <mc:AlternateContent>
        <mc:Choice Requires="wps">
          <w:drawing>
            <wp:anchor distT="0" distB="0" distL="114300" distR="114300" simplePos="0" relativeHeight="251700224" behindDoc="1" locked="0" layoutInCell="1" allowOverlap="1" wp14:anchorId="7F9C3503" wp14:editId="26AAA05D">
              <wp:simplePos x="0" y="0"/>
              <wp:positionH relativeFrom="page">
                <wp:posOffset>545465</wp:posOffset>
              </wp:positionH>
              <wp:positionV relativeFrom="page">
                <wp:posOffset>419100</wp:posOffset>
              </wp:positionV>
              <wp:extent cx="4358640" cy="0"/>
              <wp:effectExtent l="0" t="0" r="0" b="0"/>
              <wp:wrapNone/>
              <wp:docPr id="2003" name="Shape 2003"/>
              <wp:cNvGraphicFramePr/>
              <a:graphic xmlns:a="http://schemas.openxmlformats.org/drawingml/2006/main">
                <a:graphicData uri="http://schemas.microsoft.com/office/word/2010/wordprocessingShape">
                  <wps:wsp>
                    <wps:cNvCnPr/>
                    <wps:spPr>
                      <a:xfrm>
                        <a:off x="0" y="0"/>
                        <a:ext cx="4358640" cy="0"/>
                      </a:xfrm>
                      <a:prstGeom prst="straightConnector1">
                        <a:avLst/>
                      </a:prstGeom>
                      <a:ln w="12700">
                        <a:solidFill/>
                      </a:ln>
                    </wps:spPr>
                    <wps:bodyPr/>
                  </wps:wsp>
                </a:graphicData>
              </a:graphic>
            </wp:anchor>
          </w:drawing>
        </mc:Choice>
        <mc:Fallback>
          <w:pict>
            <v:shapetype w14:anchorId="7136DC34" id="_x0000_t32" coordsize="21600,21600" o:spt="32" o:oned="t" path="m,l21600,21600e" filled="f">
              <v:path arrowok="t" fillok="f" o:connecttype="none"/>
              <o:lock v:ext="edit" shapetype="t"/>
            </v:shapetype>
            <v:shape id="Shape 2003" o:spid="_x0000_s1026" type="#_x0000_t32" style="position:absolute;margin-left:42.95pt;margin-top:33pt;width:343.2pt;height:0;z-index:-251616256;visibility:visible;mso-wrap-style:square;mso-wrap-distance-left:9pt;mso-wrap-distance-top:0;mso-wrap-distance-right:9pt;mso-wrap-distance-bottom:0;mso-position-horizontal:absolute;mso-position-horizontal-relative:page;mso-position-vertical:absolute;mso-position-vertical-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" strokeweight="1pt">
              <w10:wrap anchorx="page" anchory="page"/>
            </v:shape>
          </w:pict>
        </mc:Fallback>
      </mc:AlternateContent>
    </w:r>
  </w:p>
</w:hdr>
</file>

<file path=word/header4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4EEFB9" w14:textId="77777777" w:rsidR="00924992" w:rsidRDefault="00924992">
    <w:pPr>
      <w:spacing w:line="1" w:lineRule="exact"/>
    </w:pPr>
    <w:r>
      <w:rPr>
        <w:noProof/>
      </w:rPr>
      <mc:AlternateContent>
        <mc:Choice Requires="wps">
          <w:drawing>
            <wp:anchor distT="0" distB="0" distL="0" distR="0" simplePos="0" relativeHeight="251845632" behindDoc="1" locked="0" layoutInCell="1" allowOverlap="1" wp14:anchorId="7AD6D564" wp14:editId="1EC553B8">
              <wp:simplePos x="0" y="0"/>
              <wp:positionH relativeFrom="page">
                <wp:posOffset>2391410</wp:posOffset>
              </wp:positionH>
              <wp:positionV relativeFrom="page">
                <wp:posOffset>311150</wp:posOffset>
              </wp:positionV>
              <wp:extent cx="2505710" cy="69850"/>
              <wp:effectExtent l="0" t="0" r="0" b="0"/>
              <wp:wrapNone/>
              <wp:docPr id="2007" name="Shape 2007"/>
              <wp:cNvGraphicFramePr/>
              <a:graphic xmlns:a="http://schemas.openxmlformats.org/drawingml/2006/main">
                <a:graphicData uri="http://schemas.microsoft.com/office/word/2010/wordprocessingShape">
                  <wps:wsp>
                    <wps:cNvSpPr txBox="1"/>
                    <wps:spPr>
                      <a:xfrm>
                        <a:off x="0" y="0"/>
                        <a:ext cx="2505710" cy="69850"/>
                      </a:xfrm>
                      <a:prstGeom prst="rect">
                        <a:avLst/>
                      </a:prstGeom>
                      <a:noFill/>
                    </wps:spPr>
                    <wps:txbx>
                      <w:txbxContent>
                        <w:p w14:paraId="35A978C5" w14:textId="77777777" w:rsidR="00924992" w:rsidRDefault="00924992">
                          <w:pPr>
                            <w:pStyle w:val="Headerorfooter0"/>
                            <w:tabs>
                              <w:tab w:val="right" w:pos="3946"/>
                            </w:tabs>
                            <w:rPr>
                              <w:sz w:val="16"/>
                              <w:szCs w:val="16"/>
                            </w:rPr>
                          </w:pPr>
                          <w:r>
                            <w:t>TUBERCULOSIS</w:t>
                          </w:r>
                          <w:r>
                            <w:tab/>
                          </w:r>
                          <w:r>
                            <w:rPr>
                              <w:sz w:val="16"/>
                              <w:szCs w:val="16"/>
                            </w:rPr>
                            <w:t>667</w:t>
                          </w:r>
                        </w:p>
                      </w:txbxContent>
                    </wps:txbx>
                    <wps:bodyPr lIns="0" tIns="0" rIns="0" bIns="0">
                      <a:spAutoFit/>
                    </wps:bodyPr>
                  </wps:wsp>
                </a:graphicData>
              </a:graphic>
            </wp:anchor>
          </w:drawing>
        </mc:Choice>
        <mc:Fallback>
          <w:pict>
            <v:shapetype w14:anchorId="7AD6D564" id="_x0000_t202" coordsize="21600,21600" o:spt="202" path="m,l,21600r21600,l21600,xe">
              <v:stroke joinstyle="miter"/>
              <v:path gradientshapeok="t" o:connecttype="rect"/>
            </v:shapetype>
            <v:shape id="Shape 2007" o:spid="_x0000_s1208" type="#_x0000_t202" style="position:absolute;margin-left:188.3pt;margin-top:24.5pt;width:197.3pt;height:5.5pt;z-index:-25147084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" filled="f" stroked="f">
              <v:textbox style="mso-fit-shape-to-text:t" inset="0,0,0,0">
                <w:txbxContent>
                  <w:p w14:paraId="35A978C5" w14:textId="77777777" w:rsidR="00924992" w:rsidRDefault="00924992">
                    <w:pPr>
                      <w:pStyle w:val="Headerorfooter0"/>
                      <w:tabs>
                        <w:tab w:val="right" w:pos="3946"/>
                      </w:tabs>
                      <w:rPr>
                        <w:sz w:val="16"/>
                        <w:szCs w:val="16"/>
                      </w:rPr>
                    </w:pPr>
                    <w:r>
                      <w:t>TUBERCULOSIS</w:t>
                    </w:r>
                    <w:r>
                      <w:tab/>
                    </w:r>
                    <w:r>
                      <w:rPr>
                        <w:sz w:val="16"/>
                        <w:szCs w:val="16"/>
                      </w:rPr>
                      <w:t>667</w:t>
                    </w:r>
                  </w:p>
                </w:txbxContent>
              </v:textbox>
              <w10:wrap anchorx="page" anchory="page"/>
            </v:shape>
          </w:pict>
        </mc:Fallback>
      </mc:AlternateContent>
    </w:r>
    <w:r>
      <w:rPr>
        <w:noProof/>
      </w:rPr>
      <mc:AlternateContent>
        <mc:Choice Requires="wps">
          <w:drawing>
            <wp:anchor distT="0" distB="0" distL="114300" distR="114300" simplePos="0" relativeHeight="251702272" behindDoc="1" locked="0" layoutInCell="1" allowOverlap="1" wp14:anchorId="13296D06" wp14:editId="374834FB">
              <wp:simplePos x="0" y="0"/>
              <wp:positionH relativeFrom="page">
                <wp:posOffset>559435</wp:posOffset>
              </wp:positionH>
              <wp:positionV relativeFrom="page">
                <wp:posOffset>419100</wp:posOffset>
              </wp:positionV>
              <wp:extent cx="4358640" cy="0"/>
              <wp:effectExtent l="0" t="0" r="0" b="0"/>
              <wp:wrapNone/>
              <wp:docPr id="2009" name="Shape 2009"/>
              <wp:cNvGraphicFramePr/>
              <a:graphic xmlns:a="http://schemas.openxmlformats.org/drawingml/2006/main">
                <a:graphicData uri="http://schemas.microsoft.com/office/word/2010/wordprocessingShape">
                  <wps:wsp>
                    <wps:cNvCnPr/>
                    <wps:spPr>
                      <a:xfrm>
                        <a:off x="0" y="0"/>
                        <a:ext cx="4358640" cy="0"/>
                      </a:xfrm>
                      <a:prstGeom prst="straightConnector1">
                        <a:avLst/>
                      </a:prstGeom>
                      <a:ln w="12700">
                        <a:solidFill/>
                      </a:ln>
                    </wps:spPr>
                    <wps:bodyPr/>
                  </wps:wsp>
                </a:graphicData>
              </a:graphic>
            </wp:anchor>
          </w:drawing>
        </mc:Choice>
        <mc:Fallback>
          <w:pict>
            <v:shapetype w14:anchorId="6311DB88" id="_x0000_t32" coordsize="21600,21600" o:spt="32" o:oned="t" path="m,l21600,21600e" filled="f">
              <v:path arrowok="t" fillok="f" o:connecttype="none"/>
              <o:lock v:ext="edit" shapetype="t"/>
            </v:shapetype>
            <v:shape id="Shape 2009" o:spid="_x0000_s1026" type="#_x0000_t32" style="position:absolute;margin-left:44.05pt;margin-top:33pt;width:343.2pt;height:0;z-index:-251614208;visibility:visible;mso-wrap-style:square;mso-wrap-distance-left:9pt;mso-wrap-distance-top:0;mso-wrap-distance-right:9pt;mso-wrap-distance-bottom:0;mso-position-horizontal:absolute;mso-position-horizontal-relative:page;mso-position-vertical:absolute;mso-position-vertical-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" strokeweight="1pt">
              <w10:wrap anchorx="page" anchory="page"/>
            </v:shape>
          </w:pict>
        </mc:Fallback>
      </mc:AlternateContent>
    </w:r>
  </w:p>
</w:hdr>
</file>

<file path=word/header4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12E123" w14:textId="77777777" w:rsidR="00924992" w:rsidRDefault="00924992">
    <w:pPr>
      <w:spacing w:line="1" w:lineRule="exact"/>
    </w:pPr>
    <w:r>
      <w:rPr>
        <w:noProof/>
      </w:rPr>
      <mc:AlternateContent>
        <mc:Choice Requires="wps">
          <w:drawing>
            <wp:anchor distT="0" distB="0" distL="0" distR="0" simplePos="0" relativeHeight="251847680" behindDoc="1" locked="0" layoutInCell="1" allowOverlap="1" wp14:anchorId="682544B1" wp14:editId="78C92D63">
              <wp:simplePos x="0" y="0"/>
              <wp:positionH relativeFrom="page">
                <wp:posOffset>2441575</wp:posOffset>
              </wp:positionH>
              <wp:positionV relativeFrom="page">
                <wp:posOffset>311150</wp:posOffset>
              </wp:positionV>
              <wp:extent cx="2441575" cy="69850"/>
              <wp:effectExtent l="0" t="0" r="0" b="0"/>
              <wp:wrapNone/>
              <wp:docPr id="2013" name="Shape 2013"/>
              <wp:cNvGraphicFramePr/>
              <a:graphic xmlns:a="http://schemas.openxmlformats.org/drawingml/2006/main">
                <a:graphicData uri="http://schemas.microsoft.com/office/word/2010/wordprocessingShape">
                  <wps:wsp>
                    <wps:cNvSpPr txBox="1"/>
                    <wps:spPr>
                      <a:xfrm>
                        <a:off x="0" y="0"/>
                        <a:ext cx="2441575" cy="69850"/>
                      </a:xfrm>
                      <a:prstGeom prst="rect">
                        <a:avLst/>
                      </a:prstGeom>
                      <a:noFill/>
                    </wps:spPr>
                    <wps:txbx>
                      <w:txbxContent>
                        <w:p w14:paraId="0A594CEF" w14:textId="77777777" w:rsidR="00924992" w:rsidRDefault="00924992">
                          <w:pPr>
                            <w:pStyle w:val="Headerorfooter0"/>
                            <w:tabs>
                              <w:tab w:val="right" w:pos="3845"/>
                            </w:tabs>
                            <w:rPr>
                              <w:sz w:val="16"/>
                              <w:szCs w:val="16"/>
                            </w:rPr>
                          </w:pPr>
                          <w:r>
                            <w:t>TRICURIASIS</w:t>
                          </w:r>
                          <w:r>
                            <w:tab/>
                          </w:r>
                          <w:r>
                            <w:rPr>
                              <w:sz w:val="16"/>
                              <w:szCs w:val="16"/>
                            </w:rPr>
                            <w:t>663</w:t>
                          </w:r>
                        </w:p>
                      </w:txbxContent>
                    </wps:txbx>
                    <wps:bodyPr lIns="0" tIns="0" rIns="0" bIns="0">
                      <a:spAutoFit/>
                    </wps:bodyPr>
                  </wps:wsp>
                </a:graphicData>
              </a:graphic>
            </wp:anchor>
          </w:drawing>
        </mc:Choice>
        <mc:Fallback>
          <w:pict>
            <v:shapetype w14:anchorId="682544B1" id="_x0000_t202" coordsize="21600,21600" o:spt="202" path="m,l,21600r21600,l21600,xe">
              <v:stroke joinstyle="miter"/>
              <v:path gradientshapeok="t" o:connecttype="rect"/>
            </v:shapetype>
            <v:shape id="Shape 2013" o:spid="_x0000_s1209" type="#_x0000_t202" style="position:absolute;margin-left:192.25pt;margin-top:24.5pt;width:192.25pt;height:5.5pt;z-index:-25146880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" filled="f" stroked="f">
              <v:textbox style="mso-fit-shape-to-text:t" inset="0,0,0,0">
                <w:txbxContent>
                  <w:p w14:paraId="0A594CEF" w14:textId="77777777" w:rsidR="00924992" w:rsidRDefault="00924992">
                    <w:pPr>
                      <w:pStyle w:val="Headerorfooter0"/>
                      <w:tabs>
                        <w:tab w:val="right" w:pos="3845"/>
                      </w:tabs>
                      <w:rPr>
                        <w:sz w:val="16"/>
                        <w:szCs w:val="16"/>
                      </w:rPr>
                    </w:pPr>
                    <w:r>
                      <w:t>TRICURIASIS</w:t>
                    </w:r>
                    <w:r>
                      <w:tab/>
                    </w:r>
                    <w:r>
                      <w:rPr>
                        <w:sz w:val="16"/>
                        <w:szCs w:val="16"/>
                      </w:rPr>
                      <w:t>663</w:t>
                    </w:r>
                  </w:p>
                </w:txbxContent>
              </v:textbox>
              <w10:wrap anchorx="page" anchory="page"/>
            </v:shape>
          </w:pict>
        </mc:Fallback>
      </mc:AlternateContent>
    </w:r>
    <w:r>
      <w:rPr>
        <w:noProof/>
      </w:rPr>
      <mc:AlternateContent>
        <mc:Choice Requires="wps">
          <w:drawing>
            <wp:anchor distT="0" distB="0" distL="114300" distR="114300" simplePos="0" relativeHeight="251704320" behindDoc="1" locked="0" layoutInCell="1" allowOverlap="1" wp14:anchorId="58DF2F2A" wp14:editId="0521565F">
              <wp:simplePos x="0" y="0"/>
              <wp:positionH relativeFrom="page">
                <wp:posOffset>545465</wp:posOffset>
              </wp:positionH>
              <wp:positionV relativeFrom="page">
                <wp:posOffset>419100</wp:posOffset>
              </wp:positionV>
              <wp:extent cx="4358640" cy="0"/>
              <wp:effectExtent l="0" t="0" r="0" b="0"/>
              <wp:wrapNone/>
              <wp:docPr id="2015" name="Shape 2015"/>
              <wp:cNvGraphicFramePr/>
              <a:graphic xmlns:a="http://schemas.openxmlformats.org/drawingml/2006/main">
                <a:graphicData uri="http://schemas.microsoft.com/office/word/2010/wordprocessingShape">
                  <wps:wsp>
                    <wps:cNvCnPr/>
                    <wps:spPr>
                      <a:xfrm>
                        <a:off x="0" y="0"/>
                        <a:ext cx="4358640" cy="0"/>
                      </a:xfrm>
                      <a:prstGeom prst="straightConnector1">
                        <a:avLst/>
                      </a:prstGeom>
                      <a:ln w="12700">
                        <a:solidFill/>
                      </a:ln>
                    </wps:spPr>
                    <wps:bodyPr/>
                  </wps:wsp>
                </a:graphicData>
              </a:graphic>
            </wp:anchor>
          </w:drawing>
        </mc:Choice>
        <mc:Fallback>
          <w:pict>
            <v:shapetype w14:anchorId="239D457F" id="_x0000_t32" coordsize="21600,21600" o:spt="32" o:oned="t" path="m,l21600,21600e" filled="f">
              <v:path arrowok="t" fillok="f" o:connecttype="none"/>
              <o:lock v:ext="edit" shapetype="t"/>
            </v:shapetype>
            <v:shape id="Shape 2015" o:spid="_x0000_s1026" type="#_x0000_t32" style="position:absolute;margin-left:42.95pt;margin-top:33pt;width:343.2pt;height:0;z-index:-251612160;visibility:visible;mso-wrap-style:square;mso-wrap-distance-left:9pt;mso-wrap-distance-top:0;mso-wrap-distance-right:9pt;mso-wrap-distance-bottom:0;mso-position-horizontal:absolute;mso-position-horizontal-relative:page;mso-position-vertical:absolute;mso-position-vertical-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" strokeweight="1pt">
              <w10:wrap anchorx="page" anchory="page"/>
            </v:shape>
          </w:pict>
        </mc:Fallback>
      </mc:AlternateContent>
    </w:r>
  </w:p>
</w:hdr>
</file>

<file path=word/header4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57A6BF" w14:textId="77777777" w:rsidR="00924992" w:rsidRDefault="00924992">
    <w:pPr>
      <w:spacing w:line="1" w:lineRule="exact"/>
    </w:pPr>
    <w:r>
      <w:rPr>
        <w:noProof/>
      </w:rPr>
      <mc:AlternateContent>
        <mc:Choice Requires="wps">
          <w:drawing>
            <wp:anchor distT="0" distB="0" distL="0" distR="0" simplePos="0" relativeHeight="251846656" behindDoc="1" locked="0" layoutInCell="1" allowOverlap="1" wp14:anchorId="6AFB3481" wp14:editId="421A2955">
              <wp:simplePos x="0" y="0"/>
              <wp:positionH relativeFrom="page">
                <wp:posOffset>2441575</wp:posOffset>
              </wp:positionH>
              <wp:positionV relativeFrom="page">
                <wp:posOffset>311150</wp:posOffset>
              </wp:positionV>
              <wp:extent cx="2441575" cy="69850"/>
              <wp:effectExtent l="0" t="0" r="0" b="0"/>
              <wp:wrapNone/>
              <wp:docPr id="2010" name="Shape 2010"/>
              <wp:cNvGraphicFramePr/>
              <a:graphic xmlns:a="http://schemas.openxmlformats.org/drawingml/2006/main">
                <a:graphicData uri="http://schemas.microsoft.com/office/word/2010/wordprocessingShape">
                  <wps:wsp>
                    <wps:cNvSpPr txBox="1"/>
                    <wps:spPr>
                      <a:xfrm>
                        <a:off x="0" y="0"/>
                        <a:ext cx="2441575" cy="69850"/>
                      </a:xfrm>
                      <a:prstGeom prst="rect">
                        <a:avLst/>
                      </a:prstGeom>
                      <a:noFill/>
                    </wps:spPr>
                    <wps:txbx>
                      <w:txbxContent>
                        <w:p w14:paraId="6EBFF034" w14:textId="77777777" w:rsidR="00924992" w:rsidRDefault="00924992">
                          <w:pPr>
                            <w:pStyle w:val="Headerorfooter0"/>
                            <w:tabs>
                              <w:tab w:val="right" w:pos="3845"/>
                            </w:tabs>
                            <w:rPr>
                              <w:sz w:val="16"/>
                              <w:szCs w:val="16"/>
                            </w:rPr>
                          </w:pPr>
                          <w:r>
                            <w:t>TRICURIASIS</w:t>
                          </w:r>
                          <w:r>
                            <w:tab/>
                          </w:r>
                          <w:r>
                            <w:rPr>
                              <w:sz w:val="16"/>
                              <w:szCs w:val="16"/>
                            </w:rPr>
                            <w:t>663</w:t>
                          </w:r>
                        </w:p>
                      </w:txbxContent>
                    </wps:txbx>
                    <wps:bodyPr lIns="0" tIns="0" rIns="0" bIns="0">
                      <a:spAutoFit/>
                    </wps:bodyPr>
                  </wps:wsp>
                </a:graphicData>
              </a:graphic>
            </wp:anchor>
          </w:drawing>
        </mc:Choice>
        <mc:Fallback>
          <w:pict>
            <v:shapetype w14:anchorId="6AFB3481" id="_x0000_t202" coordsize="21600,21600" o:spt="202" path="m,l,21600r21600,l21600,xe">
              <v:stroke joinstyle="miter"/>
              <v:path gradientshapeok="t" o:connecttype="rect"/>
            </v:shapetype>
            <v:shape id="Shape 2010" o:spid="_x0000_s1210" type="#_x0000_t202" style="position:absolute;margin-left:192.25pt;margin-top:24.5pt;width:192.25pt;height:5.5pt;z-index:-25146982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" filled="f" stroked="f">
              <v:textbox style="mso-fit-shape-to-text:t" inset="0,0,0,0">
                <w:txbxContent>
                  <w:p w14:paraId="6EBFF034" w14:textId="77777777" w:rsidR="00924992" w:rsidRDefault="00924992">
                    <w:pPr>
                      <w:pStyle w:val="Headerorfooter0"/>
                      <w:tabs>
                        <w:tab w:val="right" w:pos="3845"/>
                      </w:tabs>
                      <w:rPr>
                        <w:sz w:val="16"/>
                        <w:szCs w:val="16"/>
                      </w:rPr>
                    </w:pPr>
                    <w:r>
                      <w:t>TRICURIASIS</w:t>
                    </w:r>
                    <w:r>
                      <w:tab/>
                    </w:r>
                    <w:r>
                      <w:rPr>
                        <w:sz w:val="16"/>
                        <w:szCs w:val="16"/>
                      </w:rPr>
                      <w:t>663</w:t>
                    </w:r>
                  </w:p>
                </w:txbxContent>
              </v:textbox>
              <w10:wrap anchorx="page" anchory="page"/>
            </v:shape>
          </w:pict>
        </mc:Fallback>
      </mc:AlternateContent>
    </w:r>
    <w:r>
      <w:rPr>
        <w:noProof/>
      </w:rPr>
      <mc:AlternateContent>
        <mc:Choice Requires="wps">
          <w:drawing>
            <wp:anchor distT="0" distB="0" distL="114300" distR="114300" simplePos="0" relativeHeight="251703296" behindDoc="1" locked="0" layoutInCell="1" allowOverlap="1" wp14:anchorId="00B06E16" wp14:editId="0B7BEB0E">
              <wp:simplePos x="0" y="0"/>
              <wp:positionH relativeFrom="page">
                <wp:posOffset>545465</wp:posOffset>
              </wp:positionH>
              <wp:positionV relativeFrom="page">
                <wp:posOffset>419100</wp:posOffset>
              </wp:positionV>
              <wp:extent cx="4358640" cy="0"/>
              <wp:effectExtent l="0" t="0" r="0" b="0"/>
              <wp:wrapNone/>
              <wp:docPr id="2012" name="Shape 2012"/>
              <wp:cNvGraphicFramePr/>
              <a:graphic xmlns:a="http://schemas.openxmlformats.org/drawingml/2006/main">
                <a:graphicData uri="http://schemas.microsoft.com/office/word/2010/wordprocessingShape">
                  <wps:wsp>
                    <wps:cNvCnPr/>
                    <wps:spPr>
                      <a:xfrm>
                        <a:off x="0" y="0"/>
                        <a:ext cx="4358640" cy="0"/>
                      </a:xfrm>
                      <a:prstGeom prst="straightConnector1">
                        <a:avLst/>
                      </a:prstGeom>
                      <a:ln w="12700">
                        <a:solidFill/>
                      </a:ln>
                    </wps:spPr>
                    <wps:bodyPr/>
                  </wps:wsp>
                </a:graphicData>
              </a:graphic>
            </wp:anchor>
          </w:drawing>
        </mc:Choice>
        <mc:Fallback>
          <w:pict>
            <v:shapetype w14:anchorId="5467B90A" id="_x0000_t32" coordsize="21600,21600" o:spt="32" o:oned="t" path="m,l21600,21600e" filled="f">
              <v:path arrowok="t" fillok="f" o:connecttype="none"/>
              <o:lock v:ext="edit" shapetype="t"/>
            </v:shapetype>
            <v:shape id="Shape 2012" o:spid="_x0000_s1026" type="#_x0000_t32" style="position:absolute;margin-left:42.95pt;margin-top:33pt;width:343.2pt;height:0;z-index:-251613184;visibility:visible;mso-wrap-style:square;mso-wrap-distance-left:9pt;mso-wrap-distance-top:0;mso-wrap-distance-right:9pt;mso-wrap-distance-bottom:0;mso-position-horizontal:absolute;mso-position-horizontal-relative:page;mso-position-vertical:absolute;mso-position-vertical-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" strokeweight="1pt">
              <w10:wrap anchorx="page" anchory="page"/>
            </v:shape>
          </w:pict>
        </mc:Fallback>
      </mc:AlternateContent>
    </w:r>
  </w:p>
</w:hdr>
</file>

<file path=word/header4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A72682" w14:textId="77777777" w:rsidR="00924992" w:rsidRDefault="00924992">
    <w:pPr>
      <w:spacing w:line="1" w:lineRule="exact"/>
    </w:pPr>
    <w:r>
      <w:rPr>
        <w:noProof/>
      </w:rPr>
      <mc:AlternateContent>
        <mc:Choice Requires="wps">
          <w:drawing>
            <wp:anchor distT="0" distB="0" distL="0" distR="0" simplePos="0" relativeHeight="251848704" behindDoc="1" locked="0" layoutInCell="1" allowOverlap="1" wp14:anchorId="2BF5403F" wp14:editId="7AAE6CCA">
              <wp:simplePos x="0" y="0"/>
              <wp:positionH relativeFrom="page">
                <wp:posOffset>556260</wp:posOffset>
              </wp:positionH>
              <wp:positionV relativeFrom="page">
                <wp:posOffset>311150</wp:posOffset>
              </wp:positionV>
              <wp:extent cx="3056890" cy="79375"/>
              <wp:effectExtent l="0" t="0" r="0" b="0"/>
              <wp:wrapNone/>
              <wp:docPr id="2016" name="Shape 2016"/>
              <wp:cNvGraphicFramePr/>
              <a:graphic xmlns:a="http://schemas.openxmlformats.org/drawingml/2006/main">
                <a:graphicData uri="http://schemas.microsoft.com/office/word/2010/wordprocessingShape">
                  <wps:wsp>
                    <wps:cNvSpPr txBox="1"/>
                    <wps:spPr>
                      <a:xfrm>
                        <a:off x="0" y="0"/>
                        <a:ext cx="3056890" cy="79375"/>
                      </a:xfrm>
                      <a:prstGeom prst="rect">
                        <a:avLst/>
                      </a:prstGeom>
                      <a:noFill/>
                    </wps:spPr>
                    <wps:txbx>
                      <w:txbxContent>
                        <w:p w14:paraId="41083504" w14:textId="77777777" w:rsidR="00924992" w:rsidRDefault="00924992">
                          <w:pPr>
                            <w:pStyle w:val="Headerorfooter0"/>
                            <w:tabs>
                              <w:tab w:val="right" w:pos="4814"/>
                            </w:tabs>
                          </w:pPr>
                          <w:r>
                            <w:rPr>
                              <w:sz w:val="16"/>
                              <w:szCs w:val="16"/>
                            </w:rPr>
                            <w:t>662</w:t>
                          </w:r>
                          <w:r>
                            <w:rPr>
                              <w:sz w:val="16"/>
                              <w:szCs w:val="16"/>
                            </w:rPr>
                            <w:tab/>
                          </w:r>
                          <w:r>
                            <w:rPr>
                              <w:i/>
                              <w:iCs/>
                              <w:sz w:val="13"/>
                              <w:szCs w:val="13"/>
                            </w:rPr>
                            <w:t>TRICHOMONAS VAGINALIS,</w:t>
                          </w:r>
                          <w:r>
                            <w:t xml:space="preserve"> INFECCIONES</w:t>
                          </w:r>
                        </w:p>
                      </w:txbxContent>
                    </wps:txbx>
                    <wps:bodyPr lIns="0" tIns="0" rIns="0" bIns="0">
                      <a:spAutoFit/>
                    </wps:bodyPr>
                  </wps:wsp>
                </a:graphicData>
              </a:graphic>
            </wp:anchor>
          </w:drawing>
        </mc:Choice>
        <mc:Fallback>
          <w:pict>
            <v:shapetype w14:anchorId="2BF5403F" id="_x0000_t202" coordsize="21600,21600" o:spt="202" path="m,l,21600r21600,l21600,xe">
              <v:stroke joinstyle="miter"/>
              <v:path gradientshapeok="t" o:connecttype="rect"/>
            </v:shapetype>
            <v:shape id="Shape 2016" o:spid="_x0000_s1211" type="#_x0000_t202" style="position:absolute;margin-left:43.8pt;margin-top:24.5pt;width:240.7pt;height:6.25pt;z-index:-25146777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" filled="f" stroked="f">
              <v:textbox style="mso-fit-shape-to-text:t" inset="0,0,0,0">
                <w:txbxContent>
                  <w:p w14:paraId="41083504" w14:textId="77777777" w:rsidR="00924992" w:rsidRDefault="00924992">
                    <w:pPr>
                      <w:pStyle w:val="Headerorfooter0"/>
                      <w:tabs>
                        <w:tab w:val="right" w:pos="4814"/>
                      </w:tabs>
                    </w:pPr>
                    <w:r>
                      <w:rPr>
                        <w:sz w:val="16"/>
                        <w:szCs w:val="16"/>
                      </w:rPr>
                      <w:t>662</w:t>
                    </w:r>
                    <w:r>
                      <w:rPr>
                        <w:sz w:val="16"/>
                        <w:szCs w:val="16"/>
                      </w:rPr>
                      <w:tab/>
                    </w:r>
                    <w:r>
                      <w:rPr>
                        <w:i/>
                        <w:iCs/>
                        <w:sz w:val="13"/>
                        <w:szCs w:val="13"/>
                      </w:rPr>
                      <w:t>TRICHOMONAS VAGINALIS,</w:t>
                    </w:r>
                    <w:r>
                      <w:t xml:space="preserve"> INFECCIONES</w:t>
                    </w:r>
                  </w:p>
                </w:txbxContent>
              </v:textbox>
              <w10:wrap anchorx="page" anchory="page"/>
            </v:shape>
          </w:pict>
        </mc:Fallback>
      </mc:AlternateContent>
    </w:r>
    <w:r>
      <w:rPr>
        <w:noProof/>
      </w:rPr>
      <mc:AlternateContent>
        <mc:Choice Requires="wps">
          <w:drawing>
            <wp:anchor distT="0" distB="0" distL="114300" distR="114300" simplePos="0" relativeHeight="251705344" behindDoc="1" locked="0" layoutInCell="1" allowOverlap="1" wp14:anchorId="109076E9" wp14:editId="112E8BB5">
              <wp:simplePos x="0" y="0"/>
              <wp:positionH relativeFrom="page">
                <wp:posOffset>541020</wp:posOffset>
              </wp:positionH>
              <wp:positionV relativeFrom="page">
                <wp:posOffset>419100</wp:posOffset>
              </wp:positionV>
              <wp:extent cx="4358640" cy="0"/>
              <wp:effectExtent l="0" t="0" r="0" b="0"/>
              <wp:wrapNone/>
              <wp:docPr id="2018" name="Shape 2018"/>
              <wp:cNvGraphicFramePr/>
              <a:graphic xmlns:a="http://schemas.openxmlformats.org/drawingml/2006/main">
                <a:graphicData uri="http://schemas.microsoft.com/office/word/2010/wordprocessingShape">
                  <wps:wsp>
                    <wps:cNvCnPr/>
                    <wps:spPr>
                      <a:xfrm>
                        <a:off x="0" y="0"/>
                        <a:ext cx="4358640" cy="0"/>
                      </a:xfrm>
                      <a:prstGeom prst="straightConnector1">
                        <a:avLst/>
                      </a:prstGeom>
                      <a:ln w="12700">
                        <a:solidFill/>
                      </a:ln>
                    </wps:spPr>
                    <wps:bodyPr/>
                  </wps:wsp>
                </a:graphicData>
              </a:graphic>
            </wp:anchor>
          </w:drawing>
        </mc:Choice>
        <mc:Fallback>
          <w:pict>
            <v:shapetype w14:anchorId="002CD726" id="_x0000_t32" coordsize="21600,21600" o:spt="32" o:oned="t" path="m,l21600,21600e" filled="f">
              <v:path arrowok="t" fillok="f" o:connecttype="none"/>
              <o:lock v:ext="edit" shapetype="t"/>
            </v:shapetype>
            <v:shape id="Shape 2018" o:spid="_x0000_s1026" type="#_x0000_t32" style="position:absolute;margin-left:42.6pt;margin-top:33pt;width:343.2pt;height:0;z-index:-251611136;visibility:visible;mso-wrap-style:square;mso-wrap-distance-left:9pt;mso-wrap-distance-top:0;mso-wrap-distance-right:9pt;mso-wrap-distance-bottom:0;mso-position-horizontal:absolute;mso-position-horizontal-relative:page;mso-position-vertical:absolute;mso-position-vertical-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" strokeweight="1pt">
              <w10:wrap anchorx="page" anchory="page"/>
            </v:shape>
          </w:pict>
        </mc:Fallback>
      </mc:AlternateContent>
    </w:r>
  </w:p>
</w:hdr>
</file>

<file path=word/header4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1A15BC" w14:textId="77777777" w:rsidR="00924992" w:rsidRDefault="00924992">
    <w:pPr>
      <w:spacing w:line="1" w:lineRule="exact"/>
    </w:pPr>
    <w:r>
      <w:rPr>
        <w:noProof/>
      </w:rPr>
      <mc:AlternateContent>
        <mc:Choice Requires="wps">
          <w:drawing>
            <wp:anchor distT="0" distB="0" distL="0" distR="0" simplePos="0" relativeHeight="251850752" behindDoc="1" locked="0" layoutInCell="1" allowOverlap="1" wp14:anchorId="41B26809" wp14:editId="744DED78">
              <wp:simplePos x="0" y="0"/>
              <wp:positionH relativeFrom="page">
                <wp:posOffset>2038985</wp:posOffset>
              </wp:positionH>
              <wp:positionV relativeFrom="page">
                <wp:posOffset>311150</wp:posOffset>
              </wp:positionV>
              <wp:extent cx="2843530" cy="69850"/>
              <wp:effectExtent l="0" t="0" r="0" b="0"/>
              <wp:wrapNone/>
              <wp:docPr id="2022" name="Shape 2022"/>
              <wp:cNvGraphicFramePr/>
              <a:graphic xmlns:a="http://schemas.openxmlformats.org/drawingml/2006/main">
                <a:graphicData uri="http://schemas.microsoft.com/office/word/2010/wordprocessingShape">
                  <wps:wsp>
                    <wps:cNvSpPr txBox="1"/>
                    <wps:spPr>
                      <a:xfrm>
                        <a:off x="0" y="0"/>
                        <a:ext cx="2843530" cy="69850"/>
                      </a:xfrm>
                      <a:prstGeom prst="rect">
                        <a:avLst/>
                      </a:prstGeom>
                      <a:noFill/>
                    </wps:spPr>
                    <wps:txbx>
                      <w:txbxContent>
                        <w:p w14:paraId="1546ADF3" w14:textId="77777777" w:rsidR="00924992" w:rsidRDefault="00924992">
                          <w:pPr>
                            <w:pStyle w:val="Headerorfooter0"/>
                            <w:tabs>
                              <w:tab w:val="right" w:pos="4478"/>
                            </w:tabs>
                            <w:rPr>
                              <w:sz w:val="16"/>
                              <w:szCs w:val="16"/>
                            </w:rPr>
                          </w:pPr>
                          <w:r>
                            <w:t>TRIPANOSOMIASIS AMERICANA</w:t>
                          </w:r>
                          <w:r>
                            <w:tab/>
                          </w:r>
                          <w:r>
                            <w:rPr>
                              <w:sz w:val="16"/>
                              <w:szCs w:val="16"/>
                            </w:rPr>
                            <w:t>665</w:t>
                          </w:r>
                        </w:p>
                      </w:txbxContent>
                    </wps:txbx>
                    <wps:bodyPr lIns="0" tIns="0" rIns="0" bIns="0">
                      <a:spAutoFit/>
                    </wps:bodyPr>
                  </wps:wsp>
                </a:graphicData>
              </a:graphic>
            </wp:anchor>
          </w:drawing>
        </mc:Choice>
        <mc:Fallback>
          <w:pict>
            <v:shapetype w14:anchorId="41B26809" id="_x0000_t202" coordsize="21600,21600" o:spt="202" path="m,l,21600r21600,l21600,xe">
              <v:stroke joinstyle="miter"/>
              <v:path gradientshapeok="t" o:connecttype="rect"/>
            </v:shapetype>
            <v:shape id="Shape 2022" o:spid="_x0000_s1212" type="#_x0000_t202" style="position:absolute;margin-left:160.55pt;margin-top:24.5pt;width:223.9pt;height:5.5pt;z-index:-25146572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" filled="f" stroked="f">
              <v:textbox style="mso-fit-shape-to-text:t" inset="0,0,0,0">
                <w:txbxContent>
                  <w:p w14:paraId="1546ADF3" w14:textId="77777777" w:rsidR="00924992" w:rsidRDefault="00924992">
                    <w:pPr>
                      <w:pStyle w:val="Headerorfooter0"/>
                      <w:tabs>
                        <w:tab w:val="right" w:pos="4478"/>
                      </w:tabs>
                      <w:rPr>
                        <w:sz w:val="16"/>
                        <w:szCs w:val="16"/>
                      </w:rPr>
                    </w:pPr>
                    <w:r>
                      <w:t>TRIPANOSOMIASIS AMERICANA</w:t>
                    </w:r>
                    <w:r>
                      <w:tab/>
                    </w:r>
                    <w:r>
                      <w:rPr>
                        <w:sz w:val="16"/>
                        <w:szCs w:val="16"/>
                      </w:rPr>
                      <w:t>665</w:t>
                    </w:r>
                  </w:p>
                </w:txbxContent>
              </v:textbox>
              <w10:wrap anchorx="page" anchory="page"/>
            </v:shape>
          </w:pict>
        </mc:Fallback>
      </mc:AlternateContent>
    </w:r>
    <w:r>
      <w:rPr>
        <w:noProof/>
      </w:rPr>
      <mc:AlternateContent>
        <mc:Choice Requires="wps">
          <w:drawing>
            <wp:anchor distT="0" distB="0" distL="114300" distR="114300" simplePos="0" relativeHeight="251707392" behindDoc="1" locked="0" layoutInCell="1" allowOverlap="1" wp14:anchorId="6C9C0A61" wp14:editId="394719C2">
              <wp:simplePos x="0" y="0"/>
              <wp:positionH relativeFrom="page">
                <wp:posOffset>545465</wp:posOffset>
              </wp:positionH>
              <wp:positionV relativeFrom="page">
                <wp:posOffset>419100</wp:posOffset>
              </wp:positionV>
              <wp:extent cx="4358640" cy="0"/>
              <wp:effectExtent l="0" t="0" r="0" b="0"/>
              <wp:wrapNone/>
              <wp:docPr id="2024" name="Shape 2024"/>
              <wp:cNvGraphicFramePr/>
              <a:graphic xmlns:a="http://schemas.openxmlformats.org/drawingml/2006/main">
                <a:graphicData uri="http://schemas.microsoft.com/office/word/2010/wordprocessingShape">
                  <wps:wsp>
                    <wps:cNvCnPr/>
                    <wps:spPr>
                      <a:xfrm>
                        <a:off x="0" y="0"/>
                        <a:ext cx="4358640" cy="0"/>
                      </a:xfrm>
                      <a:prstGeom prst="straightConnector1">
                        <a:avLst/>
                      </a:prstGeom>
                      <a:ln w="12700">
                        <a:solidFill/>
                      </a:ln>
                    </wps:spPr>
                    <wps:bodyPr/>
                  </wps:wsp>
                </a:graphicData>
              </a:graphic>
            </wp:anchor>
          </w:drawing>
        </mc:Choice>
        <mc:Fallback>
          <w:pict>
            <v:shapetype w14:anchorId="5D169222" id="_x0000_t32" coordsize="21600,21600" o:spt="32" o:oned="t" path="m,l21600,21600e" filled="f">
              <v:path arrowok="t" fillok="f" o:connecttype="none"/>
              <o:lock v:ext="edit" shapetype="t"/>
            </v:shapetype>
            <v:shape id="Shape 2024" o:spid="_x0000_s1026" type="#_x0000_t32" style="position:absolute;margin-left:42.95pt;margin-top:33pt;width:343.2pt;height:0;z-index:-251609088;visibility:visible;mso-wrap-style:square;mso-wrap-distance-left:9pt;mso-wrap-distance-top:0;mso-wrap-distance-right:9pt;mso-wrap-distance-bottom:0;mso-position-horizontal:absolute;mso-position-horizontal-relative:page;mso-position-vertical:absolute;mso-position-vertical-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" strokeweight="1pt">
              <w10:wrap anchorx="page" anchory="page"/>
            </v:shape>
          </w:pict>
        </mc:Fallback>
      </mc:AlternateContent>
    </w:r>
  </w:p>
</w:hdr>
</file>

<file path=word/header4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FE4537" w14:textId="77777777" w:rsidR="00924992" w:rsidRDefault="00924992">
    <w:pPr>
      <w:spacing w:line="1" w:lineRule="exact"/>
    </w:pPr>
    <w:r>
      <w:rPr>
        <w:noProof/>
      </w:rPr>
      <mc:AlternateContent>
        <mc:Choice Requires="wps">
          <w:drawing>
            <wp:anchor distT="0" distB="0" distL="0" distR="0" simplePos="0" relativeHeight="251849728" behindDoc="1" locked="0" layoutInCell="1" allowOverlap="1" wp14:anchorId="77B3FE51" wp14:editId="4F305745">
              <wp:simplePos x="0" y="0"/>
              <wp:positionH relativeFrom="page">
                <wp:posOffset>2038985</wp:posOffset>
              </wp:positionH>
              <wp:positionV relativeFrom="page">
                <wp:posOffset>311150</wp:posOffset>
              </wp:positionV>
              <wp:extent cx="2843530" cy="69850"/>
              <wp:effectExtent l="0" t="0" r="0" b="0"/>
              <wp:wrapNone/>
              <wp:docPr id="2019" name="Shape 2019"/>
              <wp:cNvGraphicFramePr/>
              <a:graphic xmlns:a="http://schemas.openxmlformats.org/drawingml/2006/main">
                <a:graphicData uri="http://schemas.microsoft.com/office/word/2010/wordprocessingShape">
                  <wps:wsp>
                    <wps:cNvSpPr txBox="1"/>
                    <wps:spPr>
                      <a:xfrm>
                        <a:off x="0" y="0"/>
                        <a:ext cx="2843530" cy="69850"/>
                      </a:xfrm>
                      <a:prstGeom prst="rect">
                        <a:avLst/>
                      </a:prstGeom>
                      <a:noFill/>
                    </wps:spPr>
                    <wps:txbx>
                      <w:txbxContent>
                        <w:p w14:paraId="3E0FBE8F" w14:textId="77777777" w:rsidR="00924992" w:rsidRDefault="00924992">
                          <w:pPr>
                            <w:pStyle w:val="Headerorfooter0"/>
                            <w:tabs>
                              <w:tab w:val="right" w:pos="4478"/>
                            </w:tabs>
                            <w:rPr>
                              <w:sz w:val="16"/>
                              <w:szCs w:val="16"/>
                            </w:rPr>
                          </w:pPr>
                          <w:r>
                            <w:t>TRIPANOSOMIASIS AMERICANA</w:t>
                          </w:r>
                          <w:r>
                            <w:tab/>
                          </w:r>
                          <w:r>
                            <w:rPr>
                              <w:sz w:val="16"/>
                              <w:szCs w:val="16"/>
                            </w:rPr>
                            <w:t>665</w:t>
                          </w:r>
                        </w:p>
                      </w:txbxContent>
                    </wps:txbx>
                    <wps:bodyPr lIns="0" tIns="0" rIns="0" bIns="0">
                      <a:spAutoFit/>
                    </wps:bodyPr>
                  </wps:wsp>
                </a:graphicData>
              </a:graphic>
            </wp:anchor>
          </w:drawing>
        </mc:Choice>
        <mc:Fallback>
          <w:pict>
            <v:shapetype w14:anchorId="77B3FE51" id="_x0000_t202" coordsize="21600,21600" o:spt="202" path="m,l,21600r21600,l21600,xe">
              <v:stroke joinstyle="miter"/>
              <v:path gradientshapeok="t" o:connecttype="rect"/>
            </v:shapetype>
            <v:shape id="Shape 2019" o:spid="_x0000_s1213" type="#_x0000_t202" style="position:absolute;margin-left:160.55pt;margin-top:24.5pt;width:223.9pt;height:5.5pt;z-index:-25146675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" filled="f" stroked="f">
              <v:textbox style="mso-fit-shape-to-text:t" inset="0,0,0,0">
                <w:txbxContent>
                  <w:p w14:paraId="3E0FBE8F" w14:textId="77777777" w:rsidR="00924992" w:rsidRDefault="00924992">
                    <w:pPr>
                      <w:pStyle w:val="Headerorfooter0"/>
                      <w:tabs>
                        <w:tab w:val="right" w:pos="4478"/>
                      </w:tabs>
                      <w:rPr>
                        <w:sz w:val="16"/>
                        <w:szCs w:val="16"/>
                      </w:rPr>
                    </w:pPr>
                    <w:r>
                      <w:t>TRIPANOSOMIASIS AMERICANA</w:t>
                    </w:r>
                    <w:r>
                      <w:tab/>
                    </w:r>
                    <w:r>
                      <w:rPr>
                        <w:sz w:val="16"/>
                        <w:szCs w:val="16"/>
                      </w:rPr>
                      <w:t>665</w:t>
                    </w:r>
                  </w:p>
                </w:txbxContent>
              </v:textbox>
              <w10:wrap anchorx="page" anchory="page"/>
            </v:shape>
          </w:pict>
        </mc:Fallback>
      </mc:AlternateContent>
    </w:r>
    <w:r>
      <w:rPr>
        <w:noProof/>
      </w:rPr>
      <mc:AlternateContent>
        <mc:Choice Requires="wps">
          <w:drawing>
            <wp:anchor distT="0" distB="0" distL="114300" distR="114300" simplePos="0" relativeHeight="251706368" behindDoc="1" locked="0" layoutInCell="1" allowOverlap="1" wp14:anchorId="0C90D700" wp14:editId="2B94C1D0">
              <wp:simplePos x="0" y="0"/>
              <wp:positionH relativeFrom="page">
                <wp:posOffset>545465</wp:posOffset>
              </wp:positionH>
              <wp:positionV relativeFrom="page">
                <wp:posOffset>419100</wp:posOffset>
              </wp:positionV>
              <wp:extent cx="4358640" cy="0"/>
              <wp:effectExtent l="0" t="0" r="0" b="0"/>
              <wp:wrapNone/>
              <wp:docPr id="2021" name="Shape 2021"/>
              <wp:cNvGraphicFramePr/>
              <a:graphic xmlns:a="http://schemas.openxmlformats.org/drawingml/2006/main">
                <a:graphicData uri="http://schemas.microsoft.com/office/word/2010/wordprocessingShape">
                  <wps:wsp>
                    <wps:cNvCnPr/>
                    <wps:spPr>
                      <a:xfrm>
                        <a:off x="0" y="0"/>
                        <a:ext cx="4358640" cy="0"/>
                      </a:xfrm>
                      <a:prstGeom prst="straightConnector1">
                        <a:avLst/>
                      </a:prstGeom>
                      <a:ln w="12700">
                        <a:solidFill/>
                      </a:ln>
                    </wps:spPr>
                    <wps:bodyPr/>
                  </wps:wsp>
                </a:graphicData>
              </a:graphic>
            </wp:anchor>
          </w:drawing>
        </mc:Choice>
        <mc:Fallback>
          <w:pict>
            <v:shapetype w14:anchorId="47510245" id="_x0000_t32" coordsize="21600,21600" o:spt="32" o:oned="t" path="m,l21600,21600e" filled="f">
              <v:path arrowok="t" fillok="f" o:connecttype="none"/>
              <o:lock v:ext="edit" shapetype="t"/>
            </v:shapetype>
            <v:shape id="Shape 2021" o:spid="_x0000_s1026" type="#_x0000_t32" style="position:absolute;margin-left:42.95pt;margin-top:33pt;width:343.2pt;height:0;z-index:-251610112;visibility:visible;mso-wrap-style:square;mso-wrap-distance-left:9pt;mso-wrap-distance-top:0;mso-wrap-distance-right:9pt;mso-wrap-distance-bottom:0;mso-position-horizontal:absolute;mso-position-horizontal-relative:page;mso-position-vertical:absolute;mso-position-vertical-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" strokeweight="1pt">
              <w10:wrap anchorx="page" anchory="page"/>
            </v:shape>
          </w:pict>
        </mc:Fallback>
      </mc:AlternateContent>
    </w:r>
  </w:p>
</w:hdr>
</file>

<file path=word/header4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2A5A1F" w14:textId="77777777" w:rsidR="00924992" w:rsidRDefault="00924992">
    <w:pPr>
      <w:spacing w:line="1" w:lineRule="exact"/>
    </w:pPr>
    <w:r>
      <w:rPr>
        <w:noProof/>
      </w:rPr>
      <mc:AlternateContent>
        <mc:Choice Requires="wps">
          <w:drawing>
            <wp:anchor distT="0" distB="0" distL="0" distR="0" simplePos="0" relativeHeight="251851776" behindDoc="1" locked="0" layoutInCell="1" allowOverlap="1" wp14:anchorId="04DC25DA" wp14:editId="0CA4D525">
              <wp:simplePos x="0" y="0"/>
              <wp:positionH relativeFrom="page">
                <wp:posOffset>551815</wp:posOffset>
              </wp:positionH>
              <wp:positionV relativeFrom="page">
                <wp:posOffset>311150</wp:posOffset>
              </wp:positionV>
              <wp:extent cx="2807335" cy="69850"/>
              <wp:effectExtent l="0" t="0" r="0" b="0"/>
              <wp:wrapNone/>
              <wp:docPr id="2025" name="Shape 2025"/>
              <wp:cNvGraphicFramePr/>
              <a:graphic xmlns:a="http://schemas.openxmlformats.org/drawingml/2006/main">
                <a:graphicData uri="http://schemas.microsoft.com/office/word/2010/wordprocessingShape">
                  <wps:wsp>
                    <wps:cNvSpPr txBox="1"/>
                    <wps:spPr>
                      <a:xfrm>
                        <a:off x="0" y="0"/>
                        <a:ext cx="2807335" cy="69850"/>
                      </a:xfrm>
                      <a:prstGeom prst="rect">
                        <a:avLst/>
                      </a:prstGeom>
                      <a:noFill/>
                    </wps:spPr>
                    <wps:txbx>
                      <w:txbxContent>
                        <w:p w14:paraId="2721A332" w14:textId="77777777" w:rsidR="00924992" w:rsidRDefault="00924992">
                          <w:pPr>
                            <w:pStyle w:val="Headerorfooter0"/>
                            <w:tabs>
                              <w:tab w:val="right" w:pos="4421"/>
                            </w:tabs>
                          </w:pPr>
                          <w:r>
                            <w:rPr>
                              <w:sz w:val="16"/>
                              <w:szCs w:val="16"/>
                            </w:rPr>
                            <w:t>664</w:t>
                          </w:r>
                          <w:r>
                            <w:rPr>
                              <w:sz w:val="16"/>
                              <w:szCs w:val="16"/>
                            </w:rPr>
                            <w:tab/>
                          </w:r>
                          <w:r>
                            <w:t>TRIPANOSOMIASIS AFRICANA</w:t>
                          </w:r>
                        </w:p>
                      </w:txbxContent>
                    </wps:txbx>
                    <wps:bodyPr lIns="0" tIns="0" rIns="0" bIns="0">
                      <a:spAutoFit/>
                    </wps:bodyPr>
                  </wps:wsp>
                </a:graphicData>
              </a:graphic>
            </wp:anchor>
          </w:drawing>
        </mc:Choice>
        <mc:Fallback>
          <w:pict>
            <v:shapetype w14:anchorId="04DC25DA" id="_x0000_t202" coordsize="21600,21600" o:spt="202" path="m,l,21600r21600,l21600,xe">
              <v:stroke joinstyle="miter"/>
              <v:path gradientshapeok="t" o:connecttype="rect"/>
            </v:shapetype>
            <v:shape id="Shape 2025" o:spid="_x0000_s1214" type="#_x0000_t202" style="position:absolute;margin-left:43.45pt;margin-top:24.5pt;width:221.05pt;height:5.5pt;z-index:-25146470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" filled="f" stroked="f">
              <v:textbox style="mso-fit-shape-to-text:t" inset="0,0,0,0">
                <w:txbxContent>
                  <w:p w14:paraId="2721A332" w14:textId="77777777" w:rsidR="00924992" w:rsidRDefault="00924992">
                    <w:pPr>
                      <w:pStyle w:val="Headerorfooter0"/>
                      <w:tabs>
                        <w:tab w:val="right" w:pos="4421"/>
                      </w:tabs>
                    </w:pPr>
                    <w:r>
                      <w:rPr>
                        <w:sz w:val="16"/>
                        <w:szCs w:val="16"/>
                      </w:rPr>
                      <w:t>664</w:t>
                    </w:r>
                    <w:r>
                      <w:rPr>
                        <w:sz w:val="16"/>
                        <w:szCs w:val="16"/>
                      </w:rPr>
                      <w:tab/>
                    </w:r>
                    <w:r>
                      <w:t>TRIPANOSOMIASIS AFRICANA</w:t>
                    </w:r>
                  </w:p>
                </w:txbxContent>
              </v:textbox>
              <w10:wrap anchorx="page" anchory="page"/>
            </v:shape>
          </w:pict>
        </mc:Fallback>
      </mc:AlternateContent>
    </w:r>
    <w:r>
      <w:rPr>
        <w:noProof/>
      </w:rPr>
      <mc:AlternateContent>
        <mc:Choice Requires="wps">
          <w:drawing>
            <wp:anchor distT="0" distB="0" distL="114300" distR="114300" simplePos="0" relativeHeight="251708416" behindDoc="1" locked="0" layoutInCell="1" allowOverlap="1" wp14:anchorId="2A91A1B8" wp14:editId="2FF5C8F1">
              <wp:simplePos x="0" y="0"/>
              <wp:positionH relativeFrom="page">
                <wp:posOffset>536575</wp:posOffset>
              </wp:positionH>
              <wp:positionV relativeFrom="page">
                <wp:posOffset>419100</wp:posOffset>
              </wp:positionV>
              <wp:extent cx="4358640" cy="0"/>
              <wp:effectExtent l="0" t="0" r="0" b="0"/>
              <wp:wrapNone/>
              <wp:docPr id="2027" name="Shape 2027"/>
              <wp:cNvGraphicFramePr/>
              <a:graphic xmlns:a="http://schemas.openxmlformats.org/drawingml/2006/main">
                <a:graphicData uri="http://schemas.microsoft.com/office/word/2010/wordprocessingShape">
                  <wps:wsp>
                    <wps:cNvCnPr/>
                    <wps:spPr>
                      <a:xfrm>
                        <a:off x="0" y="0"/>
                        <a:ext cx="4358640" cy="0"/>
                      </a:xfrm>
                      <a:prstGeom prst="straightConnector1">
                        <a:avLst/>
                      </a:prstGeom>
                      <a:ln w="12700">
                        <a:solidFill/>
                      </a:ln>
                    </wps:spPr>
                    <wps:bodyPr/>
                  </wps:wsp>
                </a:graphicData>
              </a:graphic>
            </wp:anchor>
          </w:drawing>
        </mc:Choice>
        <mc:Fallback>
          <w:pict>
            <v:shapetype w14:anchorId="75091887" id="_x0000_t32" coordsize="21600,21600" o:spt="32" o:oned="t" path="m,l21600,21600e" filled="f">
              <v:path arrowok="t" fillok="f" o:connecttype="none"/>
              <o:lock v:ext="edit" shapetype="t"/>
            </v:shapetype>
            <v:shape id="Shape 2027" o:spid="_x0000_s1026" type="#_x0000_t32" style="position:absolute;margin-left:42.25pt;margin-top:33pt;width:343.2pt;height:0;z-index:-251608064;visibility:visible;mso-wrap-style:square;mso-wrap-distance-left:9pt;mso-wrap-distance-top:0;mso-wrap-distance-right:9pt;mso-wrap-distance-bottom:0;mso-position-horizontal:absolute;mso-position-horizontal-relative:page;mso-position-vertical:absolute;mso-position-vertical-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" strokeweight="1pt">
              <w10:wrap anchorx="page" anchory="page"/>
            </v:shape>
          </w:pict>
        </mc:Fallback>
      </mc:AlternateContent>
    </w:r>
  </w:p>
</w:hdr>
</file>

<file path=word/header5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DD000A" w14:textId="77777777" w:rsidR="00924992" w:rsidRDefault="00924992">
    <w:pPr>
      <w:spacing w:line="1" w:lineRule="exact"/>
    </w:pPr>
    <w:r>
      <w:rPr>
        <w:noProof/>
      </w:rPr>
      <mc:AlternateContent>
        <mc:Choice Requires="wps">
          <w:drawing>
            <wp:anchor distT="0" distB="0" distL="0" distR="0" simplePos="0" relativeHeight="251853824" behindDoc="1" locked="0" layoutInCell="1" allowOverlap="1" wp14:anchorId="032A88C4" wp14:editId="11CD780F">
              <wp:simplePos x="0" y="0"/>
              <wp:positionH relativeFrom="page">
                <wp:posOffset>551815</wp:posOffset>
              </wp:positionH>
              <wp:positionV relativeFrom="page">
                <wp:posOffset>311150</wp:posOffset>
              </wp:positionV>
              <wp:extent cx="2447290" cy="69850"/>
              <wp:effectExtent l="0" t="0" r="0" b="0"/>
              <wp:wrapNone/>
              <wp:docPr id="2031" name="Shape 2031"/>
              <wp:cNvGraphicFramePr/>
              <a:graphic xmlns:a="http://schemas.openxmlformats.org/drawingml/2006/main">
                <a:graphicData uri="http://schemas.microsoft.com/office/word/2010/wordprocessingShape">
                  <wps:wsp>
                    <wps:cNvSpPr txBox="1"/>
                    <wps:spPr>
                      <a:xfrm>
                        <a:off x="0" y="0"/>
                        <a:ext cx="2447290" cy="69850"/>
                      </a:xfrm>
                      <a:prstGeom prst="rect">
                        <a:avLst/>
                      </a:prstGeom>
                      <a:noFill/>
                    </wps:spPr>
                    <wps:txbx>
                      <w:txbxContent>
                        <w:p w14:paraId="219FF248" w14:textId="77777777" w:rsidR="00924992" w:rsidRDefault="00924992">
                          <w:pPr>
                            <w:pStyle w:val="Headerorfooter0"/>
                            <w:tabs>
                              <w:tab w:val="right" w:pos="3854"/>
                            </w:tabs>
                          </w:pPr>
                          <w:r>
                            <w:fldChar w:fldCharType="begin"/>
                          </w:r>
                          <w:r>
                            <w:instrText xml:space="preserve"> PAGE \* MERGEFORMAT </w:instrText>
                          </w:r>
                          <w:r>
                            <w:fldChar w:fldCharType="separate"/>
                          </w:r>
                          <w:r>
                            <w:rPr>
                              <w:sz w:val="16"/>
                              <w:szCs w:val="16"/>
                            </w:rPr>
                            <w:t>#</w:t>
                          </w:r>
                          <w:r>
                            <w:rPr>
                              <w:sz w:val="16"/>
                              <w:szCs w:val="16"/>
                            </w:rPr>
                            <w:fldChar w:fldCharType="end"/>
                          </w:r>
                          <w:r>
                            <w:rPr>
                              <w:sz w:val="16"/>
                              <w:szCs w:val="16"/>
                            </w:rPr>
                            <w:tab/>
                          </w:r>
                          <w:r>
                            <w:t>TRIQUINOSIS</w:t>
                          </w:r>
                        </w:p>
                      </w:txbxContent>
                    </wps:txbx>
                    <wps:bodyPr lIns="0" tIns="0" rIns="0" bIns="0">
                      <a:spAutoFit/>
                    </wps:bodyPr>
                  </wps:wsp>
                </a:graphicData>
              </a:graphic>
            </wp:anchor>
          </w:drawing>
        </mc:Choice>
        <mc:Fallback>
          <w:pict>
            <v:shapetype w14:anchorId="032A88C4" id="_x0000_t202" coordsize="21600,21600" o:spt="202" path="m,l,21600r21600,l21600,xe">
              <v:stroke joinstyle="miter"/>
              <v:path gradientshapeok="t" o:connecttype="rect"/>
            </v:shapetype>
            <v:shape id="Shape 2031" o:spid="_x0000_s1215" type="#_x0000_t202" style="position:absolute;margin-left:43.45pt;margin-top:24.5pt;width:192.7pt;height:5.5pt;z-index:-25146265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" filled="f" stroked="f">
              <v:textbox style="mso-fit-shape-to-text:t" inset="0,0,0,0">
                <w:txbxContent>
                  <w:p w14:paraId="219FF248" w14:textId="77777777" w:rsidR="00924992" w:rsidRDefault="00924992">
                    <w:pPr>
                      <w:pStyle w:val="Headerorfooter0"/>
                      <w:tabs>
                        <w:tab w:val="right" w:pos="3854"/>
                      </w:tabs>
                    </w:pPr>
                    <w:r>
                      <w:fldChar w:fldCharType="begin"/>
                    </w:r>
                    <w:r>
                      <w:instrText xml:space="preserve"> PAGE \* MERGEFORMAT </w:instrText>
                    </w:r>
                    <w:r>
                      <w:fldChar w:fldCharType="separate"/>
                    </w:r>
                    <w:r>
                      <w:rPr>
                        <w:sz w:val="16"/>
                        <w:szCs w:val="16"/>
                      </w:rPr>
                      <w:t>#</w:t>
                    </w:r>
                    <w:r>
                      <w:rPr>
                        <w:sz w:val="16"/>
                        <w:szCs w:val="16"/>
                      </w:rPr>
                      <w:fldChar w:fldCharType="end"/>
                    </w:r>
                    <w:r>
                      <w:rPr>
                        <w:sz w:val="16"/>
                        <w:szCs w:val="16"/>
                      </w:rPr>
                      <w:tab/>
                    </w:r>
                    <w:r>
                      <w:t>TRIQUINOSIS</w:t>
                    </w:r>
                  </w:p>
                </w:txbxContent>
              </v:textbox>
              <w10:wrap anchorx="page" anchory="page"/>
            </v:shape>
          </w:pict>
        </mc:Fallback>
      </mc:AlternateContent>
    </w:r>
    <w:r>
      <w:rPr>
        <w:noProof/>
      </w:rPr>
      <mc:AlternateContent>
        <mc:Choice Requires="wps">
          <w:drawing>
            <wp:anchor distT="0" distB="0" distL="114300" distR="114300" simplePos="0" relativeHeight="251710464" behindDoc="1" locked="0" layoutInCell="1" allowOverlap="1" wp14:anchorId="12839B6A" wp14:editId="5DEDF252">
              <wp:simplePos x="0" y="0"/>
              <wp:positionH relativeFrom="page">
                <wp:posOffset>536575</wp:posOffset>
              </wp:positionH>
              <wp:positionV relativeFrom="page">
                <wp:posOffset>419100</wp:posOffset>
              </wp:positionV>
              <wp:extent cx="4358640" cy="0"/>
              <wp:effectExtent l="0" t="0" r="0" b="0"/>
              <wp:wrapNone/>
              <wp:docPr id="2033" name="Shape 2033"/>
              <wp:cNvGraphicFramePr/>
              <a:graphic xmlns:a="http://schemas.openxmlformats.org/drawingml/2006/main">
                <a:graphicData uri="http://schemas.microsoft.com/office/word/2010/wordprocessingShape">
                  <wps:wsp>
                    <wps:cNvCnPr/>
                    <wps:spPr>
                      <a:xfrm>
                        <a:off x="0" y="0"/>
                        <a:ext cx="4358640" cy="0"/>
                      </a:xfrm>
                      <a:prstGeom prst="straightConnector1">
                        <a:avLst/>
                      </a:prstGeom>
                      <a:ln w="12700">
                        <a:solidFill/>
                      </a:ln>
                    </wps:spPr>
                    <wps:bodyPr/>
                  </wps:wsp>
                </a:graphicData>
              </a:graphic>
            </wp:anchor>
          </w:drawing>
        </mc:Choice>
        <mc:Fallback>
          <w:pict>
            <v:shapetype w14:anchorId="15A7A9EA" id="_x0000_t32" coordsize="21600,21600" o:spt="32" o:oned="t" path="m,l21600,21600e" filled="f">
              <v:path arrowok="t" fillok="f" o:connecttype="none"/>
              <o:lock v:ext="edit" shapetype="t"/>
            </v:shapetype>
            <v:shape id="Shape 2033" o:spid="_x0000_s1026" type="#_x0000_t32" style="position:absolute;margin-left:42.25pt;margin-top:33pt;width:343.2pt;height:0;z-index:-251606016;visibility:visible;mso-wrap-style:square;mso-wrap-distance-left:9pt;mso-wrap-distance-top:0;mso-wrap-distance-right:9pt;mso-wrap-distance-bottom:0;mso-position-horizontal:absolute;mso-position-horizontal-relative:page;mso-position-vertical:absolute;mso-position-vertical-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" strokeweight="1pt">
              <w10:wrap anchorx="page" anchory="page"/>
            </v:shape>
          </w:pict>
        </mc:Fallback>
      </mc:AlternateContent>
    </w:r>
  </w:p>
</w:hdr>
</file>

<file path=word/header5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D416DA" w14:textId="77777777" w:rsidR="00924992" w:rsidRDefault="00924992">
    <w:pPr>
      <w:spacing w:line="1" w:lineRule="exact"/>
    </w:pPr>
    <w:r>
      <w:rPr>
        <w:noProof/>
      </w:rPr>
      <mc:AlternateContent>
        <mc:Choice Requires="wps">
          <w:drawing>
            <wp:anchor distT="0" distB="0" distL="0" distR="0" simplePos="0" relativeHeight="251852800" behindDoc="1" locked="0" layoutInCell="1" allowOverlap="1" wp14:anchorId="0C761234" wp14:editId="28A50346">
              <wp:simplePos x="0" y="0"/>
              <wp:positionH relativeFrom="page">
                <wp:posOffset>551815</wp:posOffset>
              </wp:positionH>
              <wp:positionV relativeFrom="page">
                <wp:posOffset>311150</wp:posOffset>
              </wp:positionV>
              <wp:extent cx="2447290" cy="69850"/>
              <wp:effectExtent l="0" t="0" r="0" b="0"/>
              <wp:wrapNone/>
              <wp:docPr id="2028" name="Shape 2028"/>
              <wp:cNvGraphicFramePr/>
              <a:graphic xmlns:a="http://schemas.openxmlformats.org/drawingml/2006/main">
                <a:graphicData uri="http://schemas.microsoft.com/office/word/2010/wordprocessingShape">
                  <wps:wsp>
                    <wps:cNvSpPr txBox="1"/>
                    <wps:spPr>
                      <a:xfrm>
                        <a:off x="0" y="0"/>
                        <a:ext cx="2447290" cy="69850"/>
                      </a:xfrm>
                      <a:prstGeom prst="rect">
                        <a:avLst/>
                      </a:prstGeom>
                      <a:noFill/>
                    </wps:spPr>
                    <wps:txbx>
                      <w:txbxContent>
                        <w:p w14:paraId="79804343" w14:textId="77777777" w:rsidR="00924992" w:rsidRDefault="00924992">
                          <w:pPr>
                            <w:pStyle w:val="Headerorfooter0"/>
                            <w:tabs>
                              <w:tab w:val="right" w:pos="3854"/>
                            </w:tabs>
                          </w:pPr>
                          <w:r>
                            <w:fldChar w:fldCharType="begin"/>
                          </w:r>
                          <w:r>
                            <w:instrText xml:space="preserve"> PAGE \* MERGEFORMAT </w:instrText>
                          </w:r>
                          <w:r>
                            <w:fldChar w:fldCharType="separate"/>
                          </w:r>
                          <w:r>
                            <w:rPr>
                              <w:sz w:val="16"/>
                              <w:szCs w:val="16"/>
                            </w:rPr>
                            <w:t>#</w:t>
                          </w:r>
                          <w:r>
                            <w:rPr>
                              <w:sz w:val="16"/>
                              <w:szCs w:val="16"/>
                            </w:rPr>
                            <w:fldChar w:fldCharType="end"/>
                          </w:r>
                          <w:r>
                            <w:rPr>
                              <w:sz w:val="16"/>
                              <w:szCs w:val="16"/>
                            </w:rPr>
                            <w:tab/>
                          </w:r>
                          <w:r>
                            <w:t>TRIQUINOSIS</w:t>
                          </w:r>
                        </w:p>
                      </w:txbxContent>
                    </wps:txbx>
                    <wps:bodyPr lIns="0" tIns="0" rIns="0" bIns="0">
                      <a:spAutoFit/>
                    </wps:bodyPr>
                  </wps:wsp>
                </a:graphicData>
              </a:graphic>
            </wp:anchor>
          </w:drawing>
        </mc:Choice>
        <mc:Fallback>
          <w:pict>
            <v:shapetype w14:anchorId="0C761234" id="_x0000_t202" coordsize="21600,21600" o:spt="202" path="m,l,21600r21600,l21600,xe">
              <v:stroke joinstyle="miter"/>
              <v:path gradientshapeok="t" o:connecttype="rect"/>
            </v:shapetype>
            <v:shape id="Shape 2028" o:spid="_x0000_s1216" type="#_x0000_t202" style="position:absolute;margin-left:43.45pt;margin-top:24.5pt;width:192.7pt;height:5.5pt;z-index:-25146368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" filled="f" stroked="f">
              <v:textbox style="mso-fit-shape-to-text:t" inset="0,0,0,0">
                <w:txbxContent>
                  <w:p w14:paraId="79804343" w14:textId="77777777" w:rsidR="00924992" w:rsidRDefault="00924992">
                    <w:pPr>
                      <w:pStyle w:val="Headerorfooter0"/>
                      <w:tabs>
                        <w:tab w:val="right" w:pos="3854"/>
                      </w:tabs>
                    </w:pPr>
                    <w:r>
                      <w:fldChar w:fldCharType="begin"/>
                    </w:r>
                    <w:r>
                      <w:instrText xml:space="preserve"> PAGE \* MERGEFORMAT </w:instrText>
                    </w:r>
                    <w:r>
                      <w:fldChar w:fldCharType="separate"/>
                    </w:r>
                    <w:r>
                      <w:rPr>
                        <w:sz w:val="16"/>
                        <w:szCs w:val="16"/>
                      </w:rPr>
                      <w:t>#</w:t>
                    </w:r>
                    <w:r>
                      <w:rPr>
                        <w:sz w:val="16"/>
                        <w:szCs w:val="16"/>
                      </w:rPr>
                      <w:fldChar w:fldCharType="end"/>
                    </w:r>
                    <w:r>
                      <w:rPr>
                        <w:sz w:val="16"/>
                        <w:szCs w:val="16"/>
                      </w:rPr>
                      <w:tab/>
                    </w:r>
                    <w:r>
                      <w:t>TRIQUINOSIS</w:t>
                    </w:r>
                  </w:p>
                </w:txbxContent>
              </v:textbox>
              <w10:wrap anchorx="page" anchory="page"/>
            </v:shape>
          </w:pict>
        </mc:Fallback>
      </mc:AlternateContent>
    </w:r>
    <w:r>
      <w:rPr>
        <w:noProof/>
      </w:rPr>
      <mc:AlternateContent>
        <mc:Choice Requires="wps">
          <w:drawing>
            <wp:anchor distT="0" distB="0" distL="114300" distR="114300" simplePos="0" relativeHeight="251709440" behindDoc="1" locked="0" layoutInCell="1" allowOverlap="1" wp14:anchorId="5D7B589D" wp14:editId="6003641D">
              <wp:simplePos x="0" y="0"/>
              <wp:positionH relativeFrom="page">
                <wp:posOffset>536575</wp:posOffset>
              </wp:positionH>
              <wp:positionV relativeFrom="page">
                <wp:posOffset>419100</wp:posOffset>
              </wp:positionV>
              <wp:extent cx="4358640" cy="0"/>
              <wp:effectExtent l="0" t="0" r="0" b="0"/>
              <wp:wrapNone/>
              <wp:docPr id="2030" name="Shape 2030"/>
              <wp:cNvGraphicFramePr/>
              <a:graphic xmlns:a="http://schemas.openxmlformats.org/drawingml/2006/main">
                <a:graphicData uri="http://schemas.microsoft.com/office/word/2010/wordprocessingShape">
                  <wps:wsp>
                    <wps:cNvCnPr/>
                    <wps:spPr>
                      <a:xfrm>
                        <a:off x="0" y="0"/>
                        <a:ext cx="4358640" cy="0"/>
                      </a:xfrm>
                      <a:prstGeom prst="straightConnector1">
                        <a:avLst/>
                      </a:prstGeom>
                      <a:ln w="12700">
                        <a:solidFill/>
                      </a:ln>
                    </wps:spPr>
                    <wps:bodyPr/>
                  </wps:wsp>
                </a:graphicData>
              </a:graphic>
            </wp:anchor>
          </w:drawing>
        </mc:Choice>
        <mc:Fallback>
          <w:pict>
            <v:shapetype w14:anchorId="0C4D0B03" id="_x0000_t32" coordsize="21600,21600" o:spt="32" o:oned="t" path="m,l21600,21600e" filled="f">
              <v:path arrowok="t" fillok="f" o:connecttype="none"/>
              <o:lock v:ext="edit" shapetype="t"/>
            </v:shapetype>
            <v:shape id="Shape 2030" o:spid="_x0000_s1026" type="#_x0000_t32" style="position:absolute;margin-left:42.25pt;margin-top:33pt;width:343.2pt;height:0;z-index:-251607040;visibility:visible;mso-wrap-style:square;mso-wrap-distance-left:9pt;mso-wrap-distance-top:0;mso-wrap-distance-right:9pt;mso-wrap-distance-bottom:0;mso-position-horizontal:absolute;mso-position-horizontal-relative:page;mso-position-vertical:absolute;mso-position-vertical-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" strokeweight="1pt">
              <w10:wrap anchorx="page" anchory="page"/>
            </v:shape>
          </w:pict>
        </mc:Fallback>
      </mc:AlternateContent>
    </w:r>
  </w:p>
</w:hdr>
</file>

<file path=word/header5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7A8DC9" w14:textId="77777777" w:rsidR="00924992" w:rsidRDefault="00924992">
    <w:pPr>
      <w:spacing w:line="1" w:lineRule="exact"/>
    </w:pPr>
    <w:r>
      <w:rPr>
        <w:noProof/>
      </w:rPr>
      <mc:AlternateContent>
        <mc:Choice Requires="wps">
          <w:drawing>
            <wp:anchor distT="0" distB="0" distL="0" distR="0" simplePos="0" relativeHeight="251854848" behindDoc="1" locked="0" layoutInCell="1" allowOverlap="1" wp14:anchorId="7D2487A5" wp14:editId="7D74C058">
              <wp:simplePos x="0" y="0"/>
              <wp:positionH relativeFrom="page">
                <wp:posOffset>2038985</wp:posOffset>
              </wp:positionH>
              <wp:positionV relativeFrom="page">
                <wp:posOffset>311150</wp:posOffset>
              </wp:positionV>
              <wp:extent cx="2843530" cy="69850"/>
              <wp:effectExtent l="0" t="0" r="0" b="0"/>
              <wp:wrapNone/>
              <wp:docPr id="2034" name="Shape 2034"/>
              <wp:cNvGraphicFramePr/>
              <a:graphic xmlns:a="http://schemas.openxmlformats.org/drawingml/2006/main">
                <a:graphicData uri="http://schemas.microsoft.com/office/word/2010/wordprocessingShape">
                  <wps:wsp>
                    <wps:cNvSpPr txBox="1"/>
                    <wps:spPr>
                      <a:xfrm>
                        <a:off x="0" y="0"/>
                        <a:ext cx="2843530" cy="69850"/>
                      </a:xfrm>
                      <a:prstGeom prst="rect">
                        <a:avLst/>
                      </a:prstGeom>
                      <a:noFill/>
                    </wps:spPr>
                    <wps:txbx>
                      <w:txbxContent>
                        <w:p w14:paraId="70DA723E" w14:textId="77777777" w:rsidR="00924992" w:rsidRDefault="00924992">
                          <w:pPr>
                            <w:pStyle w:val="Headerorfooter0"/>
                            <w:tabs>
                              <w:tab w:val="right" w:pos="4478"/>
                            </w:tabs>
                            <w:rPr>
                              <w:sz w:val="16"/>
                              <w:szCs w:val="16"/>
                            </w:rPr>
                          </w:pPr>
                          <w:r>
                            <w:t>TRIPANOSOMIASIS AMERICANA</w:t>
                          </w:r>
                          <w:r>
                            <w:tab/>
                          </w:r>
                          <w:r>
                            <w:rPr>
                              <w:sz w:val="16"/>
                              <w:szCs w:val="16"/>
                            </w:rPr>
                            <w:t>665</w:t>
                          </w:r>
                        </w:p>
                      </w:txbxContent>
                    </wps:txbx>
                    <wps:bodyPr lIns="0" tIns="0" rIns="0" bIns="0">
                      <a:spAutoFit/>
                    </wps:bodyPr>
                  </wps:wsp>
                </a:graphicData>
              </a:graphic>
            </wp:anchor>
          </w:drawing>
        </mc:Choice>
        <mc:Fallback>
          <w:pict>
            <v:shapetype w14:anchorId="7D2487A5" id="_x0000_t202" coordsize="21600,21600" o:spt="202" path="m,l,21600r21600,l21600,xe">
              <v:stroke joinstyle="miter"/>
              <v:path gradientshapeok="t" o:connecttype="rect"/>
            </v:shapetype>
            <v:shape id="Shape 2034" o:spid="_x0000_s1217" type="#_x0000_t202" style="position:absolute;margin-left:160.55pt;margin-top:24.5pt;width:223.9pt;height:5.5pt;z-index:-25146163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" filled="f" stroked="f">
              <v:textbox style="mso-fit-shape-to-text:t" inset="0,0,0,0">
                <w:txbxContent>
                  <w:p w14:paraId="70DA723E" w14:textId="77777777" w:rsidR="00924992" w:rsidRDefault="00924992">
                    <w:pPr>
                      <w:pStyle w:val="Headerorfooter0"/>
                      <w:tabs>
                        <w:tab w:val="right" w:pos="4478"/>
                      </w:tabs>
                      <w:rPr>
                        <w:sz w:val="16"/>
                        <w:szCs w:val="16"/>
                      </w:rPr>
                    </w:pPr>
                    <w:r>
                      <w:t>TRIPANOSOMIASIS AMERICANA</w:t>
                    </w:r>
                    <w:r>
                      <w:tab/>
                    </w:r>
                    <w:r>
                      <w:rPr>
                        <w:sz w:val="16"/>
                        <w:szCs w:val="16"/>
                      </w:rPr>
                      <w:t>665</w:t>
                    </w:r>
                  </w:p>
                </w:txbxContent>
              </v:textbox>
              <w10:wrap anchorx="page" anchory="page"/>
            </v:shape>
          </w:pict>
        </mc:Fallback>
      </mc:AlternateContent>
    </w:r>
    <w:r>
      <w:rPr>
        <w:noProof/>
      </w:rPr>
      <mc:AlternateContent>
        <mc:Choice Requires="wps">
          <w:drawing>
            <wp:anchor distT="0" distB="0" distL="114300" distR="114300" simplePos="0" relativeHeight="251711488" behindDoc="1" locked="0" layoutInCell="1" allowOverlap="1" wp14:anchorId="0303F678" wp14:editId="4A130EDE">
              <wp:simplePos x="0" y="0"/>
              <wp:positionH relativeFrom="page">
                <wp:posOffset>545465</wp:posOffset>
              </wp:positionH>
              <wp:positionV relativeFrom="page">
                <wp:posOffset>419100</wp:posOffset>
              </wp:positionV>
              <wp:extent cx="4358640" cy="0"/>
              <wp:effectExtent l="0" t="0" r="0" b="0"/>
              <wp:wrapNone/>
              <wp:docPr id="2036" name="Shape 2036"/>
              <wp:cNvGraphicFramePr/>
              <a:graphic xmlns:a="http://schemas.openxmlformats.org/drawingml/2006/main">
                <a:graphicData uri="http://schemas.microsoft.com/office/word/2010/wordprocessingShape">
                  <wps:wsp>
                    <wps:cNvCnPr/>
                    <wps:spPr>
                      <a:xfrm>
                        <a:off x="0" y="0"/>
                        <a:ext cx="4358640" cy="0"/>
                      </a:xfrm>
                      <a:prstGeom prst="straightConnector1">
                        <a:avLst/>
                      </a:prstGeom>
                      <a:ln w="12700">
                        <a:solidFill/>
                      </a:ln>
                    </wps:spPr>
                    <wps:bodyPr/>
                  </wps:wsp>
                </a:graphicData>
              </a:graphic>
            </wp:anchor>
          </w:drawing>
        </mc:Choice>
        <mc:Fallback>
          <w:pict>
            <v:shapetype w14:anchorId="707B6A12" id="_x0000_t32" coordsize="21600,21600" o:spt="32" o:oned="t" path="m,l21600,21600e" filled="f">
              <v:path arrowok="t" fillok="f" o:connecttype="none"/>
              <o:lock v:ext="edit" shapetype="t"/>
            </v:shapetype>
            <v:shape id="Shape 2036" o:spid="_x0000_s1026" type="#_x0000_t32" style="position:absolute;margin-left:42.95pt;margin-top:33pt;width:343.2pt;height:0;z-index:-251604992;visibility:visible;mso-wrap-style:square;mso-wrap-distance-left:9pt;mso-wrap-distance-top:0;mso-wrap-distance-right:9pt;mso-wrap-distance-bottom:0;mso-position-horizontal:absolute;mso-position-horizontal-relative:page;mso-position-vertical:absolute;mso-position-vertical-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" strokeweight="1pt">
              <w10:wrap anchorx="page" anchory="page"/>
            </v:shape>
          </w:pict>
        </mc:Fallback>
      </mc:AlternateContent>
    </w:r>
  </w:p>
</w:hdr>
</file>

<file path=word/header5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F3C63D" w14:textId="77777777" w:rsidR="00924992" w:rsidRDefault="00924992">
    <w:pPr>
      <w:spacing w:line="1" w:lineRule="exact"/>
    </w:pPr>
    <w:r>
      <w:rPr>
        <w:noProof/>
      </w:rPr>
      <mc:AlternateContent>
        <mc:Choice Requires="wps">
          <w:drawing>
            <wp:anchor distT="0" distB="0" distL="0" distR="0" simplePos="0" relativeHeight="251856896" behindDoc="1" locked="0" layoutInCell="1" allowOverlap="1" wp14:anchorId="582E3A1C" wp14:editId="00781E64">
              <wp:simplePos x="0" y="0"/>
              <wp:positionH relativeFrom="page">
                <wp:posOffset>557530</wp:posOffset>
              </wp:positionH>
              <wp:positionV relativeFrom="page">
                <wp:posOffset>311150</wp:posOffset>
              </wp:positionV>
              <wp:extent cx="2505710" cy="69850"/>
              <wp:effectExtent l="0" t="0" r="0" b="0"/>
              <wp:wrapNone/>
              <wp:docPr id="2040" name="Shape 2040"/>
              <wp:cNvGraphicFramePr/>
              <a:graphic xmlns:a="http://schemas.openxmlformats.org/drawingml/2006/main">
                <a:graphicData uri="http://schemas.microsoft.com/office/word/2010/wordprocessingShape">
                  <wps:wsp>
                    <wps:cNvSpPr txBox="1"/>
                    <wps:spPr>
                      <a:xfrm>
                        <a:off x="0" y="0"/>
                        <a:ext cx="2505710" cy="69850"/>
                      </a:xfrm>
                      <a:prstGeom prst="rect">
                        <a:avLst/>
                      </a:prstGeom>
                      <a:noFill/>
                    </wps:spPr>
                    <wps:txbx>
                      <w:txbxContent>
                        <w:p w14:paraId="2ECBCDD6" w14:textId="77777777" w:rsidR="00924992" w:rsidRDefault="00924992">
                          <w:pPr>
                            <w:pStyle w:val="Headerorfooter0"/>
                            <w:tabs>
                              <w:tab w:val="right" w:pos="3946"/>
                            </w:tabs>
                          </w:pPr>
                          <w:r>
                            <w:fldChar w:fldCharType="begin"/>
                          </w:r>
                          <w:r>
                            <w:instrText xml:space="preserve"> PAGE \* MERGEFORMAT </w:instrText>
                          </w:r>
                          <w:r>
                            <w:fldChar w:fldCharType="separate"/>
                          </w:r>
                          <w:r>
                            <w:rPr>
                              <w:sz w:val="16"/>
                              <w:szCs w:val="16"/>
                            </w:rPr>
                            <w:t>#</w:t>
                          </w:r>
                          <w:r>
                            <w:rPr>
                              <w:sz w:val="16"/>
                              <w:szCs w:val="16"/>
                            </w:rPr>
                            <w:fldChar w:fldCharType="end"/>
                          </w:r>
                          <w:r>
                            <w:rPr>
                              <w:sz w:val="16"/>
                              <w:szCs w:val="16"/>
                            </w:rPr>
                            <w:tab/>
                          </w:r>
                          <w:r>
                            <w:t>TUBERCULOSIS</w:t>
                          </w:r>
                        </w:p>
                      </w:txbxContent>
                    </wps:txbx>
                    <wps:bodyPr lIns="0" tIns="0" rIns="0" bIns="0">
                      <a:spAutoFit/>
                    </wps:bodyPr>
                  </wps:wsp>
                </a:graphicData>
              </a:graphic>
            </wp:anchor>
          </w:drawing>
        </mc:Choice>
        <mc:Fallback>
          <w:pict>
            <v:shapetype w14:anchorId="582E3A1C" id="_x0000_t202" coordsize="21600,21600" o:spt="202" path="m,l,21600r21600,l21600,xe">
              <v:stroke joinstyle="miter"/>
              <v:path gradientshapeok="t" o:connecttype="rect"/>
            </v:shapetype>
            <v:shape id="Shape 2040" o:spid="_x0000_s1218" type="#_x0000_t202" style="position:absolute;margin-left:43.9pt;margin-top:24.5pt;width:197.3pt;height:5.5pt;z-index:-25145958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" filled="f" stroked="f">
              <v:textbox style="mso-fit-shape-to-text:t" inset="0,0,0,0">
                <w:txbxContent>
                  <w:p w14:paraId="2ECBCDD6" w14:textId="77777777" w:rsidR="00924992" w:rsidRDefault="00924992">
                    <w:pPr>
                      <w:pStyle w:val="Headerorfooter0"/>
                      <w:tabs>
                        <w:tab w:val="right" w:pos="3946"/>
                      </w:tabs>
                    </w:pPr>
                    <w:r>
                      <w:fldChar w:fldCharType="begin"/>
                    </w:r>
                    <w:r>
                      <w:instrText xml:space="preserve"> PAGE \* MERGEFORMAT </w:instrText>
                    </w:r>
                    <w:r>
                      <w:fldChar w:fldCharType="separate"/>
                    </w:r>
                    <w:r>
                      <w:rPr>
                        <w:sz w:val="16"/>
                        <w:szCs w:val="16"/>
                      </w:rPr>
                      <w:t>#</w:t>
                    </w:r>
                    <w:r>
                      <w:rPr>
                        <w:sz w:val="16"/>
                        <w:szCs w:val="16"/>
                      </w:rPr>
                      <w:fldChar w:fldCharType="end"/>
                    </w:r>
                    <w:r>
                      <w:rPr>
                        <w:sz w:val="16"/>
                        <w:szCs w:val="16"/>
                      </w:rPr>
                      <w:tab/>
                    </w:r>
                    <w:r>
                      <w:t>TUBERCULOSIS</w:t>
                    </w:r>
                  </w:p>
                </w:txbxContent>
              </v:textbox>
              <w10:wrap anchorx="page" anchory="page"/>
            </v:shape>
          </w:pict>
        </mc:Fallback>
      </mc:AlternateContent>
    </w:r>
    <w:r>
      <w:rPr>
        <w:noProof/>
      </w:rPr>
      <mc:AlternateContent>
        <mc:Choice Requires="wps">
          <w:drawing>
            <wp:anchor distT="0" distB="0" distL="114300" distR="114300" simplePos="0" relativeHeight="251713536" behindDoc="1" locked="0" layoutInCell="1" allowOverlap="1" wp14:anchorId="1B328A1E" wp14:editId="7CE965AE">
              <wp:simplePos x="0" y="0"/>
              <wp:positionH relativeFrom="page">
                <wp:posOffset>542290</wp:posOffset>
              </wp:positionH>
              <wp:positionV relativeFrom="page">
                <wp:posOffset>419100</wp:posOffset>
              </wp:positionV>
              <wp:extent cx="4358640" cy="0"/>
              <wp:effectExtent l="0" t="0" r="0" b="0"/>
              <wp:wrapNone/>
              <wp:docPr id="2042" name="Shape 2042"/>
              <wp:cNvGraphicFramePr/>
              <a:graphic xmlns:a="http://schemas.openxmlformats.org/drawingml/2006/main">
                <a:graphicData uri="http://schemas.microsoft.com/office/word/2010/wordprocessingShape">
                  <wps:wsp>
                    <wps:cNvCnPr/>
                    <wps:spPr>
                      <a:xfrm>
                        <a:off x="0" y="0"/>
                        <a:ext cx="4358640" cy="0"/>
                      </a:xfrm>
                      <a:prstGeom prst="straightConnector1">
                        <a:avLst/>
                      </a:prstGeom>
                      <a:ln w="12700">
                        <a:solidFill/>
                      </a:ln>
                    </wps:spPr>
                    <wps:bodyPr/>
                  </wps:wsp>
                </a:graphicData>
              </a:graphic>
            </wp:anchor>
          </w:drawing>
        </mc:Choice>
        <mc:Fallback>
          <w:pict>
            <v:shapetype w14:anchorId="7D4C58E7" id="_x0000_t32" coordsize="21600,21600" o:spt="32" o:oned="t" path="m,l21600,21600e" filled="f">
              <v:path arrowok="t" fillok="f" o:connecttype="none"/>
              <o:lock v:ext="edit" shapetype="t"/>
            </v:shapetype>
            <v:shape id="Shape 2042" o:spid="_x0000_s1026" type="#_x0000_t32" style="position:absolute;margin-left:42.7pt;margin-top:33pt;width:343.2pt;height:0;z-index:-251602944;visibility:visible;mso-wrap-style:square;mso-wrap-distance-left:9pt;mso-wrap-distance-top:0;mso-wrap-distance-right:9pt;mso-wrap-distance-bottom:0;mso-position-horizontal:absolute;mso-position-horizontal-relative:page;mso-position-vertical:absolute;mso-position-vertical-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" strokeweight="1pt">
              <w10:wrap anchorx="page" anchory="page"/>
            </v:shape>
          </w:pict>
        </mc:Fallback>
      </mc:AlternateContent>
    </w:r>
  </w:p>
</w:hdr>
</file>

<file path=word/header5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6D1A8D" w14:textId="77777777" w:rsidR="00924992" w:rsidRDefault="00924992">
    <w:pPr>
      <w:spacing w:line="1" w:lineRule="exact"/>
    </w:pPr>
    <w:r>
      <w:rPr>
        <w:noProof/>
      </w:rPr>
      <mc:AlternateContent>
        <mc:Choice Requires="wps">
          <w:drawing>
            <wp:anchor distT="0" distB="0" distL="0" distR="0" simplePos="0" relativeHeight="251855872" behindDoc="1" locked="0" layoutInCell="1" allowOverlap="1" wp14:anchorId="20EEC62D" wp14:editId="03357542">
              <wp:simplePos x="0" y="0"/>
              <wp:positionH relativeFrom="page">
                <wp:posOffset>2391410</wp:posOffset>
              </wp:positionH>
              <wp:positionV relativeFrom="page">
                <wp:posOffset>311150</wp:posOffset>
              </wp:positionV>
              <wp:extent cx="2505710" cy="69850"/>
              <wp:effectExtent l="0" t="0" r="0" b="0"/>
              <wp:wrapNone/>
              <wp:docPr id="2037" name="Shape 2037"/>
              <wp:cNvGraphicFramePr/>
              <a:graphic xmlns:a="http://schemas.openxmlformats.org/drawingml/2006/main">
                <a:graphicData uri="http://schemas.microsoft.com/office/word/2010/wordprocessingShape">
                  <wps:wsp>
                    <wps:cNvSpPr txBox="1"/>
                    <wps:spPr>
                      <a:xfrm>
                        <a:off x="0" y="0"/>
                        <a:ext cx="2505710" cy="69850"/>
                      </a:xfrm>
                      <a:prstGeom prst="rect">
                        <a:avLst/>
                      </a:prstGeom>
                      <a:noFill/>
                    </wps:spPr>
                    <wps:txbx>
                      <w:txbxContent>
                        <w:p w14:paraId="4AB6B0B1" w14:textId="77777777" w:rsidR="00924992" w:rsidRDefault="00924992">
                          <w:pPr>
                            <w:pStyle w:val="Headerorfooter0"/>
                            <w:tabs>
                              <w:tab w:val="right" w:pos="3946"/>
                            </w:tabs>
                            <w:rPr>
                              <w:sz w:val="16"/>
                              <w:szCs w:val="16"/>
                            </w:rPr>
                          </w:pPr>
                          <w:r>
                            <w:t>TUBERCULOSIS</w:t>
                          </w:r>
                          <w:r>
                            <w:tab/>
                          </w:r>
                          <w:r>
                            <w:fldChar w:fldCharType="begin"/>
                          </w:r>
                          <w:r>
                            <w:instrText xml:space="preserve"> PAGE \* MERGEFORMAT </w:instrText>
                          </w:r>
                          <w:r>
                            <w:fldChar w:fldCharType="separate"/>
                          </w:r>
                          <w:r>
                            <w:rPr>
                              <w:sz w:val="16"/>
                              <w:szCs w:val="16"/>
                            </w:rPr>
                            <w:t>#</w:t>
                          </w:r>
                          <w:r>
                            <w:rPr>
                              <w:sz w:val="16"/>
                              <w:szCs w:val="16"/>
                            </w:rPr>
                            <w:fldChar w:fldCharType="end"/>
                          </w:r>
                        </w:p>
                      </w:txbxContent>
                    </wps:txbx>
                    <wps:bodyPr lIns="0" tIns="0" rIns="0" bIns="0">
                      <a:spAutoFit/>
                    </wps:bodyPr>
                  </wps:wsp>
                </a:graphicData>
              </a:graphic>
            </wp:anchor>
          </w:drawing>
        </mc:Choice>
        <mc:Fallback>
          <w:pict>
            <v:shapetype w14:anchorId="20EEC62D" id="_x0000_t202" coordsize="21600,21600" o:spt="202" path="m,l,21600r21600,l21600,xe">
              <v:stroke joinstyle="miter"/>
              <v:path gradientshapeok="t" o:connecttype="rect"/>
            </v:shapetype>
            <v:shape id="Shape 2037" o:spid="_x0000_s1219" type="#_x0000_t202" style="position:absolute;margin-left:188.3pt;margin-top:24.5pt;width:197.3pt;height:5.5pt;z-index:-25146060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" filled="f" stroked="f">
              <v:textbox style="mso-fit-shape-to-text:t" inset="0,0,0,0">
                <w:txbxContent>
                  <w:p w14:paraId="4AB6B0B1" w14:textId="77777777" w:rsidR="00924992" w:rsidRDefault="00924992">
                    <w:pPr>
                      <w:pStyle w:val="Headerorfooter0"/>
                      <w:tabs>
                        <w:tab w:val="right" w:pos="3946"/>
                      </w:tabs>
                      <w:rPr>
                        <w:sz w:val="16"/>
                        <w:szCs w:val="16"/>
                      </w:rPr>
                    </w:pPr>
                    <w:r>
                      <w:t>TUBERCULOSIS</w:t>
                    </w:r>
                    <w:r>
                      <w:tab/>
                    </w:r>
                    <w:r>
                      <w:fldChar w:fldCharType="begin"/>
                    </w:r>
                    <w:r>
                      <w:instrText xml:space="preserve"> PAGE \* MERGEFORMAT </w:instrText>
                    </w:r>
                    <w:r>
                      <w:fldChar w:fldCharType="separate"/>
                    </w:r>
                    <w:r>
                      <w:rPr>
                        <w:sz w:val="16"/>
                        <w:szCs w:val="16"/>
                      </w:rPr>
                      <w:t>#</w:t>
                    </w:r>
                    <w:r>
                      <w:rPr>
                        <w:sz w:val="16"/>
                        <w:szCs w:val="16"/>
                      </w:rPr>
                      <w:fldChar w:fldCharType="end"/>
                    </w:r>
                  </w:p>
                </w:txbxContent>
              </v:textbox>
              <w10:wrap anchorx="page" anchory="page"/>
            </v:shape>
          </w:pict>
        </mc:Fallback>
      </mc:AlternateContent>
    </w:r>
    <w:r>
      <w:rPr>
        <w:noProof/>
      </w:rPr>
      <mc:AlternateContent>
        <mc:Choice Requires="wps">
          <w:drawing>
            <wp:anchor distT="0" distB="0" distL="114300" distR="114300" simplePos="0" relativeHeight="251712512" behindDoc="1" locked="0" layoutInCell="1" allowOverlap="1" wp14:anchorId="34E00E57" wp14:editId="1292DD47">
              <wp:simplePos x="0" y="0"/>
              <wp:positionH relativeFrom="page">
                <wp:posOffset>559435</wp:posOffset>
              </wp:positionH>
              <wp:positionV relativeFrom="page">
                <wp:posOffset>419100</wp:posOffset>
              </wp:positionV>
              <wp:extent cx="4358640" cy="0"/>
              <wp:effectExtent l="0" t="0" r="0" b="0"/>
              <wp:wrapNone/>
              <wp:docPr id="2039" name="Shape 2039"/>
              <wp:cNvGraphicFramePr/>
              <a:graphic xmlns:a="http://schemas.openxmlformats.org/drawingml/2006/main">
                <a:graphicData uri="http://schemas.microsoft.com/office/word/2010/wordprocessingShape">
                  <wps:wsp>
                    <wps:cNvCnPr/>
                    <wps:spPr>
                      <a:xfrm>
                        <a:off x="0" y="0"/>
                        <a:ext cx="4358640" cy="0"/>
                      </a:xfrm>
                      <a:prstGeom prst="straightConnector1">
                        <a:avLst/>
                      </a:prstGeom>
                      <a:ln w="12700">
                        <a:solidFill/>
                      </a:ln>
                    </wps:spPr>
                    <wps:bodyPr/>
                  </wps:wsp>
                </a:graphicData>
              </a:graphic>
            </wp:anchor>
          </w:drawing>
        </mc:Choice>
        <mc:Fallback>
          <w:pict>
            <v:shapetype w14:anchorId="13F97A83" id="_x0000_t32" coordsize="21600,21600" o:spt="32" o:oned="t" path="m,l21600,21600e" filled="f">
              <v:path arrowok="t" fillok="f" o:connecttype="none"/>
              <o:lock v:ext="edit" shapetype="t"/>
            </v:shapetype>
            <v:shape id="Shape 2039" o:spid="_x0000_s1026" type="#_x0000_t32" style="position:absolute;margin-left:44.05pt;margin-top:33pt;width:343.2pt;height:0;z-index:-251603968;visibility:visible;mso-wrap-style:square;mso-wrap-distance-left:9pt;mso-wrap-distance-top:0;mso-wrap-distance-right:9pt;mso-wrap-distance-bottom:0;mso-position-horizontal:absolute;mso-position-horizontal-relative:page;mso-position-vertical:absolute;mso-position-vertical-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" strokeweight="1pt">
              <w10:wrap anchorx="page" anchory="page"/>
            </v:shape>
          </w:pict>
        </mc:Fallback>
      </mc:AlternateContent>
    </w:r>
  </w:p>
</w:hdr>
</file>

<file path=word/header5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3F0868" w14:textId="77777777" w:rsidR="00924992" w:rsidRDefault="00924992"/>
</w:hdr>
</file>

<file path=word/header5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879A72" w14:textId="77777777" w:rsidR="00924992" w:rsidRDefault="00924992"/>
</w:hdr>
</file>

<file path=word/header5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9F883F" w14:textId="77777777" w:rsidR="00924992" w:rsidRDefault="00924992"/>
</w:hdr>
</file>

<file path=word/header5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06F9D2" w14:textId="77777777" w:rsidR="00924992" w:rsidRDefault="00924992"/>
</w:hdr>
</file>

<file path=word/header5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94AAD1" w14:textId="77777777" w:rsidR="00924992" w:rsidRDefault="00924992">
    <w:pPr>
      <w:spacing w:line="1" w:lineRule="exact"/>
    </w:pPr>
    <w:r>
      <w:rPr>
        <w:noProof/>
      </w:rPr>
      <mc:AlternateContent>
        <mc:Choice Requires="wps">
          <w:drawing>
            <wp:anchor distT="0" distB="0" distL="0" distR="0" simplePos="0" relativeHeight="251860992" behindDoc="1" locked="0" layoutInCell="1" allowOverlap="1" wp14:anchorId="18C89D02" wp14:editId="633C0694">
              <wp:simplePos x="0" y="0"/>
              <wp:positionH relativeFrom="page">
                <wp:posOffset>557530</wp:posOffset>
              </wp:positionH>
              <wp:positionV relativeFrom="page">
                <wp:posOffset>311150</wp:posOffset>
              </wp:positionV>
              <wp:extent cx="2505710" cy="69850"/>
              <wp:effectExtent l="0" t="0" r="0" b="0"/>
              <wp:wrapNone/>
              <wp:docPr id="2052" name="Shape 2052"/>
              <wp:cNvGraphicFramePr/>
              <a:graphic xmlns:a="http://schemas.openxmlformats.org/drawingml/2006/main">
                <a:graphicData uri="http://schemas.microsoft.com/office/word/2010/wordprocessingShape">
                  <wps:wsp>
                    <wps:cNvSpPr txBox="1"/>
                    <wps:spPr>
                      <a:xfrm>
                        <a:off x="0" y="0"/>
                        <a:ext cx="2505710" cy="69850"/>
                      </a:xfrm>
                      <a:prstGeom prst="rect">
                        <a:avLst/>
                      </a:prstGeom>
                      <a:noFill/>
                    </wps:spPr>
                    <wps:txbx>
                      <w:txbxContent>
                        <w:p w14:paraId="5B1FD93D" w14:textId="77777777" w:rsidR="00924992" w:rsidRDefault="00924992">
                          <w:pPr>
                            <w:pStyle w:val="Headerorfooter0"/>
                            <w:tabs>
                              <w:tab w:val="right" w:pos="3946"/>
                            </w:tabs>
                          </w:pPr>
                          <w:r>
                            <w:fldChar w:fldCharType="begin"/>
                          </w:r>
                          <w:r>
                            <w:instrText xml:space="preserve"> PAGE \* MERGEFORMAT </w:instrText>
                          </w:r>
                          <w:r>
                            <w:fldChar w:fldCharType="separate"/>
                          </w:r>
                          <w:r>
                            <w:rPr>
                              <w:sz w:val="16"/>
                              <w:szCs w:val="16"/>
                            </w:rPr>
                            <w:t>#</w:t>
                          </w:r>
                          <w:r>
                            <w:rPr>
                              <w:sz w:val="16"/>
                              <w:szCs w:val="16"/>
                            </w:rPr>
                            <w:fldChar w:fldCharType="end"/>
                          </w:r>
                          <w:r>
                            <w:rPr>
                              <w:sz w:val="16"/>
                              <w:szCs w:val="16"/>
                            </w:rPr>
                            <w:tab/>
                          </w:r>
                          <w:r>
                            <w:t>TUBERCULOSIS</w:t>
                          </w:r>
                        </w:p>
                      </w:txbxContent>
                    </wps:txbx>
                    <wps:bodyPr lIns="0" tIns="0" rIns="0" bIns="0">
                      <a:spAutoFit/>
                    </wps:bodyPr>
                  </wps:wsp>
                </a:graphicData>
              </a:graphic>
            </wp:anchor>
          </w:drawing>
        </mc:Choice>
        <mc:Fallback>
          <w:pict>
            <v:shapetype w14:anchorId="18C89D02" id="_x0000_t202" coordsize="21600,21600" o:spt="202" path="m,l,21600r21600,l21600,xe">
              <v:stroke joinstyle="miter"/>
              <v:path gradientshapeok="t" o:connecttype="rect"/>
            </v:shapetype>
            <v:shape id="Shape 2052" o:spid="_x0000_s1222" type="#_x0000_t202" style="position:absolute;margin-left:43.9pt;margin-top:24.5pt;width:197.3pt;height:5.5pt;z-index:-25145548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" filled="f" stroked="f">
              <v:textbox style="mso-fit-shape-to-text:t" inset="0,0,0,0">
                <w:txbxContent>
                  <w:p w14:paraId="5B1FD93D" w14:textId="77777777" w:rsidR="00924992" w:rsidRDefault="00924992">
                    <w:pPr>
                      <w:pStyle w:val="Headerorfooter0"/>
                      <w:tabs>
                        <w:tab w:val="right" w:pos="3946"/>
                      </w:tabs>
                    </w:pPr>
                    <w:r>
                      <w:fldChar w:fldCharType="begin"/>
                    </w:r>
                    <w:r>
                      <w:instrText xml:space="preserve"> PAGE \* MERGEFORMAT </w:instrText>
                    </w:r>
                    <w:r>
                      <w:fldChar w:fldCharType="separate"/>
                    </w:r>
                    <w:r>
                      <w:rPr>
                        <w:sz w:val="16"/>
                        <w:szCs w:val="16"/>
                      </w:rPr>
                      <w:t>#</w:t>
                    </w:r>
                    <w:r>
                      <w:rPr>
                        <w:sz w:val="16"/>
                        <w:szCs w:val="16"/>
                      </w:rPr>
                      <w:fldChar w:fldCharType="end"/>
                    </w:r>
                    <w:r>
                      <w:rPr>
                        <w:sz w:val="16"/>
                        <w:szCs w:val="16"/>
                      </w:rPr>
                      <w:tab/>
                    </w:r>
                    <w:r>
                      <w:t>TUBERCULOSIS</w:t>
                    </w:r>
                  </w:p>
                </w:txbxContent>
              </v:textbox>
              <w10:wrap anchorx="page" anchory="page"/>
            </v:shape>
          </w:pict>
        </mc:Fallback>
      </mc:AlternateContent>
    </w:r>
    <w:r>
      <w:rPr>
        <w:noProof/>
      </w:rPr>
      <mc:AlternateContent>
        <mc:Choice Requires="wps">
          <w:drawing>
            <wp:anchor distT="0" distB="0" distL="114300" distR="114300" simplePos="0" relativeHeight="251715584" behindDoc="1" locked="0" layoutInCell="1" allowOverlap="1" wp14:anchorId="10D54618" wp14:editId="60EEB087">
              <wp:simplePos x="0" y="0"/>
              <wp:positionH relativeFrom="page">
                <wp:posOffset>542290</wp:posOffset>
              </wp:positionH>
              <wp:positionV relativeFrom="page">
                <wp:posOffset>419100</wp:posOffset>
              </wp:positionV>
              <wp:extent cx="4358640" cy="0"/>
              <wp:effectExtent l="0" t="0" r="0" b="0"/>
              <wp:wrapNone/>
              <wp:docPr id="2054" name="Shape 2054"/>
              <wp:cNvGraphicFramePr/>
              <a:graphic xmlns:a="http://schemas.openxmlformats.org/drawingml/2006/main">
                <a:graphicData uri="http://schemas.microsoft.com/office/word/2010/wordprocessingShape">
                  <wps:wsp>
                    <wps:cNvCnPr/>
                    <wps:spPr>
                      <a:xfrm>
                        <a:off x="0" y="0"/>
                        <a:ext cx="4358640" cy="0"/>
                      </a:xfrm>
                      <a:prstGeom prst="straightConnector1">
                        <a:avLst/>
                      </a:prstGeom>
                      <a:ln w="12700">
                        <a:solidFill/>
                      </a:ln>
                    </wps:spPr>
                    <wps:bodyPr/>
                  </wps:wsp>
                </a:graphicData>
              </a:graphic>
            </wp:anchor>
          </w:drawing>
        </mc:Choice>
        <mc:Fallback>
          <w:pict>
            <v:shapetype w14:anchorId="170CB988" id="_x0000_t32" coordsize="21600,21600" o:spt="32" o:oned="t" path="m,l21600,21600e" filled="f">
              <v:path arrowok="t" fillok="f" o:connecttype="none"/>
              <o:lock v:ext="edit" shapetype="t"/>
            </v:shapetype>
            <v:shape id="Shape 2054" o:spid="_x0000_s1026" type="#_x0000_t32" style="position:absolute;margin-left:42.7pt;margin-top:33pt;width:343.2pt;height:0;z-index:-251600896;visibility:visible;mso-wrap-style:square;mso-wrap-distance-left:9pt;mso-wrap-distance-top:0;mso-wrap-distance-right:9pt;mso-wrap-distance-bottom:0;mso-position-horizontal:absolute;mso-position-horizontal-relative:page;mso-position-vertical:absolute;mso-position-vertical-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" strokeweight="1pt">
              <w10:wrap anchorx="page" anchory="page"/>
            </v:shape>
          </w:pict>
        </mc:Fallback>
      </mc:AlternateContent>
    </w:r>
  </w:p>
</w:hdr>
</file>

<file path=word/header6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D5D2BB" w14:textId="77777777" w:rsidR="00924992" w:rsidRDefault="00924992">
    <w:pPr>
      <w:spacing w:line="1" w:lineRule="exact"/>
    </w:pPr>
    <w:r>
      <w:rPr>
        <w:noProof/>
      </w:rPr>
      <mc:AlternateContent>
        <mc:Choice Requires="wps">
          <w:drawing>
            <wp:anchor distT="0" distB="0" distL="0" distR="0" simplePos="0" relativeHeight="251859968" behindDoc="1" locked="0" layoutInCell="1" allowOverlap="1" wp14:anchorId="3FF71285" wp14:editId="048E4C3D">
              <wp:simplePos x="0" y="0"/>
              <wp:positionH relativeFrom="page">
                <wp:posOffset>2391410</wp:posOffset>
              </wp:positionH>
              <wp:positionV relativeFrom="page">
                <wp:posOffset>311150</wp:posOffset>
              </wp:positionV>
              <wp:extent cx="2505710" cy="69850"/>
              <wp:effectExtent l="0" t="0" r="0" b="0"/>
              <wp:wrapNone/>
              <wp:docPr id="2049" name="Shape 2049"/>
              <wp:cNvGraphicFramePr/>
              <a:graphic xmlns:a="http://schemas.openxmlformats.org/drawingml/2006/main">
                <a:graphicData uri="http://schemas.microsoft.com/office/word/2010/wordprocessingShape">
                  <wps:wsp>
                    <wps:cNvSpPr txBox="1"/>
                    <wps:spPr>
                      <a:xfrm>
                        <a:off x="0" y="0"/>
                        <a:ext cx="2505710" cy="69850"/>
                      </a:xfrm>
                      <a:prstGeom prst="rect">
                        <a:avLst/>
                      </a:prstGeom>
                      <a:noFill/>
                    </wps:spPr>
                    <wps:txbx>
                      <w:txbxContent>
                        <w:p w14:paraId="2D4A8949" w14:textId="77777777" w:rsidR="00924992" w:rsidRDefault="00924992">
                          <w:pPr>
                            <w:pStyle w:val="Headerorfooter0"/>
                            <w:tabs>
                              <w:tab w:val="right" w:pos="3946"/>
                            </w:tabs>
                            <w:rPr>
                              <w:sz w:val="16"/>
                              <w:szCs w:val="16"/>
                            </w:rPr>
                          </w:pPr>
                          <w:r>
                            <w:t>TUBERCULOSIS</w:t>
                          </w:r>
                          <w:r>
                            <w:tab/>
                          </w:r>
                          <w:r>
                            <w:fldChar w:fldCharType="begin"/>
                          </w:r>
                          <w:r>
                            <w:instrText xml:space="preserve"> PAGE \* MERGEFORMAT </w:instrText>
                          </w:r>
                          <w:r>
                            <w:fldChar w:fldCharType="separate"/>
                          </w:r>
                          <w:r>
                            <w:rPr>
                              <w:sz w:val="16"/>
                              <w:szCs w:val="16"/>
                            </w:rPr>
                            <w:t>#</w:t>
                          </w:r>
                          <w:r>
                            <w:rPr>
                              <w:sz w:val="16"/>
                              <w:szCs w:val="16"/>
                            </w:rPr>
                            <w:fldChar w:fldCharType="end"/>
                          </w:r>
                        </w:p>
                      </w:txbxContent>
                    </wps:txbx>
                    <wps:bodyPr lIns="0" tIns="0" rIns="0" bIns="0">
                      <a:spAutoFit/>
                    </wps:bodyPr>
                  </wps:wsp>
                </a:graphicData>
              </a:graphic>
            </wp:anchor>
          </w:drawing>
        </mc:Choice>
        <mc:Fallback>
          <w:pict>
            <v:shapetype w14:anchorId="3FF71285" id="_x0000_t202" coordsize="21600,21600" o:spt="202" path="m,l,21600r21600,l21600,xe">
              <v:stroke joinstyle="miter"/>
              <v:path gradientshapeok="t" o:connecttype="rect"/>
            </v:shapetype>
            <v:shape id="Shape 2049" o:spid="_x0000_s1223" type="#_x0000_t202" style="position:absolute;margin-left:188.3pt;margin-top:24.5pt;width:197.3pt;height:5.5pt;z-index:-25145651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" filled="f" stroked="f">
              <v:textbox style="mso-fit-shape-to-text:t" inset="0,0,0,0">
                <w:txbxContent>
                  <w:p w14:paraId="2D4A8949" w14:textId="77777777" w:rsidR="00924992" w:rsidRDefault="00924992">
                    <w:pPr>
                      <w:pStyle w:val="Headerorfooter0"/>
                      <w:tabs>
                        <w:tab w:val="right" w:pos="3946"/>
                      </w:tabs>
                      <w:rPr>
                        <w:sz w:val="16"/>
                        <w:szCs w:val="16"/>
                      </w:rPr>
                    </w:pPr>
                    <w:r>
                      <w:t>TUBERCULOSIS</w:t>
                    </w:r>
                    <w:r>
                      <w:tab/>
                    </w:r>
                    <w:r>
                      <w:fldChar w:fldCharType="begin"/>
                    </w:r>
                    <w:r>
                      <w:instrText xml:space="preserve"> PAGE \* MERGEFORMAT </w:instrText>
                    </w:r>
                    <w:r>
                      <w:fldChar w:fldCharType="separate"/>
                    </w:r>
                    <w:r>
                      <w:rPr>
                        <w:sz w:val="16"/>
                        <w:szCs w:val="16"/>
                      </w:rPr>
                      <w:t>#</w:t>
                    </w:r>
                    <w:r>
                      <w:rPr>
                        <w:sz w:val="16"/>
                        <w:szCs w:val="16"/>
                      </w:rPr>
                      <w:fldChar w:fldCharType="end"/>
                    </w:r>
                  </w:p>
                </w:txbxContent>
              </v:textbox>
              <w10:wrap anchorx="page" anchory="page"/>
            </v:shape>
          </w:pict>
        </mc:Fallback>
      </mc:AlternateContent>
    </w:r>
    <w:r>
      <w:rPr>
        <w:noProof/>
      </w:rPr>
      <mc:AlternateContent>
        <mc:Choice Requires="wps">
          <w:drawing>
            <wp:anchor distT="0" distB="0" distL="114300" distR="114300" simplePos="0" relativeHeight="251714560" behindDoc="1" locked="0" layoutInCell="1" allowOverlap="1" wp14:anchorId="620F846B" wp14:editId="0857E8EC">
              <wp:simplePos x="0" y="0"/>
              <wp:positionH relativeFrom="page">
                <wp:posOffset>559435</wp:posOffset>
              </wp:positionH>
              <wp:positionV relativeFrom="page">
                <wp:posOffset>419100</wp:posOffset>
              </wp:positionV>
              <wp:extent cx="4358640" cy="0"/>
              <wp:effectExtent l="0" t="0" r="0" b="0"/>
              <wp:wrapNone/>
              <wp:docPr id="2051" name="Shape 2051"/>
              <wp:cNvGraphicFramePr/>
              <a:graphic xmlns:a="http://schemas.openxmlformats.org/drawingml/2006/main">
                <a:graphicData uri="http://schemas.microsoft.com/office/word/2010/wordprocessingShape">
                  <wps:wsp>
                    <wps:cNvCnPr/>
                    <wps:spPr>
                      <a:xfrm>
                        <a:off x="0" y="0"/>
                        <a:ext cx="4358640" cy="0"/>
                      </a:xfrm>
                      <a:prstGeom prst="straightConnector1">
                        <a:avLst/>
                      </a:prstGeom>
                      <a:ln w="12700">
                        <a:solidFill/>
                      </a:ln>
                    </wps:spPr>
                    <wps:bodyPr/>
                  </wps:wsp>
                </a:graphicData>
              </a:graphic>
            </wp:anchor>
          </w:drawing>
        </mc:Choice>
        <mc:Fallback>
          <w:pict>
            <v:shapetype w14:anchorId="0D0274A0" id="_x0000_t32" coordsize="21600,21600" o:spt="32" o:oned="t" path="m,l21600,21600e" filled="f">
              <v:path arrowok="t" fillok="f" o:connecttype="none"/>
              <o:lock v:ext="edit" shapetype="t"/>
            </v:shapetype>
            <v:shape id="Shape 2051" o:spid="_x0000_s1026" type="#_x0000_t32" style="position:absolute;margin-left:44.05pt;margin-top:33pt;width:343.2pt;height:0;z-index:-251601920;visibility:visible;mso-wrap-style:square;mso-wrap-distance-left:9pt;mso-wrap-distance-top:0;mso-wrap-distance-right:9pt;mso-wrap-distance-bottom:0;mso-position-horizontal:absolute;mso-position-horizontal-relative:page;mso-position-vertical:absolute;mso-position-vertical-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" strokeweight="1pt">
              <w10:wrap anchorx="page" anchory="page"/>
            </v:shape>
          </w:pict>
        </mc:Fallback>
      </mc:AlternateContent>
    </w:r>
  </w:p>
</w:hdr>
</file>

<file path=word/header6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5C56A0" w14:textId="77777777" w:rsidR="00924992" w:rsidRDefault="00924992">
    <w:pPr>
      <w:spacing w:line="1" w:lineRule="exact"/>
    </w:pPr>
    <w:r>
      <w:rPr>
        <w:noProof/>
      </w:rPr>
      <mc:AlternateContent>
        <mc:Choice Requires="wps">
          <w:drawing>
            <wp:anchor distT="0" distB="0" distL="0" distR="0" simplePos="0" relativeHeight="251863040" behindDoc="1" locked="0" layoutInCell="1" allowOverlap="1" wp14:anchorId="2F8F565D" wp14:editId="28F10335">
              <wp:simplePos x="0" y="0"/>
              <wp:positionH relativeFrom="page">
                <wp:posOffset>545465</wp:posOffset>
              </wp:positionH>
              <wp:positionV relativeFrom="page">
                <wp:posOffset>311150</wp:posOffset>
              </wp:positionV>
              <wp:extent cx="2416810" cy="69850"/>
              <wp:effectExtent l="0" t="0" r="0" b="0"/>
              <wp:wrapNone/>
              <wp:docPr id="2058" name="Shape 2058"/>
              <wp:cNvGraphicFramePr/>
              <a:graphic xmlns:a="http://schemas.openxmlformats.org/drawingml/2006/main">
                <a:graphicData uri="http://schemas.microsoft.com/office/word/2010/wordprocessingShape">
                  <wps:wsp>
                    <wps:cNvSpPr txBox="1"/>
                    <wps:spPr>
                      <a:xfrm>
                        <a:off x="0" y="0"/>
                        <a:ext cx="2416810" cy="69850"/>
                      </a:xfrm>
                      <a:prstGeom prst="rect">
                        <a:avLst/>
                      </a:prstGeom>
                      <a:noFill/>
                    </wps:spPr>
                    <wps:txbx>
                      <w:txbxContent>
                        <w:p w14:paraId="43D6829A" w14:textId="77777777" w:rsidR="00924992" w:rsidRDefault="00924992">
                          <w:pPr>
                            <w:pStyle w:val="Headerorfooter0"/>
                            <w:tabs>
                              <w:tab w:val="right" w:pos="3806"/>
                            </w:tabs>
                          </w:pPr>
                          <w:r>
                            <w:fldChar w:fldCharType="begin"/>
                          </w:r>
                          <w:r>
                            <w:instrText xml:space="preserve"> PAGE \* MERGEFORMAT </w:instrText>
                          </w:r>
                          <w:r>
                            <w:fldChar w:fldCharType="separate"/>
                          </w:r>
                          <w:r>
                            <w:rPr>
                              <w:sz w:val="16"/>
                              <w:szCs w:val="16"/>
                            </w:rPr>
                            <w:t>#</w:t>
                          </w:r>
                          <w:r>
                            <w:rPr>
                              <w:sz w:val="16"/>
                              <w:szCs w:val="16"/>
                            </w:rPr>
                            <w:fldChar w:fldCharType="end"/>
                          </w:r>
                          <w:r>
                            <w:rPr>
                              <w:sz w:val="16"/>
                              <w:szCs w:val="16"/>
                            </w:rPr>
                            <w:tab/>
                          </w:r>
                          <w:r>
                            <w:t>TULAREMIA</w:t>
                          </w:r>
                        </w:p>
                      </w:txbxContent>
                    </wps:txbx>
                    <wps:bodyPr lIns="0" tIns="0" rIns="0" bIns="0">
                      <a:spAutoFit/>
                    </wps:bodyPr>
                  </wps:wsp>
                </a:graphicData>
              </a:graphic>
            </wp:anchor>
          </w:drawing>
        </mc:Choice>
        <mc:Fallback>
          <w:pict>
            <v:shapetype w14:anchorId="2F8F565D" id="_x0000_t202" coordsize="21600,21600" o:spt="202" path="m,l,21600r21600,l21600,xe">
              <v:stroke joinstyle="miter"/>
              <v:path gradientshapeok="t" o:connecttype="rect"/>
            </v:shapetype>
            <v:shape id="Shape 2058" o:spid="_x0000_s1224" type="#_x0000_t202" style="position:absolute;margin-left:42.95pt;margin-top:24.5pt;width:190.3pt;height:5.5pt;z-index:-25145344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" filled="f" stroked="f">
              <v:textbox style="mso-fit-shape-to-text:t" inset="0,0,0,0">
                <w:txbxContent>
                  <w:p w14:paraId="43D6829A" w14:textId="77777777" w:rsidR="00924992" w:rsidRDefault="00924992">
                    <w:pPr>
                      <w:pStyle w:val="Headerorfooter0"/>
                      <w:tabs>
                        <w:tab w:val="right" w:pos="3806"/>
                      </w:tabs>
                    </w:pPr>
                    <w:r>
                      <w:fldChar w:fldCharType="begin"/>
                    </w:r>
                    <w:r>
                      <w:instrText xml:space="preserve"> PAGE \* MERGEFORMAT </w:instrText>
                    </w:r>
                    <w:r>
                      <w:fldChar w:fldCharType="separate"/>
                    </w:r>
                    <w:r>
                      <w:rPr>
                        <w:sz w:val="16"/>
                        <w:szCs w:val="16"/>
                      </w:rPr>
                      <w:t>#</w:t>
                    </w:r>
                    <w:r>
                      <w:rPr>
                        <w:sz w:val="16"/>
                        <w:szCs w:val="16"/>
                      </w:rPr>
                      <w:fldChar w:fldCharType="end"/>
                    </w:r>
                    <w:r>
                      <w:rPr>
                        <w:sz w:val="16"/>
                        <w:szCs w:val="16"/>
                      </w:rPr>
                      <w:tab/>
                    </w:r>
                    <w:r>
                      <w:t>TULAREMIA</w:t>
                    </w:r>
                  </w:p>
                </w:txbxContent>
              </v:textbox>
              <w10:wrap anchorx="page" anchory="page"/>
            </v:shape>
          </w:pict>
        </mc:Fallback>
      </mc:AlternateContent>
    </w:r>
    <w:r>
      <w:rPr>
        <w:noProof/>
      </w:rPr>
      <mc:AlternateContent>
        <mc:Choice Requires="wps">
          <w:drawing>
            <wp:anchor distT="0" distB="0" distL="114300" distR="114300" simplePos="0" relativeHeight="251717632" behindDoc="1" locked="0" layoutInCell="1" allowOverlap="1" wp14:anchorId="4114BE6D" wp14:editId="53DA41F3">
              <wp:simplePos x="0" y="0"/>
              <wp:positionH relativeFrom="page">
                <wp:posOffset>530225</wp:posOffset>
              </wp:positionH>
              <wp:positionV relativeFrom="page">
                <wp:posOffset>419100</wp:posOffset>
              </wp:positionV>
              <wp:extent cx="4358640" cy="0"/>
              <wp:effectExtent l="0" t="0" r="0" b="0"/>
              <wp:wrapNone/>
              <wp:docPr id="2060" name="Shape 2060"/>
              <wp:cNvGraphicFramePr/>
              <a:graphic xmlns:a="http://schemas.openxmlformats.org/drawingml/2006/main">
                <a:graphicData uri="http://schemas.microsoft.com/office/word/2010/wordprocessingShape">
                  <wps:wsp>
                    <wps:cNvCnPr/>
                    <wps:spPr>
                      <a:xfrm>
                        <a:off x="0" y="0"/>
                        <a:ext cx="4358640" cy="0"/>
                      </a:xfrm>
                      <a:prstGeom prst="straightConnector1">
                        <a:avLst/>
                      </a:prstGeom>
                      <a:ln w="12700">
                        <a:solidFill/>
                      </a:ln>
                    </wps:spPr>
                    <wps:bodyPr/>
                  </wps:wsp>
                </a:graphicData>
              </a:graphic>
            </wp:anchor>
          </w:drawing>
        </mc:Choice>
        <mc:Fallback>
          <w:pict>
            <v:shapetype w14:anchorId="172AB735" id="_x0000_t32" coordsize="21600,21600" o:spt="32" o:oned="t" path="m,l21600,21600e" filled="f">
              <v:path arrowok="t" fillok="f" o:connecttype="none"/>
              <o:lock v:ext="edit" shapetype="t"/>
            </v:shapetype>
            <v:shape id="Shape 2060" o:spid="_x0000_s1026" type="#_x0000_t32" style="position:absolute;margin-left:41.75pt;margin-top:33pt;width:343.2pt;height:0;z-index:-251598848;visibility:visible;mso-wrap-style:square;mso-wrap-distance-left:9pt;mso-wrap-distance-top:0;mso-wrap-distance-right:9pt;mso-wrap-distance-bottom:0;mso-position-horizontal:absolute;mso-position-horizontal-relative:page;mso-position-vertical:absolute;mso-position-vertical-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" strokeweight="1pt">
              <w10:wrap anchorx="page" anchory="page"/>
            </v:shape>
          </w:pict>
        </mc:Fallback>
      </mc:AlternateContent>
    </w:r>
  </w:p>
</w:hdr>
</file>

<file path=word/header6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2F7368" w14:textId="77777777" w:rsidR="00924992" w:rsidRDefault="00924992">
    <w:pPr>
      <w:spacing w:line="1" w:lineRule="exact"/>
    </w:pPr>
    <w:r>
      <w:rPr>
        <w:noProof/>
      </w:rPr>
      <mc:AlternateContent>
        <mc:Choice Requires="wps">
          <w:drawing>
            <wp:anchor distT="0" distB="0" distL="0" distR="0" simplePos="0" relativeHeight="251862016" behindDoc="1" locked="0" layoutInCell="1" allowOverlap="1" wp14:anchorId="7720E5C2" wp14:editId="441B458D">
              <wp:simplePos x="0" y="0"/>
              <wp:positionH relativeFrom="page">
                <wp:posOffset>545465</wp:posOffset>
              </wp:positionH>
              <wp:positionV relativeFrom="page">
                <wp:posOffset>311150</wp:posOffset>
              </wp:positionV>
              <wp:extent cx="2416810" cy="69850"/>
              <wp:effectExtent l="0" t="0" r="0" b="0"/>
              <wp:wrapNone/>
              <wp:docPr id="2055" name="Shape 2055"/>
              <wp:cNvGraphicFramePr/>
              <a:graphic xmlns:a="http://schemas.openxmlformats.org/drawingml/2006/main">
                <a:graphicData uri="http://schemas.microsoft.com/office/word/2010/wordprocessingShape">
                  <wps:wsp>
                    <wps:cNvSpPr txBox="1"/>
                    <wps:spPr>
                      <a:xfrm>
                        <a:off x="0" y="0"/>
                        <a:ext cx="2416810" cy="69850"/>
                      </a:xfrm>
                      <a:prstGeom prst="rect">
                        <a:avLst/>
                      </a:prstGeom>
                      <a:noFill/>
                    </wps:spPr>
                    <wps:txbx>
                      <w:txbxContent>
                        <w:p w14:paraId="6981B612" w14:textId="77777777" w:rsidR="00924992" w:rsidRDefault="00924992">
                          <w:pPr>
                            <w:pStyle w:val="Headerorfooter0"/>
                            <w:tabs>
                              <w:tab w:val="right" w:pos="3806"/>
                            </w:tabs>
                          </w:pPr>
                          <w:r>
                            <w:fldChar w:fldCharType="begin"/>
                          </w:r>
                          <w:r>
                            <w:instrText xml:space="preserve"> PAGE \* MERGEFORMAT </w:instrText>
                          </w:r>
                          <w:r>
                            <w:fldChar w:fldCharType="separate"/>
                          </w:r>
                          <w:r>
                            <w:rPr>
                              <w:sz w:val="16"/>
                              <w:szCs w:val="16"/>
                            </w:rPr>
                            <w:t>#</w:t>
                          </w:r>
                          <w:r>
                            <w:rPr>
                              <w:sz w:val="16"/>
                              <w:szCs w:val="16"/>
                            </w:rPr>
                            <w:fldChar w:fldCharType="end"/>
                          </w:r>
                          <w:r>
                            <w:rPr>
                              <w:sz w:val="16"/>
                              <w:szCs w:val="16"/>
                            </w:rPr>
                            <w:tab/>
                          </w:r>
                          <w:r>
                            <w:t>TULAREMIA</w:t>
                          </w:r>
                        </w:p>
                      </w:txbxContent>
                    </wps:txbx>
                    <wps:bodyPr lIns="0" tIns="0" rIns="0" bIns="0">
                      <a:spAutoFit/>
                    </wps:bodyPr>
                  </wps:wsp>
                </a:graphicData>
              </a:graphic>
            </wp:anchor>
          </w:drawing>
        </mc:Choice>
        <mc:Fallback>
          <w:pict>
            <v:shapetype w14:anchorId="7720E5C2" id="_x0000_t202" coordsize="21600,21600" o:spt="202" path="m,l,21600r21600,l21600,xe">
              <v:stroke joinstyle="miter"/>
              <v:path gradientshapeok="t" o:connecttype="rect"/>
            </v:shapetype>
            <v:shape id="Shape 2055" o:spid="_x0000_s1225" type="#_x0000_t202" style="position:absolute;margin-left:42.95pt;margin-top:24.5pt;width:190.3pt;height:5.5pt;z-index:-25145446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" filled="f" stroked="f">
              <v:textbox style="mso-fit-shape-to-text:t" inset="0,0,0,0">
                <w:txbxContent>
                  <w:p w14:paraId="6981B612" w14:textId="77777777" w:rsidR="00924992" w:rsidRDefault="00924992">
                    <w:pPr>
                      <w:pStyle w:val="Headerorfooter0"/>
                      <w:tabs>
                        <w:tab w:val="right" w:pos="3806"/>
                      </w:tabs>
                    </w:pPr>
                    <w:r>
                      <w:fldChar w:fldCharType="begin"/>
                    </w:r>
                    <w:r>
                      <w:instrText xml:space="preserve"> PAGE \* MERGEFORMAT </w:instrText>
                    </w:r>
                    <w:r>
                      <w:fldChar w:fldCharType="separate"/>
                    </w:r>
                    <w:r>
                      <w:rPr>
                        <w:sz w:val="16"/>
                        <w:szCs w:val="16"/>
                      </w:rPr>
                      <w:t>#</w:t>
                    </w:r>
                    <w:r>
                      <w:rPr>
                        <w:sz w:val="16"/>
                        <w:szCs w:val="16"/>
                      </w:rPr>
                      <w:fldChar w:fldCharType="end"/>
                    </w:r>
                    <w:r>
                      <w:rPr>
                        <w:sz w:val="16"/>
                        <w:szCs w:val="16"/>
                      </w:rPr>
                      <w:tab/>
                    </w:r>
                    <w:r>
                      <w:t>TULAREMIA</w:t>
                    </w:r>
                  </w:p>
                </w:txbxContent>
              </v:textbox>
              <w10:wrap anchorx="page" anchory="page"/>
            </v:shape>
          </w:pict>
        </mc:Fallback>
      </mc:AlternateContent>
    </w:r>
    <w:r>
      <w:rPr>
        <w:noProof/>
      </w:rPr>
      <mc:AlternateContent>
        <mc:Choice Requires="wps">
          <w:drawing>
            <wp:anchor distT="0" distB="0" distL="114300" distR="114300" simplePos="0" relativeHeight="251716608" behindDoc="1" locked="0" layoutInCell="1" allowOverlap="1" wp14:anchorId="654818A6" wp14:editId="19E67DC3">
              <wp:simplePos x="0" y="0"/>
              <wp:positionH relativeFrom="page">
                <wp:posOffset>530225</wp:posOffset>
              </wp:positionH>
              <wp:positionV relativeFrom="page">
                <wp:posOffset>419100</wp:posOffset>
              </wp:positionV>
              <wp:extent cx="4358640" cy="0"/>
              <wp:effectExtent l="0" t="0" r="0" b="0"/>
              <wp:wrapNone/>
              <wp:docPr id="2057" name="Shape 2057"/>
              <wp:cNvGraphicFramePr/>
              <a:graphic xmlns:a="http://schemas.openxmlformats.org/drawingml/2006/main">
                <a:graphicData uri="http://schemas.microsoft.com/office/word/2010/wordprocessingShape">
                  <wps:wsp>
                    <wps:cNvCnPr/>
                    <wps:spPr>
                      <a:xfrm>
                        <a:off x="0" y="0"/>
                        <a:ext cx="4358640" cy="0"/>
                      </a:xfrm>
                      <a:prstGeom prst="straightConnector1">
                        <a:avLst/>
                      </a:prstGeom>
                      <a:ln w="12700">
                        <a:solidFill/>
                      </a:ln>
                    </wps:spPr>
                    <wps:bodyPr/>
                  </wps:wsp>
                </a:graphicData>
              </a:graphic>
            </wp:anchor>
          </w:drawing>
        </mc:Choice>
        <mc:Fallback>
          <w:pict>
            <v:shapetype w14:anchorId="5EE6F626" id="_x0000_t32" coordsize="21600,21600" o:spt="32" o:oned="t" path="m,l21600,21600e" filled="f">
              <v:path arrowok="t" fillok="f" o:connecttype="none"/>
              <o:lock v:ext="edit" shapetype="t"/>
            </v:shapetype>
            <v:shape id="Shape 2057" o:spid="_x0000_s1026" type="#_x0000_t32" style="position:absolute;margin-left:41.75pt;margin-top:33pt;width:343.2pt;height:0;z-index:-251599872;visibility:visible;mso-wrap-style:square;mso-wrap-distance-left:9pt;mso-wrap-distance-top:0;mso-wrap-distance-right:9pt;mso-wrap-distance-bottom:0;mso-position-horizontal:absolute;mso-position-horizontal-relative:page;mso-position-vertical:absolute;mso-position-vertical-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" strokeweight="1pt">
              <w10:wrap anchorx="page" anchory="page"/>
            </v:shape>
          </w:pict>
        </mc:Fallback>
      </mc:AlternateContent>
    </w:r>
  </w:p>
</w:hdr>
</file>

<file path=word/header6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D761C1" w14:textId="77777777" w:rsidR="00924992" w:rsidRDefault="00924992">
    <w:pPr>
      <w:spacing w:line="1" w:lineRule="exact"/>
    </w:pPr>
    <w:r>
      <w:rPr>
        <w:noProof/>
      </w:rPr>
      <mc:AlternateContent>
        <mc:Choice Requires="wps">
          <w:drawing>
            <wp:anchor distT="0" distB="0" distL="0" distR="0" simplePos="0" relativeHeight="251865088" behindDoc="1" locked="0" layoutInCell="1" allowOverlap="1" wp14:anchorId="3A735312" wp14:editId="754699F9">
              <wp:simplePos x="0" y="0"/>
              <wp:positionH relativeFrom="page">
                <wp:posOffset>338455</wp:posOffset>
              </wp:positionH>
              <wp:positionV relativeFrom="page">
                <wp:posOffset>311150</wp:posOffset>
              </wp:positionV>
              <wp:extent cx="3374390" cy="79375"/>
              <wp:effectExtent l="0" t="0" r="0" b="0"/>
              <wp:wrapNone/>
              <wp:docPr id="2064" name="Shape 2064"/>
              <wp:cNvGraphicFramePr/>
              <a:graphic xmlns:a="http://schemas.openxmlformats.org/drawingml/2006/main">
                <a:graphicData uri="http://schemas.microsoft.com/office/word/2010/wordprocessingShape">
                  <wps:wsp>
                    <wps:cNvSpPr txBox="1"/>
                    <wps:spPr>
                      <a:xfrm>
                        <a:off x="0" y="0"/>
                        <a:ext cx="3374390" cy="79375"/>
                      </a:xfrm>
                      <a:prstGeom prst="rect">
                        <a:avLst/>
                      </a:prstGeom>
                      <a:noFill/>
                    </wps:spPr>
                    <wps:txbx>
                      <w:txbxContent>
                        <w:p w14:paraId="27EF212A" w14:textId="77777777" w:rsidR="00924992" w:rsidRDefault="00924992">
                          <w:pPr>
                            <w:pStyle w:val="Headerorfooter0"/>
                            <w:tabs>
                              <w:tab w:val="right" w:pos="5314"/>
                            </w:tabs>
                          </w:pPr>
                          <w:r>
                            <w:fldChar w:fldCharType="begin"/>
                          </w:r>
                          <w:r>
                            <w:instrText xml:space="preserve"> PAGE \* MERGEFORMAT </w:instrText>
                          </w:r>
                          <w:r>
                            <w:fldChar w:fldCharType="separate"/>
                          </w:r>
                          <w:r>
                            <w:rPr>
                              <w:sz w:val="16"/>
                              <w:szCs w:val="16"/>
                            </w:rPr>
                            <w:t>#</w:t>
                          </w:r>
                          <w:r>
                            <w:rPr>
                              <w:sz w:val="16"/>
                              <w:szCs w:val="16"/>
                            </w:rPr>
                            <w:fldChar w:fldCharType="end"/>
                          </w:r>
                          <w:r>
                            <w:rPr>
                              <w:sz w:val="16"/>
                              <w:szCs w:val="16"/>
                            </w:rPr>
                            <w:tab/>
                          </w:r>
                          <w:r>
                            <w:t>MICOBACTERIAS NO TUBERCULOSAS, ENFERMEDADES</w:t>
                          </w:r>
                        </w:p>
                      </w:txbxContent>
                    </wps:txbx>
                    <wps:bodyPr lIns="0" tIns="0" rIns="0" bIns="0">
                      <a:spAutoFit/>
                    </wps:bodyPr>
                  </wps:wsp>
                </a:graphicData>
              </a:graphic>
            </wp:anchor>
          </w:drawing>
        </mc:Choice>
        <mc:Fallback>
          <w:pict>
            <v:shapetype w14:anchorId="3A735312" id="_x0000_t202" coordsize="21600,21600" o:spt="202" path="m,l,21600r21600,l21600,xe">
              <v:stroke joinstyle="miter"/>
              <v:path gradientshapeok="t" o:connecttype="rect"/>
            </v:shapetype>
            <v:shape id="Shape 2064" o:spid="_x0000_s1226" type="#_x0000_t202" style="position:absolute;margin-left:26.65pt;margin-top:24.5pt;width:265.7pt;height:6.25pt;z-index:-25145139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" filled="f" stroked="f">
              <v:textbox style="mso-fit-shape-to-text:t" inset="0,0,0,0">
                <w:txbxContent>
                  <w:p w14:paraId="27EF212A" w14:textId="77777777" w:rsidR="00924992" w:rsidRDefault="00924992">
                    <w:pPr>
                      <w:pStyle w:val="Headerorfooter0"/>
                      <w:tabs>
                        <w:tab w:val="right" w:pos="5314"/>
                      </w:tabs>
                    </w:pPr>
                    <w:r>
                      <w:fldChar w:fldCharType="begin"/>
                    </w:r>
                    <w:r>
                      <w:instrText xml:space="preserve"> PAGE \* MERGEFORMAT </w:instrText>
                    </w:r>
                    <w:r>
                      <w:fldChar w:fldCharType="separate"/>
                    </w:r>
                    <w:r>
                      <w:rPr>
                        <w:sz w:val="16"/>
                        <w:szCs w:val="16"/>
                      </w:rPr>
                      <w:t>#</w:t>
                    </w:r>
                    <w:r>
                      <w:rPr>
                        <w:sz w:val="16"/>
                        <w:szCs w:val="16"/>
                      </w:rPr>
                      <w:fldChar w:fldCharType="end"/>
                    </w:r>
                    <w:r>
                      <w:rPr>
                        <w:sz w:val="16"/>
                        <w:szCs w:val="16"/>
                      </w:rPr>
                      <w:tab/>
                    </w:r>
                    <w:r>
                      <w:t>MICOBACTERIAS NO TUBERCULOSAS, ENFERMEDADES</w:t>
                    </w:r>
                  </w:p>
                </w:txbxContent>
              </v:textbox>
              <w10:wrap anchorx="page" anchory="page"/>
            </v:shape>
          </w:pict>
        </mc:Fallback>
      </mc:AlternateContent>
    </w:r>
    <w:r>
      <w:rPr>
        <w:noProof/>
      </w:rPr>
      <mc:AlternateContent>
        <mc:Choice Requires="wps">
          <w:drawing>
            <wp:anchor distT="0" distB="0" distL="114300" distR="114300" simplePos="0" relativeHeight="251719680" behindDoc="1" locked="0" layoutInCell="1" allowOverlap="1" wp14:anchorId="308DEDC1" wp14:editId="4FE6C82C">
              <wp:simplePos x="0" y="0"/>
              <wp:positionH relativeFrom="page">
                <wp:posOffset>323215</wp:posOffset>
              </wp:positionH>
              <wp:positionV relativeFrom="page">
                <wp:posOffset>419100</wp:posOffset>
              </wp:positionV>
              <wp:extent cx="4358640" cy="0"/>
              <wp:effectExtent l="0" t="0" r="0" b="0"/>
              <wp:wrapNone/>
              <wp:docPr id="2066" name="Shape 2066"/>
              <wp:cNvGraphicFramePr/>
              <a:graphic xmlns:a="http://schemas.openxmlformats.org/drawingml/2006/main">
                <a:graphicData uri="http://schemas.microsoft.com/office/word/2010/wordprocessingShape">
                  <wps:wsp>
                    <wps:cNvCnPr/>
                    <wps:spPr>
                      <a:xfrm>
                        <a:off x="0" y="0"/>
                        <a:ext cx="4358640" cy="0"/>
                      </a:xfrm>
                      <a:prstGeom prst="straightConnector1">
                        <a:avLst/>
                      </a:prstGeom>
                      <a:ln w="12700">
                        <a:solidFill/>
                      </a:ln>
                    </wps:spPr>
                    <wps:bodyPr/>
                  </wps:wsp>
                </a:graphicData>
              </a:graphic>
            </wp:anchor>
          </w:drawing>
        </mc:Choice>
        <mc:Fallback>
          <w:pict>
            <v:shapetype w14:anchorId="54C7CBF0" id="_x0000_t32" coordsize="21600,21600" o:spt="32" o:oned="t" path="m,l21600,21600e" filled="f">
              <v:path arrowok="t" fillok="f" o:connecttype="none"/>
              <o:lock v:ext="edit" shapetype="t"/>
            </v:shapetype>
            <v:shape id="Shape 2066" o:spid="_x0000_s1026" type="#_x0000_t32" style="position:absolute;margin-left:25.45pt;margin-top:33pt;width:343.2pt;height:0;z-index:-251596800;visibility:visible;mso-wrap-style:square;mso-wrap-distance-left:9pt;mso-wrap-distance-top:0;mso-wrap-distance-right:9pt;mso-wrap-distance-bottom:0;mso-position-horizontal:absolute;mso-position-horizontal-relative:page;mso-position-vertical:absolute;mso-position-vertical-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" strokeweight="1pt">
              <w10:wrap anchorx="page" anchory="page"/>
            </v:shape>
          </w:pict>
        </mc:Fallback>
      </mc:AlternateContent>
    </w:r>
  </w:p>
</w:hdr>
</file>

<file path=word/header6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E4015B" w14:textId="77777777" w:rsidR="00924992" w:rsidRDefault="00924992">
    <w:pPr>
      <w:spacing w:line="1" w:lineRule="exact"/>
    </w:pPr>
    <w:r>
      <w:rPr>
        <w:noProof/>
      </w:rPr>
      <mc:AlternateContent>
        <mc:Choice Requires="wps">
          <w:drawing>
            <wp:anchor distT="0" distB="0" distL="0" distR="0" simplePos="0" relativeHeight="251864064" behindDoc="1" locked="0" layoutInCell="1" allowOverlap="1" wp14:anchorId="639A2FA0" wp14:editId="2D21FFB1">
              <wp:simplePos x="0" y="0"/>
              <wp:positionH relativeFrom="page">
                <wp:posOffset>1650365</wp:posOffset>
              </wp:positionH>
              <wp:positionV relativeFrom="page">
                <wp:posOffset>306705</wp:posOffset>
              </wp:positionV>
              <wp:extent cx="3368040" cy="79375"/>
              <wp:effectExtent l="0" t="0" r="0" b="0"/>
              <wp:wrapNone/>
              <wp:docPr id="2061" name="Shape 2061"/>
              <wp:cNvGraphicFramePr/>
              <a:graphic xmlns:a="http://schemas.openxmlformats.org/drawingml/2006/main">
                <a:graphicData uri="http://schemas.microsoft.com/office/word/2010/wordprocessingShape">
                  <wps:wsp>
                    <wps:cNvSpPr txBox="1"/>
                    <wps:spPr>
                      <a:xfrm>
                        <a:off x="0" y="0"/>
                        <a:ext cx="3368040" cy="79375"/>
                      </a:xfrm>
                      <a:prstGeom prst="rect">
                        <a:avLst/>
                      </a:prstGeom>
                      <a:noFill/>
                    </wps:spPr>
                    <wps:txbx>
                      <w:txbxContent>
                        <w:p w14:paraId="49F2152C" w14:textId="77777777" w:rsidR="00924992" w:rsidRDefault="00924992">
                          <w:pPr>
                            <w:pStyle w:val="Headerorfooter0"/>
                            <w:tabs>
                              <w:tab w:val="right" w:pos="5304"/>
                            </w:tabs>
                            <w:rPr>
                              <w:sz w:val="16"/>
                              <w:szCs w:val="16"/>
                            </w:rPr>
                          </w:pPr>
                          <w:r>
                            <w:t>MICOBACTERIAS NO TUBERCULOSAS, ENFERMEDADES</w:t>
                          </w:r>
                          <w:r>
                            <w:tab/>
                          </w:r>
                          <w:r>
                            <w:fldChar w:fldCharType="begin"/>
                          </w:r>
                          <w:r>
                            <w:instrText xml:space="preserve"> PAGE \* MERGEFORMAT </w:instrText>
                          </w:r>
                          <w:r>
                            <w:fldChar w:fldCharType="separate"/>
                          </w:r>
                          <w:r>
                            <w:rPr>
                              <w:sz w:val="16"/>
                              <w:szCs w:val="16"/>
                            </w:rPr>
                            <w:t>#</w:t>
                          </w:r>
                          <w:r>
                            <w:rPr>
                              <w:sz w:val="16"/>
                              <w:szCs w:val="16"/>
                            </w:rPr>
                            <w:fldChar w:fldCharType="end"/>
                          </w:r>
                        </w:p>
                      </w:txbxContent>
                    </wps:txbx>
                    <wps:bodyPr lIns="0" tIns="0" rIns="0" bIns="0">
                      <a:spAutoFit/>
                    </wps:bodyPr>
                  </wps:wsp>
                </a:graphicData>
              </a:graphic>
            </wp:anchor>
          </w:drawing>
        </mc:Choice>
        <mc:Fallback>
          <w:pict>
            <v:shapetype w14:anchorId="639A2FA0" id="_x0000_t202" coordsize="21600,21600" o:spt="202" path="m,l,21600r21600,l21600,xe">
              <v:stroke joinstyle="miter"/>
              <v:path gradientshapeok="t" o:connecttype="rect"/>
            </v:shapetype>
            <v:shape id="Shape 2061" o:spid="_x0000_s1227" type="#_x0000_t202" style="position:absolute;margin-left:129.95pt;margin-top:24.15pt;width:265.2pt;height:6.25pt;z-index:-25145241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" filled="f" stroked="f">
              <v:textbox style="mso-fit-shape-to-text:t" inset="0,0,0,0">
                <w:txbxContent>
                  <w:p w14:paraId="49F2152C" w14:textId="77777777" w:rsidR="00924992" w:rsidRDefault="00924992">
                    <w:pPr>
                      <w:pStyle w:val="Headerorfooter0"/>
                      <w:tabs>
                        <w:tab w:val="right" w:pos="5304"/>
                      </w:tabs>
                      <w:rPr>
                        <w:sz w:val="16"/>
                        <w:szCs w:val="16"/>
                      </w:rPr>
                    </w:pPr>
                    <w:r>
                      <w:t>MICOBACTERIAS NO TUBERCULOSAS, ENFERMEDADES</w:t>
                    </w:r>
                    <w:r>
                      <w:tab/>
                    </w:r>
                    <w:r>
                      <w:fldChar w:fldCharType="begin"/>
                    </w:r>
                    <w:r>
                      <w:instrText xml:space="preserve"> PAGE \* MERGEFORMAT </w:instrText>
                    </w:r>
                    <w:r>
                      <w:fldChar w:fldCharType="separate"/>
                    </w:r>
                    <w:r>
                      <w:rPr>
                        <w:sz w:val="16"/>
                        <w:szCs w:val="16"/>
                      </w:rPr>
                      <w:t>#</w:t>
                    </w:r>
                    <w:r>
                      <w:rPr>
                        <w:sz w:val="16"/>
                        <w:szCs w:val="16"/>
                      </w:rPr>
                      <w:fldChar w:fldCharType="end"/>
                    </w:r>
                  </w:p>
                </w:txbxContent>
              </v:textbox>
              <w10:wrap anchorx="page" anchory="page"/>
            </v:shape>
          </w:pict>
        </mc:Fallback>
      </mc:AlternateContent>
    </w:r>
    <w:r>
      <w:rPr>
        <w:noProof/>
      </w:rPr>
      <mc:AlternateContent>
        <mc:Choice Requires="wps">
          <w:drawing>
            <wp:anchor distT="0" distB="0" distL="114300" distR="114300" simplePos="0" relativeHeight="251718656" behindDoc="1" locked="0" layoutInCell="1" allowOverlap="1" wp14:anchorId="0C5AF8BA" wp14:editId="1904BFBB">
              <wp:simplePos x="0" y="0"/>
              <wp:positionH relativeFrom="page">
                <wp:posOffset>680720</wp:posOffset>
              </wp:positionH>
              <wp:positionV relativeFrom="page">
                <wp:posOffset>419100</wp:posOffset>
              </wp:positionV>
              <wp:extent cx="4358640" cy="0"/>
              <wp:effectExtent l="0" t="0" r="0" b="0"/>
              <wp:wrapNone/>
              <wp:docPr id="2063" name="Shape 2063"/>
              <wp:cNvGraphicFramePr/>
              <a:graphic xmlns:a="http://schemas.openxmlformats.org/drawingml/2006/main">
                <a:graphicData uri="http://schemas.microsoft.com/office/word/2010/wordprocessingShape">
                  <wps:wsp>
                    <wps:cNvCnPr/>
                    <wps:spPr>
                      <a:xfrm>
                        <a:off x="0" y="0"/>
                        <a:ext cx="4358640" cy="0"/>
                      </a:xfrm>
                      <a:prstGeom prst="straightConnector1">
                        <a:avLst/>
                      </a:prstGeom>
                      <a:ln w="12700">
                        <a:solidFill/>
                      </a:ln>
                    </wps:spPr>
                    <wps:bodyPr/>
                  </wps:wsp>
                </a:graphicData>
              </a:graphic>
            </wp:anchor>
          </w:drawing>
        </mc:Choice>
        <mc:Fallback>
          <w:pict>
            <v:shapetype w14:anchorId="401486FA" id="_x0000_t32" coordsize="21600,21600" o:spt="32" o:oned="t" path="m,l21600,21600e" filled="f">
              <v:path arrowok="t" fillok="f" o:connecttype="none"/>
              <o:lock v:ext="edit" shapetype="t"/>
            </v:shapetype>
            <v:shape id="Shape 2063" o:spid="_x0000_s1026" type="#_x0000_t32" style="position:absolute;margin-left:53.6pt;margin-top:33pt;width:343.2pt;height:0;z-index:-251597824;visibility:visible;mso-wrap-style:square;mso-wrap-distance-left:9pt;mso-wrap-distance-top:0;mso-wrap-distance-right:9pt;mso-wrap-distance-bottom:0;mso-position-horizontal:absolute;mso-position-horizontal-relative:page;mso-position-vertical:absolute;mso-position-vertical-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" strokeweight="1pt">
              <w10:wrap anchorx="page" anchory="page"/>
            </v:shape>
          </w:pict>
        </mc:Fallback>
      </mc:AlternateContent>
    </w:r>
  </w:p>
</w:hdr>
</file>

<file path=word/header6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5C5F91" w14:textId="77777777" w:rsidR="00924992" w:rsidRDefault="00924992"/>
</w:hdr>
</file>

<file path=word/header6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035335" w14:textId="77777777" w:rsidR="00924992" w:rsidRDefault="00924992"/>
</w:hdr>
</file>

<file path=word/header6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0FCFB5" w14:textId="77777777" w:rsidR="00924992" w:rsidRDefault="00924992">
    <w:pPr>
      <w:spacing w:line="1" w:lineRule="exact"/>
    </w:pPr>
    <w:r>
      <w:rPr>
        <w:noProof/>
      </w:rPr>
      <mc:AlternateContent>
        <mc:Choice Requires="wps">
          <w:drawing>
            <wp:anchor distT="0" distB="0" distL="0" distR="0" simplePos="0" relativeHeight="251867136" behindDoc="1" locked="0" layoutInCell="1" allowOverlap="1" wp14:anchorId="663C1956" wp14:editId="2AA4DF1F">
              <wp:simplePos x="0" y="0"/>
              <wp:positionH relativeFrom="page">
                <wp:posOffset>550545</wp:posOffset>
              </wp:positionH>
              <wp:positionV relativeFrom="page">
                <wp:posOffset>315595</wp:posOffset>
              </wp:positionV>
              <wp:extent cx="2346960" cy="69850"/>
              <wp:effectExtent l="0" t="0" r="0" b="0"/>
              <wp:wrapNone/>
              <wp:docPr id="2076" name="Shape 2076"/>
              <wp:cNvGraphicFramePr/>
              <a:graphic xmlns:a="http://schemas.openxmlformats.org/drawingml/2006/main">
                <a:graphicData uri="http://schemas.microsoft.com/office/word/2010/wordprocessingShape">
                  <wps:wsp>
                    <wps:cNvSpPr txBox="1"/>
                    <wps:spPr>
                      <a:xfrm>
                        <a:off x="0" y="0"/>
                        <a:ext cx="2346960" cy="69850"/>
                      </a:xfrm>
                      <a:prstGeom prst="rect">
                        <a:avLst/>
                      </a:prstGeom>
                      <a:noFill/>
                    </wps:spPr>
                    <wps:txbx>
                      <w:txbxContent>
                        <w:p w14:paraId="48DDAB95" w14:textId="77777777" w:rsidR="00924992" w:rsidRDefault="00924992">
                          <w:pPr>
                            <w:pStyle w:val="Headerorfooter0"/>
                            <w:tabs>
                              <w:tab w:val="right" w:pos="3696"/>
                            </w:tabs>
                          </w:pPr>
                          <w:r>
                            <w:fldChar w:fldCharType="begin"/>
                          </w:r>
                          <w:r>
                            <w:instrText xml:space="preserve"> PAGE \* MERGEFORMAT </w:instrText>
                          </w:r>
                          <w:r>
                            <w:fldChar w:fldCharType="separate"/>
                          </w:r>
                          <w:r>
                            <w:rPr>
                              <w:sz w:val="16"/>
                              <w:szCs w:val="16"/>
                            </w:rPr>
                            <w:t>#</w:t>
                          </w:r>
                          <w:r>
                            <w:rPr>
                              <w:sz w:val="16"/>
                              <w:szCs w:val="16"/>
                            </w:rPr>
                            <w:fldChar w:fldCharType="end"/>
                          </w:r>
                          <w:r>
                            <w:rPr>
                              <w:sz w:val="16"/>
                              <w:szCs w:val="16"/>
                            </w:rPr>
                            <w:tab/>
                          </w:r>
                          <w:r>
                            <w:t>MICOSIS</w:t>
                          </w:r>
                        </w:p>
                      </w:txbxContent>
                    </wps:txbx>
                    <wps:bodyPr lIns="0" tIns="0" rIns="0" bIns="0">
                      <a:spAutoFit/>
                    </wps:bodyPr>
                  </wps:wsp>
                </a:graphicData>
              </a:graphic>
            </wp:anchor>
          </w:drawing>
        </mc:Choice>
        <mc:Fallback>
          <w:pict>
            <v:shapetype w14:anchorId="663C1956" id="_x0000_t202" coordsize="21600,21600" o:spt="202" path="m,l,21600r21600,l21600,xe">
              <v:stroke joinstyle="miter"/>
              <v:path gradientshapeok="t" o:connecttype="rect"/>
            </v:shapetype>
            <v:shape id="Shape 2076" o:spid="_x0000_s1228" type="#_x0000_t202" style="position:absolute;margin-left:43.35pt;margin-top:24.85pt;width:184.8pt;height:5.5pt;z-index:-25144934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" filled="f" stroked="f">
              <v:textbox style="mso-fit-shape-to-text:t" inset="0,0,0,0">
                <w:txbxContent>
                  <w:p w14:paraId="48DDAB95" w14:textId="77777777" w:rsidR="00924992" w:rsidRDefault="00924992">
                    <w:pPr>
                      <w:pStyle w:val="Headerorfooter0"/>
                      <w:tabs>
                        <w:tab w:val="right" w:pos="3696"/>
                      </w:tabs>
                    </w:pPr>
                    <w:r>
                      <w:fldChar w:fldCharType="begin"/>
                    </w:r>
                    <w:r>
                      <w:instrText xml:space="preserve"> PAGE \* MERGEFORMAT </w:instrText>
                    </w:r>
                    <w:r>
                      <w:fldChar w:fldCharType="separate"/>
                    </w:r>
                    <w:r>
                      <w:rPr>
                        <w:sz w:val="16"/>
                        <w:szCs w:val="16"/>
                      </w:rPr>
                      <w:t>#</w:t>
                    </w:r>
                    <w:r>
                      <w:rPr>
                        <w:sz w:val="16"/>
                        <w:szCs w:val="16"/>
                      </w:rPr>
                      <w:fldChar w:fldCharType="end"/>
                    </w:r>
                    <w:r>
                      <w:rPr>
                        <w:sz w:val="16"/>
                        <w:szCs w:val="16"/>
                      </w:rPr>
                      <w:tab/>
                    </w:r>
                    <w:r>
                      <w:t>MICOSIS</w:t>
                    </w:r>
                  </w:p>
                </w:txbxContent>
              </v:textbox>
              <w10:wrap anchorx="page" anchory="page"/>
            </v:shape>
          </w:pict>
        </mc:Fallback>
      </mc:AlternateContent>
    </w:r>
    <w:r>
      <w:rPr>
        <w:noProof/>
      </w:rPr>
      <mc:AlternateContent>
        <mc:Choice Requires="wps">
          <w:drawing>
            <wp:anchor distT="0" distB="0" distL="114300" distR="114300" simplePos="0" relativeHeight="251721728" behindDoc="1" locked="0" layoutInCell="1" allowOverlap="1" wp14:anchorId="12106ACD" wp14:editId="1ADDF957">
              <wp:simplePos x="0" y="0"/>
              <wp:positionH relativeFrom="page">
                <wp:posOffset>535305</wp:posOffset>
              </wp:positionH>
              <wp:positionV relativeFrom="page">
                <wp:posOffset>424180</wp:posOffset>
              </wp:positionV>
              <wp:extent cx="4358640" cy="0"/>
              <wp:effectExtent l="0" t="0" r="0" b="0"/>
              <wp:wrapNone/>
              <wp:docPr id="2078" name="Shape 2078"/>
              <wp:cNvGraphicFramePr/>
              <a:graphic xmlns:a="http://schemas.openxmlformats.org/drawingml/2006/main">
                <a:graphicData uri="http://schemas.microsoft.com/office/word/2010/wordprocessingShape">
                  <wps:wsp>
                    <wps:cNvCnPr/>
                    <wps:spPr>
                      <a:xfrm>
                        <a:off x="0" y="0"/>
                        <a:ext cx="4358640" cy="0"/>
                      </a:xfrm>
                      <a:prstGeom prst="straightConnector1">
                        <a:avLst/>
                      </a:prstGeom>
                      <a:ln w="12700">
                        <a:solidFill/>
                      </a:ln>
                    </wps:spPr>
                    <wps:bodyPr/>
                  </wps:wsp>
                </a:graphicData>
              </a:graphic>
            </wp:anchor>
          </w:drawing>
        </mc:Choice>
        <mc:Fallback>
          <w:pict>
            <v:shapetype w14:anchorId="74258D8D" id="_x0000_t32" coordsize="21600,21600" o:spt="32" o:oned="t" path="m,l21600,21600e" filled="f">
              <v:path arrowok="t" fillok="f" o:connecttype="none"/>
              <o:lock v:ext="edit" shapetype="t"/>
            </v:shapetype>
            <v:shape id="Shape 2078" o:spid="_x0000_s1026" type="#_x0000_t32" style="position:absolute;margin-left:42.15pt;margin-top:33.4pt;width:343.2pt;height:0;z-index:-251594752;visibility:visible;mso-wrap-style:square;mso-wrap-distance-left:9pt;mso-wrap-distance-top:0;mso-wrap-distance-right:9pt;mso-wrap-distance-bottom:0;mso-position-horizontal:absolute;mso-position-horizontal-relative:page;mso-position-vertical:absolute;mso-position-vertical-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" strokeweight="1pt">
              <w10:wrap anchorx="page" anchory="page"/>
            </v:shape>
          </w:pict>
        </mc:Fallback>
      </mc:AlternateContent>
    </w:r>
  </w:p>
</w:hdr>
</file>

<file path=word/header6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7FC48B" w14:textId="77777777" w:rsidR="00924992" w:rsidRDefault="00924992">
    <w:pPr>
      <w:spacing w:line="1" w:lineRule="exact"/>
    </w:pPr>
    <w:r>
      <w:rPr>
        <w:noProof/>
      </w:rPr>
      <mc:AlternateContent>
        <mc:Choice Requires="wps">
          <w:drawing>
            <wp:anchor distT="0" distB="0" distL="0" distR="0" simplePos="0" relativeHeight="251866112" behindDoc="1" locked="0" layoutInCell="1" allowOverlap="1" wp14:anchorId="50B3414A" wp14:editId="07DCA70D">
              <wp:simplePos x="0" y="0"/>
              <wp:positionH relativeFrom="page">
                <wp:posOffset>550545</wp:posOffset>
              </wp:positionH>
              <wp:positionV relativeFrom="page">
                <wp:posOffset>315595</wp:posOffset>
              </wp:positionV>
              <wp:extent cx="2346960" cy="69850"/>
              <wp:effectExtent l="0" t="0" r="0" b="0"/>
              <wp:wrapNone/>
              <wp:docPr id="2073" name="Shape 2073"/>
              <wp:cNvGraphicFramePr/>
              <a:graphic xmlns:a="http://schemas.openxmlformats.org/drawingml/2006/main">
                <a:graphicData uri="http://schemas.microsoft.com/office/word/2010/wordprocessingShape">
                  <wps:wsp>
                    <wps:cNvSpPr txBox="1"/>
                    <wps:spPr>
                      <a:xfrm>
                        <a:off x="0" y="0"/>
                        <a:ext cx="2346960" cy="69850"/>
                      </a:xfrm>
                      <a:prstGeom prst="rect">
                        <a:avLst/>
                      </a:prstGeom>
                      <a:noFill/>
                    </wps:spPr>
                    <wps:txbx>
                      <w:txbxContent>
                        <w:p w14:paraId="207628D7" w14:textId="77777777" w:rsidR="00924992" w:rsidRDefault="00924992">
                          <w:pPr>
                            <w:pStyle w:val="Headerorfooter0"/>
                            <w:tabs>
                              <w:tab w:val="right" w:pos="3696"/>
                            </w:tabs>
                          </w:pPr>
                          <w:r>
                            <w:fldChar w:fldCharType="begin"/>
                          </w:r>
                          <w:r>
                            <w:instrText xml:space="preserve"> PAGE \* MERGEFORMAT </w:instrText>
                          </w:r>
                          <w:r>
                            <w:fldChar w:fldCharType="separate"/>
                          </w:r>
                          <w:r>
                            <w:rPr>
                              <w:sz w:val="16"/>
                              <w:szCs w:val="16"/>
                            </w:rPr>
                            <w:t>#</w:t>
                          </w:r>
                          <w:r>
                            <w:rPr>
                              <w:sz w:val="16"/>
                              <w:szCs w:val="16"/>
                            </w:rPr>
                            <w:fldChar w:fldCharType="end"/>
                          </w:r>
                          <w:r>
                            <w:rPr>
                              <w:sz w:val="16"/>
                              <w:szCs w:val="16"/>
                            </w:rPr>
                            <w:tab/>
                          </w:r>
                          <w:r>
                            <w:t>MICOSIS</w:t>
                          </w:r>
                        </w:p>
                      </w:txbxContent>
                    </wps:txbx>
                    <wps:bodyPr lIns="0" tIns="0" rIns="0" bIns="0">
                      <a:spAutoFit/>
                    </wps:bodyPr>
                  </wps:wsp>
                </a:graphicData>
              </a:graphic>
            </wp:anchor>
          </w:drawing>
        </mc:Choice>
        <mc:Fallback>
          <w:pict>
            <v:shapetype w14:anchorId="50B3414A" id="_x0000_t202" coordsize="21600,21600" o:spt="202" path="m,l,21600r21600,l21600,xe">
              <v:stroke joinstyle="miter"/>
              <v:path gradientshapeok="t" o:connecttype="rect"/>
            </v:shapetype>
            <v:shape id="Shape 2073" o:spid="_x0000_s1229" type="#_x0000_t202" style="position:absolute;margin-left:43.35pt;margin-top:24.85pt;width:184.8pt;height:5.5pt;z-index:-25145036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" filled="f" stroked="f">
              <v:textbox style="mso-fit-shape-to-text:t" inset="0,0,0,0">
                <w:txbxContent>
                  <w:p w14:paraId="207628D7" w14:textId="77777777" w:rsidR="00924992" w:rsidRDefault="00924992">
                    <w:pPr>
                      <w:pStyle w:val="Headerorfooter0"/>
                      <w:tabs>
                        <w:tab w:val="right" w:pos="3696"/>
                      </w:tabs>
                    </w:pPr>
                    <w:r>
                      <w:fldChar w:fldCharType="begin"/>
                    </w:r>
                    <w:r>
                      <w:instrText xml:space="preserve"> PAGE \* MERGEFORMAT </w:instrText>
                    </w:r>
                    <w:r>
                      <w:fldChar w:fldCharType="separate"/>
                    </w:r>
                    <w:r>
                      <w:rPr>
                        <w:sz w:val="16"/>
                        <w:szCs w:val="16"/>
                      </w:rPr>
                      <w:t>#</w:t>
                    </w:r>
                    <w:r>
                      <w:rPr>
                        <w:sz w:val="16"/>
                        <w:szCs w:val="16"/>
                      </w:rPr>
                      <w:fldChar w:fldCharType="end"/>
                    </w:r>
                    <w:r>
                      <w:rPr>
                        <w:sz w:val="16"/>
                        <w:szCs w:val="16"/>
                      </w:rPr>
                      <w:tab/>
                    </w:r>
                    <w:r>
                      <w:t>MICOSIS</w:t>
                    </w:r>
                  </w:p>
                </w:txbxContent>
              </v:textbox>
              <w10:wrap anchorx="page" anchory="page"/>
            </v:shape>
          </w:pict>
        </mc:Fallback>
      </mc:AlternateContent>
    </w:r>
    <w:r>
      <w:rPr>
        <w:noProof/>
      </w:rPr>
      <mc:AlternateContent>
        <mc:Choice Requires="wps">
          <w:drawing>
            <wp:anchor distT="0" distB="0" distL="114300" distR="114300" simplePos="0" relativeHeight="251720704" behindDoc="1" locked="0" layoutInCell="1" allowOverlap="1" wp14:anchorId="3701582B" wp14:editId="49A0372C">
              <wp:simplePos x="0" y="0"/>
              <wp:positionH relativeFrom="page">
                <wp:posOffset>535305</wp:posOffset>
              </wp:positionH>
              <wp:positionV relativeFrom="page">
                <wp:posOffset>424180</wp:posOffset>
              </wp:positionV>
              <wp:extent cx="4358640" cy="0"/>
              <wp:effectExtent l="0" t="0" r="0" b="0"/>
              <wp:wrapNone/>
              <wp:docPr id="2075" name="Shape 2075"/>
              <wp:cNvGraphicFramePr/>
              <a:graphic xmlns:a="http://schemas.openxmlformats.org/drawingml/2006/main">
                <a:graphicData uri="http://schemas.microsoft.com/office/word/2010/wordprocessingShape">
                  <wps:wsp>
                    <wps:cNvCnPr/>
                    <wps:spPr>
                      <a:xfrm>
                        <a:off x="0" y="0"/>
                        <a:ext cx="4358640" cy="0"/>
                      </a:xfrm>
                      <a:prstGeom prst="straightConnector1">
                        <a:avLst/>
                      </a:prstGeom>
                      <a:ln w="12700">
                        <a:solidFill/>
                      </a:ln>
                    </wps:spPr>
                    <wps:bodyPr/>
                  </wps:wsp>
                </a:graphicData>
              </a:graphic>
            </wp:anchor>
          </w:drawing>
        </mc:Choice>
        <mc:Fallback>
          <w:pict>
            <v:shapetype w14:anchorId="441731A1" id="_x0000_t32" coordsize="21600,21600" o:spt="32" o:oned="t" path="m,l21600,21600e" filled="f">
              <v:path arrowok="t" fillok="f" o:connecttype="none"/>
              <o:lock v:ext="edit" shapetype="t"/>
            </v:shapetype>
            <v:shape id="Shape 2075" o:spid="_x0000_s1026" type="#_x0000_t32" style="position:absolute;margin-left:42.15pt;margin-top:33.4pt;width:343.2pt;height:0;z-index:-251595776;visibility:visible;mso-wrap-style:square;mso-wrap-distance-left:9pt;mso-wrap-distance-top:0;mso-wrap-distance-right:9pt;mso-wrap-distance-bottom:0;mso-position-horizontal:absolute;mso-position-horizontal-relative:page;mso-position-vertical:absolute;mso-position-vertical-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" strokeweight="1pt">
              <w10:wrap anchorx="page" anchory="page"/>
            </v:shape>
          </w:pict>
        </mc:Fallback>
      </mc:AlternateContent>
    </w:r>
  </w:p>
</w:hdr>
</file>

<file path=word/header6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FAECF7" w14:textId="77777777" w:rsidR="00924992" w:rsidRDefault="00924992">
    <w:pPr>
      <w:spacing w:line="1" w:lineRule="exact"/>
    </w:pPr>
    <w:r>
      <w:rPr>
        <w:noProof/>
      </w:rPr>
      <mc:AlternateContent>
        <mc:Choice Requires="wps">
          <w:drawing>
            <wp:anchor distT="0" distB="0" distL="0" distR="0" simplePos="0" relativeHeight="251868160" behindDoc="1" locked="0" layoutInCell="1" allowOverlap="1" wp14:anchorId="22716CC0" wp14:editId="7465CC73">
              <wp:simplePos x="0" y="0"/>
              <wp:positionH relativeFrom="page">
                <wp:posOffset>1650365</wp:posOffset>
              </wp:positionH>
              <wp:positionV relativeFrom="page">
                <wp:posOffset>306705</wp:posOffset>
              </wp:positionV>
              <wp:extent cx="3368040" cy="79375"/>
              <wp:effectExtent l="0" t="0" r="0" b="0"/>
              <wp:wrapNone/>
              <wp:docPr id="2079" name="Shape 2079"/>
              <wp:cNvGraphicFramePr/>
              <a:graphic xmlns:a="http://schemas.openxmlformats.org/drawingml/2006/main">
                <a:graphicData uri="http://schemas.microsoft.com/office/word/2010/wordprocessingShape">
                  <wps:wsp>
                    <wps:cNvSpPr txBox="1"/>
                    <wps:spPr>
                      <a:xfrm>
                        <a:off x="0" y="0"/>
                        <a:ext cx="3368040" cy="79375"/>
                      </a:xfrm>
                      <a:prstGeom prst="rect">
                        <a:avLst/>
                      </a:prstGeom>
                      <a:noFill/>
                    </wps:spPr>
                    <wps:txbx>
                      <w:txbxContent>
                        <w:p w14:paraId="36A0E16C" w14:textId="77777777" w:rsidR="00924992" w:rsidRDefault="00924992">
                          <w:pPr>
                            <w:pStyle w:val="Headerorfooter0"/>
                            <w:tabs>
                              <w:tab w:val="right" w:pos="5304"/>
                            </w:tabs>
                            <w:rPr>
                              <w:sz w:val="16"/>
                              <w:szCs w:val="16"/>
                            </w:rPr>
                          </w:pPr>
                          <w:r>
                            <w:t>MICOBACTERIAS NO TUBERCULOSAS, ENFERMEDADES</w:t>
                          </w:r>
                          <w:r>
                            <w:tab/>
                          </w:r>
                          <w:r>
                            <w:fldChar w:fldCharType="begin"/>
                          </w:r>
                          <w:r>
                            <w:instrText xml:space="preserve"> PAGE \* MERGEFORMAT </w:instrText>
                          </w:r>
                          <w:r>
                            <w:fldChar w:fldCharType="separate"/>
                          </w:r>
                          <w:r>
                            <w:rPr>
                              <w:sz w:val="16"/>
                              <w:szCs w:val="16"/>
                            </w:rPr>
                            <w:t>#</w:t>
                          </w:r>
                          <w:r>
                            <w:rPr>
                              <w:sz w:val="16"/>
                              <w:szCs w:val="16"/>
                            </w:rPr>
                            <w:fldChar w:fldCharType="end"/>
                          </w:r>
                        </w:p>
                      </w:txbxContent>
                    </wps:txbx>
                    <wps:bodyPr lIns="0" tIns="0" rIns="0" bIns="0">
                      <a:spAutoFit/>
                    </wps:bodyPr>
                  </wps:wsp>
                </a:graphicData>
              </a:graphic>
            </wp:anchor>
          </w:drawing>
        </mc:Choice>
        <mc:Fallback>
          <w:pict>
            <v:shapetype w14:anchorId="22716CC0" id="_x0000_t202" coordsize="21600,21600" o:spt="202" path="m,l,21600r21600,l21600,xe">
              <v:stroke joinstyle="miter"/>
              <v:path gradientshapeok="t" o:connecttype="rect"/>
            </v:shapetype>
            <v:shape id="Shape 2079" o:spid="_x0000_s1230" type="#_x0000_t202" style="position:absolute;margin-left:129.95pt;margin-top:24.15pt;width:265.2pt;height:6.25pt;z-index:-25144832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" filled="f" stroked="f">
              <v:textbox style="mso-fit-shape-to-text:t" inset="0,0,0,0">
                <w:txbxContent>
                  <w:p w14:paraId="36A0E16C" w14:textId="77777777" w:rsidR="00924992" w:rsidRDefault="00924992">
                    <w:pPr>
                      <w:pStyle w:val="Headerorfooter0"/>
                      <w:tabs>
                        <w:tab w:val="right" w:pos="5304"/>
                      </w:tabs>
                      <w:rPr>
                        <w:sz w:val="16"/>
                        <w:szCs w:val="16"/>
                      </w:rPr>
                    </w:pPr>
                    <w:r>
                      <w:t>MICOBACTERIAS NO TUBERCULOSAS, ENFERMEDADES</w:t>
                    </w:r>
                    <w:r>
                      <w:tab/>
                    </w:r>
                    <w:r>
                      <w:fldChar w:fldCharType="begin"/>
                    </w:r>
                    <w:r>
                      <w:instrText xml:space="preserve"> PAGE \* MERGEFORMAT </w:instrText>
                    </w:r>
                    <w:r>
                      <w:fldChar w:fldCharType="separate"/>
                    </w:r>
                    <w:r>
                      <w:rPr>
                        <w:sz w:val="16"/>
                        <w:szCs w:val="16"/>
                      </w:rPr>
                      <w:t>#</w:t>
                    </w:r>
                    <w:r>
                      <w:rPr>
                        <w:sz w:val="16"/>
                        <w:szCs w:val="16"/>
                      </w:rPr>
                      <w:fldChar w:fldCharType="end"/>
                    </w:r>
                  </w:p>
                </w:txbxContent>
              </v:textbox>
              <w10:wrap anchorx="page" anchory="page"/>
            </v:shape>
          </w:pict>
        </mc:Fallback>
      </mc:AlternateContent>
    </w:r>
    <w:r>
      <w:rPr>
        <w:noProof/>
      </w:rPr>
      <mc:AlternateContent>
        <mc:Choice Requires="wps">
          <w:drawing>
            <wp:anchor distT="0" distB="0" distL="114300" distR="114300" simplePos="0" relativeHeight="251722752" behindDoc="1" locked="0" layoutInCell="1" allowOverlap="1" wp14:anchorId="00615BA8" wp14:editId="3205E385">
              <wp:simplePos x="0" y="0"/>
              <wp:positionH relativeFrom="page">
                <wp:posOffset>680720</wp:posOffset>
              </wp:positionH>
              <wp:positionV relativeFrom="page">
                <wp:posOffset>419100</wp:posOffset>
              </wp:positionV>
              <wp:extent cx="4358640" cy="0"/>
              <wp:effectExtent l="0" t="0" r="0" b="0"/>
              <wp:wrapNone/>
              <wp:docPr id="2081" name="Shape 2081"/>
              <wp:cNvGraphicFramePr/>
              <a:graphic xmlns:a="http://schemas.openxmlformats.org/drawingml/2006/main">
                <a:graphicData uri="http://schemas.microsoft.com/office/word/2010/wordprocessingShape">
                  <wps:wsp>
                    <wps:cNvCnPr/>
                    <wps:spPr>
                      <a:xfrm>
                        <a:off x="0" y="0"/>
                        <a:ext cx="4358640" cy="0"/>
                      </a:xfrm>
                      <a:prstGeom prst="straightConnector1">
                        <a:avLst/>
                      </a:prstGeom>
                      <a:ln w="12700">
                        <a:solidFill/>
                      </a:ln>
                    </wps:spPr>
                    <wps:bodyPr/>
                  </wps:wsp>
                </a:graphicData>
              </a:graphic>
            </wp:anchor>
          </w:drawing>
        </mc:Choice>
        <mc:Fallback>
          <w:pict>
            <v:shapetype w14:anchorId="438FF6A3" id="_x0000_t32" coordsize="21600,21600" o:spt="32" o:oned="t" path="m,l21600,21600e" filled="f">
              <v:path arrowok="t" fillok="f" o:connecttype="none"/>
              <o:lock v:ext="edit" shapetype="t"/>
            </v:shapetype>
            <v:shape id="Shape 2081" o:spid="_x0000_s1026" type="#_x0000_t32" style="position:absolute;margin-left:53.6pt;margin-top:33pt;width:343.2pt;height:0;z-index:-251593728;visibility:visible;mso-wrap-style:square;mso-wrap-distance-left:9pt;mso-wrap-distance-top:0;mso-wrap-distance-right:9pt;mso-wrap-distance-bottom:0;mso-position-horizontal:absolute;mso-position-horizontal-relative:page;mso-position-vertical:absolute;mso-position-vertical-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" strokeweight="1pt">
              <w10:wrap anchorx="page" anchory="page"/>
            </v:shape>
          </w:pict>
        </mc:Fallback>
      </mc:AlternateContent>
    </w:r>
  </w:p>
</w:hdr>
</file>

<file path=word/header7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292485" w14:textId="77777777" w:rsidR="00924992" w:rsidRDefault="00924992">
    <w:pPr>
      <w:spacing w:line="1" w:lineRule="exact"/>
    </w:pPr>
    <w:r>
      <w:rPr>
        <w:noProof/>
      </w:rPr>
      <mc:AlternateContent>
        <mc:Choice Requires="wps">
          <w:drawing>
            <wp:anchor distT="0" distB="0" distL="0" distR="0" simplePos="0" relativeHeight="251870208" behindDoc="1" locked="0" layoutInCell="1" allowOverlap="1" wp14:anchorId="26F63498" wp14:editId="4E4C73D3">
              <wp:simplePos x="0" y="0"/>
              <wp:positionH relativeFrom="page">
                <wp:posOffset>2451100</wp:posOffset>
              </wp:positionH>
              <wp:positionV relativeFrom="page">
                <wp:posOffset>315595</wp:posOffset>
              </wp:positionV>
              <wp:extent cx="2414270" cy="69850"/>
              <wp:effectExtent l="0" t="0" r="0" b="0"/>
              <wp:wrapNone/>
              <wp:docPr id="2085" name="Shape 2085"/>
              <wp:cNvGraphicFramePr/>
              <a:graphic xmlns:a="http://schemas.openxmlformats.org/drawingml/2006/main">
                <a:graphicData uri="http://schemas.microsoft.com/office/word/2010/wordprocessingShape">
                  <wps:wsp>
                    <wps:cNvSpPr txBox="1"/>
                    <wps:spPr>
                      <a:xfrm>
                        <a:off x="0" y="0"/>
                        <a:ext cx="2414270" cy="69850"/>
                      </a:xfrm>
                      <a:prstGeom prst="rect">
                        <a:avLst/>
                      </a:prstGeom>
                      <a:noFill/>
                    </wps:spPr>
                    <wps:txbx>
                      <w:txbxContent>
                        <w:p w14:paraId="4AB93718" w14:textId="77777777" w:rsidR="00924992" w:rsidRDefault="00924992">
                          <w:pPr>
                            <w:pStyle w:val="Headerorfooter0"/>
                            <w:tabs>
                              <w:tab w:val="right" w:pos="3802"/>
                            </w:tabs>
                            <w:rPr>
                              <w:sz w:val="16"/>
                              <w:szCs w:val="16"/>
                            </w:rPr>
                          </w:pPr>
                          <w:r>
                            <w:t>TULAREMIA</w:t>
                          </w:r>
                          <w:r>
                            <w:tab/>
                          </w:r>
                          <w:r>
                            <w:rPr>
                              <w:sz w:val="16"/>
                              <w:szCs w:val="16"/>
                            </w:rPr>
                            <w:t>689</w:t>
                          </w:r>
                        </w:p>
                      </w:txbxContent>
                    </wps:txbx>
                    <wps:bodyPr lIns="0" tIns="0" rIns="0" bIns="0">
                      <a:spAutoFit/>
                    </wps:bodyPr>
                  </wps:wsp>
                </a:graphicData>
              </a:graphic>
            </wp:anchor>
          </w:drawing>
        </mc:Choice>
        <mc:Fallback>
          <w:pict>
            <v:shapetype w14:anchorId="26F63498" id="_x0000_t202" coordsize="21600,21600" o:spt="202" path="m,l,21600r21600,l21600,xe">
              <v:stroke joinstyle="miter"/>
              <v:path gradientshapeok="t" o:connecttype="rect"/>
            </v:shapetype>
            <v:shape id="Shape 2085" o:spid="_x0000_s1231" type="#_x0000_t202" style="position:absolute;margin-left:193pt;margin-top:24.85pt;width:190.1pt;height:5.5pt;z-index:-25144627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" filled="f" stroked="f">
              <v:textbox style="mso-fit-shape-to-text:t" inset="0,0,0,0">
                <w:txbxContent>
                  <w:p w14:paraId="4AB93718" w14:textId="77777777" w:rsidR="00924992" w:rsidRDefault="00924992">
                    <w:pPr>
                      <w:pStyle w:val="Headerorfooter0"/>
                      <w:tabs>
                        <w:tab w:val="right" w:pos="3802"/>
                      </w:tabs>
                      <w:rPr>
                        <w:sz w:val="16"/>
                        <w:szCs w:val="16"/>
                      </w:rPr>
                    </w:pPr>
                    <w:r>
                      <w:t>TULAREMIA</w:t>
                    </w:r>
                    <w:r>
                      <w:tab/>
                    </w:r>
                    <w:r>
                      <w:rPr>
                        <w:sz w:val="16"/>
                        <w:szCs w:val="16"/>
                      </w:rPr>
                      <w:t>689</w:t>
                    </w:r>
                  </w:p>
                </w:txbxContent>
              </v:textbox>
              <w10:wrap anchorx="page" anchory="page"/>
            </v:shape>
          </w:pict>
        </mc:Fallback>
      </mc:AlternateContent>
    </w:r>
    <w:r>
      <w:rPr>
        <w:noProof/>
      </w:rPr>
      <mc:AlternateContent>
        <mc:Choice Requires="wps">
          <w:drawing>
            <wp:anchor distT="0" distB="0" distL="114300" distR="114300" simplePos="0" relativeHeight="251724800" behindDoc="1" locked="0" layoutInCell="1" allowOverlap="1" wp14:anchorId="66043FDD" wp14:editId="4C12F5CC">
              <wp:simplePos x="0" y="0"/>
              <wp:positionH relativeFrom="page">
                <wp:posOffset>527685</wp:posOffset>
              </wp:positionH>
              <wp:positionV relativeFrom="page">
                <wp:posOffset>424180</wp:posOffset>
              </wp:positionV>
              <wp:extent cx="4358640" cy="0"/>
              <wp:effectExtent l="0" t="0" r="0" b="0"/>
              <wp:wrapNone/>
              <wp:docPr id="2087" name="Shape 2087"/>
              <wp:cNvGraphicFramePr/>
              <a:graphic xmlns:a="http://schemas.openxmlformats.org/drawingml/2006/main">
                <a:graphicData uri="http://schemas.microsoft.com/office/word/2010/wordprocessingShape">
                  <wps:wsp>
                    <wps:cNvCnPr/>
                    <wps:spPr>
                      <a:xfrm>
                        <a:off x="0" y="0"/>
                        <a:ext cx="4358640" cy="0"/>
                      </a:xfrm>
                      <a:prstGeom prst="straightConnector1">
                        <a:avLst/>
                      </a:prstGeom>
                      <a:ln w="12700">
                        <a:solidFill/>
                      </a:ln>
                    </wps:spPr>
                    <wps:bodyPr/>
                  </wps:wsp>
                </a:graphicData>
              </a:graphic>
            </wp:anchor>
          </w:drawing>
        </mc:Choice>
        <mc:Fallback>
          <w:pict>
            <v:shapetype w14:anchorId="10B88587" id="_x0000_t32" coordsize="21600,21600" o:spt="32" o:oned="t" path="m,l21600,21600e" filled="f">
              <v:path arrowok="t" fillok="f" o:connecttype="none"/>
              <o:lock v:ext="edit" shapetype="t"/>
            </v:shapetype>
            <v:shape id="Shape 2087" o:spid="_x0000_s1026" type="#_x0000_t32" style="position:absolute;margin-left:41.55pt;margin-top:33.4pt;width:343.2pt;height:0;z-index:-251591680;visibility:visible;mso-wrap-style:square;mso-wrap-distance-left:9pt;mso-wrap-distance-top:0;mso-wrap-distance-right:9pt;mso-wrap-distance-bottom:0;mso-position-horizontal:absolute;mso-position-horizontal-relative:page;mso-position-vertical:absolute;mso-position-vertical-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" strokeweight="1pt">
              <w10:wrap anchorx="page" anchory="page"/>
            </v:shape>
          </w:pict>
        </mc:Fallback>
      </mc:AlternateContent>
    </w:r>
  </w:p>
</w:hdr>
</file>

<file path=word/header7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082B23" w14:textId="77777777" w:rsidR="00924992" w:rsidRDefault="00924992">
    <w:pPr>
      <w:spacing w:line="1" w:lineRule="exact"/>
    </w:pPr>
    <w:r>
      <w:rPr>
        <w:noProof/>
      </w:rPr>
      <mc:AlternateContent>
        <mc:Choice Requires="wps">
          <w:drawing>
            <wp:anchor distT="0" distB="0" distL="0" distR="0" simplePos="0" relativeHeight="251869184" behindDoc="1" locked="0" layoutInCell="1" allowOverlap="1" wp14:anchorId="0E6C7E43" wp14:editId="73347A12">
              <wp:simplePos x="0" y="0"/>
              <wp:positionH relativeFrom="page">
                <wp:posOffset>2451100</wp:posOffset>
              </wp:positionH>
              <wp:positionV relativeFrom="page">
                <wp:posOffset>315595</wp:posOffset>
              </wp:positionV>
              <wp:extent cx="2414270" cy="69850"/>
              <wp:effectExtent l="0" t="0" r="0" b="0"/>
              <wp:wrapNone/>
              <wp:docPr id="2082" name="Shape 2082"/>
              <wp:cNvGraphicFramePr/>
              <a:graphic xmlns:a="http://schemas.openxmlformats.org/drawingml/2006/main">
                <a:graphicData uri="http://schemas.microsoft.com/office/word/2010/wordprocessingShape">
                  <wps:wsp>
                    <wps:cNvSpPr txBox="1"/>
                    <wps:spPr>
                      <a:xfrm>
                        <a:off x="0" y="0"/>
                        <a:ext cx="2414270" cy="69850"/>
                      </a:xfrm>
                      <a:prstGeom prst="rect">
                        <a:avLst/>
                      </a:prstGeom>
                      <a:noFill/>
                    </wps:spPr>
                    <wps:txbx>
                      <w:txbxContent>
                        <w:p w14:paraId="5503021E" w14:textId="77777777" w:rsidR="00924992" w:rsidRDefault="00924992">
                          <w:pPr>
                            <w:pStyle w:val="Headerorfooter0"/>
                            <w:tabs>
                              <w:tab w:val="right" w:pos="3802"/>
                            </w:tabs>
                            <w:rPr>
                              <w:sz w:val="16"/>
                              <w:szCs w:val="16"/>
                            </w:rPr>
                          </w:pPr>
                          <w:r>
                            <w:t>TULAREMIA</w:t>
                          </w:r>
                          <w:r>
                            <w:tab/>
                          </w:r>
                          <w:r>
                            <w:rPr>
                              <w:sz w:val="16"/>
                              <w:szCs w:val="16"/>
                            </w:rPr>
                            <w:t>689</w:t>
                          </w:r>
                        </w:p>
                      </w:txbxContent>
                    </wps:txbx>
                    <wps:bodyPr lIns="0" tIns="0" rIns="0" bIns="0">
                      <a:spAutoFit/>
                    </wps:bodyPr>
                  </wps:wsp>
                </a:graphicData>
              </a:graphic>
            </wp:anchor>
          </w:drawing>
        </mc:Choice>
        <mc:Fallback>
          <w:pict>
            <v:shapetype w14:anchorId="0E6C7E43" id="_x0000_t202" coordsize="21600,21600" o:spt="202" path="m,l,21600r21600,l21600,xe">
              <v:stroke joinstyle="miter"/>
              <v:path gradientshapeok="t" o:connecttype="rect"/>
            </v:shapetype>
            <v:shape id="Shape 2082" o:spid="_x0000_s1232" type="#_x0000_t202" style="position:absolute;margin-left:193pt;margin-top:24.85pt;width:190.1pt;height:5.5pt;z-index:-25144729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" filled="f" stroked="f">
              <v:textbox style="mso-fit-shape-to-text:t" inset="0,0,0,0">
                <w:txbxContent>
                  <w:p w14:paraId="5503021E" w14:textId="77777777" w:rsidR="00924992" w:rsidRDefault="00924992">
                    <w:pPr>
                      <w:pStyle w:val="Headerorfooter0"/>
                      <w:tabs>
                        <w:tab w:val="right" w:pos="3802"/>
                      </w:tabs>
                      <w:rPr>
                        <w:sz w:val="16"/>
                        <w:szCs w:val="16"/>
                      </w:rPr>
                    </w:pPr>
                    <w:r>
                      <w:t>TULAREMIA</w:t>
                    </w:r>
                    <w:r>
                      <w:tab/>
                    </w:r>
                    <w:r>
                      <w:rPr>
                        <w:sz w:val="16"/>
                        <w:szCs w:val="16"/>
                      </w:rPr>
                      <w:t>689</w:t>
                    </w:r>
                  </w:p>
                </w:txbxContent>
              </v:textbox>
              <w10:wrap anchorx="page" anchory="page"/>
            </v:shape>
          </w:pict>
        </mc:Fallback>
      </mc:AlternateContent>
    </w:r>
    <w:r>
      <w:rPr>
        <w:noProof/>
      </w:rPr>
      <mc:AlternateContent>
        <mc:Choice Requires="wps">
          <w:drawing>
            <wp:anchor distT="0" distB="0" distL="114300" distR="114300" simplePos="0" relativeHeight="251723776" behindDoc="1" locked="0" layoutInCell="1" allowOverlap="1" wp14:anchorId="3F3C0B69" wp14:editId="7D8E932F">
              <wp:simplePos x="0" y="0"/>
              <wp:positionH relativeFrom="page">
                <wp:posOffset>527685</wp:posOffset>
              </wp:positionH>
              <wp:positionV relativeFrom="page">
                <wp:posOffset>424180</wp:posOffset>
              </wp:positionV>
              <wp:extent cx="4358640" cy="0"/>
              <wp:effectExtent l="0" t="0" r="0" b="0"/>
              <wp:wrapNone/>
              <wp:docPr id="2084" name="Shape 2084"/>
              <wp:cNvGraphicFramePr/>
              <a:graphic xmlns:a="http://schemas.openxmlformats.org/drawingml/2006/main">
                <a:graphicData uri="http://schemas.microsoft.com/office/word/2010/wordprocessingShape">
                  <wps:wsp>
                    <wps:cNvCnPr/>
                    <wps:spPr>
                      <a:xfrm>
                        <a:off x="0" y="0"/>
                        <a:ext cx="4358640" cy="0"/>
                      </a:xfrm>
                      <a:prstGeom prst="straightConnector1">
                        <a:avLst/>
                      </a:prstGeom>
                      <a:ln w="12700">
                        <a:solidFill/>
                      </a:ln>
                    </wps:spPr>
                    <wps:bodyPr/>
                  </wps:wsp>
                </a:graphicData>
              </a:graphic>
            </wp:anchor>
          </w:drawing>
        </mc:Choice>
        <mc:Fallback>
          <w:pict>
            <v:shapetype w14:anchorId="60060ABC" id="_x0000_t32" coordsize="21600,21600" o:spt="32" o:oned="t" path="m,l21600,21600e" filled="f">
              <v:path arrowok="t" fillok="f" o:connecttype="none"/>
              <o:lock v:ext="edit" shapetype="t"/>
            </v:shapetype>
            <v:shape id="Shape 2084" o:spid="_x0000_s1026" type="#_x0000_t32" style="position:absolute;margin-left:41.55pt;margin-top:33.4pt;width:343.2pt;height:0;z-index:-251592704;visibility:visible;mso-wrap-style:square;mso-wrap-distance-left:9pt;mso-wrap-distance-top:0;mso-wrap-distance-right:9pt;mso-wrap-distance-bottom:0;mso-position-horizontal:absolute;mso-position-horizontal-relative:page;mso-position-vertical:absolute;mso-position-vertical-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" strokeweight="1pt">
              <w10:wrap anchorx="page" anchory="page"/>
            </v:shape>
          </w:pict>
        </mc:Fallback>
      </mc:AlternateContent>
    </w:r>
  </w:p>
</w:hdr>
</file>

<file path=word/header7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BF7E47" w14:textId="77777777" w:rsidR="00924992" w:rsidRDefault="00924992">
    <w:pPr>
      <w:spacing w:line="1" w:lineRule="exact"/>
    </w:pPr>
    <w:r>
      <w:rPr>
        <w:noProof/>
      </w:rPr>
      <mc:AlternateContent>
        <mc:Choice Requires="wps">
          <w:drawing>
            <wp:anchor distT="0" distB="0" distL="0" distR="0" simplePos="0" relativeHeight="251871232" behindDoc="1" locked="0" layoutInCell="1" allowOverlap="1" wp14:anchorId="61B15C52" wp14:editId="6C2FA581">
              <wp:simplePos x="0" y="0"/>
              <wp:positionH relativeFrom="page">
                <wp:posOffset>552450</wp:posOffset>
              </wp:positionH>
              <wp:positionV relativeFrom="page">
                <wp:posOffset>315595</wp:posOffset>
              </wp:positionV>
              <wp:extent cx="2416810" cy="69850"/>
              <wp:effectExtent l="0" t="0" r="0" b="0"/>
              <wp:wrapNone/>
              <wp:docPr id="2088" name="Shape 2088"/>
              <wp:cNvGraphicFramePr/>
              <a:graphic xmlns:a="http://schemas.openxmlformats.org/drawingml/2006/main">
                <a:graphicData uri="http://schemas.microsoft.com/office/word/2010/wordprocessingShape">
                  <wps:wsp>
                    <wps:cNvSpPr txBox="1"/>
                    <wps:spPr>
                      <a:xfrm>
                        <a:off x="0" y="0"/>
                        <a:ext cx="2416810" cy="69850"/>
                      </a:xfrm>
                      <a:prstGeom prst="rect">
                        <a:avLst/>
                      </a:prstGeom>
                      <a:noFill/>
                    </wps:spPr>
                    <wps:txbx>
                      <w:txbxContent>
                        <w:p w14:paraId="7B119AAC" w14:textId="77777777" w:rsidR="00924992" w:rsidRDefault="00924992">
                          <w:pPr>
                            <w:pStyle w:val="Headerorfooter0"/>
                            <w:tabs>
                              <w:tab w:val="right" w:pos="3806"/>
                            </w:tabs>
                          </w:pPr>
                          <w:r>
                            <w:rPr>
                              <w:sz w:val="16"/>
                              <w:szCs w:val="16"/>
                            </w:rPr>
                            <w:t>688</w:t>
                          </w:r>
                          <w:r>
                            <w:rPr>
                              <w:sz w:val="16"/>
                              <w:szCs w:val="16"/>
                            </w:rPr>
                            <w:tab/>
                          </w:r>
                          <w:r>
                            <w:t>TULAREMIA</w:t>
                          </w:r>
                        </w:p>
                      </w:txbxContent>
                    </wps:txbx>
                    <wps:bodyPr lIns="0" tIns="0" rIns="0" bIns="0">
                      <a:spAutoFit/>
                    </wps:bodyPr>
                  </wps:wsp>
                </a:graphicData>
              </a:graphic>
            </wp:anchor>
          </w:drawing>
        </mc:Choice>
        <mc:Fallback>
          <w:pict>
            <v:shapetype w14:anchorId="61B15C52" id="_x0000_t202" coordsize="21600,21600" o:spt="202" path="m,l,21600r21600,l21600,xe">
              <v:stroke joinstyle="miter"/>
              <v:path gradientshapeok="t" o:connecttype="rect"/>
            </v:shapetype>
            <v:shape id="Shape 2088" o:spid="_x0000_s1233" type="#_x0000_t202" style="position:absolute;margin-left:43.5pt;margin-top:24.85pt;width:190.3pt;height:5.5pt;z-index:-25144524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" filled="f" stroked="f">
              <v:textbox style="mso-fit-shape-to-text:t" inset="0,0,0,0">
                <w:txbxContent>
                  <w:p w14:paraId="7B119AAC" w14:textId="77777777" w:rsidR="00924992" w:rsidRDefault="00924992">
                    <w:pPr>
                      <w:pStyle w:val="Headerorfooter0"/>
                      <w:tabs>
                        <w:tab w:val="right" w:pos="3806"/>
                      </w:tabs>
                    </w:pPr>
                    <w:r>
                      <w:rPr>
                        <w:sz w:val="16"/>
                        <w:szCs w:val="16"/>
                      </w:rPr>
                      <w:t>688</w:t>
                    </w:r>
                    <w:r>
                      <w:rPr>
                        <w:sz w:val="16"/>
                        <w:szCs w:val="16"/>
                      </w:rPr>
                      <w:tab/>
                    </w:r>
                    <w:r>
                      <w:t>TULAREMIA</w:t>
                    </w:r>
                  </w:p>
                </w:txbxContent>
              </v:textbox>
              <w10:wrap anchorx="page" anchory="page"/>
            </v:shape>
          </w:pict>
        </mc:Fallback>
      </mc:AlternateContent>
    </w:r>
    <w:r>
      <w:rPr>
        <w:noProof/>
      </w:rPr>
      <mc:AlternateContent>
        <mc:Choice Requires="wps">
          <w:drawing>
            <wp:anchor distT="0" distB="0" distL="114300" distR="114300" simplePos="0" relativeHeight="251725824" behindDoc="1" locked="0" layoutInCell="1" allowOverlap="1" wp14:anchorId="7AED3F65" wp14:editId="7AA5F781">
              <wp:simplePos x="0" y="0"/>
              <wp:positionH relativeFrom="page">
                <wp:posOffset>537210</wp:posOffset>
              </wp:positionH>
              <wp:positionV relativeFrom="page">
                <wp:posOffset>424180</wp:posOffset>
              </wp:positionV>
              <wp:extent cx="4358640" cy="0"/>
              <wp:effectExtent l="0" t="0" r="0" b="0"/>
              <wp:wrapNone/>
              <wp:docPr id="2090" name="Shape 2090"/>
              <wp:cNvGraphicFramePr/>
              <a:graphic xmlns:a="http://schemas.openxmlformats.org/drawingml/2006/main">
                <a:graphicData uri="http://schemas.microsoft.com/office/word/2010/wordprocessingShape">
                  <wps:wsp>
                    <wps:cNvCnPr/>
                    <wps:spPr>
                      <a:xfrm>
                        <a:off x="0" y="0"/>
                        <a:ext cx="4358640" cy="0"/>
                      </a:xfrm>
                      <a:prstGeom prst="straightConnector1">
                        <a:avLst/>
                      </a:prstGeom>
                      <a:ln w="12700">
                        <a:solidFill/>
                      </a:ln>
                    </wps:spPr>
                    <wps:bodyPr/>
                  </wps:wsp>
                </a:graphicData>
              </a:graphic>
            </wp:anchor>
          </w:drawing>
        </mc:Choice>
        <mc:Fallback>
          <w:pict>
            <v:shapetype w14:anchorId="5534477A" id="_x0000_t32" coordsize="21600,21600" o:spt="32" o:oned="t" path="m,l21600,21600e" filled="f">
              <v:path arrowok="t" fillok="f" o:connecttype="none"/>
              <o:lock v:ext="edit" shapetype="t"/>
            </v:shapetype>
            <v:shape id="Shape 2090" o:spid="_x0000_s1026" type="#_x0000_t32" style="position:absolute;margin-left:42.3pt;margin-top:33.4pt;width:343.2pt;height:0;z-index:-251590656;visibility:visible;mso-wrap-style:square;mso-wrap-distance-left:9pt;mso-wrap-distance-top:0;mso-wrap-distance-right:9pt;mso-wrap-distance-bottom:0;mso-position-horizontal:absolute;mso-position-horizontal-relative:page;mso-position-vertical:absolute;mso-position-vertical-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" strokeweight="1pt">
              <w10:wrap anchorx="page" anchory="page"/>
            </v:shape>
          </w:pict>
        </mc:Fallback>
      </mc:AlternateContent>
    </w:r>
  </w:p>
</w:hdr>
</file>

<file path=word/header7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5C90D2" w14:textId="77777777" w:rsidR="00924992" w:rsidRDefault="00924992">
    <w:pPr>
      <w:spacing w:line="1" w:lineRule="exact"/>
    </w:pPr>
    <w:r>
      <w:rPr>
        <w:noProof/>
      </w:rPr>
      <mc:AlternateContent>
        <mc:Choice Requires="wps">
          <w:drawing>
            <wp:anchor distT="0" distB="0" distL="0" distR="0" simplePos="0" relativeHeight="251873280" behindDoc="1" locked="0" layoutInCell="1" allowOverlap="1" wp14:anchorId="4C150CC5" wp14:editId="5E97B39D">
              <wp:simplePos x="0" y="0"/>
              <wp:positionH relativeFrom="page">
                <wp:posOffset>546100</wp:posOffset>
              </wp:positionH>
              <wp:positionV relativeFrom="page">
                <wp:posOffset>300355</wp:posOffset>
              </wp:positionV>
              <wp:extent cx="2541905" cy="85090"/>
              <wp:effectExtent l="0" t="0" r="0" b="0"/>
              <wp:wrapNone/>
              <wp:docPr id="2094" name="Shape 2094"/>
              <wp:cNvGraphicFramePr/>
              <a:graphic xmlns:a="http://schemas.openxmlformats.org/drawingml/2006/main">
                <a:graphicData uri="http://schemas.microsoft.com/office/word/2010/wordprocessingShape">
                  <wps:wsp>
                    <wps:cNvSpPr txBox="1"/>
                    <wps:spPr>
                      <a:xfrm>
                        <a:off x="0" y="0"/>
                        <a:ext cx="2541905" cy="85090"/>
                      </a:xfrm>
                      <a:prstGeom prst="rect">
                        <a:avLst/>
                      </a:prstGeom>
                      <a:noFill/>
                    </wps:spPr>
                    <wps:txbx>
                      <w:txbxContent>
                        <w:p w14:paraId="3D369FEE" w14:textId="77777777" w:rsidR="00924992" w:rsidRDefault="00924992">
                          <w:pPr>
                            <w:pStyle w:val="Headerorfooter0"/>
                            <w:tabs>
                              <w:tab w:val="right" w:pos="4003"/>
                            </w:tabs>
                          </w:pPr>
                          <w:r>
                            <w:rPr>
                              <w:sz w:val="16"/>
                              <w:szCs w:val="16"/>
                            </w:rPr>
                            <w:t>632</w:t>
                          </w:r>
                          <w:r>
                            <w:rPr>
                              <w:sz w:val="16"/>
                              <w:szCs w:val="16"/>
                            </w:rPr>
                            <w:tab/>
                          </w:r>
                          <w:r>
                            <w:t>TIFUS ENDÉMICO</w:t>
                          </w:r>
                        </w:p>
                      </w:txbxContent>
                    </wps:txbx>
                    <wps:bodyPr lIns="0" tIns="0" rIns="0" bIns="0">
                      <a:spAutoFit/>
                    </wps:bodyPr>
                  </wps:wsp>
                </a:graphicData>
              </a:graphic>
            </wp:anchor>
          </w:drawing>
        </mc:Choice>
        <mc:Fallback>
          <w:pict>
            <v:shapetype w14:anchorId="4C150CC5" id="_x0000_t202" coordsize="21600,21600" o:spt="202" path="m,l,21600r21600,l21600,xe">
              <v:stroke joinstyle="miter"/>
              <v:path gradientshapeok="t" o:connecttype="rect"/>
            </v:shapetype>
            <v:shape id="Shape 2094" o:spid="_x0000_s1234" type="#_x0000_t202" style="position:absolute;margin-left:43pt;margin-top:23.65pt;width:200.15pt;height:6.7pt;z-index:-25144320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" filled="f" stroked="f">
              <v:textbox style="mso-fit-shape-to-text:t" inset="0,0,0,0">
                <w:txbxContent>
                  <w:p w14:paraId="3D369FEE" w14:textId="77777777" w:rsidR="00924992" w:rsidRDefault="00924992">
                    <w:pPr>
                      <w:pStyle w:val="Headerorfooter0"/>
                      <w:tabs>
                        <w:tab w:val="right" w:pos="4003"/>
                      </w:tabs>
                    </w:pPr>
                    <w:r>
                      <w:rPr>
                        <w:sz w:val="16"/>
                        <w:szCs w:val="16"/>
                      </w:rPr>
                      <w:t>632</w:t>
                    </w:r>
                    <w:r>
                      <w:rPr>
                        <w:sz w:val="16"/>
                        <w:szCs w:val="16"/>
                      </w:rPr>
                      <w:tab/>
                    </w:r>
                    <w:r>
                      <w:t>TIFUS ENDÉMICO</w:t>
                    </w:r>
                  </w:p>
                </w:txbxContent>
              </v:textbox>
              <w10:wrap anchorx="page" anchory="page"/>
            </v:shape>
          </w:pict>
        </mc:Fallback>
      </mc:AlternateContent>
    </w:r>
    <w:r>
      <w:rPr>
        <w:noProof/>
      </w:rPr>
      <mc:AlternateContent>
        <mc:Choice Requires="wps">
          <w:drawing>
            <wp:anchor distT="0" distB="0" distL="114300" distR="114300" simplePos="0" relativeHeight="251727872" behindDoc="1" locked="0" layoutInCell="1" allowOverlap="1" wp14:anchorId="7CD263E6" wp14:editId="2E4F74E7">
              <wp:simplePos x="0" y="0"/>
              <wp:positionH relativeFrom="page">
                <wp:posOffset>530860</wp:posOffset>
              </wp:positionH>
              <wp:positionV relativeFrom="page">
                <wp:posOffset>424180</wp:posOffset>
              </wp:positionV>
              <wp:extent cx="4358640" cy="0"/>
              <wp:effectExtent l="0" t="0" r="0" b="0"/>
              <wp:wrapNone/>
              <wp:docPr id="2096" name="Shape 2096"/>
              <wp:cNvGraphicFramePr/>
              <a:graphic xmlns:a="http://schemas.openxmlformats.org/drawingml/2006/main">
                <a:graphicData uri="http://schemas.microsoft.com/office/word/2010/wordprocessingShape">
                  <wps:wsp>
                    <wps:cNvCnPr/>
                    <wps:spPr>
                      <a:xfrm>
                        <a:off x="0" y="0"/>
                        <a:ext cx="4358640" cy="0"/>
                      </a:xfrm>
                      <a:prstGeom prst="straightConnector1">
                        <a:avLst/>
                      </a:prstGeom>
                      <a:ln w="12700">
                        <a:solidFill/>
                      </a:ln>
                    </wps:spPr>
                    <wps:bodyPr/>
                  </wps:wsp>
                </a:graphicData>
              </a:graphic>
            </wp:anchor>
          </w:drawing>
        </mc:Choice>
        <mc:Fallback>
          <w:pict>
            <v:shapetype w14:anchorId="7E611E57" id="_x0000_t32" coordsize="21600,21600" o:spt="32" o:oned="t" path="m,l21600,21600e" filled="f">
              <v:path arrowok="t" fillok="f" o:connecttype="none"/>
              <o:lock v:ext="edit" shapetype="t"/>
            </v:shapetype>
            <v:shape id="Shape 2096" o:spid="_x0000_s1026" type="#_x0000_t32" style="position:absolute;margin-left:41.8pt;margin-top:33.4pt;width:343.2pt;height:0;z-index:-251588608;visibility:visible;mso-wrap-style:square;mso-wrap-distance-left:9pt;mso-wrap-distance-top:0;mso-wrap-distance-right:9pt;mso-wrap-distance-bottom:0;mso-position-horizontal:absolute;mso-position-horizontal-relative:page;mso-position-vertical:absolute;mso-position-vertical-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" strokeweight="1pt">
              <w10:wrap anchorx="page" anchory="page"/>
            </v:shape>
          </w:pict>
        </mc:Fallback>
      </mc:AlternateContent>
    </w:r>
  </w:p>
</w:hdr>
</file>

<file path=word/header7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1A1B43" w14:textId="77777777" w:rsidR="00924992" w:rsidRDefault="00924992">
    <w:pPr>
      <w:spacing w:line="1" w:lineRule="exact"/>
    </w:pPr>
    <w:r>
      <w:rPr>
        <w:noProof/>
      </w:rPr>
      <mc:AlternateContent>
        <mc:Choice Requires="wps">
          <w:drawing>
            <wp:anchor distT="0" distB="0" distL="0" distR="0" simplePos="0" relativeHeight="251872256" behindDoc="1" locked="0" layoutInCell="1" allowOverlap="1" wp14:anchorId="39448F9F" wp14:editId="1646881A">
              <wp:simplePos x="0" y="0"/>
              <wp:positionH relativeFrom="page">
                <wp:posOffset>546100</wp:posOffset>
              </wp:positionH>
              <wp:positionV relativeFrom="page">
                <wp:posOffset>300355</wp:posOffset>
              </wp:positionV>
              <wp:extent cx="2541905" cy="85090"/>
              <wp:effectExtent l="0" t="0" r="0" b="0"/>
              <wp:wrapNone/>
              <wp:docPr id="2091" name="Shape 2091"/>
              <wp:cNvGraphicFramePr/>
              <a:graphic xmlns:a="http://schemas.openxmlformats.org/drawingml/2006/main">
                <a:graphicData uri="http://schemas.microsoft.com/office/word/2010/wordprocessingShape">
                  <wps:wsp>
                    <wps:cNvSpPr txBox="1"/>
                    <wps:spPr>
                      <a:xfrm>
                        <a:off x="0" y="0"/>
                        <a:ext cx="2541905" cy="85090"/>
                      </a:xfrm>
                      <a:prstGeom prst="rect">
                        <a:avLst/>
                      </a:prstGeom>
                      <a:noFill/>
                    </wps:spPr>
                    <wps:txbx>
                      <w:txbxContent>
                        <w:p w14:paraId="3190BDED" w14:textId="77777777" w:rsidR="00924992" w:rsidRDefault="00924992">
                          <w:pPr>
                            <w:pStyle w:val="Headerorfooter0"/>
                            <w:tabs>
                              <w:tab w:val="right" w:pos="4003"/>
                            </w:tabs>
                          </w:pPr>
                          <w:r>
                            <w:rPr>
                              <w:sz w:val="16"/>
                              <w:szCs w:val="16"/>
                            </w:rPr>
                            <w:t>632</w:t>
                          </w:r>
                          <w:r>
                            <w:rPr>
                              <w:sz w:val="16"/>
                              <w:szCs w:val="16"/>
                            </w:rPr>
                            <w:tab/>
                          </w:r>
                          <w:r>
                            <w:t>TIFUS ENDÉMICO</w:t>
                          </w:r>
                        </w:p>
                      </w:txbxContent>
                    </wps:txbx>
                    <wps:bodyPr lIns="0" tIns="0" rIns="0" bIns="0">
                      <a:spAutoFit/>
                    </wps:bodyPr>
                  </wps:wsp>
                </a:graphicData>
              </a:graphic>
            </wp:anchor>
          </w:drawing>
        </mc:Choice>
        <mc:Fallback>
          <w:pict>
            <v:shapetype w14:anchorId="39448F9F" id="_x0000_t202" coordsize="21600,21600" o:spt="202" path="m,l,21600r21600,l21600,xe">
              <v:stroke joinstyle="miter"/>
              <v:path gradientshapeok="t" o:connecttype="rect"/>
            </v:shapetype>
            <v:shape id="Shape 2091" o:spid="_x0000_s1235" type="#_x0000_t202" style="position:absolute;margin-left:43pt;margin-top:23.65pt;width:200.15pt;height:6.7pt;z-index:-25144422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" filled="f" stroked="f">
              <v:textbox style="mso-fit-shape-to-text:t" inset="0,0,0,0">
                <w:txbxContent>
                  <w:p w14:paraId="3190BDED" w14:textId="77777777" w:rsidR="00924992" w:rsidRDefault="00924992">
                    <w:pPr>
                      <w:pStyle w:val="Headerorfooter0"/>
                      <w:tabs>
                        <w:tab w:val="right" w:pos="4003"/>
                      </w:tabs>
                    </w:pPr>
                    <w:r>
                      <w:rPr>
                        <w:sz w:val="16"/>
                        <w:szCs w:val="16"/>
                      </w:rPr>
                      <w:t>632</w:t>
                    </w:r>
                    <w:r>
                      <w:rPr>
                        <w:sz w:val="16"/>
                        <w:szCs w:val="16"/>
                      </w:rPr>
                      <w:tab/>
                    </w:r>
                    <w:r>
                      <w:t>TIFUS ENDÉMICO</w:t>
                    </w:r>
                  </w:p>
                </w:txbxContent>
              </v:textbox>
              <w10:wrap anchorx="page" anchory="page"/>
            </v:shape>
          </w:pict>
        </mc:Fallback>
      </mc:AlternateContent>
    </w:r>
    <w:r>
      <w:rPr>
        <w:noProof/>
      </w:rPr>
      <mc:AlternateContent>
        <mc:Choice Requires="wps">
          <w:drawing>
            <wp:anchor distT="0" distB="0" distL="114300" distR="114300" simplePos="0" relativeHeight="251726848" behindDoc="1" locked="0" layoutInCell="1" allowOverlap="1" wp14:anchorId="2AE00FE9" wp14:editId="70CF158A">
              <wp:simplePos x="0" y="0"/>
              <wp:positionH relativeFrom="page">
                <wp:posOffset>530860</wp:posOffset>
              </wp:positionH>
              <wp:positionV relativeFrom="page">
                <wp:posOffset>424180</wp:posOffset>
              </wp:positionV>
              <wp:extent cx="4358640" cy="0"/>
              <wp:effectExtent l="0" t="0" r="0" b="0"/>
              <wp:wrapNone/>
              <wp:docPr id="2093" name="Shape 2093"/>
              <wp:cNvGraphicFramePr/>
              <a:graphic xmlns:a="http://schemas.openxmlformats.org/drawingml/2006/main">
                <a:graphicData uri="http://schemas.microsoft.com/office/word/2010/wordprocessingShape">
                  <wps:wsp>
                    <wps:cNvCnPr/>
                    <wps:spPr>
                      <a:xfrm>
                        <a:off x="0" y="0"/>
                        <a:ext cx="4358640" cy="0"/>
                      </a:xfrm>
                      <a:prstGeom prst="straightConnector1">
                        <a:avLst/>
                      </a:prstGeom>
                      <a:ln w="12700">
                        <a:solidFill/>
                      </a:ln>
                    </wps:spPr>
                    <wps:bodyPr/>
                  </wps:wsp>
                </a:graphicData>
              </a:graphic>
            </wp:anchor>
          </w:drawing>
        </mc:Choice>
        <mc:Fallback>
          <w:pict>
            <v:shapetype w14:anchorId="515E64A9" id="_x0000_t32" coordsize="21600,21600" o:spt="32" o:oned="t" path="m,l21600,21600e" filled="f">
              <v:path arrowok="t" fillok="f" o:connecttype="none"/>
              <o:lock v:ext="edit" shapetype="t"/>
            </v:shapetype>
            <v:shape id="Shape 2093" o:spid="_x0000_s1026" type="#_x0000_t32" style="position:absolute;margin-left:41.8pt;margin-top:33.4pt;width:343.2pt;height:0;z-index:-251589632;visibility:visible;mso-wrap-style:square;mso-wrap-distance-left:9pt;mso-wrap-distance-top:0;mso-wrap-distance-right:9pt;mso-wrap-distance-bottom:0;mso-position-horizontal:absolute;mso-position-horizontal-relative:page;mso-position-vertical:absolute;mso-position-vertical-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" strokeweight="1pt">
              <w10:wrap anchorx="page" anchory="page"/>
            </v:shape>
          </w:pict>
        </mc:Fallback>
      </mc:AlternateContent>
    </w:r>
  </w:p>
</w:hdr>
</file>

<file path=word/header7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FBEBF2" w14:textId="77777777" w:rsidR="00924992" w:rsidRDefault="00924992">
    <w:pPr>
      <w:spacing w:line="1" w:lineRule="exact"/>
    </w:pPr>
    <w:r>
      <w:rPr>
        <w:noProof/>
      </w:rPr>
      <mc:AlternateContent>
        <mc:Choice Requires="wps">
          <w:drawing>
            <wp:anchor distT="0" distB="0" distL="0" distR="0" simplePos="0" relativeHeight="251874304" behindDoc="1" locked="0" layoutInCell="1" allowOverlap="1" wp14:anchorId="537A3C4D" wp14:editId="136848D7">
              <wp:simplePos x="0" y="0"/>
              <wp:positionH relativeFrom="page">
                <wp:posOffset>549275</wp:posOffset>
              </wp:positionH>
              <wp:positionV relativeFrom="page">
                <wp:posOffset>306705</wp:posOffset>
              </wp:positionV>
              <wp:extent cx="2956560" cy="85090"/>
              <wp:effectExtent l="0" t="0" r="0" b="0"/>
              <wp:wrapNone/>
              <wp:docPr id="2097" name="Shape 2097"/>
              <wp:cNvGraphicFramePr/>
              <a:graphic xmlns:a="http://schemas.openxmlformats.org/drawingml/2006/main">
                <a:graphicData uri="http://schemas.microsoft.com/office/word/2010/wordprocessingShape">
                  <wps:wsp>
                    <wps:cNvSpPr txBox="1"/>
                    <wps:spPr>
                      <a:xfrm>
                        <a:off x="0" y="0"/>
                        <a:ext cx="2956560" cy="85090"/>
                      </a:xfrm>
                      <a:prstGeom prst="rect">
                        <a:avLst/>
                      </a:prstGeom>
                      <a:noFill/>
                    </wps:spPr>
                    <wps:txbx>
                      <w:txbxContent>
                        <w:p w14:paraId="6EE12358" w14:textId="77777777" w:rsidR="00924992" w:rsidRDefault="00924992">
                          <w:pPr>
                            <w:pStyle w:val="Headerorfooter0"/>
                            <w:tabs>
                              <w:tab w:val="right" w:pos="4656"/>
                            </w:tabs>
                          </w:pPr>
                          <w:r>
                            <w:rPr>
                              <w:sz w:val="16"/>
                              <w:szCs w:val="16"/>
                            </w:rPr>
                            <w:t>690</w:t>
                          </w:r>
                          <w:r>
                            <w:rPr>
                              <w:sz w:val="16"/>
                              <w:szCs w:val="16"/>
                            </w:rPr>
                            <w:tab/>
                          </w:r>
                          <w:r>
                            <w:t>UNCINARIASIS (ANQUILOSTOMIASIS)</w:t>
                          </w:r>
                        </w:p>
                      </w:txbxContent>
                    </wps:txbx>
                    <wps:bodyPr lIns="0" tIns="0" rIns="0" bIns="0">
                      <a:spAutoFit/>
                    </wps:bodyPr>
                  </wps:wsp>
                </a:graphicData>
              </a:graphic>
            </wp:anchor>
          </w:drawing>
        </mc:Choice>
        <mc:Fallback>
          <w:pict>
            <v:shapetype w14:anchorId="537A3C4D" id="_x0000_t202" coordsize="21600,21600" o:spt="202" path="m,l,21600r21600,l21600,xe">
              <v:stroke joinstyle="miter"/>
              <v:path gradientshapeok="t" o:connecttype="rect"/>
            </v:shapetype>
            <v:shape id="Shape 2097" o:spid="_x0000_s1236" type="#_x0000_t202" style="position:absolute;margin-left:43.25pt;margin-top:24.15pt;width:232.8pt;height:6.7pt;z-index:-25144217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" filled="f" stroked="f">
              <v:textbox style="mso-fit-shape-to-text:t" inset="0,0,0,0">
                <w:txbxContent>
                  <w:p w14:paraId="6EE12358" w14:textId="77777777" w:rsidR="00924992" w:rsidRDefault="00924992">
                    <w:pPr>
                      <w:pStyle w:val="Headerorfooter0"/>
                      <w:tabs>
                        <w:tab w:val="right" w:pos="4656"/>
                      </w:tabs>
                    </w:pPr>
                    <w:r>
                      <w:rPr>
                        <w:sz w:val="16"/>
                        <w:szCs w:val="16"/>
                      </w:rPr>
                      <w:t>690</w:t>
                    </w:r>
                    <w:r>
                      <w:rPr>
                        <w:sz w:val="16"/>
                        <w:szCs w:val="16"/>
                      </w:rPr>
                      <w:tab/>
                    </w:r>
                    <w:r>
                      <w:t>UNCINARIASIS (ANQUILOSTOMIASIS)</w:t>
                    </w:r>
                  </w:p>
                </w:txbxContent>
              </v:textbox>
              <w10:wrap anchorx="page" anchory="page"/>
            </v:shape>
          </w:pict>
        </mc:Fallback>
      </mc:AlternateContent>
    </w:r>
    <w:r>
      <w:rPr>
        <w:noProof/>
      </w:rPr>
      <mc:AlternateContent>
        <mc:Choice Requires="wps">
          <w:drawing>
            <wp:anchor distT="0" distB="0" distL="114300" distR="114300" simplePos="0" relativeHeight="251728896" behindDoc="1" locked="0" layoutInCell="1" allowOverlap="1" wp14:anchorId="22BF250B" wp14:editId="19FCCEAC">
              <wp:simplePos x="0" y="0"/>
              <wp:positionH relativeFrom="page">
                <wp:posOffset>534035</wp:posOffset>
              </wp:positionH>
              <wp:positionV relativeFrom="page">
                <wp:posOffset>414655</wp:posOffset>
              </wp:positionV>
              <wp:extent cx="4358640" cy="0"/>
              <wp:effectExtent l="0" t="0" r="0" b="0"/>
              <wp:wrapNone/>
              <wp:docPr id="2099" name="Shape 2099"/>
              <wp:cNvGraphicFramePr/>
              <a:graphic xmlns:a="http://schemas.openxmlformats.org/drawingml/2006/main">
                <a:graphicData uri="http://schemas.microsoft.com/office/word/2010/wordprocessingShape">
                  <wps:wsp>
                    <wps:cNvCnPr/>
                    <wps:spPr>
                      <a:xfrm>
                        <a:off x="0" y="0"/>
                        <a:ext cx="4358640" cy="0"/>
                      </a:xfrm>
                      <a:prstGeom prst="straightConnector1">
                        <a:avLst/>
                      </a:prstGeom>
                      <a:ln w="12700">
                        <a:solidFill/>
                      </a:ln>
                    </wps:spPr>
                    <wps:bodyPr/>
                  </wps:wsp>
                </a:graphicData>
              </a:graphic>
            </wp:anchor>
          </w:drawing>
        </mc:Choice>
        <mc:Fallback>
          <w:pict>
            <v:shapetype w14:anchorId="700279F1" id="_x0000_t32" coordsize="21600,21600" o:spt="32" o:oned="t" path="m,l21600,21600e" filled="f">
              <v:path arrowok="t" fillok="f" o:connecttype="none"/>
              <o:lock v:ext="edit" shapetype="t"/>
            </v:shapetype>
            <v:shape id="Shape 2099" o:spid="_x0000_s1026" type="#_x0000_t32" style="position:absolute;margin-left:42.05pt;margin-top:32.65pt;width:343.2pt;height:0;z-index:-251587584;visibility:visible;mso-wrap-style:square;mso-wrap-distance-left:9pt;mso-wrap-distance-top:0;mso-wrap-distance-right:9pt;mso-wrap-distance-bottom:0;mso-position-horizontal:absolute;mso-position-horizontal-relative:page;mso-position-vertical:absolute;mso-position-vertical-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" strokeweight="1pt">
              <w10:wrap anchorx="page" anchory="page"/>
            </v:shape>
          </w:pict>
        </mc:Fallback>
      </mc:AlternateContent>
    </w:r>
  </w:p>
</w:hdr>
</file>

<file path=word/header7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B6DB36" w14:textId="77777777" w:rsidR="00924992" w:rsidRDefault="00924992">
    <w:pPr>
      <w:spacing w:line="1" w:lineRule="exact"/>
    </w:pPr>
    <w:r>
      <w:rPr>
        <w:noProof/>
      </w:rPr>
      <mc:AlternateContent>
        <mc:Choice Requires="wps">
          <w:drawing>
            <wp:anchor distT="0" distB="0" distL="0" distR="0" simplePos="0" relativeHeight="251876352" behindDoc="1" locked="0" layoutInCell="1" allowOverlap="1" wp14:anchorId="12914E64" wp14:editId="6B7904C1">
              <wp:simplePos x="0" y="0"/>
              <wp:positionH relativeFrom="page">
                <wp:posOffset>2318385</wp:posOffset>
              </wp:positionH>
              <wp:positionV relativeFrom="page">
                <wp:posOffset>300355</wp:posOffset>
              </wp:positionV>
              <wp:extent cx="2551430" cy="85090"/>
              <wp:effectExtent l="0" t="0" r="0" b="0"/>
              <wp:wrapNone/>
              <wp:docPr id="2103" name="Shape 2103"/>
              <wp:cNvGraphicFramePr/>
              <a:graphic xmlns:a="http://schemas.openxmlformats.org/drawingml/2006/main">
                <a:graphicData uri="http://schemas.microsoft.com/office/word/2010/wordprocessingShape">
                  <wps:wsp>
                    <wps:cNvSpPr txBox="1"/>
                    <wps:spPr>
                      <a:xfrm>
                        <a:off x="0" y="0"/>
                        <a:ext cx="2551430" cy="85090"/>
                      </a:xfrm>
                      <a:prstGeom prst="rect">
                        <a:avLst/>
                      </a:prstGeom>
                      <a:noFill/>
                    </wps:spPr>
                    <wps:txbx>
                      <w:txbxContent>
                        <w:p w14:paraId="38FC189D" w14:textId="77777777" w:rsidR="00924992" w:rsidRDefault="00924992">
                          <w:pPr>
                            <w:pStyle w:val="Headerorfooter0"/>
                            <w:tabs>
                              <w:tab w:val="right" w:pos="4018"/>
                            </w:tabs>
                            <w:rPr>
                              <w:sz w:val="16"/>
                              <w:szCs w:val="16"/>
                            </w:rPr>
                          </w:pPr>
                          <w:r>
                            <w:t>TIFUS EPIDÉMICO</w:t>
                          </w:r>
                          <w:r>
                            <w:tab/>
                          </w:r>
                          <w:r>
                            <w:rPr>
                              <w:sz w:val="16"/>
                              <w:szCs w:val="16"/>
                            </w:rPr>
                            <w:t>633</w:t>
                          </w:r>
                        </w:p>
                      </w:txbxContent>
                    </wps:txbx>
                    <wps:bodyPr lIns="0" tIns="0" rIns="0" bIns="0">
                      <a:spAutoFit/>
                    </wps:bodyPr>
                  </wps:wsp>
                </a:graphicData>
              </a:graphic>
            </wp:anchor>
          </w:drawing>
        </mc:Choice>
        <mc:Fallback>
          <w:pict>
            <v:shapetype w14:anchorId="12914E64" id="_x0000_t202" coordsize="21600,21600" o:spt="202" path="m,l,21600r21600,l21600,xe">
              <v:stroke joinstyle="miter"/>
              <v:path gradientshapeok="t" o:connecttype="rect"/>
            </v:shapetype>
            <v:shape id="Shape 2103" o:spid="_x0000_s1237" type="#_x0000_t202" style="position:absolute;margin-left:182.55pt;margin-top:23.65pt;width:200.9pt;height:6.7pt;z-index:-25144012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" filled="f" stroked="f">
              <v:textbox style="mso-fit-shape-to-text:t" inset="0,0,0,0">
                <w:txbxContent>
                  <w:p w14:paraId="38FC189D" w14:textId="77777777" w:rsidR="00924992" w:rsidRDefault="00924992">
                    <w:pPr>
                      <w:pStyle w:val="Headerorfooter0"/>
                      <w:tabs>
                        <w:tab w:val="right" w:pos="4018"/>
                      </w:tabs>
                      <w:rPr>
                        <w:sz w:val="16"/>
                        <w:szCs w:val="16"/>
                      </w:rPr>
                    </w:pPr>
                    <w:r>
                      <w:t>TIFUS EPIDÉMICO</w:t>
                    </w:r>
                    <w:r>
                      <w:tab/>
                    </w:r>
                    <w:r>
                      <w:rPr>
                        <w:sz w:val="16"/>
                        <w:szCs w:val="16"/>
                      </w:rPr>
                      <w:t>633</w:t>
                    </w:r>
                  </w:p>
                </w:txbxContent>
              </v:textbox>
              <w10:wrap anchorx="page" anchory="page"/>
            </v:shape>
          </w:pict>
        </mc:Fallback>
      </mc:AlternateContent>
    </w:r>
    <w:r>
      <w:rPr>
        <w:noProof/>
      </w:rPr>
      <mc:AlternateContent>
        <mc:Choice Requires="wps">
          <w:drawing>
            <wp:anchor distT="0" distB="0" distL="114300" distR="114300" simplePos="0" relativeHeight="251730944" behindDoc="1" locked="0" layoutInCell="1" allowOverlap="1" wp14:anchorId="1CB84352" wp14:editId="63FB6725">
              <wp:simplePos x="0" y="0"/>
              <wp:positionH relativeFrom="page">
                <wp:posOffset>532130</wp:posOffset>
              </wp:positionH>
              <wp:positionV relativeFrom="page">
                <wp:posOffset>424180</wp:posOffset>
              </wp:positionV>
              <wp:extent cx="4358640" cy="0"/>
              <wp:effectExtent l="0" t="0" r="0" b="0"/>
              <wp:wrapNone/>
              <wp:docPr id="2105" name="Shape 2105"/>
              <wp:cNvGraphicFramePr/>
              <a:graphic xmlns:a="http://schemas.openxmlformats.org/drawingml/2006/main">
                <a:graphicData uri="http://schemas.microsoft.com/office/word/2010/wordprocessingShape">
                  <wps:wsp>
                    <wps:cNvCnPr/>
                    <wps:spPr>
                      <a:xfrm>
                        <a:off x="0" y="0"/>
                        <a:ext cx="4358640" cy="0"/>
                      </a:xfrm>
                      <a:prstGeom prst="straightConnector1">
                        <a:avLst/>
                      </a:prstGeom>
                      <a:ln w="12700">
                        <a:solidFill/>
                      </a:ln>
                    </wps:spPr>
                    <wps:bodyPr/>
                  </wps:wsp>
                </a:graphicData>
              </a:graphic>
            </wp:anchor>
          </w:drawing>
        </mc:Choice>
        <mc:Fallback>
          <w:pict>
            <v:shapetype w14:anchorId="60F4EED8" id="_x0000_t32" coordsize="21600,21600" o:spt="32" o:oned="t" path="m,l21600,21600e" filled="f">
              <v:path arrowok="t" fillok="f" o:connecttype="none"/>
              <o:lock v:ext="edit" shapetype="t"/>
            </v:shapetype>
            <v:shape id="Shape 2105" o:spid="_x0000_s1026" type="#_x0000_t32" style="position:absolute;margin-left:41.9pt;margin-top:33.4pt;width:343.2pt;height:0;z-index:-251585536;visibility:visible;mso-wrap-style:square;mso-wrap-distance-left:9pt;mso-wrap-distance-top:0;mso-wrap-distance-right:9pt;mso-wrap-distance-bottom:0;mso-position-horizontal:absolute;mso-position-horizontal-relative:page;mso-position-vertical:absolute;mso-position-vertical-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" strokeweight="1pt">
              <w10:wrap anchorx="page" anchory="page"/>
            </v:shape>
          </w:pict>
        </mc:Fallback>
      </mc:AlternateContent>
    </w:r>
  </w:p>
</w:hdr>
</file>

<file path=word/header7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E9F1EB" w14:textId="77777777" w:rsidR="00924992" w:rsidRDefault="00924992">
    <w:pPr>
      <w:spacing w:line="1" w:lineRule="exact"/>
    </w:pPr>
    <w:r>
      <w:rPr>
        <w:noProof/>
      </w:rPr>
      <mc:AlternateContent>
        <mc:Choice Requires="wps">
          <w:drawing>
            <wp:anchor distT="0" distB="0" distL="0" distR="0" simplePos="0" relativeHeight="251875328" behindDoc="1" locked="0" layoutInCell="1" allowOverlap="1" wp14:anchorId="3EB0E5C9" wp14:editId="236C26B7">
              <wp:simplePos x="0" y="0"/>
              <wp:positionH relativeFrom="page">
                <wp:posOffset>2318385</wp:posOffset>
              </wp:positionH>
              <wp:positionV relativeFrom="page">
                <wp:posOffset>300355</wp:posOffset>
              </wp:positionV>
              <wp:extent cx="2551430" cy="85090"/>
              <wp:effectExtent l="0" t="0" r="0" b="0"/>
              <wp:wrapNone/>
              <wp:docPr id="2100" name="Shape 2100"/>
              <wp:cNvGraphicFramePr/>
              <a:graphic xmlns:a="http://schemas.openxmlformats.org/drawingml/2006/main">
                <a:graphicData uri="http://schemas.microsoft.com/office/word/2010/wordprocessingShape">
                  <wps:wsp>
                    <wps:cNvSpPr txBox="1"/>
                    <wps:spPr>
                      <a:xfrm>
                        <a:off x="0" y="0"/>
                        <a:ext cx="2551430" cy="85090"/>
                      </a:xfrm>
                      <a:prstGeom prst="rect">
                        <a:avLst/>
                      </a:prstGeom>
                      <a:noFill/>
                    </wps:spPr>
                    <wps:txbx>
                      <w:txbxContent>
                        <w:p w14:paraId="1DCE2345" w14:textId="77777777" w:rsidR="00924992" w:rsidRDefault="00924992">
                          <w:pPr>
                            <w:pStyle w:val="Headerorfooter0"/>
                            <w:tabs>
                              <w:tab w:val="right" w:pos="4018"/>
                            </w:tabs>
                            <w:rPr>
                              <w:sz w:val="16"/>
                              <w:szCs w:val="16"/>
                            </w:rPr>
                          </w:pPr>
                          <w:r>
                            <w:t>TIFUS EPIDÉMICO</w:t>
                          </w:r>
                          <w:r>
                            <w:tab/>
                          </w:r>
                          <w:r>
                            <w:rPr>
                              <w:sz w:val="16"/>
                              <w:szCs w:val="16"/>
                            </w:rPr>
                            <w:t>633</w:t>
                          </w:r>
                        </w:p>
                      </w:txbxContent>
                    </wps:txbx>
                    <wps:bodyPr lIns="0" tIns="0" rIns="0" bIns="0">
                      <a:spAutoFit/>
                    </wps:bodyPr>
                  </wps:wsp>
                </a:graphicData>
              </a:graphic>
            </wp:anchor>
          </w:drawing>
        </mc:Choice>
        <mc:Fallback>
          <w:pict>
            <v:shapetype w14:anchorId="3EB0E5C9" id="_x0000_t202" coordsize="21600,21600" o:spt="202" path="m,l,21600r21600,l21600,xe">
              <v:stroke joinstyle="miter"/>
              <v:path gradientshapeok="t" o:connecttype="rect"/>
            </v:shapetype>
            <v:shape id="Shape 2100" o:spid="_x0000_s1238" type="#_x0000_t202" style="position:absolute;margin-left:182.55pt;margin-top:23.65pt;width:200.9pt;height:6.7pt;z-index:-25144115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" filled="f" stroked="f">
              <v:textbox style="mso-fit-shape-to-text:t" inset="0,0,0,0">
                <w:txbxContent>
                  <w:p w14:paraId="1DCE2345" w14:textId="77777777" w:rsidR="00924992" w:rsidRDefault="00924992">
                    <w:pPr>
                      <w:pStyle w:val="Headerorfooter0"/>
                      <w:tabs>
                        <w:tab w:val="right" w:pos="4018"/>
                      </w:tabs>
                      <w:rPr>
                        <w:sz w:val="16"/>
                        <w:szCs w:val="16"/>
                      </w:rPr>
                    </w:pPr>
                    <w:r>
                      <w:t>TIFUS EPIDÉMICO</w:t>
                    </w:r>
                    <w:r>
                      <w:tab/>
                    </w:r>
                    <w:r>
                      <w:rPr>
                        <w:sz w:val="16"/>
                        <w:szCs w:val="16"/>
                      </w:rPr>
                      <w:t>633</w:t>
                    </w:r>
                  </w:p>
                </w:txbxContent>
              </v:textbox>
              <w10:wrap anchorx="page" anchory="page"/>
            </v:shape>
          </w:pict>
        </mc:Fallback>
      </mc:AlternateContent>
    </w:r>
    <w:r>
      <w:rPr>
        <w:noProof/>
      </w:rPr>
      <mc:AlternateContent>
        <mc:Choice Requires="wps">
          <w:drawing>
            <wp:anchor distT="0" distB="0" distL="114300" distR="114300" simplePos="0" relativeHeight="251729920" behindDoc="1" locked="0" layoutInCell="1" allowOverlap="1" wp14:anchorId="0715F407" wp14:editId="703F7733">
              <wp:simplePos x="0" y="0"/>
              <wp:positionH relativeFrom="page">
                <wp:posOffset>532130</wp:posOffset>
              </wp:positionH>
              <wp:positionV relativeFrom="page">
                <wp:posOffset>424180</wp:posOffset>
              </wp:positionV>
              <wp:extent cx="4358640" cy="0"/>
              <wp:effectExtent l="0" t="0" r="0" b="0"/>
              <wp:wrapNone/>
              <wp:docPr id="2102" name="Shape 2102"/>
              <wp:cNvGraphicFramePr/>
              <a:graphic xmlns:a="http://schemas.openxmlformats.org/drawingml/2006/main">
                <a:graphicData uri="http://schemas.microsoft.com/office/word/2010/wordprocessingShape">
                  <wps:wsp>
                    <wps:cNvCnPr/>
                    <wps:spPr>
                      <a:xfrm>
                        <a:off x="0" y="0"/>
                        <a:ext cx="4358640" cy="0"/>
                      </a:xfrm>
                      <a:prstGeom prst="straightConnector1">
                        <a:avLst/>
                      </a:prstGeom>
                      <a:ln w="12700">
                        <a:solidFill/>
                      </a:ln>
                    </wps:spPr>
                    <wps:bodyPr/>
                  </wps:wsp>
                </a:graphicData>
              </a:graphic>
            </wp:anchor>
          </w:drawing>
        </mc:Choice>
        <mc:Fallback>
          <w:pict>
            <v:shapetype w14:anchorId="2F7F4761" id="_x0000_t32" coordsize="21600,21600" o:spt="32" o:oned="t" path="m,l21600,21600e" filled="f">
              <v:path arrowok="t" fillok="f" o:connecttype="none"/>
              <o:lock v:ext="edit" shapetype="t"/>
            </v:shapetype>
            <v:shape id="Shape 2102" o:spid="_x0000_s1026" type="#_x0000_t32" style="position:absolute;margin-left:41.9pt;margin-top:33.4pt;width:343.2pt;height:0;z-index:-251586560;visibility:visible;mso-wrap-style:square;mso-wrap-distance-left:9pt;mso-wrap-distance-top:0;mso-wrap-distance-right:9pt;mso-wrap-distance-bottom:0;mso-position-horizontal:absolute;mso-position-horizontal-relative:page;mso-position-vertical:absolute;mso-position-vertical-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" strokeweight="1pt">
              <w10:wrap anchorx="page" anchory="page"/>
            </v:shape>
          </w:pict>
        </mc:Fallback>
      </mc:AlternateContent>
    </w:r>
  </w:p>
</w:hdr>
</file>

<file path=word/header7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724B98" w14:textId="77777777" w:rsidR="00924992" w:rsidRDefault="00924992">
    <w:pPr>
      <w:spacing w:line="1" w:lineRule="exact"/>
    </w:pPr>
    <w:r>
      <w:rPr>
        <w:noProof/>
      </w:rPr>
      <mc:AlternateContent>
        <mc:Choice Requires="wps">
          <w:drawing>
            <wp:anchor distT="0" distB="0" distL="0" distR="0" simplePos="0" relativeHeight="251878400" behindDoc="1" locked="0" layoutInCell="1" allowOverlap="1" wp14:anchorId="4DCCC461" wp14:editId="4396A9F6">
              <wp:simplePos x="0" y="0"/>
              <wp:positionH relativeFrom="page">
                <wp:posOffset>1757680</wp:posOffset>
              </wp:positionH>
              <wp:positionV relativeFrom="page">
                <wp:posOffset>306705</wp:posOffset>
              </wp:positionV>
              <wp:extent cx="3096895" cy="79375"/>
              <wp:effectExtent l="0" t="0" r="0" b="0"/>
              <wp:wrapNone/>
              <wp:docPr id="2109" name="Shape 2109"/>
              <wp:cNvGraphicFramePr/>
              <a:graphic xmlns:a="http://schemas.openxmlformats.org/drawingml/2006/main">
                <a:graphicData uri="http://schemas.microsoft.com/office/word/2010/wordprocessingShape">
                  <wps:wsp>
                    <wps:cNvSpPr txBox="1"/>
                    <wps:spPr>
                      <a:xfrm>
                        <a:off x="0" y="0"/>
                        <a:ext cx="3096895" cy="79375"/>
                      </a:xfrm>
                      <a:prstGeom prst="rect">
                        <a:avLst/>
                      </a:prstGeom>
                      <a:noFill/>
                    </wps:spPr>
                    <wps:txbx>
                      <w:txbxContent>
                        <w:p w14:paraId="13F448EB" w14:textId="77777777" w:rsidR="00924992" w:rsidRDefault="00924992">
                          <w:pPr>
                            <w:pStyle w:val="Headerorfooter0"/>
                            <w:tabs>
                              <w:tab w:val="right" w:pos="4877"/>
                            </w:tabs>
                            <w:rPr>
                              <w:sz w:val="16"/>
                              <w:szCs w:val="16"/>
                            </w:rPr>
                          </w:pPr>
                          <w:r>
                            <w:t>UREAPLASMA UREALYTICUM, INFECCIONES</w:t>
                          </w:r>
                          <w:r>
                            <w:tab/>
                          </w:r>
                          <w:r>
                            <w:rPr>
                              <w:sz w:val="16"/>
                              <w:szCs w:val="16"/>
                            </w:rPr>
                            <w:t>691</w:t>
                          </w:r>
                        </w:p>
                      </w:txbxContent>
                    </wps:txbx>
                    <wps:bodyPr lIns="0" tIns="0" rIns="0" bIns="0">
                      <a:spAutoFit/>
                    </wps:bodyPr>
                  </wps:wsp>
                </a:graphicData>
              </a:graphic>
            </wp:anchor>
          </w:drawing>
        </mc:Choice>
        <mc:Fallback>
          <w:pict>
            <v:shapetype w14:anchorId="4DCCC461" id="_x0000_t202" coordsize="21600,21600" o:spt="202" path="m,l,21600r21600,l21600,xe">
              <v:stroke joinstyle="miter"/>
              <v:path gradientshapeok="t" o:connecttype="rect"/>
            </v:shapetype>
            <v:shape id="Shape 2109" o:spid="_x0000_s1239" type="#_x0000_t202" style="position:absolute;margin-left:138.4pt;margin-top:24.15pt;width:243.85pt;height:6.25pt;z-index:-25143808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" filled="f" stroked="f">
              <v:textbox style="mso-fit-shape-to-text:t" inset="0,0,0,0">
                <w:txbxContent>
                  <w:p w14:paraId="13F448EB" w14:textId="77777777" w:rsidR="00924992" w:rsidRDefault="00924992">
                    <w:pPr>
                      <w:pStyle w:val="Headerorfooter0"/>
                      <w:tabs>
                        <w:tab w:val="right" w:pos="4877"/>
                      </w:tabs>
                      <w:rPr>
                        <w:sz w:val="16"/>
                        <w:szCs w:val="16"/>
                      </w:rPr>
                    </w:pPr>
                    <w:r>
                      <w:t>UREAPLASMA UREALYTICUM, INFECCIONES</w:t>
                    </w:r>
                    <w:r>
                      <w:tab/>
                    </w:r>
                    <w:r>
                      <w:rPr>
                        <w:sz w:val="16"/>
                        <w:szCs w:val="16"/>
                      </w:rPr>
                      <w:t>691</w:t>
                    </w:r>
                  </w:p>
                </w:txbxContent>
              </v:textbox>
              <w10:wrap anchorx="page" anchory="page"/>
            </v:shape>
          </w:pict>
        </mc:Fallback>
      </mc:AlternateContent>
    </w:r>
    <w:r>
      <w:rPr>
        <w:noProof/>
      </w:rPr>
      <mc:AlternateContent>
        <mc:Choice Requires="wps">
          <w:drawing>
            <wp:anchor distT="0" distB="0" distL="114300" distR="114300" simplePos="0" relativeHeight="251732992" behindDoc="1" locked="0" layoutInCell="1" allowOverlap="1" wp14:anchorId="06030B5A" wp14:editId="3DD72C06">
              <wp:simplePos x="0" y="0"/>
              <wp:positionH relativeFrom="page">
                <wp:posOffset>532130</wp:posOffset>
              </wp:positionH>
              <wp:positionV relativeFrom="page">
                <wp:posOffset>414655</wp:posOffset>
              </wp:positionV>
              <wp:extent cx="4358640" cy="0"/>
              <wp:effectExtent l="0" t="0" r="0" b="0"/>
              <wp:wrapNone/>
              <wp:docPr id="2111" name="Shape 2111"/>
              <wp:cNvGraphicFramePr/>
              <a:graphic xmlns:a="http://schemas.openxmlformats.org/drawingml/2006/main">
                <a:graphicData uri="http://schemas.microsoft.com/office/word/2010/wordprocessingShape">
                  <wps:wsp>
                    <wps:cNvCnPr/>
                    <wps:spPr>
                      <a:xfrm>
                        <a:off x="0" y="0"/>
                        <a:ext cx="4358640" cy="0"/>
                      </a:xfrm>
                      <a:prstGeom prst="straightConnector1">
                        <a:avLst/>
                      </a:prstGeom>
                      <a:ln w="12700">
                        <a:solidFill/>
                      </a:ln>
                    </wps:spPr>
                    <wps:bodyPr/>
                  </wps:wsp>
                </a:graphicData>
              </a:graphic>
            </wp:anchor>
          </w:drawing>
        </mc:Choice>
        <mc:Fallback>
          <w:pict>
            <v:shapetype w14:anchorId="0489B969" id="_x0000_t32" coordsize="21600,21600" o:spt="32" o:oned="t" path="m,l21600,21600e" filled="f">
              <v:path arrowok="t" fillok="f" o:connecttype="none"/>
              <o:lock v:ext="edit" shapetype="t"/>
            </v:shapetype>
            <v:shape id="Shape 2111" o:spid="_x0000_s1026" type="#_x0000_t32" style="position:absolute;margin-left:41.9pt;margin-top:32.65pt;width:343.2pt;height:0;z-index:-251583488;visibility:visible;mso-wrap-style:square;mso-wrap-distance-left:9pt;mso-wrap-distance-top:0;mso-wrap-distance-right:9pt;mso-wrap-distance-bottom:0;mso-position-horizontal:absolute;mso-position-horizontal-relative:page;mso-position-vertical:absolute;mso-position-vertical-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" strokeweight="1pt">
              <w10:wrap anchorx="page" anchory="page"/>
            </v:shape>
          </w:pict>
        </mc:Fallback>
      </mc:AlternateContent>
    </w:r>
  </w:p>
</w:hdr>
</file>

<file path=word/header7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DAE0F9" w14:textId="77777777" w:rsidR="00924992" w:rsidRDefault="00924992">
    <w:pPr>
      <w:spacing w:line="1" w:lineRule="exact"/>
    </w:pPr>
    <w:r>
      <w:rPr>
        <w:noProof/>
      </w:rPr>
      <mc:AlternateContent>
        <mc:Choice Requires="wps">
          <w:drawing>
            <wp:anchor distT="0" distB="0" distL="0" distR="0" simplePos="0" relativeHeight="251877376" behindDoc="1" locked="0" layoutInCell="1" allowOverlap="1" wp14:anchorId="02C0C218" wp14:editId="37E2B303">
              <wp:simplePos x="0" y="0"/>
              <wp:positionH relativeFrom="page">
                <wp:posOffset>1757680</wp:posOffset>
              </wp:positionH>
              <wp:positionV relativeFrom="page">
                <wp:posOffset>306705</wp:posOffset>
              </wp:positionV>
              <wp:extent cx="3096895" cy="79375"/>
              <wp:effectExtent l="0" t="0" r="0" b="0"/>
              <wp:wrapNone/>
              <wp:docPr id="2106" name="Shape 2106"/>
              <wp:cNvGraphicFramePr/>
              <a:graphic xmlns:a="http://schemas.openxmlformats.org/drawingml/2006/main">
                <a:graphicData uri="http://schemas.microsoft.com/office/word/2010/wordprocessingShape">
                  <wps:wsp>
                    <wps:cNvSpPr txBox="1"/>
                    <wps:spPr>
                      <a:xfrm>
                        <a:off x="0" y="0"/>
                        <a:ext cx="3096895" cy="79375"/>
                      </a:xfrm>
                      <a:prstGeom prst="rect">
                        <a:avLst/>
                      </a:prstGeom>
                      <a:noFill/>
                    </wps:spPr>
                    <wps:txbx>
                      <w:txbxContent>
                        <w:p w14:paraId="5551347A" w14:textId="77777777" w:rsidR="00924992" w:rsidRDefault="00924992">
                          <w:pPr>
                            <w:pStyle w:val="Headerorfooter0"/>
                            <w:tabs>
                              <w:tab w:val="right" w:pos="4877"/>
                            </w:tabs>
                            <w:rPr>
                              <w:sz w:val="16"/>
                              <w:szCs w:val="16"/>
                            </w:rPr>
                          </w:pPr>
                          <w:r>
                            <w:t>UREAPLASMA UREALYTICUM, INFECCIONES</w:t>
                          </w:r>
                          <w:r>
                            <w:tab/>
                          </w:r>
                          <w:r>
                            <w:rPr>
                              <w:sz w:val="16"/>
                              <w:szCs w:val="16"/>
                            </w:rPr>
                            <w:t>691</w:t>
                          </w:r>
                        </w:p>
                      </w:txbxContent>
                    </wps:txbx>
                    <wps:bodyPr lIns="0" tIns="0" rIns="0" bIns="0">
                      <a:spAutoFit/>
                    </wps:bodyPr>
                  </wps:wsp>
                </a:graphicData>
              </a:graphic>
            </wp:anchor>
          </w:drawing>
        </mc:Choice>
        <mc:Fallback>
          <w:pict>
            <v:shapetype w14:anchorId="02C0C218" id="_x0000_t202" coordsize="21600,21600" o:spt="202" path="m,l,21600r21600,l21600,xe">
              <v:stroke joinstyle="miter"/>
              <v:path gradientshapeok="t" o:connecttype="rect"/>
            </v:shapetype>
            <v:shape id="Shape 2106" o:spid="_x0000_s1240" type="#_x0000_t202" style="position:absolute;margin-left:138.4pt;margin-top:24.15pt;width:243.85pt;height:6.25pt;z-index:-25143910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" filled="f" stroked="f">
              <v:textbox style="mso-fit-shape-to-text:t" inset="0,0,0,0">
                <w:txbxContent>
                  <w:p w14:paraId="5551347A" w14:textId="77777777" w:rsidR="00924992" w:rsidRDefault="00924992">
                    <w:pPr>
                      <w:pStyle w:val="Headerorfooter0"/>
                      <w:tabs>
                        <w:tab w:val="right" w:pos="4877"/>
                      </w:tabs>
                      <w:rPr>
                        <w:sz w:val="16"/>
                        <w:szCs w:val="16"/>
                      </w:rPr>
                    </w:pPr>
                    <w:r>
                      <w:t>UREAPLASMA UREALYTICUM, INFECCIONES</w:t>
                    </w:r>
                    <w:r>
                      <w:tab/>
                    </w:r>
                    <w:r>
                      <w:rPr>
                        <w:sz w:val="16"/>
                        <w:szCs w:val="16"/>
                      </w:rPr>
                      <w:t>691</w:t>
                    </w:r>
                  </w:p>
                </w:txbxContent>
              </v:textbox>
              <w10:wrap anchorx="page" anchory="page"/>
            </v:shape>
          </w:pict>
        </mc:Fallback>
      </mc:AlternateContent>
    </w:r>
    <w:r>
      <w:rPr>
        <w:noProof/>
      </w:rPr>
      <mc:AlternateContent>
        <mc:Choice Requires="wps">
          <w:drawing>
            <wp:anchor distT="0" distB="0" distL="114300" distR="114300" simplePos="0" relativeHeight="251731968" behindDoc="1" locked="0" layoutInCell="1" allowOverlap="1" wp14:anchorId="0EFA5EF3" wp14:editId="36194720">
              <wp:simplePos x="0" y="0"/>
              <wp:positionH relativeFrom="page">
                <wp:posOffset>532130</wp:posOffset>
              </wp:positionH>
              <wp:positionV relativeFrom="page">
                <wp:posOffset>414655</wp:posOffset>
              </wp:positionV>
              <wp:extent cx="4358640" cy="0"/>
              <wp:effectExtent l="0" t="0" r="0" b="0"/>
              <wp:wrapNone/>
              <wp:docPr id="2108" name="Shape 2108"/>
              <wp:cNvGraphicFramePr/>
              <a:graphic xmlns:a="http://schemas.openxmlformats.org/drawingml/2006/main">
                <a:graphicData uri="http://schemas.microsoft.com/office/word/2010/wordprocessingShape">
                  <wps:wsp>
                    <wps:cNvCnPr/>
                    <wps:spPr>
                      <a:xfrm>
                        <a:off x="0" y="0"/>
                        <a:ext cx="4358640" cy="0"/>
                      </a:xfrm>
                      <a:prstGeom prst="straightConnector1">
                        <a:avLst/>
                      </a:prstGeom>
                      <a:ln w="12700">
                        <a:solidFill/>
                      </a:ln>
                    </wps:spPr>
                    <wps:bodyPr/>
                  </wps:wsp>
                </a:graphicData>
              </a:graphic>
            </wp:anchor>
          </w:drawing>
        </mc:Choice>
        <mc:Fallback>
          <w:pict>
            <v:shapetype w14:anchorId="583E69CE" id="_x0000_t32" coordsize="21600,21600" o:spt="32" o:oned="t" path="m,l21600,21600e" filled="f">
              <v:path arrowok="t" fillok="f" o:connecttype="none"/>
              <o:lock v:ext="edit" shapetype="t"/>
            </v:shapetype>
            <v:shape id="Shape 2108" o:spid="_x0000_s1026" type="#_x0000_t32" style="position:absolute;margin-left:41.9pt;margin-top:32.65pt;width:343.2pt;height:0;z-index:-251584512;visibility:visible;mso-wrap-style:square;mso-wrap-distance-left:9pt;mso-wrap-distance-top:0;mso-wrap-distance-right:9pt;mso-wrap-distance-bottom:0;mso-position-horizontal:absolute;mso-position-horizontal-relative:page;mso-position-vertical:absolute;mso-position-vertical-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" strokeweight="1pt">
              <w10:wrap anchorx="page" anchory="page"/>
            </v:shape>
          </w:pict>
        </mc:Fallback>
      </mc:AlternateContent>
    </w:r>
  </w:p>
</w:hdr>
</file>

<file path=word/header8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29E27F" w14:textId="77777777" w:rsidR="00924992" w:rsidRDefault="00924992">
    <w:pPr>
      <w:spacing w:line="1" w:lineRule="exact"/>
    </w:pPr>
    <w:r>
      <w:rPr>
        <w:noProof/>
      </w:rPr>
      <mc:AlternateContent>
        <mc:Choice Requires="wps">
          <w:drawing>
            <wp:anchor distT="0" distB="0" distL="0" distR="0" simplePos="0" relativeHeight="251879424" behindDoc="1" locked="0" layoutInCell="1" allowOverlap="1" wp14:anchorId="02CA6EF8" wp14:editId="2B0FD97E">
              <wp:simplePos x="0" y="0"/>
              <wp:positionH relativeFrom="page">
                <wp:posOffset>564515</wp:posOffset>
              </wp:positionH>
              <wp:positionV relativeFrom="page">
                <wp:posOffset>300355</wp:posOffset>
              </wp:positionV>
              <wp:extent cx="2553970" cy="85090"/>
              <wp:effectExtent l="0" t="0" r="0" b="0"/>
              <wp:wrapNone/>
              <wp:docPr id="2112" name="Shape 2112"/>
              <wp:cNvGraphicFramePr/>
              <a:graphic xmlns:a="http://schemas.openxmlformats.org/drawingml/2006/main">
                <a:graphicData uri="http://schemas.microsoft.com/office/word/2010/wordprocessingShape">
                  <wps:wsp>
                    <wps:cNvSpPr txBox="1"/>
                    <wps:spPr>
                      <a:xfrm>
                        <a:off x="0" y="0"/>
                        <a:ext cx="2553970" cy="85090"/>
                      </a:xfrm>
                      <a:prstGeom prst="rect">
                        <a:avLst/>
                      </a:prstGeom>
                      <a:noFill/>
                    </wps:spPr>
                    <wps:txbx>
                      <w:txbxContent>
                        <w:p w14:paraId="509144B2" w14:textId="77777777" w:rsidR="00924992" w:rsidRDefault="00924992">
                          <w:pPr>
                            <w:pStyle w:val="Headerorfooter0"/>
                            <w:tabs>
                              <w:tab w:val="right" w:pos="4022"/>
                            </w:tabs>
                          </w:pPr>
                          <w:r>
                            <w:rPr>
                              <w:sz w:val="16"/>
                              <w:szCs w:val="16"/>
                            </w:rPr>
                            <w:t>634</w:t>
                          </w:r>
                          <w:r>
                            <w:rPr>
                              <w:sz w:val="16"/>
                              <w:szCs w:val="16"/>
                            </w:rPr>
                            <w:tab/>
                          </w:r>
                          <w:r>
                            <w:t>TIFUS EPIDÉMICO</w:t>
                          </w:r>
                        </w:p>
                      </w:txbxContent>
                    </wps:txbx>
                    <wps:bodyPr lIns="0" tIns="0" rIns="0" bIns="0">
                      <a:spAutoFit/>
                    </wps:bodyPr>
                  </wps:wsp>
                </a:graphicData>
              </a:graphic>
            </wp:anchor>
          </w:drawing>
        </mc:Choice>
        <mc:Fallback>
          <w:pict>
            <v:shapetype w14:anchorId="02CA6EF8" id="_x0000_t202" coordsize="21600,21600" o:spt="202" path="m,l,21600r21600,l21600,xe">
              <v:stroke joinstyle="miter"/>
              <v:path gradientshapeok="t" o:connecttype="rect"/>
            </v:shapetype>
            <v:shape id="Shape 2112" o:spid="_x0000_s1241" type="#_x0000_t202" style="position:absolute;margin-left:44.45pt;margin-top:23.65pt;width:201.1pt;height:6.7pt;z-index:-25143705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" filled="f" stroked="f">
              <v:textbox style="mso-fit-shape-to-text:t" inset="0,0,0,0">
                <w:txbxContent>
                  <w:p w14:paraId="509144B2" w14:textId="77777777" w:rsidR="00924992" w:rsidRDefault="00924992">
                    <w:pPr>
                      <w:pStyle w:val="Headerorfooter0"/>
                      <w:tabs>
                        <w:tab w:val="right" w:pos="4022"/>
                      </w:tabs>
                    </w:pPr>
                    <w:r>
                      <w:rPr>
                        <w:sz w:val="16"/>
                        <w:szCs w:val="16"/>
                      </w:rPr>
                      <w:t>634</w:t>
                    </w:r>
                    <w:r>
                      <w:rPr>
                        <w:sz w:val="16"/>
                        <w:szCs w:val="16"/>
                      </w:rPr>
                      <w:tab/>
                    </w:r>
                    <w:r>
                      <w:t>TIFUS EPIDÉMICO</w:t>
                    </w:r>
                  </w:p>
                </w:txbxContent>
              </v:textbox>
              <w10:wrap anchorx="page" anchory="page"/>
            </v:shape>
          </w:pict>
        </mc:Fallback>
      </mc:AlternateContent>
    </w:r>
    <w:r>
      <w:rPr>
        <w:noProof/>
      </w:rPr>
      <mc:AlternateContent>
        <mc:Choice Requires="wps">
          <w:drawing>
            <wp:anchor distT="0" distB="0" distL="114300" distR="114300" simplePos="0" relativeHeight="251734016" behindDoc="1" locked="0" layoutInCell="1" allowOverlap="1" wp14:anchorId="1A176F80" wp14:editId="101D38E0">
              <wp:simplePos x="0" y="0"/>
              <wp:positionH relativeFrom="page">
                <wp:posOffset>549275</wp:posOffset>
              </wp:positionH>
              <wp:positionV relativeFrom="page">
                <wp:posOffset>424180</wp:posOffset>
              </wp:positionV>
              <wp:extent cx="4358640" cy="0"/>
              <wp:effectExtent l="0" t="0" r="0" b="0"/>
              <wp:wrapNone/>
              <wp:docPr id="2114" name="Shape 2114"/>
              <wp:cNvGraphicFramePr/>
              <a:graphic xmlns:a="http://schemas.openxmlformats.org/drawingml/2006/main">
                <a:graphicData uri="http://schemas.microsoft.com/office/word/2010/wordprocessingShape">
                  <wps:wsp>
                    <wps:cNvCnPr/>
                    <wps:spPr>
                      <a:xfrm>
                        <a:off x="0" y="0"/>
                        <a:ext cx="4358640" cy="0"/>
                      </a:xfrm>
                      <a:prstGeom prst="straightConnector1">
                        <a:avLst/>
                      </a:prstGeom>
                      <a:ln w="12700">
                        <a:solidFill/>
                      </a:ln>
                    </wps:spPr>
                    <wps:bodyPr/>
                  </wps:wsp>
                </a:graphicData>
              </a:graphic>
            </wp:anchor>
          </w:drawing>
        </mc:Choice>
        <mc:Fallback>
          <w:pict>
            <v:shapetype w14:anchorId="0BF77253" id="_x0000_t32" coordsize="21600,21600" o:spt="32" o:oned="t" path="m,l21600,21600e" filled="f">
              <v:path arrowok="t" fillok="f" o:connecttype="none"/>
              <o:lock v:ext="edit" shapetype="t"/>
            </v:shapetype>
            <v:shape id="Shape 2114" o:spid="_x0000_s1026" type="#_x0000_t32" style="position:absolute;margin-left:43.25pt;margin-top:33.4pt;width:343.2pt;height:0;z-index:-251582464;visibility:visible;mso-wrap-style:square;mso-wrap-distance-left:9pt;mso-wrap-distance-top:0;mso-wrap-distance-right:9pt;mso-wrap-distance-bottom:0;mso-position-horizontal:absolute;mso-position-horizontal-relative:page;mso-position-vertical:absolute;mso-position-vertical-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" strokeweight="1pt">
              <w10:wrap anchorx="page" anchory="page"/>
            </v:shape>
          </w:pict>
        </mc:Fallback>
      </mc:AlternateContent>
    </w:r>
  </w:p>
</w:hdr>
</file>

<file path=word/header8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BEB4FA" w14:textId="77777777" w:rsidR="00924992" w:rsidRDefault="00924992">
    <w:pPr>
      <w:spacing w:line="1" w:lineRule="exact"/>
    </w:pPr>
    <w:r>
      <w:rPr>
        <w:noProof/>
      </w:rPr>
      <mc:AlternateContent>
        <mc:Choice Requires="wps">
          <w:drawing>
            <wp:anchor distT="0" distB="0" distL="0" distR="0" simplePos="0" relativeHeight="251881472" behindDoc="1" locked="0" layoutInCell="1" allowOverlap="1" wp14:anchorId="4C1BA5C4" wp14:editId="5BB3397A">
              <wp:simplePos x="0" y="0"/>
              <wp:positionH relativeFrom="page">
                <wp:posOffset>1814195</wp:posOffset>
              </wp:positionH>
              <wp:positionV relativeFrom="page">
                <wp:posOffset>306705</wp:posOffset>
              </wp:positionV>
              <wp:extent cx="3054350" cy="79375"/>
              <wp:effectExtent l="0" t="0" r="0" b="0"/>
              <wp:wrapNone/>
              <wp:docPr id="2118" name="Shape 2118"/>
              <wp:cNvGraphicFramePr/>
              <a:graphic xmlns:a="http://schemas.openxmlformats.org/drawingml/2006/main">
                <a:graphicData uri="http://schemas.microsoft.com/office/word/2010/wordprocessingShape">
                  <wps:wsp>
                    <wps:cNvSpPr txBox="1"/>
                    <wps:spPr>
                      <a:xfrm>
                        <a:off x="0" y="0"/>
                        <a:ext cx="3054350" cy="79375"/>
                      </a:xfrm>
                      <a:prstGeom prst="rect">
                        <a:avLst/>
                      </a:prstGeom>
                      <a:noFill/>
                    </wps:spPr>
                    <wps:txbx>
                      <w:txbxContent>
                        <w:p w14:paraId="142F1233" w14:textId="77777777" w:rsidR="00924992" w:rsidRDefault="00924992">
                          <w:pPr>
                            <w:pStyle w:val="Headerorfooter0"/>
                            <w:tabs>
                              <w:tab w:val="right" w:pos="4810"/>
                            </w:tabs>
                            <w:rPr>
                              <w:sz w:val="16"/>
                              <w:szCs w:val="16"/>
                            </w:rPr>
                          </w:pPr>
                          <w:r>
                            <w:t>VARICELA-ZOSTER, VIRUS, INFECCIONES</w:t>
                          </w:r>
                          <w:r>
                            <w:tab/>
                          </w:r>
                          <w:r>
                            <w:rPr>
                              <w:sz w:val="16"/>
                              <w:szCs w:val="16"/>
                            </w:rPr>
                            <w:t>693</w:t>
                          </w:r>
                        </w:p>
                      </w:txbxContent>
                    </wps:txbx>
                    <wps:bodyPr lIns="0" tIns="0" rIns="0" bIns="0">
                      <a:spAutoFit/>
                    </wps:bodyPr>
                  </wps:wsp>
                </a:graphicData>
              </a:graphic>
            </wp:anchor>
          </w:drawing>
        </mc:Choice>
        <mc:Fallback>
          <w:pict>
            <v:shapetype w14:anchorId="4C1BA5C4" id="_x0000_t202" coordsize="21600,21600" o:spt="202" path="m,l,21600r21600,l21600,xe">
              <v:stroke joinstyle="miter"/>
              <v:path gradientshapeok="t" o:connecttype="rect"/>
            </v:shapetype>
            <v:shape id="Shape 2118" o:spid="_x0000_s1242" type="#_x0000_t202" style="position:absolute;margin-left:142.85pt;margin-top:24.15pt;width:240.5pt;height:6.25pt;z-index:-25143500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" filled="f" stroked="f">
              <v:textbox style="mso-fit-shape-to-text:t" inset="0,0,0,0">
                <w:txbxContent>
                  <w:p w14:paraId="142F1233" w14:textId="77777777" w:rsidR="00924992" w:rsidRDefault="00924992">
                    <w:pPr>
                      <w:pStyle w:val="Headerorfooter0"/>
                      <w:tabs>
                        <w:tab w:val="right" w:pos="4810"/>
                      </w:tabs>
                      <w:rPr>
                        <w:sz w:val="16"/>
                        <w:szCs w:val="16"/>
                      </w:rPr>
                    </w:pPr>
                    <w:r>
                      <w:t>VARICELA-ZOSTER, VIRUS, INFECCIONES</w:t>
                    </w:r>
                    <w:r>
                      <w:tab/>
                    </w:r>
                    <w:r>
                      <w:rPr>
                        <w:sz w:val="16"/>
                        <w:szCs w:val="16"/>
                      </w:rPr>
                      <w:t>693</w:t>
                    </w:r>
                  </w:p>
                </w:txbxContent>
              </v:textbox>
              <w10:wrap anchorx="page" anchory="page"/>
            </v:shape>
          </w:pict>
        </mc:Fallback>
      </mc:AlternateContent>
    </w:r>
    <w:r>
      <w:rPr>
        <w:noProof/>
      </w:rPr>
      <mc:AlternateContent>
        <mc:Choice Requires="wps">
          <w:drawing>
            <wp:anchor distT="0" distB="0" distL="114300" distR="114300" simplePos="0" relativeHeight="251736064" behindDoc="1" locked="0" layoutInCell="1" allowOverlap="1" wp14:anchorId="05B0DF08" wp14:editId="6D68E3FC">
              <wp:simplePos x="0" y="0"/>
              <wp:positionH relativeFrom="page">
                <wp:posOffset>530860</wp:posOffset>
              </wp:positionH>
              <wp:positionV relativeFrom="page">
                <wp:posOffset>414655</wp:posOffset>
              </wp:positionV>
              <wp:extent cx="4358640" cy="0"/>
              <wp:effectExtent l="0" t="0" r="0" b="0"/>
              <wp:wrapNone/>
              <wp:docPr id="2120" name="Shape 2120"/>
              <wp:cNvGraphicFramePr/>
              <a:graphic xmlns:a="http://schemas.openxmlformats.org/drawingml/2006/main">
                <a:graphicData uri="http://schemas.microsoft.com/office/word/2010/wordprocessingShape">
                  <wps:wsp>
                    <wps:cNvCnPr/>
                    <wps:spPr>
                      <a:xfrm>
                        <a:off x="0" y="0"/>
                        <a:ext cx="4358640" cy="0"/>
                      </a:xfrm>
                      <a:prstGeom prst="straightConnector1">
                        <a:avLst/>
                      </a:prstGeom>
                      <a:ln w="12700">
                        <a:solidFill/>
                      </a:ln>
                    </wps:spPr>
                    <wps:bodyPr/>
                  </wps:wsp>
                </a:graphicData>
              </a:graphic>
            </wp:anchor>
          </w:drawing>
        </mc:Choice>
        <mc:Fallback>
          <w:pict>
            <v:shapetype w14:anchorId="3D7265B6" id="_x0000_t32" coordsize="21600,21600" o:spt="32" o:oned="t" path="m,l21600,21600e" filled="f">
              <v:path arrowok="t" fillok="f" o:connecttype="none"/>
              <o:lock v:ext="edit" shapetype="t"/>
            </v:shapetype>
            <v:shape id="Shape 2120" o:spid="_x0000_s1026" type="#_x0000_t32" style="position:absolute;margin-left:41.8pt;margin-top:32.65pt;width:343.2pt;height:0;z-index:-251580416;visibility:visible;mso-wrap-style:square;mso-wrap-distance-left:9pt;mso-wrap-distance-top:0;mso-wrap-distance-right:9pt;mso-wrap-distance-bottom:0;mso-position-horizontal:absolute;mso-position-horizontal-relative:page;mso-position-vertical:absolute;mso-position-vertical-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" strokeweight="1pt">
              <w10:wrap anchorx="page" anchory="page"/>
            </v:shape>
          </w:pict>
        </mc:Fallback>
      </mc:AlternateContent>
    </w:r>
  </w:p>
</w:hdr>
</file>

<file path=word/header8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711A24" w14:textId="77777777" w:rsidR="00924992" w:rsidRDefault="00924992">
    <w:pPr>
      <w:spacing w:line="1" w:lineRule="exact"/>
    </w:pPr>
    <w:r>
      <w:rPr>
        <w:noProof/>
      </w:rPr>
      <mc:AlternateContent>
        <mc:Choice Requires="wps">
          <w:drawing>
            <wp:anchor distT="0" distB="0" distL="0" distR="0" simplePos="0" relativeHeight="251880448" behindDoc="1" locked="0" layoutInCell="1" allowOverlap="1" wp14:anchorId="6BFF2F95" wp14:editId="37D15CD8">
              <wp:simplePos x="0" y="0"/>
              <wp:positionH relativeFrom="page">
                <wp:posOffset>1814195</wp:posOffset>
              </wp:positionH>
              <wp:positionV relativeFrom="page">
                <wp:posOffset>306705</wp:posOffset>
              </wp:positionV>
              <wp:extent cx="3054350" cy="79375"/>
              <wp:effectExtent l="0" t="0" r="0" b="0"/>
              <wp:wrapNone/>
              <wp:docPr id="2115" name="Shape 2115"/>
              <wp:cNvGraphicFramePr/>
              <a:graphic xmlns:a="http://schemas.openxmlformats.org/drawingml/2006/main">
                <a:graphicData uri="http://schemas.microsoft.com/office/word/2010/wordprocessingShape">
                  <wps:wsp>
                    <wps:cNvSpPr txBox="1"/>
                    <wps:spPr>
                      <a:xfrm>
                        <a:off x="0" y="0"/>
                        <a:ext cx="3054350" cy="79375"/>
                      </a:xfrm>
                      <a:prstGeom prst="rect">
                        <a:avLst/>
                      </a:prstGeom>
                      <a:noFill/>
                    </wps:spPr>
                    <wps:txbx>
                      <w:txbxContent>
                        <w:p w14:paraId="01ED61EE" w14:textId="77777777" w:rsidR="00924992" w:rsidRDefault="00924992">
                          <w:pPr>
                            <w:pStyle w:val="Headerorfooter0"/>
                            <w:tabs>
                              <w:tab w:val="right" w:pos="4810"/>
                            </w:tabs>
                            <w:rPr>
                              <w:sz w:val="16"/>
                              <w:szCs w:val="16"/>
                            </w:rPr>
                          </w:pPr>
                          <w:r>
                            <w:t>VARICELA-ZOSTER, VIRUS, INFECCIONES</w:t>
                          </w:r>
                          <w:r>
                            <w:tab/>
                          </w:r>
                          <w:r>
                            <w:rPr>
                              <w:sz w:val="16"/>
                              <w:szCs w:val="16"/>
                            </w:rPr>
                            <w:t>693</w:t>
                          </w:r>
                        </w:p>
                      </w:txbxContent>
                    </wps:txbx>
                    <wps:bodyPr lIns="0" tIns="0" rIns="0" bIns="0">
                      <a:spAutoFit/>
                    </wps:bodyPr>
                  </wps:wsp>
                </a:graphicData>
              </a:graphic>
            </wp:anchor>
          </w:drawing>
        </mc:Choice>
        <mc:Fallback>
          <w:pict>
            <v:shapetype w14:anchorId="6BFF2F95" id="_x0000_t202" coordsize="21600,21600" o:spt="202" path="m,l,21600r21600,l21600,xe">
              <v:stroke joinstyle="miter"/>
              <v:path gradientshapeok="t" o:connecttype="rect"/>
            </v:shapetype>
            <v:shape id="Shape 2115" o:spid="_x0000_s1243" type="#_x0000_t202" style="position:absolute;margin-left:142.85pt;margin-top:24.15pt;width:240.5pt;height:6.25pt;z-index:-25143603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" filled="f" stroked="f">
              <v:textbox style="mso-fit-shape-to-text:t" inset="0,0,0,0">
                <w:txbxContent>
                  <w:p w14:paraId="01ED61EE" w14:textId="77777777" w:rsidR="00924992" w:rsidRDefault="00924992">
                    <w:pPr>
                      <w:pStyle w:val="Headerorfooter0"/>
                      <w:tabs>
                        <w:tab w:val="right" w:pos="4810"/>
                      </w:tabs>
                      <w:rPr>
                        <w:sz w:val="16"/>
                        <w:szCs w:val="16"/>
                      </w:rPr>
                    </w:pPr>
                    <w:r>
                      <w:t>VARICELA-ZOSTER, VIRUS, INFECCIONES</w:t>
                    </w:r>
                    <w:r>
                      <w:tab/>
                    </w:r>
                    <w:r>
                      <w:rPr>
                        <w:sz w:val="16"/>
                        <w:szCs w:val="16"/>
                      </w:rPr>
                      <w:t>693</w:t>
                    </w:r>
                  </w:p>
                </w:txbxContent>
              </v:textbox>
              <w10:wrap anchorx="page" anchory="page"/>
            </v:shape>
          </w:pict>
        </mc:Fallback>
      </mc:AlternateContent>
    </w:r>
    <w:r>
      <w:rPr>
        <w:noProof/>
      </w:rPr>
      <mc:AlternateContent>
        <mc:Choice Requires="wps">
          <w:drawing>
            <wp:anchor distT="0" distB="0" distL="114300" distR="114300" simplePos="0" relativeHeight="251735040" behindDoc="1" locked="0" layoutInCell="1" allowOverlap="1" wp14:anchorId="75E38BBA" wp14:editId="357466CA">
              <wp:simplePos x="0" y="0"/>
              <wp:positionH relativeFrom="page">
                <wp:posOffset>530860</wp:posOffset>
              </wp:positionH>
              <wp:positionV relativeFrom="page">
                <wp:posOffset>414655</wp:posOffset>
              </wp:positionV>
              <wp:extent cx="4358640" cy="0"/>
              <wp:effectExtent l="0" t="0" r="0" b="0"/>
              <wp:wrapNone/>
              <wp:docPr id="2117" name="Shape 2117"/>
              <wp:cNvGraphicFramePr/>
              <a:graphic xmlns:a="http://schemas.openxmlformats.org/drawingml/2006/main">
                <a:graphicData uri="http://schemas.microsoft.com/office/word/2010/wordprocessingShape">
                  <wps:wsp>
                    <wps:cNvCnPr/>
                    <wps:spPr>
                      <a:xfrm>
                        <a:off x="0" y="0"/>
                        <a:ext cx="4358640" cy="0"/>
                      </a:xfrm>
                      <a:prstGeom prst="straightConnector1">
                        <a:avLst/>
                      </a:prstGeom>
                      <a:ln w="12700">
                        <a:solidFill/>
                      </a:ln>
                    </wps:spPr>
                    <wps:bodyPr/>
                  </wps:wsp>
                </a:graphicData>
              </a:graphic>
            </wp:anchor>
          </w:drawing>
        </mc:Choice>
        <mc:Fallback>
          <w:pict>
            <v:shapetype w14:anchorId="4D623BBB" id="_x0000_t32" coordsize="21600,21600" o:spt="32" o:oned="t" path="m,l21600,21600e" filled="f">
              <v:path arrowok="t" fillok="f" o:connecttype="none"/>
              <o:lock v:ext="edit" shapetype="t"/>
            </v:shapetype>
            <v:shape id="Shape 2117" o:spid="_x0000_s1026" type="#_x0000_t32" style="position:absolute;margin-left:41.8pt;margin-top:32.65pt;width:343.2pt;height:0;z-index:-251581440;visibility:visible;mso-wrap-style:square;mso-wrap-distance-left:9pt;mso-wrap-distance-top:0;mso-wrap-distance-right:9pt;mso-wrap-distance-bottom:0;mso-position-horizontal:absolute;mso-position-horizontal-relative:page;mso-position-vertical:absolute;mso-position-vertical-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" strokeweight="1pt">
              <w10:wrap anchorx="page" anchory="page"/>
            </v:shape>
          </w:pict>
        </mc:Fallback>
      </mc:AlternateContent>
    </w:r>
  </w:p>
</w:hdr>
</file>

<file path=word/header8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2EFC6B" w14:textId="77777777" w:rsidR="00924992" w:rsidRDefault="00924992">
    <w:pPr>
      <w:spacing w:line="1" w:lineRule="exact"/>
    </w:pPr>
    <w:r>
      <w:rPr>
        <w:noProof/>
      </w:rPr>
      <mc:AlternateContent>
        <mc:Choice Requires="wps">
          <w:drawing>
            <wp:anchor distT="0" distB="0" distL="0" distR="0" simplePos="0" relativeHeight="251882496" behindDoc="1" locked="0" layoutInCell="1" allowOverlap="1" wp14:anchorId="4D9835EA" wp14:editId="63592660">
              <wp:simplePos x="0" y="0"/>
              <wp:positionH relativeFrom="page">
                <wp:posOffset>547370</wp:posOffset>
              </wp:positionH>
              <wp:positionV relativeFrom="page">
                <wp:posOffset>306705</wp:posOffset>
              </wp:positionV>
              <wp:extent cx="3117850" cy="79375"/>
              <wp:effectExtent l="0" t="0" r="0" b="0"/>
              <wp:wrapNone/>
              <wp:docPr id="2121" name="Shape 2121"/>
              <wp:cNvGraphicFramePr/>
              <a:graphic xmlns:a="http://schemas.openxmlformats.org/drawingml/2006/main">
                <a:graphicData uri="http://schemas.microsoft.com/office/word/2010/wordprocessingShape">
                  <wps:wsp>
                    <wps:cNvSpPr txBox="1"/>
                    <wps:spPr>
                      <a:xfrm>
                        <a:off x="0" y="0"/>
                        <a:ext cx="3117850" cy="79375"/>
                      </a:xfrm>
                      <a:prstGeom prst="rect">
                        <a:avLst/>
                      </a:prstGeom>
                      <a:noFill/>
                    </wps:spPr>
                    <wps:txbx>
                      <w:txbxContent>
                        <w:p w14:paraId="4CBCB8CB" w14:textId="77777777" w:rsidR="00924992" w:rsidRDefault="00924992">
                          <w:pPr>
                            <w:pStyle w:val="Headerorfooter0"/>
                            <w:tabs>
                              <w:tab w:val="right" w:pos="4910"/>
                            </w:tabs>
                          </w:pPr>
                          <w:r>
                            <w:rPr>
                              <w:sz w:val="16"/>
                              <w:szCs w:val="16"/>
                            </w:rPr>
                            <w:t>692</w:t>
                          </w:r>
                          <w:r>
                            <w:rPr>
                              <w:sz w:val="16"/>
                              <w:szCs w:val="16"/>
                            </w:rPr>
                            <w:tab/>
                          </w:r>
                          <w:r>
                            <w:t>UREAPLASMA UREALYTICUM, INFECCIONES</w:t>
                          </w:r>
                        </w:p>
                      </w:txbxContent>
                    </wps:txbx>
                    <wps:bodyPr lIns="0" tIns="0" rIns="0" bIns="0">
                      <a:spAutoFit/>
                    </wps:bodyPr>
                  </wps:wsp>
                </a:graphicData>
              </a:graphic>
            </wp:anchor>
          </w:drawing>
        </mc:Choice>
        <mc:Fallback>
          <w:pict>
            <v:shapetype w14:anchorId="4D9835EA" id="_x0000_t202" coordsize="21600,21600" o:spt="202" path="m,l,21600r21600,l21600,xe">
              <v:stroke joinstyle="miter"/>
              <v:path gradientshapeok="t" o:connecttype="rect"/>
            </v:shapetype>
            <v:shape id="Shape 2121" o:spid="_x0000_s1244" type="#_x0000_t202" style="position:absolute;margin-left:43.1pt;margin-top:24.15pt;width:245.5pt;height:6.25pt;z-index:-25143398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" filled="f" stroked="f">
              <v:textbox style="mso-fit-shape-to-text:t" inset="0,0,0,0">
                <w:txbxContent>
                  <w:p w14:paraId="4CBCB8CB" w14:textId="77777777" w:rsidR="00924992" w:rsidRDefault="00924992">
                    <w:pPr>
                      <w:pStyle w:val="Headerorfooter0"/>
                      <w:tabs>
                        <w:tab w:val="right" w:pos="4910"/>
                      </w:tabs>
                    </w:pPr>
                    <w:r>
                      <w:rPr>
                        <w:sz w:val="16"/>
                        <w:szCs w:val="16"/>
                      </w:rPr>
                      <w:t>692</w:t>
                    </w:r>
                    <w:r>
                      <w:rPr>
                        <w:sz w:val="16"/>
                        <w:szCs w:val="16"/>
                      </w:rPr>
                      <w:tab/>
                    </w:r>
                    <w:r>
                      <w:t>UREAPLASMA UREALYTICUM, INFECCIONES</w:t>
                    </w:r>
                  </w:p>
                </w:txbxContent>
              </v:textbox>
              <w10:wrap anchorx="page" anchory="page"/>
            </v:shape>
          </w:pict>
        </mc:Fallback>
      </mc:AlternateContent>
    </w:r>
    <w:r>
      <w:rPr>
        <w:noProof/>
      </w:rPr>
      <mc:AlternateContent>
        <mc:Choice Requires="wps">
          <w:drawing>
            <wp:anchor distT="0" distB="0" distL="114300" distR="114300" simplePos="0" relativeHeight="251737088" behindDoc="1" locked="0" layoutInCell="1" allowOverlap="1" wp14:anchorId="6E221EF1" wp14:editId="2E09FD3C">
              <wp:simplePos x="0" y="0"/>
              <wp:positionH relativeFrom="page">
                <wp:posOffset>532130</wp:posOffset>
              </wp:positionH>
              <wp:positionV relativeFrom="page">
                <wp:posOffset>414655</wp:posOffset>
              </wp:positionV>
              <wp:extent cx="4358640" cy="0"/>
              <wp:effectExtent l="0" t="0" r="0" b="0"/>
              <wp:wrapNone/>
              <wp:docPr id="2123" name="Shape 2123"/>
              <wp:cNvGraphicFramePr/>
              <a:graphic xmlns:a="http://schemas.openxmlformats.org/drawingml/2006/main">
                <a:graphicData uri="http://schemas.microsoft.com/office/word/2010/wordprocessingShape">
                  <wps:wsp>
                    <wps:cNvCnPr/>
                    <wps:spPr>
                      <a:xfrm>
                        <a:off x="0" y="0"/>
                        <a:ext cx="4358640" cy="0"/>
                      </a:xfrm>
                      <a:prstGeom prst="straightConnector1">
                        <a:avLst/>
                      </a:prstGeom>
                      <a:ln w="12700">
                        <a:solidFill/>
                      </a:ln>
                    </wps:spPr>
                    <wps:bodyPr/>
                  </wps:wsp>
                </a:graphicData>
              </a:graphic>
            </wp:anchor>
          </w:drawing>
        </mc:Choice>
        <mc:Fallback>
          <w:pict>
            <v:shapetype w14:anchorId="64C98F58" id="_x0000_t32" coordsize="21600,21600" o:spt="32" o:oned="t" path="m,l21600,21600e" filled="f">
              <v:path arrowok="t" fillok="f" o:connecttype="none"/>
              <o:lock v:ext="edit" shapetype="t"/>
            </v:shapetype>
            <v:shape id="Shape 2123" o:spid="_x0000_s1026" type="#_x0000_t32" style="position:absolute;margin-left:41.9pt;margin-top:32.65pt;width:343.2pt;height:0;z-index:-251579392;visibility:visible;mso-wrap-style:square;mso-wrap-distance-left:9pt;mso-wrap-distance-top:0;mso-wrap-distance-right:9pt;mso-wrap-distance-bottom:0;mso-position-horizontal:absolute;mso-position-horizontal-relative:page;mso-position-vertical:absolute;mso-position-vertical-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" strokeweight="1pt">
              <w10:wrap anchorx="page" anchory="page"/>
            </v:shape>
          </w:pict>
        </mc:Fallback>
      </mc:AlternateContent>
    </w:r>
  </w:p>
</w:hdr>
</file>

<file path=word/header8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0AFCF9" w14:textId="77777777" w:rsidR="00924992" w:rsidRDefault="00924992">
    <w:pPr>
      <w:spacing w:line="1" w:lineRule="exact"/>
    </w:pPr>
    <w:r>
      <w:rPr>
        <w:noProof/>
      </w:rPr>
      <mc:AlternateContent>
        <mc:Choice Requires="wps">
          <w:drawing>
            <wp:anchor distT="0" distB="0" distL="0" distR="0" simplePos="0" relativeHeight="251884544" behindDoc="1" locked="0" layoutInCell="1" allowOverlap="1" wp14:anchorId="5044C009" wp14:editId="7887FFEB">
              <wp:simplePos x="0" y="0"/>
              <wp:positionH relativeFrom="page">
                <wp:posOffset>584200</wp:posOffset>
              </wp:positionH>
              <wp:positionV relativeFrom="page">
                <wp:posOffset>306705</wp:posOffset>
              </wp:positionV>
              <wp:extent cx="3056890" cy="79375"/>
              <wp:effectExtent l="0" t="0" r="0" b="0"/>
              <wp:wrapNone/>
              <wp:docPr id="2127" name="Shape 2127"/>
              <wp:cNvGraphicFramePr/>
              <a:graphic xmlns:a="http://schemas.openxmlformats.org/drawingml/2006/main">
                <a:graphicData uri="http://schemas.microsoft.com/office/word/2010/wordprocessingShape">
                  <wps:wsp>
                    <wps:cNvSpPr txBox="1"/>
                    <wps:spPr>
                      <a:xfrm>
                        <a:off x="0" y="0"/>
                        <a:ext cx="3056890" cy="79375"/>
                      </a:xfrm>
                      <a:prstGeom prst="rect">
                        <a:avLst/>
                      </a:prstGeom>
                      <a:noFill/>
                    </wps:spPr>
                    <wps:txbx>
                      <w:txbxContent>
                        <w:p w14:paraId="415CE1D1" w14:textId="77777777" w:rsidR="00924992" w:rsidRDefault="00924992">
                          <w:pPr>
                            <w:pStyle w:val="Headerorfooter0"/>
                            <w:tabs>
                              <w:tab w:val="right" w:pos="4814"/>
                            </w:tabs>
                          </w:pPr>
                          <w:r>
                            <w:fldChar w:fldCharType="begin"/>
                          </w:r>
                          <w:r>
                            <w:instrText xml:space="preserve"> PAGE \* MERGEFORMAT </w:instrText>
                          </w:r>
                          <w:r>
                            <w:fldChar w:fldCharType="separate"/>
                          </w:r>
                          <w:r>
                            <w:rPr>
                              <w:sz w:val="16"/>
                              <w:szCs w:val="16"/>
                            </w:rPr>
                            <w:t>#</w:t>
                          </w:r>
                          <w:r>
                            <w:rPr>
                              <w:sz w:val="16"/>
                              <w:szCs w:val="16"/>
                            </w:rPr>
                            <w:fldChar w:fldCharType="end"/>
                          </w:r>
                          <w:r>
                            <w:rPr>
                              <w:sz w:val="16"/>
                              <w:szCs w:val="16"/>
                            </w:rPr>
                            <w:tab/>
                          </w:r>
                          <w:r>
                            <w:t>VARICELA-ZOSTER, VIRUS, INFECCIONES</w:t>
                          </w:r>
                        </w:p>
                      </w:txbxContent>
                    </wps:txbx>
                    <wps:bodyPr lIns="0" tIns="0" rIns="0" bIns="0">
                      <a:spAutoFit/>
                    </wps:bodyPr>
                  </wps:wsp>
                </a:graphicData>
              </a:graphic>
            </wp:anchor>
          </w:drawing>
        </mc:Choice>
        <mc:Fallback>
          <w:pict>
            <v:shapetype w14:anchorId="5044C009" id="_x0000_t202" coordsize="21600,21600" o:spt="202" path="m,l,21600r21600,l21600,xe">
              <v:stroke joinstyle="miter"/>
              <v:path gradientshapeok="t" o:connecttype="rect"/>
            </v:shapetype>
            <v:shape id="Shape 2127" o:spid="_x0000_s1245" type="#_x0000_t202" style="position:absolute;margin-left:46pt;margin-top:24.15pt;width:240.7pt;height:6.25pt;z-index:-25143193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" filled="f" stroked="f">
              <v:textbox style="mso-fit-shape-to-text:t" inset="0,0,0,0">
                <w:txbxContent>
                  <w:p w14:paraId="415CE1D1" w14:textId="77777777" w:rsidR="00924992" w:rsidRDefault="00924992">
                    <w:pPr>
                      <w:pStyle w:val="Headerorfooter0"/>
                      <w:tabs>
                        <w:tab w:val="right" w:pos="4814"/>
                      </w:tabs>
                    </w:pPr>
                    <w:r>
                      <w:fldChar w:fldCharType="begin"/>
                    </w:r>
                    <w:r>
                      <w:instrText xml:space="preserve"> PAGE \* MERGEFORMAT </w:instrText>
                    </w:r>
                    <w:r>
                      <w:fldChar w:fldCharType="separate"/>
                    </w:r>
                    <w:r>
                      <w:rPr>
                        <w:sz w:val="16"/>
                        <w:szCs w:val="16"/>
                      </w:rPr>
                      <w:t>#</w:t>
                    </w:r>
                    <w:r>
                      <w:rPr>
                        <w:sz w:val="16"/>
                        <w:szCs w:val="16"/>
                      </w:rPr>
                      <w:fldChar w:fldCharType="end"/>
                    </w:r>
                    <w:r>
                      <w:rPr>
                        <w:sz w:val="16"/>
                        <w:szCs w:val="16"/>
                      </w:rPr>
                      <w:tab/>
                    </w:r>
                    <w:r>
                      <w:t>VARICELA-ZOSTER, VIRUS, INFECCIONES</w:t>
                    </w:r>
                  </w:p>
                </w:txbxContent>
              </v:textbox>
              <w10:wrap anchorx="page" anchory="page"/>
            </v:shape>
          </w:pict>
        </mc:Fallback>
      </mc:AlternateContent>
    </w:r>
    <w:r>
      <w:rPr>
        <w:noProof/>
      </w:rPr>
      <mc:AlternateContent>
        <mc:Choice Requires="wps">
          <w:drawing>
            <wp:anchor distT="0" distB="0" distL="114300" distR="114300" simplePos="0" relativeHeight="251739136" behindDoc="1" locked="0" layoutInCell="1" allowOverlap="1" wp14:anchorId="1471D4BB" wp14:editId="6DFAD53C">
              <wp:simplePos x="0" y="0"/>
              <wp:positionH relativeFrom="page">
                <wp:posOffset>568960</wp:posOffset>
              </wp:positionH>
              <wp:positionV relativeFrom="page">
                <wp:posOffset>414655</wp:posOffset>
              </wp:positionV>
              <wp:extent cx="4358640" cy="0"/>
              <wp:effectExtent l="0" t="0" r="0" b="0"/>
              <wp:wrapNone/>
              <wp:docPr id="2129" name="Shape 2129"/>
              <wp:cNvGraphicFramePr/>
              <a:graphic xmlns:a="http://schemas.openxmlformats.org/drawingml/2006/main">
                <a:graphicData uri="http://schemas.microsoft.com/office/word/2010/wordprocessingShape">
                  <wps:wsp>
                    <wps:cNvCnPr/>
                    <wps:spPr>
                      <a:xfrm>
                        <a:off x="0" y="0"/>
                        <a:ext cx="4358640" cy="0"/>
                      </a:xfrm>
                      <a:prstGeom prst="straightConnector1">
                        <a:avLst/>
                      </a:prstGeom>
                      <a:ln w="12700">
                        <a:solidFill/>
                      </a:ln>
                    </wps:spPr>
                    <wps:bodyPr/>
                  </wps:wsp>
                </a:graphicData>
              </a:graphic>
            </wp:anchor>
          </w:drawing>
        </mc:Choice>
        <mc:Fallback>
          <w:pict>
            <v:shapetype w14:anchorId="0AEC3ED0" id="_x0000_t32" coordsize="21600,21600" o:spt="32" o:oned="t" path="m,l21600,21600e" filled="f">
              <v:path arrowok="t" fillok="f" o:connecttype="none"/>
              <o:lock v:ext="edit" shapetype="t"/>
            </v:shapetype>
            <v:shape id="Shape 2129" o:spid="_x0000_s1026" type="#_x0000_t32" style="position:absolute;margin-left:44.8pt;margin-top:32.65pt;width:343.2pt;height:0;z-index:-251577344;visibility:visible;mso-wrap-style:square;mso-wrap-distance-left:9pt;mso-wrap-distance-top:0;mso-wrap-distance-right:9pt;mso-wrap-distance-bottom:0;mso-position-horizontal:absolute;mso-position-horizontal-relative:page;mso-position-vertical:absolute;mso-position-vertical-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" strokeweight="1pt">
              <w10:wrap anchorx="page" anchory="page"/>
            </v:shape>
          </w:pict>
        </mc:Fallback>
      </mc:AlternateContent>
    </w:r>
  </w:p>
</w:hdr>
</file>

<file path=word/header8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33BF0D" w14:textId="77777777" w:rsidR="00924992" w:rsidRDefault="00924992">
    <w:pPr>
      <w:spacing w:line="1" w:lineRule="exact"/>
    </w:pPr>
    <w:r>
      <w:rPr>
        <w:noProof/>
      </w:rPr>
      <mc:AlternateContent>
        <mc:Choice Requires="wps">
          <w:drawing>
            <wp:anchor distT="0" distB="0" distL="0" distR="0" simplePos="0" relativeHeight="251883520" behindDoc="1" locked="0" layoutInCell="1" allowOverlap="1" wp14:anchorId="4AD34DB1" wp14:editId="2758528C">
              <wp:simplePos x="0" y="0"/>
              <wp:positionH relativeFrom="page">
                <wp:posOffset>1814195</wp:posOffset>
              </wp:positionH>
              <wp:positionV relativeFrom="page">
                <wp:posOffset>306705</wp:posOffset>
              </wp:positionV>
              <wp:extent cx="3054350" cy="79375"/>
              <wp:effectExtent l="0" t="0" r="0" b="0"/>
              <wp:wrapNone/>
              <wp:docPr id="2124" name="Shape 2124"/>
              <wp:cNvGraphicFramePr/>
              <a:graphic xmlns:a="http://schemas.openxmlformats.org/drawingml/2006/main">
                <a:graphicData uri="http://schemas.microsoft.com/office/word/2010/wordprocessingShape">
                  <wps:wsp>
                    <wps:cNvSpPr txBox="1"/>
                    <wps:spPr>
                      <a:xfrm>
                        <a:off x="0" y="0"/>
                        <a:ext cx="3054350" cy="79375"/>
                      </a:xfrm>
                      <a:prstGeom prst="rect">
                        <a:avLst/>
                      </a:prstGeom>
                      <a:noFill/>
                    </wps:spPr>
                    <wps:txbx>
                      <w:txbxContent>
                        <w:p w14:paraId="4C64F015" w14:textId="77777777" w:rsidR="00924992" w:rsidRDefault="00924992">
                          <w:pPr>
                            <w:pStyle w:val="Headerorfooter0"/>
                            <w:tabs>
                              <w:tab w:val="right" w:pos="4810"/>
                            </w:tabs>
                            <w:rPr>
                              <w:sz w:val="16"/>
                              <w:szCs w:val="16"/>
                            </w:rPr>
                          </w:pPr>
                          <w:r>
                            <w:t>VARICELA-ZOSTER, VIRUS, INFECCIONES</w:t>
                          </w:r>
                          <w:r>
                            <w:tab/>
                          </w:r>
                          <w:r>
                            <w:rPr>
                              <w:sz w:val="16"/>
                              <w:szCs w:val="16"/>
                            </w:rPr>
                            <w:t>693</w:t>
                          </w:r>
                        </w:p>
                      </w:txbxContent>
                    </wps:txbx>
                    <wps:bodyPr lIns="0" tIns="0" rIns="0" bIns="0">
                      <a:spAutoFit/>
                    </wps:bodyPr>
                  </wps:wsp>
                </a:graphicData>
              </a:graphic>
            </wp:anchor>
          </w:drawing>
        </mc:Choice>
        <mc:Fallback>
          <w:pict>
            <v:shapetype w14:anchorId="4AD34DB1" id="_x0000_t202" coordsize="21600,21600" o:spt="202" path="m,l,21600r21600,l21600,xe">
              <v:stroke joinstyle="miter"/>
              <v:path gradientshapeok="t" o:connecttype="rect"/>
            </v:shapetype>
            <v:shape id="Shape 2124" o:spid="_x0000_s1246" type="#_x0000_t202" style="position:absolute;margin-left:142.85pt;margin-top:24.15pt;width:240.5pt;height:6.25pt;z-index:-25143296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" filled="f" stroked="f">
              <v:textbox style="mso-fit-shape-to-text:t" inset="0,0,0,0">
                <w:txbxContent>
                  <w:p w14:paraId="4C64F015" w14:textId="77777777" w:rsidR="00924992" w:rsidRDefault="00924992">
                    <w:pPr>
                      <w:pStyle w:val="Headerorfooter0"/>
                      <w:tabs>
                        <w:tab w:val="right" w:pos="4810"/>
                      </w:tabs>
                      <w:rPr>
                        <w:sz w:val="16"/>
                        <w:szCs w:val="16"/>
                      </w:rPr>
                    </w:pPr>
                    <w:r>
                      <w:t>VARICELA-ZOSTER, VIRUS, INFECCIONES</w:t>
                    </w:r>
                    <w:r>
                      <w:tab/>
                    </w:r>
                    <w:r>
                      <w:rPr>
                        <w:sz w:val="16"/>
                        <w:szCs w:val="16"/>
                      </w:rPr>
                      <w:t>693</w:t>
                    </w:r>
                  </w:p>
                </w:txbxContent>
              </v:textbox>
              <w10:wrap anchorx="page" anchory="page"/>
            </v:shape>
          </w:pict>
        </mc:Fallback>
      </mc:AlternateContent>
    </w:r>
    <w:r>
      <w:rPr>
        <w:noProof/>
      </w:rPr>
      <mc:AlternateContent>
        <mc:Choice Requires="wps">
          <w:drawing>
            <wp:anchor distT="0" distB="0" distL="114300" distR="114300" simplePos="0" relativeHeight="251738112" behindDoc="1" locked="0" layoutInCell="1" allowOverlap="1" wp14:anchorId="02639722" wp14:editId="41A9B7C3">
              <wp:simplePos x="0" y="0"/>
              <wp:positionH relativeFrom="page">
                <wp:posOffset>530860</wp:posOffset>
              </wp:positionH>
              <wp:positionV relativeFrom="page">
                <wp:posOffset>414655</wp:posOffset>
              </wp:positionV>
              <wp:extent cx="4358640" cy="0"/>
              <wp:effectExtent l="0" t="0" r="0" b="0"/>
              <wp:wrapNone/>
              <wp:docPr id="2126" name="Shape 2126"/>
              <wp:cNvGraphicFramePr/>
              <a:graphic xmlns:a="http://schemas.openxmlformats.org/drawingml/2006/main">
                <a:graphicData uri="http://schemas.microsoft.com/office/word/2010/wordprocessingShape">
                  <wps:wsp>
                    <wps:cNvCnPr/>
                    <wps:spPr>
                      <a:xfrm>
                        <a:off x="0" y="0"/>
                        <a:ext cx="4358640" cy="0"/>
                      </a:xfrm>
                      <a:prstGeom prst="straightConnector1">
                        <a:avLst/>
                      </a:prstGeom>
                      <a:ln w="12700">
                        <a:solidFill/>
                      </a:ln>
                    </wps:spPr>
                    <wps:bodyPr/>
                  </wps:wsp>
                </a:graphicData>
              </a:graphic>
            </wp:anchor>
          </w:drawing>
        </mc:Choice>
        <mc:Fallback>
          <w:pict>
            <v:shapetype w14:anchorId="7B63EF96" id="_x0000_t32" coordsize="21600,21600" o:spt="32" o:oned="t" path="m,l21600,21600e" filled="f">
              <v:path arrowok="t" fillok="f" o:connecttype="none"/>
              <o:lock v:ext="edit" shapetype="t"/>
            </v:shapetype>
            <v:shape id="Shape 2126" o:spid="_x0000_s1026" type="#_x0000_t32" style="position:absolute;margin-left:41.8pt;margin-top:32.65pt;width:343.2pt;height:0;z-index:-251578368;visibility:visible;mso-wrap-style:square;mso-wrap-distance-left:9pt;mso-wrap-distance-top:0;mso-wrap-distance-right:9pt;mso-wrap-distance-bottom:0;mso-position-horizontal:absolute;mso-position-horizontal-relative:page;mso-position-vertical:absolute;mso-position-vertical-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" strokeweight="1pt">
              <w10:wrap anchorx="page" anchory="page"/>
            </v:shape>
          </w:pict>
        </mc:Fallback>
      </mc:AlternateContent>
    </w:r>
  </w:p>
</w:hdr>
</file>

<file path=word/header8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111DCA" w14:textId="77777777" w:rsidR="00924992" w:rsidRDefault="00924992"/>
</w:hdr>
</file>

<file path=word/header8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1E9C4F" w14:textId="77777777" w:rsidR="00924992" w:rsidRDefault="00924992"/>
</w:hdr>
</file>

<file path=word/header8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07C8A1" w14:textId="77777777" w:rsidR="00924992" w:rsidRDefault="00924992">
    <w:pPr>
      <w:spacing w:line="1" w:lineRule="exact"/>
    </w:pPr>
    <w:r>
      <w:rPr>
        <w:noProof/>
      </w:rPr>
      <mc:AlternateContent>
        <mc:Choice Requires="wps">
          <w:drawing>
            <wp:anchor distT="0" distB="0" distL="0" distR="0" simplePos="0" relativeHeight="251886592" behindDoc="1" locked="0" layoutInCell="1" allowOverlap="1" wp14:anchorId="26FB8777" wp14:editId="1A889F9F">
              <wp:simplePos x="0" y="0"/>
              <wp:positionH relativeFrom="page">
                <wp:posOffset>584200</wp:posOffset>
              </wp:positionH>
              <wp:positionV relativeFrom="page">
                <wp:posOffset>306705</wp:posOffset>
              </wp:positionV>
              <wp:extent cx="3056890" cy="79375"/>
              <wp:effectExtent l="0" t="0" r="0" b="0"/>
              <wp:wrapNone/>
              <wp:docPr id="2135" name="Shape 2135"/>
              <wp:cNvGraphicFramePr/>
              <a:graphic xmlns:a="http://schemas.openxmlformats.org/drawingml/2006/main">
                <a:graphicData uri="http://schemas.microsoft.com/office/word/2010/wordprocessingShape">
                  <wps:wsp>
                    <wps:cNvSpPr txBox="1"/>
                    <wps:spPr>
                      <a:xfrm>
                        <a:off x="0" y="0"/>
                        <a:ext cx="3056890" cy="79375"/>
                      </a:xfrm>
                      <a:prstGeom prst="rect">
                        <a:avLst/>
                      </a:prstGeom>
                      <a:noFill/>
                    </wps:spPr>
                    <wps:txbx>
                      <w:txbxContent>
                        <w:p w14:paraId="5E673537" w14:textId="77777777" w:rsidR="00924992" w:rsidRDefault="00924992">
                          <w:pPr>
                            <w:pStyle w:val="Headerorfooter0"/>
                            <w:tabs>
                              <w:tab w:val="right" w:pos="4814"/>
                            </w:tabs>
                          </w:pPr>
                          <w:r>
                            <w:fldChar w:fldCharType="begin"/>
                          </w:r>
                          <w:r>
                            <w:instrText xml:space="preserve"> PAGE \* MERGEFORMAT </w:instrText>
                          </w:r>
                          <w:r>
                            <w:fldChar w:fldCharType="separate"/>
                          </w:r>
                          <w:r>
                            <w:rPr>
                              <w:sz w:val="16"/>
                              <w:szCs w:val="16"/>
                            </w:rPr>
                            <w:t>#</w:t>
                          </w:r>
                          <w:r>
                            <w:rPr>
                              <w:sz w:val="16"/>
                              <w:szCs w:val="16"/>
                            </w:rPr>
                            <w:fldChar w:fldCharType="end"/>
                          </w:r>
                          <w:r>
                            <w:rPr>
                              <w:sz w:val="16"/>
                              <w:szCs w:val="16"/>
                            </w:rPr>
                            <w:tab/>
                          </w:r>
                          <w:r>
                            <w:t>VARICELA-ZOSTER, VIRUS, INFECCIONES</w:t>
                          </w:r>
                        </w:p>
                      </w:txbxContent>
                    </wps:txbx>
                    <wps:bodyPr lIns="0" tIns="0" rIns="0" bIns="0">
                      <a:spAutoFit/>
                    </wps:bodyPr>
                  </wps:wsp>
                </a:graphicData>
              </a:graphic>
            </wp:anchor>
          </w:drawing>
        </mc:Choice>
        <mc:Fallback>
          <w:pict>
            <v:shapetype w14:anchorId="26FB8777" id="_x0000_t202" coordsize="21600,21600" o:spt="202" path="m,l,21600r21600,l21600,xe">
              <v:stroke joinstyle="miter"/>
              <v:path gradientshapeok="t" o:connecttype="rect"/>
            </v:shapetype>
            <v:shape id="Shape 2135" o:spid="_x0000_s1247" type="#_x0000_t202" style="position:absolute;margin-left:46pt;margin-top:24.15pt;width:240.7pt;height:6.25pt;z-index:-25142988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" filled="f" stroked="f">
              <v:textbox style="mso-fit-shape-to-text:t" inset="0,0,0,0">
                <w:txbxContent>
                  <w:p w14:paraId="5E673537" w14:textId="77777777" w:rsidR="00924992" w:rsidRDefault="00924992">
                    <w:pPr>
                      <w:pStyle w:val="Headerorfooter0"/>
                      <w:tabs>
                        <w:tab w:val="right" w:pos="4814"/>
                      </w:tabs>
                    </w:pPr>
                    <w:r>
                      <w:fldChar w:fldCharType="begin"/>
                    </w:r>
                    <w:r>
                      <w:instrText xml:space="preserve"> PAGE \* MERGEFORMAT </w:instrText>
                    </w:r>
                    <w:r>
                      <w:fldChar w:fldCharType="separate"/>
                    </w:r>
                    <w:r>
                      <w:rPr>
                        <w:sz w:val="16"/>
                        <w:szCs w:val="16"/>
                      </w:rPr>
                      <w:t>#</w:t>
                    </w:r>
                    <w:r>
                      <w:rPr>
                        <w:sz w:val="16"/>
                        <w:szCs w:val="16"/>
                      </w:rPr>
                      <w:fldChar w:fldCharType="end"/>
                    </w:r>
                    <w:r>
                      <w:rPr>
                        <w:sz w:val="16"/>
                        <w:szCs w:val="16"/>
                      </w:rPr>
                      <w:tab/>
                    </w:r>
                    <w:r>
                      <w:t>VARICELA-ZOSTER, VIRUS, INFECCIONES</w:t>
                    </w:r>
                  </w:p>
                </w:txbxContent>
              </v:textbox>
              <w10:wrap anchorx="page" anchory="page"/>
            </v:shape>
          </w:pict>
        </mc:Fallback>
      </mc:AlternateContent>
    </w:r>
    <w:r>
      <w:rPr>
        <w:noProof/>
      </w:rPr>
      <mc:AlternateContent>
        <mc:Choice Requires="wps">
          <w:drawing>
            <wp:anchor distT="0" distB="0" distL="114300" distR="114300" simplePos="0" relativeHeight="251741184" behindDoc="1" locked="0" layoutInCell="1" allowOverlap="1" wp14:anchorId="066063DE" wp14:editId="3AE3EB9A">
              <wp:simplePos x="0" y="0"/>
              <wp:positionH relativeFrom="page">
                <wp:posOffset>568960</wp:posOffset>
              </wp:positionH>
              <wp:positionV relativeFrom="page">
                <wp:posOffset>414655</wp:posOffset>
              </wp:positionV>
              <wp:extent cx="4358640" cy="0"/>
              <wp:effectExtent l="0" t="0" r="0" b="0"/>
              <wp:wrapNone/>
              <wp:docPr id="2137" name="Shape 2137"/>
              <wp:cNvGraphicFramePr/>
              <a:graphic xmlns:a="http://schemas.openxmlformats.org/drawingml/2006/main">
                <a:graphicData uri="http://schemas.microsoft.com/office/word/2010/wordprocessingShape">
                  <wps:wsp>
                    <wps:cNvCnPr/>
                    <wps:spPr>
                      <a:xfrm>
                        <a:off x="0" y="0"/>
                        <a:ext cx="4358640" cy="0"/>
                      </a:xfrm>
                      <a:prstGeom prst="straightConnector1">
                        <a:avLst/>
                      </a:prstGeom>
                      <a:ln w="12700">
                        <a:solidFill/>
                      </a:ln>
                    </wps:spPr>
                    <wps:bodyPr/>
                  </wps:wsp>
                </a:graphicData>
              </a:graphic>
            </wp:anchor>
          </w:drawing>
        </mc:Choice>
        <mc:Fallback>
          <w:pict>
            <v:shapetype w14:anchorId="2DE69ED5" id="_x0000_t32" coordsize="21600,21600" o:spt="32" o:oned="t" path="m,l21600,21600e" filled="f">
              <v:path arrowok="t" fillok="f" o:connecttype="none"/>
              <o:lock v:ext="edit" shapetype="t"/>
            </v:shapetype>
            <v:shape id="Shape 2137" o:spid="_x0000_s1026" type="#_x0000_t32" style="position:absolute;margin-left:44.8pt;margin-top:32.65pt;width:343.2pt;height:0;z-index:-251575296;visibility:visible;mso-wrap-style:square;mso-wrap-distance-left:9pt;mso-wrap-distance-top:0;mso-wrap-distance-right:9pt;mso-wrap-distance-bottom:0;mso-position-horizontal:absolute;mso-position-horizontal-relative:page;mso-position-vertical:absolute;mso-position-vertical-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" strokeweight="1pt">
              <w10:wrap anchorx="page" anchory="page"/>
            </v:shape>
          </w:pict>
        </mc:Fallback>
      </mc:AlternateContent>
    </w:r>
  </w:p>
</w:hdr>
</file>

<file path=word/header8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873E30" w14:textId="77777777" w:rsidR="00924992" w:rsidRDefault="00924992">
    <w:pPr>
      <w:spacing w:line="1" w:lineRule="exact"/>
    </w:pPr>
    <w:r>
      <w:rPr>
        <w:noProof/>
      </w:rPr>
      <mc:AlternateContent>
        <mc:Choice Requires="wps">
          <w:drawing>
            <wp:anchor distT="0" distB="0" distL="0" distR="0" simplePos="0" relativeHeight="251885568" behindDoc="1" locked="0" layoutInCell="1" allowOverlap="1" wp14:anchorId="54D25660" wp14:editId="24487C24">
              <wp:simplePos x="0" y="0"/>
              <wp:positionH relativeFrom="page">
                <wp:posOffset>1814195</wp:posOffset>
              </wp:positionH>
              <wp:positionV relativeFrom="page">
                <wp:posOffset>306705</wp:posOffset>
              </wp:positionV>
              <wp:extent cx="3054350" cy="79375"/>
              <wp:effectExtent l="0" t="0" r="0" b="0"/>
              <wp:wrapNone/>
              <wp:docPr id="2132" name="Shape 2132"/>
              <wp:cNvGraphicFramePr/>
              <a:graphic xmlns:a="http://schemas.openxmlformats.org/drawingml/2006/main">
                <a:graphicData uri="http://schemas.microsoft.com/office/word/2010/wordprocessingShape">
                  <wps:wsp>
                    <wps:cNvSpPr txBox="1"/>
                    <wps:spPr>
                      <a:xfrm>
                        <a:off x="0" y="0"/>
                        <a:ext cx="3054350" cy="79375"/>
                      </a:xfrm>
                      <a:prstGeom prst="rect">
                        <a:avLst/>
                      </a:prstGeom>
                      <a:noFill/>
                    </wps:spPr>
                    <wps:txbx>
                      <w:txbxContent>
                        <w:p w14:paraId="71A82818" w14:textId="77777777" w:rsidR="00924992" w:rsidRDefault="00924992">
                          <w:pPr>
                            <w:pStyle w:val="Headerorfooter0"/>
                            <w:tabs>
                              <w:tab w:val="right" w:pos="4810"/>
                            </w:tabs>
                            <w:rPr>
                              <w:sz w:val="16"/>
                              <w:szCs w:val="16"/>
                            </w:rPr>
                          </w:pPr>
                          <w:r>
                            <w:t>VARICELA-ZOSTER, VIRUS, INFECCIONES</w:t>
                          </w:r>
                          <w:r>
                            <w:tab/>
                          </w:r>
                          <w:r>
                            <w:rPr>
                              <w:sz w:val="16"/>
                              <w:szCs w:val="16"/>
                            </w:rPr>
                            <w:t>693</w:t>
                          </w:r>
                        </w:p>
                      </w:txbxContent>
                    </wps:txbx>
                    <wps:bodyPr lIns="0" tIns="0" rIns="0" bIns="0">
                      <a:spAutoFit/>
                    </wps:bodyPr>
                  </wps:wsp>
                </a:graphicData>
              </a:graphic>
            </wp:anchor>
          </w:drawing>
        </mc:Choice>
        <mc:Fallback>
          <w:pict>
            <v:shapetype w14:anchorId="54D25660" id="_x0000_t202" coordsize="21600,21600" o:spt="202" path="m,l,21600r21600,l21600,xe">
              <v:stroke joinstyle="miter"/>
              <v:path gradientshapeok="t" o:connecttype="rect"/>
            </v:shapetype>
            <v:shape id="Shape 2132" o:spid="_x0000_s1248" type="#_x0000_t202" style="position:absolute;margin-left:142.85pt;margin-top:24.15pt;width:240.5pt;height:6.25pt;z-index:-25143091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" filled="f" stroked="f">
              <v:textbox style="mso-fit-shape-to-text:t" inset="0,0,0,0">
                <w:txbxContent>
                  <w:p w14:paraId="71A82818" w14:textId="77777777" w:rsidR="00924992" w:rsidRDefault="00924992">
                    <w:pPr>
                      <w:pStyle w:val="Headerorfooter0"/>
                      <w:tabs>
                        <w:tab w:val="right" w:pos="4810"/>
                      </w:tabs>
                      <w:rPr>
                        <w:sz w:val="16"/>
                        <w:szCs w:val="16"/>
                      </w:rPr>
                    </w:pPr>
                    <w:r>
                      <w:t>VARICELA-ZOSTER, VIRUS, INFECCIONES</w:t>
                    </w:r>
                    <w:r>
                      <w:tab/>
                    </w:r>
                    <w:r>
                      <w:rPr>
                        <w:sz w:val="16"/>
                        <w:szCs w:val="16"/>
                      </w:rPr>
                      <w:t>693</w:t>
                    </w:r>
                  </w:p>
                </w:txbxContent>
              </v:textbox>
              <w10:wrap anchorx="page" anchory="page"/>
            </v:shape>
          </w:pict>
        </mc:Fallback>
      </mc:AlternateContent>
    </w:r>
    <w:r>
      <w:rPr>
        <w:noProof/>
      </w:rPr>
      <mc:AlternateContent>
        <mc:Choice Requires="wps">
          <w:drawing>
            <wp:anchor distT="0" distB="0" distL="114300" distR="114300" simplePos="0" relativeHeight="251740160" behindDoc="1" locked="0" layoutInCell="1" allowOverlap="1" wp14:anchorId="0BCF2DB3" wp14:editId="2618DD7B">
              <wp:simplePos x="0" y="0"/>
              <wp:positionH relativeFrom="page">
                <wp:posOffset>530860</wp:posOffset>
              </wp:positionH>
              <wp:positionV relativeFrom="page">
                <wp:posOffset>414655</wp:posOffset>
              </wp:positionV>
              <wp:extent cx="4358640" cy="0"/>
              <wp:effectExtent l="0" t="0" r="0" b="0"/>
              <wp:wrapNone/>
              <wp:docPr id="2134" name="Shape 2134"/>
              <wp:cNvGraphicFramePr/>
              <a:graphic xmlns:a="http://schemas.openxmlformats.org/drawingml/2006/main">
                <a:graphicData uri="http://schemas.microsoft.com/office/word/2010/wordprocessingShape">
                  <wps:wsp>
                    <wps:cNvCnPr/>
                    <wps:spPr>
                      <a:xfrm>
                        <a:off x="0" y="0"/>
                        <a:ext cx="4358640" cy="0"/>
                      </a:xfrm>
                      <a:prstGeom prst="straightConnector1">
                        <a:avLst/>
                      </a:prstGeom>
                      <a:ln w="12700">
                        <a:solidFill/>
                      </a:ln>
                    </wps:spPr>
                    <wps:bodyPr/>
                  </wps:wsp>
                </a:graphicData>
              </a:graphic>
            </wp:anchor>
          </w:drawing>
        </mc:Choice>
        <mc:Fallback>
          <w:pict>
            <v:shapetype w14:anchorId="10ECD149" id="_x0000_t32" coordsize="21600,21600" o:spt="32" o:oned="t" path="m,l21600,21600e" filled="f">
              <v:path arrowok="t" fillok="f" o:connecttype="none"/>
              <o:lock v:ext="edit" shapetype="t"/>
            </v:shapetype>
            <v:shape id="Shape 2134" o:spid="_x0000_s1026" type="#_x0000_t32" style="position:absolute;margin-left:41.8pt;margin-top:32.65pt;width:343.2pt;height:0;z-index:-251576320;visibility:visible;mso-wrap-style:square;mso-wrap-distance-left:9pt;mso-wrap-distance-top:0;mso-wrap-distance-right:9pt;mso-wrap-distance-bottom:0;mso-position-horizontal:absolute;mso-position-horizontal-relative:page;mso-position-vertical:absolute;mso-position-vertical-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" strokeweight="1pt">
              <w10:wrap anchorx="page" anchory="page"/>
            </v:shape>
          </w:pict>
        </mc:Fallback>
      </mc:AlternateContent>
    </w:r>
  </w:p>
</w:hdr>
</file>

<file path=word/header9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BD28B4" w14:textId="77777777" w:rsidR="00924992" w:rsidRDefault="00924992">
    <w:pPr>
      <w:spacing w:line="1" w:lineRule="exact"/>
    </w:pPr>
    <w:r>
      <w:rPr>
        <w:noProof/>
      </w:rPr>
      <mc:AlternateContent>
        <mc:Choice Requires="wps">
          <w:drawing>
            <wp:anchor distT="0" distB="0" distL="0" distR="0" simplePos="0" relativeHeight="251888640" behindDoc="1" locked="0" layoutInCell="1" allowOverlap="1" wp14:anchorId="22F58D07" wp14:editId="41301B1D">
              <wp:simplePos x="0" y="0"/>
              <wp:positionH relativeFrom="page">
                <wp:posOffset>1209675</wp:posOffset>
              </wp:positionH>
              <wp:positionV relativeFrom="page">
                <wp:posOffset>311150</wp:posOffset>
              </wp:positionV>
              <wp:extent cx="3684905" cy="85090"/>
              <wp:effectExtent l="0" t="0" r="0" b="0"/>
              <wp:wrapNone/>
              <wp:docPr id="2141" name="Shape 2141"/>
              <wp:cNvGraphicFramePr/>
              <a:graphic xmlns:a="http://schemas.openxmlformats.org/drawingml/2006/main">
                <a:graphicData uri="http://schemas.microsoft.com/office/word/2010/wordprocessingShape">
                  <wps:wsp>
                    <wps:cNvSpPr txBox="1"/>
                    <wps:spPr>
                      <a:xfrm>
                        <a:off x="0" y="0"/>
                        <a:ext cx="3684905" cy="85090"/>
                      </a:xfrm>
                      <a:prstGeom prst="rect">
                        <a:avLst/>
                      </a:prstGeom>
                      <a:noFill/>
                    </wps:spPr>
                    <wps:txbx>
                      <w:txbxContent>
                        <w:p w14:paraId="1E7CB055" w14:textId="77777777" w:rsidR="00924992" w:rsidRDefault="00924992">
                          <w:pPr>
                            <w:pStyle w:val="Headerorfooter0"/>
                            <w:tabs>
                              <w:tab w:val="right" w:pos="5803"/>
                            </w:tabs>
                            <w:rPr>
                              <w:sz w:val="16"/>
                              <w:szCs w:val="16"/>
                            </w:rPr>
                          </w:pPr>
                          <w:r>
                            <w:t>VERMES PLANOS, ENFERMEDADES POR (TENIASIS Y CISTICERCOSIS)</w:t>
                          </w:r>
                          <w:r>
                            <w:tab/>
                          </w:r>
                          <w:r>
                            <w:fldChar w:fldCharType="begin"/>
                          </w:r>
                          <w:r>
                            <w:instrText xml:space="preserve"> PAGE \* MERGEFORMAT </w:instrText>
                          </w:r>
                          <w:r>
                            <w:fldChar w:fldCharType="separate"/>
                          </w:r>
                          <w:r>
                            <w:rPr>
                              <w:sz w:val="16"/>
                              <w:szCs w:val="16"/>
                            </w:rPr>
                            <w:t>#</w:t>
                          </w:r>
                          <w:r>
                            <w:rPr>
                              <w:sz w:val="16"/>
                              <w:szCs w:val="16"/>
                            </w:rPr>
                            <w:fldChar w:fldCharType="end"/>
                          </w:r>
                        </w:p>
                      </w:txbxContent>
                    </wps:txbx>
                    <wps:bodyPr lIns="0" tIns="0" rIns="0" bIns="0">
                      <a:spAutoFit/>
                    </wps:bodyPr>
                  </wps:wsp>
                </a:graphicData>
              </a:graphic>
            </wp:anchor>
          </w:drawing>
        </mc:Choice>
        <mc:Fallback>
          <w:pict>
            <v:shapetype w14:anchorId="22F58D07" id="_x0000_t202" coordsize="21600,21600" o:spt="202" path="m,l,21600r21600,l21600,xe">
              <v:stroke joinstyle="miter"/>
              <v:path gradientshapeok="t" o:connecttype="rect"/>
            </v:shapetype>
            <v:shape id="Shape 2141" o:spid="_x0000_s1249" type="#_x0000_t202" style="position:absolute;margin-left:95.25pt;margin-top:24.5pt;width:290.15pt;height:6.7pt;z-index:-25142784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" filled="f" stroked="f">
              <v:textbox style="mso-fit-shape-to-text:t" inset="0,0,0,0">
                <w:txbxContent>
                  <w:p w14:paraId="1E7CB055" w14:textId="77777777" w:rsidR="00924992" w:rsidRDefault="00924992">
                    <w:pPr>
                      <w:pStyle w:val="Headerorfooter0"/>
                      <w:tabs>
                        <w:tab w:val="right" w:pos="5803"/>
                      </w:tabs>
                      <w:rPr>
                        <w:sz w:val="16"/>
                        <w:szCs w:val="16"/>
                      </w:rPr>
                    </w:pPr>
                    <w:r>
                      <w:t>VERMES PLANOS, ENFERMEDADES POR (TENIASIS Y CISTICERCOSIS)</w:t>
                    </w:r>
                    <w:r>
                      <w:tab/>
                    </w:r>
                    <w:r>
                      <w:fldChar w:fldCharType="begin"/>
                    </w:r>
                    <w:r>
                      <w:instrText xml:space="preserve"> PAGE \* MERGEFORMAT </w:instrText>
                    </w:r>
                    <w:r>
                      <w:fldChar w:fldCharType="separate"/>
                    </w:r>
                    <w:r>
                      <w:rPr>
                        <w:sz w:val="16"/>
                        <w:szCs w:val="16"/>
                      </w:rPr>
                      <w:t>#</w:t>
                    </w:r>
                    <w:r>
                      <w:rPr>
                        <w:sz w:val="16"/>
                        <w:szCs w:val="16"/>
                      </w:rPr>
                      <w:fldChar w:fldCharType="end"/>
                    </w:r>
                  </w:p>
                </w:txbxContent>
              </v:textbox>
              <w10:wrap anchorx="page" anchory="page"/>
            </v:shape>
          </w:pict>
        </mc:Fallback>
      </mc:AlternateContent>
    </w:r>
    <w:r>
      <w:rPr>
        <w:noProof/>
      </w:rPr>
      <mc:AlternateContent>
        <mc:Choice Requires="wps">
          <w:drawing>
            <wp:anchor distT="0" distB="0" distL="114300" distR="114300" simplePos="0" relativeHeight="251743232" behindDoc="1" locked="0" layoutInCell="1" allowOverlap="1" wp14:anchorId="6D8CEBA4" wp14:editId="5238F70D">
              <wp:simplePos x="0" y="0"/>
              <wp:positionH relativeFrom="page">
                <wp:posOffset>557530</wp:posOffset>
              </wp:positionH>
              <wp:positionV relativeFrom="page">
                <wp:posOffset>419100</wp:posOffset>
              </wp:positionV>
              <wp:extent cx="4358640" cy="0"/>
              <wp:effectExtent l="0" t="0" r="0" b="0"/>
              <wp:wrapNone/>
              <wp:docPr id="2143" name="Shape 2143"/>
              <wp:cNvGraphicFramePr/>
              <a:graphic xmlns:a="http://schemas.openxmlformats.org/drawingml/2006/main">
                <a:graphicData uri="http://schemas.microsoft.com/office/word/2010/wordprocessingShape">
                  <wps:wsp>
                    <wps:cNvCnPr/>
                    <wps:spPr>
                      <a:xfrm>
                        <a:off x="0" y="0"/>
                        <a:ext cx="4358640" cy="0"/>
                      </a:xfrm>
                      <a:prstGeom prst="straightConnector1">
                        <a:avLst/>
                      </a:prstGeom>
                      <a:ln w="12700">
                        <a:solidFill/>
                      </a:ln>
                    </wps:spPr>
                    <wps:bodyPr/>
                  </wps:wsp>
                </a:graphicData>
              </a:graphic>
            </wp:anchor>
          </w:drawing>
        </mc:Choice>
        <mc:Fallback>
          <w:pict>
            <v:shapetype w14:anchorId="4F8CEFE1" id="_x0000_t32" coordsize="21600,21600" o:spt="32" o:oned="t" path="m,l21600,21600e" filled="f">
              <v:path arrowok="t" fillok="f" o:connecttype="none"/>
              <o:lock v:ext="edit" shapetype="t"/>
            </v:shapetype>
            <v:shape id="Shape 2143" o:spid="_x0000_s1026" type="#_x0000_t32" style="position:absolute;margin-left:43.9pt;margin-top:33pt;width:343.2pt;height:0;z-index:-251573248;visibility:visible;mso-wrap-style:square;mso-wrap-distance-left:9pt;mso-wrap-distance-top:0;mso-wrap-distance-right:9pt;mso-wrap-distance-bottom:0;mso-position-horizontal:absolute;mso-position-horizontal-relative:page;mso-position-vertical:absolute;mso-position-vertical-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" strokeweight="1pt">
              <w10:wrap anchorx="page" anchory="page"/>
            </v:shape>
          </w:pict>
        </mc:Fallback>
      </mc:AlternateContent>
    </w:r>
  </w:p>
</w:hdr>
</file>

<file path=word/header9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12F14F" w14:textId="77777777" w:rsidR="00924992" w:rsidRDefault="00924992">
    <w:pPr>
      <w:spacing w:line="1" w:lineRule="exact"/>
    </w:pPr>
    <w:r>
      <w:rPr>
        <w:noProof/>
      </w:rPr>
      <mc:AlternateContent>
        <mc:Choice Requires="wps">
          <w:drawing>
            <wp:anchor distT="0" distB="0" distL="0" distR="0" simplePos="0" relativeHeight="251887616" behindDoc="1" locked="0" layoutInCell="1" allowOverlap="1" wp14:anchorId="6E6A8CF4" wp14:editId="08AE67AD">
              <wp:simplePos x="0" y="0"/>
              <wp:positionH relativeFrom="page">
                <wp:posOffset>1209675</wp:posOffset>
              </wp:positionH>
              <wp:positionV relativeFrom="page">
                <wp:posOffset>311150</wp:posOffset>
              </wp:positionV>
              <wp:extent cx="3684905" cy="85090"/>
              <wp:effectExtent l="0" t="0" r="0" b="0"/>
              <wp:wrapNone/>
              <wp:docPr id="2138" name="Shape 2138"/>
              <wp:cNvGraphicFramePr/>
              <a:graphic xmlns:a="http://schemas.openxmlformats.org/drawingml/2006/main">
                <a:graphicData uri="http://schemas.microsoft.com/office/word/2010/wordprocessingShape">
                  <wps:wsp>
                    <wps:cNvSpPr txBox="1"/>
                    <wps:spPr>
                      <a:xfrm>
                        <a:off x="0" y="0"/>
                        <a:ext cx="3684905" cy="85090"/>
                      </a:xfrm>
                      <a:prstGeom prst="rect">
                        <a:avLst/>
                      </a:prstGeom>
                      <a:noFill/>
                    </wps:spPr>
                    <wps:txbx>
                      <w:txbxContent>
                        <w:p w14:paraId="0A6C169A" w14:textId="77777777" w:rsidR="00924992" w:rsidRDefault="00924992">
                          <w:pPr>
                            <w:pStyle w:val="Headerorfooter0"/>
                            <w:tabs>
                              <w:tab w:val="right" w:pos="5803"/>
                            </w:tabs>
                            <w:rPr>
                              <w:sz w:val="16"/>
                              <w:szCs w:val="16"/>
                            </w:rPr>
                          </w:pPr>
                          <w:r>
                            <w:t>VERMES PLANOS, ENFERMEDADES POR (TENIASIS Y CISTICERCOSIS)</w:t>
                          </w:r>
                          <w:r>
                            <w:tab/>
                          </w:r>
                          <w:r>
                            <w:fldChar w:fldCharType="begin"/>
                          </w:r>
                          <w:r>
                            <w:instrText xml:space="preserve"> PAGE \* MERGEFORMAT </w:instrText>
                          </w:r>
                          <w:r>
                            <w:fldChar w:fldCharType="separate"/>
                          </w:r>
                          <w:r>
                            <w:rPr>
                              <w:sz w:val="16"/>
                              <w:szCs w:val="16"/>
                            </w:rPr>
                            <w:t>#</w:t>
                          </w:r>
                          <w:r>
                            <w:rPr>
                              <w:sz w:val="16"/>
                              <w:szCs w:val="16"/>
                            </w:rPr>
                            <w:fldChar w:fldCharType="end"/>
                          </w:r>
                        </w:p>
                      </w:txbxContent>
                    </wps:txbx>
                    <wps:bodyPr lIns="0" tIns="0" rIns="0" bIns="0">
                      <a:spAutoFit/>
                    </wps:bodyPr>
                  </wps:wsp>
                </a:graphicData>
              </a:graphic>
            </wp:anchor>
          </w:drawing>
        </mc:Choice>
        <mc:Fallback>
          <w:pict>
            <v:shapetype w14:anchorId="6E6A8CF4" id="_x0000_t202" coordsize="21600,21600" o:spt="202" path="m,l,21600r21600,l21600,xe">
              <v:stroke joinstyle="miter"/>
              <v:path gradientshapeok="t" o:connecttype="rect"/>
            </v:shapetype>
            <v:shape id="Shape 2138" o:spid="_x0000_s1250" type="#_x0000_t202" style="position:absolute;margin-left:95.25pt;margin-top:24.5pt;width:290.15pt;height:6.7pt;z-index:-25142886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" filled="f" stroked="f">
              <v:textbox style="mso-fit-shape-to-text:t" inset="0,0,0,0">
                <w:txbxContent>
                  <w:p w14:paraId="0A6C169A" w14:textId="77777777" w:rsidR="00924992" w:rsidRDefault="00924992">
                    <w:pPr>
                      <w:pStyle w:val="Headerorfooter0"/>
                      <w:tabs>
                        <w:tab w:val="right" w:pos="5803"/>
                      </w:tabs>
                      <w:rPr>
                        <w:sz w:val="16"/>
                        <w:szCs w:val="16"/>
                      </w:rPr>
                    </w:pPr>
                    <w:r>
                      <w:t>VERMES PLANOS, ENFERMEDADES POR (TENIASIS Y CISTICERCOSIS)</w:t>
                    </w:r>
                    <w:r>
                      <w:tab/>
                    </w:r>
                    <w:r>
                      <w:fldChar w:fldCharType="begin"/>
                    </w:r>
                    <w:r>
                      <w:instrText xml:space="preserve"> PAGE \* MERGEFORMAT </w:instrText>
                    </w:r>
                    <w:r>
                      <w:fldChar w:fldCharType="separate"/>
                    </w:r>
                    <w:r>
                      <w:rPr>
                        <w:sz w:val="16"/>
                        <w:szCs w:val="16"/>
                      </w:rPr>
                      <w:t>#</w:t>
                    </w:r>
                    <w:r>
                      <w:rPr>
                        <w:sz w:val="16"/>
                        <w:szCs w:val="16"/>
                      </w:rPr>
                      <w:fldChar w:fldCharType="end"/>
                    </w:r>
                  </w:p>
                </w:txbxContent>
              </v:textbox>
              <w10:wrap anchorx="page" anchory="page"/>
            </v:shape>
          </w:pict>
        </mc:Fallback>
      </mc:AlternateContent>
    </w:r>
    <w:r>
      <w:rPr>
        <w:noProof/>
      </w:rPr>
      <mc:AlternateContent>
        <mc:Choice Requires="wps">
          <w:drawing>
            <wp:anchor distT="0" distB="0" distL="114300" distR="114300" simplePos="0" relativeHeight="251742208" behindDoc="1" locked="0" layoutInCell="1" allowOverlap="1" wp14:anchorId="25CC1537" wp14:editId="2156AFC1">
              <wp:simplePos x="0" y="0"/>
              <wp:positionH relativeFrom="page">
                <wp:posOffset>557530</wp:posOffset>
              </wp:positionH>
              <wp:positionV relativeFrom="page">
                <wp:posOffset>419100</wp:posOffset>
              </wp:positionV>
              <wp:extent cx="4358640" cy="0"/>
              <wp:effectExtent l="0" t="0" r="0" b="0"/>
              <wp:wrapNone/>
              <wp:docPr id="2140" name="Shape 2140"/>
              <wp:cNvGraphicFramePr/>
              <a:graphic xmlns:a="http://schemas.openxmlformats.org/drawingml/2006/main">
                <a:graphicData uri="http://schemas.microsoft.com/office/word/2010/wordprocessingShape">
                  <wps:wsp>
                    <wps:cNvCnPr/>
                    <wps:spPr>
                      <a:xfrm>
                        <a:off x="0" y="0"/>
                        <a:ext cx="4358640" cy="0"/>
                      </a:xfrm>
                      <a:prstGeom prst="straightConnector1">
                        <a:avLst/>
                      </a:prstGeom>
                      <a:ln w="12700">
                        <a:solidFill/>
                      </a:ln>
                    </wps:spPr>
                    <wps:bodyPr/>
                  </wps:wsp>
                </a:graphicData>
              </a:graphic>
            </wp:anchor>
          </w:drawing>
        </mc:Choice>
        <mc:Fallback>
          <w:pict>
            <v:shapetype w14:anchorId="11628624" id="_x0000_t32" coordsize="21600,21600" o:spt="32" o:oned="t" path="m,l21600,21600e" filled="f">
              <v:path arrowok="t" fillok="f" o:connecttype="none"/>
              <o:lock v:ext="edit" shapetype="t"/>
            </v:shapetype>
            <v:shape id="Shape 2140" o:spid="_x0000_s1026" type="#_x0000_t32" style="position:absolute;margin-left:43.9pt;margin-top:33pt;width:343.2pt;height:0;z-index:-251574272;visibility:visible;mso-wrap-style:square;mso-wrap-distance-left:9pt;mso-wrap-distance-top:0;mso-wrap-distance-right:9pt;mso-wrap-distance-bottom:0;mso-position-horizontal:absolute;mso-position-horizontal-relative:page;mso-position-vertical:absolute;mso-position-vertical-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" strokeweight="1pt">
              <w10:wrap anchorx="page" anchory="page"/>
            </v:shape>
          </w:pict>
        </mc:Fallback>
      </mc:AlternateContent>
    </w:r>
  </w:p>
</w:hdr>
</file>

<file path=word/header9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3CC842" w14:textId="77777777" w:rsidR="00924992" w:rsidRDefault="00924992">
    <w:pPr>
      <w:spacing w:line="1" w:lineRule="exact"/>
    </w:pPr>
    <w:r>
      <w:rPr>
        <w:noProof/>
      </w:rPr>
      <mc:AlternateContent>
        <mc:Choice Requires="wps">
          <w:drawing>
            <wp:anchor distT="0" distB="0" distL="0" distR="0" simplePos="0" relativeHeight="251890688" behindDoc="1" locked="0" layoutInCell="1" allowOverlap="1" wp14:anchorId="15A1519D" wp14:editId="68C4A6FC">
              <wp:simplePos x="0" y="0"/>
              <wp:positionH relativeFrom="page">
                <wp:posOffset>565150</wp:posOffset>
              </wp:positionH>
              <wp:positionV relativeFrom="page">
                <wp:posOffset>311150</wp:posOffset>
              </wp:positionV>
              <wp:extent cx="2731135" cy="79375"/>
              <wp:effectExtent l="0" t="0" r="0" b="0"/>
              <wp:wrapNone/>
              <wp:docPr id="2147" name="Shape 2147"/>
              <wp:cNvGraphicFramePr/>
              <a:graphic xmlns:a="http://schemas.openxmlformats.org/drawingml/2006/main">
                <a:graphicData uri="http://schemas.microsoft.com/office/word/2010/wordprocessingShape">
                  <wps:wsp>
                    <wps:cNvSpPr txBox="1"/>
                    <wps:spPr>
                      <a:xfrm>
                        <a:off x="0" y="0"/>
                        <a:ext cx="2731135" cy="79375"/>
                      </a:xfrm>
                      <a:prstGeom prst="rect">
                        <a:avLst/>
                      </a:prstGeom>
                      <a:noFill/>
                    </wps:spPr>
                    <wps:txbx>
                      <w:txbxContent>
                        <w:p w14:paraId="2B8534A0" w14:textId="77777777" w:rsidR="00924992" w:rsidRDefault="00924992">
                          <w:pPr>
                            <w:pStyle w:val="Headerorfooter0"/>
                            <w:tabs>
                              <w:tab w:val="right" w:pos="4301"/>
                            </w:tabs>
                          </w:pPr>
                          <w:r>
                            <w:rPr>
                              <w:sz w:val="16"/>
                              <w:szCs w:val="16"/>
                            </w:rPr>
                            <w:t>712</w:t>
                          </w:r>
                          <w:r>
                            <w:rPr>
                              <w:sz w:val="16"/>
                              <w:szCs w:val="16"/>
                            </w:rPr>
                            <w:tab/>
                          </w:r>
                          <w:r>
                            <w:t>VIBRIONES, INFECCIONES</w:t>
                          </w:r>
                        </w:p>
                      </w:txbxContent>
                    </wps:txbx>
                    <wps:bodyPr lIns="0" tIns="0" rIns="0" bIns="0">
                      <a:spAutoFit/>
                    </wps:bodyPr>
                  </wps:wsp>
                </a:graphicData>
              </a:graphic>
            </wp:anchor>
          </w:drawing>
        </mc:Choice>
        <mc:Fallback>
          <w:pict>
            <v:shapetype w14:anchorId="15A1519D" id="_x0000_t202" coordsize="21600,21600" o:spt="202" path="m,l,21600r21600,l21600,xe">
              <v:stroke joinstyle="miter"/>
              <v:path gradientshapeok="t" o:connecttype="rect"/>
            </v:shapetype>
            <v:shape id="Shape 2147" o:spid="_x0000_s1251" type="#_x0000_t202" style="position:absolute;margin-left:44.5pt;margin-top:24.5pt;width:215.05pt;height:6.25pt;z-index:-25142579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" filled="f" stroked="f">
              <v:textbox style="mso-fit-shape-to-text:t" inset="0,0,0,0">
                <w:txbxContent>
                  <w:p w14:paraId="2B8534A0" w14:textId="77777777" w:rsidR="00924992" w:rsidRDefault="00924992">
                    <w:pPr>
                      <w:pStyle w:val="Headerorfooter0"/>
                      <w:tabs>
                        <w:tab w:val="right" w:pos="4301"/>
                      </w:tabs>
                    </w:pPr>
                    <w:r>
                      <w:rPr>
                        <w:sz w:val="16"/>
                        <w:szCs w:val="16"/>
                      </w:rPr>
                      <w:t>712</w:t>
                    </w:r>
                    <w:r>
                      <w:rPr>
                        <w:sz w:val="16"/>
                        <w:szCs w:val="16"/>
                      </w:rPr>
                      <w:tab/>
                    </w:r>
                    <w:r>
                      <w:t>VIBRIONES, INFECCIONES</w:t>
                    </w:r>
                  </w:p>
                </w:txbxContent>
              </v:textbox>
              <w10:wrap anchorx="page" anchory="page"/>
            </v:shape>
          </w:pict>
        </mc:Fallback>
      </mc:AlternateContent>
    </w:r>
    <w:r>
      <w:rPr>
        <w:noProof/>
      </w:rPr>
      <mc:AlternateContent>
        <mc:Choice Requires="wps">
          <w:drawing>
            <wp:anchor distT="0" distB="0" distL="114300" distR="114300" simplePos="0" relativeHeight="251745280" behindDoc="1" locked="0" layoutInCell="1" allowOverlap="1" wp14:anchorId="5B46FF2A" wp14:editId="4DB7E47F">
              <wp:simplePos x="0" y="0"/>
              <wp:positionH relativeFrom="page">
                <wp:posOffset>549910</wp:posOffset>
              </wp:positionH>
              <wp:positionV relativeFrom="page">
                <wp:posOffset>419100</wp:posOffset>
              </wp:positionV>
              <wp:extent cx="4358640" cy="0"/>
              <wp:effectExtent l="0" t="0" r="0" b="0"/>
              <wp:wrapNone/>
              <wp:docPr id="2149" name="Shape 2149"/>
              <wp:cNvGraphicFramePr/>
              <a:graphic xmlns:a="http://schemas.openxmlformats.org/drawingml/2006/main">
                <a:graphicData uri="http://schemas.microsoft.com/office/word/2010/wordprocessingShape">
                  <wps:wsp>
                    <wps:cNvCnPr/>
                    <wps:spPr>
                      <a:xfrm>
                        <a:off x="0" y="0"/>
                        <a:ext cx="4358640" cy="0"/>
                      </a:xfrm>
                      <a:prstGeom prst="straightConnector1">
                        <a:avLst/>
                      </a:prstGeom>
                      <a:ln w="12700">
                        <a:solidFill/>
                      </a:ln>
                    </wps:spPr>
                    <wps:bodyPr/>
                  </wps:wsp>
                </a:graphicData>
              </a:graphic>
            </wp:anchor>
          </w:drawing>
        </mc:Choice>
        <mc:Fallback>
          <w:pict>
            <v:shapetype w14:anchorId="6CD3376E" id="_x0000_t32" coordsize="21600,21600" o:spt="32" o:oned="t" path="m,l21600,21600e" filled="f">
              <v:path arrowok="t" fillok="f" o:connecttype="none"/>
              <o:lock v:ext="edit" shapetype="t"/>
            </v:shapetype>
            <v:shape id="Shape 2149" o:spid="_x0000_s1026" type="#_x0000_t32" style="position:absolute;margin-left:43.3pt;margin-top:33pt;width:343.2pt;height:0;z-index:-251571200;visibility:visible;mso-wrap-style:square;mso-wrap-distance-left:9pt;mso-wrap-distance-top:0;mso-wrap-distance-right:9pt;mso-wrap-distance-bottom:0;mso-position-horizontal:absolute;mso-position-horizontal-relative:page;mso-position-vertical:absolute;mso-position-vertical-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" strokeweight="1pt">
              <w10:wrap anchorx="page" anchory="page"/>
            </v:shape>
          </w:pict>
        </mc:Fallback>
      </mc:AlternateContent>
    </w:r>
  </w:p>
</w:hdr>
</file>

<file path=word/header9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3362C0" w14:textId="77777777" w:rsidR="00924992" w:rsidRDefault="00924992">
    <w:pPr>
      <w:spacing w:line="1" w:lineRule="exact"/>
    </w:pPr>
    <w:r>
      <w:rPr>
        <w:noProof/>
      </w:rPr>
      <mc:AlternateContent>
        <mc:Choice Requires="wps">
          <w:drawing>
            <wp:anchor distT="0" distB="0" distL="0" distR="0" simplePos="0" relativeHeight="251889664" behindDoc="1" locked="0" layoutInCell="1" allowOverlap="1" wp14:anchorId="22C5A7BE" wp14:editId="13C0E211">
              <wp:simplePos x="0" y="0"/>
              <wp:positionH relativeFrom="page">
                <wp:posOffset>2166620</wp:posOffset>
              </wp:positionH>
              <wp:positionV relativeFrom="page">
                <wp:posOffset>311150</wp:posOffset>
              </wp:positionV>
              <wp:extent cx="2712720" cy="79375"/>
              <wp:effectExtent l="0" t="0" r="0" b="0"/>
              <wp:wrapNone/>
              <wp:docPr id="2144" name="Shape 2144"/>
              <wp:cNvGraphicFramePr/>
              <a:graphic xmlns:a="http://schemas.openxmlformats.org/drawingml/2006/main">
                <a:graphicData uri="http://schemas.microsoft.com/office/word/2010/wordprocessingShape">
                  <wps:wsp>
                    <wps:cNvSpPr txBox="1"/>
                    <wps:spPr>
                      <a:xfrm>
                        <a:off x="0" y="0"/>
                        <a:ext cx="2712720" cy="79375"/>
                      </a:xfrm>
                      <a:prstGeom prst="rect">
                        <a:avLst/>
                      </a:prstGeom>
                      <a:noFill/>
                    </wps:spPr>
                    <wps:txbx>
                      <w:txbxContent>
                        <w:p w14:paraId="3988C253" w14:textId="77777777" w:rsidR="00924992" w:rsidRDefault="00924992">
                          <w:pPr>
                            <w:pStyle w:val="Headerorfooter0"/>
                            <w:tabs>
                              <w:tab w:val="right" w:pos="4272"/>
                            </w:tabs>
                            <w:rPr>
                              <w:sz w:val="16"/>
                              <w:szCs w:val="16"/>
                            </w:rPr>
                          </w:pPr>
                          <w:r>
                            <w:t>VIBRIONES, INFECCIONES</w:t>
                          </w:r>
                          <w:r>
                            <w:tab/>
                          </w:r>
                          <w:r>
                            <w:rPr>
                              <w:sz w:val="16"/>
                              <w:szCs w:val="16"/>
                            </w:rPr>
                            <w:t>711</w:t>
                          </w:r>
                        </w:p>
                      </w:txbxContent>
                    </wps:txbx>
                    <wps:bodyPr lIns="0" tIns="0" rIns="0" bIns="0">
                      <a:spAutoFit/>
                    </wps:bodyPr>
                  </wps:wsp>
                </a:graphicData>
              </a:graphic>
            </wp:anchor>
          </w:drawing>
        </mc:Choice>
        <mc:Fallback>
          <w:pict>
            <v:shapetype w14:anchorId="22C5A7BE" id="_x0000_t202" coordsize="21600,21600" o:spt="202" path="m,l,21600r21600,l21600,xe">
              <v:stroke joinstyle="miter"/>
              <v:path gradientshapeok="t" o:connecttype="rect"/>
            </v:shapetype>
            <v:shape id="Shape 2144" o:spid="_x0000_s1252" type="#_x0000_t202" style="position:absolute;margin-left:170.6pt;margin-top:24.5pt;width:213.6pt;height:6.25pt;z-index:-25142681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" filled="f" stroked="f">
              <v:textbox style="mso-fit-shape-to-text:t" inset="0,0,0,0">
                <w:txbxContent>
                  <w:p w14:paraId="3988C253" w14:textId="77777777" w:rsidR="00924992" w:rsidRDefault="00924992">
                    <w:pPr>
                      <w:pStyle w:val="Headerorfooter0"/>
                      <w:tabs>
                        <w:tab w:val="right" w:pos="4272"/>
                      </w:tabs>
                      <w:rPr>
                        <w:sz w:val="16"/>
                        <w:szCs w:val="16"/>
                      </w:rPr>
                    </w:pPr>
                    <w:r>
                      <w:t>VIBRIONES, INFECCIONES</w:t>
                    </w:r>
                    <w:r>
                      <w:tab/>
                    </w:r>
                    <w:r>
                      <w:rPr>
                        <w:sz w:val="16"/>
                        <w:szCs w:val="16"/>
                      </w:rPr>
                      <w:t>711</w:t>
                    </w:r>
                  </w:p>
                </w:txbxContent>
              </v:textbox>
              <w10:wrap anchorx="page" anchory="page"/>
            </v:shape>
          </w:pict>
        </mc:Fallback>
      </mc:AlternateContent>
    </w:r>
    <w:r>
      <w:rPr>
        <w:noProof/>
      </w:rPr>
      <mc:AlternateContent>
        <mc:Choice Requires="wps">
          <w:drawing>
            <wp:anchor distT="0" distB="0" distL="114300" distR="114300" simplePos="0" relativeHeight="251744256" behindDoc="1" locked="0" layoutInCell="1" allowOverlap="1" wp14:anchorId="69AD68EF" wp14:editId="3C9F92F5">
              <wp:simplePos x="0" y="0"/>
              <wp:positionH relativeFrom="page">
                <wp:posOffset>557530</wp:posOffset>
              </wp:positionH>
              <wp:positionV relativeFrom="page">
                <wp:posOffset>419100</wp:posOffset>
              </wp:positionV>
              <wp:extent cx="4358640" cy="0"/>
              <wp:effectExtent l="0" t="0" r="0" b="0"/>
              <wp:wrapNone/>
              <wp:docPr id="2146" name="Shape 2146"/>
              <wp:cNvGraphicFramePr/>
              <a:graphic xmlns:a="http://schemas.openxmlformats.org/drawingml/2006/main">
                <a:graphicData uri="http://schemas.microsoft.com/office/word/2010/wordprocessingShape">
                  <wps:wsp>
                    <wps:cNvCnPr/>
                    <wps:spPr>
                      <a:xfrm>
                        <a:off x="0" y="0"/>
                        <a:ext cx="4358640" cy="0"/>
                      </a:xfrm>
                      <a:prstGeom prst="straightConnector1">
                        <a:avLst/>
                      </a:prstGeom>
                      <a:ln w="12700">
                        <a:solidFill/>
                      </a:ln>
                    </wps:spPr>
                    <wps:bodyPr/>
                  </wps:wsp>
                </a:graphicData>
              </a:graphic>
            </wp:anchor>
          </w:drawing>
        </mc:Choice>
        <mc:Fallback>
          <w:pict>
            <v:shapetype w14:anchorId="4CB7D345" id="_x0000_t32" coordsize="21600,21600" o:spt="32" o:oned="t" path="m,l21600,21600e" filled="f">
              <v:path arrowok="t" fillok="f" o:connecttype="none"/>
              <o:lock v:ext="edit" shapetype="t"/>
            </v:shapetype>
            <v:shape id="Shape 2146" o:spid="_x0000_s1026" type="#_x0000_t32" style="position:absolute;margin-left:43.9pt;margin-top:33pt;width:343.2pt;height:0;z-index:-251572224;visibility:visible;mso-wrap-style:square;mso-wrap-distance-left:9pt;mso-wrap-distance-top:0;mso-wrap-distance-right:9pt;mso-wrap-distance-bottom:0;mso-position-horizontal:absolute;mso-position-horizontal-relative:page;mso-position-vertical:absolute;mso-position-vertical-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" strokeweight="1pt">
              <w10:wrap anchorx="page" anchory="page"/>
            </v:shape>
          </w:pict>
        </mc:Fallback>
      </mc:AlternateContent>
    </w:r>
  </w:p>
</w:hdr>
</file>

<file path=word/header9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928307" w14:textId="77777777" w:rsidR="00924992" w:rsidRDefault="00924992">
    <w:pPr>
      <w:spacing w:line="1" w:lineRule="exact"/>
    </w:pPr>
    <w:r>
      <w:rPr>
        <w:noProof/>
      </w:rPr>
      <mc:AlternateContent>
        <mc:Choice Requires="wps">
          <w:drawing>
            <wp:anchor distT="0" distB="0" distL="0" distR="0" simplePos="0" relativeHeight="251892736" behindDoc="1" locked="0" layoutInCell="1" allowOverlap="1" wp14:anchorId="50D59DB1" wp14:editId="2E0F5D3A">
              <wp:simplePos x="0" y="0"/>
              <wp:positionH relativeFrom="page">
                <wp:posOffset>586105</wp:posOffset>
              </wp:positionH>
              <wp:positionV relativeFrom="page">
                <wp:posOffset>311150</wp:posOffset>
              </wp:positionV>
              <wp:extent cx="2758440" cy="79375"/>
              <wp:effectExtent l="0" t="0" r="0" b="0"/>
              <wp:wrapNone/>
              <wp:docPr id="2153" name="Shape 2153"/>
              <wp:cNvGraphicFramePr/>
              <a:graphic xmlns:a="http://schemas.openxmlformats.org/drawingml/2006/main">
                <a:graphicData uri="http://schemas.microsoft.com/office/word/2010/wordprocessingShape">
                  <wps:wsp>
                    <wps:cNvSpPr txBox="1"/>
                    <wps:spPr>
                      <a:xfrm>
                        <a:off x="0" y="0"/>
                        <a:ext cx="2758440" cy="79375"/>
                      </a:xfrm>
                      <a:prstGeom prst="rect">
                        <a:avLst/>
                      </a:prstGeom>
                      <a:noFill/>
                    </wps:spPr>
                    <wps:txbx>
                      <w:txbxContent>
                        <w:p w14:paraId="12ADDD29" w14:textId="77777777" w:rsidR="00924992" w:rsidRDefault="00924992">
                          <w:pPr>
                            <w:pStyle w:val="Headerorfooter0"/>
                            <w:tabs>
                              <w:tab w:val="right" w:pos="4344"/>
                            </w:tabs>
                          </w:pPr>
                          <w:r>
                            <w:rPr>
                              <w:sz w:val="16"/>
                              <w:szCs w:val="16"/>
                            </w:rPr>
                            <w:t>714</w:t>
                          </w:r>
                          <w:r>
                            <w:rPr>
                              <w:sz w:val="16"/>
                              <w:szCs w:val="16"/>
                            </w:rPr>
                            <w:tab/>
                          </w:r>
                          <w:r>
                            <w:t>VIBRIONES, INFECCIONESS</w:t>
                          </w:r>
                        </w:p>
                      </w:txbxContent>
                    </wps:txbx>
                    <wps:bodyPr lIns="0" tIns="0" rIns="0" bIns="0">
                      <a:spAutoFit/>
                    </wps:bodyPr>
                  </wps:wsp>
                </a:graphicData>
              </a:graphic>
            </wp:anchor>
          </w:drawing>
        </mc:Choice>
        <mc:Fallback>
          <w:pict>
            <v:shapetype w14:anchorId="50D59DB1" id="_x0000_t202" coordsize="21600,21600" o:spt="202" path="m,l,21600r21600,l21600,xe">
              <v:stroke joinstyle="miter"/>
              <v:path gradientshapeok="t" o:connecttype="rect"/>
            </v:shapetype>
            <v:shape id="Shape 2153" o:spid="_x0000_s1253" type="#_x0000_t202" style="position:absolute;margin-left:46.15pt;margin-top:24.5pt;width:217.2pt;height:6.25pt;z-index:-25142374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" filled="f" stroked="f">
              <v:textbox style="mso-fit-shape-to-text:t" inset="0,0,0,0">
                <w:txbxContent>
                  <w:p w14:paraId="12ADDD29" w14:textId="77777777" w:rsidR="00924992" w:rsidRDefault="00924992">
                    <w:pPr>
                      <w:pStyle w:val="Headerorfooter0"/>
                      <w:tabs>
                        <w:tab w:val="right" w:pos="4344"/>
                      </w:tabs>
                    </w:pPr>
                    <w:r>
                      <w:rPr>
                        <w:sz w:val="16"/>
                        <w:szCs w:val="16"/>
                      </w:rPr>
                      <w:t>714</w:t>
                    </w:r>
                    <w:r>
                      <w:rPr>
                        <w:sz w:val="16"/>
                        <w:szCs w:val="16"/>
                      </w:rPr>
                      <w:tab/>
                    </w:r>
                    <w:r>
                      <w:t>VIBRIONES, INFECCIONESS</w:t>
                    </w:r>
                  </w:p>
                </w:txbxContent>
              </v:textbox>
              <w10:wrap anchorx="page" anchory="page"/>
            </v:shape>
          </w:pict>
        </mc:Fallback>
      </mc:AlternateContent>
    </w:r>
    <w:r>
      <w:rPr>
        <w:noProof/>
      </w:rPr>
      <mc:AlternateContent>
        <mc:Choice Requires="wps">
          <w:drawing>
            <wp:anchor distT="0" distB="0" distL="114300" distR="114300" simplePos="0" relativeHeight="251747328" behindDoc="1" locked="0" layoutInCell="1" allowOverlap="1" wp14:anchorId="1E785051" wp14:editId="08ADE987">
              <wp:simplePos x="0" y="0"/>
              <wp:positionH relativeFrom="page">
                <wp:posOffset>570865</wp:posOffset>
              </wp:positionH>
              <wp:positionV relativeFrom="page">
                <wp:posOffset>419100</wp:posOffset>
              </wp:positionV>
              <wp:extent cx="4358640" cy="0"/>
              <wp:effectExtent l="0" t="0" r="0" b="0"/>
              <wp:wrapNone/>
              <wp:docPr id="2155" name="Shape 2155"/>
              <wp:cNvGraphicFramePr/>
              <a:graphic xmlns:a="http://schemas.openxmlformats.org/drawingml/2006/main">
                <a:graphicData uri="http://schemas.microsoft.com/office/word/2010/wordprocessingShape">
                  <wps:wsp>
                    <wps:cNvCnPr/>
                    <wps:spPr>
                      <a:xfrm>
                        <a:off x="0" y="0"/>
                        <a:ext cx="4358640" cy="0"/>
                      </a:xfrm>
                      <a:prstGeom prst="straightConnector1">
                        <a:avLst/>
                      </a:prstGeom>
                      <a:ln w="12700">
                        <a:solidFill/>
                      </a:ln>
                    </wps:spPr>
                    <wps:bodyPr/>
                  </wps:wsp>
                </a:graphicData>
              </a:graphic>
            </wp:anchor>
          </w:drawing>
        </mc:Choice>
        <mc:Fallback>
          <w:pict>
            <v:shapetype w14:anchorId="6A90B4F8" id="_x0000_t32" coordsize="21600,21600" o:spt="32" o:oned="t" path="m,l21600,21600e" filled="f">
              <v:path arrowok="t" fillok="f" o:connecttype="none"/>
              <o:lock v:ext="edit" shapetype="t"/>
            </v:shapetype>
            <v:shape id="Shape 2155" o:spid="_x0000_s1026" type="#_x0000_t32" style="position:absolute;margin-left:44.95pt;margin-top:33pt;width:343.2pt;height:0;z-index:-251569152;visibility:visible;mso-wrap-style:square;mso-wrap-distance-left:9pt;mso-wrap-distance-top:0;mso-wrap-distance-right:9pt;mso-wrap-distance-bottom:0;mso-position-horizontal:absolute;mso-position-horizontal-relative:page;mso-position-vertical:absolute;mso-position-vertical-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" strokeweight="1pt">
              <w10:wrap anchorx="page" anchory="page"/>
            </v:shape>
          </w:pict>
        </mc:Fallback>
      </mc:AlternateContent>
    </w:r>
  </w:p>
</w:hdr>
</file>

<file path=word/header9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355909" w14:textId="77777777" w:rsidR="00924992" w:rsidRDefault="00924992">
    <w:pPr>
      <w:spacing w:line="1" w:lineRule="exact"/>
    </w:pPr>
    <w:r>
      <w:rPr>
        <w:noProof/>
      </w:rPr>
      <mc:AlternateContent>
        <mc:Choice Requires="wps">
          <w:drawing>
            <wp:anchor distT="0" distB="0" distL="0" distR="0" simplePos="0" relativeHeight="251891712" behindDoc="1" locked="0" layoutInCell="1" allowOverlap="1" wp14:anchorId="12E49911" wp14:editId="66D0DD6B">
              <wp:simplePos x="0" y="0"/>
              <wp:positionH relativeFrom="page">
                <wp:posOffset>586105</wp:posOffset>
              </wp:positionH>
              <wp:positionV relativeFrom="page">
                <wp:posOffset>311150</wp:posOffset>
              </wp:positionV>
              <wp:extent cx="2758440" cy="79375"/>
              <wp:effectExtent l="0" t="0" r="0" b="0"/>
              <wp:wrapNone/>
              <wp:docPr id="2150" name="Shape 2150"/>
              <wp:cNvGraphicFramePr/>
              <a:graphic xmlns:a="http://schemas.openxmlformats.org/drawingml/2006/main">
                <a:graphicData uri="http://schemas.microsoft.com/office/word/2010/wordprocessingShape">
                  <wps:wsp>
                    <wps:cNvSpPr txBox="1"/>
                    <wps:spPr>
                      <a:xfrm>
                        <a:off x="0" y="0"/>
                        <a:ext cx="2758440" cy="79375"/>
                      </a:xfrm>
                      <a:prstGeom prst="rect">
                        <a:avLst/>
                      </a:prstGeom>
                      <a:noFill/>
                    </wps:spPr>
                    <wps:txbx>
                      <w:txbxContent>
                        <w:p w14:paraId="2710C6CA" w14:textId="77777777" w:rsidR="00924992" w:rsidRDefault="00924992">
                          <w:pPr>
                            <w:pStyle w:val="Headerorfooter0"/>
                            <w:tabs>
                              <w:tab w:val="right" w:pos="4344"/>
                            </w:tabs>
                          </w:pPr>
                          <w:r>
                            <w:rPr>
                              <w:sz w:val="16"/>
                              <w:szCs w:val="16"/>
                            </w:rPr>
                            <w:t>714</w:t>
                          </w:r>
                          <w:r>
                            <w:rPr>
                              <w:sz w:val="16"/>
                              <w:szCs w:val="16"/>
                            </w:rPr>
                            <w:tab/>
                          </w:r>
                          <w:r>
                            <w:t>VIBRIONES, INFECCIONESS</w:t>
                          </w:r>
                        </w:p>
                      </w:txbxContent>
                    </wps:txbx>
                    <wps:bodyPr lIns="0" tIns="0" rIns="0" bIns="0">
                      <a:spAutoFit/>
                    </wps:bodyPr>
                  </wps:wsp>
                </a:graphicData>
              </a:graphic>
            </wp:anchor>
          </w:drawing>
        </mc:Choice>
        <mc:Fallback>
          <w:pict>
            <v:shapetype w14:anchorId="12E49911" id="_x0000_t202" coordsize="21600,21600" o:spt="202" path="m,l,21600r21600,l21600,xe">
              <v:stroke joinstyle="miter"/>
              <v:path gradientshapeok="t" o:connecttype="rect"/>
            </v:shapetype>
            <v:shape id="Shape 2150" o:spid="_x0000_s1254" type="#_x0000_t202" style="position:absolute;margin-left:46.15pt;margin-top:24.5pt;width:217.2pt;height:6.25pt;z-index:-25142476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" filled="f" stroked="f">
              <v:textbox style="mso-fit-shape-to-text:t" inset="0,0,0,0">
                <w:txbxContent>
                  <w:p w14:paraId="2710C6CA" w14:textId="77777777" w:rsidR="00924992" w:rsidRDefault="00924992">
                    <w:pPr>
                      <w:pStyle w:val="Headerorfooter0"/>
                      <w:tabs>
                        <w:tab w:val="right" w:pos="4344"/>
                      </w:tabs>
                    </w:pPr>
                    <w:r>
                      <w:rPr>
                        <w:sz w:val="16"/>
                        <w:szCs w:val="16"/>
                      </w:rPr>
                      <w:t>714</w:t>
                    </w:r>
                    <w:r>
                      <w:rPr>
                        <w:sz w:val="16"/>
                        <w:szCs w:val="16"/>
                      </w:rPr>
                      <w:tab/>
                    </w:r>
                    <w:r>
                      <w:t>VIBRIONES, INFECCIONESS</w:t>
                    </w:r>
                  </w:p>
                </w:txbxContent>
              </v:textbox>
              <w10:wrap anchorx="page" anchory="page"/>
            </v:shape>
          </w:pict>
        </mc:Fallback>
      </mc:AlternateContent>
    </w:r>
    <w:r>
      <w:rPr>
        <w:noProof/>
      </w:rPr>
      <mc:AlternateContent>
        <mc:Choice Requires="wps">
          <w:drawing>
            <wp:anchor distT="0" distB="0" distL="114300" distR="114300" simplePos="0" relativeHeight="251746304" behindDoc="1" locked="0" layoutInCell="1" allowOverlap="1" wp14:anchorId="75CB2D35" wp14:editId="0E923435">
              <wp:simplePos x="0" y="0"/>
              <wp:positionH relativeFrom="page">
                <wp:posOffset>570865</wp:posOffset>
              </wp:positionH>
              <wp:positionV relativeFrom="page">
                <wp:posOffset>419100</wp:posOffset>
              </wp:positionV>
              <wp:extent cx="4358640" cy="0"/>
              <wp:effectExtent l="0" t="0" r="0" b="0"/>
              <wp:wrapNone/>
              <wp:docPr id="2152" name="Shape 2152"/>
              <wp:cNvGraphicFramePr/>
              <a:graphic xmlns:a="http://schemas.openxmlformats.org/drawingml/2006/main">
                <a:graphicData uri="http://schemas.microsoft.com/office/word/2010/wordprocessingShape">
                  <wps:wsp>
                    <wps:cNvCnPr/>
                    <wps:spPr>
                      <a:xfrm>
                        <a:off x="0" y="0"/>
                        <a:ext cx="4358640" cy="0"/>
                      </a:xfrm>
                      <a:prstGeom prst="straightConnector1">
                        <a:avLst/>
                      </a:prstGeom>
                      <a:ln w="12700">
                        <a:solidFill/>
                      </a:ln>
                    </wps:spPr>
                    <wps:bodyPr/>
                  </wps:wsp>
                </a:graphicData>
              </a:graphic>
            </wp:anchor>
          </w:drawing>
        </mc:Choice>
        <mc:Fallback>
          <w:pict>
            <v:shapetype w14:anchorId="7FD0406D" id="_x0000_t32" coordsize="21600,21600" o:spt="32" o:oned="t" path="m,l21600,21600e" filled="f">
              <v:path arrowok="t" fillok="f" o:connecttype="none"/>
              <o:lock v:ext="edit" shapetype="t"/>
            </v:shapetype>
            <v:shape id="Shape 2152" o:spid="_x0000_s1026" type="#_x0000_t32" style="position:absolute;margin-left:44.95pt;margin-top:33pt;width:343.2pt;height:0;z-index:-251570176;visibility:visible;mso-wrap-style:square;mso-wrap-distance-left:9pt;mso-wrap-distance-top:0;mso-wrap-distance-right:9pt;mso-wrap-distance-bottom:0;mso-position-horizontal:absolute;mso-position-horizontal-relative:page;mso-position-vertical:absolute;mso-position-vertical-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" strokeweight="1pt">
              <w10:wrap anchorx="page" anchory="page"/>
            </v:shape>
          </w:pict>
        </mc:Fallback>
      </mc:AlternateContent>
    </w:r>
  </w:p>
</w:hdr>
</file>

<file path=word/header9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1B2A35" w14:textId="77777777" w:rsidR="00924992" w:rsidRDefault="00924992">
    <w:pPr>
      <w:spacing w:line="1" w:lineRule="exact"/>
    </w:pPr>
    <w:r>
      <w:rPr>
        <w:noProof/>
      </w:rPr>
      <mc:AlternateContent>
        <mc:Choice Requires="wps">
          <w:drawing>
            <wp:anchor distT="0" distB="0" distL="0" distR="0" simplePos="0" relativeHeight="251893760" behindDoc="1" locked="0" layoutInCell="1" allowOverlap="1" wp14:anchorId="19E982BD" wp14:editId="2E4949F4">
              <wp:simplePos x="0" y="0"/>
              <wp:positionH relativeFrom="page">
                <wp:posOffset>2163445</wp:posOffset>
              </wp:positionH>
              <wp:positionV relativeFrom="page">
                <wp:posOffset>311150</wp:posOffset>
              </wp:positionV>
              <wp:extent cx="2727960" cy="79375"/>
              <wp:effectExtent l="0" t="0" r="0" b="0"/>
              <wp:wrapNone/>
              <wp:docPr id="2156" name="Shape 2156"/>
              <wp:cNvGraphicFramePr/>
              <a:graphic xmlns:a="http://schemas.openxmlformats.org/drawingml/2006/main">
                <a:graphicData uri="http://schemas.microsoft.com/office/word/2010/wordprocessingShape">
                  <wps:wsp>
                    <wps:cNvSpPr txBox="1"/>
                    <wps:spPr>
                      <a:xfrm>
                        <a:off x="0" y="0"/>
                        <a:ext cx="2727960" cy="79375"/>
                      </a:xfrm>
                      <a:prstGeom prst="rect">
                        <a:avLst/>
                      </a:prstGeom>
                      <a:noFill/>
                    </wps:spPr>
                    <wps:txbx>
                      <w:txbxContent>
                        <w:p w14:paraId="24E1C15A" w14:textId="77777777" w:rsidR="00924992" w:rsidRDefault="00924992">
                          <w:pPr>
                            <w:pStyle w:val="Headerorfooter0"/>
                            <w:tabs>
                              <w:tab w:val="right" w:pos="4296"/>
                            </w:tabs>
                            <w:rPr>
                              <w:sz w:val="16"/>
                              <w:szCs w:val="16"/>
                            </w:rPr>
                          </w:pPr>
                          <w:r>
                            <w:t>VIBRIONES, INFECCIONES</w:t>
                          </w:r>
                          <w:r>
                            <w:tab/>
                          </w:r>
                          <w:r>
                            <w:rPr>
                              <w:sz w:val="16"/>
                              <w:szCs w:val="16"/>
                            </w:rPr>
                            <w:t>713</w:t>
                          </w:r>
                        </w:p>
                      </w:txbxContent>
                    </wps:txbx>
                    <wps:bodyPr lIns="0" tIns="0" rIns="0" bIns="0">
                      <a:spAutoFit/>
                    </wps:bodyPr>
                  </wps:wsp>
                </a:graphicData>
              </a:graphic>
            </wp:anchor>
          </w:drawing>
        </mc:Choice>
        <mc:Fallback>
          <w:pict>
            <v:shapetype w14:anchorId="19E982BD" id="_x0000_t202" coordsize="21600,21600" o:spt="202" path="m,l,21600r21600,l21600,xe">
              <v:stroke joinstyle="miter"/>
              <v:path gradientshapeok="t" o:connecttype="rect"/>
            </v:shapetype>
            <v:shape id="Shape 2156" o:spid="_x0000_s1255" type="#_x0000_t202" style="position:absolute;margin-left:170.35pt;margin-top:24.5pt;width:214.8pt;height:6.25pt;z-index:-25142272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" filled="f" stroked="f">
              <v:textbox style="mso-fit-shape-to-text:t" inset="0,0,0,0">
                <w:txbxContent>
                  <w:p w14:paraId="24E1C15A" w14:textId="77777777" w:rsidR="00924992" w:rsidRDefault="00924992">
                    <w:pPr>
                      <w:pStyle w:val="Headerorfooter0"/>
                      <w:tabs>
                        <w:tab w:val="right" w:pos="4296"/>
                      </w:tabs>
                      <w:rPr>
                        <w:sz w:val="16"/>
                        <w:szCs w:val="16"/>
                      </w:rPr>
                    </w:pPr>
                    <w:r>
                      <w:t>VIBRIONES, INFECCIONES</w:t>
                    </w:r>
                    <w:r>
                      <w:tab/>
                    </w:r>
                    <w:r>
                      <w:rPr>
                        <w:sz w:val="16"/>
                        <w:szCs w:val="16"/>
                      </w:rPr>
                      <w:t>713</w:t>
                    </w:r>
                  </w:p>
                </w:txbxContent>
              </v:textbox>
              <w10:wrap anchorx="page" anchory="page"/>
            </v:shape>
          </w:pict>
        </mc:Fallback>
      </mc:AlternateContent>
    </w:r>
    <w:r>
      <w:rPr>
        <w:noProof/>
      </w:rPr>
      <mc:AlternateContent>
        <mc:Choice Requires="wps">
          <w:drawing>
            <wp:anchor distT="0" distB="0" distL="114300" distR="114300" simplePos="0" relativeHeight="251748352" behindDoc="1" locked="0" layoutInCell="1" allowOverlap="1" wp14:anchorId="4CA6DF72" wp14:editId="38D6EF08">
              <wp:simplePos x="0" y="0"/>
              <wp:positionH relativeFrom="page">
                <wp:posOffset>554355</wp:posOffset>
              </wp:positionH>
              <wp:positionV relativeFrom="page">
                <wp:posOffset>419100</wp:posOffset>
              </wp:positionV>
              <wp:extent cx="4358640" cy="0"/>
              <wp:effectExtent l="0" t="0" r="0" b="0"/>
              <wp:wrapNone/>
              <wp:docPr id="2158" name="Shape 2158"/>
              <wp:cNvGraphicFramePr/>
              <a:graphic xmlns:a="http://schemas.openxmlformats.org/drawingml/2006/main">
                <a:graphicData uri="http://schemas.microsoft.com/office/word/2010/wordprocessingShape">
                  <wps:wsp>
                    <wps:cNvCnPr/>
                    <wps:spPr>
                      <a:xfrm>
                        <a:off x="0" y="0"/>
                        <a:ext cx="4358640" cy="0"/>
                      </a:xfrm>
                      <a:prstGeom prst="straightConnector1">
                        <a:avLst/>
                      </a:prstGeom>
                      <a:ln w="12700">
                        <a:solidFill/>
                      </a:ln>
                    </wps:spPr>
                    <wps:bodyPr/>
                  </wps:wsp>
                </a:graphicData>
              </a:graphic>
            </wp:anchor>
          </w:drawing>
        </mc:Choice>
        <mc:Fallback>
          <w:pict>
            <v:shapetype w14:anchorId="793BC5B5" id="_x0000_t32" coordsize="21600,21600" o:spt="32" o:oned="t" path="m,l21600,21600e" filled="f">
              <v:path arrowok="t" fillok="f" o:connecttype="none"/>
              <o:lock v:ext="edit" shapetype="t"/>
            </v:shapetype>
            <v:shape id="Shape 2158" o:spid="_x0000_s1026" type="#_x0000_t32" style="position:absolute;margin-left:43.65pt;margin-top:33pt;width:343.2pt;height:0;z-index:-251568128;visibility:visible;mso-wrap-style:square;mso-wrap-distance-left:9pt;mso-wrap-distance-top:0;mso-wrap-distance-right:9pt;mso-wrap-distance-bottom:0;mso-position-horizontal:absolute;mso-position-horizontal-relative:page;mso-position-vertical:absolute;mso-position-vertical-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" strokeweight="1pt">
              <w10:wrap anchorx="page" anchory="page"/>
            </v:shape>
          </w:pict>
        </mc:Fallback>
      </mc:AlternateContent>
    </w:r>
  </w:p>
</w:hdr>
</file>

<file path=word/header9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86E58D" w14:textId="77777777" w:rsidR="00924992" w:rsidRDefault="00924992">
    <w:pPr>
      <w:spacing w:line="1" w:lineRule="exact"/>
    </w:pPr>
    <w:r>
      <w:rPr>
        <w:noProof/>
      </w:rPr>
      <mc:AlternateContent>
        <mc:Choice Requires="wps">
          <w:drawing>
            <wp:anchor distT="0" distB="0" distL="0" distR="0" simplePos="0" relativeHeight="251895808" behindDoc="1" locked="0" layoutInCell="1" allowOverlap="1" wp14:anchorId="289CDED9" wp14:editId="251DF59D">
              <wp:simplePos x="0" y="0"/>
              <wp:positionH relativeFrom="page">
                <wp:posOffset>1003935</wp:posOffset>
              </wp:positionH>
              <wp:positionV relativeFrom="page">
                <wp:posOffset>311150</wp:posOffset>
              </wp:positionV>
              <wp:extent cx="3883025" cy="79375"/>
              <wp:effectExtent l="0" t="0" r="0" b="0"/>
              <wp:wrapNone/>
              <wp:docPr id="2162" name="Shape 2162"/>
              <wp:cNvGraphicFramePr/>
              <a:graphic xmlns:a="http://schemas.openxmlformats.org/drawingml/2006/main">
                <a:graphicData uri="http://schemas.microsoft.com/office/word/2010/wordprocessingShape">
                  <wps:wsp>
                    <wps:cNvSpPr txBox="1"/>
                    <wps:spPr>
                      <a:xfrm>
                        <a:off x="0" y="0"/>
                        <a:ext cx="3883025" cy="79375"/>
                      </a:xfrm>
                      <a:prstGeom prst="rect">
                        <a:avLst/>
                      </a:prstGeom>
                      <a:noFill/>
                    </wps:spPr>
                    <wps:txbx>
                      <w:txbxContent>
                        <w:p w14:paraId="796580C5" w14:textId="77777777" w:rsidR="00924992" w:rsidRDefault="00924992">
                          <w:pPr>
                            <w:pStyle w:val="Headerorfooter0"/>
                            <w:tabs>
                              <w:tab w:val="right" w:pos="6115"/>
                            </w:tabs>
                            <w:rPr>
                              <w:sz w:val="16"/>
                              <w:szCs w:val="16"/>
                            </w:rPr>
                          </w:pPr>
                          <w:r>
                            <w:t xml:space="preserve">YERSINIA ENTEROCOLITICA Y </w:t>
                          </w:r>
                          <w:r>
                            <w:rPr>
                              <w:i/>
                              <w:iCs/>
                              <w:sz w:val="13"/>
                              <w:szCs w:val="13"/>
                            </w:rPr>
                            <w:t>YERSINIA PSEUDOTUBERCULOSIS</w:t>
                          </w:r>
                          <w:r>
                            <w:rPr>
                              <w:i/>
                              <w:iCs/>
                            </w:rPr>
                            <w:t>,</w:t>
                          </w:r>
                          <w:r>
                            <w:t xml:space="preserve"> INFECCIONES</w:t>
                          </w:r>
                          <w:r>
                            <w:tab/>
                          </w:r>
                          <w:r>
                            <w:rPr>
                              <w:sz w:val="16"/>
                              <w:szCs w:val="16"/>
                            </w:rPr>
                            <w:t>719</w:t>
                          </w:r>
                        </w:p>
                      </w:txbxContent>
                    </wps:txbx>
                    <wps:bodyPr lIns="0" tIns="0" rIns="0" bIns="0">
                      <a:spAutoFit/>
                    </wps:bodyPr>
                  </wps:wsp>
                </a:graphicData>
              </a:graphic>
            </wp:anchor>
          </w:drawing>
        </mc:Choice>
        <mc:Fallback>
          <w:pict>
            <v:shapetype w14:anchorId="289CDED9" id="_x0000_t202" coordsize="21600,21600" o:spt="202" path="m,l,21600r21600,l21600,xe">
              <v:stroke joinstyle="miter"/>
              <v:path gradientshapeok="t" o:connecttype="rect"/>
            </v:shapetype>
            <v:shape id="Shape 2162" o:spid="_x0000_s1256" type="#_x0000_t202" style="position:absolute;margin-left:79.05pt;margin-top:24.5pt;width:305.75pt;height:6.25pt;z-index:-25142067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" filled="f" stroked="f">
              <v:textbox style="mso-fit-shape-to-text:t" inset="0,0,0,0">
                <w:txbxContent>
                  <w:p w14:paraId="796580C5" w14:textId="77777777" w:rsidR="00924992" w:rsidRDefault="00924992">
                    <w:pPr>
                      <w:pStyle w:val="Headerorfooter0"/>
                      <w:tabs>
                        <w:tab w:val="right" w:pos="6115"/>
                      </w:tabs>
                      <w:rPr>
                        <w:sz w:val="16"/>
                        <w:szCs w:val="16"/>
                      </w:rPr>
                    </w:pPr>
                    <w:r>
                      <w:t xml:space="preserve">YERSINIA ENTEROCOLITICA Y </w:t>
                    </w:r>
                    <w:r>
                      <w:rPr>
                        <w:i/>
                        <w:iCs/>
                        <w:sz w:val="13"/>
                        <w:szCs w:val="13"/>
                      </w:rPr>
                      <w:t>YERSINIA PSEUDOTUBERCULOSIS</w:t>
                    </w:r>
                    <w:r>
                      <w:rPr>
                        <w:i/>
                        <w:iCs/>
                      </w:rPr>
                      <w:t>,</w:t>
                    </w:r>
                    <w:r>
                      <w:t xml:space="preserve"> INFECCIONES</w:t>
                    </w:r>
                    <w:r>
                      <w:tab/>
                    </w:r>
                    <w:r>
                      <w:rPr>
                        <w:sz w:val="16"/>
                        <w:szCs w:val="16"/>
                      </w:rPr>
                      <w:t>719</w:t>
                    </w:r>
                  </w:p>
                </w:txbxContent>
              </v:textbox>
              <w10:wrap anchorx="page" anchory="page"/>
            </v:shape>
          </w:pict>
        </mc:Fallback>
      </mc:AlternateContent>
    </w:r>
    <w:r>
      <w:rPr>
        <w:noProof/>
      </w:rPr>
      <mc:AlternateContent>
        <mc:Choice Requires="wps">
          <w:drawing>
            <wp:anchor distT="0" distB="0" distL="114300" distR="114300" simplePos="0" relativeHeight="251750400" behindDoc="1" locked="0" layoutInCell="1" allowOverlap="1" wp14:anchorId="09644628" wp14:editId="66E40FE5">
              <wp:simplePos x="0" y="0"/>
              <wp:positionH relativeFrom="page">
                <wp:posOffset>549910</wp:posOffset>
              </wp:positionH>
              <wp:positionV relativeFrom="page">
                <wp:posOffset>419100</wp:posOffset>
              </wp:positionV>
              <wp:extent cx="4358640" cy="0"/>
              <wp:effectExtent l="0" t="0" r="0" b="0"/>
              <wp:wrapNone/>
              <wp:docPr id="2164" name="Shape 2164"/>
              <wp:cNvGraphicFramePr/>
              <a:graphic xmlns:a="http://schemas.openxmlformats.org/drawingml/2006/main">
                <a:graphicData uri="http://schemas.microsoft.com/office/word/2010/wordprocessingShape">
                  <wps:wsp>
                    <wps:cNvCnPr/>
                    <wps:spPr>
                      <a:xfrm>
                        <a:off x="0" y="0"/>
                        <a:ext cx="4358640" cy="0"/>
                      </a:xfrm>
                      <a:prstGeom prst="straightConnector1">
                        <a:avLst/>
                      </a:prstGeom>
                      <a:ln w="12700">
                        <a:solidFill/>
                      </a:ln>
                    </wps:spPr>
                    <wps:bodyPr/>
                  </wps:wsp>
                </a:graphicData>
              </a:graphic>
            </wp:anchor>
          </w:drawing>
        </mc:Choice>
        <mc:Fallback>
          <w:pict>
            <v:shapetype w14:anchorId="28338DE4" id="_x0000_t32" coordsize="21600,21600" o:spt="32" o:oned="t" path="m,l21600,21600e" filled="f">
              <v:path arrowok="t" fillok="f" o:connecttype="none"/>
              <o:lock v:ext="edit" shapetype="t"/>
            </v:shapetype>
            <v:shape id="Shape 2164" o:spid="_x0000_s1026" type="#_x0000_t32" style="position:absolute;margin-left:43.3pt;margin-top:33pt;width:343.2pt;height:0;z-index:-251566080;visibility:visible;mso-wrap-style:square;mso-wrap-distance-left:9pt;mso-wrap-distance-top:0;mso-wrap-distance-right:9pt;mso-wrap-distance-bottom:0;mso-position-horizontal:absolute;mso-position-horizontal-relative:page;mso-position-vertical:absolute;mso-position-vertical-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" strokeweight="1pt">
              <w10:wrap anchorx="page" anchory="page"/>
            </v:shape>
          </w:pict>
        </mc:Fallback>
      </mc:AlternateContent>
    </w:r>
  </w:p>
</w:hdr>
</file>

<file path=word/header9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826314" w14:textId="77777777" w:rsidR="00924992" w:rsidRDefault="00924992">
    <w:pPr>
      <w:spacing w:line="1" w:lineRule="exact"/>
    </w:pPr>
    <w:r>
      <w:rPr>
        <w:noProof/>
      </w:rPr>
      <mc:AlternateContent>
        <mc:Choice Requires="wps">
          <w:drawing>
            <wp:anchor distT="0" distB="0" distL="0" distR="0" simplePos="0" relativeHeight="251894784" behindDoc="1" locked="0" layoutInCell="1" allowOverlap="1" wp14:anchorId="5642BA34" wp14:editId="58EE39F3">
              <wp:simplePos x="0" y="0"/>
              <wp:positionH relativeFrom="page">
                <wp:posOffset>1003935</wp:posOffset>
              </wp:positionH>
              <wp:positionV relativeFrom="page">
                <wp:posOffset>311150</wp:posOffset>
              </wp:positionV>
              <wp:extent cx="3883025" cy="79375"/>
              <wp:effectExtent l="0" t="0" r="0" b="0"/>
              <wp:wrapNone/>
              <wp:docPr id="2159" name="Shape 2159"/>
              <wp:cNvGraphicFramePr/>
              <a:graphic xmlns:a="http://schemas.openxmlformats.org/drawingml/2006/main">
                <a:graphicData uri="http://schemas.microsoft.com/office/word/2010/wordprocessingShape">
                  <wps:wsp>
                    <wps:cNvSpPr txBox="1"/>
                    <wps:spPr>
                      <a:xfrm>
                        <a:off x="0" y="0"/>
                        <a:ext cx="3883025" cy="79375"/>
                      </a:xfrm>
                      <a:prstGeom prst="rect">
                        <a:avLst/>
                      </a:prstGeom>
                      <a:noFill/>
                    </wps:spPr>
                    <wps:txbx>
                      <w:txbxContent>
                        <w:p w14:paraId="08A632AA" w14:textId="77777777" w:rsidR="00924992" w:rsidRDefault="00924992">
                          <w:pPr>
                            <w:pStyle w:val="Headerorfooter0"/>
                            <w:tabs>
                              <w:tab w:val="right" w:pos="6115"/>
                            </w:tabs>
                            <w:rPr>
                              <w:sz w:val="16"/>
                              <w:szCs w:val="16"/>
                            </w:rPr>
                          </w:pPr>
                          <w:r>
                            <w:t xml:space="preserve">YERSINIA ENTEROCOLITICA Y </w:t>
                          </w:r>
                          <w:r>
                            <w:rPr>
                              <w:i/>
                              <w:iCs/>
                              <w:sz w:val="13"/>
                              <w:szCs w:val="13"/>
                            </w:rPr>
                            <w:t>YERSINIA PSEUDOTUBERCULOSIS</w:t>
                          </w:r>
                          <w:r>
                            <w:rPr>
                              <w:i/>
                              <w:iCs/>
                            </w:rPr>
                            <w:t>,</w:t>
                          </w:r>
                          <w:r>
                            <w:t xml:space="preserve"> INFECCIONES</w:t>
                          </w:r>
                          <w:r>
                            <w:tab/>
                          </w:r>
                          <w:r>
                            <w:rPr>
                              <w:sz w:val="16"/>
                              <w:szCs w:val="16"/>
                            </w:rPr>
                            <w:t>719</w:t>
                          </w:r>
                        </w:p>
                      </w:txbxContent>
                    </wps:txbx>
                    <wps:bodyPr lIns="0" tIns="0" rIns="0" bIns="0">
                      <a:spAutoFit/>
                    </wps:bodyPr>
                  </wps:wsp>
                </a:graphicData>
              </a:graphic>
            </wp:anchor>
          </w:drawing>
        </mc:Choice>
        <mc:Fallback>
          <w:pict>
            <v:shapetype w14:anchorId="5642BA34" id="_x0000_t202" coordsize="21600,21600" o:spt="202" path="m,l,21600r21600,l21600,xe">
              <v:stroke joinstyle="miter"/>
              <v:path gradientshapeok="t" o:connecttype="rect"/>
            </v:shapetype>
            <v:shape id="Shape 2159" o:spid="_x0000_s1257" type="#_x0000_t202" style="position:absolute;margin-left:79.05pt;margin-top:24.5pt;width:305.75pt;height:6.25pt;z-index:-25142169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" filled="f" stroked="f">
              <v:textbox style="mso-fit-shape-to-text:t" inset="0,0,0,0">
                <w:txbxContent>
                  <w:p w14:paraId="08A632AA" w14:textId="77777777" w:rsidR="00924992" w:rsidRDefault="00924992">
                    <w:pPr>
                      <w:pStyle w:val="Headerorfooter0"/>
                      <w:tabs>
                        <w:tab w:val="right" w:pos="6115"/>
                      </w:tabs>
                      <w:rPr>
                        <w:sz w:val="16"/>
                        <w:szCs w:val="16"/>
                      </w:rPr>
                    </w:pPr>
                    <w:r>
                      <w:t xml:space="preserve">YERSINIA ENTEROCOLITICA Y </w:t>
                    </w:r>
                    <w:r>
                      <w:rPr>
                        <w:i/>
                        <w:iCs/>
                        <w:sz w:val="13"/>
                        <w:szCs w:val="13"/>
                      </w:rPr>
                      <w:t>YERSINIA PSEUDOTUBERCULOSIS</w:t>
                    </w:r>
                    <w:r>
                      <w:rPr>
                        <w:i/>
                        <w:iCs/>
                      </w:rPr>
                      <w:t>,</w:t>
                    </w:r>
                    <w:r>
                      <w:t xml:space="preserve"> INFECCIONES</w:t>
                    </w:r>
                    <w:r>
                      <w:tab/>
                    </w:r>
                    <w:r>
                      <w:rPr>
                        <w:sz w:val="16"/>
                        <w:szCs w:val="16"/>
                      </w:rPr>
                      <w:t>719</w:t>
                    </w:r>
                  </w:p>
                </w:txbxContent>
              </v:textbox>
              <w10:wrap anchorx="page" anchory="page"/>
            </v:shape>
          </w:pict>
        </mc:Fallback>
      </mc:AlternateContent>
    </w:r>
    <w:r>
      <w:rPr>
        <w:noProof/>
      </w:rPr>
      <mc:AlternateContent>
        <mc:Choice Requires="wps">
          <w:drawing>
            <wp:anchor distT="0" distB="0" distL="114300" distR="114300" simplePos="0" relativeHeight="251749376" behindDoc="1" locked="0" layoutInCell="1" allowOverlap="1" wp14:anchorId="4632100B" wp14:editId="099E5E00">
              <wp:simplePos x="0" y="0"/>
              <wp:positionH relativeFrom="page">
                <wp:posOffset>549910</wp:posOffset>
              </wp:positionH>
              <wp:positionV relativeFrom="page">
                <wp:posOffset>419100</wp:posOffset>
              </wp:positionV>
              <wp:extent cx="4358640" cy="0"/>
              <wp:effectExtent l="0" t="0" r="0" b="0"/>
              <wp:wrapNone/>
              <wp:docPr id="2161" name="Shape 2161"/>
              <wp:cNvGraphicFramePr/>
              <a:graphic xmlns:a="http://schemas.openxmlformats.org/drawingml/2006/main">
                <a:graphicData uri="http://schemas.microsoft.com/office/word/2010/wordprocessingShape">
                  <wps:wsp>
                    <wps:cNvCnPr/>
                    <wps:spPr>
                      <a:xfrm>
                        <a:off x="0" y="0"/>
                        <a:ext cx="4358640" cy="0"/>
                      </a:xfrm>
                      <a:prstGeom prst="straightConnector1">
                        <a:avLst/>
                      </a:prstGeom>
                      <a:ln w="12700">
                        <a:solidFill/>
                      </a:ln>
                    </wps:spPr>
                    <wps:bodyPr/>
                  </wps:wsp>
                </a:graphicData>
              </a:graphic>
            </wp:anchor>
          </w:drawing>
        </mc:Choice>
        <mc:Fallback>
          <w:pict>
            <v:shapetype w14:anchorId="5C3FF39F" id="_x0000_t32" coordsize="21600,21600" o:spt="32" o:oned="t" path="m,l21600,21600e" filled="f">
              <v:path arrowok="t" fillok="f" o:connecttype="none"/>
              <o:lock v:ext="edit" shapetype="t"/>
            </v:shapetype>
            <v:shape id="Shape 2161" o:spid="_x0000_s1026" type="#_x0000_t32" style="position:absolute;margin-left:43.3pt;margin-top:33pt;width:343.2pt;height:0;z-index:-251567104;visibility:visible;mso-wrap-style:square;mso-wrap-distance-left:9pt;mso-wrap-distance-top:0;mso-wrap-distance-right:9pt;mso-wrap-distance-bottom:0;mso-position-horizontal:absolute;mso-position-horizontal-relative:page;mso-position-vertical:absolute;mso-position-vertical-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" strokeweight="1pt">
              <w10:wrap anchorx="page" anchory="page"/>
            </v:shape>
          </w:pict>
        </mc:Fallback>
      </mc:AlternateContent>
    </w:r>
  </w:p>
</w:hdr>
</file>

<file path=word/header9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CE7049" w14:textId="77777777" w:rsidR="00924992" w:rsidRDefault="00924992">
    <w:pPr>
      <w:spacing w:line="1" w:lineRule="exact"/>
    </w:pPr>
    <w:r>
      <w:rPr>
        <w:noProof/>
      </w:rPr>
      <mc:AlternateContent>
        <mc:Choice Requires="wps">
          <w:drawing>
            <wp:anchor distT="0" distB="0" distL="0" distR="0" simplePos="0" relativeHeight="251897856" behindDoc="1" locked="0" layoutInCell="1" allowOverlap="1" wp14:anchorId="1B88DDF9" wp14:editId="6CB8673B">
              <wp:simplePos x="0" y="0"/>
              <wp:positionH relativeFrom="page">
                <wp:posOffset>1011555</wp:posOffset>
              </wp:positionH>
              <wp:positionV relativeFrom="page">
                <wp:posOffset>311150</wp:posOffset>
              </wp:positionV>
              <wp:extent cx="3867785" cy="79375"/>
              <wp:effectExtent l="0" t="0" r="0" b="0"/>
              <wp:wrapNone/>
              <wp:docPr id="2168" name="Shape 2168"/>
              <wp:cNvGraphicFramePr/>
              <a:graphic xmlns:a="http://schemas.openxmlformats.org/drawingml/2006/main">
                <a:graphicData uri="http://schemas.microsoft.com/office/word/2010/wordprocessingShape">
                  <wps:wsp>
                    <wps:cNvSpPr txBox="1"/>
                    <wps:spPr>
                      <a:xfrm>
                        <a:off x="0" y="0"/>
                        <a:ext cx="3867785" cy="79375"/>
                      </a:xfrm>
                      <a:prstGeom prst="rect">
                        <a:avLst/>
                      </a:prstGeom>
                      <a:noFill/>
                    </wps:spPr>
                    <wps:txbx>
                      <w:txbxContent>
                        <w:p w14:paraId="6CAD9A1D" w14:textId="77777777" w:rsidR="00924992" w:rsidRDefault="00924992">
                          <w:pPr>
                            <w:pStyle w:val="Headerorfooter0"/>
                            <w:tabs>
                              <w:tab w:val="right" w:pos="6091"/>
                            </w:tabs>
                            <w:rPr>
                              <w:sz w:val="16"/>
                              <w:szCs w:val="16"/>
                            </w:rPr>
                          </w:pPr>
                          <w:r>
                            <w:t xml:space="preserve">YERSINIA ENTEROCOLITICA Y </w:t>
                          </w:r>
                          <w:r>
                            <w:rPr>
                              <w:i/>
                              <w:iCs/>
                              <w:sz w:val="13"/>
                              <w:szCs w:val="13"/>
                            </w:rPr>
                            <w:t>YERSINIA PSEUDOTUBERCULOSIS</w:t>
                          </w:r>
                          <w:r>
                            <w:rPr>
                              <w:i/>
                              <w:iCs/>
                            </w:rPr>
                            <w:t>,</w:t>
                          </w:r>
                          <w:r>
                            <w:t xml:space="preserve"> INFECCIONES</w:t>
                          </w:r>
                          <w:r>
                            <w:tab/>
                          </w:r>
                          <w:r>
                            <w:rPr>
                              <w:sz w:val="16"/>
                              <w:szCs w:val="16"/>
                            </w:rPr>
                            <w:t>721</w:t>
                          </w:r>
                        </w:p>
                      </w:txbxContent>
                    </wps:txbx>
                    <wps:bodyPr lIns="0" tIns="0" rIns="0" bIns="0">
                      <a:spAutoFit/>
                    </wps:bodyPr>
                  </wps:wsp>
                </a:graphicData>
              </a:graphic>
            </wp:anchor>
          </w:drawing>
        </mc:Choice>
        <mc:Fallback>
          <w:pict>
            <v:shapetype w14:anchorId="1B88DDF9" id="_x0000_t202" coordsize="21600,21600" o:spt="202" path="m,l,21600r21600,l21600,xe">
              <v:stroke joinstyle="miter"/>
              <v:path gradientshapeok="t" o:connecttype="rect"/>
            </v:shapetype>
            <v:shape id="Shape 2168" o:spid="_x0000_s1258" type="#_x0000_t202" style="position:absolute;margin-left:79.65pt;margin-top:24.5pt;width:304.55pt;height:6.25pt;z-index:-25141862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" filled="f" stroked="f">
              <v:textbox style="mso-fit-shape-to-text:t" inset="0,0,0,0">
                <w:txbxContent>
                  <w:p w14:paraId="6CAD9A1D" w14:textId="77777777" w:rsidR="00924992" w:rsidRDefault="00924992">
                    <w:pPr>
                      <w:pStyle w:val="Headerorfooter0"/>
                      <w:tabs>
                        <w:tab w:val="right" w:pos="6091"/>
                      </w:tabs>
                      <w:rPr>
                        <w:sz w:val="16"/>
                        <w:szCs w:val="16"/>
                      </w:rPr>
                    </w:pPr>
                    <w:r>
                      <w:t xml:space="preserve">YERSINIA ENTEROCOLITICA Y </w:t>
                    </w:r>
                    <w:r>
                      <w:rPr>
                        <w:i/>
                        <w:iCs/>
                        <w:sz w:val="13"/>
                        <w:szCs w:val="13"/>
                      </w:rPr>
                      <w:t>YERSINIA PSEUDOTUBERCULOSIS</w:t>
                    </w:r>
                    <w:r>
                      <w:rPr>
                        <w:i/>
                        <w:iCs/>
                      </w:rPr>
                      <w:t>,</w:t>
                    </w:r>
                    <w:r>
                      <w:t xml:space="preserve"> INFECCIONES</w:t>
                    </w:r>
                    <w:r>
                      <w:tab/>
                    </w:r>
                    <w:r>
                      <w:rPr>
                        <w:sz w:val="16"/>
                        <w:szCs w:val="16"/>
                      </w:rPr>
                      <w:t>721</w:t>
                    </w:r>
                  </w:p>
                </w:txbxContent>
              </v:textbox>
              <w10:wrap anchorx="page" anchory="page"/>
            </v:shape>
          </w:pict>
        </mc:Fallback>
      </mc:AlternateContent>
    </w:r>
    <w:r>
      <w:rPr>
        <w:noProof/>
      </w:rPr>
      <mc:AlternateContent>
        <mc:Choice Requires="wps">
          <w:drawing>
            <wp:anchor distT="0" distB="0" distL="114300" distR="114300" simplePos="0" relativeHeight="251752448" behindDoc="1" locked="0" layoutInCell="1" allowOverlap="1" wp14:anchorId="795D3119" wp14:editId="0731973A">
              <wp:simplePos x="0" y="0"/>
              <wp:positionH relativeFrom="page">
                <wp:posOffset>557530</wp:posOffset>
              </wp:positionH>
              <wp:positionV relativeFrom="page">
                <wp:posOffset>419100</wp:posOffset>
              </wp:positionV>
              <wp:extent cx="4358640" cy="0"/>
              <wp:effectExtent l="0" t="0" r="0" b="0"/>
              <wp:wrapNone/>
              <wp:docPr id="2170" name="Shape 2170"/>
              <wp:cNvGraphicFramePr/>
              <a:graphic xmlns:a="http://schemas.openxmlformats.org/drawingml/2006/main">
                <a:graphicData uri="http://schemas.microsoft.com/office/word/2010/wordprocessingShape">
                  <wps:wsp>
                    <wps:cNvCnPr/>
                    <wps:spPr>
                      <a:xfrm>
                        <a:off x="0" y="0"/>
                        <a:ext cx="4358640" cy="0"/>
                      </a:xfrm>
                      <a:prstGeom prst="straightConnector1">
                        <a:avLst/>
                      </a:prstGeom>
                      <a:ln w="12700">
                        <a:solidFill/>
                      </a:ln>
                    </wps:spPr>
                    <wps:bodyPr/>
                  </wps:wsp>
                </a:graphicData>
              </a:graphic>
            </wp:anchor>
          </w:drawing>
        </mc:Choice>
        <mc:Fallback>
          <w:pict>
            <v:shapetype w14:anchorId="47774213" id="_x0000_t32" coordsize="21600,21600" o:spt="32" o:oned="t" path="m,l21600,21600e" filled="f">
              <v:path arrowok="t" fillok="f" o:connecttype="none"/>
              <o:lock v:ext="edit" shapetype="t"/>
            </v:shapetype>
            <v:shape id="Shape 2170" o:spid="_x0000_s1026" type="#_x0000_t32" style="position:absolute;margin-left:43.9pt;margin-top:33pt;width:343.2pt;height:0;z-index:-251564032;visibility:visible;mso-wrap-style:square;mso-wrap-distance-left:9pt;mso-wrap-distance-top:0;mso-wrap-distance-right:9pt;mso-wrap-distance-bottom:0;mso-position-horizontal:absolute;mso-position-horizontal-relative:page;mso-position-vertical:absolute;mso-position-vertical-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" strokeweight="1pt">
              <w10:wrap anchorx="page" anchory="page"/>
            </v:shape>
          </w:pict>
        </mc:Fallback>
      </mc:AlternateContent>
    </w:r>
  </w:p>
</w:hdr>
</file>

<file path=word/header10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5520FE" w14:textId="77777777" w:rsidR="00924992" w:rsidRDefault="00924992">
    <w:pPr>
      <w:spacing w:line="1" w:lineRule="exact"/>
    </w:pPr>
    <w:r>
      <w:rPr>
        <w:noProof/>
      </w:rPr>
      <mc:AlternateContent>
        <mc:Choice Requires="wps">
          <w:drawing>
            <wp:anchor distT="0" distB="0" distL="0" distR="0" simplePos="0" relativeHeight="251896832" behindDoc="1" locked="0" layoutInCell="1" allowOverlap="1" wp14:anchorId="14834B63" wp14:editId="0BEFDB1A">
              <wp:simplePos x="0" y="0"/>
              <wp:positionH relativeFrom="page">
                <wp:posOffset>1011555</wp:posOffset>
              </wp:positionH>
              <wp:positionV relativeFrom="page">
                <wp:posOffset>311150</wp:posOffset>
              </wp:positionV>
              <wp:extent cx="3867785" cy="79375"/>
              <wp:effectExtent l="0" t="0" r="0" b="0"/>
              <wp:wrapNone/>
              <wp:docPr id="2165" name="Shape 2165"/>
              <wp:cNvGraphicFramePr/>
              <a:graphic xmlns:a="http://schemas.openxmlformats.org/drawingml/2006/main">
                <a:graphicData uri="http://schemas.microsoft.com/office/word/2010/wordprocessingShape">
                  <wps:wsp>
                    <wps:cNvSpPr txBox="1"/>
                    <wps:spPr>
                      <a:xfrm>
                        <a:off x="0" y="0"/>
                        <a:ext cx="3867785" cy="79375"/>
                      </a:xfrm>
                      <a:prstGeom prst="rect">
                        <a:avLst/>
                      </a:prstGeom>
                      <a:noFill/>
                    </wps:spPr>
                    <wps:txbx>
                      <w:txbxContent>
                        <w:p w14:paraId="6874C72E" w14:textId="77777777" w:rsidR="00924992" w:rsidRDefault="00924992">
                          <w:pPr>
                            <w:pStyle w:val="Headerorfooter0"/>
                            <w:tabs>
                              <w:tab w:val="right" w:pos="6091"/>
                            </w:tabs>
                            <w:rPr>
                              <w:sz w:val="16"/>
                              <w:szCs w:val="16"/>
                            </w:rPr>
                          </w:pPr>
                          <w:r>
                            <w:t xml:space="preserve">YERSINIA ENTEROCOLITICA Y </w:t>
                          </w:r>
                          <w:r>
                            <w:rPr>
                              <w:i/>
                              <w:iCs/>
                              <w:sz w:val="13"/>
                              <w:szCs w:val="13"/>
                            </w:rPr>
                            <w:t>YERSINIA PSEUDOTUBERCULOSIS</w:t>
                          </w:r>
                          <w:r>
                            <w:rPr>
                              <w:i/>
                              <w:iCs/>
                            </w:rPr>
                            <w:t>,</w:t>
                          </w:r>
                          <w:r>
                            <w:t xml:space="preserve"> INFECCIONES</w:t>
                          </w:r>
                          <w:r>
                            <w:tab/>
                          </w:r>
                          <w:r>
                            <w:rPr>
                              <w:sz w:val="16"/>
                              <w:szCs w:val="16"/>
                            </w:rPr>
                            <w:t>721</w:t>
                          </w:r>
                        </w:p>
                      </w:txbxContent>
                    </wps:txbx>
                    <wps:bodyPr lIns="0" tIns="0" rIns="0" bIns="0">
                      <a:spAutoFit/>
                    </wps:bodyPr>
                  </wps:wsp>
                </a:graphicData>
              </a:graphic>
            </wp:anchor>
          </w:drawing>
        </mc:Choice>
        <mc:Fallback>
          <w:pict>
            <v:shapetype w14:anchorId="14834B63" id="_x0000_t202" coordsize="21600,21600" o:spt="202" path="m,l,21600r21600,l21600,xe">
              <v:stroke joinstyle="miter"/>
              <v:path gradientshapeok="t" o:connecttype="rect"/>
            </v:shapetype>
            <v:shape id="Shape 2165" o:spid="_x0000_s1259" type="#_x0000_t202" style="position:absolute;margin-left:79.65pt;margin-top:24.5pt;width:304.55pt;height:6.25pt;z-index:-25141964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" filled="f" stroked="f">
              <v:textbox style="mso-fit-shape-to-text:t" inset="0,0,0,0">
                <w:txbxContent>
                  <w:p w14:paraId="6874C72E" w14:textId="77777777" w:rsidR="00924992" w:rsidRDefault="00924992">
                    <w:pPr>
                      <w:pStyle w:val="Headerorfooter0"/>
                      <w:tabs>
                        <w:tab w:val="right" w:pos="6091"/>
                      </w:tabs>
                      <w:rPr>
                        <w:sz w:val="16"/>
                        <w:szCs w:val="16"/>
                      </w:rPr>
                    </w:pPr>
                    <w:r>
                      <w:t xml:space="preserve">YERSINIA ENTEROCOLITICA Y </w:t>
                    </w:r>
                    <w:r>
                      <w:rPr>
                        <w:i/>
                        <w:iCs/>
                        <w:sz w:val="13"/>
                        <w:szCs w:val="13"/>
                      </w:rPr>
                      <w:t>YERSINIA PSEUDOTUBERCULOSIS</w:t>
                    </w:r>
                    <w:r>
                      <w:rPr>
                        <w:i/>
                        <w:iCs/>
                      </w:rPr>
                      <w:t>,</w:t>
                    </w:r>
                    <w:r>
                      <w:t xml:space="preserve"> INFECCIONES</w:t>
                    </w:r>
                    <w:r>
                      <w:tab/>
                    </w:r>
                    <w:r>
                      <w:rPr>
                        <w:sz w:val="16"/>
                        <w:szCs w:val="16"/>
                      </w:rPr>
                      <w:t>721</w:t>
                    </w:r>
                  </w:p>
                </w:txbxContent>
              </v:textbox>
              <w10:wrap anchorx="page" anchory="page"/>
            </v:shape>
          </w:pict>
        </mc:Fallback>
      </mc:AlternateContent>
    </w:r>
    <w:r>
      <w:rPr>
        <w:noProof/>
      </w:rPr>
      <mc:AlternateContent>
        <mc:Choice Requires="wps">
          <w:drawing>
            <wp:anchor distT="0" distB="0" distL="114300" distR="114300" simplePos="0" relativeHeight="251751424" behindDoc="1" locked="0" layoutInCell="1" allowOverlap="1" wp14:anchorId="0BB52886" wp14:editId="3FE0595F">
              <wp:simplePos x="0" y="0"/>
              <wp:positionH relativeFrom="page">
                <wp:posOffset>557530</wp:posOffset>
              </wp:positionH>
              <wp:positionV relativeFrom="page">
                <wp:posOffset>419100</wp:posOffset>
              </wp:positionV>
              <wp:extent cx="4358640" cy="0"/>
              <wp:effectExtent l="0" t="0" r="0" b="0"/>
              <wp:wrapNone/>
              <wp:docPr id="2167" name="Shape 2167"/>
              <wp:cNvGraphicFramePr/>
              <a:graphic xmlns:a="http://schemas.openxmlformats.org/drawingml/2006/main">
                <a:graphicData uri="http://schemas.microsoft.com/office/word/2010/wordprocessingShape">
                  <wps:wsp>
                    <wps:cNvCnPr/>
                    <wps:spPr>
                      <a:xfrm>
                        <a:off x="0" y="0"/>
                        <a:ext cx="4358640" cy="0"/>
                      </a:xfrm>
                      <a:prstGeom prst="straightConnector1">
                        <a:avLst/>
                      </a:prstGeom>
                      <a:ln w="12700">
                        <a:solidFill/>
                      </a:ln>
                    </wps:spPr>
                    <wps:bodyPr/>
                  </wps:wsp>
                </a:graphicData>
              </a:graphic>
            </wp:anchor>
          </w:drawing>
        </mc:Choice>
        <mc:Fallback>
          <w:pict>
            <v:shapetype w14:anchorId="5F212E25" id="_x0000_t32" coordsize="21600,21600" o:spt="32" o:oned="t" path="m,l21600,21600e" filled="f">
              <v:path arrowok="t" fillok="f" o:connecttype="none"/>
              <o:lock v:ext="edit" shapetype="t"/>
            </v:shapetype>
            <v:shape id="Shape 2167" o:spid="_x0000_s1026" type="#_x0000_t32" style="position:absolute;margin-left:43.9pt;margin-top:33pt;width:343.2pt;height:0;z-index:-251565056;visibility:visible;mso-wrap-style:square;mso-wrap-distance-left:9pt;mso-wrap-distance-top:0;mso-wrap-distance-right:9pt;mso-wrap-distance-bottom:0;mso-position-horizontal:absolute;mso-position-horizontal-relative:page;mso-position-vertical:absolute;mso-position-vertical-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" strokeweight="1pt">
              <w10:wrap anchorx="page" anchory="page"/>
            </v:shape>
          </w:pict>
        </mc:Fallback>
      </mc:AlternateContent>
    </w:r>
  </w:p>
</w:hdr>
</file>

<file path=word/header10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DF67AD" w14:textId="77777777" w:rsidR="00924992" w:rsidRDefault="00924992">
    <w:pPr>
      <w:spacing w:line="1" w:lineRule="exact"/>
    </w:pPr>
    <w:r>
      <w:rPr>
        <w:noProof/>
      </w:rPr>
      <mc:AlternateContent>
        <mc:Choice Requires="wps">
          <w:drawing>
            <wp:anchor distT="0" distB="0" distL="0" distR="0" simplePos="0" relativeHeight="251899904" behindDoc="1" locked="0" layoutInCell="1" allowOverlap="1" wp14:anchorId="1CD1704C" wp14:editId="29CDE4D5">
              <wp:simplePos x="0" y="0"/>
              <wp:positionH relativeFrom="page">
                <wp:posOffset>601980</wp:posOffset>
              </wp:positionH>
              <wp:positionV relativeFrom="page">
                <wp:posOffset>398145</wp:posOffset>
              </wp:positionV>
              <wp:extent cx="624840" cy="113030"/>
              <wp:effectExtent l="0" t="0" r="0" b="0"/>
              <wp:wrapNone/>
              <wp:docPr id="2174" name="Shape 2174"/>
              <wp:cNvGraphicFramePr/>
              <a:graphic xmlns:a="http://schemas.openxmlformats.org/drawingml/2006/main">
                <a:graphicData uri="http://schemas.microsoft.com/office/word/2010/wordprocessingShape">
                  <wps:wsp>
                    <wps:cNvSpPr txBox="1"/>
                    <wps:spPr>
                      <a:xfrm>
                        <a:off x="0" y="0"/>
                        <a:ext cx="624840" cy="113030"/>
                      </a:xfrm>
                      <a:prstGeom prst="rect">
                        <a:avLst/>
                      </a:prstGeom>
                      <a:noFill/>
                    </wps:spPr>
                    <wps:txbx>
                      <w:txbxContent>
                        <w:p w14:paraId="17CBE1F8" w14:textId="77777777" w:rsidR="00924992" w:rsidRDefault="00924992">
                          <w:pPr>
                            <w:pStyle w:val="Headerorfooter0"/>
                            <w:rPr>
                              <w:sz w:val="19"/>
                              <w:szCs w:val="19"/>
                            </w:rPr>
                          </w:pPr>
                          <w:r>
                            <w:rPr>
                              <w:rFonts w:ascii="Book Antiqua" w:eastAsia="Book Antiqua" w:hAnsi="Book Antiqua" w:cs="Book Antiqua"/>
                              <w:smallCaps/>
                              <w:color w:val="000000"/>
                              <w:sz w:val="22"/>
                              <w:szCs w:val="22"/>
                            </w:rPr>
                            <w:t>Sección</w:t>
                          </w:r>
                          <w:r>
                            <w:rPr>
                              <w:rFonts w:ascii="Book Antiqua" w:eastAsia="Book Antiqua" w:hAnsi="Book Antiqua" w:cs="Book Antiqua"/>
                              <w:color w:val="000000"/>
                              <w:sz w:val="19"/>
                              <w:szCs w:val="19"/>
                            </w:rPr>
                            <w:t xml:space="preserve"> 4</w:t>
                          </w:r>
                        </w:p>
                      </w:txbxContent>
                    </wps:txbx>
                    <wps:bodyPr wrap="none" lIns="0" tIns="0" rIns="0" bIns="0">
                      <a:spAutoFit/>
                    </wps:bodyPr>
                  </wps:wsp>
                </a:graphicData>
              </a:graphic>
            </wp:anchor>
          </w:drawing>
        </mc:Choice>
        <mc:Fallback>
          <w:pict>
            <v:shapetype w14:anchorId="1CD1704C" id="_x0000_t202" coordsize="21600,21600" o:spt="202" path="m,l,21600r21600,l21600,xe">
              <v:stroke joinstyle="miter"/>
              <v:path gradientshapeok="t" o:connecttype="rect"/>
            </v:shapetype>
            <v:shape id="Shape 2174" o:spid="_x0000_s1260" type="#_x0000_t202" style="position:absolute;margin-left:47.4pt;margin-top:31.35pt;width:49.2pt;height:8.9pt;z-index:-251416576;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" filled="f" stroked="f">
              <v:textbox style="mso-fit-shape-to-text:t" inset="0,0,0,0">
                <w:txbxContent>
                  <w:p w14:paraId="17CBE1F8" w14:textId="77777777" w:rsidR="00924992" w:rsidRDefault="00924992">
                    <w:pPr>
                      <w:pStyle w:val="Headerorfooter0"/>
                      <w:rPr>
                        <w:sz w:val="19"/>
                        <w:szCs w:val="19"/>
                      </w:rPr>
                    </w:pPr>
                    <w:r>
                      <w:rPr>
                        <w:rFonts w:ascii="Book Antiqua" w:eastAsia="Book Antiqua" w:hAnsi="Book Antiqua" w:cs="Book Antiqua"/>
                        <w:smallCaps/>
                        <w:color w:val="000000"/>
                        <w:sz w:val="22"/>
                        <w:szCs w:val="22"/>
                      </w:rPr>
                      <w:t>Sección</w:t>
                    </w:r>
                    <w:r>
                      <w:rPr>
                        <w:rFonts w:ascii="Book Antiqua" w:eastAsia="Book Antiqua" w:hAnsi="Book Antiqua" w:cs="Book Antiqua"/>
                        <w:color w:val="000000"/>
                        <w:sz w:val="19"/>
                        <w:szCs w:val="19"/>
                      </w:rPr>
                      <w:t xml:space="preserve"> 4</w:t>
                    </w:r>
                  </w:p>
                </w:txbxContent>
              </v:textbox>
              <w10:wrap anchorx="page" anchory="page"/>
            </v:shape>
          </w:pict>
        </mc:Fallback>
      </mc:AlternateContent>
    </w:r>
    <w:r>
      <w:rPr>
        <w:noProof/>
      </w:rPr>
      <mc:AlternateContent>
        <mc:Choice Requires="wps">
          <w:drawing>
            <wp:anchor distT="0" distB="0" distL="114300" distR="114300" simplePos="0" relativeHeight="251754496" behindDoc="1" locked="0" layoutInCell="1" allowOverlap="1" wp14:anchorId="5AD09552" wp14:editId="0EFD51BE">
              <wp:simplePos x="0" y="0"/>
              <wp:positionH relativeFrom="page">
                <wp:posOffset>584200</wp:posOffset>
              </wp:positionH>
              <wp:positionV relativeFrom="page">
                <wp:posOffset>575945</wp:posOffset>
              </wp:positionV>
              <wp:extent cx="4358640" cy="0"/>
              <wp:effectExtent l="0" t="0" r="0" b="0"/>
              <wp:wrapNone/>
              <wp:docPr id="2176" name="Shape 2176"/>
              <wp:cNvGraphicFramePr/>
              <a:graphic xmlns:a="http://schemas.openxmlformats.org/drawingml/2006/main">
                <a:graphicData uri="http://schemas.microsoft.com/office/word/2010/wordprocessingShape">
                  <wps:wsp>
                    <wps:cNvCnPr/>
                    <wps:spPr>
                      <a:xfrm>
                        <a:off x="0" y="0"/>
                        <a:ext cx="4358640" cy="0"/>
                      </a:xfrm>
                      <a:prstGeom prst="straightConnector1">
                        <a:avLst/>
                      </a:prstGeom>
                      <a:ln w="12700">
                        <a:solidFill/>
                      </a:ln>
                    </wps:spPr>
                    <wps:bodyPr/>
                  </wps:wsp>
                </a:graphicData>
              </a:graphic>
            </wp:anchor>
          </w:drawing>
        </mc:Choice>
        <mc:Fallback>
          <w:pict>
            <v:shapetype w14:anchorId="05F04BDD" id="_x0000_t32" coordsize="21600,21600" o:spt="32" o:oned="t" path="m,l21600,21600e" filled="f">
              <v:path arrowok="t" fillok="f" o:connecttype="none"/>
              <o:lock v:ext="edit" shapetype="t"/>
            </v:shapetype>
            <v:shape id="Shape 2176" o:spid="_x0000_s1026" type="#_x0000_t32" style="position:absolute;margin-left:46pt;margin-top:45.35pt;width:343.2pt;height:0;z-index:-251561984;visibility:visible;mso-wrap-style:square;mso-wrap-distance-left:9pt;mso-wrap-distance-top:0;mso-wrap-distance-right:9pt;mso-wrap-distance-bottom:0;mso-position-horizontal:absolute;mso-position-horizontal-relative:page;mso-position-vertical:absolute;mso-position-vertical-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" strokeweight="1pt">
              <w10:wrap anchorx="page" anchory="page"/>
            </v:shape>
          </w:pict>
        </mc:Fallback>
      </mc:AlternateContent>
    </w:r>
  </w:p>
</w:hdr>
</file>

<file path=word/header10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3A0AF8" w14:textId="77777777" w:rsidR="00924992" w:rsidRDefault="00924992">
    <w:pPr>
      <w:spacing w:line="1" w:lineRule="exact"/>
    </w:pPr>
    <w:r>
      <w:rPr>
        <w:noProof/>
      </w:rPr>
      <mc:AlternateContent>
        <mc:Choice Requires="wps">
          <w:drawing>
            <wp:anchor distT="0" distB="0" distL="0" distR="0" simplePos="0" relativeHeight="251898880" behindDoc="1" locked="0" layoutInCell="1" allowOverlap="1" wp14:anchorId="2735AF88" wp14:editId="519BAF26">
              <wp:simplePos x="0" y="0"/>
              <wp:positionH relativeFrom="page">
                <wp:posOffset>601980</wp:posOffset>
              </wp:positionH>
              <wp:positionV relativeFrom="page">
                <wp:posOffset>398145</wp:posOffset>
              </wp:positionV>
              <wp:extent cx="624840" cy="113030"/>
              <wp:effectExtent l="0" t="0" r="0" b="0"/>
              <wp:wrapNone/>
              <wp:docPr id="2171" name="Shape 2171"/>
              <wp:cNvGraphicFramePr/>
              <a:graphic xmlns:a="http://schemas.openxmlformats.org/drawingml/2006/main">
                <a:graphicData uri="http://schemas.microsoft.com/office/word/2010/wordprocessingShape">
                  <wps:wsp>
                    <wps:cNvSpPr txBox="1"/>
                    <wps:spPr>
                      <a:xfrm>
                        <a:off x="0" y="0"/>
                        <a:ext cx="624840" cy="113030"/>
                      </a:xfrm>
                      <a:prstGeom prst="rect">
                        <a:avLst/>
                      </a:prstGeom>
                      <a:noFill/>
                    </wps:spPr>
                    <wps:txbx>
                      <w:txbxContent>
                        <w:p w14:paraId="775B37E8" w14:textId="77777777" w:rsidR="00924992" w:rsidRDefault="00924992">
                          <w:pPr>
                            <w:pStyle w:val="Headerorfooter0"/>
                            <w:rPr>
                              <w:sz w:val="19"/>
                              <w:szCs w:val="19"/>
                            </w:rPr>
                          </w:pPr>
                          <w:r>
                            <w:rPr>
                              <w:rFonts w:ascii="Book Antiqua" w:eastAsia="Book Antiqua" w:hAnsi="Book Antiqua" w:cs="Book Antiqua"/>
                              <w:smallCaps/>
                              <w:color w:val="000000"/>
                              <w:sz w:val="22"/>
                              <w:szCs w:val="22"/>
                            </w:rPr>
                            <w:t>Sección</w:t>
                          </w:r>
                          <w:r>
                            <w:rPr>
                              <w:rFonts w:ascii="Book Antiqua" w:eastAsia="Book Antiqua" w:hAnsi="Book Antiqua" w:cs="Book Antiqua"/>
                              <w:color w:val="000000"/>
                              <w:sz w:val="19"/>
                              <w:szCs w:val="19"/>
                            </w:rPr>
                            <w:t xml:space="preserve"> 4</w:t>
                          </w:r>
                        </w:p>
                      </w:txbxContent>
                    </wps:txbx>
                    <wps:bodyPr wrap="none" lIns="0" tIns="0" rIns="0" bIns="0">
                      <a:spAutoFit/>
                    </wps:bodyPr>
                  </wps:wsp>
                </a:graphicData>
              </a:graphic>
            </wp:anchor>
          </w:drawing>
        </mc:Choice>
        <mc:Fallback>
          <w:pict>
            <v:shapetype w14:anchorId="2735AF88" id="_x0000_t202" coordsize="21600,21600" o:spt="202" path="m,l,21600r21600,l21600,xe">
              <v:stroke joinstyle="miter"/>
              <v:path gradientshapeok="t" o:connecttype="rect"/>
            </v:shapetype>
            <v:shape id="Shape 2171" o:spid="_x0000_s1261" type="#_x0000_t202" style="position:absolute;margin-left:47.4pt;margin-top:31.35pt;width:49.2pt;height:8.9pt;z-index:-251417600;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" filled="f" stroked="f">
              <v:textbox style="mso-fit-shape-to-text:t" inset="0,0,0,0">
                <w:txbxContent>
                  <w:p w14:paraId="775B37E8" w14:textId="77777777" w:rsidR="00924992" w:rsidRDefault="00924992">
                    <w:pPr>
                      <w:pStyle w:val="Headerorfooter0"/>
                      <w:rPr>
                        <w:sz w:val="19"/>
                        <w:szCs w:val="19"/>
                      </w:rPr>
                    </w:pPr>
                    <w:r>
                      <w:rPr>
                        <w:rFonts w:ascii="Book Antiqua" w:eastAsia="Book Antiqua" w:hAnsi="Book Antiqua" w:cs="Book Antiqua"/>
                        <w:smallCaps/>
                        <w:color w:val="000000"/>
                        <w:sz w:val="22"/>
                        <w:szCs w:val="22"/>
                      </w:rPr>
                      <w:t>Sección</w:t>
                    </w:r>
                    <w:r>
                      <w:rPr>
                        <w:rFonts w:ascii="Book Antiqua" w:eastAsia="Book Antiqua" w:hAnsi="Book Antiqua" w:cs="Book Antiqua"/>
                        <w:color w:val="000000"/>
                        <w:sz w:val="19"/>
                        <w:szCs w:val="19"/>
                      </w:rPr>
                      <w:t xml:space="preserve"> 4</w:t>
                    </w:r>
                  </w:p>
                </w:txbxContent>
              </v:textbox>
              <w10:wrap anchorx="page" anchory="page"/>
            </v:shape>
          </w:pict>
        </mc:Fallback>
      </mc:AlternateContent>
    </w:r>
    <w:r>
      <w:rPr>
        <w:noProof/>
      </w:rPr>
      <mc:AlternateContent>
        <mc:Choice Requires="wps">
          <w:drawing>
            <wp:anchor distT="0" distB="0" distL="114300" distR="114300" simplePos="0" relativeHeight="251753472" behindDoc="1" locked="0" layoutInCell="1" allowOverlap="1" wp14:anchorId="5C9B2E3A" wp14:editId="484956B7">
              <wp:simplePos x="0" y="0"/>
              <wp:positionH relativeFrom="page">
                <wp:posOffset>584200</wp:posOffset>
              </wp:positionH>
              <wp:positionV relativeFrom="page">
                <wp:posOffset>575945</wp:posOffset>
              </wp:positionV>
              <wp:extent cx="4358640" cy="0"/>
              <wp:effectExtent l="0" t="0" r="0" b="0"/>
              <wp:wrapNone/>
              <wp:docPr id="2173" name="Shape 2173"/>
              <wp:cNvGraphicFramePr/>
              <a:graphic xmlns:a="http://schemas.openxmlformats.org/drawingml/2006/main">
                <a:graphicData uri="http://schemas.microsoft.com/office/word/2010/wordprocessingShape">
                  <wps:wsp>
                    <wps:cNvCnPr/>
                    <wps:spPr>
                      <a:xfrm>
                        <a:off x="0" y="0"/>
                        <a:ext cx="4358640" cy="0"/>
                      </a:xfrm>
                      <a:prstGeom prst="straightConnector1">
                        <a:avLst/>
                      </a:prstGeom>
                      <a:ln w="12700">
                        <a:solidFill/>
                      </a:ln>
                    </wps:spPr>
                    <wps:bodyPr/>
                  </wps:wsp>
                </a:graphicData>
              </a:graphic>
            </wp:anchor>
          </w:drawing>
        </mc:Choice>
        <mc:Fallback>
          <w:pict>
            <v:shapetype w14:anchorId="472A9544" id="_x0000_t32" coordsize="21600,21600" o:spt="32" o:oned="t" path="m,l21600,21600e" filled="f">
              <v:path arrowok="t" fillok="f" o:connecttype="none"/>
              <o:lock v:ext="edit" shapetype="t"/>
            </v:shapetype>
            <v:shape id="Shape 2173" o:spid="_x0000_s1026" type="#_x0000_t32" style="position:absolute;margin-left:46pt;margin-top:45.35pt;width:343.2pt;height:0;z-index:-251563008;visibility:visible;mso-wrap-style:square;mso-wrap-distance-left:9pt;mso-wrap-distance-top:0;mso-wrap-distance-right:9pt;mso-wrap-distance-bottom:0;mso-position-horizontal:absolute;mso-position-horizontal-relative:page;mso-position-vertical:absolute;mso-position-vertical-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" strokeweight="1pt">
              <w10:wrap anchorx="page" anchory="page"/>
            </v:shape>
          </w:pict>
        </mc:Fallback>
      </mc:AlternateContent>
    </w:r>
  </w:p>
</w:hdr>
</file>

<file path=word/header10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D5E039" w14:textId="77777777" w:rsidR="00924992" w:rsidRDefault="00924992">
    <w:pPr>
      <w:spacing w:line="1" w:lineRule="exact"/>
    </w:pPr>
    <w:r>
      <w:rPr>
        <w:noProof/>
      </w:rPr>
      <mc:AlternateContent>
        <mc:Choice Requires="wps">
          <w:drawing>
            <wp:anchor distT="0" distB="0" distL="0" distR="0" simplePos="0" relativeHeight="251901952" behindDoc="1" locked="0" layoutInCell="1" allowOverlap="1" wp14:anchorId="409076AF" wp14:editId="0125E701">
              <wp:simplePos x="0" y="0"/>
              <wp:positionH relativeFrom="page">
                <wp:posOffset>599440</wp:posOffset>
              </wp:positionH>
              <wp:positionV relativeFrom="page">
                <wp:posOffset>300355</wp:posOffset>
              </wp:positionV>
              <wp:extent cx="2502535" cy="85090"/>
              <wp:effectExtent l="0" t="0" r="0" b="0"/>
              <wp:wrapNone/>
              <wp:docPr id="2180" name="Shape 2180"/>
              <wp:cNvGraphicFramePr/>
              <a:graphic xmlns:a="http://schemas.openxmlformats.org/drawingml/2006/main">
                <a:graphicData uri="http://schemas.microsoft.com/office/word/2010/wordprocessingShape">
                  <wps:wsp>
                    <wps:cNvSpPr txBox="1"/>
                    <wps:spPr>
                      <a:xfrm>
                        <a:off x="0" y="0"/>
                        <a:ext cx="2502535" cy="85090"/>
                      </a:xfrm>
                      <a:prstGeom prst="rect">
                        <a:avLst/>
                      </a:prstGeom>
                      <a:noFill/>
                    </wps:spPr>
                    <wps:txbx>
                      <w:txbxContent>
                        <w:p w14:paraId="26135487" w14:textId="77777777" w:rsidR="00924992" w:rsidRDefault="00924992">
                          <w:pPr>
                            <w:pStyle w:val="Headerorfooter0"/>
                            <w:tabs>
                              <w:tab w:val="right" w:pos="3941"/>
                            </w:tabs>
                          </w:pPr>
                          <w:r>
                            <w:rPr>
                              <w:color w:val="000000"/>
                              <w:sz w:val="16"/>
                              <w:szCs w:val="16"/>
                            </w:rPr>
                            <w:t>724</w:t>
                          </w:r>
                          <w:r>
                            <w:rPr>
                              <w:color w:val="000000"/>
                              <w:sz w:val="16"/>
                              <w:szCs w:val="16"/>
                            </w:rPr>
                            <w:tab/>
                          </w:r>
                          <w:r>
                            <w:rPr>
                              <w:color w:val="000000"/>
                            </w:rPr>
                            <w:t>INTRODUCCIÓN</w:t>
                          </w:r>
                        </w:p>
                      </w:txbxContent>
                    </wps:txbx>
                    <wps:bodyPr lIns="0" tIns="0" rIns="0" bIns="0">
                      <a:spAutoFit/>
                    </wps:bodyPr>
                  </wps:wsp>
                </a:graphicData>
              </a:graphic>
            </wp:anchor>
          </w:drawing>
        </mc:Choice>
        <mc:Fallback>
          <w:pict>
            <v:shapetype w14:anchorId="409076AF" id="_x0000_t202" coordsize="21600,21600" o:spt="202" path="m,l,21600r21600,l21600,xe">
              <v:stroke joinstyle="miter"/>
              <v:path gradientshapeok="t" o:connecttype="rect"/>
            </v:shapetype>
            <v:shape id="Shape 2180" o:spid="_x0000_s1262" type="#_x0000_t202" style="position:absolute;margin-left:47.2pt;margin-top:23.65pt;width:197.05pt;height:6.7pt;z-index:-25141452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" filled="f" stroked="f">
              <v:textbox style="mso-fit-shape-to-text:t" inset="0,0,0,0">
                <w:txbxContent>
                  <w:p w14:paraId="26135487" w14:textId="77777777" w:rsidR="00924992" w:rsidRDefault="00924992">
                    <w:pPr>
                      <w:pStyle w:val="Headerorfooter0"/>
                      <w:tabs>
                        <w:tab w:val="right" w:pos="3941"/>
                      </w:tabs>
                    </w:pPr>
                    <w:r>
                      <w:rPr>
                        <w:color w:val="000000"/>
                        <w:sz w:val="16"/>
                        <w:szCs w:val="16"/>
                      </w:rPr>
                      <w:t>724</w:t>
                    </w:r>
                    <w:r>
                      <w:rPr>
                        <w:color w:val="000000"/>
                        <w:sz w:val="16"/>
                        <w:szCs w:val="16"/>
                      </w:rPr>
                      <w:tab/>
                    </w:r>
                    <w:r>
                      <w:rPr>
                        <w:color w:val="000000"/>
                      </w:rPr>
                      <w:t>INTRODUCCIÓN</w:t>
                    </w:r>
                  </w:p>
                </w:txbxContent>
              </v:textbox>
              <w10:wrap anchorx="page" anchory="page"/>
            </v:shape>
          </w:pict>
        </mc:Fallback>
      </mc:AlternateContent>
    </w:r>
    <w:r>
      <w:rPr>
        <w:noProof/>
      </w:rPr>
      <mc:AlternateContent>
        <mc:Choice Requires="wps">
          <w:drawing>
            <wp:anchor distT="0" distB="0" distL="114300" distR="114300" simplePos="0" relativeHeight="251756544" behindDoc="1" locked="0" layoutInCell="1" allowOverlap="1" wp14:anchorId="261BB328" wp14:editId="0FB4DC4D">
              <wp:simplePos x="0" y="0"/>
              <wp:positionH relativeFrom="page">
                <wp:posOffset>584200</wp:posOffset>
              </wp:positionH>
              <wp:positionV relativeFrom="page">
                <wp:posOffset>423545</wp:posOffset>
              </wp:positionV>
              <wp:extent cx="4358640" cy="0"/>
              <wp:effectExtent l="0" t="0" r="0" b="0"/>
              <wp:wrapNone/>
              <wp:docPr id="2182" name="Shape 2182"/>
              <wp:cNvGraphicFramePr/>
              <a:graphic xmlns:a="http://schemas.openxmlformats.org/drawingml/2006/main">
                <a:graphicData uri="http://schemas.microsoft.com/office/word/2010/wordprocessingShape">
                  <wps:wsp>
                    <wps:cNvCnPr/>
                    <wps:spPr>
                      <a:xfrm>
                        <a:off x="0" y="0"/>
                        <a:ext cx="4358640" cy="0"/>
                      </a:xfrm>
                      <a:prstGeom prst="straightConnector1">
                        <a:avLst/>
                      </a:prstGeom>
                      <a:ln w="12700">
                        <a:solidFill/>
                      </a:ln>
                    </wps:spPr>
                    <wps:bodyPr/>
                  </wps:wsp>
                </a:graphicData>
              </a:graphic>
            </wp:anchor>
          </w:drawing>
        </mc:Choice>
        <mc:Fallback>
          <w:pict>
            <v:shapetype w14:anchorId="6535EB2D" id="_x0000_t32" coordsize="21600,21600" o:spt="32" o:oned="t" path="m,l21600,21600e" filled="f">
              <v:path arrowok="t" fillok="f" o:connecttype="none"/>
              <o:lock v:ext="edit" shapetype="t"/>
            </v:shapetype>
            <v:shape id="Shape 2182" o:spid="_x0000_s1026" type="#_x0000_t32" style="position:absolute;margin-left:46pt;margin-top:33.35pt;width:343.2pt;height:0;z-index:-251559936;visibility:visible;mso-wrap-style:square;mso-wrap-distance-left:9pt;mso-wrap-distance-top:0;mso-wrap-distance-right:9pt;mso-wrap-distance-bottom:0;mso-position-horizontal:absolute;mso-position-horizontal-relative:page;mso-position-vertical:absolute;mso-position-vertical-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" strokeweight="1pt">
              <w10:wrap anchorx="page" anchory="page"/>
            </v:shape>
          </w:pict>
        </mc:Fallback>
      </mc:AlternateContent>
    </w:r>
  </w:p>
</w:hdr>
</file>

<file path=word/header10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7D208C" w14:textId="77777777" w:rsidR="00924992" w:rsidRDefault="00924992">
    <w:pPr>
      <w:spacing w:line="1" w:lineRule="exact"/>
    </w:pPr>
    <w:r>
      <w:rPr>
        <w:noProof/>
      </w:rPr>
      <mc:AlternateContent>
        <mc:Choice Requires="wps">
          <w:drawing>
            <wp:anchor distT="0" distB="0" distL="0" distR="0" simplePos="0" relativeHeight="251900928" behindDoc="1" locked="0" layoutInCell="1" allowOverlap="1" wp14:anchorId="287441FD" wp14:editId="0F145819">
              <wp:simplePos x="0" y="0"/>
              <wp:positionH relativeFrom="page">
                <wp:posOffset>599440</wp:posOffset>
              </wp:positionH>
              <wp:positionV relativeFrom="page">
                <wp:posOffset>300355</wp:posOffset>
              </wp:positionV>
              <wp:extent cx="2502535" cy="85090"/>
              <wp:effectExtent l="0" t="0" r="0" b="0"/>
              <wp:wrapNone/>
              <wp:docPr id="2177" name="Shape 2177"/>
              <wp:cNvGraphicFramePr/>
              <a:graphic xmlns:a="http://schemas.openxmlformats.org/drawingml/2006/main">
                <a:graphicData uri="http://schemas.microsoft.com/office/word/2010/wordprocessingShape">
                  <wps:wsp>
                    <wps:cNvSpPr txBox="1"/>
                    <wps:spPr>
                      <a:xfrm>
                        <a:off x="0" y="0"/>
                        <a:ext cx="2502535" cy="85090"/>
                      </a:xfrm>
                      <a:prstGeom prst="rect">
                        <a:avLst/>
                      </a:prstGeom>
                      <a:noFill/>
                    </wps:spPr>
                    <wps:txbx>
                      <w:txbxContent>
                        <w:p w14:paraId="32BE3169" w14:textId="77777777" w:rsidR="00924992" w:rsidRDefault="00924992">
                          <w:pPr>
                            <w:pStyle w:val="Headerorfooter0"/>
                            <w:tabs>
                              <w:tab w:val="right" w:pos="3941"/>
                            </w:tabs>
                          </w:pPr>
                          <w:r>
                            <w:rPr>
                              <w:color w:val="000000"/>
                              <w:sz w:val="16"/>
                              <w:szCs w:val="16"/>
                            </w:rPr>
                            <w:t>724</w:t>
                          </w:r>
                          <w:r>
                            <w:rPr>
                              <w:color w:val="000000"/>
                              <w:sz w:val="16"/>
                              <w:szCs w:val="16"/>
                            </w:rPr>
                            <w:tab/>
                          </w:r>
                          <w:r>
                            <w:rPr>
                              <w:color w:val="000000"/>
                            </w:rPr>
                            <w:t>INTRODUCCIÓN</w:t>
                          </w:r>
                        </w:p>
                      </w:txbxContent>
                    </wps:txbx>
                    <wps:bodyPr lIns="0" tIns="0" rIns="0" bIns="0">
                      <a:spAutoFit/>
                    </wps:bodyPr>
                  </wps:wsp>
                </a:graphicData>
              </a:graphic>
            </wp:anchor>
          </w:drawing>
        </mc:Choice>
        <mc:Fallback>
          <w:pict>
            <v:shapetype w14:anchorId="287441FD" id="_x0000_t202" coordsize="21600,21600" o:spt="202" path="m,l,21600r21600,l21600,xe">
              <v:stroke joinstyle="miter"/>
              <v:path gradientshapeok="t" o:connecttype="rect"/>
            </v:shapetype>
            <v:shape id="Shape 2177" o:spid="_x0000_s1263" type="#_x0000_t202" style="position:absolute;margin-left:47.2pt;margin-top:23.65pt;width:197.05pt;height:6.7pt;z-index:-25141555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" filled="f" stroked="f">
              <v:textbox style="mso-fit-shape-to-text:t" inset="0,0,0,0">
                <w:txbxContent>
                  <w:p w14:paraId="32BE3169" w14:textId="77777777" w:rsidR="00924992" w:rsidRDefault="00924992">
                    <w:pPr>
                      <w:pStyle w:val="Headerorfooter0"/>
                      <w:tabs>
                        <w:tab w:val="right" w:pos="3941"/>
                      </w:tabs>
                    </w:pPr>
                    <w:r>
                      <w:rPr>
                        <w:color w:val="000000"/>
                        <w:sz w:val="16"/>
                        <w:szCs w:val="16"/>
                      </w:rPr>
                      <w:t>724</w:t>
                    </w:r>
                    <w:r>
                      <w:rPr>
                        <w:color w:val="000000"/>
                        <w:sz w:val="16"/>
                        <w:szCs w:val="16"/>
                      </w:rPr>
                      <w:tab/>
                    </w:r>
                    <w:r>
                      <w:rPr>
                        <w:color w:val="000000"/>
                      </w:rPr>
                      <w:t>INTRODUCCIÓN</w:t>
                    </w:r>
                  </w:p>
                </w:txbxContent>
              </v:textbox>
              <w10:wrap anchorx="page" anchory="page"/>
            </v:shape>
          </w:pict>
        </mc:Fallback>
      </mc:AlternateContent>
    </w:r>
    <w:r>
      <w:rPr>
        <w:noProof/>
      </w:rPr>
      <mc:AlternateContent>
        <mc:Choice Requires="wps">
          <w:drawing>
            <wp:anchor distT="0" distB="0" distL="114300" distR="114300" simplePos="0" relativeHeight="251755520" behindDoc="1" locked="0" layoutInCell="1" allowOverlap="1" wp14:anchorId="1A84765D" wp14:editId="66BD7D40">
              <wp:simplePos x="0" y="0"/>
              <wp:positionH relativeFrom="page">
                <wp:posOffset>584200</wp:posOffset>
              </wp:positionH>
              <wp:positionV relativeFrom="page">
                <wp:posOffset>423545</wp:posOffset>
              </wp:positionV>
              <wp:extent cx="4358640" cy="0"/>
              <wp:effectExtent l="0" t="0" r="0" b="0"/>
              <wp:wrapNone/>
              <wp:docPr id="2179" name="Shape 2179"/>
              <wp:cNvGraphicFramePr/>
              <a:graphic xmlns:a="http://schemas.openxmlformats.org/drawingml/2006/main">
                <a:graphicData uri="http://schemas.microsoft.com/office/word/2010/wordprocessingShape">
                  <wps:wsp>
                    <wps:cNvCnPr/>
                    <wps:spPr>
                      <a:xfrm>
                        <a:off x="0" y="0"/>
                        <a:ext cx="4358640" cy="0"/>
                      </a:xfrm>
                      <a:prstGeom prst="straightConnector1">
                        <a:avLst/>
                      </a:prstGeom>
                      <a:ln w="12700">
                        <a:solidFill/>
                      </a:ln>
                    </wps:spPr>
                    <wps:bodyPr/>
                  </wps:wsp>
                </a:graphicData>
              </a:graphic>
            </wp:anchor>
          </w:drawing>
        </mc:Choice>
        <mc:Fallback>
          <w:pict>
            <v:shapetype w14:anchorId="6126F0B6" id="_x0000_t32" coordsize="21600,21600" o:spt="32" o:oned="t" path="m,l21600,21600e" filled="f">
              <v:path arrowok="t" fillok="f" o:connecttype="none"/>
              <o:lock v:ext="edit" shapetype="t"/>
            </v:shapetype>
            <v:shape id="Shape 2179" o:spid="_x0000_s1026" type="#_x0000_t32" style="position:absolute;margin-left:46pt;margin-top:33.35pt;width:343.2pt;height:0;z-index:-251560960;visibility:visible;mso-wrap-style:square;mso-wrap-distance-left:9pt;mso-wrap-distance-top:0;mso-wrap-distance-right:9pt;mso-wrap-distance-bottom:0;mso-position-horizontal:absolute;mso-position-horizontal-relative:page;mso-position-vertical:absolute;mso-position-vertical-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" strokeweight="1pt">
              <w10:wrap anchorx="page" anchory="page"/>
            </v:shape>
          </w:pict>
        </mc:Fallback>
      </mc:AlternateContent>
    </w:r>
  </w:p>
</w:hdr>
</file>

<file path=word/header10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2CD2B2" w14:textId="77777777" w:rsidR="00924992" w:rsidRDefault="00924992">
    <w:pPr>
      <w:spacing w:line="1" w:lineRule="exact"/>
    </w:pPr>
    <w:r>
      <w:rPr>
        <w:noProof/>
      </w:rPr>
      <mc:AlternateContent>
        <mc:Choice Requires="wps">
          <w:drawing>
            <wp:anchor distT="0" distB="0" distL="0" distR="0" simplePos="0" relativeHeight="251904000" behindDoc="1" locked="0" layoutInCell="1" allowOverlap="1" wp14:anchorId="0E7AEFEF" wp14:editId="1D53605E">
              <wp:simplePos x="0" y="0"/>
              <wp:positionH relativeFrom="page">
                <wp:posOffset>1891665</wp:posOffset>
              </wp:positionH>
              <wp:positionV relativeFrom="page">
                <wp:posOffset>315595</wp:posOffset>
              </wp:positionV>
              <wp:extent cx="3032760" cy="69850"/>
              <wp:effectExtent l="0" t="0" r="0" b="0"/>
              <wp:wrapNone/>
              <wp:docPr id="2186" name="Shape 2186"/>
              <wp:cNvGraphicFramePr/>
              <a:graphic xmlns:a="http://schemas.openxmlformats.org/drawingml/2006/main">
                <a:graphicData uri="http://schemas.microsoft.com/office/word/2010/wordprocessingShape">
                  <wps:wsp>
                    <wps:cNvSpPr txBox="1"/>
                    <wps:spPr>
                      <a:xfrm>
                        <a:off x="0" y="0"/>
                        <a:ext cx="3032760" cy="69850"/>
                      </a:xfrm>
                      <a:prstGeom prst="rect">
                        <a:avLst/>
                      </a:prstGeom>
                      <a:noFill/>
                    </wps:spPr>
                    <wps:txbx>
                      <w:txbxContent>
                        <w:p w14:paraId="7FC1B6EB" w14:textId="77777777" w:rsidR="00924992" w:rsidRDefault="00924992">
                          <w:pPr>
                            <w:pStyle w:val="Headerorfooter0"/>
                            <w:tabs>
                              <w:tab w:val="right" w:pos="4776"/>
                            </w:tabs>
                            <w:rPr>
                              <w:sz w:val="16"/>
                              <w:szCs w:val="16"/>
                            </w:rPr>
                          </w:pPr>
                          <w:r>
                            <w:rPr>
                              <w:color w:val="000000"/>
                            </w:rPr>
                            <w:t>USO APROPIADO DE ANTIMICROBIANOS</w:t>
                          </w:r>
                          <w:r>
                            <w:rPr>
                              <w:color w:val="000000"/>
                            </w:rPr>
                            <w:tab/>
                          </w:r>
                          <w:r>
                            <w:rPr>
                              <w:color w:val="000000"/>
                              <w:sz w:val="16"/>
                              <w:szCs w:val="16"/>
                            </w:rPr>
                            <w:t>725</w:t>
                          </w:r>
                        </w:p>
                      </w:txbxContent>
                    </wps:txbx>
                    <wps:bodyPr lIns="0" tIns="0" rIns="0" bIns="0">
                      <a:spAutoFit/>
                    </wps:bodyPr>
                  </wps:wsp>
                </a:graphicData>
              </a:graphic>
            </wp:anchor>
          </w:drawing>
        </mc:Choice>
        <mc:Fallback>
          <w:pict>
            <v:shapetype w14:anchorId="0E7AEFEF" id="_x0000_t202" coordsize="21600,21600" o:spt="202" path="m,l,21600r21600,l21600,xe">
              <v:stroke joinstyle="miter"/>
              <v:path gradientshapeok="t" o:connecttype="rect"/>
            </v:shapetype>
            <v:shape id="Shape 2186" o:spid="_x0000_s1264" type="#_x0000_t202" style="position:absolute;margin-left:148.95pt;margin-top:24.85pt;width:238.8pt;height:5.5pt;z-index:-25141248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" filled="f" stroked="f">
              <v:textbox style="mso-fit-shape-to-text:t" inset="0,0,0,0">
                <w:txbxContent>
                  <w:p w14:paraId="7FC1B6EB" w14:textId="77777777" w:rsidR="00924992" w:rsidRDefault="00924992">
                    <w:pPr>
                      <w:pStyle w:val="Headerorfooter0"/>
                      <w:tabs>
                        <w:tab w:val="right" w:pos="4776"/>
                      </w:tabs>
                      <w:rPr>
                        <w:sz w:val="16"/>
                        <w:szCs w:val="16"/>
                      </w:rPr>
                    </w:pPr>
                    <w:r>
                      <w:rPr>
                        <w:color w:val="000000"/>
                      </w:rPr>
                      <w:t>USO APROPIADO DE ANTIMICROBIANOS</w:t>
                    </w:r>
                    <w:r>
                      <w:rPr>
                        <w:color w:val="000000"/>
                      </w:rPr>
                      <w:tab/>
                    </w:r>
                    <w:r>
                      <w:rPr>
                        <w:color w:val="000000"/>
                        <w:sz w:val="16"/>
                        <w:szCs w:val="16"/>
                      </w:rPr>
                      <w:t>725</w:t>
                    </w:r>
                  </w:p>
                </w:txbxContent>
              </v:textbox>
              <w10:wrap anchorx="page" anchory="page"/>
            </v:shape>
          </w:pict>
        </mc:Fallback>
      </mc:AlternateContent>
    </w:r>
    <w:r>
      <w:rPr>
        <w:noProof/>
      </w:rPr>
      <mc:AlternateContent>
        <mc:Choice Requires="wps">
          <w:drawing>
            <wp:anchor distT="0" distB="0" distL="114300" distR="114300" simplePos="0" relativeHeight="251758592" behindDoc="1" locked="0" layoutInCell="1" allowOverlap="1" wp14:anchorId="22A4C700" wp14:editId="2672FE1A">
              <wp:simplePos x="0" y="0"/>
              <wp:positionH relativeFrom="page">
                <wp:posOffset>586740</wp:posOffset>
              </wp:positionH>
              <wp:positionV relativeFrom="page">
                <wp:posOffset>423545</wp:posOffset>
              </wp:positionV>
              <wp:extent cx="4358640" cy="0"/>
              <wp:effectExtent l="0" t="0" r="0" b="0"/>
              <wp:wrapNone/>
              <wp:docPr id="2188" name="Shape 2188"/>
              <wp:cNvGraphicFramePr/>
              <a:graphic xmlns:a="http://schemas.openxmlformats.org/drawingml/2006/main">
                <a:graphicData uri="http://schemas.microsoft.com/office/word/2010/wordprocessingShape">
                  <wps:wsp>
                    <wps:cNvCnPr/>
                    <wps:spPr>
                      <a:xfrm>
                        <a:off x="0" y="0"/>
                        <a:ext cx="4358640" cy="0"/>
                      </a:xfrm>
                      <a:prstGeom prst="straightConnector1">
                        <a:avLst/>
                      </a:prstGeom>
                      <a:ln w="12700">
                        <a:solidFill/>
                      </a:ln>
                    </wps:spPr>
                    <wps:bodyPr/>
                  </wps:wsp>
                </a:graphicData>
              </a:graphic>
            </wp:anchor>
          </w:drawing>
        </mc:Choice>
        <mc:Fallback>
          <w:pict>
            <v:shapetype w14:anchorId="055965A1" id="_x0000_t32" coordsize="21600,21600" o:spt="32" o:oned="t" path="m,l21600,21600e" filled="f">
              <v:path arrowok="t" fillok="f" o:connecttype="none"/>
              <o:lock v:ext="edit" shapetype="t"/>
            </v:shapetype>
            <v:shape id="Shape 2188" o:spid="_x0000_s1026" type="#_x0000_t32" style="position:absolute;margin-left:46.2pt;margin-top:33.35pt;width:343.2pt;height:0;z-index:-251557888;visibility:visible;mso-wrap-style:square;mso-wrap-distance-left:9pt;mso-wrap-distance-top:0;mso-wrap-distance-right:9pt;mso-wrap-distance-bottom:0;mso-position-horizontal:absolute;mso-position-horizontal-relative:page;mso-position-vertical:absolute;mso-position-vertical-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" strokeweight="1pt">
              <w10:wrap anchorx="page" anchory="page"/>
            </v:shape>
          </w:pict>
        </mc:Fallback>
      </mc:AlternateContent>
    </w:r>
  </w:p>
</w:hdr>
</file>

<file path=word/header10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CC6DE4" w14:textId="77777777" w:rsidR="00924992" w:rsidRDefault="00924992">
    <w:pPr>
      <w:spacing w:line="1" w:lineRule="exact"/>
    </w:pPr>
    <w:r>
      <w:rPr>
        <w:noProof/>
      </w:rPr>
      <mc:AlternateContent>
        <mc:Choice Requires="wps">
          <w:drawing>
            <wp:anchor distT="0" distB="0" distL="0" distR="0" simplePos="0" relativeHeight="251902976" behindDoc="1" locked="0" layoutInCell="1" allowOverlap="1" wp14:anchorId="248B00A4" wp14:editId="03A45B37">
              <wp:simplePos x="0" y="0"/>
              <wp:positionH relativeFrom="page">
                <wp:posOffset>1891665</wp:posOffset>
              </wp:positionH>
              <wp:positionV relativeFrom="page">
                <wp:posOffset>315595</wp:posOffset>
              </wp:positionV>
              <wp:extent cx="3032760" cy="69850"/>
              <wp:effectExtent l="0" t="0" r="0" b="0"/>
              <wp:wrapNone/>
              <wp:docPr id="2183" name="Shape 2183"/>
              <wp:cNvGraphicFramePr/>
              <a:graphic xmlns:a="http://schemas.openxmlformats.org/drawingml/2006/main">
                <a:graphicData uri="http://schemas.microsoft.com/office/word/2010/wordprocessingShape">
                  <wps:wsp>
                    <wps:cNvSpPr txBox="1"/>
                    <wps:spPr>
                      <a:xfrm>
                        <a:off x="0" y="0"/>
                        <a:ext cx="3032760" cy="69850"/>
                      </a:xfrm>
                      <a:prstGeom prst="rect">
                        <a:avLst/>
                      </a:prstGeom>
                      <a:noFill/>
                    </wps:spPr>
                    <wps:txbx>
                      <w:txbxContent>
                        <w:p w14:paraId="4015DC6C" w14:textId="77777777" w:rsidR="00924992" w:rsidRDefault="00924992">
                          <w:pPr>
                            <w:pStyle w:val="Headerorfooter0"/>
                            <w:tabs>
                              <w:tab w:val="right" w:pos="4776"/>
                            </w:tabs>
                            <w:rPr>
                              <w:sz w:val="16"/>
                              <w:szCs w:val="16"/>
                            </w:rPr>
                          </w:pPr>
                          <w:r>
                            <w:rPr>
                              <w:color w:val="000000"/>
                            </w:rPr>
                            <w:t>USO APROPIADO DE ANTIMICROBIANOS</w:t>
                          </w:r>
                          <w:r>
                            <w:rPr>
                              <w:color w:val="000000"/>
                            </w:rPr>
                            <w:tab/>
                          </w:r>
                          <w:r>
                            <w:rPr>
                              <w:color w:val="000000"/>
                              <w:sz w:val="16"/>
                              <w:szCs w:val="16"/>
                            </w:rPr>
                            <w:t>725</w:t>
                          </w:r>
                        </w:p>
                      </w:txbxContent>
                    </wps:txbx>
                    <wps:bodyPr lIns="0" tIns="0" rIns="0" bIns="0">
                      <a:spAutoFit/>
                    </wps:bodyPr>
                  </wps:wsp>
                </a:graphicData>
              </a:graphic>
            </wp:anchor>
          </w:drawing>
        </mc:Choice>
        <mc:Fallback>
          <w:pict>
            <v:shapetype w14:anchorId="248B00A4" id="_x0000_t202" coordsize="21600,21600" o:spt="202" path="m,l,21600r21600,l21600,xe">
              <v:stroke joinstyle="miter"/>
              <v:path gradientshapeok="t" o:connecttype="rect"/>
            </v:shapetype>
            <v:shape id="Shape 2183" o:spid="_x0000_s1265" type="#_x0000_t202" style="position:absolute;margin-left:148.95pt;margin-top:24.85pt;width:238.8pt;height:5.5pt;z-index:-25141350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" filled="f" stroked="f">
              <v:textbox style="mso-fit-shape-to-text:t" inset="0,0,0,0">
                <w:txbxContent>
                  <w:p w14:paraId="4015DC6C" w14:textId="77777777" w:rsidR="00924992" w:rsidRDefault="00924992">
                    <w:pPr>
                      <w:pStyle w:val="Headerorfooter0"/>
                      <w:tabs>
                        <w:tab w:val="right" w:pos="4776"/>
                      </w:tabs>
                      <w:rPr>
                        <w:sz w:val="16"/>
                        <w:szCs w:val="16"/>
                      </w:rPr>
                    </w:pPr>
                    <w:r>
                      <w:rPr>
                        <w:color w:val="000000"/>
                      </w:rPr>
                      <w:t>USO APROPIADO DE ANTIMICROBIANOS</w:t>
                    </w:r>
                    <w:r>
                      <w:rPr>
                        <w:color w:val="000000"/>
                      </w:rPr>
                      <w:tab/>
                    </w:r>
                    <w:r>
                      <w:rPr>
                        <w:color w:val="000000"/>
                        <w:sz w:val="16"/>
                        <w:szCs w:val="16"/>
                      </w:rPr>
                      <w:t>725</w:t>
                    </w:r>
                  </w:p>
                </w:txbxContent>
              </v:textbox>
              <w10:wrap anchorx="page" anchory="page"/>
            </v:shape>
          </w:pict>
        </mc:Fallback>
      </mc:AlternateContent>
    </w:r>
    <w:r>
      <w:rPr>
        <w:noProof/>
      </w:rPr>
      <mc:AlternateContent>
        <mc:Choice Requires="wps">
          <w:drawing>
            <wp:anchor distT="0" distB="0" distL="114300" distR="114300" simplePos="0" relativeHeight="251757568" behindDoc="1" locked="0" layoutInCell="1" allowOverlap="1" wp14:anchorId="534BF2F8" wp14:editId="23B4F175">
              <wp:simplePos x="0" y="0"/>
              <wp:positionH relativeFrom="page">
                <wp:posOffset>586740</wp:posOffset>
              </wp:positionH>
              <wp:positionV relativeFrom="page">
                <wp:posOffset>423545</wp:posOffset>
              </wp:positionV>
              <wp:extent cx="4358640" cy="0"/>
              <wp:effectExtent l="0" t="0" r="0" b="0"/>
              <wp:wrapNone/>
              <wp:docPr id="2185" name="Shape 2185"/>
              <wp:cNvGraphicFramePr/>
              <a:graphic xmlns:a="http://schemas.openxmlformats.org/drawingml/2006/main">
                <a:graphicData uri="http://schemas.microsoft.com/office/word/2010/wordprocessingShape">
                  <wps:wsp>
                    <wps:cNvCnPr/>
                    <wps:spPr>
                      <a:xfrm>
                        <a:off x="0" y="0"/>
                        <a:ext cx="4358640" cy="0"/>
                      </a:xfrm>
                      <a:prstGeom prst="straightConnector1">
                        <a:avLst/>
                      </a:prstGeom>
                      <a:ln w="12700">
                        <a:solidFill/>
                      </a:ln>
                    </wps:spPr>
                    <wps:bodyPr/>
                  </wps:wsp>
                </a:graphicData>
              </a:graphic>
            </wp:anchor>
          </w:drawing>
        </mc:Choice>
        <mc:Fallback>
          <w:pict>
            <v:shapetype w14:anchorId="0FC14DB3" id="_x0000_t32" coordsize="21600,21600" o:spt="32" o:oned="t" path="m,l21600,21600e" filled="f">
              <v:path arrowok="t" fillok="f" o:connecttype="none"/>
              <o:lock v:ext="edit" shapetype="t"/>
            </v:shapetype>
            <v:shape id="Shape 2185" o:spid="_x0000_s1026" type="#_x0000_t32" style="position:absolute;margin-left:46.2pt;margin-top:33.35pt;width:343.2pt;height:0;z-index:-251558912;visibility:visible;mso-wrap-style:square;mso-wrap-distance-left:9pt;mso-wrap-distance-top:0;mso-wrap-distance-right:9pt;mso-wrap-distance-bottom:0;mso-position-horizontal:absolute;mso-position-horizontal-relative:page;mso-position-vertical:absolute;mso-position-vertical-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" strokeweight="1pt">
              <w10:wrap anchorx="page" anchory="page"/>
            </v:shape>
          </w:pict>
        </mc:Fallback>
      </mc:AlternateContent>
    </w:r>
  </w:p>
</w:hdr>
</file>

<file path=word/header10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5AFBE6" w14:textId="77777777" w:rsidR="00924992" w:rsidRDefault="00924992">
    <w:pPr>
      <w:spacing w:line="1" w:lineRule="exact"/>
    </w:pPr>
    <w:r>
      <w:rPr>
        <w:noProof/>
      </w:rPr>
      <mc:AlternateContent>
        <mc:Choice Requires="wps">
          <w:drawing>
            <wp:anchor distT="0" distB="0" distL="0" distR="0" simplePos="0" relativeHeight="251906048" behindDoc="1" locked="0" layoutInCell="1" allowOverlap="1" wp14:anchorId="6F9FD56A" wp14:editId="61CB4163">
              <wp:simplePos x="0" y="0"/>
              <wp:positionH relativeFrom="page">
                <wp:posOffset>1891665</wp:posOffset>
              </wp:positionH>
              <wp:positionV relativeFrom="page">
                <wp:posOffset>315595</wp:posOffset>
              </wp:positionV>
              <wp:extent cx="3032760" cy="69850"/>
              <wp:effectExtent l="0" t="0" r="0" b="0"/>
              <wp:wrapNone/>
              <wp:docPr id="2192" name="Shape 2192"/>
              <wp:cNvGraphicFramePr/>
              <a:graphic xmlns:a="http://schemas.openxmlformats.org/drawingml/2006/main">
                <a:graphicData uri="http://schemas.microsoft.com/office/word/2010/wordprocessingShape">
                  <wps:wsp>
                    <wps:cNvSpPr txBox="1"/>
                    <wps:spPr>
                      <a:xfrm>
                        <a:off x="0" y="0"/>
                        <a:ext cx="3032760" cy="69850"/>
                      </a:xfrm>
                      <a:prstGeom prst="rect">
                        <a:avLst/>
                      </a:prstGeom>
                      <a:noFill/>
                    </wps:spPr>
                    <wps:txbx>
                      <w:txbxContent>
                        <w:p w14:paraId="5D8D3FCE" w14:textId="77777777" w:rsidR="00924992" w:rsidRDefault="00924992">
                          <w:pPr>
                            <w:pStyle w:val="Headerorfooter0"/>
                            <w:tabs>
                              <w:tab w:val="right" w:pos="4776"/>
                            </w:tabs>
                            <w:rPr>
                              <w:sz w:val="16"/>
                              <w:szCs w:val="16"/>
                            </w:rPr>
                          </w:pPr>
                          <w:r>
                            <w:rPr>
                              <w:color w:val="000000"/>
                            </w:rPr>
                            <w:t>USO APROPIADO DE ANTIMICROBIANOS</w:t>
                          </w:r>
                          <w:r>
                            <w:rPr>
                              <w:color w:val="000000"/>
                            </w:rPr>
                            <w:tab/>
                          </w:r>
                          <w:r>
                            <w:rPr>
                              <w:color w:val="000000"/>
                              <w:sz w:val="16"/>
                              <w:szCs w:val="16"/>
                            </w:rPr>
                            <w:t>725</w:t>
                          </w:r>
                        </w:p>
                      </w:txbxContent>
                    </wps:txbx>
                    <wps:bodyPr lIns="0" tIns="0" rIns="0" bIns="0">
                      <a:spAutoFit/>
                    </wps:bodyPr>
                  </wps:wsp>
                </a:graphicData>
              </a:graphic>
            </wp:anchor>
          </w:drawing>
        </mc:Choice>
        <mc:Fallback>
          <w:pict>
            <v:shapetype w14:anchorId="6F9FD56A" id="_x0000_t202" coordsize="21600,21600" o:spt="202" path="m,l,21600r21600,l21600,xe">
              <v:stroke joinstyle="miter"/>
              <v:path gradientshapeok="t" o:connecttype="rect"/>
            </v:shapetype>
            <v:shape id="Shape 2192" o:spid="_x0000_s1266" type="#_x0000_t202" style="position:absolute;margin-left:148.95pt;margin-top:24.85pt;width:238.8pt;height:5.5pt;z-index:-25141043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" filled="f" stroked="f">
              <v:textbox style="mso-fit-shape-to-text:t" inset="0,0,0,0">
                <w:txbxContent>
                  <w:p w14:paraId="5D8D3FCE" w14:textId="77777777" w:rsidR="00924992" w:rsidRDefault="00924992">
                    <w:pPr>
                      <w:pStyle w:val="Headerorfooter0"/>
                      <w:tabs>
                        <w:tab w:val="right" w:pos="4776"/>
                      </w:tabs>
                      <w:rPr>
                        <w:sz w:val="16"/>
                        <w:szCs w:val="16"/>
                      </w:rPr>
                    </w:pPr>
                    <w:r>
                      <w:rPr>
                        <w:color w:val="000000"/>
                      </w:rPr>
                      <w:t>USO APROPIADO DE ANTIMICROBIANOS</w:t>
                    </w:r>
                    <w:r>
                      <w:rPr>
                        <w:color w:val="000000"/>
                      </w:rPr>
                      <w:tab/>
                    </w:r>
                    <w:r>
                      <w:rPr>
                        <w:color w:val="000000"/>
                        <w:sz w:val="16"/>
                        <w:szCs w:val="16"/>
                      </w:rPr>
                      <w:t>725</w:t>
                    </w:r>
                  </w:p>
                </w:txbxContent>
              </v:textbox>
              <w10:wrap anchorx="page" anchory="page"/>
            </v:shape>
          </w:pict>
        </mc:Fallback>
      </mc:AlternateContent>
    </w:r>
    <w:r>
      <w:rPr>
        <w:noProof/>
      </w:rPr>
      <mc:AlternateContent>
        <mc:Choice Requires="wps">
          <w:drawing>
            <wp:anchor distT="0" distB="0" distL="114300" distR="114300" simplePos="0" relativeHeight="251760640" behindDoc="1" locked="0" layoutInCell="1" allowOverlap="1" wp14:anchorId="4D9852CC" wp14:editId="67AD4229">
              <wp:simplePos x="0" y="0"/>
              <wp:positionH relativeFrom="page">
                <wp:posOffset>586740</wp:posOffset>
              </wp:positionH>
              <wp:positionV relativeFrom="page">
                <wp:posOffset>423545</wp:posOffset>
              </wp:positionV>
              <wp:extent cx="4358640" cy="0"/>
              <wp:effectExtent l="0" t="0" r="0" b="0"/>
              <wp:wrapNone/>
              <wp:docPr id="2194" name="Shape 2194"/>
              <wp:cNvGraphicFramePr/>
              <a:graphic xmlns:a="http://schemas.openxmlformats.org/drawingml/2006/main">
                <a:graphicData uri="http://schemas.microsoft.com/office/word/2010/wordprocessingShape">
                  <wps:wsp>
                    <wps:cNvCnPr/>
                    <wps:spPr>
                      <a:xfrm>
                        <a:off x="0" y="0"/>
                        <a:ext cx="4358640" cy="0"/>
                      </a:xfrm>
                      <a:prstGeom prst="straightConnector1">
                        <a:avLst/>
                      </a:prstGeom>
                      <a:ln w="12700">
                        <a:solidFill/>
                      </a:ln>
                    </wps:spPr>
                    <wps:bodyPr/>
                  </wps:wsp>
                </a:graphicData>
              </a:graphic>
            </wp:anchor>
          </w:drawing>
        </mc:Choice>
        <mc:Fallback>
          <w:pict>
            <v:shapetype w14:anchorId="33133C22" id="_x0000_t32" coordsize="21600,21600" o:spt="32" o:oned="t" path="m,l21600,21600e" filled="f">
              <v:path arrowok="t" fillok="f" o:connecttype="none"/>
              <o:lock v:ext="edit" shapetype="t"/>
            </v:shapetype>
            <v:shape id="Shape 2194" o:spid="_x0000_s1026" type="#_x0000_t32" style="position:absolute;margin-left:46.2pt;margin-top:33.35pt;width:343.2pt;height:0;z-index:-251555840;visibility:visible;mso-wrap-style:square;mso-wrap-distance-left:9pt;mso-wrap-distance-top:0;mso-wrap-distance-right:9pt;mso-wrap-distance-bottom:0;mso-position-horizontal:absolute;mso-position-horizontal-relative:page;mso-position-vertical:absolute;mso-position-vertical-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" strokeweight="1pt">
              <w10:wrap anchorx="page" anchory="page"/>
            </v:shape>
          </w:pict>
        </mc:Fallback>
      </mc:AlternateContent>
    </w:r>
  </w:p>
</w:hdr>
</file>

<file path=word/header10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D0E031" w14:textId="77777777" w:rsidR="00924992" w:rsidRDefault="00924992">
    <w:pPr>
      <w:spacing w:line="1" w:lineRule="exact"/>
    </w:pPr>
    <w:r>
      <w:rPr>
        <w:noProof/>
      </w:rPr>
      <mc:AlternateContent>
        <mc:Choice Requires="wps">
          <w:drawing>
            <wp:anchor distT="0" distB="0" distL="0" distR="0" simplePos="0" relativeHeight="251905024" behindDoc="1" locked="0" layoutInCell="1" allowOverlap="1" wp14:anchorId="7CD007DE" wp14:editId="53CABBD8">
              <wp:simplePos x="0" y="0"/>
              <wp:positionH relativeFrom="page">
                <wp:posOffset>1891665</wp:posOffset>
              </wp:positionH>
              <wp:positionV relativeFrom="page">
                <wp:posOffset>315595</wp:posOffset>
              </wp:positionV>
              <wp:extent cx="3032760" cy="69850"/>
              <wp:effectExtent l="0" t="0" r="0" b="0"/>
              <wp:wrapNone/>
              <wp:docPr id="2189" name="Shape 2189"/>
              <wp:cNvGraphicFramePr/>
              <a:graphic xmlns:a="http://schemas.openxmlformats.org/drawingml/2006/main">
                <a:graphicData uri="http://schemas.microsoft.com/office/word/2010/wordprocessingShape">
                  <wps:wsp>
                    <wps:cNvSpPr txBox="1"/>
                    <wps:spPr>
                      <a:xfrm>
                        <a:off x="0" y="0"/>
                        <a:ext cx="3032760" cy="69850"/>
                      </a:xfrm>
                      <a:prstGeom prst="rect">
                        <a:avLst/>
                      </a:prstGeom>
                      <a:noFill/>
                    </wps:spPr>
                    <wps:txbx>
                      <w:txbxContent>
                        <w:p w14:paraId="34FB5F6D" w14:textId="77777777" w:rsidR="00924992" w:rsidRDefault="00924992">
                          <w:pPr>
                            <w:pStyle w:val="Headerorfooter0"/>
                            <w:tabs>
                              <w:tab w:val="right" w:pos="4776"/>
                            </w:tabs>
                            <w:rPr>
                              <w:sz w:val="16"/>
                              <w:szCs w:val="16"/>
                            </w:rPr>
                          </w:pPr>
                          <w:r>
                            <w:rPr>
                              <w:color w:val="000000"/>
                            </w:rPr>
                            <w:t>USO APROPIADO DE ANTIMICROBIANOS</w:t>
                          </w:r>
                          <w:r>
                            <w:rPr>
                              <w:color w:val="000000"/>
                            </w:rPr>
                            <w:tab/>
                          </w:r>
                          <w:r>
                            <w:rPr>
                              <w:color w:val="000000"/>
                              <w:sz w:val="16"/>
                              <w:szCs w:val="16"/>
                            </w:rPr>
                            <w:t>725</w:t>
                          </w:r>
                        </w:p>
                      </w:txbxContent>
                    </wps:txbx>
                    <wps:bodyPr lIns="0" tIns="0" rIns="0" bIns="0">
                      <a:spAutoFit/>
                    </wps:bodyPr>
                  </wps:wsp>
                </a:graphicData>
              </a:graphic>
            </wp:anchor>
          </w:drawing>
        </mc:Choice>
        <mc:Fallback>
          <w:pict>
            <v:shapetype w14:anchorId="7CD007DE" id="_x0000_t202" coordsize="21600,21600" o:spt="202" path="m,l,21600r21600,l21600,xe">
              <v:stroke joinstyle="miter"/>
              <v:path gradientshapeok="t" o:connecttype="rect"/>
            </v:shapetype>
            <v:shape id="Shape 2189" o:spid="_x0000_s1267" type="#_x0000_t202" style="position:absolute;margin-left:148.95pt;margin-top:24.85pt;width:238.8pt;height:5.5pt;z-index:-25141145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" filled="f" stroked="f">
              <v:textbox style="mso-fit-shape-to-text:t" inset="0,0,0,0">
                <w:txbxContent>
                  <w:p w14:paraId="34FB5F6D" w14:textId="77777777" w:rsidR="00924992" w:rsidRDefault="00924992">
                    <w:pPr>
                      <w:pStyle w:val="Headerorfooter0"/>
                      <w:tabs>
                        <w:tab w:val="right" w:pos="4776"/>
                      </w:tabs>
                      <w:rPr>
                        <w:sz w:val="16"/>
                        <w:szCs w:val="16"/>
                      </w:rPr>
                    </w:pPr>
                    <w:r>
                      <w:rPr>
                        <w:color w:val="000000"/>
                      </w:rPr>
                      <w:t>USO APROPIADO DE ANTIMICROBIANOS</w:t>
                    </w:r>
                    <w:r>
                      <w:rPr>
                        <w:color w:val="000000"/>
                      </w:rPr>
                      <w:tab/>
                    </w:r>
                    <w:r>
                      <w:rPr>
                        <w:color w:val="000000"/>
                        <w:sz w:val="16"/>
                        <w:szCs w:val="16"/>
                      </w:rPr>
                      <w:t>725</w:t>
                    </w:r>
                  </w:p>
                </w:txbxContent>
              </v:textbox>
              <w10:wrap anchorx="page" anchory="page"/>
            </v:shape>
          </w:pict>
        </mc:Fallback>
      </mc:AlternateContent>
    </w:r>
    <w:r>
      <w:rPr>
        <w:noProof/>
      </w:rPr>
      <mc:AlternateContent>
        <mc:Choice Requires="wps">
          <w:drawing>
            <wp:anchor distT="0" distB="0" distL="114300" distR="114300" simplePos="0" relativeHeight="251759616" behindDoc="1" locked="0" layoutInCell="1" allowOverlap="1" wp14:anchorId="23953266" wp14:editId="2DBB403B">
              <wp:simplePos x="0" y="0"/>
              <wp:positionH relativeFrom="page">
                <wp:posOffset>586740</wp:posOffset>
              </wp:positionH>
              <wp:positionV relativeFrom="page">
                <wp:posOffset>423545</wp:posOffset>
              </wp:positionV>
              <wp:extent cx="4358640" cy="0"/>
              <wp:effectExtent l="0" t="0" r="0" b="0"/>
              <wp:wrapNone/>
              <wp:docPr id="2191" name="Shape 2191"/>
              <wp:cNvGraphicFramePr/>
              <a:graphic xmlns:a="http://schemas.openxmlformats.org/drawingml/2006/main">
                <a:graphicData uri="http://schemas.microsoft.com/office/word/2010/wordprocessingShape">
                  <wps:wsp>
                    <wps:cNvCnPr/>
                    <wps:spPr>
                      <a:xfrm>
                        <a:off x="0" y="0"/>
                        <a:ext cx="4358640" cy="0"/>
                      </a:xfrm>
                      <a:prstGeom prst="straightConnector1">
                        <a:avLst/>
                      </a:prstGeom>
                      <a:ln w="12700">
                        <a:solidFill/>
                      </a:ln>
                    </wps:spPr>
                    <wps:bodyPr/>
                  </wps:wsp>
                </a:graphicData>
              </a:graphic>
            </wp:anchor>
          </w:drawing>
        </mc:Choice>
        <mc:Fallback>
          <w:pict>
            <v:shapetype w14:anchorId="00E67A68" id="_x0000_t32" coordsize="21600,21600" o:spt="32" o:oned="t" path="m,l21600,21600e" filled="f">
              <v:path arrowok="t" fillok="f" o:connecttype="none"/>
              <o:lock v:ext="edit" shapetype="t"/>
            </v:shapetype>
            <v:shape id="Shape 2191" o:spid="_x0000_s1026" type="#_x0000_t32" style="position:absolute;margin-left:46.2pt;margin-top:33.35pt;width:343.2pt;height:0;z-index:-251556864;visibility:visible;mso-wrap-style:square;mso-wrap-distance-left:9pt;mso-wrap-distance-top:0;mso-wrap-distance-right:9pt;mso-wrap-distance-bottom:0;mso-position-horizontal:absolute;mso-position-horizontal-relative:page;mso-position-vertical:absolute;mso-position-vertical-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" strokeweight="1pt">
              <w10:wrap anchorx="page" anchory="page"/>
            </v:shape>
          </w:pict>
        </mc:Fallback>
      </mc:AlternateContent>
    </w:r>
  </w:p>
</w:hdr>
</file>

<file path=word/header10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FD40B1" w14:textId="77777777" w:rsidR="00924992" w:rsidRDefault="00924992">
    <w:pPr>
      <w:spacing w:line="1" w:lineRule="exact"/>
    </w:pPr>
    <w:r>
      <w:rPr>
        <w:noProof/>
      </w:rPr>
      <mc:AlternateContent>
        <mc:Choice Requires="wps">
          <w:drawing>
            <wp:anchor distT="0" distB="0" distL="0" distR="0" simplePos="0" relativeHeight="251907072" behindDoc="1" locked="0" layoutInCell="1" allowOverlap="1" wp14:anchorId="039BF4B9" wp14:editId="11081628">
              <wp:simplePos x="0" y="0"/>
              <wp:positionH relativeFrom="page">
                <wp:posOffset>614680</wp:posOffset>
              </wp:positionH>
              <wp:positionV relativeFrom="page">
                <wp:posOffset>315595</wp:posOffset>
              </wp:positionV>
              <wp:extent cx="3039110" cy="69850"/>
              <wp:effectExtent l="0" t="0" r="0" b="0"/>
              <wp:wrapNone/>
              <wp:docPr id="2195" name="Shape 2195"/>
              <wp:cNvGraphicFramePr/>
              <a:graphic xmlns:a="http://schemas.openxmlformats.org/drawingml/2006/main">
                <a:graphicData uri="http://schemas.microsoft.com/office/word/2010/wordprocessingShape">
                  <wps:wsp>
                    <wps:cNvSpPr txBox="1"/>
                    <wps:spPr>
                      <a:xfrm>
                        <a:off x="0" y="0"/>
                        <a:ext cx="3039110" cy="69850"/>
                      </a:xfrm>
                      <a:prstGeom prst="rect">
                        <a:avLst/>
                      </a:prstGeom>
                      <a:noFill/>
                    </wps:spPr>
                    <wps:txbx>
                      <w:txbxContent>
                        <w:p w14:paraId="550D9414" w14:textId="77777777" w:rsidR="00924992" w:rsidRDefault="00924992">
                          <w:pPr>
                            <w:pStyle w:val="Headerorfooter0"/>
                            <w:tabs>
                              <w:tab w:val="right" w:pos="4786"/>
                            </w:tabs>
                          </w:pPr>
                          <w:r>
                            <w:rPr>
                              <w:color w:val="000000"/>
                              <w:sz w:val="16"/>
                              <w:szCs w:val="16"/>
                            </w:rPr>
                            <w:t>726</w:t>
                          </w:r>
                          <w:r>
                            <w:rPr>
                              <w:color w:val="000000"/>
                              <w:sz w:val="16"/>
                              <w:szCs w:val="16"/>
                            </w:rPr>
                            <w:tab/>
                          </w:r>
                          <w:r>
                            <w:rPr>
                              <w:color w:val="000000"/>
                            </w:rPr>
                            <w:t>USO APROPIADO DE ANTIMICROBIANOS</w:t>
                          </w:r>
                        </w:p>
                      </w:txbxContent>
                    </wps:txbx>
                    <wps:bodyPr lIns="0" tIns="0" rIns="0" bIns="0">
                      <a:spAutoFit/>
                    </wps:bodyPr>
                  </wps:wsp>
                </a:graphicData>
              </a:graphic>
            </wp:anchor>
          </w:drawing>
        </mc:Choice>
        <mc:Fallback>
          <w:pict>
            <v:shapetype w14:anchorId="039BF4B9" id="_x0000_t202" coordsize="21600,21600" o:spt="202" path="m,l,21600r21600,l21600,xe">
              <v:stroke joinstyle="miter"/>
              <v:path gradientshapeok="t" o:connecttype="rect"/>
            </v:shapetype>
            <v:shape id="Shape 2195" o:spid="_x0000_s1268" type="#_x0000_t202" style="position:absolute;margin-left:48.4pt;margin-top:24.85pt;width:239.3pt;height:5.5pt;z-index:-25140940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" filled="f" stroked="f">
              <v:textbox style="mso-fit-shape-to-text:t" inset="0,0,0,0">
                <w:txbxContent>
                  <w:p w14:paraId="550D9414" w14:textId="77777777" w:rsidR="00924992" w:rsidRDefault="00924992">
                    <w:pPr>
                      <w:pStyle w:val="Headerorfooter0"/>
                      <w:tabs>
                        <w:tab w:val="right" w:pos="4786"/>
                      </w:tabs>
                    </w:pPr>
                    <w:r>
                      <w:rPr>
                        <w:color w:val="000000"/>
                        <w:sz w:val="16"/>
                        <w:szCs w:val="16"/>
                      </w:rPr>
                      <w:t>726</w:t>
                    </w:r>
                    <w:r>
                      <w:rPr>
                        <w:color w:val="000000"/>
                        <w:sz w:val="16"/>
                        <w:szCs w:val="16"/>
                      </w:rPr>
                      <w:tab/>
                    </w:r>
                    <w:r>
                      <w:rPr>
                        <w:color w:val="000000"/>
                      </w:rPr>
                      <w:t>USO APROPIADO DE ANTIMICROBIANOS</w:t>
                    </w:r>
                  </w:p>
                </w:txbxContent>
              </v:textbox>
              <w10:wrap anchorx="page" anchory="page"/>
            </v:shape>
          </w:pict>
        </mc:Fallback>
      </mc:AlternateContent>
    </w:r>
    <w:r>
      <w:rPr>
        <w:noProof/>
      </w:rPr>
      <mc:AlternateContent>
        <mc:Choice Requires="wps">
          <w:drawing>
            <wp:anchor distT="0" distB="0" distL="114300" distR="114300" simplePos="0" relativeHeight="251761664" behindDoc="1" locked="0" layoutInCell="1" allowOverlap="1" wp14:anchorId="7E46B1CD" wp14:editId="79200B4B">
              <wp:simplePos x="0" y="0"/>
              <wp:positionH relativeFrom="page">
                <wp:posOffset>599440</wp:posOffset>
              </wp:positionH>
              <wp:positionV relativeFrom="page">
                <wp:posOffset>423545</wp:posOffset>
              </wp:positionV>
              <wp:extent cx="4358640" cy="0"/>
              <wp:effectExtent l="0" t="0" r="0" b="0"/>
              <wp:wrapNone/>
              <wp:docPr id="2197" name="Shape 2197"/>
              <wp:cNvGraphicFramePr/>
              <a:graphic xmlns:a="http://schemas.openxmlformats.org/drawingml/2006/main">
                <a:graphicData uri="http://schemas.microsoft.com/office/word/2010/wordprocessingShape">
                  <wps:wsp>
                    <wps:cNvCnPr/>
                    <wps:spPr>
                      <a:xfrm>
                        <a:off x="0" y="0"/>
                        <a:ext cx="4358640" cy="0"/>
                      </a:xfrm>
                      <a:prstGeom prst="straightConnector1">
                        <a:avLst/>
                      </a:prstGeom>
                      <a:ln w="12700">
                        <a:solidFill/>
                      </a:ln>
                    </wps:spPr>
                    <wps:bodyPr/>
                  </wps:wsp>
                </a:graphicData>
              </a:graphic>
            </wp:anchor>
          </w:drawing>
        </mc:Choice>
        <mc:Fallback>
          <w:pict>
            <v:shapetype w14:anchorId="7153DB27" id="_x0000_t32" coordsize="21600,21600" o:spt="32" o:oned="t" path="m,l21600,21600e" filled="f">
              <v:path arrowok="t" fillok="f" o:connecttype="none"/>
              <o:lock v:ext="edit" shapetype="t"/>
            </v:shapetype>
            <v:shape id="Shape 2197" o:spid="_x0000_s1026" type="#_x0000_t32" style="position:absolute;margin-left:47.2pt;margin-top:33.35pt;width:343.2pt;height:0;z-index:-251554816;visibility:visible;mso-wrap-style:square;mso-wrap-distance-left:9pt;mso-wrap-distance-top:0;mso-wrap-distance-right:9pt;mso-wrap-distance-bottom:0;mso-position-horizontal:absolute;mso-position-horizontal-relative:page;mso-position-vertical:absolute;mso-position-vertical-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" strokeweight="1pt">
              <w10:wrap anchorx="page" anchory="page"/>
            </v:shape>
          </w:pict>
        </mc:Fallback>
      </mc:AlternateContent>
    </w:r>
  </w:p>
</w:hdr>
</file>

<file path=word/header1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C98856" w14:textId="77777777" w:rsidR="00924992" w:rsidRDefault="00924992">
    <w:pPr>
      <w:spacing w:line="1" w:lineRule="exact"/>
    </w:pPr>
    <w:r>
      <w:rPr>
        <w:noProof/>
      </w:rPr>
      <mc:AlternateContent>
        <mc:Choice Requires="wps">
          <w:drawing>
            <wp:anchor distT="0" distB="0" distL="0" distR="0" simplePos="0" relativeHeight="251909120" behindDoc="1" locked="0" layoutInCell="1" allowOverlap="1" wp14:anchorId="5D5E25F8" wp14:editId="7FE38051">
              <wp:simplePos x="0" y="0"/>
              <wp:positionH relativeFrom="page">
                <wp:posOffset>1891665</wp:posOffset>
              </wp:positionH>
              <wp:positionV relativeFrom="page">
                <wp:posOffset>315595</wp:posOffset>
              </wp:positionV>
              <wp:extent cx="3032760" cy="69850"/>
              <wp:effectExtent l="0" t="0" r="0" b="0"/>
              <wp:wrapNone/>
              <wp:docPr id="2201" name="Shape 2201"/>
              <wp:cNvGraphicFramePr/>
              <a:graphic xmlns:a="http://schemas.openxmlformats.org/drawingml/2006/main">
                <a:graphicData uri="http://schemas.microsoft.com/office/word/2010/wordprocessingShape">
                  <wps:wsp>
                    <wps:cNvSpPr txBox="1"/>
                    <wps:spPr>
                      <a:xfrm>
                        <a:off x="0" y="0"/>
                        <a:ext cx="3032760" cy="69850"/>
                      </a:xfrm>
                      <a:prstGeom prst="rect">
                        <a:avLst/>
                      </a:prstGeom>
                      <a:noFill/>
                    </wps:spPr>
                    <wps:txbx>
                      <w:txbxContent>
                        <w:p w14:paraId="07909CF8" w14:textId="77777777" w:rsidR="00924992" w:rsidRDefault="00924992">
                          <w:pPr>
                            <w:pStyle w:val="Headerorfooter0"/>
                            <w:tabs>
                              <w:tab w:val="right" w:pos="4776"/>
                            </w:tabs>
                            <w:rPr>
                              <w:sz w:val="16"/>
                              <w:szCs w:val="16"/>
                            </w:rPr>
                          </w:pPr>
                          <w:r>
                            <w:rPr>
                              <w:color w:val="000000"/>
                            </w:rPr>
                            <w:t>USO APROPIADO DE ANTIMICROBIANOS</w:t>
                          </w:r>
                          <w:r>
                            <w:rPr>
                              <w:color w:val="000000"/>
                            </w:rPr>
                            <w:tab/>
                          </w:r>
                          <w:r>
                            <w:rPr>
                              <w:color w:val="000000"/>
                              <w:sz w:val="16"/>
                              <w:szCs w:val="16"/>
                            </w:rPr>
                            <w:t>725</w:t>
                          </w:r>
                        </w:p>
                      </w:txbxContent>
                    </wps:txbx>
                    <wps:bodyPr lIns="0" tIns="0" rIns="0" bIns="0">
                      <a:spAutoFit/>
                    </wps:bodyPr>
                  </wps:wsp>
                </a:graphicData>
              </a:graphic>
            </wp:anchor>
          </w:drawing>
        </mc:Choice>
        <mc:Fallback>
          <w:pict>
            <v:shapetype w14:anchorId="5D5E25F8" id="_x0000_t202" coordsize="21600,21600" o:spt="202" path="m,l,21600r21600,l21600,xe">
              <v:stroke joinstyle="miter"/>
              <v:path gradientshapeok="t" o:connecttype="rect"/>
            </v:shapetype>
            <v:shape id="Shape 2201" o:spid="_x0000_s1269" type="#_x0000_t202" style="position:absolute;margin-left:148.95pt;margin-top:24.85pt;width:238.8pt;height:5.5pt;z-index:-25140736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" filled="f" stroked="f">
              <v:textbox style="mso-fit-shape-to-text:t" inset="0,0,0,0">
                <w:txbxContent>
                  <w:p w14:paraId="07909CF8" w14:textId="77777777" w:rsidR="00924992" w:rsidRDefault="00924992">
                    <w:pPr>
                      <w:pStyle w:val="Headerorfooter0"/>
                      <w:tabs>
                        <w:tab w:val="right" w:pos="4776"/>
                      </w:tabs>
                      <w:rPr>
                        <w:sz w:val="16"/>
                        <w:szCs w:val="16"/>
                      </w:rPr>
                    </w:pPr>
                    <w:r>
                      <w:rPr>
                        <w:color w:val="000000"/>
                      </w:rPr>
                      <w:t>USO APROPIADO DE ANTIMICROBIANOS</w:t>
                    </w:r>
                    <w:r>
                      <w:rPr>
                        <w:color w:val="000000"/>
                      </w:rPr>
                      <w:tab/>
                    </w:r>
                    <w:r>
                      <w:rPr>
                        <w:color w:val="000000"/>
                        <w:sz w:val="16"/>
                        <w:szCs w:val="16"/>
                      </w:rPr>
                      <w:t>725</w:t>
                    </w:r>
                  </w:p>
                </w:txbxContent>
              </v:textbox>
              <w10:wrap anchorx="page" anchory="page"/>
            </v:shape>
          </w:pict>
        </mc:Fallback>
      </mc:AlternateContent>
    </w:r>
    <w:r>
      <w:rPr>
        <w:noProof/>
      </w:rPr>
      <mc:AlternateContent>
        <mc:Choice Requires="wps">
          <w:drawing>
            <wp:anchor distT="0" distB="0" distL="114300" distR="114300" simplePos="0" relativeHeight="251763712" behindDoc="1" locked="0" layoutInCell="1" allowOverlap="1" wp14:anchorId="55BEB2D6" wp14:editId="0FDFAF0F">
              <wp:simplePos x="0" y="0"/>
              <wp:positionH relativeFrom="page">
                <wp:posOffset>586740</wp:posOffset>
              </wp:positionH>
              <wp:positionV relativeFrom="page">
                <wp:posOffset>423545</wp:posOffset>
              </wp:positionV>
              <wp:extent cx="4358640" cy="0"/>
              <wp:effectExtent l="0" t="0" r="0" b="0"/>
              <wp:wrapNone/>
              <wp:docPr id="2203" name="Shape 2203"/>
              <wp:cNvGraphicFramePr/>
              <a:graphic xmlns:a="http://schemas.openxmlformats.org/drawingml/2006/main">
                <a:graphicData uri="http://schemas.microsoft.com/office/word/2010/wordprocessingShape">
                  <wps:wsp>
                    <wps:cNvCnPr/>
                    <wps:spPr>
                      <a:xfrm>
                        <a:off x="0" y="0"/>
                        <a:ext cx="4358640" cy="0"/>
                      </a:xfrm>
                      <a:prstGeom prst="straightConnector1">
                        <a:avLst/>
                      </a:prstGeom>
                      <a:ln w="12700">
                        <a:solidFill/>
                      </a:ln>
                    </wps:spPr>
                    <wps:bodyPr/>
                  </wps:wsp>
                </a:graphicData>
              </a:graphic>
            </wp:anchor>
          </w:drawing>
        </mc:Choice>
        <mc:Fallback>
          <w:pict>
            <v:shapetype w14:anchorId="6579C02C" id="_x0000_t32" coordsize="21600,21600" o:spt="32" o:oned="t" path="m,l21600,21600e" filled="f">
              <v:path arrowok="t" fillok="f" o:connecttype="none"/>
              <o:lock v:ext="edit" shapetype="t"/>
            </v:shapetype>
            <v:shape id="Shape 2203" o:spid="_x0000_s1026" type="#_x0000_t32" style="position:absolute;margin-left:46.2pt;margin-top:33.35pt;width:343.2pt;height:0;z-index:-251552768;visibility:visible;mso-wrap-style:square;mso-wrap-distance-left:9pt;mso-wrap-distance-top:0;mso-wrap-distance-right:9pt;mso-wrap-distance-bottom:0;mso-position-horizontal:absolute;mso-position-horizontal-relative:page;mso-position-vertical:absolute;mso-position-vertical-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" strokeweight="1pt">
              <w10:wrap anchorx="page" anchory="page"/>
            </v:shape>
          </w:pict>
        </mc:Fallback>
      </mc:AlternateContent>
    </w:r>
  </w:p>
</w:hdr>
</file>

<file path=word/header1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94FC6B" w14:textId="77777777" w:rsidR="00924992" w:rsidRDefault="00924992">
    <w:pPr>
      <w:spacing w:line="1" w:lineRule="exact"/>
    </w:pPr>
    <w:r>
      <w:rPr>
        <w:noProof/>
      </w:rPr>
      <mc:AlternateContent>
        <mc:Choice Requires="wps">
          <w:drawing>
            <wp:anchor distT="0" distB="0" distL="0" distR="0" simplePos="0" relativeHeight="251908096" behindDoc="1" locked="0" layoutInCell="1" allowOverlap="1" wp14:anchorId="134B9AD5" wp14:editId="567FA2B0">
              <wp:simplePos x="0" y="0"/>
              <wp:positionH relativeFrom="page">
                <wp:posOffset>1891665</wp:posOffset>
              </wp:positionH>
              <wp:positionV relativeFrom="page">
                <wp:posOffset>315595</wp:posOffset>
              </wp:positionV>
              <wp:extent cx="3032760" cy="69850"/>
              <wp:effectExtent l="0" t="0" r="0" b="0"/>
              <wp:wrapNone/>
              <wp:docPr id="2198" name="Shape 2198"/>
              <wp:cNvGraphicFramePr/>
              <a:graphic xmlns:a="http://schemas.openxmlformats.org/drawingml/2006/main">
                <a:graphicData uri="http://schemas.microsoft.com/office/word/2010/wordprocessingShape">
                  <wps:wsp>
                    <wps:cNvSpPr txBox="1"/>
                    <wps:spPr>
                      <a:xfrm>
                        <a:off x="0" y="0"/>
                        <a:ext cx="3032760" cy="69850"/>
                      </a:xfrm>
                      <a:prstGeom prst="rect">
                        <a:avLst/>
                      </a:prstGeom>
                      <a:noFill/>
                    </wps:spPr>
                    <wps:txbx>
                      <w:txbxContent>
                        <w:p w14:paraId="7DACF636" w14:textId="77777777" w:rsidR="00924992" w:rsidRDefault="00924992">
                          <w:pPr>
                            <w:pStyle w:val="Headerorfooter0"/>
                            <w:tabs>
                              <w:tab w:val="right" w:pos="4776"/>
                            </w:tabs>
                            <w:rPr>
                              <w:sz w:val="16"/>
                              <w:szCs w:val="16"/>
                            </w:rPr>
                          </w:pPr>
                          <w:r>
                            <w:rPr>
                              <w:color w:val="000000"/>
                            </w:rPr>
                            <w:t>USO APROPIADO DE ANTIMICROBIANOS</w:t>
                          </w:r>
                          <w:r>
                            <w:rPr>
                              <w:color w:val="000000"/>
                            </w:rPr>
                            <w:tab/>
                          </w:r>
                          <w:r>
                            <w:rPr>
                              <w:color w:val="000000"/>
                              <w:sz w:val="16"/>
                              <w:szCs w:val="16"/>
                            </w:rPr>
                            <w:t>725</w:t>
                          </w:r>
                        </w:p>
                      </w:txbxContent>
                    </wps:txbx>
                    <wps:bodyPr lIns="0" tIns="0" rIns="0" bIns="0">
                      <a:spAutoFit/>
                    </wps:bodyPr>
                  </wps:wsp>
                </a:graphicData>
              </a:graphic>
            </wp:anchor>
          </w:drawing>
        </mc:Choice>
        <mc:Fallback>
          <w:pict>
            <v:shapetype w14:anchorId="134B9AD5" id="_x0000_t202" coordsize="21600,21600" o:spt="202" path="m,l,21600r21600,l21600,xe">
              <v:stroke joinstyle="miter"/>
              <v:path gradientshapeok="t" o:connecttype="rect"/>
            </v:shapetype>
            <v:shape id="Shape 2198" o:spid="_x0000_s1270" type="#_x0000_t202" style="position:absolute;margin-left:148.95pt;margin-top:24.85pt;width:238.8pt;height:5.5pt;z-index:-25140838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" filled="f" stroked="f">
              <v:textbox style="mso-fit-shape-to-text:t" inset="0,0,0,0">
                <w:txbxContent>
                  <w:p w14:paraId="7DACF636" w14:textId="77777777" w:rsidR="00924992" w:rsidRDefault="00924992">
                    <w:pPr>
                      <w:pStyle w:val="Headerorfooter0"/>
                      <w:tabs>
                        <w:tab w:val="right" w:pos="4776"/>
                      </w:tabs>
                      <w:rPr>
                        <w:sz w:val="16"/>
                        <w:szCs w:val="16"/>
                      </w:rPr>
                    </w:pPr>
                    <w:r>
                      <w:rPr>
                        <w:color w:val="000000"/>
                      </w:rPr>
                      <w:t>USO APROPIADO DE ANTIMICROBIANOS</w:t>
                    </w:r>
                    <w:r>
                      <w:rPr>
                        <w:color w:val="000000"/>
                      </w:rPr>
                      <w:tab/>
                    </w:r>
                    <w:r>
                      <w:rPr>
                        <w:color w:val="000000"/>
                        <w:sz w:val="16"/>
                        <w:szCs w:val="16"/>
                      </w:rPr>
                      <w:t>725</w:t>
                    </w:r>
                  </w:p>
                </w:txbxContent>
              </v:textbox>
              <w10:wrap anchorx="page" anchory="page"/>
            </v:shape>
          </w:pict>
        </mc:Fallback>
      </mc:AlternateContent>
    </w:r>
    <w:r>
      <w:rPr>
        <w:noProof/>
      </w:rPr>
      <mc:AlternateContent>
        <mc:Choice Requires="wps">
          <w:drawing>
            <wp:anchor distT="0" distB="0" distL="114300" distR="114300" simplePos="0" relativeHeight="251762688" behindDoc="1" locked="0" layoutInCell="1" allowOverlap="1" wp14:anchorId="79911473" wp14:editId="4DCA69CD">
              <wp:simplePos x="0" y="0"/>
              <wp:positionH relativeFrom="page">
                <wp:posOffset>586740</wp:posOffset>
              </wp:positionH>
              <wp:positionV relativeFrom="page">
                <wp:posOffset>423545</wp:posOffset>
              </wp:positionV>
              <wp:extent cx="4358640" cy="0"/>
              <wp:effectExtent l="0" t="0" r="0" b="0"/>
              <wp:wrapNone/>
              <wp:docPr id="2200" name="Shape 2200"/>
              <wp:cNvGraphicFramePr/>
              <a:graphic xmlns:a="http://schemas.openxmlformats.org/drawingml/2006/main">
                <a:graphicData uri="http://schemas.microsoft.com/office/word/2010/wordprocessingShape">
                  <wps:wsp>
                    <wps:cNvCnPr/>
                    <wps:spPr>
                      <a:xfrm>
                        <a:off x="0" y="0"/>
                        <a:ext cx="4358640" cy="0"/>
                      </a:xfrm>
                      <a:prstGeom prst="straightConnector1">
                        <a:avLst/>
                      </a:prstGeom>
                      <a:ln w="12700">
                        <a:solidFill/>
                      </a:ln>
                    </wps:spPr>
                    <wps:bodyPr/>
                  </wps:wsp>
                </a:graphicData>
              </a:graphic>
            </wp:anchor>
          </w:drawing>
        </mc:Choice>
        <mc:Fallback>
          <w:pict>
            <v:shapetype w14:anchorId="6A5246D9" id="_x0000_t32" coordsize="21600,21600" o:spt="32" o:oned="t" path="m,l21600,21600e" filled="f">
              <v:path arrowok="t" fillok="f" o:connecttype="none"/>
              <o:lock v:ext="edit" shapetype="t"/>
            </v:shapetype>
            <v:shape id="Shape 2200" o:spid="_x0000_s1026" type="#_x0000_t32" style="position:absolute;margin-left:46.2pt;margin-top:33.35pt;width:343.2pt;height:0;z-index:-251553792;visibility:visible;mso-wrap-style:square;mso-wrap-distance-left:9pt;mso-wrap-distance-top:0;mso-wrap-distance-right:9pt;mso-wrap-distance-bottom:0;mso-position-horizontal:absolute;mso-position-horizontal-relative:page;mso-position-vertical:absolute;mso-position-vertical-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" strokeweight="1pt">
              <w10:wrap anchorx="page" anchory="page"/>
            </v:shape>
          </w:pict>
        </mc:Fallback>
      </mc:AlternateContent>
    </w:r>
  </w:p>
</w:hdr>
</file>

<file path=word/header1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6427EA" w14:textId="77777777" w:rsidR="00924992" w:rsidRDefault="00924992">
    <w:pPr>
      <w:spacing w:line="1" w:lineRule="exact"/>
    </w:pPr>
    <w:r>
      <w:rPr>
        <w:noProof/>
      </w:rPr>
      <mc:AlternateContent>
        <mc:Choice Requires="wps">
          <w:drawing>
            <wp:anchor distT="0" distB="0" distL="0" distR="0" simplePos="0" relativeHeight="251910144" behindDoc="1" locked="0" layoutInCell="1" allowOverlap="1" wp14:anchorId="6949B835" wp14:editId="4C2CC82F">
              <wp:simplePos x="0" y="0"/>
              <wp:positionH relativeFrom="page">
                <wp:posOffset>607060</wp:posOffset>
              </wp:positionH>
              <wp:positionV relativeFrom="page">
                <wp:posOffset>315595</wp:posOffset>
              </wp:positionV>
              <wp:extent cx="3039110" cy="69850"/>
              <wp:effectExtent l="0" t="0" r="0" b="0"/>
              <wp:wrapNone/>
              <wp:docPr id="2204" name="Shape 2204"/>
              <wp:cNvGraphicFramePr/>
              <a:graphic xmlns:a="http://schemas.openxmlformats.org/drawingml/2006/main">
                <a:graphicData uri="http://schemas.microsoft.com/office/word/2010/wordprocessingShape">
                  <wps:wsp>
                    <wps:cNvSpPr txBox="1"/>
                    <wps:spPr>
                      <a:xfrm>
                        <a:off x="0" y="0"/>
                        <a:ext cx="3039110" cy="69850"/>
                      </a:xfrm>
                      <a:prstGeom prst="rect">
                        <a:avLst/>
                      </a:prstGeom>
                      <a:noFill/>
                    </wps:spPr>
                    <wps:txbx>
                      <w:txbxContent>
                        <w:p w14:paraId="7C9F1FF7" w14:textId="77777777" w:rsidR="00924992" w:rsidRDefault="00924992">
                          <w:pPr>
                            <w:pStyle w:val="Headerorfooter0"/>
                            <w:tabs>
                              <w:tab w:val="right" w:pos="4786"/>
                            </w:tabs>
                          </w:pPr>
                          <w:r>
                            <w:rPr>
                              <w:color w:val="000000"/>
                              <w:sz w:val="16"/>
                              <w:szCs w:val="16"/>
                            </w:rPr>
                            <w:t>728</w:t>
                          </w:r>
                          <w:r>
                            <w:rPr>
                              <w:color w:val="000000"/>
                              <w:sz w:val="16"/>
                              <w:szCs w:val="16"/>
                            </w:rPr>
                            <w:tab/>
                          </w:r>
                          <w:r>
                            <w:rPr>
                              <w:color w:val="000000"/>
                            </w:rPr>
                            <w:t>USO APROPIADO DE ANTIMICROBIANOS</w:t>
                          </w:r>
                        </w:p>
                      </w:txbxContent>
                    </wps:txbx>
                    <wps:bodyPr lIns="0" tIns="0" rIns="0" bIns="0">
                      <a:spAutoFit/>
                    </wps:bodyPr>
                  </wps:wsp>
                </a:graphicData>
              </a:graphic>
            </wp:anchor>
          </w:drawing>
        </mc:Choice>
        <mc:Fallback>
          <w:pict>
            <v:shapetype w14:anchorId="6949B835" id="_x0000_t202" coordsize="21600,21600" o:spt="202" path="m,l,21600r21600,l21600,xe">
              <v:stroke joinstyle="miter"/>
              <v:path gradientshapeok="t" o:connecttype="rect"/>
            </v:shapetype>
            <v:shape id="Shape 2204" o:spid="_x0000_s1271" type="#_x0000_t202" style="position:absolute;margin-left:47.8pt;margin-top:24.85pt;width:239.3pt;height:5.5pt;z-index:-25140633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" filled="f" stroked="f">
              <v:textbox style="mso-fit-shape-to-text:t" inset="0,0,0,0">
                <w:txbxContent>
                  <w:p w14:paraId="7C9F1FF7" w14:textId="77777777" w:rsidR="00924992" w:rsidRDefault="00924992">
                    <w:pPr>
                      <w:pStyle w:val="Headerorfooter0"/>
                      <w:tabs>
                        <w:tab w:val="right" w:pos="4786"/>
                      </w:tabs>
                    </w:pPr>
                    <w:r>
                      <w:rPr>
                        <w:color w:val="000000"/>
                        <w:sz w:val="16"/>
                        <w:szCs w:val="16"/>
                      </w:rPr>
                      <w:t>728</w:t>
                    </w:r>
                    <w:r>
                      <w:rPr>
                        <w:color w:val="000000"/>
                        <w:sz w:val="16"/>
                        <w:szCs w:val="16"/>
                      </w:rPr>
                      <w:tab/>
                    </w:r>
                    <w:r>
                      <w:rPr>
                        <w:color w:val="000000"/>
                      </w:rPr>
                      <w:t>USO APROPIADO DE ANTIMICROBIANOS</w:t>
                    </w:r>
                  </w:p>
                </w:txbxContent>
              </v:textbox>
              <w10:wrap anchorx="page" anchory="page"/>
            </v:shape>
          </w:pict>
        </mc:Fallback>
      </mc:AlternateContent>
    </w:r>
    <w:r>
      <w:rPr>
        <w:noProof/>
      </w:rPr>
      <mc:AlternateContent>
        <mc:Choice Requires="wps">
          <w:drawing>
            <wp:anchor distT="0" distB="0" distL="114300" distR="114300" simplePos="0" relativeHeight="251764736" behindDoc="1" locked="0" layoutInCell="1" allowOverlap="1" wp14:anchorId="6D08815F" wp14:editId="7A581298">
              <wp:simplePos x="0" y="0"/>
              <wp:positionH relativeFrom="page">
                <wp:posOffset>591820</wp:posOffset>
              </wp:positionH>
              <wp:positionV relativeFrom="page">
                <wp:posOffset>423545</wp:posOffset>
              </wp:positionV>
              <wp:extent cx="4358640" cy="0"/>
              <wp:effectExtent l="0" t="0" r="0" b="0"/>
              <wp:wrapNone/>
              <wp:docPr id="2206" name="Shape 2206"/>
              <wp:cNvGraphicFramePr/>
              <a:graphic xmlns:a="http://schemas.openxmlformats.org/drawingml/2006/main">
                <a:graphicData uri="http://schemas.microsoft.com/office/word/2010/wordprocessingShape">
                  <wps:wsp>
                    <wps:cNvCnPr/>
                    <wps:spPr>
                      <a:xfrm>
                        <a:off x="0" y="0"/>
                        <a:ext cx="4358640" cy="0"/>
                      </a:xfrm>
                      <a:prstGeom prst="straightConnector1">
                        <a:avLst/>
                      </a:prstGeom>
                      <a:ln w="12700">
                        <a:solidFill/>
                      </a:ln>
                    </wps:spPr>
                    <wps:bodyPr/>
                  </wps:wsp>
                </a:graphicData>
              </a:graphic>
            </wp:anchor>
          </w:drawing>
        </mc:Choice>
        <mc:Fallback>
          <w:pict>
            <v:shapetype w14:anchorId="723EAE88" id="_x0000_t32" coordsize="21600,21600" o:spt="32" o:oned="t" path="m,l21600,21600e" filled="f">
              <v:path arrowok="t" fillok="f" o:connecttype="none"/>
              <o:lock v:ext="edit" shapetype="t"/>
            </v:shapetype>
            <v:shape id="Shape 2206" o:spid="_x0000_s1026" type="#_x0000_t32" style="position:absolute;margin-left:46.6pt;margin-top:33.35pt;width:343.2pt;height:0;z-index:-251551744;visibility:visible;mso-wrap-style:square;mso-wrap-distance-left:9pt;mso-wrap-distance-top:0;mso-wrap-distance-right:9pt;mso-wrap-distance-bottom:0;mso-position-horizontal:absolute;mso-position-horizontal-relative:page;mso-position-vertical:absolute;mso-position-vertical-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" strokeweight="1pt">
              <w10:wrap anchorx="page" anchory="page"/>
            </v:shape>
          </w:pict>
        </mc:Fallback>
      </mc:AlternateContent>
    </w:r>
  </w:p>
</w:hdr>
</file>

<file path=word/header1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2E3829" w14:textId="77777777" w:rsidR="00924992" w:rsidRDefault="00924992">
    <w:pPr>
      <w:spacing w:line="1" w:lineRule="exact"/>
    </w:pPr>
    <w:r>
      <w:rPr>
        <w:noProof/>
      </w:rPr>
      <mc:AlternateContent>
        <mc:Choice Requires="wps">
          <w:drawing>
            <wp:anchor distT="0" distB="0" distL="0" distR="0" simplePos="0" relativeHeight="251912192" behindDoc="1" locked="0" layoutInCell="1" allowOverlap="1" wp14:anchorId="1FCE3F71" wp14:editId="46648D05">
              <wp:simplePos x="0" y="0"/>
              <wp:positionH relativeFrom="page">
                <wp:posOffset>338455</wp:posOffset>
              </wp:positionH>
              <wp:positionV relativeFrom="page">
                <wp:posOffset>311150</wp:posOffset>
              </wp:positionV>
              <wp:extent cx="3112135" cy="69850"/>
              <wp:effectExtent l="0" t="0" r="0" b="0"/>
              <wp:wrapNone/>
              <wp:docPr id="2210" name="Shape 2210"/>
              <wp:cNvGraphicFramePr/>
              <a:graphic xmlns:a="http://schemas.openxmlformats.org/drawingml/2006/main">
                <a:graphicData uri="http://schemas.microsoft.com/office/word/2010/wordprocessingShape">
                  <wps:wsp>
                    <wps:cNvSpPr txBox="1"/>
                    <wps:spPr>
                      <a:xfrm>
                        <a:off x="0" y="0"/>
                        <a:ext cx="3112135" cy="69850"/>
                      </a:xfrm>
                      <a:prstGeom prst="rect">
                        <a:avLst/>
                      </a:prstGeom>
                      <a:noFill/>
                    </wps:spPr>
                    <wps:txbx>
                      <w:txbxContent>
                        <w:p w14:paraId="5BD119E2" w14:textId="77777777" w:rsidR="00924992" w:rsidRDefault="00924992">
                          <w:pPr>
                            <w:pStyle w:val="Headerorfooter0"/>
                            <w:tabs>
                              <w:tab w:val="right" w:pos="4901"/>
                            </w:tabs>
                          </w:pPr>
                          <w:r>
                            <w:rPr>
                              <w:color w:val="000000"/>
                              <w:sz w:val="16"/>
                              <w:szCs w:val="16"/>
                            </w:rPr>
                            <w:t>730</w:t>
                          </w:r>
                          <w:r>
                            <w:rPr>
                              <w:color w:val="000000"/>
                              <w:sz w:val="16"/>
                              <w:szCs w:val="16"/>
                            </w:rPr>
                            <w:tab/>
                          </w:r>
                          <w:r>
                            <w:rPr>
                              <w:color w:val="000000"/>
                            </w:rPr>
                            <w:t>CUADROS DE DOSIS DE ANTIMICROBIANOS</w:t>
                          </w:r>
                        </w:p>
                      </w:txbxContent>
                    </wps:txbx>
                    <wps:bodyPr lIns="0" tIns="0" rIns="0" bIns="0">
                      <a:spAutoFit/>
                    </wps:bodyPr>
                  </wps:wsp>
                </a:graphicData>
              </a:graphic>
            </wp:anchor>
          </w:drawing>
        </mc:Choice>
        <mc:Fallback>
          <w:pict>
            <v:shapetype w14:anchorId="1FCE3F71" id="_x0000_t202" coordsize="21600,21600" o:spt="202" path="m,l,21600r21600,l21600,xe">
              <v:stroke joinstyle="miter"/>
              <v:path gradientshapeok="t" o:connecttype="rect"/>
            </v:shapetype>
            <v:shape id="Shape 2210" o:spid="_x0000_s1272" type="#_x0000_t202" style="position:absolute;margin-left:26.65pt;margin-top:24.5pt;width:245.05pt;height:5.5pt;z-index:-25140428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" filled="f" stroked="f">
              <v:textbox style="mso-fit-shape-to-text:t" inset="0,0,0,0">
                <w:txbxContent>
                  <w:p w14:paraId="5BD119E2" w14:textId="77777777" w:rsidR="00924992" w:rsidRDefault="00924992">
                    <w:pPr>
                      <w:pStyle w:val="Headerorfooter0"/>
                      <w:tabs>
                        <w:tab w:val="right" w:pos="4901"/>
                      </w:tabs>
                    </w:pPr>
                    <w:r>
                      <w:rPr>
                        <w:color w:val="000000"/>
                        <w:sz w:val="16"/>
                        <w:szCs w:val="16"/>
                      </w:rPr>
                      <w:t>730</w:t>
                    </w:r>
                    <w:r>
                      <w:rPr>
                        <w:color w:val="000000"/>
                        <w:sz w:val="16"/>
                        <w:szCs w:val="16"/>
                      </w:rPr>
                      <w:tab/>
                    </w:r>
                    <w:r>
                      <w:rPr>
                        <w:color w:val="000000"/>
                      </w:rPr>
                      <w:t>CUADROS DE DOSIS DE ANTIMICROBIANOS</w:t>
                    </w:r>
                  </w:p>
                </w:txbxContent>
              </v:textbox>
              <w10:wrap anchorx="page" anchory="page"/>
            </v:shape>
          </w:pict>
        </mc:Fallback>
      </mc:AlternateContent>
    </w:r>
    <w:r>
      <w:rPr>
        <w:noProof/>
      </w:rPr>
      <mc:AlternateContent>
        <mc:Choice Requires="wps">
          <w:drawing>
            <wp:anchor distT="0" distB="0" distL="114300" distR="114300" simplePos="0" relativeHeight="251766784" behindDoc="1" locked="0" layoutInCell="1" allowOverlap="1" wp14:anchorId="1A82D0C9" wp14:editId="27906BF0">
              <wp:simplePos x="0" y="0"/>
              <wp:positionH relativeFrom="page">
                <wp:posOffset>323215</wp:posOffset>
              </wp:positionH>
              <wp:positionV relativeFrom="page">
                <wp:posOffset>419100</wp:posOffset>
              </wp:positionV>
              <wp:extent cx="4358640" cy="0"/>
              <wp:effectExtent l="0" t="0" r="0" b="0"/>
              <wp:wrapNone/>
              <wp:docPr id="2212" name="Shape 2212"/>
              <wp:cNvGraphicFramePr/>
              <a:graphic xmlns:a="http://schemas.openxmlformats.org/drawingml/2006/main">
                <a:graphicData uri="http://schemas.microsoft.com/office/word/2010/wordprocessingShape">
                  <wps:wsp>
                    <wps:cNvCnPr/>
                    <wps:spPr>
                      <a:xfrm>
                        <a:off x="0" y="0"/>
                        <a:ext cx="4358640" cy="0"/>
                      </a:xfrm>
                      <a:prstGeom prst="straightConnector1">
                        <a:avLst/>
                      </a:prstGeom>
                      <a:ln w="12700">
                        <a:solidFill/>
                      </a:ln>
                    </wps:spPr>
                    <wps:bodyPr/>
                  </wps:wsp>
                </a:graphicData>
              </a:graphic>
            </wp:anchor>
          </w:drawing>
        </mc:Choice>
        <mc:Fallback>
          <w:pict>
            <v:shapetype w14:anchorId="7CC3F6B6" id="_x0000_t32" coordsize="21600,21600" o:spt="32" o:oned="t" path="m,l21600,21600e" filled="f">
              <v:path arrowok="t" fillok="f" o:connecttype="none"/>
              <o:lock v:ext="edit" shapetype="t"/>
            </v:shapetype>
            <v:shape id="Shape 2212" o:spid="_x0000_s1026" type="#_x0000_t32" style="position:absolute;margin-left:25.45pt;margin-top:33pt;width:343.2pt;height:0;z-index:-251549696;visibility:visible;mso-wrap-style:square;mso-wrap-distance-left:9pt;mso-wrap-distance-top:0;mso-wrap-distance-right:9pt;mso-wrap-distance-bottom:0;mso-position-horizontal:absolute;mso-position-horizontal-relative:page;mso-position-vertical:absolute;mso-position-vertical-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" strokeweight="1pt">
              <w10:wrap anchorx="page" anchory="page"/>
            </v:shape>
          </w:pict>
        </mc:Fallback>
      </mc:AlternateContent>
    </w:r>
  </w:p>
</w:hdr>
</file>

<file path=word/header1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159923" w14:textId="77777777" w:rsidR="00924992" w:rsidRDefault="00924992">
    <w:pPr>
      <w:spacing w:line="1" w:lineRule="exact"/>
    </w:pPr>
    <w:r>
      <w:rPr>
        <w:noProof/>
      </w:rPr>
      <mc:AlternateContent>
        <mc:Choice Requires="wps">
          <w:drawing>
            <wp:anchor distT="0" distB="0" distL="0" distR="0" simplePos="0" relativeHeight="251911168" behindDoc="1" locked="0" layoutInCell="1" allowOverlap="1" wp14:anchorId="6A89A383" wp14:editId="3D52C3D0">
              <wp:simplePos x="0" y="0"/>
              <wp:positionH relativeFrom="page">
                <wp:posOffset>338455</wp:posOffset>
              </wp:positionH>
              <wp:positionV relativeFrom="page">
                <wp:posOffset>311150</wp:posOffset>
              </wp:positionV>
              <wp:extent cx="3112135" cy="69850"/>
              <wp:effectExtent l="0" t="0" r="0" b="0"/>
              <wp:wrapNone/>
              <wp:docPr id="2207" name="Shape 2207"/>
              <wp:cNvGraphicFramePr/>
              <a:graphic xmlns:a="http://schemas.openxmlformats.org/drawingml/2006/main">
                <a:graphicData uri="http://schemas.microsoft.com/office/word/2010/wordprocessingShape">
                  <wps:wsp>
                    <wps:cNvSpPr txBox="1"/>
                    <wps:spPr>
                      <a:xfrm>
                        <a:off x="0" y="0"/>
                        <a:ext cx="3112135" cy="69850"/>
                      </a:xfrm>
                      <a:prstGeom prst="rect">
                        <a:avLst/>
                      </a:prstGeom>
                      <a:noFill/>
                    </wps:spPr>
                    <wps:txbx>
                      <w:txbxContent>
                        <w:p w14:paraId="076B116F" w14:textId="77777777" w:rsidR="00924992" w:rsidRDefault="00924992">
                          <w:pPr>
                            <w:pStyle w:val="Headerorfooter0"/>
                            <w:tabs>
                              <w:tab w:val="right" w:pos="4901"/>
                            </w:tabs>
                          </w:pPr>
                          <w:r>
                            <w:rPr>
                              <w:color w:val="000000"/>
                              <w:sz w:val="16"/>
                              <w:szCs w:val="16"/>
                            </w:rPr>
                            <w:t>730</w:t>
                          </w:r>
                          <w:r>
                            <w:rPr>
                              <w:color w:val="000000"/>
                              <w:sz w:val="16"/>
                              <w:szCs w:val="16"/>
                            </w:rPr>
                            <w:tab/>
                          </w:r>
                          <w:r>
                            <w:rPr>
                              <w:color w:val="000000"/>
                            </w:rPr>
                            <w:t>CUADROS DE DOSIS DE ANTIMICROBIANOS</w:t>
                          </w:r>
                        </w:p>
                      </w:txbxContent>
                    </wps:txbx>
                    <wps:bodyPr lIns="0" tIns="0" rIns="0" bIns="0">
                      <a:spAutoFit/>
                    </wps:bodyPr>
                  </wps:wsp>
                </a:graphicData>
              </a:graphic>
            </wp:anchor>
          </w:drawing>
        </mc:Choice>
        <mc:Fallback>
          <w:pict>
            <v:shapetype w14:anchorId="6A89A383" id="_x0000_t202" coordsize="21600,21600" o:spt="202" path="m,l,21600r21600,l21600,xe">
              <v:stroke joinstyle="miter"/>
              <v:path gradientshapeok="t" o:connecttype="rect"/>
            </v:shapetype>
            <v:shape id="Shape 2207" o:spid="_x0000_s1273" type="#_x0000_t202" style="position:absolute;margin-left:26.65pt;margin-top:24.5pt;width:245.05pt;height:5.5pt;z-index:-25140531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" filled="f" stroked="f">
              <v:textbox style="mso-fit-shape-to-text:t" inset="0,0,0,0">
                <w:txbxContent>
                  <w:p w14:paraId="076B116F" w14:textId="77777777" w:rsidR="00924992" w:rsidRDefault="00924992">
                    <w:pPr>
                      <w:pStyle w:val="Headerorfooter0"/>
                      <w:tabs>
                        <w:tab w:val="right" w:pos="4901"/>
                      </w:tabs>
                    </w:pPr>
                    <w:r>
                      <w:rPr>
                        <w:color w:val="000000"/>
                        <w:sz w:val="16"/>
                        <w:szCs w:val="16"/>
                      </w:rPr>
                      <w:t>730</w:t>
                    </w:r>
                    <w:r>
                      <w:rPr>
                        <w:color w:val="000000"/>
                        <w:sz w:val="16"/>
                        <w:szCs w:val="16"/>
                      </w:rPr>
                      <w:tab/>
                    </w:r>
                    <w:r>
                      <w:rPr>
                        <w:color w:val="000000"/>
                      </w:rPr>
                      <w:t>CUADROS DE DOSIS DE ANTIMICROBIANOS</w:t>
                    </w:r>
                  </w:p>
                </w:txbxContent>
              </v:textbox>
              <w10:wrap anchorx="page" anchory="page"/>
            </v:shape>
          </w:pict>
        </mc:Fallback>
      </mc:AlternateContent>
    </w:r>
    <w:r>
      <w:rPr>
        <w:noProof/>
      </w:rPr>
      <mc:AlternateContent>
        <mc:Choice Requires="wps">
          <w:drawing>
            <wp:anchor distT="0" distB="0" distL="114300" distR="114300" simplePos="0" relativeHeight="251765760" behindDoc="1" locked="0" layoutInCell="1" allowOverlap="1" wp14:anchorId="2B2ED9A1" wp14:editId="3F5FD1E0">
              <wp:simplePos x="0" y="0"/>
              <wp:positionH relativeFrom="page">
                <wp:posOffset>323215</wp:posOffset>
              </wp:positionH>
              <wp:positionV relativeFrom="page">
                <wp:posOffset>419100</wp:posOffset>
              </wp:positionV>
              <wp:extent cx="4358640" cy="0"/>
              <wp:effectExtent l="0" t="0" r="0" b="0"/>
              <wp:wrapNone/>
              <wp:docPr id="2209" name="Shape 2209"/>
              <wp:cNvGraphicFramePr/>
              <a:graphic xmlns:a="http://schemas.openxmlformats.org/drawingml/2006/main">
                <a:graphicData uri="http://schemas.microsoft.com/office/word/2010/wordprocessingShape">
                  <wps:wsp>
                    <wps:cNvCnPr/>
                    <wps:spPr>
                      <a:xfrm>
                        <a:off x="0" y="0"/>
                        <a:ext cx="4358640" cy="0"/>
                      </a:xfrm>
                      <a:prstGeom prst="straightConnector1">
                        <a:avLst/>
                      </a:prstGeom>
                      <a:ln w="12700">
                        <a:solidFill/>
                      </a:ln>
                    </wps:spPr>
                    <wps:bodyPr/>
                  </wps:wsp>
                </a:graphicData>
              </a:graphic>
            </wp:anchor>
          </w:drawing>
        </mc:Choice>
        <mc:Fallback>
          <w:pict>
            <v:shapetype w14:anchorId="5A147271" id="_x0000_t32" coordsize="21600,21600" o:spt="32" o:oned="t" path="m,l21600,21600e" filled="f">
              <v:path arrowok="t" fillok="f" o:connecttype="none"/>
              <o:lock v:ext="edit" shapetype="t"/>
            </v:shapetype>
            <v:shape id="Shape 2209" o:spid="_x0000_s1026" type="#_x0000_t32" style="position:absolute;margin-left:25.45pt;margin-top:33pt;width:343.2pt;height:0;z-index:-251550720;visibility:visible;mso-wrap-style:square;mso-wrap-distance-left:9pt;mso-wrap-distance-top:0;mso-wrap-distance-right:9pt;mso-wrap-distance-bottom:0;mso-position-horizontal:absolute;mso-position-horizontal-relative:page;mso-position-vertical:absolute;mso-position-vertical-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" strokeweight="1pt">
              <w10:wrap anchorx="page" anchory="page"/>
            </v:shape>
          </w:pict>
        </mc:Fallback>
      </mc:AlternateContent>
    </w:r>
  </w:p>
</w:hdr>
</file>

<file path=word/header11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75CE32" w14:textId="77777777" w:rsidR="00924992" w:rsidRDefault="00924992">
    <w:pPr>
      <w:spacing w:line="1" w:lineRule="exact"/>
    </w:pPr>
  </w:p>
</w:hdr>
</file>

<file path=word/header11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B881C1" w14:textId="77777777" w:rsidR="00924992" w:rsidRDefault="00924992">
    <w:pPr>
      <w:spacing w:line="1" w:lineRule="exact"/>
    </w:pPr>
  </w:p>
</w:hdr>
</file>

<file path=word/header11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83F85A" w14:textId="77777777" w:rsidR="00924992" w:rsidRDefault="00924992"/>
</w:hdr>
</file>

<file path=word/header11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1E1B99" w14:textId="77777777" w:rsidR="00924992" w:rsidRDefault="00924992"/>
</w:hdr>
</file>

<file path=word/header11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CB06DF" w14:textId="77777777" w:rsidR="00924992" w:rsidRDefault="00924992">
    <w:pPr>
      <w:spacing w:line="1" w:lineRule="exact"/>
    </w:pPr>
  </w:p>
</w:hdr>
</file>

<file path=word/header12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D850A0" w14:textId="77777777" w:rsidR="00924992" w:rsidRDefault="00924992">
    <w:pPr>
      <w:spacing w:line="1" w:lineRule="exact"/>
    </w:pPr>
  </w:p>
</w:hdr>
</file>

<file path=word/header12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47CDCE" w14:textId="77777777" w:rsidR="00924992" w:rsidRDefault="00924992"/>
</w:hdr>
</file>

<file path=word/header12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B2DB4C" w14:textId="77777777" w:rsidR="00924992" w:rsidRDefault="00924992"/>
</w:hdr>
</file>

<file path=word/header12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43DB62" w14:textId="77777777" w:rsidR="00924992" w:rsidRDefault="00924992"/>
</w:hdr>
</file>

<file path=word/header12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646208" w14:textId="77777777" w:rsidR="00924992" w:rsidRDefault="00924992"/>
</w:hdr>
</file>

<file path=word/header12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B13EFB" w14:textId="77777777" w:rsidR="00924992" w:rsidRDefault="00924992"/>
</w:hdr>
</file>

<file path=word/header12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B20FB9" w14:textId="77777777" w:rsidR="00924992" w:rsidRDefault="00924992"/>
</w:hdr>
</file>

<file path=word/header12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933505" w14:textId="77777777" w:rsidR="00924992" w:rsidRDefault="00924992"/>
</w:hdr>
</file>

<file path=word/header12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240303" w14:textId="77777777" w:rsidR="00924992" w:rsidRDefault="00924992"/>
</w:hdr>
</file>

<file path=word/header12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3F8260" w14:textId="77777777" w:rsidR="00924992" w:rsidRDefault="00924992">
    <w:pPr>
      <w:spacing w:line="1" w:lineRule="exact"/>
    </w:pPr>
    <w:r>
      <w:rPr>
        <w:noProof/>
      </w:rPr>
      <mc:AlternateContent>
        <mc:Choice Requires="wps">
          <w:drawing>
            <wp:anchor distT="0" distB="0" distL="0" distR="0" simplePos="0" relativeHeight="251923456" behindDoc="1" locked="0" layoutInCell="1" allowOverlap="1" wp14:anchorId="7BE665E4" wp14:editId="50DFE5EC">
              <wp:simplePos x="0" y="0"/>
              <wp:positionH relativeFrom="page">
                <wp:posOffset>1264920</wp:posOffset>
              </wp:positionH>
              <wp:positionV relativeFrom="page">
                <wp:posOffset>295910</wp:posOffset>
              </wp:positionV>
              <wp:extent cx="3633470" cy="85090"/>
              <wp:effectExtent l="0" t="0" r="0" b="0"/>
              <wp:wrapNone/>
              <wp:docPr id="2278" name="Shape 2278"/>
              <wp:cNvGraphicFramePr/>
              <a:graphic xmlns:a="http://schemas.openxmlformats.org/drawingml/2006/main">
                <a:graphicData uri="http://schemas.microsoft.com/office/word/2010/wordprocessingShape">
                  <wps:wsp>
                    <wps:cNvSpPr txBox="1"/>
                    <wps:spPr>
                      <a:xfrm>
                        <a:off x="0" y="0"/>
                        <a:ext cx="3633470" cy="85090"/>
                      </a:xfrm>
                      <a:prstGeom prst="rect">
                        <a:avLst/>
                      </a:prstGeom>
                      <a:noFill/>
                    </wps:spPr>
                    <wps:txbx>
                      <w:txbxContent>
                        <w:p w14:paraId="27DD9B0B" w14:textId="77777777" w:rsidR="00924992" w:rsidRDefault="00924992">
                          <w:pPr>
                            <w:pStyle w:val="Headerorfooter0"/>
                            <w:tabs>
                              <w:tab w:val="right" w:pos="5722"/>
                            </w:tabs>
                            <w:rPr>
                              <w:sz w:val="16"/>
                              <w:szCs w:val="16"/>
                            </w:rPr>
                          </w:pPr>
                          <w:r>
                            <w:rPr>
                              <w:color w:val="000000"/>
                            </w:rPr>
                            <w:t>ANTIMICÓTICOS CONTRA INFECCIONES SISTÉMICAS POR HONGOS</w:t>
                          </w:r>
                          <w:r>
                            <w:rPr>
                              <w:color w:val="000000"/>
                            </w:rPr>
                            <w:tab/>
                          </w:r>
                          <w:r>
                            <w:rPr>
                              <w:color w:val="000000"/>
                              <w:sz w:val="16"/>
                              <w:szCs w:val="16"/>
                            </w:rPr>
                            <w:t>757</w:t>
                          </w:r>
                        </w:p>
                      </w:txbxContent>
                    </wps:txbx>
                    <wps:bodyPr lIns="0" tIns="0" rIns="0" bIns="0">
                      <a:spAutoFit/>
                    </wps:bodyPr>
                  </wps:wsp>
                </a:graphicData>
              </a:graphic>
            </wp:anchor>
          </w:drawing>
        </mc:Choice>
        <mc:Fallback>
          <w:pict>
            <v:shapetype w14:anchorId="7BE665E4" id="_x0000_t202" coordsize="21600,21600" o:spt="202" path="m,l,21600r21600,l21600,xe">
              <v:stroke joinstyle="miter"/>
              <v:path gradientshapeok="t" o:connecttype="rect"/>
            </v:shapetype>
            <v:shape id="Shape 2278" o:spid="_x0000_s1283" type="#_x0000_t202" style="position:absolute;margin-left:99.6pt;margin-top:23.3pt;width:286.1pt;height:6.7pt;z-index:-25139302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" filled="f" stroked="f">
              <v:textbox style="mso-fit-shape-to-text:t" inset="0,0,0,0">
                <w:txbxContent>
                  <w:p w14:paraId="27DD9B0B" w14:textId="77777777" w:rsidR="00924992" w:rsidRDefault="00924992">
                    <w:pPr>
                      <w:pStyle w:val="Headerorfooter0"/>
                      <w:tabs>
                        <w:tab w:val="right" w:pos="5722"/>
                      </w:tabs>
                      <w:rPr>
                        <w:sz w:val="16"/>
                        <w:szCs w:val="16"/>
                      </w:rPr>
                    </w:pPr>
                    <w:r>
                      <w:rPr>
                        <w:color w:val="000000"/>
                      </w:rPr>
                      <w:t>ANTIMICÓTICOS CONTRA INFECCIONES SISTÉMICAS POR HONGOS</w:t>
                    </w:r>
                    <w:r>
                      <w:rPr>
                        <w:color w:val="000000"/>
                      </w:rPr>
                      <w:tab/>
                    </w:r>
                    <w:r>
                      <w:rPr>
                        <w:color w:val="000000"/>
                        <w:sz w:val="16"/>
                        <w:szCs w:val="16"/>
                      </w:rPr>
                      <w:t>757</w:t>
                    </w:r>
                  </w:p>
                </w:txbxContent>
              </v:textbox>
              <w10:wrap anchorx="page" anchory="page"/>
            </v:shape>
          </w:pict>
        </mc:Fallback>
      </mc:AlternateContent>
    </w:r>
    <w:r>
      <w:rPr>
        <w:noProof/>
      </w:rPr>
      <mc:AlternateContent>
        <mc:Choice Requires="wps">
          <w:drawing>
            <wp:anchor distT="0" distB="0" distL="114300" distR="114300" simplePos="0" relativeHeight="251768832" behindDoc="1" locked="0" layoutInCell="1" allowOverlap="1" wp14:anchorId="38845F95" wp14:editId="4953B098">
              <wp:simplePos x="0" y="0"/>
              <wp:positionH relativeFrom="page">
                <wp:posOffset>560705</wp:posOffset>
              </wp:positionH>
              <wp:positionV relativeFrom="page">
                <wp:posOffset>419100</wp:posOffset>
              </wp:positionV>
              <wp:extent cx="4358640" cy="0"/>
              <wp:effectExtent l="0" t="0" r="0" b="0"/>
              <wp:wrapNone/>
              <wp:docPr id="2280" name="Shape 2280"/>
              <wp:cNvGraphicFramePr/>
              <a:graphic xmlns:a="http://schemas.openxmlformats.org/drawingml/2006/main">
                <a:graphicData uri="http://schemas.microsoft.com/office/word/2010/wordprocessingShape">
                  <wps:wsp>
                    <wps:cNvCnPr/>
                    <wps:spPr>
                      <a:xfrm>
                        <a:off x="0" y="0"/>
                        <a:ext cx="4358640" cy="0"/>
                      </a:xfrm>
                      <a:prstGeom prst="straightConnector1">
                        <a:avLst/>
                      </a:prstGeom>
                      <a:ln w="12700">
                        <a:solidFill/>
                      </a:ln>
                    </wps:spPr>
                    <wps:bodyPr/>
                  </wps:wsp>
                </a:graphicData>
              </a:graphic>
            </wp:anchor>
          </w:drawing>
        </mc:Choice>
        <mc:Fallback>
          <w:pict>
            <v:shapetype w14:anchorId="1087FBE0" id="_x0000_t32" coordsize="21600,21600" o:spt="32" o:oned="t" path="m,l21600,21600e" filled="f">
              <v:path arrowok="t" fillok="f" o:connecttype="none"/>
              <o:lock v:ext="edit" shapetype="t"/>
            </v:shapetype>
            <v:shape id="Shape 2280" o:spid="_x0000_s1026" type="#_x0000_t32" style="position:absolute;margin-left:44.15pt;margin-top:33pt;width:343.2pt;height:0;z-index:-251547648;visibility:visible;mso-wrap-style:square;mso-wrap-distance-left:9pt;mso-wrap-distance-top:0;mso-wrap-distance-right:9pt;mso-wrap-distance-bottom:0;mso-position-horizontal:absolute;mso-position-horizontal-relative:page;mso-position-vertical:absolute;mso-position-vertical-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" strokeweight="1pt">
              <w10:wrap anchorx="page" anchory="page"/>
            </v:shape>
          </w:pict>
        </mc:Fallback>
      </mc:AlternateContent>
    </w:r>
  </w:p>
</w:hdr>
</file>

<file path=word/header13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94D091" w14:textId="77777777" w:rsidR="00924992" w:rsidRDefault="00924992">
    <w:pPr>
      <w:spacing w:line="1" w:lineRule="exact"/>
    </w:pPr>
    <w:r>
      <w:rPr>
        <w:noProof/>
      </w:rPr>
      <mc:AlternateContent>
        <mc:Choice Requires="wps">
          <w:drawing>
            <wp:anchor distT="0" distB="0" distL="0" distR="0" simplePos="0" relativeHeight="251922432" behindDoc="1" locked="0" layoutInCell="1" allowOverlap="1" wp14:anchorId="2AAA8C6A" wp14:editId="6BD98623">
              <wp:simplePos x="0" y="0"/>
              <wp:positionH relativeFrom="page">
                <wp:posOffset>1264920</wp:posOffset>
              </wp:positionH>
              <wp:positionV relativeFrom="page">
                <wp:posOffset>295910</wp:posOffset>
              </wp:positionV>
              <wp:extent cx="3633470" cy="85090"/>
              <wp:effectExtent l="0" t="0" r="0" b="0"/>
              <wp:wrapNone/>
              <wp:docPr id="2275" name="Shape 2275"/>
              <wp:cNvGraphicFramePr/>
              <a:graphic xmlns:a="http://schemas.openxmlformats.org/drawingml/2006/main">
                <a:graphicData uri="http://schemas.microsoft.com/office/word/2010/wordprocessingShape">
                  <wps:wsp>
                    <wps:cNvSpPr txBox="1"/>
                    <wps:spPr>
                      <a:xfrm>
                        <a:off x="0" y="0"/>
                        <a:ext cx="3633470" cy="85090"/>
                      </a:xfrm>
                      <a:prstGeom prst="rect">
                        <a:avLst/>
                      </a:prstGeom>
                      <a:noFill/>
                    </wps:spPr>
                    <wps:txbx>
                      <w:txbxContent>
                        <w:p w14:paraId="1E82F56C" w14:textId="77777777" w:rsidR="00924992" w:rsidRDefault="00924992">
                          <w:pPr>
                            <w:pStyle w:val="Headerorfooter0"/>
                            <w:tabs>
                              <w:tab w:val="right" w:pos="5722"/>
                            </w:tabs>
                            <w:rPr>
                              <w:sz w:val="16"/>
                              <w:szCs w:val="16"/>
                            </w:rPr>
                          </w:pPr>
                          <w:r>
                            <w:rPr>
                              <w:color w:val="000000"/>
                            </w:rPr>
                            <w:t>ANTIMICÓTICOS CONTRA INFECCIONES SISTÉMICAS POR HONGOS</w:t>
                          </w:r>
                          <w:r>
                            <w:rPr>
                              <w:color w:val="000000"/>
                            </w:rPr>
                            <w:tab/>
                          </w:r>
                          <w:r>
                            <w:rPr>
                              <w:color w:val="000000"/>
                              <w:sz w:val="16"/>
                              <w:szCs w:val="16"/>
                            </w:rPr>
                            <w:t>757</w:t>
                          </w:r>
                        </w:p>
                      </w:txbxContent>
                    </wps:txbx>
                    <wps:bodyPr lIns="0" tIns="0" rIns="0" bIns="0">
                      <a:spAutoFit/>
                    </wps:bodyPr>
                  </wps:wsp>
                </a:graphicData>
              </a:graphic>
            </wp:anchor>
          </w:drawing>
        </mc:Choice>
        <mc:Fallback>
          <w:pict>
            <v:shapetype w14:anchorId="2AAA8C6A" id="_x0000_t202" coordsize="21600,21600" o:spt="202" path="m,l,21600r21600,l21600,xe">
              <v:stroke joinstyle="miter"/>
              <v:path gradientshapeok="t" o:connecttype="rect"/>
            </v:shapetype>
            <v:shape id="Shape 2275" o:spid="_x0000_s1284" type="#_x0000_t202" style="position:absolute;margin-left:99.6pt;margin-top:23.3pt;width:286.1pt;height:6.7pt;z-index:-25139404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" filled="f" stroked="f">
              <v:textbox style="mso-fit-shape-to-text:t" inset="0,0,0,0">
                <w:txbxContent>
                  <w:p w14:paraId="1E82F56C" w14:textId="77777777" w:rsidR="00924992" w:rsidRDefault="00924992">
                    <w:pPr>
                      <w:pStyle w:val="Headerorfooter0"/>
                      <w:tabs>
                        <w:tab w:val="right" w:pos="5722"/>
                      </w:tabs>
                      <w:rPr>
                        <w:sz w:val="16"/>
                        <w:szCs w:val="16"/>
                      </w:rPr>
                    </w:pPr>
                    <w:r>
                      <w:rPr>
                        <w:color w:val="000000"/>
                      </w:rPr>
                      <w:t>ANTIMICÓTICOS CONTRA INFECCIONES SISTÉMICAS POR HONGOS</w:t>
                    </w:r>
                    <w:r>
                      <w:rPr>
                        <w:color w:val="000000"/>
                      </w:rPr>
                      <w:tab/>
                    </w:r>
                    <w:r>
                      <w:rPr>
                        <w:color w:val="000000"/>
                        <w:sz w:val="16"/>
                        <w:szCs w:val="16"/>
                      </w:rPr>
                      <w:t>757</w:t>
                    </w:r>
                  </w:p>
                </w:txbxContent>
              </v:textbox>
              <w10:wrap anchorx="page" anchory="page"/>
            </v:shape>
          </w:pict>
        </mc:Fallback>
      </mc:AlternateContent>
    </w:r>
    <w:r>
      <w:rPr>
        <w:noProof/>
      </w:rPr>
      <mc:AlternateContent>
        <mc:Choice Requires="wps">
          <w:drawing>
            <wp:anchor distT="0" distB="0" distL="114300" distR="114300" simplePos="0" relativeHeight="251767808" behindDoc="1" locked="0" layoutInCell="1" allowOverlap="1" wp14:anchorId="12FBDF6F" wp14:editId="63B75C65">
              <wp:simplePos x="0" y="0"/>
              <wp:positionH relativeFrom="page">
                <wp:posOffset>560705</wp:posOffset>
              </wp:positionH>
              <wp:positionV relativeFrom="page">
                <wp:posOffset>419100</wp:posOffset>
              </wp:positionV>
              <wp:extent cx="4358640" cy="0"/>
              <wp:effectExtent l="0" t="0" r="0" b="0"/>
              <wp:wrapNone/>
              <wp:docPr id="2277" name="Shape 2277"/>
              <wp:cNvGraphicFramePr/>
              <a:graphic xmlns:a="http://schemas.openxmlformats.org/drawingml/2006/main">
                <a:graphicData uri="http://schemas.microsoft.com/office/word/2010/wordprocessingShape">
                  <wps:wsp>
                    <wps:cNvCnPr/>
                    <wps:spPr>
                      <a:xfrm>
                        <a:off x="0" y="0"/>
                        <a:ext cx="4358640" cy="0"/>
                      </a:xfrm>
                      <a:prstGeom prst="straightConnector1">
                        <a:avLst/>
                      </a:prstGeom>
                      <a:ln w="12700">
                        <a:solidFill/>
                      </a:ln>
                    </wps:spPr>
                    <wps:bodyPr/>
                  </wps:wsp>
                </a:graphicData>
              </a:graphic>
            </wp:anchor>
          </w:drawing>
        </mc:Choice>
        <mc:Fallback>
          <w:pict>
            <v:shapetype w14:anchorId="212C9313" id="_x0000_t32" coordsize="21600,21600" o:spt="32" o:oned="t" path="m,l21600,21600e" filled="f">
              <v:path arrowok="t" fillok="f" o:connecttype="none"/>
              <o:lock v:ext="edit" shapetype="t"/>
            </v:shapetype>
            <v:shape id="Shape 2277" o:spid="_x0000_s1026" type="#_x0000_t32" style="position:absolute;margin-left:44.15pt;margin-top:33pt;width:343.2pt;height:0;z-index:-251548672;visibility:visible;mso-wrap-style:square;mso-wrap-distance-left:9pt;mso-wrap-distance-top:0;mso-wrap-distance-right:9pt;mso-wrap-distance-bottom:0;mso-position-horizontal:absolute;mso-position-horizontal-relative:page;mso-position-vertical:absolute;mso-position-vertical-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" strokeweight="1pt">
              <w10:wrap anchorx="page" anchory="page"/>
            </v:shape>
          </w:pict>
        </mc:Fallback>
      </mc:AlternateContent>
    </w:r>
  </w:p>
</w:hdr>
</file>

<file path=word/header13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AAE9D0" w14:textId="77777777" w:rsidR="00924992" w:rsidRDefault="00924992">
    <w:pPr>
      <w:spacing w:line="1" w:lineRule="exact"/>
    </w:pPr>
    <w:r>
      <w:rPr>
        <w:noProof/>
      </w:rPr>
      <mc:AlternateContent>
        <mc:Choice Requires="wps">
          <w:drawing>
            <wp:anchor distT="0" distB="0" distL="0" distR="0" simplePos="0" relativeHeight="251924480" behindDoc="1" locked="0" layoutInCell="1" allowOverlap="1" wp14:anchorId="0C607BF1" wp14:editId="6C7F7995">
              <wp:simplePos x="0" y="0"/>
              <wp:positionH relativeFrom="page">
                <wp:posOffset>580390</wp:posOffset>
              </wp:positionH>
              <wp:positionV relativeFrom="page">
                <wp:posOffset>295910</wp:posOffset>
              </wp:positionV>
              <wp:extent cx="3633470" cy="85090"/>
              <wp:effectExtent l="0" t="0" r="0" b="0"/>
              <wp:wrapNone/>
              <wp:docPr id="2281" name="Shape 2281"/>
              <wp:cNvGraphicFramePr/>
              <a:graphic xmlns:a="http://schemas.openxmlformats.org/drawingml/2006/main">
                <a:graphicData uri="http://schemas.microsoft.com/office/word/2010/wordprocessingShape">
                  <wps:wsp>
                    <wps:cNvSpPr txBox="1"/>
                    <wps:spPr>
                      <a:xfrm>
                        <a:off x="0" y="0"/>
                        <a:ext cx="3633470" cy="85090"/>
                      </a:xfrm>
                      <a:prstGeom prst="rect">
                        <a:avLst/>
                      </a:prstGeom>
                      <a:noFill/>
                    </wps:spPr>
                    <wps:txbx>
                      <w:txbxContent>
                        <w:p w14:paraId="31B3D770" w14:textId="77777777" w:rsidR="00924992" w:rsidRDefault="00924992">
                          <w:pPr>
                            <w:pStyle w:val="Headerorfooter0"/>
                            <w:tabs>
                              <w:tab w:val="right" w:pos="5722"/>
                            </w:tabs>
                          </w:pPr>
                          <w:r>
                            <w:rPr>
                              <w:color w:val="000000"/>
                              <w:sz w:val="16"/>
                              <w:szCs w:val="16"/>
                            </w:rPr>
                            <w:t>756</w:t>
                          </w:r>
                          <w:r>
                            <w:rPr>
                              <w:color w:val="000000"/>
                              <w:sz w:val="16"/>
                              <w:szCs w:val="16"/>
                            </w:rPr>
                            <w:tab/>
                          </w:r>
                          <w:r>
                            <w:rPr>
                              <w:color w:val="000000"/>
                            </w:rPr>
                            <w:t>ANTIMICÓTICOS CONTRA INFECCIONES SISTÉMICAS POR HONGOS</w:t>
                          </w:r>
                        </w:p>
                      </w:txbxContent>
                    </wps:txbx>
                    <wps:bodyPr lIns="0" tIns="0" rIns="0" bIns="0">
                      <a:spAutoFit/>
                    </wps:bodyPr>
                  </wps:wsp>
                </a:graphicData>
              </a:graphic>
            </wp:anchor>
          </w:drawing>
        </mc:Choice>
        <mc:Fallback>
          <w:pict>
            <v:shapetype w14:anchorId="0C607BF1" id="_x0000_t202" coordsize="21600,21600" o:spt="202" path="m,l,21600r21600,l21600,xe">
              <v:stroke joinstyle="miter"/>
              <v:path gradientshapeok="t" o:connecttype="rect"/>
            </v:shapetype>
            <v:shape id="Shape 2281" o:spid="_x0000_s1285" type="#_x0000_t202" style="position:absolute;margin-left:45.7pt;margin-top:23.3pt;width:286.1pt;height:6.7pt;z-index:-25139200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" filled="f" stroked="f">
              <v:textbox style="mso-fit-shape-to-text:t" inset="0,0,0,0">
                <w:txbxContent>
                  <w:p w14:paraId="31B3D770" w14:textId="77777777" w:rsidR="00924992" w:rsidRDefault="00924992">
                    <w:pPr>
                      <w:pStyle w:val="Headerorfooter0"/>
                      <w:tabs>
                        <w:tab w:val="right" w:pos="5722"/>
                      </w:tabs>
                    </w:pPr>
                    <w:r>
                      <w:rPr>
                        <w:color w:val="000000"/>
                        <w:sz w:val="16"/>
                        <w:szCs w:val="16"/>
                      </w:rPr>
                      <w:t>756</w:t>
                    </w:r>
                    <w:r>
                      <w:rPr>
                        <w:color w:val="000000"/>
                        <w:sz w:val="16"/>
                        <w:szCs w:val="16"/>
                      </w:rPr>
                      <w:tab/>
                    </w:r>
                    <w:r>
                      <w:rPr>
                        <w:color w:val="000000"/>
                      </w:rPr>
                      <w:t>ANTIMICÓTICOS CONTRA INFECCIONES SISTÉMICAS POR HONGOS</w:t>
                    </w:r>
                  </w:p>
                </w:txbxContent>
              </v:textbox>
              <w10:wrap anchorx="page" anchory="page"/>
            </v:shape>
          </w:pict>
        </mc:Fallback>
      </mc:AlternateContent>
    </w:r>
    <w:r>
      <w:rPr>
        <w:noProof/>
      </w:rPr>
      <mc:AlternateContent>
        <mc:Choice Requires="wps">
          <w:drawing>
            <wp:anchor distT="0" distB="0" distL="114300" distR="114300" simplePos="0" relativeHeight="251769856" behindDoc="1" locked="0" layoutInCell="1" allowOverlap="1" wp14:anchorId="71682956" wp14:editId="4406AAC6">
              <wp:simplePos x="0" y="0"/>
              <wp:positionH relativeFrom="page">
                <wp:posOffset>565150</wp:posOffset>
              </wp:positionH>
              <wp:positionV relativeFrom="page">
                <wp:posOffset>419100</wp:posOffset>
              </wp:positionV>
              <wp:extent cx="4358640" cy="0"/>
              <wp:effectExtent l="0" t="0" r="0" b="0"/>
              <wp:wrapNone/>
              <wp:docPr id="2283" name="Shape 2283"/>
              <wp:cNvGraphicFramePr/>
              <a:graphic xmlns:a="http://schemas.openxmlformats.org/drawingml/2006/main">
                <a:graphicData uri="http://schemas.microsoft.com/office/word/2010/wordprocessingShape">
                  <wps:wsp>
                    <wps:cNvCnPr/>
                    <wps:spPr>
                      <a:xfrm>
                        <a:off x="0" y="0"/>
                        <a:ext cx="4358640" cy="0"/>
                      </a:xfrm>
                      <a:prstGeom prst="straightConnector1">
                        <a:avLst/>
                      </a:prstGeom>
                      <a:ln w="12700">
                        <a:solidFill/>
                      </a:ln>
                    </wps:spPr>
                    <wps:bodyPr/>
                  </wps:wsp>
                </a:graphicData>
              </a:graphic>
            </wp:anchor>
          </w:drawing>
        </mc:Choice>
        <mc:Fallback>
          <w:pict>
            <v:shapetype w14:anchorId="60489AE7" id="_x0000_t32" coordsize="21600,21600" o:spt="32" o:oned="t" path="m,l21600,21600e" filled="f">
              <v:path arrowok="t" fillok="f" o:connecttype="none"/>
              <o:lock v:ext="edit" shapetype="t"/>
            </v:shapetype>
            <v:shape id="Shape 2283" o:spid="_x0000_s1026" type="#_x0000_t32" style="position:absolute;margin-left:44.5pt;margin-top:33pt;width:343.2pt;height:0;z-index:-251546624;visibility:visible;mso-wrap-style:square;mso-wrap-distance-left:9pt;mso-wrap-distance-top:0;mso-wrap-distance-right:9pt;mso-wrap-distance-bottom:0;mso-position-horizontal:absolute;mso-position-horizontal-relative:page;mso-position-vertical:absolute;mso-position-vertical-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" strokeweight="1pt">
              <w10:wrap anchorx="page" anchory="page"/>
            </v:shape>
          </w:pict>
        </mc:Fallback>
      </mc:AlternateContent>
    </w:r>
  </w:p>
</w:hdr>
</file>

<file path=word/header13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98FCEF" w14:textId="77777777" w:rsidR="00924992" w:rsidRDefault="00924992">
    <w:pPr>
      <w:spacing w:line="1" w:lineRule="exact"/>
    </w:pPr>
    <w:r>
      <w:rPr>
        <w:noProof/>
      </w:rPr>
      <mc:AlternateContent>
        <mc:Choice Requires="wps">
          <w:drawing>
            <wp:anchor distT="0" distB="0" distL="0" distR="0" simplePos="0" relativeHeight="251926528" behindDoc="1" locked="0" layoutInCell="1" allowOverlap="1" wp14:anchorId="4ED24260" wp14:editId="73492B8C">
              <wp:simplePos x="0" y="0"/>
              <wp:positionH relativeFrom="page">
                <wp:posOffset>580390</wp:posOffset>
              </wp:positionH>
              <wp:positionV relativeFrom="page">
                <wp:posOffset>295910</wp:posOffset>
              </wp:positionV>
              <wp:extent cx="3633470" cy="85090"/>
              <wp:effectExtent l="0" t="0" r="0" b="0"/>
              <wp:wrapNone/>
              <wp:docPr id="2287" name="Shape 2287"/>
              <wp:cNvGraphicFramePr/>
              <a:graphic xmlns:a="http://schemas.openxmlformats.org/drawingml/2006/main">
                <a:graphicData uri="http://schemas.microsoft.com/office/word/2010/wordprocessingShape">
                  <wps:wsp>
                    <wps:cNvSpPr txBox="1"/>
                    <wps:spPr>
                      <a:xfrm>
                        <a:off x="0" y="0"/>
                        <a:ext cx="3633470" cy="85090"/>
                      </a:xfrm>
                      <a:prstGeom prst="rect">
                        <a:avLst/>
                      </a:prstGeom>
                      <a:noFill/>
                    </wps:spPr>
                    <wps:txbx>
                      <w:txbxContent>
                        <w:p w14:paraId="0FF0F4F1" w14:textId="77777777" w:rsidR="00924992" w:rsidRDefault="00924992">
                          <w:pPr>
                            <w:pStyle w:val="Headerorfooter0"/>
                            <w:tabs>
                              <w:tab w:val="right" w:pos="5722"/>
                            </w:tabs>
                          </w:pPr>
                          <w:r>
                            <w:rPr>
                              <w:color w:val="000000"/>
                              <w:sz w:val="16"/>
                              <w:szCs w:val="16"/>
                            </w:rPr>
                            <w:t>756</w:t>
                          </w:r>
                          <w:r>
                            <w:rPr>
                              <w:color w:val="000000"/>
                              <w:sz w:val="16"/>
                              <w:szCs w:val="16"/>
                            </w:rPr>
                            <w:tab/>
                          </w:r>
                          <w:r>
                            <w:rPr>
                              <w:color w:val="000000"/>
                            </w:rPr>
                            <w:t>ANTIMICÓTICOS CONTRA INFECCIONES SISTÉMICAS POR HONGOS</w:t>
                          </w:r>
                        </w:p>
                      </w:txbxContent>
                    </wps:txbx>
                    <wps:bodyPr lIns="0" tIns="0" rIns="0" bIns="0">
                      <a:spAutoFit/>
                    </wps:bodyPr>
                  </wps:wsp>
                </a:graphicData>
              </a:graphic>
            </wp:anchor>
          </w:drawing>
        </mc:Choice>
        <mc:Fallback>
          <w:pict>
            <v:shapetype w14:anchorId="4ED24260" id="_x0000_t202" coordsize="21600,21600" o:spt="202" path="m,l,21600r21600,l21600,xe">
              <v:stroke joinstyle="miter"/>
              <v:path gradientshapeok="t" o:connecttype="rect"/>
            </v:shapetype>
            <v:shape id="Shape 2287" o:spid="_x0000_s1286" type="#_x0000_t202" style="position:absolute;margin-left:45.7pt;margin-top:23.3pt;width:286.1pt;height:6.7pt;z-index:-25138995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" filled="f" stroked="f">
              <v:textbox style="mso-fit-shape-to-text:t" inset="0,0,0,0">
                <w:txbxContent>
                  <w:p w14:paraId="0FF0F4F1" w14:textId="77777777" w:rsidR="00924992" w:rsidRDefault="00924992">
                    <w:pPr>
                      <w:pStyle w:val="Headerorfooter0"/>
                      <w:tabs>
                        <w:tab w:val="right" w:pos="5722"/>
                      </w:tabs>
                    </w:pPr>
                    <w:r>
                      <w:rPr>
                        <w:color w:val="000000"/>
                        <w:sz w:val="16"/>
                        <w:szCs w:val="16"/>
                      </w:rPr>
                      <w:t>756</w:t>
                    </w:r>
                    <w:r>
                      <w:rPr>
                        <w:color w:val="000000"/>
                        <w:sz w:val="16"/>
                        <w:szCs w:val="16"/>
                      </w:rPr>
                      <w:tab/>
                    </w:r>
                    <w:r>
                      <w:rPr>
                        <w:color w:val="000000"/>
                      </w:rPr>
                      <w:t>ANTIMICÓTICOS CONTRA INFECCIONES SISTÉMICAS POR HONGOS</w:t>
                    </w:r>
                  </w:p>
                </w:txbxContent>
              </v:textbox>
              <w10:wrap anchorx="page" anchory="page"/>
            </v:shape>
          </w:pict>
        </mc:Fallback>
      </mc:AlternateContent>
    </w:r>
    <w:r>
      <w:rPr>
        <w:noProof/>
      </w:rPr>
      <mc:AlternateContent>
        <mc:Choice Requires="wps">
          <w:drawing>
            <wp:anchor distT="0" distB="0" distL="114300" distR="114300" simplePos="0" relativeHeight="251771904" behindDoc="1" locked="0" layoutInCell="1" allowOverlap="1" wp14:anchorId="59188F6C" wp14:editId="1E42FBED">
              <wp:simplePos x="0" y="0"/>
              <wp:positionH relativeFrom="page">
                <wp:posOffset>565150</wp:posOffset>
              </wp:positionH>
              <wp:positionV relativeFrom="page">
                <wp:posOffset>419100</wp:posOffset>
              </wp:positionV>
              <wp:extent cx="4358640" cy="0"/>
              <wp:effectExtent l="0" t="0" r="0" b="0"/>
              <wp:wrapNone/>
              <wp:docPr id="2289" name="Shape 2289"/>
              <wp:cNvGraphicFramePr/>
              <a:graphic xmlns:a="http://schemas.openxmlformats.org/drawingml/2006/main">
                <a:graphicData uri="http://schemas.microsoft.com/office/word/2010/wordprocessingShape">
                  <wps:wsp>
                    <wps:cNvCnPr/>
                    <wps:spPr>
                      <a:xfrm>
                        <a:off x="0" y="0"/>
                        <a:ext cx="4358640" cy="0"/>
                      </a:xfrm>
                      <a:prstGeom prst="straightConnector1">
                        <a:avLst/>
                      </a:prstGeom>
                      <a:ln w="12700">
                        <a:solidFill/>
                      </a:ln>
                    </wps:spPr>
                    <wps:bodyPr/>
                  </wps:wsp>
                </a:graphicData>
              </a:graphic>
            </wp:anchor>
          </w:drawing>
        </mc:Choice>
        <mc:Fallback>
          <w:pict>
            <v:shapetype w14:anchorId="0D057B78" id="_x0000_t32" coordsize="21600,21600" o:spt="32" o:oned="t" path="m,l21600,21600e" filled="f">
              <v:path arrowok="t" fillok="f" o:connecttype="none"/>
              <o:lock v:ext="edit" shapetype="t"/>
            </v:shapetype>
            <v:shape id="Shape 2289" o:spid="_x0000_s1026" type="#_x0000_t32" style="position:absolute;margin-left:44.5pt;margin-top:33pt;width:343.2pt;height:0;z-index:-251544576;visibility:visible;mso-wrap-style:square;mso-wrap-distance-left:9pt;mso-wrap-distance-top:0;mso-wrap-distance-right:9pt;mso-wrap-distance-bottom:0;mso-position-horizontal:absolute;mso-position-horizontal-relative:page;mso-position-vertical:absolute;mso-position-vertical-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" strokeweight="1pt">
              <w10:wrap anchorx="page" anchory="page"/>
            </v:shape>
          </w:pict>
        </mc:Fallback>
      </mc:AlternateContent>
    </w:r>
  </w:p>
</w:hdr>
</file>

<file path=word/header13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516AEE" w14:textId="77777777" w:rsidR="00924992" w:rsidRDefault="00924992">
    <w:pPr>
      <w:spacing w:line="1" w:lineRule="exact"/>
    </w:pPr>
    <w:r>
      <w:rPr>
        <w:noProof/>
      </w:rPr>
      <mc:AlternateContent>
        <mc:Choice Requires="wps">
          <w:drawing>
            <wp:anchor distT="0" distB="0" distL="0" distR="0" simplePos="0" relativeHeight="251925504" behindDoc="1" locked="0" layoutInCell="1" allowOverlap="1" wp14:anchorId="0AC776D6" wp14:editId="2126AB03">
              <wp:simplePos x="0" y="0"/>
              <wp:positionH relativeFrom="page">
                <wp:posOffset>580390</wp:posOffset>
              </wp:positionH>
              <wp:positionV relativeFrom="page">
                <wp:posOffset>295910</wp:posOffset>
              </wp:positionV>
              <wp:extent cx="3633470" cy="85090"/>
              <wp:effectExtent l="0" t="0" r="0" b="0"/>
              <wp:wrapNone/>
              <wp:docPr id="2284" name="Shape 2284"/>
              <wp:cNvGraphicFramePr/>
              <a:graphic xmlns:a="http://schemas.openxmlformats.org/drawingml/2006/main">
                <a:graphicData uri="http://schemas.microsoft.com/office/word/2010/wordprocessingShape">
                  <wps:wsp>
                    <wps:cNvSpPr txBox="1"/>
                    <wps:spPr>
                      <a:xfrm>
                        <a:off x="0" y="0"/>
                        <a:ext cx="3633470" cy="85090"/>
                      </a:xfrm>
                      <a:prstGeom prst="rect">
                        <a:avLst/>
                      </a:prstGeom>
                      <a:noFill/>
                    </wps:spPr>
                    <wps:txbx>
                      <w:txbxContent>
                        <w:p w14:paraId="311D4874" w14:textId="77777777" w:rsidR="00924992" w:rsidRDefault="00924992">
                          <w:pPr>
                            <w:pStyle w:val="Headerorfooter0"/>
                            <w:tabs>
                              <w:tab w:val="right" w:pos="5722"/>
                            </w:tabs>
                          </w:pPr>
                          <w:r>
                            <w:rPr>
                              <w:color w:val="000000"/>
                              <w:sz w:val="16"/>
                              <w:szCs w:val="16"/>
                            </w:rPr>
                            <w:t>756</w:t>
                          </w:r>
                          <w:r>
                            <w:rPr>
                              <w:color w:val="000000"/>
                              <w:sz w:val="16"/>
                              <w:szCs w:val="16"/>
                            </w:rPr>
                            <w:tab/>
                          </w:r>
                          <w:r>
                            <w:rPr>
                              <w:color w:val="000000"/>
                            </w:rPr>
                            <w:t>ANTIMICÓTICOS CONTRA INFECCIONES SISTÉMICAS POR HONGOS</w:t>
                          </w:r>
                        </w:p>
                      </w:txbxContent>
                    </wps:txbx>
                    <wps:bodyPr lIns="0" tIns="0" rIns="0" bIns="0">
                      <a:spAutoFit/>
                    </wps:bodyPr>
                  </wps:wsp>
                </a:graphicData>
              </a:graphic>
            </wp:anchor>
          </w:drawing>
        </mc:Choice>
        <mc:Fallback>
          <w:pict>
            <v:shapetype w14:anchorId="0AC776D6" id="_x0000_t202" coordsize="21600,21600" o:spt="202" path="m,l,21600r21600,l21600,xe">
              <v:stroke joinstyle="miter"/>
              <v:path gradientshapeok="t" o:connecttype="rect"/>
            </v:shapetype>
            <v:shape id="Shape 2284" o:spid="_x0000_s1287" type="#_x0000_t202" style="position:absolute;margin-left:45.7pt;margin-top:23.3pt;width:286.1pt;height:6.7pt;z-index:-25139097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" filled="f" stroked="f">
              <v:textbox style="mso-fit-shape-to-text:t" inset="0,0,0,0">
                <w:txbxContent>
                  <w:p w14:paraId="311D4874" w14:textId="77777777" w:rsidR="00924992" w:rsidRDefault="00924992">
                    <w:pPr>
                      <w:pStyle w:val="Headerorfooter0"/>
                      <w:tabs>
                        <w:tab w:val="right" w:pos="5722"/>
                      </w:tabs>
                    </w:pPr>
                    <w:r>
                      <w:rPr>
                        <w:color w:val="000000"/>
                        <w:sz w:val="16"/>
                        <w:szCs w:val="16"/>
                      </w:rPr>
                      <w:t>756</w:t>
                    </w:r>
                    <w:r>
                      <w:rPr>
                        <w:color w:val="000000"/>
                        <w:sz w:val="16"/>
                        <w:szCs w:val="16"/>
                      </w:rPr>
                      <w:tab/>
                    </w:r>
                    <w:r>
                      <w:rPr>
                        <w:color w:val="000000"/>
                      </w:rPr>
                      <w:t>ANTIMICÓTICOS CONTRA INFECCIONES SISTÉMICAS POR HONGOS</w:t>
                    </w:r>
                  </w:p>
                </w:txbxContent>
              </v:textbox>
              <w10:wrap anchorx="page" anchory="page"/>
            </v:shape>
          </w:pict>
        </mc:Fallback>
      </mc:AlternateContent>
    </w:r>
    <w:r>
      <w:rPr>
        <w:noProof/>
      </w:rPr>
      <mc:AlternateContent>
        <mc:Choice Requires="wps">
          <w:drawing>
            <wp:anchor distT="0" distB="0" distL="114300" distR="114300" simplePos="0" relativeHeight="251770880" behindDoc="1" locked="0" layoutInCell="1" allowOverlap="1" wp14:anchorId="637B5F90" wp14:editId="0F0E107A">
              <wp:simplePos x="0" y="0"/>
              <wp:positionH relativeFrom="page">
                <wp:posOffset>565150</wp:posOffset>
              </wp:positionH>
              <wp:positionV relativeFrom="page">
                <wp:posOffset>419100</wp:posOffset>
              </wp:positionV>
              <wp:extent cx="4358640" cy="0"/>
              <wp:effectExtent l="0" t="0" r="0" b="0"/>
              <wp:wrapNone/>
              <wp:docPr id="2286" name="Shape 2286"/>
              <wp:cNvGraphicFramePr/>
              <a:graphic xmlns:a="http://schemas.openxmlformats.org/drawingml/2006/main">
                <a:graphicData uri="http://schemas.microsoft.com/office/word/2010/wordprocessingShape">
                  <wps:wsp>
                    <wps:cNvCnPr/>
                    <wps:spPr>
                      <a:xfrm>
                        <a:off x="0" y="0"/>
                        <a:ext cx="4358640" cy="0"/>
                      </a:xfrm>
                      <a:prstGeom prst="straightConnector1">
                        <a:avLst/>
                      </a:prstGeom>
                      <a:ln w="12700">
                        <a:solidFill/>
                      </a:ln>
                    </wps:spPr>
                    <wps:bodyPr/>
                  </wps:wsp>
                </a:graphicData>
              </a:graphic>
            </wp:anchor>
          </w:drawing>
        </mc:Choice>
        <mc:Fallback>
          <w:pict>
            <v:shapetype w14:anchorId="42DC410F" id="_x0000_t32" coordsize="21600,21600" o:spt="32" o:oned="t" path="m,l21600,21600e" filled="f">
              <v:path arrowok="t" fillok="f" o:connecttype="none"/>
              <o:lock v:ext="edit" shapetype="t"/>
            </v:shapetype>
            <v:shape id="Shape 2286" o:spid="_x0000_s1026" type="#_x0000_t32" style="position:absolute;margin-left:44.5pt;margin-top:33pt;width:343.2pt;height:0;z-index:-251545600;visibility:visible;mso-wrap-style:square;mso-wrap-distance-left:9pt;mso-wrap-distance-top:0;mso-wrap-distance-right:9pt;mso-wrap-distance-bottom:0;mso-position-horizontal:absolute;mso-position-horizontal-relative:page;mso-position-vertical:absolute;mso-position-vertical-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" strokeweight="1pt">
              <w10:wrap anchorx="page" anchory="page"/>
            </v:shape>
          </w:pict>
        </mc:Fallback>
      </mc:AlternateContent>
    </w:r>
  </w:p>
</w:hdr>
</file>

<file path=word/header13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960C23" w14:textId="77777777" w:rsidR="00924992" w:rsidRDefault="00924992">
    <w:pPr>
      <w:spacing w:line="1" w:lineRule="exact"/>
    </w:pPr>
    <w:r>
      <w:rPr>
        <w:noProof/>
      </w:rPr>
      <mc:AlternateContent>
        <mc:Choice Requires="wps">
          <w:drawing>
            <wp:anchor distT="0" distB="0" distL="0" distR="0" simplePos="0" relativeHeight="251927552" behindDoc="1" locked="0" layoutInCell="1" allowOverlap="1" wp14:anchorId="299AC0C9" wp14:editId="30E295CB">
              <wp:simplePos x="0" y="0"/>
              <wp:positionH relativeFrom="page">
                <wp:posOffset>1264920</wp:posOffset>
              </wp:positionH>
              <wp:positionV relativeFrom="page">
                <wp:posOffset>295910</wp:posOffset>
              </wp:positionV>
              <wp:extent cx="3633470" cy="85090"/>
              <wp:effectExtent l="0" t="0" r="0" b="0"/>
              <wp:wrapNone/>
              <wp:docPr id="2290" name="Shape 2290"/>
              <wp:cNvGraphicFramePr/>
              <a:graphic xmlns:a="http://schemas.openxmlformats.org/drawingml/2006/main">
                <a:graphicData uri="http://schemas.microsoft.com/office/word/2010/wordprocessingShape">
                  <wps:wsp>
                    <wps:cNvSpPr txBox="1"/>
                    <wps:spPr>
                      <a:xfrm>
                        <a:off x="0" y="0"/>
                        <a:ext cx="3633470" cy="85090"/>
                      </a:xfrm>
                      <a:prstGeom prst="rect">
                        <a:avLst/>
                      </a:prstGeom>
                      <a:noFill/>
                    </wps:spPr>
                    <wps:txbx>
                      <w:txbxContent>
                        <w:p w14:paraId="588E206C" w14:textId="77777777" w:rsidR="00924992" w:rsidRDefault="00924992">
                          <w:pPr>
                            <w:pStyle w:val="Headerorfooter0"/>
                            <w:tabs>
                              <w:tab w:val="right" w:pos="5722"/>
                            </w:tabs>
                            <w:rPr>
                              <w:sz w:val="16"/>
                              <w:szCs w:val="16"/>
                            </w:rPr>
                          </w:pPr>
                          <w:r>
                            <w:rPr>
                              <w:color w:val="000000"/>
                            </w:rPr>
                            <w:t>ANTIMICÓTICOS CONTRA INFECCIONES SISTÉMICAS POR HONGOS</w:t>
                          </w:r>
                          <w:r>
                            <w:rPr>
                              <w:color w:val="000000"/>
                            </w:rPr>
                            <w:tab/>
                          </w:r>
                          <w:r>
                            <w:rPr>
                              <w:color w:val="000000"/>
                              <w:sz w:val="16"/>
                              <w:szCs w:val="16"/>
                            </w:rPr>
                            <w:t>757</w:t>
                          </w:r>
                        </w:p>
                      </w:txbxContent>
                    </wps:txbx>
                    <wps:bodyPr lIns="0" tIns="0" rIns="0" bIns="0">
                      <a:spAutoFit/>
                    </wps:bodyPr>
                  </wps:wsp>
                </a:graphicData>
              </a:graphic>
            </wp:anchor>
          </w:drawing>
        </mc:Choice>
        <mc:Fallback>
          <w:pict>
            <v:shapetype w14:anchorId="299AC0C9" id="_x0000_t202" coordsize="21600,21600" o:spt="202" path="m,l,21600r21600,l21600,xe">
              <v:stroke joinstyle="miter"/>
              <v:path gradientshapeok="t" o:connecttype="rect"/>
            </v:shapetype>
            <v:shape id="Shape 2290" o:spid="_x0000_s1288" type="#_x0000_t202" style="position:absolute;margin-left:99.6pt;margin-top:23.3pt;width:286.1pt;height:6.7pt;z-index:-25138892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" filled="f" stroked="f">
              <v:textbox style="mso-fit-shape-to-text:t" inset="0,0,0,0">
                <w:txbxContent>
                  <w:p w14:paraId="588E206C" w14:textId="77777777" w:rsidR="00924992" w:rsidRDefault="00924992">
                    <w:pPr>
                      <w:pStyle w:val="Headerorfooter0"/>
                      <w:tabs>
                        <w:tab w:val="right" w:pos="5722"/>
                      </w:tabs>
                      <w:rPr>
                        <w:sz w:val="16"/>
                        <w:szCs w:val="16"/>
                      </w:rPr>
                    </w:pPr>
                    <w:r>
                      <w:rPr>
                        <w:color w:val="000000"/>
                      </w:rPr>
                      <w:t>ANTIMICÓTICOS CONTRA INFECCIONES SISTÉMICAS POR HONGOS</w:t>
                    </w:r>
                    <w:r>
                      <w:rPr>
                        <w:color w:val="000000"/>
                      </w:rPr>
                      <w:tab/>
                    </w:r>
                    <w:r>
                      <w:rPr>
                        <w:color w:val="000000"/>
                        <w:sz w:val="16"/>
                        <w:szCs w:val="16"/>
                      </w:rPr>
                      <w:t>757</w:t>
                    </w:r>
                  </w:p>
                </w:txbxContent>
              </v:textbox>
              <w10:wrap anchorx="page" anchory="page"/>
            </v:shape>
          </w:pict>
        </mc:Fallback>
      </mc:AlternateContent>
    </w:r>
    <w:r>
      <w:rPr>
        <w:noProof/>
      </w:rPr>
      <mc:AlternateContent>
        <mc:Choice Requires="wps">
          <w:drawing>
            <wp:anchor distT="0" distB="0" distL="114300" distR="114300" simplePos="0" relativeHeight="251772928" behindDoc="1" locked="0" layoutInCell="1" allowOverlap="1" wp14:anchorId="7F995E1D" wp14:editId="39BC88C7">
              <wp:simplePos x="0" y="0"/>
              <wp:positionH relativeFrom="page">
                <wp:posOffset>560705</wp:posOffset>
              </wp:positionH>
              <wp:positionV relativeFrom="page">
                <wp:posOffset>419100</wp:posOffset>
              </wp:positionV>
              <wp:extent cx="4358640" cy="0"/>
              <wp:effectExtent l="0" t="0" r="0" b="0"/>
              <wp:wrapNone/>
              <wp:docPr id="2292" name="Shape 2292"/>
              <wp:cNvGraphicFramePr/>
              <a:graphic xmlns:a="http://schemas.openxmlformats.org/drawingml/2006/main">
                <a:graphicData uri="http://schemas.microsoft.com/office/word/2010/wordprocessingShape">
                  <wps:wsp>
                    <wps:cNvCnPr/>
                    <wps:spPr>
                      <a:xfrm>
                        <a:off x="0" y="0"/>
                        <a:ext cx="4358640" cy="0"/>
                      </a:xfrm>
                      <a:prstGeom prst="straightConnector1">
                        <a:avLst/>
                      </a:prstGeom>
                      <a:ln w="12700">
                        <a:solidFill/>
                      </a:ln>
                    </wps:spPr>
                    <wps:bodyPr/>
                  </wps:wsp>
                </a:graphicData>
              </a:graphic>
            </wp:anchor>
          </w:drawing>
        </mc:Choice>
        <mc:Fallback>
          <w:pict>
            <v:shapetype w14:anchorId="7B0B1D01" id="_x0000_t32" coordsize="21600,21600" o:spt="32" o:oned="t" path="m,l21600,21600e" filled="f">
              <v:path arrowok="t" fillok="f" o:connecttype="none"/>
              <o:lock v:ext="edit" shapetype="t"/>
            </v:shapetype>
            <v:shape id="Shape 2292" o:spid="_x0000_s1026" type="#_x0000_t32" style="position:absolute;margin-left:44.15pt;margin-top:33pt;width:343.2pt;height:0;z-index:-251543552;visibility:visible;mso-wrap-style:square;mso-wrap-distance-left:9pt;mso-wrap-distance-top:0;mso-wrap-distance-right:9pt;mso-wrap-distance-bottom:0;mso-position-horizontal:absolute;mso-position-horizontal-relative:page;mso-position-vertical:absolute;mso-position-vertical-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" strokeweight="1pt">
              <w10:wrap anchorx="page" anchory="page"/>
            </v:shape>
          </w:pict>
        </mc:Fallback>
      </mc:AlternateContent>
    </w:r>
  </w:p>
</w:hdr>
</file>

<file path=word/header13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F2F5A9" w14:textId="77777777" w:rsidR="00924992" w:rsidRDefault="00924992">
    <w:pPr>
      <w:spacing w:line="1" w:lineRule="exact"/>
    </w:pPr>
    <w:r>
      <w:rPr>
        <w:noProof/>
      </w:rPr>
      <mc:AlternateContent>
        <mc:Choice Requires="wps">
          <w:drawing>
            <wp:anchor distT="0" distB="0" distL="0" distR="0" simplePos="0" relativeHeight="251929600" behindDoc="1" locked="0" layoutInCell="1" allowOverlap="1" wp14:anchorId="10D81915" wp14:editId="4D46E57D">
              <wp:simplePos x="0" y="0"/>
              <wp:positionH relativeFrom="page">
                <wp:posOffset>580390</wp:posOffset>
              </wp:positionH>
              <wp:positionV relativeFrom="page">
                <wp:posOffset>295910</wp:posOffset>
              </wp:positionV>
              <wp:extent cx="3633470" cy="85090"/>
              <wp:effectExtent l="0" t="0" r="0" b="0"/>
              <wp:wrapNone/>
              <wp:docPr id="2296" name="Shape 2296"/>
              <wp:cNvGraphicFramePr/>
              <a:graphic xmlns:a="http://schemas.openxmlformats.org/drawingml/2006/main">
                <a:graphicData uri="http://schemas.microsoft.com/office/word/2010/wordprocessingShape">
                  <wps:wsp>
                    <wps:cNvSpPr txBox="1"/>
                    <wps:spPr>
                      <a:xfrm>
                        <a:off x="0" y="0"/>
                        <a:ext cx="3633470" cy="85090"/>
                      </a:xfrm>
                      <a:prstGeom prst="rect">
                        <a:avLst/>
                      </a:prstGeom>
                      <a:noFill/>
                    </wps:spPr>
                    <wps:txbx>
                      <w:txbxContent>
                        <w:p w14:paraId="1BE67005" w14:textId="77777777" w:rsidR="00924992" w:rsidRDefault="00924992">
                          <w:pPr>
                            <w:pStyle w:val="Headerorfooter0"/>
                            <w:tabs>
                              <w:tab w:val="right" w:pos="5722"/>
                            </w:tabs>
                          </w:pPr>
                          <w:r>
                            <w:rPr>
                              <w:color w:val="000000"/>
                              <w:sz w:val="16"/>
                              <w:szCs w:val="16"/>
                            </w:rPr>
                            <w:t>756</w:t>
                          </w:r>
                          <w:r>
                            <w:rPr>
                              <w:color w:val="000000"/>
                              <w:sz w:val="16"/>
                              <w:szCs w:val="16"/>
                            </w:rPr>
                            <w:tab/>
                          </w:r>
                          <w:r>
                            <w:rPr>
                              <w:color w:val="000000"/>
                            </w:rPr>
                            <w:t>ANTIMICÓTICOS CONTRA INFECCIONES SISTÉMICAS POR HONGOS</w:t>
                          </w:r>
                        </w:p>
                      </w:txbxContent>
                    </wps:txbx>
                    <wps:bodyPr lIns="0" tIns="0" rIns="0" bIns="0">
                      <a:spAutoFit/>
                    </wps:bodyPr>
                  </wps:wsp>
                </a:graphicData>
              </a:graphic>
            </wp:anchor>
          </w:drawing>
        </mc:Choice>
        <mc:Fallback>
          <w:pict>
            <v:shapetype w14:anchorId="10D81915" id="_x0000_t202" coordsize="21600,21600" o:spt="202" path="m,l,21600r21600,l21600,xe">
              <v:stroke joinstyle="miter"/>
              <v:path gradientshapeok="t" o:connecttype="rect"/>
            </v:shapetype>
            <v:shape id="Shape 2296" o:spid="_x0000_s1289" type="#_x0000_t202" style="position:absolute;margin-left:45.7pt;margin-top:23.3pt;width:286.1pt;height:6.7pt;z-index:-25138688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" filled="f" stroked="f">
              <v:textbox style="mso-fit-shape-to-text:t" inset="0,0,0,0">
                <w:txbxContent>
                  <w:p w14:paraId="1BE67005" w14:textId="77777777" w:rsidR="00924992" w:rsidRDefault="00924992">
                    <w:pPr>
                      <w:pStyle w:val="Headerorfooter0"/>
                      <w:tabs>
                        <w:tab w:val="right" w:pos="5722"/>
                      </w:tabs>
                    </w:pPr>
                    <w:r>
                      <w:rPr>
                        <w:color w:val="000000"/>
                        <w:sz w:val="16"/>
                        <w:szCs w:val="16"/>
                      </w:rPr>
                      <w:t>756</w:t>
                    </w:r>
                    <w:r>
                      <w:rPr>
                        <w:color w:val="000000"/>
                        <w:sz w:val="16"/>
                        <w:szCs w:val="16"/>
                      </w:rPr>
                      <w:tab/>
                    </w:r>
                    <w:r>
                      <w:rPr>
                        <w:color w:val="000000"/>
                      </w:rPr>
                      <w:t>ANTIMICÓTICOS CONTRA INFECCIONES SISTÉMICAS POR HONGOS</w:t>
                    </w:r>
                  </w:p>
                </w:txbxContent>
              </v:textbox>
              <w10:wrap anchorx="page" anchory="page"/>
            </v:shape>
          </w:pict>
        </mc:Fallback>
      </mc:AlternateContent>
    </w:r>
    <w:r>
      <w:rPr>
        <w:noProof/>
      </w:rPr>
      <mc:AlternateContent>
        <mc:Choice Requires="wps">
          <w:drawing>
            <wp:anchor distT="0" distB="0" distL="114300" distR="114300" simplePos="0" relativeHeight="251774976" behindDoc="1" locked="0" layoutInCell="1" allowOverlap="1" wp14:anchorId="33DEC25B" wp14:editId="03D2DDA7">
              <wp:simplePos x="0" y="0"/>
              <wp:positionH relativeFrom="page">
                <wp:posOffset>565150</wp:posOffset>
              </wp:positionH>
              <wp:positionV relativeFrom="page">
                <wp:posOffset>419100</wp:posOffset>
              </wp:positionV>
              <wp:extent cx="4358640" cy="0"/>
              <wp:effectExtent l="0" t="0" r="0" b="0"/>
              <wp:wrapNone/>
              <wp:docPr id="2298" name="Shape 2298"/>
              <wp:cNvGraphicFramePr/>
              <a:graphic xmlns:a="http://schemas.openxmlformats.org/drawingml/2006/main">
                <a:graphicData uri="http://schemas.microsoft.com/office/word/2010/wordprocessingShape">
                  <wps:wsp>
                    <wps:cNvCnPr/>
                    <wps:spPr>
                      <a:xfrm>
                        <a:off x="0" y="0"/>
                        <a:ext cx="4358640" cy="0"/>
                      </a:xfrm>
                      <a:prstGeom prst="straightConnector1">
                        <a:avLst/>
                      </a:prstGeom>
                      <a:ln w="12700">
                        <a:solidFill/>
                      </a:ln>
                    </wps:spPr>
                    <wps:bodyPr/>
                  </wps:wsp>
                </a:graphicData>
              </a:graphic>
            </wp:anchor>
          </w:drawing>
        </mc:Choice>
        <mc:Fallback>
          <w:pict>
            <v:shapetype w14:anchorId="38AA6A22" id="_x0000_t32" coordsize="21600,21600" o:spt="32" o:oned="t" path="m,l21600,21600e" filled="f">
              <v:path arrowok="t" fillok="f" o:connecttype="none"/>
              <o:lock v:ext="edit" shapetype="t"/>
            </v:shapetype>
            <v:shape id="Shape 2298" o:spid="_x0000_s1026" type="#_x0000_t32" style="position:absolute;margin-left:44.5pt;margin-top:33pt;width:343.2pt;height:0;z-index:-251541504;visibility:visible;mso-wrap-style:square;mso-wrap-distance-left:9pt;mso-wrap-distance-top:0;mso-wrap-distance-right:9pt;mso-wrap-distance-bottom:0;mso-position-horizontal:absolute;mso-position-horizontal-relative:page;mso-position-vertical:absolute;mso-position-vertical-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" strokeweight="1pt">
              <w10:wrap anchorx="page" anchory="page"/>
            </v:shape>
          </w:pict>
        </mc:Fallback>
      </mc:AlternateContent>
    </w:r>
  </w:p>
</w:hdr>
</file>

<file path=word/header13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919E2F" w14:textId="77777777" w:rsidR="00924992" w:rsidRDefault="00924992">
    <w:pPr>
      <w:spacing w:line="1" w:lineRule="exact"/>
    </w:pPr>
    <w:r>
      <w:rPr>
        <w:noProof/>
      </w:rPr>
      <mc:AlternateContent>
        <mc:Choice Requires="wps">
          <w:drawing>
            <wp:anchor distT="0" distB="0" distL="0" distR="0" simplePos="0" relativeHeight="251928576" behindDoc="1" locked="0" layoutInCell="1" allowOverlap="1" wp14:anchorId="4B8DF2CF" wp14:editId="1FA8D04F">
              <wp:simplePos x="0" y="0"/>
              <wp:positionH relativeFrom="page">
                <wp:posOffset>580390</wp:posOffset>
              </wp:positionH>
              <wp:positionV relativeFrom="page">
                <wp:posOffset>295910</wp:posOffset>
              </wp:positionV>
              <wp:extent cx="3633470" cy="85090"/>
              <wp:effectExtent l="0" t="0" r="0" b="0"/>
              <wp:wrapNone/>
              <wp:docPr id="2293" name="Shape 2293"/>
              <wp:cNvGraphicFramePr/>
              <a:graphic xmlns:a="http://schemas.openxmlformats.org/drawingml/2006/main">
                <a:graphicData uri="http://schemas.microsoft.com/office/word/2010/wordprocessingShape">
                  <wps:wsp>
                    <wps:cNvSpPr txBox="1"/>
                    <wps:spPr>
                      <a:xfrm>
                        <a:off x="0" y="0"/>
                        <a:ext cx="3633470" cy="85090"/>
                      </a:xfrm>
                      <a:prstGeom prst="rect">
                        <a:avLst/>
                      </a:prstGeom>
                      <a:noFill/>
                    </wps:spPr>
                    <wps:txbx>
                      <w:txbxContent>
                        <w:p w14:paraId="0B22D273" w14:textId="77777777" w:rsidR="00924992" w:rsidRDefault="00924992">
                          <w:pPr>
                            <w:pStyle w:val="Headerorfooter0"/>
                            <w:tabs>
                              <w:tab w:val="right" w:pos="5722"/>
                            </w:tabs>
                          </w:pPr>
                          <w:r>
                            <w:rPr>
                              <w:color w:val="000000"/>
                              <w:sz w:val="16"/>
                              <w:szCs w:val="16"/>
                            </w:rPr>
                            <w:t>756</w:t>
                          </w:r>
                          <w:r>
                            <w:rPr>
                              <w:color w:val="000000"/>
                              <w:sz w:val="16"/>
                              <w:szCs w:val="16"/>
                            </w:rPr>
                            <w:tab/>
                          </w:r>
                          <w:r>
                            <w:rPr>
                              <w:color w:val="000000"/>
                            </w:rPr>
                            <w:t>ANTIMICÓTICOS CONTRA INFECCIONES SISTÉMICAS POR HONGOS</w:t>
                          </w:r>
                        </w:p>
                      </w:txbxContent>
                    </wps:txbx>
                    <wps:bodyPr lIns="0" tIns="0" rIns="0" bIns="0">
                      <a:spAutoFit/>
                    </wps:bodyPr>
                  </wps:wsp>
                </a:graphicData>
              </a:graphic>
            </wp:anchor>
          </w:drawing>
        </mc:Choice>
        <mc:Fallback>
          <w:pict>
            <v:shapetype w14:anchorId="4B8DF2CF" id="_x0000_t202" coordsize="21600,21600" o:spt="202" path="m,l,21600r21600,l21600,xe">
              <v:stroke joinstyle="miter"/>
              <v:path gradientshapeok="t" o:connecttype="rect"/>
            </v:shapetype>
            <v:shape id="Shape 2293" o:spid="_x0000_s1290" type="#_x0000_t202" style="position:absolute;margin-left:45.7pt;margin-top:23.3pt;width:286.1pt;height:6.7pt;z-index:-25138790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" filled="f" stroked="f">
              <v:textbox style="mso-fit-shape-to-text:t" inset="0,0,0,0">
                <w:txbxContent>
                  <w:p w14:paraId="0B22D273" w14:textId="77777777" w:rsidR="00924992" w:rsidRDefault="00924992">
                    <w:pPr>
                      <w:pStyle w:val="Headerorfooter0"/>
                      <w:tabs>
                        <w:tab w:val="right" w:pos="5722"/>
                      </w:tabs>
                    </w:pPr>
                    <w:r>
                      <w:rPr>
                        <w:color w:val="000000"/>
                        <w:sz w:val="16"/>
                        <w:szCs w:val="16"/>
                      </w:rPr>
                      <w:t>756</w:t>
                    </w:r>
                    <w:r>
                      <w:rPr>
                        <w:color w:val="000000"/>
                        <w:sz w:val="16"/>
                        <w:szCs w:val="16"/>
                      </w:rPr>
                      <w:tab/>
                    </w:r>
                    <w:r>
                      <w:rPr>
                        <w:color w:val="000000"/>
                      </w:rPr>
                      <w:t>ANTIMICÓTICOS CONTRA INFECCIONES SISTÉMICAS POR HONGOS</w:t>
                    </w:r>
                  </w:p>
                </w:txbxContent>
              </v:textbox>
              <w10:wrap anchorx="page" anchory="page"/>
            </v:shape>
          </w:pict>
        </mc:Fallback>
      </mc:AlternateContent>
    </w:r>
    <w:r>
      <w:rPr>
        <w:noProof/>
      </w:rPr>
      <mc:AlternateContent>
        <mc:Choice Requires="wps">
          <w:drawing>
            <wp:anchor distT="0" distB="0" distL="114300" distR="114300" simplePos="0" relativeHeight="251773952" behindDoc="1" locked="0" layoutInCell="1" allowOverlap="1" wp14:anchorId="2A4C29C3" wp14:editId="46EAE71F">
              <wp:simplePos x="0" y="0"/>
              <wp:positionH relativeFrom="page">
                <wp:posOffset>565150</wp:posOffset>
              </wp:positionH>
              <wp:positionV relativeFrom="page">
                <wp:posOffset>419100</wp:posOffset>
              </wp:positionV>
              <wp:extent cx="4358640" cy="0"/>
              <wp:effectExtent l="0" t="0" r="0" b="0"/>
              <wp:wrapNone/>
              <wp:docPr id="2295" name="Shape 2295"/>
              <wp:cNvGraphicFramePr/>
              <a:graphic xmlns:a="http://schemas.openxmlformats.org/drawingml/2006/main">
                <a:graphicData uri="http://schemas.microsoft.com/office/word/2010/wordprocessingShape">
                  <wps:wsp>
                    <wps:cNvCnPr/>
                    <wps:spPr>
                      <a:xfrm>
                        <a:off x="0" y="0"/>
                        <a:ext cx="4358640" cy="0"/>
                      </a:xfrm>
                      <a:prstGeom prst="straightConnector1">
                        <a:avLst/>
                      </a:prstGeom>
                      <a:ln w="12700">
                        <a:solidFill/>
                      </a:ln>
                    </wps:spPr>
                    <wps:bodyPr/>
                  </wps:wsp>
                </a:graphicData>
              </a:graphic>
            </wp:anchor>
          </w:drawing>
        </mc:Choice>
        <mc:Fallback>
          <w:pict>
            <v:shapetype w14:anchorId="3F5BC5FD" id="_x0000_t32" coordsize="21600,21600" o:spt="32" o:oned="t" path="m,l21600,21600e" filled="f">
              <v:path arrowok="t" fillok="f" o:connecttype="none"/>
              <o:lock v:ext="edit" shapetype="t"/>
            </v:shapetype>
            <v:shape id="Shape 2295" o:spid="_x0000_s1026" type="#_x0000_t32" style="position:absolute;margin-left:44.5pt;margin-top:33pt;width:343.2pt;height:0;z-index:-251542528;visibility:visible;mso-wrap-style:square;mso-wrap-distance-left:9pt;mso-wrap-distance-top:0;mso-wrap-distance-right:9pt;mso-wrap-distance-bottom:0;mso-position-horizontal:absolute;mso-position-horizontal-relative:page;mso-position-vertical:absolute;mso-position-vertical-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" strokeweight="1pt">
              <w10:wrap anchorx="page" anchory="page"/>
            </v:shape>
          </w:pict>
        </mc:Fallback>
      </mc:AlternateContent>
    </w:r>
  </w:p>
</w:hdr>
</file>

<file path=word/header13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8A1B15" w14:textId="77777777" w:rsidR="00924992" w:rsidRDefault="00924992"/>
</w:hdr>
</file>

<file path=word/header13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6999D7" w14:textId="77777777" w:rsidR="00924992" w:rsidRDefault="00924992"/>
</w:hdr>
</file>

<file path=word/header13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82EF12" w14:textId="77777777" w:rsidR="00924992" w:rsidRDefault="00924992"/>
</w:hdr>
</file>

<file path=word/header14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CFF4AC" w14:textId="77777777" w:rsidR="00924992" w:rsidRDefault="00924992"/>
</w:hdr>
</file>

<file path=word/header14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420CE5" w14:textId="77777777" w:rsidR="00924992" w:rsidRDefault="00924992"/>
</w:hdr>
</file>

<file path=word/header14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6EEB5F" w14:textId="77777777" w:rsidR="00924992" w:rsidRDefault="00924992"/>
</w:hdr>
</file>

<file path=word/header14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2B456D" w14:textId="77777777" w:rsidR="00924992" w:rsidRDefault="00924992"/>
</w:hdr>
</file>

<file path=word/header14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8E8010" w14:textId="77777777" w:rsidR="00924992" w:rsidRDefault="00924992"/>
</w:hdr>
</file>

<file path=word/header14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A79FC6" w14:textId="77777777" w:rsidR="00924992" w:rsidRDefault="00924992"/>
</w:hdr>
</file>

<file path=word/header14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F94792" w14:textId="77777777" w:rsidR="00924992" w:rsidRDefault="00924992"/>
</w:hdr>
</file>

<file path=word/header14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C6C667" w14:textId="77777777" w:rsidR="00924992" w:rsidRDefault="00924992"/>
</w:hdr>
</file>

<file path=word/header14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117794" w14:textId="77777777" w:rsidR="00924992" w:rsidRDefault="00924992"/>
</w:hdr>
</file>

<file path=word/header14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81C1F6" w14:textId="77777777" w:rsidR="00924992" w:rsidRDefault="00924992">
    <w:pPr>
      <w:spacing w:line="1" w:lineRule="exact"/>
    </w:pPr>
  </w:p>
</w:hdr>
</file>

<file path=word/header15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CD14F5" w14:textId="77777777" w:rsidR="00924992" w:rsidRDefault="00924992">
    <w:pPr>
      <w:spacing w:line="1" w:lineRule="exact"/>
    </w:pPr>
  </w:p>
</w:hdr>
</file>

<file path=word/header15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0F8D7C" w14:textId="77777777" w:rsidR="00924992" w:rsidRDefault="00924992"/>
</w:hdr>
</file>

<file path=word/header15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2EA451" w14:textId="77777777" w:rsidR="00924992" w:rsidRDefault="00924992"/>
</w:hdr>
</file>

<file path=word/header15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544506" w14:textId="77777777" w:rsidR="00924992" w:rsidRDefault="00924992"/>
</w:hdr>
</file>

<file path=word/header15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443F18" w14:textId="77777777" w:rsidR="00924992" w:rsidRDefault="00924992"/>
</w:hdr>
</file>

<file path=word/header15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8F5C0F" w14:textId="77777777" w:rsidR="00924992" w:rsidRDefault="00924992"/>
</w:hdr>
</file>

<file path=word/header15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EEA852" w14:textId="77777777" w:rsidR="00924992" w:rsidRDefault="00924992"/>
</w:hdr>
</file>

<file path=word/header15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A77D80" w14:textId="77777777" w:rsidR="00924992" w:rsidRDefault="00924992"/>
</w:hdr>
</file>

<file path=word/header15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04B04C" w14:textId="77777777" w:rsidR="00924992" w:rsidRDefault="00924992"/>
</w:hdr>
</file>

<file path=word/header15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EBDB34" w14:textId="77777777" w:rsidR="00924992" w:rsidRDefault="00924992">
    <w:pPr>
      <w:spacing w:line="1" w:lineRule="exact"/>
    </w:pPr>
    <w:r>
      <w:rPr>
        <w:noProof/>
      </w:rPr>
      <mc:AlternateContent>
        <mc:Choice Requires="wps">
          <w:drawing>
            <wp:anchor distT="0" distB="0" distL="0" distR="0" simplePos="0" relativeHeight="251943936" behindDoc="1" locked="0" layoutInCell="1" allowOverlap="1" wp14:anchorId="134BA6AE" wp14:editId="58461968">
              <wp:simplePos x="0" y="0"/>
              <wp:positionH relativeFrom="page">
                <wp:posOffset>338455</wp:posOffset>
              </wp:positionH>
              <wp:positionV relativeFrom="page">
                <wp:posOffset>298450</wp:posOffset>
              </wp:positionV>
              <wp:extent cx="2843530" cy="85090"/>
              <wp:effectExtent l="0" t="0" r="0" b="0"/>
              <wp:wrapNone/>
              <wp:docPr id="2335" name="Shape 2335"/>
              <wp:cNvGraphicFramePr/>
              <a:graphic xmlns:a="http://schemas.openxmlformats.org/drawingml/2006/main">
                <a:graphicData uri="http://schemas.microsoft.com/office/word/2010/wordprocessingShape">
                  <wps:wsp>
                    <wps:cNvSpPr txBox="1"/>
                    <wps:spPr>
                      <a:xfrm>
                        <a:off x="0" y="0"/>
                        <a:ext cx="2843530" cy="85090"/>
                      </a:xfrm>
                      <a:prstGeom prst="rect">
                        <a:avLst/>
                      </a:prstGeom>
                      <a:noFill/>
                    </wps:spPr>
                    <wps:txbx>
                      <w:txbxContent>
                        <w:p w14:paraId="5D772F06" w14:textId="77777777" w:rsidR="00924992" w:rsidRDefault="00924992">
                          <w:pPr>
                            <w:pStyle w:val="Headerorfooter0"/>
                            <w:tabs>
                              <w:tab w:val="right" w:pos="4478"/>
                            </w:tabs>
                          </w:pPr>
                          <w:r>
                            <w:rPr>
                              <w:color w:val="000000"/>
                              <w:sz w:val="16"/>
                              <w:szCs w:val="16"/>
                            </w:rPr>
                            <w:t>782</w:t>
                          </w:r>
                          <w:r>
                            <w:rPr>
                              <w:color w:val="000000"/>
                              <w:sz w:val="16"/>
                              <w:szCs w:val="16"/>
                            </w:rPr>
                            <w:tab/>
                          </w:r>
                          <w:r>
                            <w:rPr>
                              <w:color w:val="000000"/>
                            </w:rPr>
                            <w:t>FÁRMACOS ANTIPARASITARIOS</w:t>
                          </w:r>
                        </w:p>
                      </w:txbxContent>
                    </wps:txbx>
                    <wps:bodyPr lIns="0" tIns="0" rIns="0" bIns="0">
                      <a:spAutoFit/>
                    </wps:bodyPr>
                  </wps:wsp>
                </a:graphicData>
              </a:graphic>
            </wp:anchor>
          </w:drawing>
        </mc:Choice>
        <mc:Fallback>
          <w:pict>
            <v:shapetype w14:anchorId="134BA6AE" id="_x0000_t202" coordsize="21600,21600" o:spt="202" path="m,l,21600r21600,l21600,xe">
              <v:stroke joinstyle="miter"/>
              <v:path gradientshapeok="t" o:connecttype="rect"/>
            </v:shapetype>
            <v:shape id="Shape 2335" o:spid="_x0000_s1304" type="#_x0000_t202" style="position:absolute;margin-left:26.65pt;margin-top:23.5pt;width:223.9pt;height:6.7pt;z-index:-25137254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" filled="f" stroked="f">
              <v:textbox style="mso-fit-shape-to-text:t" inset="0,0,0,0">
                <w:txbxContent>
                  <w:p w14:paraId="5D772F06" w14:textId="77777777" w:rsidR="00924992" w:rsidRDefault="00924992">
                    <w:pPr>
                      <w:pStyle w:val="Headerorfooter0"/>
                      <w:tabs>
                        <w:tab w:val="right" w:pos="4478"/>
                      </w:tabs>
                    </w:pPr>
                    <w:r>
                      <w:rPr>
                        <w:color w:val="000000"/>
                        <w:sz w:val="16"/>
                        <w:szCs w:val="16"/>
                      </w:rPr>
                      <w:t>782</w:t>
                    </w:r>
                    <w:r>
                      <w:rPr>
                        <w:color w:val="000000"/>
                        <w:sz w:val="16"/>
                        <w:szCs w:val="16"/>
                      </w:rPr>
                      <w:tab/>
                    </w:r>
                    <w:r>
                      <w:rPr>
                        <w:color w:val="000000"/>
                      </w:rPr>
                      <w:t>FÁRMACOS ANTIPARASITARIOS</w:t>
                    </w:r>
                  </w:p>
                </w:txbxContent>
              </v:textbox>
              <w10:wrap anchorx="page" anchory="page"/>
            </v:shape>
          </w:pict>
        </mc:Fallback>
      </mc:AlternateContent>
    </w:r>
    <w:r>
      <w:rPr>
        <w:noProof/>
      </w:rPr>
      <mc:AlternateContent>
        <mc:Choice Requires="wps">
          <w:drawing>
            <wp:anchor distT="0" distB="0" distL="114300" distR="114300" simplePos="0" relativeHeight="251776000" behindDoc="1" locked="0" layoutInCell="1" allowOverlap="1" wp14:anchorId="14498D77" wp14:editId="64C4CA2C">
              <wp:simplePos x="0" y="0"/>
              <wp:positionH relativeFrom="page">
                <wp:posOffset>323215</wp:posOffset>
              </wp:positionH>
              <wp:positionV relativeFrom="page">
                <wp:posOffset>422275</wp:posOffset>
              </wp:positionV>
              <wp:extent cx="4358640" cy="0"/>
              <wp:effectExtent l="0" t="0" r="0" b="0"/>
              <wp:wrapNone/>
              <wp:docPr id="2337" name="Shape 2337"/>
              <wp:cNvGraphicFramePr/>
              <a:graphic xmlns:a="http://schemas.openxmlformats.org/drawingml/2006/main">
                <a:graphicData uri="http://schemas.microsoft.com/office/word/2010/wordprocessingShape">
                  <wps:wsp>
                    <wps:cNvCnPr/>
                    <wps:spPr>
                      <a:xfrm>
                        <a:off x="0" y="0"/>
                        <a:ext cx="4358640" cy="0"/>
                      </a:xfrm>
                      <a:prstGeom prst="straightConnector1">
                        <a:avLst/>
                      </a:prstGeom>
                      <a:ln w="12700">
                        <a:solidFill/>
                      </a:ln>
                    </wps:spPr>
                    <wps:bodyPr/>
                  </wps:wsp>
                </a:graphicData>
              </a:graphic>
            </wp:anchor>
          </w:drawing>
        </mc:Choice>
        <mc:Fallback>
          <w:pict>
            <v:shapetype w14:anchorId="0EFEC64A" id="_x0000_t32" coordsize="21600,21600" o:spt="32" o:oned="t" path="m,l21600,21600e" filled="f">
              <v:path arrowok="t" fillok="f" o:connecttype="none"/>
              <o:lock v:ext="edit" shapetype="t"/>
            </v:shapetype>
            <v:shape id="Shape 2337" o:spid="_x0000_s1026" type="#_x0000_t32" style="position:absolute;margin-left:25.45pt;margin-top:33.25pt;width:343.2pt;height:0;z-index:-251540480;visibility:visible;mso-wrap-style:square;mso-wrap-distance-left:9pt;mso-wrap-distance-top:0;mso-wrap-distance-right:9pt;mso-wrap-distance-bottom:0;mso-position-horizontal:absolute;mso-position-horizontal-relative:page;mso-position-vertical:absolute;mso-position-vertical-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" strokeweight="1pt">
              <w10:wrap anchorx="page" anchory="page"/>
            </v:shape>
          </w:pict>
        </mc:Fallback>
      </mc:AlternateContent>
    </w:r>
  </w:p>
</w:hdr>
</file>

<file path=word/header16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71A60D" w14:textId="77777777" w:rsidR="00924992" w:rsidRDefault="00924992">
    <w:pPr>
      <w:spacing w:line="1" w:lineRule="exact"/>
    </w:pPr>
  </w:p>
</w:hdr>
</file>

<file path=word/header16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D31DEC" w14:textId="77777777" w:rsidR="00924992" w:rsidRDefault="00924992"/>
</w:hdr>
</file>

<file path=word/header16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F8D036" w14:textId="77777777" w:rsidR="00924992" w:rsidRDefault="00924992"/>
</w:hdr>
</file>

<file path=word/header16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9B18F5" w14:textId="77777777" w:rsidR="00924992" w:rsidRDefault="00924992">
    <w:pPr>
      <w:spacing w:line="1" w:lineRule="exact"/>
    </w:pPr>
  </w:p>
</w:hdr>
</file>

<file path=word/header16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E36BFD" w14:textId="77777777" w:rsidR="00924992" w:rsidRDefault="00924992">
    <w:pPr>
      <w:spacing w:line="1" w:lineRule="exact"/>
    </w:pPr>
  </w:p>
</w:hdr>
</file>

<file path=word/header16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CFE32E" w14:textId="77777777" w:rsidR="00924992" w:rsidRDefault="00924992"/>
</w:hdr>
</file>

<file path=word/header16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657983" w14:textId="77777777" w:rsidR="00924992" w:rsidRDefault="00924992"/>
</w:hdr>
</file>

<file path=word/header16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72254F" w14:textId="77777777" w:rsidR="00924992" w:rsidRDefault="00924992">
    <w:pPr>
      <w:spacing w:line="1" w:lineRule="exact"/>
    </w:pPr>
  </w:p>
</w:hdr>
</file>

<file path=word/header16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73E27F" w14:textId="77777777" w:rsidR="00924992" w:rsidRDefault="00924992">
    <w:pPr>
      <w:spacing w:line="1" w:lineRule="exact"/>
    </w:pPr>
  </w:p>
</w:hdr>
</file>

<file path=word/header16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46D5EF" w14:textId="77777777" w:rsidR="00924992" w:rsidRDefault="00924992"/>
</w:hdr>
</file>

<file path=word/header17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7AF896" w14:textId="77777777" w:rsidR="00924992" w:rsidRDefault="00924992"/>
</w:hdr>
</file>

<file path=word/header17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4FCFBD" w14:textId="77777777" w:rsidR="00924992" w:rsidRDefault="00924992"/>
</w:hdr>
</file>

<file path=word/header17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BD304B" w14:textId="77777777" w:rsidR="00924992" w:rsidRDefault="00924992"/>
</w:hdr>
</file>

<file path=word/header17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D621AE" w14:textId="77777777" w:rsidR="00924992" w:rsidRDefault="00924992">
    <w:pPr>
      <w:spacing w:line="1" w:lineRule="exact"/>
    </w:pPr>
  </w:p>
</w:hdr>
</file>

<file path=word/header17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B89396" w14:textId="77777777" w:rsidR="00924992" w:rsidRDefault="00924992">
    <w:pPr>
      <w:spacing w:line="1" w:lineRule="exact"/>
    </w:pPr>
  </w:p>
</w:hdr>
</file>

<file path=word/header17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0C7D52" w14:textId="77777777" w:rsidR="00924992" w:rsidRDefault="00924992"/>
</w:hdr>
</file>

<file path=word/header17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C1DC88" w14:textId="77777777" w:rsidR="00924992" w:rsidRDefault="00924992"/>
</w:hdr>
</file>

<file path=word/header17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D40AE6" w14:textId="77777777" w:rsidR="00924992" w:rsidRDefault="00924992">
    <w:pPr>
      <w:spacing w:line="1" w:lineRule="exact"/>
    </w:pPr>
  </w:p>
</w:hdr>
</file>

<file path=word/header17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0DE86C" w14:textId="77777777" w:rsidR="00924992" w:rsidRDefault="00924992">
    <w:pPr>
      <w:spacing w:line="1" w:lineRule="exact"/>
    </w:pPr>
  </w:p>
</w:hdr>
</file>

<file path=word/header17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CCA548" w14:textId="77777777" w:rsidR="00924992" w:rsidRDefault="00924992">
    <w:pPr>
      <w:spacing w:line="1" w:lineRule="exact"/>
    </w:pPr>
    <w:r>
      <w:rPr>
        <w:noProof/>
      </w:rPr>
      <mc:AlternateContent>
        <mc:Choice Requires="wps">
          <w:drawing>
            <wp:anchor distT="0" distB="0" distL="0" distR="0" simplePos="0" relativeHeight="251954176" behindDoc="1" locked="0" layoutInCell="1" allowOverlap="1" wp14:anchorId="27FDBC70" wp14:editId="4C32E1F0">
              <wp:simplePos x="0" y="0"/>
              <wp:positionH relativeFrom="page">
                <wp:posOffset>2480310</wp:posOffset>
              </wp:positionH>
              <wp:positionV relativeFrom="page">
                <wp:posOffset>304165</wp:posOffset>
              </wp:positionV>
              <wp:extent cx="2404745" cy="69850"/>
              <wp:effectExtent l="0" t="0" r="0" b="0"/>
              <wp:wrapNone/>
              <wp:docPr id="2496" name="Shape 2496"/>
              <wp:cNvGraphicFramePr/>
              <a:graphic xmlns:a="http://schemas.openxmlformats.org/drawingml/2006/main">
                <a:graphicData uri="http://schemas.microsoft.com/office/word/2010/wordprocessingShape">
                  <wps:wsp>
                    <wps:cNvSpPr txBox="1"/>
                    <wps:spPr>
                      <a:xfrm>
                        <a:off x="0" y="0"/>
                        <a:ext cx="2404745" cy="69850"/>
                      </a:xfrm>
                      <a:prstGeom prst="rect">
                        <a:avLst/>
                      </a:prstGeom>
                      <a:noFill/>
                    </wps:spPr>
                    <wps:txbx>
                      <w:txbxContent>
                        <w:p w14:paraId="2A9940B3" w14:textId="77777777" w:rsidR="00924992" w:rsidRDefault="00924992">
                          <w:pPr>
                            <w:pStyle w:val="Headerorfooter0"/>
                            <w:tabs>
                              <w:tab w:val="right" w:pos="3787"/>
                            </w:tabs>
                            <w:rPr>
                              <w:sz w:val="16"/>
                              <w:szCs w:val="16"/>
                            </w:rPr>
                          </w:pPr>
                          <w:r>
                            <w:rPr>
                              <w:color w:val="000000"/>
                            </w:rPr>
                            <w:t>MEDWATCH</w:t>
                          </w:r>
                          <w:r>
                            <w:rPr>
                              <w:color w:val="000000"/>
                            </w:rPr>
                            <w:tab/>
                          </w:r>
                          <w:r>
                            <w:rPr>
                              <w:color w:val="000000"/>
                              <w:sz w:val="16"/>
                              <w:szCs w:val="16"/>
                            </w:rPr>
                            <w:t>807</w:t>
                          </w:r>
                        </w:p>
                      </w:txbxContent>
                    </wps:txbx>
                    <wps:bodyPr lIns="0" tIns="0" rIns="0" bIns="0">
                      <a:spAutoFit/>
                    </wps:bodyPr>
                  </wps:wsp>
                </a:graphicData>
              </a:graphic>
            </wp:anchor>
          </w:drawing>
        </mc:Choice>
        <mc:Fallback>
          <w:pict>
            <v:shapetype w14:anchorId="27FDBC70" id="_x0000_t202" coordsize="21600,21600" o:spt="202" path="m,l,21600r21600,l21600,xe">
              <v:stroke joinstyle="miter"/>
              <v:path gradientshapeok="t" o:connecttype="rect"/>
            </v:shapetype>
            <v:shape id="Shape 2496" o:spid="_x0000_s1314" type="#_x0000_t202" style="position:absolute;margin-left:195.3pt;margin-top:23.95pt;width:189.35pt;height:5.5pt;z-index:-25136230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" filled="f" stroked="f">
              <v:textbox style="mso-fit-shape-to-text:t" inset="0,0,0,0">
                <w:txbxContent>
                  <w:p w14:paraId="2A9940B3" w14:textId="77777777" w:rsidR="00924992" w:rsidRDefault="00924992">
                    <w:pPr>
                      <w:pStyle w:val="Headerorfooter0"/>
                      <w:tabs>
                        <w:tab w:val="right" w:pos="3787"/>
                      </w:tabs>
                      <w:rPr>
                        <w:sz w:val="16"/>
                        <w:szCs w:val="16"/>
                      </w:rPr>
                    </w:pPr>
                    <w:r>
                      <w:rPr>
                        <w:color w:val="000000"/>
                      </w:rPr>
                      <w:t>MEDWATCH</w:t>
                    </w:r>
                    <w:r>
                      <w:rPr>
                        <w:color w:val="000000"/>
                      </w:rPr>
                      <w:tab/>
                    </w:r>
                    <w:r>
                      <w:rPr>
                        <w:color w:val="000000"/>
                        <w:sz w:val="16"/>
                        <w:szCs w:val="16"/>
                      </w:rPr>
                      <w:t>807</w:t>
                    </w:r>
                  </w:p>
                </w:txbxContent>
              </v:textbox>
              <w10:wrap anchorx="page" anchory="page"/>
            </v:shape>
          </w:pict>
        </mc:Fallback>
      </mc:AlternateContent>
    </w:r>
    <w:r>
      <w:rPr>
        <w:noProof/>
      </w:rPr>
      <mc:AlternateContent>
        <mc:Choice Requires="wps">
          <w:drawing>
            <wp:anchor distT="0" distB="0" distL="114300" distR="114300" simplePos="0" relativeHeight="251777024" behindDoc="1" locked="0" layoutInCell="1" allowOverlap="1" wp14:anchorId="57129871" wp14:editId="7F6F023C">
              <wp:simplePos x="0" y="0"/>
              <wp:positionH relativeFrom="page">
                <wp:posOffset>548005</wp:posOffset>
              </wp:positionH>
              <wp:positionV relativeFrom="page">
                <wp:posOffset>412115</wp:posOffset>
              </wp:positionV>
              <wp:extent cx="4358640" cy="0"/>
              <wp:effectExtent l="0" t="0" r="0" b="0"/>
              <wp:wrapNone/>
              <wp:docPr id="2498" name="Shape 2498"/>
              <wp:cNvGraphicFramePr/>
              <a:graphic xmlns:a="http://schemas.openxmlformats.org/drawingml/2006/main">
                <a:graphicData uri="http://schemas.microsoft.com/office/word/2010/wordprocessingShape">
                  <wps:wsp>
                    <wps:cNvCnPr/>
                    <wps:spPr>
                      <a:xfrm>
                        <a:off x="0" y="0"/>
                        <a:ext cx="4358640" cy="0"/>
                      </a:xfrm>
                      <a:prstGeom prst="straightConnector1">
                        <a:avLst/>
                      </a:prstGeom>
                      <a:ln w="12700">
                        <a:solidFill/>
                      </a:ln>
                    </wps:spPr>
                    <wps:bodyPr/>
                  </wps:wsp>
                </a:graphicData>
              </a:graphic>
            </wp:anchor>
          </w:drawing>
        </mc:Choice>
        <mc:Fallback>
          <w:pict>
            <v:shapetype w14:anchorId="12861AF1" id="_x0000_t32" coordsize="21600,21600" o:spt="32" o:oned="t" path="m,l21600,21600e" filled="f">
              <v:path arrowok="t" fillok="f" o:connecttype="none"/>
              <o:lock v:ext="edit" shapetype="t"/>
            </v:shapetype>
            <v:shape id="Shape 2498" o:spid="_x0000_s1026" type="#_x0000_t32" style="position:absolute;margin-left:43.15pt;margin-top:32.45pt;width:343.2pt;height:0;z-index:-251539456;visibility:visible;mso-wrap-style:square;mso-wrap-distance-left:9pt;mso-wrap-distance-top:0;mso-wrap-distance-right:9pt;mso-wrap-distance-bottom:0;mso-position-horizontal:absolute;mso-position-horizontal-relative:page;mso-position-vertical:absolute;mso-position-vertical-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" strokeweight="1pt">
              <w10:wrap anchorx="page" anchory="page"/>
            </v:shape>
          </w:pict>
        </mc:Fallback>
      </mc:AlternateContent>
    </w:r>
  </w:p>
</w:hdr>
</file>

<file path=word/header18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3067F9" w14:textId="77777777" w:rsidR="00924992" w:rsidRDefault="00924992">
    <w:pPr>
      <w:spacing w:line="1" w:lineRule="exact"/>
    </w:pPr>
    <w:r>
      <w:rPr>
        <w:noProof/>
      </w:rPr>
      <mc:AlternateContent>
        <mc:Choice Requires="wps">
          <w:drawing>
            <wp:anchor distT="0" distB="0" distL="0" distR="0" simplePos="0" relativeHeight="251956224" behindDoc="1" locked="0" layoutInCell="1" allowOverlap="1" wp14:anchorId="60B5BA2C" wp14:editId="36B405EC">
              <wp:simplePos x="0" y="0"/>
              <wp:positionH relativeFrom="page">
                <wp:posOffset>570865</wp:posOffset>
              </wp:positionH>
              <wp:positionV relativeFrom="page">
                <wp:posOffset>288925</wp:posOffset>
              </wp:positionV>
              <wp:extent cx="3797935" cy="85090"/>
              <wp:effectExtent l="0" t="0" r="0" b="0"/>
              <wp:wrapNone/>
              <wp:docPr id="2502" name="Shape 2502"/>
              <wp:cNvGraphicFramePr/>
              <a:graphic xmlns:a="http://schemas.openxmlformats.org/drawingml/2006/main">
                <a:graphicData uri="http://schemas.microsoft.com/office/word/2010/wordprocessingShape">
                  <wps:wsp>
                    <wps:cNvSpPr txBox="1"/>
                    <wps:spPr>
                      <a:xfrm>
                        <a:off x="0" y="0"/>
                        <a:ext cx="3797935" cy="85090"/>
                      </a:xfrm>
                      <a:prstGeom prst="rect">
                        <a:avLst/>
                      </a:prstGeom>
                      <a:noFill/>
                    </wps:spPr>
                    <wps:txbx>
                      <w:txbxContent>
                        <w:p w14:paraId="2F5A38DC" w14:textId="77777777" w:rsidR="00924992" w:rsidRDefault="00924992">
                          <w:pPr>
                            <w:pStyle w:val="Headerorfooter0"/>
                            <w:tabs>
                              <w:tab w:val="right" w:pos="5981"/>
                            </w:tabs>
                          </w:pPr>
                          <w:r>
                            <w:fldChar w:fldCharType="begin"/>
                          </w:r>
                          <w:r>
                            <w:instrText xml:space="preserve"> PAGE \* MERGEFORMAT </w:instrText>
                          </w:r>
                          <w:r>
                            <w:fldChar w:fldCharType="separate"/>
                          </w:r>
                          <w:r>
                            <w:rPr>
                              <w:sz w:val="16"/>
                              <w:szCs w:val="16"/>
                            </w:rPr>
                            <w:t>#</w:t>
                          </w:r>
                          <w:r>
                            <w:rPr>
                              <w:sz w:val="16"/>
                              <w:szCs w:val="16"/>
                            </w:rPr>
                            <w:fldChar w:fldCharType="end"/>
                          </w:r>
                          <w:r>
                            <w:rPr>
                              <w:sz w:val="16"/>
                              <w:szCs w:val="16"/>
                            </w:rPr>
                            <w:tab/>
                          </w:r>
                          <w:r>
                            <w:t>PROFILAXIA ANTIMICROBIANA EN PACIENTES PEDIÁTRICOS QUIRÚRGICOS</w:t>
                          </w:r>
                        </w:p>
                      </w:txbxContent>
                    </wps:txbx>
                    <wps:bodyPr lIns="0" tIns="0" rIns="0" bIns="0">
                      <a:spAutoFit/>
                    </wps:bodyPr>
                  </wps:wsp>
                </a:graphicData>
              </a:graphic>
            </wp:anchor>
          </w:drawing>
        </mc:Choice>
        <mc:Fallback>
          <w:pict>
            <v:shapetype w14:anchorId="60B5BA2C" id="_x0000_t202" coordsize="21600,21600" o:spt="202" path="m,l,21600r21600,l21600,xe">
              <v:stroke joinstyle="miter"/>
              <v:path gradientshapeok="t" o:connecttype="rect"/>
            </v:shapetype>
            <v:shape id="Shape 2502" o:spid="_x0000_s1315" type="#_x0000_t202" style="position:absolute;margin-left:44.95pt;margin-top:22.75pt;width:299.05pt;height:6.7pt;z-index:-25136025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" filled="f" stroked="f">
              <v:textbox style="mso-fit-shape-to-text:t" inset="0,0,0,0">
                <w:txbxContent>
                  <w:p w14:paraId="2F5A38DC" w14:textId="77777777" w:rsidR="00924992" w:rsidRDefault="00924992">
                    <w:pPr>
                      <w:pStyle w:val="Headerorfooter0"/>
                      <w:tabs>
                        <w:tab w:val="right" w:pos="5981"/>
                      </w:tabs>
                    </w:pPr>
                    <w:r>
                      <w:fldChar w:fldCharType="begin"/>
                    </w:r>
                    <w:r>
                      <w:instrText xml:space="preserve"> PAGE \* MERGEFORMAT </w:instrText>
                    </w:r>
                    <w:r>
                      <w:fldChar w:fldCharType="separate"/>
                    </w:r>
                    <w:r>
                      <w:rPr>
                        <w:sz w:val="16"/>
                        <w:szCs w:val="16"/>
                      </w:rPr>
                      <w:t>#</w:t>
                    </w:r>
                    <w:r>
                      <w:rPr>
                        <w:sz w:val="16"/>
                        <w:szCs w:val="16"/>
                      </w:rPr>
                      <w:fldChar w:fldCharType="end"/>
                    </w:r>
                    <w:r>
                      <w:rPr>
                        <w:sz w:val="16"/>
                        <w:szCs w:val="16"/>
                      </w:rPr>
                      <w:tab/>
                    </w:r>
                    <w:r>
                      <w:t>PROFILAXIA ANTIMICROBIANA EN PACIENTES PEDIÁTRICOS QUIRÚRGICOS</w:t>
                    </w:r>
                  </w:p>
                </w:txbxContent>
              </v:textbox>
              <w10:wrap anchorx="page" anchory="page"/>
            </v:shape>
          </w:pict>
        </mc:Fallback>
      </mc:AlternateContent>
    </w:r>
    <w:r>
      <w:rPr>
        <w:noProof/>
      </w:rPr>
      <mc:AlternateContent>
        <mc:Choice Requires="wps">
          <w:drawing>
            <wp:anchor distT="0" distB="0" distL="114300" distR="114300" simplePos="0" relativeHeight="251779072" behindDoc="1" locked="0" layoutInCell="1" allowOverlap="1" wp14:anchorId="335403B4" wp14:editId="391EE97B">
              <wp:simplePos x="0" y="0"/>
              <wp:positionH relativeFrom="page">
                <wp:posOffset>555625</wp:posOffset>
              </wp:positionH>
              <wp:positionV relativeFrom="page">
                <wp:posOffset>412115</wp:posOffset>
              </wp:positionV>
              <wp:extent cx="4358640" cy="0"/>
              <wp:effectExtent l="0" t="0" r="0" b="0"/>
              <wp:wrapNone/>
              <wp:docPr id="2504" name="Shape 2504"/>
              <wp:cNvGraphicFramePr/>
              <a:graphic xmlns:a="http://schemas.openxmlformats.org/drawingml/2006/main">
                <a:graphicData uri="http://schemas.microsoft.com/office/word/2010/wordprocessingShape">
                  <wps:wsp>
                    <wps:cNvCnPr/>
                    <wps:spPr>
                      <a:xfrm>
                        <a:off x="0" y="0"/>
                        <a:ext cx="4358640" cy="0"/>
                      </a:xfrm>
                      <a:prstGeom prst="straightConnector1">
                        <a:avLst/>
                      </a:prstGeom>
                      <a:ln w="12700">
                        <a:solidFill/>
                      </a:ln>
                    </wps:spPr>
                    <wps:bodyPr/>
                  </wps:wsp>
                </a:graphicData>
              </a:graphic>
            </wp:anchor>
          </w:drawing>
        </mc:Choice>
        <mc:Fallback>
          <w:pict>
            <v:shapetype w14:anchorId="08D31F07" id="_x0000_t32" coordsize="21600,21600" o:spt="32" o:oned="t" path="m,l21600,21600e" filled="f">
              <v:path arrowok="t" fillok="f" o:connecttype="none"/>
              <o:lock v:ext="edit" shapetype="t"/>
            </v:shapetype>
            <v:shape id="Shape 2504" o:spid="_x0000_s1026" type="#_x0000_t32" style="position:absolute;margin-left:43.75pt;margin-top:32.45pt;width:343.2pt;height:0;z-index:-251537408;visibility:visible;mso-wrap-style:square;mso-wrap-distance-left:9pt;mso-wrap-distance-top:0;mso-wrap-distance-right:9pt;mso-wrap-distance-bottom:0;mso-position-horizontal:absolute;mso-position-horizontal-relative:page;mso-position-vertical:absolute;mso-position-vertical-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" strokeweight="1pt">
              <w10:wrap anchorx="page" anchory="page"/>
            </v:shape>
          </w:pict>
        </mc:Fallback>
      </mc:AlternateContent>
    </w:r>
  </w:p>
</w:hdr>
</file>

<file path=word/header18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88170E" w14:textId="77777777" w:rsidR="00924992" w:rsidRDefault="00924992">
    <w:pPr>
      <w:spacing w:line="1" w:lineRule="exact"/>
    </w:pPr>
    <w:r>
      <w:rPr>
        <w:noProof/>
      </w:rPr>
      <mc:AlternateContent>
        <mc:Choice Requires="wps">
          <w:drawing>
            <wp:anchor distT="0" distB="0" distL="0" distR="0" simplePos="0" relativeHeight="251955200" behindDoc="1" locked="0" layoutInCell="1" allowOverlap="1" wp14:anchorId="71EFEC65" wp14:editId="1C4CE14B">
              <wp:simplePos x="0" y="0"/>
              <wp:positionH relativeFrom="page">
                <wp:posOffset>570865</wp:posOffset>
              </wp:positionH>
              <wp:positionV relativeFrom="page">
                <wp:posOffset>288925</wp:posOffset>
              </wp:positionV>
              <wp:extent cx="3797935" cy="85090"/>
              <wp:effectExtent l="0" t="0" r="0" b="0"/>
              <wp:wrapNone/>
              <wp:docPr id="2499" name="Shape 2499"/>
              <wp:cNvGraphicFramePr/>
              <a:graphic xmlns:a="http://schemas.openxmlformats.org/drawingml/2006/main">
                <a:graphicData uri="http://schemas.microsoft.com/office/word/2010/wordprocessingShape">
                  <wps:wsp>
                    <wps:cNvSpPr txBox="1"/>
                    <wps:spPr>
                      <a:xfrm>
                        <a:off x="0" y="0"/>
                        <a:ext cx="3797935" cy="85090"/>
                      </a:xfrm>
                      <a:prstGeom prst="rect">
                        <a:avLst/>
                      </a:prstGeom>
                      <a:noFill/>
                    </wps:spPr>
                    <wps:txbx>
                      <w:txbxContent>
                        <w:p w14:paraId="5902EF83" w14:textId="77777777" w:rsidR="00924992" w:rsidRDefault="00924992">
                          <w:pPr>
                            <w:pStyle w:val="Headerorfooter0"/>
                            <w:tabs>
                              <w:tab w:val="right" w:pos="5981"/>
                            </w:tabs>
                          </w:pPr>
                          <w:r>
                            <w:fldChar w:fldCharType="begin"/>
                          </w:r>
                          <w:r>
                            <w:instrText xml:space="preserve"> PAGE \* MERGEFORMAT </w:instrText>
                          </w:r>
                          <w:r>
                            <w:fldChar w:fldCharType="separate"/>
                          </w:r>
                          <w:r>
                            <w:rPr>
                              <w:sz w:val="16"/>
                              <w:szCs w:val="16"/>
                            </w:rPr>
                            <w:t>#</w:t>
                          </w:r>
                          <w:r>
                            <w:rPr>
                              <w:sz w:val="16"/>
                              <w:szCs w:val="16"/>
                            </w:rPr>
                            <w:fldChar w:fldCharType="end"/>
                          </w:r>
                          <w:r>
                            <w:rPr>
                              <w:sz w:val="16"/>
                              <w:szCs w:val="16"/>
                            </w:rPr>
                            <w:tab/>
                          </w:r>
                          <w:r>
                            <w:t>PROFILAXIA ANTIMICROBIANA EN PACIENTES PEDIÁTRICOS QUIRÚRGICOS</w:t>
                          </w:r>
                        </w:p>
                      </w:txbxContent>
                    </wps:txbx>
                    <wps:bodyPr lIns="0" tIns="0" rIns="0" bIns="0">
                      <a:spAutoFit/>
                    </wps:bodyPr>
                  </wps:wsp>
                </a:graphicData>
              </a:graphic>
            </wp:anchor>
          </w:drawing>
        </mc:Choice>
        <mc:Fallback>
          <w:pict>
            <v:shapetype w14:anchorId="71EFEC65" id="_x0000_t202" coordsize="21600,21600" o:spt="202" path="m,l,21600r21600,l21600,xe">
              <v:stroke joinstyle="miter"/>
              <v:path gradientshapeok="t" o:connecttype="rect"/>
            </v:shapetype>
            <v:shape id="Shape 2499" o:spid="_x0000_s1316" type="#_x0000_t202" style="position:absolute;margin-left:44.95pt;margin-top:22.75pt;width:299.05pt;height:6.7pt;z-index:-25136128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" filled="f" stroked="f">
              <v:textbox style="mso-fit-shape-to-text:t" inset="0,0,0,0">
                <w:txbxContent>
                  <w:p w14:paraId="5902EF83" w14:textId="77777777" w:rsidR="00924992" w:rsidRDefault="00924992">
                    <w:pPr>
                      <w:pStyle w:val="Headerorfooter0"/>
                      <w:tabs>
                        <w:tab w:val="right" w:pos="5981"/>
                      </w:tabs>
                    </w:pPr>
                    <w:r>
                      <w:fldChar w:fldCharType="begin"/>
                    </w:r>
                    <w:r>
                      <w:instrText xml:space="preserve"> PAGE \* MERGEFORMAT </w:instrText>
                    </w:r>
                    <w:r>
                      <w:fldChar w:fldCharType="separate"/>
                    </w:r>
                    <w:r>
                      <w:rPr>
                        <w:sz w:val="16"/>
                        <w:szCs w:val="16"/>
                      </w:rPr>
                      <w:t>#</w:t>
                    </w:r>
                    <w:r>
                      <w:rPr>
                        <w:sz w:val="16"/>
                        <w:szCs w:val="16"/>
                      </w:rPr>
                      <w:fldChar w:fldCharType="end"/>
                    </w:r>
                    <w:r>
                      <w:rPr>
                        <w:sz w:val="16"/>
                        <w:szCs w:val="16"/>
                      </w:rPr>
                      <w:tab/>
                    </w:r>
                    <w:r>
                      <w:t>PROFILAXIA ANTIMICROBIANA EN PACIENTES PEDIÁTRICOS QUIRÚRGICOS</w:t>
                    </w:r>
                  </w:p>
                </w:txbxContent>
              </v:textbox>
              <w10:wrap anchorx="page" anchory="page"/>
            </v:shape>
          </w:pict>
        </mc:Fallback>
      </mc:AlternateContent>
    </w:r>
    <w:r>
      <w:rPr>
        <w:noProof/>
      </w:rPr>
      <mc:AlternateContent>
        <mc:Choice Requires="wps">
          <w:drawing>
            <wp:anchor distT="0" distB="0" distL="114300" distR="114300" simplePos="0" relativeHeight="251778048" behindDoc="1" locked="0" layoutInCell="1" allowOverlap="1" wp14:anchorId="4C6BC4CD" wp14:editId="5D69BC0C">
              <wp:simplePos x="0" y="0"/>
              <wp:positionH relativeFrom="page">
                <wp:posOffset>555625</wp:posOffset>
              </wp:positionH>
              <wp:positionV relativeFrom="page">
                <wp:posOffset>412115</wp:posOffset>
              </wp:positionV>
              <wp:extent cx="4358640" cy="0"/>
              <wp:effectExtent l="0" t="0" r="0" b="0"/>
              <wp:wrapNone/>
              <wp:docPr id="2501" name="Shape 2501"/>
              <wp:cNvGraphicFramePr/>
              <a:graphic xmlns:a="http://schemas.openxmlformats.org/drawingml/2006/main">
                <a:graphicData uri="http://schemas.microsoft.com/office/word/2010/wordprocessingShape">
                  <wps:wsp>
                    <wps:cNvCnPr/>
                    <wps:spPr>
                      <a:xfrm>
                        <a:off x="0" y="0"/>
                        <a:ext cx="4358640" cy="0"/>
                      </a:xfrm>
                      <a:prstGeom prst="straightConnector1">
                        <a:avLst/>
                      </a:prstGeom>
                      <a:ln w="12700">
                        <a:solidFill/>
                      </a:ln>
                    </wps:spPr>
                    <wps:bodyPr/>
                  </wps:wsp>
                </a:graphicData>
              </a:graphic>
            </wp:anchor>
          </w:drawing>
        </mc:Choice>
        <mc:Fallback>
          <w:pict>
            <v:shapetype w14:anchorId="000E4FC3" id="_x0000_t32" coordsize="21600,21600" o:spt="32" o:oned="t" path="m,l21600,21600e" filled="f">
              <v:path arrowok="t" fillok="f" o:connecttype="none"/>
              <o:lock v:ext="edit" shapetype="t"/>
            </v:shapetype>
            <v:shape id="Shape 2501" o:spid="_x0000_s1026" type="#_x0000_t32" style="position:absolute;margin-left:43.75pt;margin-top:32.45pt;width:343.2pt;height:0;z-index:-251538432;visibility:visible;mso-wrap-style:square;mso-wrap-distance-left:9pt;mso-wrap-distance-top:0;mso-wrap-distance-right:9pt;mso-wrap-distance-bottom:0;mso-position-horizontal:absolute;mso-position-horizontal-relative:page;mso-position-vertical:absolute;mso-position-vertical-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" strokeweight="1pt">
              <w10:wrap anchorx="page" anchory="page"/>
            </v:shape>
          </w:pict>
        </mc:Fallback>
      </mc:AlternateContent>
    </w:r>
  </w:p>
</w:hdr>
</file>

<file path=word/header18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B6AA79" w14:textId="77777777" w:rsidR="00924992" w:rsidRDefault="00924992">
    <w:pPr>
      <w:spacing w:line="1" w:lineRule="exact"/>
    </w:pPr>
    <w:r>
      <w:rPr>
        <w:noProof/>
      </w:rPr>
      <mc:AlternateContent>
        <mc:Choice Requires="wps">
          <w:drawing>
            <wp:anchor distT="0" distB="0" distL="0" distR="0" simplePos="0" relativeHeight="251958272" behindDoc="1" locked="0" layoutInCell="1" allowOverlap="1" wp14:anchorId="3C5FEE74" wp14:editId="474BA6AA">
              <wp:simplePos x="0" y="0"/>
              <wp:positionH relativeFrom="page">
                <wp:posOffset>570865</wp:posOffset>
              </wp:positionH>
              <wp:positionV relativeFrom="page">
                <wp:posOffset>288925</wp:posOffset>
              </wp:positionV>
              <wp:extent cx="3797935" cy="85090"/>
              <wp:effectExtent l="0" t="0" r="0" b="0"/>
              <wp:wrapNone/>
              <wp:docPr id="2508" name="Shape 2508"/>
              <wp:cNvGraphicFramePr/>
              <a:graphic xmlns:a="http://schemas.openxmlformats.org/drawingml/2006/main">
                <a:graphicData uri="http://schemas.microsoft.com/office/word/2010/wordprocessingShape">
                  <wps:wsp>
                    <wps:cNvSpPr txBox="1"/>
                    <wps:spPr>
                      <a:xfrm>
                        <a:off x="0" y="0"/>
                        <a:ext cx="3797935" cy="85090"/>
                      </a:xfrm>
                      <a:prstGeom prst="rect">
                        <a:avLst/>
                      </a:prstGeom>
                      <a:noFill/>
                    </wps:spPr>
                    <wps:txbx>
                      <w:txbxContent>
                        <w:p w14:paraId="26DB6469" w14:textId="77777777" w:rsidR="00924992" w:rsidRDefault="00924992">
                          <w:pPr>
                            <w:pStyle w:val="Headerorfooter0"/>
                            <w:tabs>
                              <w:tab w:val="right" w:pos="5981"/>
                            </w:tabs>
                          </w:pPr>
                          <w:r>
                            <w:fldChar w:fldCharType="begin"/>
                          </w:r>
                          <w:r>
                            <w:instrText xml:space="preserve"> PAGE \* MERGEFORMAT </w:instrText>
                          </w:r>
                          <w:r>
                            <w:fldChar w:fldCharType="separate"/>
                          </w:r>
                          <w:r>
                            <w:rPr>
                              <w:sz w:val="16"/>
                              <w:szCs w:val="16"/>
                            </w:rPr>
                            <w:t>#</w:t>
                          </w:r>
                          <w:r>
                            <w:rPr>
                              <w:sz w:val="16"/>
                              <w:szCs w:val="16"/>
                            </w:rPr>
                            <w:fldChar w:fldCharType="end"/>
                          </w:r>
                          <w:r>
                            <w:rPr>
                              <w:sz w:val="16"/>
                              <w:szCs w:val="16"/>
                            </w:rPr>
                            <w:tab/>
                          </w:r>
                          <w:r>
                            <w:t>PROFILAXIA ANTIMICROBIANA EN PACIENTES PEDIÁTRICOS QUIRÚRGICOS</w:t>
                          </w:r>
                        </w:p>
                      </w:txbxContent>
                    </wps:txbx>
                    <wps:bodyPr lIns="0" tIns="0" rIns="0" bIns="0">
                      <a:spAutoFit/>
                    </wps:bodyPr>
                  </wps:wsp>
                </a:graphicData>
              </a:graphic>
            </wp:anchor>
          </w:drawing>
        </mc:Choice>
        <mc:Fallback>
          <w:pict>
            <v:shapetype w14:anchorId="3C5FEE74" id="_x0000_t202" coordsize="21600,21600" o:spt="202" path="m,l,21600r21600,l21600,xe">
              <v:stroke joinstyle="miter"/>
              <v:path gradientshapeok="t" o:connecttype="rect"/>
            </v:shapetype>
            <v:shape id="Shape 2508" o:spid="_x0000_s1317" type="#_x0000_t202" style="position:absolute;margin-left:44.95pt;margin-top:22.75pt;width:299.05pt;height:6.7pt;z-index:-25135820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" filled="f" stroked="f">
              <v:textbox style="mso-fit-shape-to-text:t" inset="0,0,0,0">
                <w:txbxContent>
                  <w:p w14:paraId="26DB6469" w14:textId="77777777" w:rsidR="00924992" w:rsidRDefault="00924992">
                    <w:pPr>
                      <w:pStyle w:val="Headerorfooter0"/>
                      <w:tabs>
                        <w:tab w:val="right" w:pos="5981"/>
                      </w:tabs>
                    </w:pPr>
                    <w:r>
                      <w:fldChar w:fldCharType="begin"/>
                    </w:r>
                    <w:r>
                      <w:instrText xml:space="preserve"> PAGE \* MERGEFORMAT </w:instrText>
                    </w:r>
                    <w:r>
                      <w:fldChar w:fldCharType="separate"/>
                    </w:r>
                    <w:r>
                      <w:rPr>
                        <w:sz w:val="16"/>
                        <w:szCs w:val="16"/>
                      </w:rPr>
                      <w:t>#</w:t>
                    </w:r>
                    <w:r>
                      <w:rPr>
                        <w:sz w:val="16"/>
                        <w:szCs w:val="16"/>
                      </w:rPr>
                      <w:fldChar w:fldCharType="end"/>
                    </w:r>
                    <w:r>
                      <w:rPr>
                        <w:sz w:val="16"/>
                        <w:szCs w:val="16"/>
                      </w:rPr>
                      <w:tab/>
                    </w:r>
                    <w:r>
                      <w:t>PROFILAXIA ANTIMICROBIANA EN PACIENTES PEDIÁTRICOS QUIRÚRGICOS</w:t>
                    </w:r>
                  </w:p>
                </w:txbxContent>
              </v:textbox>
              <w10:wrap anchorx="page" anchory="page"/>
            </v:shape>
          </w:pict>
        </mc:Fallback>
      </mc:AlternateContent>
    </w:r>
    <w:r>
      <w:rPr>
        <w:noProof/>
      </w:rPr>
      <mc:AlternateContent>
        <mc:Choice Requires="wps">
          <w:drawing>
            <wp:anchor distT="0" distB="0" distL="114300" distR="114300" simplePos="0" relativeHeight="251781120" behindDoc="1" locked="0" layoutInCell="1" allowOverlap="1" wp14:anchorId="3C45AF62" wp14:editId="58662475">
              <wp:simplePos x="0" y="0"/>
              <wp:positionH relativeFrom="page">
                <wp:posOffset>555625</wp:posOffset>
              </wp:positionH>
              <wp:positionV relativeFrom="page">
                <wp:posOffset>412115</wp:posOffset>
              </wp:positionV>
              <wp:extent cx="4358640" cy="0"/>
              <wp:effectExtent l="0" t="0" r="0" b="0"/>
              <wp:wrapNone/>
              <wp:docPr id="2510" name="Shape 2510"/>
              <wp:cNvGraphicFramePr/>
              <a:graphic xmlns:a="http://schemas.openxmlformats.org/drawingml/2006/main">
                <a:graphicData uri="http://schemas.microsoft.com/office/word/2010/wordprocessingShape">
                  <wps:wsp>
                    <wps:cNvCnPr/>
                    <wps:spPr>
                      <a:xfrm>
                        <a:off x="0" y="0"/>
                        <a:ext cx="4358640" cy="0"/>
                      </a:xfrm>
                      <a:prstGeom prst="straightConnector1">
                        <a:avLst/>
                      </a:prstGeom>
                      <a:ln w="12700">
                        <a:solidFill/>
                      </a:ln>
                    </wps:spPr>
                    <wps:bodyPr/>
                  </wps:wsp>
                </a:graphicData>
              </a:graphic>
            </wp:anchor>
          </w:drawing>
        </mc:Choice>
        <mc:Fallback>
          <w:pict>
            <v:shapetype w14:anchorId="0EE754F6" id="_x0000_t32" coordsize="21600,21600" o:spt="32" o:oned="t" path="m,l21600,21600e" filled="f">
              <v:path arrowok="t" fillok="f" o:connecttype="none"/>
              <o:lock v:ext="edit" shapetype="t"/>
            </v:shapetype>
            <v:shape id="Shape 2510" o:spid="_x0000_s1026" type="#_x0000_t32" style="position:absolute;margin-left:43.75pt;margin-top:32.45pt;width:343.2pt;height:0;z-index:-251535360;visibility:visible;mso-wrap-style:square;mso-wrap-distance-left:9pt;mso-wrap-distance-top:0;mso-wrap-distance-right:9pt;mso-wrap-distance-bottom:0;mso-position-horizontal:absolute;mso-position-horizontal-relative:page;mso-position-vertical:absolute;mso-position-vertical-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" strokeweight="1pt">
              <w10:wrap anchorx="page" anchory="page"/>
            </v:shape>
          </w:pict>
        </mc:Fallback>
      </mc:AlternateContent>
    </w:r>
  </w:p>
</w:hdr>
</file>

<file path=word/header18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8E2FF5" w14:textId="77777777" w:rsidR="00924992" w:rsidRDefault="00924992">
    <w:pPr>
      <w:spacing w:line="1" w:lineRule="exact"/>
    </w:pPr>
    <w:r>
      <w:rPr>
        <w:noProof/>
      </w:rPr>
      <mc:AlternateContent>
        <mc:Choice Requires="wps">
          <w:drawing>
            <wp:anchor distT="0" distB="0" distL="0" distR="0" simplePos="0" relativeHeight="251957248" behindDoc="1" locked="0" layoutInCell="1" allowOverlap="1" wp14:anchorId="61917EE2" wp14:editId="25BD90E6">
              <wp:simplePos x="0" y="0"/>
              <wp:positionH relativeFrom="page">
                <wp:posOffset>1117600</wp:posOffset>
              </wp:positionH>
              <wp:positionV relativeFrom="page">
                <wp:posOffset>288925</wp:posOffset>
              </wp:positionV>
              <wp:extent cx="3773170" cy="85090"/>
              <wp:effectExtent l="0" t="0" r="0" b="0"/>
              <wp:wrapNone/>
              <wp:docPr id="2505" name="Shape 2505"/>
              <wp:cNvGraphicFramePr/>
              <a:graphic xmlns:a="http://schemas.openxmlformats.org/drawingml/2006/main">
                <a:graphicData uri="http://schemas.microsoft.com/office/word/2010/wordprocessingShape">
                  <wps:wsp>
                    <wps:cNvSpPr txBox="1"/>
                    <wps:spPr>
                      <a:xfrm>
                        <a:off x="0" y="0"/>
                        <a:ext cx="3773170" cy="85090"/>
                      </a:xfrm>
                      <a:prstGeom prst="rect">
                        <a:avLst/>
                      </a:prstGeom>
                      <a:noFill/>
                    </wps:spPr>
                    <wps:txbx>
                      <w:txbxContent>
                        <w:p w14:paraId="47ABD288" w14:textId="77777777" w:rsidR="00924992" w:rsidRDefault="00924992">
                          <w:pPr>
                            <w:pStyle w:val="Headerorfooter0"/>
                            <w:tabs>
                              <w:tab w:val="right" w:pos="5942"/>
                            </w:tabs>
                            <w:rPr>
                              <w:sz w:val="16"/>
                              <w:szCs w:val="16"/>
                            </w:rPr>
                          </w:pPr>
                          <w:r>
                            <w:t>PROFILAXIA ANTIMICROBIANA EN PACIENTES PEDIÁTRICOS QUIRÚRGICOS</w:t>
                          </w:r>
                          <w:r>
                            <w:tab/>
                          </w:r>
                          <w:r>
                            <w:fldChar w:fldCharType="begin"/>
                          </w:r>
                          <w:r>
                            <w:instrText xml:space="preserve"> PAGE \* MERGEFORMAT </w:instrText>
                          </w:r>
                          <w:r>
                            <w:fldChar w:fldCharType="separate"/>
                          </w:r>
                          <w:r>
                            <w:rPr>
                              <w:sz w:val="16"/>
                              <w:szCs w:val="16"/>
                            </w:rPr>
                            <w:t>#</w:t>
                          </w:r>
                          <w:r>
                            <w:rPr>
                              <w:sz w:val="16"/>
                              <w:szCs w:val="16"/>
                            </w:rPr>
                            <w:fldChar w:fldCharType="end"/>
                          </w:r>
                        </w:p>
                      </w:txbxContent>
                    </wps:txbx>
                    <wps:bodyPr lIns="0" tIns="0" rIns="0" bIns="0">
                      <a:spAutoFit/>
                    </wps:bodyPr>
                  </wps:wsp>
                </a:graphicData>
              </a:graphic>
            </wp:anchor>
          </w:drawing>
        </mc:Choice>
        <mc:Fallback>
          <w:pict>
            <v:shapetype w14:anchorId="61917EE2" id="_x0000_t202" coordsize="21600,21600" o:spt="202" path="m,l,21600r21600,l21600,xe">
              <v:stroke joinstyle="miter"/>
              <v:path gradientshapeok="t" o:connecttype="rect"/>
            </v:shapetype>
            <v:shape id="Shape 2505" o:spid="_x0000_s1318" type="#_x0000_t202" style="position:absolute;margin-left:88pt;margin-top:22.75pt;width:297.1pt;height:6.7pt;z-index:-25135923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" filled="f" stroked="f">
              <v:textbox style="mso-fit-shape-to-text:t" inset="0,0,0,0">
                <w:txbxContent>
                  <w:p w14:paraId="47ABD288" w14:textId="77777777" w:rsidR="00924992" w:rsidRDefault="00924992">
                    <w:pPr>
                      <w:pStyle w:val="Headerorfooter0"/>
                      <w:tabs>
                        <w:tab w:val="right" w:pos="5942"/>
                      </w:tabs>
                      <w:rPr>
                        <w:sz w:val="16"/>
                        <w:szCs w:val="16"/>
                      </w:rPr>
                    </w:pPr>
                    <w:r>
                      <w:t>PROFILAXIA ANTIMICROBIANA EN PACIENTES PEDIÁTRICOS QUIRÚRGICOS</w:t>
                    </w:r>
                    <w:r>
                      <w:tab/>
                    </w:r>
                    <w:r>
                      <w:fldChar w:fldCharType="begin"/>
                    </w:r>
                    <w:r>
                      <w:instrText xml:space="preserve"> PAGE \* MERGEFORMAT </w:instrText>
                    </w:r>
                    <w:r>
                      <w:fldChar w:fldCharType="separate"/>
                    </w:r>
                    <w:r>
                      <w:rPr>
                        <w:sz w:val="16"/>
                        <w:szCs w:val="16"/>
                      </w:rPr>
                      <w:t>#</w:t>
                    </w:r>
                    <w:r>
                      <w:rPr>
                        <w:sz w:val="16"/>
                        <w:szCs w:val="16"/>
                      </w:rPr>
                      <w:fldChar w:fldCharType="end"/>
                    </w:r>
                  </w:p>
                </w:txbxContent>
              </v:textbox>
              <w10:wrap anchorx="page" anchory="page"/>
            </v:shape>
          </w:pict>
        </mc:Fallback>
      </mc:AlternateContent>
    </w:r>
    <w:r>
      <w:rPr>
        <w:noProof/>
      </w:rPr>
      <mc:AlternateContent>
        <mc:Choice Requires="wps">
          <w:drawing>
            <wp:anchor distT="0" distB="0" distL="114300" distR="114300" simplePos="0" relativeHeight="251780096" behindDoc="1" locked="0" layoutInCell="1" allowOverlap="1" wp14:anchorId="746C9780" wp14:editId="04FD0270">
              <wp:simplePos x="0" y="0"/>
              <wp:positionH relativeFrom="page">
                <wp:posOffset>568960</wp:posOffset>
              </wp:positionH>
              <wp:positionV relativeFrom="page">
                <wp:posOffset>412115</wp:posOffset>
              </wp:positionV>
              <wp:extent cx="4358640" cy="0"/>
              <wp:effectExtent l="0" t="0" r="0" b="0"/>
              <wp:wrapNone/>
              <wp:docPr id="2507" name="Shape 2507"/>
              <wp:cNvGraphicFramePr/>
              <a:graphic xmlns:a="http://schemas.openxmlformats.org/drawingml/2006/main">
                <a:graphicData uri="http://schemas.microsoft.com/office/word/2010/wordprocessingShape">
                  <wps:wsp>
                    <wps:cNvCnPr/>
                    <wps:spPr>
                      <a:xfrm>
                        <a:off x="0" y="0"/>
                        <a:ext cx="4358640" cy="0"/>
                      </a:xfrm>
                      <a:prstGeom prst="straightConnector1">
                        <a:avLst/>
                      </a:prstGeom>
                      <a:ln w="12700">
                        <a:solidFill/>
                      </a:ln>
                    </wps:spPr>
                    <wps:bodyPr/>
                  </wps:wsp>
                </a:graphicData>
              </a:graphic>
            </wp:anchor>
          </w:drawing>
        </mc:Choice>
        <mc:Fallback>
          <w:pict>
            <v:shapetype w14:anchorId="3C39C1FA" id="_x0000_t32" coordsize="21600,21600" o:spt="32" o:oned="t" path="m,l21600,21600e" filled="f">
              <v:path arrowok="t" fillok="f" o:connecttype="none"/>
              <o:lock v:ext="edit" shapetype="t"/>
            </v:shapetype>
            <v:shape id="Shape 2507" o:spid="_x0000_s1026" type="#_x0000_t32" style="position:absolute;margin-left:44.8pt;margin-top:32.45pt;width:343.2pt;height:0;z-index:-251536384;visibility:visible;mso-wrap-style:square;mso-wrap-distance-left:9pt;mso-wrap-distance-top:0;mso-wrap-distance-right:9pt;mso-wrap-distance-bottom:0;mso-position-horizontal:absolute;mso-position-horizontal-relative:page;mso-position-vertical:absolute;mso-position-vertical-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" strokeweight="1pt">
              <w10:wrap anchorx="page" anchory="page"/>
            </v:shape>
          </w:pict>
        </mc:Fallback>
      </mc:AlternateContent>
    </w:r>
  </w:p>
</w:hdr>
</file>

<file path=word/header18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1E6218" w14:textId="77777777" w:rsidR="00924992" w:rsidRDefault="00924992">
    <w:pPr>
      <w:spacing w:line="1" w:lineRule="exact"/>
    </w:pPr>
    <w:r>
      <w:rPr>
        <w:noProof/>
      </w:rPr>
      <mc:AlternateContent>
        <mc:Choice Requires="wps">
          <w:drawing>
            <wp:anchor distT="0" distB="0" distL="0" distR="0" simplePos="0" relativeHeight="251961344" behindDoc="1" locked="0" layoutInCell="1" allowOverlap="1" wp14:anchorId="79533CC1" wp14:editId="094EAF8D">
              <wp:simplePos x="0" y="0"/>
              <wp:positionH relativeFrom="page">
                <wp:posOffset>338455</wp:posOffset>
              </wp:positionH>
              <wp:positionV relativeFrom="page">
                <wp:posOffset>295910</wp:posOffset>
              </wp:positionV>
              <wp:extent cx="3176270" cy="85090"/>
              <wp:effectExtent l="0" t="0" r="0" b="0"/>
              <wp:wrapNone/>
              <wp:docPr id="2516" name="Shape 2516"/>
              <wp:cNvGraphicFramePr/>
              <a:graphic xmlns:a="http://schemas.openxmlformats.org/drawingml/2006/main">
                <a:graphicData uri="http://schemas.microsoft.com/office/word/2010/wordprocessingShape">
                  <wps:wsp>
                    <wps:cNvSpPr txBox="1"/>
                    <wps:spPr>
                      <a:xfrm>
                        <a:off x="0" y="0"/>
                        <a:ext cx="3176270" cy="85090"/>
                      </a:xfrm>
                      <a:prstGeom prst="rect">
                        <a:avLst/>
                      </a:prstGeom>
                      <a:noFill/>
                    </wps:spPr>
                    <wps:txbx>
                      <w:txbxContent>
                        <w:p w14:paraId="33EAC767" w14:textId="77777777" w:rsidR="00924992" w:rsidRDefault="00924992">
                          <w:pPr>
                            <w:pStyle w:val="Headerorfooter0"/>
                            <w:tabs>
                              <w:tab w:val="right" w:pos="5002"/>
                            </w:tabs>
                          </w:pPr>
                          <w:r>
                            <w:fldChar w:fldCharType="begin"/>
                          </w:r>
                          <w:r>
                            <w:instrText xml:space="preserve"> PAGE \* MERGEFORMAT </w:instrText>
                          </w:r>
                          <w:r>
                            <w:fldChar w:fldCharType="separate"/>
                          </w:r>
                          <w:r>
                            <w:rPr>
                              <w:sz w:val="16"/>
                              <w:szCs w:val="16"/>
                            </w:rPr>
                            <w:t>#</w:t>
                          </w:r>
                          <w:r>
                            <w:rPr>
                              <w:sz w:val="16"/>
                              <w:szCs w:val="16"/>
                            </w:rPr>
                            <w:fldChar w:fldCharType="end"/>
                          </w:r>
                          <w:r>
                            <w:rPr>
                              <w:sz w:val="16"/>
                              <w:szCs w:val="16"/>
                            </w:rPr>
                            <w:tab/>
                          </w:r>
                          <w:r>
                            <w:t>PREVENCIÓN DE ENDOCARDITIS BACTERIANA</w:t>
                          </w:r>
                        </w:p>
                      </w:txbxContent>
                    </wps:txbx>
                    <wps:bodyPr lIns="0" tIns="0" rIns="0" bIns="0">
                      <a:spAutoFit/>
                    </wps:bodyPr>
                  </wps:wsp>
                </a:graphicData>
              </a:graphic>
            </wp:anchor>
          </w:drawing>
        </mc:Choice>
        <mc:Fallback>
          <w:pict>
            <v:shapetype w14:anchorId="79533CC1" id="_x0000_t202" coordsize="21600,21600" o:spt="202" path="m,l,21600r21600,l21600,xe">
              <v:stroke joinstyle="miter"/>
              <v:path gradientshapeok="t" o:connecttype="rect"/>
            </v:shapetype>
            <v:shape id="Shape 2516" o:spid="_x0000_s1319" type="#_x0000_t202" style="position:absolute;margin-left:26.65pt;margin-top:23.3pt;width:250.1pt;height:6.7pt;z-index:-25135513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" filled="f" stroked="f">
              <v:textbox style="mso-fit-shape-to-text:t" inset="0,0,0,0">
                <w:txbxContent>
                  <w:p w14:paraId="33EAC767" w14:textId="77777777" w:rsidR="00924992" w:rsidRDefault="00924992">
                    <w:pPr>
                      <w:pStyle w:val="Headerorfooter0"/>
                      <w:tabs>
                        <w:tab w:val="right" w:pos="5002"/>
                      </w:tabs>
                    </w:pPr>
                    <w:r>
                      <w:fldChar w:fldCharType="begin"/>
                    </w:r>
                    <w:r>
                      <w:instrText xml:space="preserve"> PAGE \* MERGEFORMAT </w:instrText>
                    </w:r>
                    <w:r>
                      <w:fldChar w:fldCharType="separate"/>
                    </w:r>
                    <w:r>
                      <w:rPr>
                        <w:sz w:val="16"/>
                        <w:szCs w:val="16"/>
                      </w:rPr>
                      <w:t>#</w:t>
                    </w:r>
                    <w:r>
                      <w:rPr>
                        <w:sz w:val="16"/>
                        <w:szCs w:val="16"/>
                      </w:rPr>
                      <w:fldChar w:fldCharType="end"/>
                    </w:r>
                    <w:r>
                      <w:rPr>
                        <w:sz w:val="16"/>
                        <w:szCs w:val="16"/>
                      </w:rPr>
                      <w:tab/>
                    </w:r>
                    <w:r>
                      <w:t>PREVENCIÓN DE ENDOCARDITIS BACTERIANA</w:t>
                    </w:r>
                  </w:p>
                </w:txbxContent>
              </v:textbox>
              <w10:wrap anchorx="page" anchory="page"/>
            </v:shape>
          </w:pict>
        </mc:Fallback>
      </mc:AlternateContent>
    </w:r>
    <w:r>
      <w:rPr>
        <w:noProof/>
      </w:rPr>
      <mc:AlternateContent>
        <mc:Choice Requires="wps">
          <w:drawing>
            <wp:anchor distT="0" distB="0" distL="114300" distR="114300" simplePos="0" relativeHeight="251783168" behindDoc="1" locked="0" layoutInCell="1" allowOverlap="1" wp14:anchorId="2AB17C61" wp14:editId="75FD6C01">
              <wp:simplePos x="0" y="0"/>
              <wp:positionH relativeFrom="page">
                <wp:posOffset>323215</wp:posOffset>
              </wp:positionH>
              <wp:positionV relativeFrom="page">
                <wp:posOffset>419100</wp:posOffset>
              </wp:positionV>
              <wp:extent cx="4358640" cy="0"/>
              <wp:effectExtent l="0" t="0" r="0" b="0"/>
              <wp:wrapNone/>
              <wp:docPr id="2518" name="Shape 2518"/>
              <wp:cNvGraphicFramePr/>
              <a:graphic xmlns:a="http://schemas.openxmlformats.org/drawingml/2006/main">
                <a:graphicData uri="http://schemas.microsoft.com/office/word/2010/wordprocessingShape">
                  <wps:wsp>
                    <wps:cNvCnPr/>
                    <wps:spPr>
                      <a:xfrm>
                        <a:off x="0" y="0"/>
                        <a:ext cx="4358640" cy="0"/>
                      </a:xfrm>
                      <a:prstGeom prst="straightConnector1">
                        <a:avLst/>
                      </a:prstGeom>
                      <a:ln w="12700">
                        <a:solidFill/>
                      </a:ln>
                    </wps:spPr>
                    <wps:bodyPr/>
                  </wps:wsp>
                </a:graphicData>
              </a:graphic>
            </wp:anchor>
          </w:drawing>
        </mc:Choice>
        <mc:Fallback>
          <w:pict>
            <v:shapetype w14:anchorId="28A93D7B" id="_x0000_t32" coordsize="21600,21600" o:spt="32" o:oned="t" path="m,l21600,21600e" filled="f">
              <v:path arrowok="t" fillok="f" o:connecttype="none"/>
              <o:lock v:ext="edit" shapetype="t"/>
            </v:shapetype>
            <v:shape id="Shape 2518" o:spid="_x0000_s1026" type="#_x0000_t32" style="position:absolute;margin-left:25.45pt;margin-top:33pt;width:343.2pt;height:0;z-index:-251533312;visibility:visible;mso-wrap-style:square;mso-wrap-distance-left:9pt;mso-wrap-distance-top:0;mso-wrap-distance-right:9pt;mso-wrap-distance-bottom:0;mso-position-horizontal:absolute;mso-position-horizontal-relative:page;mso-position-vertical:absolute;mso-position-vertical-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" strokeweight="1pt">
              <w10:wrap anchorx="page" anchory="page"/>
            </v:shape>
          </w:pict>
        </mc:Fallback>
      </mc:AlternateContent>
    </w:r>
  </w:p>
</w:hdr>
</file>

<file path=word/header18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756B12" w14:textId="77777777" w:rsidR="00924992" w:rsidRDefault="00924992">
    <w:pPr>
      <w:spacing w:line="1" w:lineRule="exact"/>
    </w:pPr>
    <w:r>
      <w:rPr>
        <w:noProof/>
      </w:rPr>
      <mc:AlternateContent>
        <mc:Choice Requires="wps">
          <w:drawing>
            <wp:anchor distT="0" distB="0" distL="0" distR="0" simplePos="0" relativeHeight="251959296" behindDoc="1" locked="0" layoutInCell="1" allowOverlap="1" wp14:anchorId="1625493E" wp14:editId="2F779223">
              <wp:simplePos x="0" y="0"/>
              <wp:positionH relativeFrom="page">
                <wp:posOffset>338455</wp:posOffset>
              </wp:positionH>
              <wp:positionV relativeFrom="page">
                <wp:posOffset>295910</wp:posOffset>
              </wp:positionV>
              <wp:extent cx="3176270" cy="85090"/>
              <wp:effectExtent l="0" t="0" r="0" b="0"/>
              <wp:wrapNone/>
              <wp:docPr id="2511" name="Shape 2511"/>
              <wp:cNvGraphicFramePr/>
              <a:graphic xmlns:a="http://schemas.openxmlformats.org/drawingml/2006/main">
                <a:graphicData uri="http://schemas.microsoft.com/office/word/2010/wordprocessingShape">
                  <wps:wsp>
                    <wps:cNvSpPr txBox="1"/>
                    <wps:spPr>
                      <a:xfrm>
                        <a:off x="0" y="0"/>
                        <a:ext cx="3176270" cy="85090"/>
                      </a:xfrm>
                      <a:prstGeom prst="rect">
                        <a:avLst/>
                      </a:prstGeom>
                      <a:noFill/>
                    </wps:spPr>
                    <wps:txbx>
                      <w:txbxContent>
                        <w:p w14:paraId="37D380E4" w14:textId="77777777" w:rsidR="00924992" w:rsidRDefault="00924992">
                          <w:pPr>
                            <w:pStyle w:val="Headerorfooter0"/>
                            <w:tabs>
                              <w:tab w:val="right" w:pos="5002"/>
                            </w:tabs>
                          </w:pPr>
                          <w:r>
                            <w:fldChar w:fldCharType="begin"/>
                          </w:r>
                          <w:r>
                            <w:instrText xml:space="preserve"> PAGE \* MERGEFORMAT </w:instrText>
                          </w:r>
                          <w:r>
                            <w:fldChar w:fldCharType="separate"/>
                          </w:r>
                          <w:r>
                            <w:rPr>
                              <w:sz w:val="16"/>
                              <w:szCs w:val="16"/>
                            </w:rPr>
                            <w:t>#</w:t>
                          </w:r>
                          <w:r>
                            <w:rPr>
                              <w:sz w:val="16"/>
                              <w:szCs w:val="16"/>
                            </w:rPr>
                            <w:fldChar w:fldCharType="end"/>
                          </w:r>
                          <w:r>
                            <w:rPr>
                              <w:sz w:val="16"/>
                              <w:szCs w:val="16"/>
                            </w:rPr>
                            <w:tab/>
                          </w:r>
                          <w:r>
                            <w:t>PREVENCIÓN DE ENDOCARDITIS BACTERIANA</w:t>
                          </w:r>
                        </w:p>
                      </w:txbxContent>
                    </wps:txbx>
                    <wps:bodyPr lIns="0" tIns="0" rIns="0" bIns="0">
                      <a:spAutoFit/>
                    </wps:bodyPr>
                  </wps:wsp>
                </a:graphicData>
              </a:graphic>
            </wp:anchor>
          </w:drawing>
        </mc:Choice>
        <mc:Fallback>
          <w:pict>
            <v:shapetype w14:anchorId="1625493E" id="_x0000_t202" coordsize="21600,21600" o:spt="202" path="m,l,21600r21600,l21600,xe">
              <v:stroke joinstyle="miter"/>
              <v:path gradientshapeok="t" o:connecttype="rect"/>
            </v:shapetype>
            <v:shape id="Shape 2511" o:spid="_x0000_s1320" type="#_x0000_t202" style="position:absolute;margin-left:26.65pt;margin-top:23.3pt;width:250.1pt;height:6.7pt;z-index:-25135718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" filled="f" stroked="f">
              <v:textbox style="mso-fit-shape-to-text:t" inset="0,0,0,0">
                <w:txbxContent>
                  <w:p w14:paraId="37D380E4" w14:textId="77777777" w:rsidR="00924992" w:rsidRDefault="00924992">
                    <w:pPr>
                      <w:pStyle w:val="Headerorfooter0"/>
                      <w:tabs>
                        <w:tab w:val="right" w:pos="5002"/>
                      </w:tabs>
                    </w:pPr>
                    <w:r>
                      <w:fldChar w:fldCharType="begin"/>
                    </w:r>
                    <w:r>
                      <w:instrText xml:space="preserve"> PAGE \* MERGEFORMAT </w:instrText>
                    </w:r>
                    <w:r>
                      <w:fldChar w:fldCharType="separate"/>
                    </w:r>
                    <w:r>
                      <w:rPr>
                        <w:sz w:val="16"/>
                        <w:szCs w:val="16"/>
                      </w:rPr>
                      <w:t>#</w:t>
                    </w:r>
                    <w:r>
                      <w:rPr>
                        <w:sz w:val="16"/>
                        <w:szCs w:val="16"/>
                      </w:rPr>
                      <w:fldChar w:fldCharType="end"/>
                    </w:r>
                    <w:r>
                      <w:rPr>
                        <w:sz w:val="16"/>
                        <w:szCs w:val="16"/>
                      </w:rPr>
                      <w:tab/>
                    </w:r>
                    <w:r>
                      <w:t>PREVENCIÓN DE ENDOCARDITIS BACTERIANA</w:t>
                    </w:r>
                  </w:p>
                </w:txbxContent>
              </v:textbox>
              <w10:wrap anchorx="page" anchory="page"/>
            </v:shape>
          </w:pict>
        </mc:Fallback>
      </mc:AlternateContent>
    </w:r>
    <w:r>
      <w:rPr>
        <w:noProof/>
      </w:rPr>
      <mc:AlternateContent>
        <mc:Choice Requires="wps">
          <w:drawing>
            <wp:anchor distT="0" distB="0" distL="114300" distR="114300" simplePos="0" relativeHeight="251782144" behindDoc="1" locked="0" layoutInCell="1" allowOverlap="1" wp14:anchorId="192E0E8D" wp14:editId="16F0F5CA">
              <wp:simplePos x="0" y="0"/>
              <wp:positionH relativeFrom="page">
                <wp:posOffset>323215</wp:posOffset>
              </wp:positionH>
              <wp:positionV relativeFrom="page">
                <wp:posOffset>419100</wp:posOffset>
              </wp:positionV>
              <wp:extent cx="4358640" cy="0"/>
              <wp:effectExtent l="0" t="0" r="0" b="0"/>
              <wp:wrapNone/>
              <wp:docPr id="2513" name="Shape 2513"/>
              <wp:cNvGraphicFramePr/>
              <a:graphic xmlns:a="http://schemas.openxmlformats.org/drawingml/2006/main">
                <a:graphicData uri="http://schemas.microsoft.com/office/word/2010/wordprocessingShape">
                  <wps:wsp>
                    <wps:cNvCnPr/>
                    <wps:spPr>
                      <a:xfrm>
                        <a:off x="0" y="0"/>
                        <a:ext cx="4358640" cy="0"/>
                      </a:xfrm>
                      <a:prstGeom prst="straightConnector1">
                        <a:avLst/>
                      </a:prstGeom>
                      <a:ln w="12700">
                        <a:solidFill/>
                      </a:ln>
                    </wps:spPr>
                    <wps:bodyPr/>
                  </wps:wsp>
                </a:graphicData>
              </a:graphic>
            </wp:anchor>
          </w:drawing>
        </mc:Choice>
        <mc:Fallback>
          <w:pict>
            <v:shapetype w14:anchorId="188C7B04" id="_x0000_t32" coordsize="21600,21600" o:spt="32" o:oned="t" path="m,l21600,21600e" filled="f">
              <v:path arrowok="t" fillok="f" o:connecttype="none"/>
              <o:lock v:ext="edit" shapetype="t"/>
            </v:shapetype>
            <v:shape id="Shape 2513" o:spid="_x0000_s1026" type="#_x0000_t32" style="position:absolute;margin-left:25.45pt;margin-top:33pt;width:343.2pt;height:0;z-index:-251534336;visibility:visible;mso-wrap-style:square;mso-wrap-distance-left:9pt;mso-wrap-distance-top:0;mso-wrap-distance-right:9pt;mso-wrap-distance-bottom:0;mso-position-horizontal:absolute;mso-position-horizontal-relative:page;mso-position-vertical:absolute;mso-position-vertical-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" strokeweight="1pt">
              <w10:wrap anchorx="page" anchory="page"/>
            </v:shape>
          </w:pict>
        </mc:Fallback>
      </mc:AlternateContent>
    </w:r>
  </w:p>
</w:hdr>
</file>

<file path=word/header18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0A1160" w14:textId="77777777" w:rsidR="00924992" w:rsidRDefault="00924992">
    <w:pPr>
      <w:spacing w:line="1" w:lineRule="exact"/>
    </w:pPr>
    <w:r>
      <w:rPr>
        <w:noProof/>
      </w:rPr>
      <mc:AlternateContent>
        <mc:Choice Requires="wps">
          <w:drawing>
            <wp:anchor distT="0" distB="0" distL="0" distR="0" simplePos="0" relativeHeight="251964416" behindDoc="1" locked="0" layoutInCell="1" allowOverlap="1" wp14:anchorId="5A895EDF" wp14:editId="63097A95">
              <wp:simplePos x="0" y="0"/>
              <wp:positionH relativeFrom="page">
                <wp:posOffset>2063750</wp:posOffset>
              </wp:positionH>
              <wp:positionV relativeFrom="page">
                <wp:posOffset>295910</wp:posOffset>
              </wp:positionV>
              <wp:extent cx="2995930" cy="85090"/>
              <wp:effectExtent l="0" t="0" r="0" b="0"/>
              <wp:wrapNone/>
              <wp:docPr id="2524" name="Shape 2524"/>
              <wp:cNvGraphicFramePr/>
              <a:graphic xmlns:a="http://schemas.openxmlformats.org/drawingml/2006/main">
                <a:graphicData uri="http://schemas.microsoft.com/office/word/2010/wordprocessingShape">
                  <wps:wsp>
                    <wps:cNvSpPr txBox="1"/>
                    <wps:spPr>
                      <a:xfrm>
                        <a:off x="0" y="0"/>
                        <a:ext cx="2995930" cy="85090"/>
                      </a:xfrm>
                      <a:prstGeom prst="rect">
                        <a:avLst/>
                      </a:prstGeom>
                      <a:noFill/>
                    </wps:spPr>
                    <wps:txbx>
                      <w:txbxContent>
                        <w:p w14:paraId="7C8005A5" w14:textId="77777777" w:rsidR="00924992" w:rsidRDefault="00924992">
                          <w:pPr>
                            <w:pStyle w:val="Headerorfooter0"/>
                            <w:tabs>
                              <w:tab w:val="right" w:pos="4718"/>
                            </w:tabs>
                            <w:rPr>
                              <w:sz w:val="16"/>
                              <w:szCs w:val="16"/>
                            </w:rPr>
                          </w:pPr>
                          <w:r>
                            <w:t>PREVENCIÓN DE OFTALMÍA NEONATAL</w:t>
                          </w:r>
                          <w:r>
                            <w:tab/>
                          </w:r>
                          <w:r>
                            <w:rPr>
                              <w:sz w:val="16"/>
                              <w:szCs w:val="16"/>
                            </w:rPr>
                            <w:t>815</w:t>
                          </w:r>
                        </w:p>
                      </w:txbxContent>
                    </wps:txbx>
                    <wps:bodyPr lIns="0" tIns="0" rIns="0" bIns="0">
                      <a:spAutoFit/>
                    </wps:bodyPr>
                  </wps:wsp>
                </a:graphicData>
              </a:graphic>
            </wp:anchor>
          </w:drawing>
        </mc:Choice>
        <mc:Fallback>
          <w:pict>
            <v:shapetype w14:anchorId="5A895EDF" id="_x0000_t202" coordsize="21600,21600" o:spt="202" path="m,l,21600r21600,l21600,xe">
              <v:stroke joinstyle="miter"/>
              <v:path gradientshapeok="t" o:connecttype="rect"/>
            </v:shapetype>
            <v:shape id="Shape 2524" o:spid="_x0000_s1323" type="#_x0000_t202" style="position:absolute;margin-left:162.5pt;margin-top:23.3pt;width:235.9pt;height:6.7pt;z-index:-25135206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" filled="f" stroked="f">
              <v:textbox style="mso-fit-shape-to-text:t" inset="0,0,0,0">
                <w:txbxContent>
                  <w:p w14:paraId="7C8005A5" w14:textId="77777777" w:rsidR="00924992" w:rsidRDefault="00924992">
                    <w:pPr>
                      <w:pStyle w:val="Headerorfooter0"/>
                      <w:tabs>
                        <w:tab w:val="right" w:pos="4718"/>
                      </w:tabs>
                      <w:rPr>
                        <w:sz w:val="16"/>
                        <w:szCs w:val="16"/>
                      </w:rPr>
                    </w:pPr>
                    <w:r>
                      <w:t>PREVENCIÓN DE OFTALMÍA NEONATAL</w:t>
                    </w:r>
                    <w:r>
                      <w:tab/>
                    </w:r>
                    <w:r>
                      <w:rPr>
                        <w:sz w:val="16"/>
                        <w:szCs w:val="16"/>
                      </w:rPr>
                      <w:t>815</w:t>
                    </w:r>
                  </w:p>
                </w:txbxContent>
              </v:textbox>
              <w10:wrap anchorx="page" anchory="page"/>
            </v:shape>
          </w:pict>
        </mc:Fallback>
      </mc:AlternateContent>
    </w:r>
    <w:r>
      <w:rPr>
        <w:noProof/>
      </w:rPr>
      <mc:AlternateContent>
        <mc:Choice Requires="wps">
          <w:drawing>
            <wp:anchor distT="0" distB="0" distL="114300" distR="114300" simplePos="0" relativeHeight="251785216" behindDoc="1" locked="0" layoutInCell="1" allowOverlap="1" wp14:anchorId="7DB0A3B5" wp14:editId="7C854113">
              <wp:simplePos x="0" y="0"/>
              <wp:positionH relativeFrom="page">
                <wp:posOffset>722630</wp:posOffset>
              </wp:positionH>
              <wp:positionV relativeFrom="page">
                <wp:posOffset>419100</wp:posOffset>
              </wp:positionV>
              <wp:extent cx="4358640" cy="0"/>
              <wp:effectExtent l="0" t="0" r="0" b="0"/>
              <wp:wrapNone/>
              <wp:docPr id="2526" name="Shape 2526"/>
              <wp:cNvGraphicFramePr/>
              <a:graphic xmlns:a="http://schemas.openxmlformats.org/drawingml/2006/main">
                <a:graphicData uri="http://schemas.microsoft.com/office/word/2010/wordprocessingShape">
                  <wps:wsp>
                    <wps:cNvCnPr/>
                    <wps:spPr>
                      <a:xfrm>
                        <a:off x="0" y="0"/>
                        <a:ext cx="4358640" cy="0"/>
                      </a:xfrm>
                      <a:prstGeom prst="straightConnector1">
                        <a:avLst/>
                      </a:prstGeom>
                      <a:ln w="12700">
                        <a:solidFill/>
                      </a:ln>
                    </wps:spPr>
                    <wps:bodyPr/>
                  </wps:wsp>
                </a:graphicData>
              </a:graphic>
            </wp:anchor>
          </w:drawing>
        </mc:Choice>
        <mc:Fallback>
          <w:pict>
            <v:shapetype w14:anchorId="56500C7E" id="_x0000_t32" coordsize="21600,21600" o:spt="32" o:oned="t" path="m,l21600,21600e" filled="f">
              <v:path arrowok="t" fillok="f" o:connecttype="none"/>
              <o:lock v:ext="edit" shapetype="t"/>
            </v:shapetype>
            <v:shape id="Shape 2526" o:spid="_x0000_s1026" type="#_x0000_t32" style="position:absolute;margin-left:56.9pt;margin-top:33pt;width:343.2pt;height:0;z-index:-251531264;visibility:visible;mso-wrap-style:square;mso-wrap-distance-left:9pt;mso-wrap-distance-top:0;mso-wrap-distance-right:9pt;mso-wrap-distance-bottom:0;mso-position-horizontal:absolute;mso-position-horizontal-relative:page;mso-position-vertical:absolute;mso-position-vertical-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" strokeweight="1pt">
              <w10:wrap anchorx="page" anchory="page"/>
            </v:shape>
          </w:pict>
        </mc:Fallback>
      </mc:AlternateContent>
    </w:r>
  </w:p>
</w:hdr>
</file>

<file path=word/header18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3D970D" w14:textId="77777777" w:rsidR="00924992" w:rsidRDefault="00924992">
    <w:pPr>
      <w:spacing w:line="1" w:lineRule="exact"/>
    </w:pPr>
    <w:r>
      <w:rPr>
        <w:noProof/>
      </w:rPr>
      <mc:AlternateContent>
        <mc:Choice Requires="wps">
          <w:drawing>
            <wp:anchor distT="0" distB="0" distL="0" distR="0" simplePos="0" relativeHeight="251963392" behindDoc="1" locked="0" layoutInCell="1" allowOverlap="1" wp14:anchorId="1F1E6C84" wp14:editId="6D35CC1B">
              <wp:simplePos x="0" y="0"/>
              <wp:positionH relativeFrom="page">
                <wp:posOffset>2063750</wp:posOffset>
              </wp:positionH>
              <wp:positionV relativeFrom="page">
                <wp:posOffset>295910</wp:posOffset>
              </wp:positionV>
              <wp:extent cx="2995930" cy="85090"/>
              <wp:effectExtent l="0" t="0" r="0" b="0"/>
              <wp:wrapNone/>
              <wp:docPr id="2521" name="Shape 2521"/>
              <wp:cNvGraphicFramePr/>
              <a:graphic xmlns:a="http://schemas.openxmlformats.org/drawingml/2006/main">
                <a:graphicData uri="http://schemas.microsoft.com/office/word/2010/wordprocessingShape">
                  <wps:wsp>
                    <wps:cNvSpPr txBox="1"/>
                    <wps:spPr>
                      <a:xfrm>
                        <a:off x="0" y="0"/>
                        <a:ext cx="2995930" cy="85090"/>
                      </a:xfrm>
                      <a:prstGeom prst="rect">
                        <a:avLst/>
                      </a:prstGeom>
                      <a:noFill/>
                    </wps:spPr>
                    <wps:txbx>
                      <w:txbxContent>
                        <w:p w14:paraId="107DFD6E" w14:textId="77777777" w:rsidR="00924992" w:rsidRDefault="00924992">
                          <w:pPr>
                            <w:pStyle w:val="Headerorfooter0"/>
                            <w:tabs>
                              <w:tab w:val="right" w:pos="4718"/>
                            </w:tabs>
                            <w:rPr>
                              <w:sz w:val="16"/>
                              <w:szCs w:val="16"/>
                            </w:rPr>
                          </w:pPr>
                          <w:r>
                            <w:t>PREVENCIÓN DE OFTALMÍA NEONATAL</w:t>
                          </w:r>
                          <w:r>
                            <w:tab/>
                          </w:r>
                          <w:r>
                            <w:rPr>
                              <w:sz w:val="16"/>
                              <w:szCs w:val="16"/>
                            </w:rPr>
                            <w:t>815</w:t>
                          </w:r>
                        </w:p>
                      </w:txbxContent>
                    </wps:txbx>
                    <wps:bodyPr lIns="0" tIns="0" rIns="0" bIns="0">
                      <a:spAutoFit/>
                    </wps:bodyPr>
                  </wps:wsp>
                </a:graphicData>
              </a:graphic>
            </wp:anchor>
          </w:drawing>
        </mc:Choice>
        <mc:Fallback>
          <w:pict>
            <v:shapetype w14:anchorId="1F1E6C84" id="_x0000_t202" coordsize="21600,21600" o:spt="202" path="m,l,21600r21600,l21600,xe">
              <v:stroke joinstyle="miter"/>
              <v:path gradientshapeok="t" o:connecttype="rect"/>
            </v:shapetype>
            <v:shape id="Shape 2521" o:spid="_x0000_s1324" type="#_x0000_t202" style="position:absolute;margin-left:162.5pt;margin-top:23.3pt;width:235.9pt;height:6.7pt;z-index:-25135308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" filled="f" stroked="f">
              <v:textbox style="mso-fit-shape-to-text:t" inset="0,0,0,0">
                <w:txbxContent>
                  <w:p w14:paraId="107DFD6E" w14:textId="77777777" w:rsidR="00924992" w:rsidRDefault="00924992">
                    <w:pPr>
                      <w:pStyle w:val="Headerorfooter0"/>
                      <w:tabs>
                        <w:tab w:val="right" w:pos="4718"/>
                      </w:tabs>
                      <w:rPr>
                        <w:sz w:val="16"/>
                        <w:szCs w:val="16"/>
                      </w:rPr>
                    </w:pPr>
                    <w:r>
                      <w:t>PREVENCIÓN DE OFTALMÍA NEONATAL</w:t>
                    </w:r>
                    <w:r>
                      <w:tab/>
                    </w:r>
                    <w:r>
                      <w:rPr>
                        <w:sz w:val="16"/>
                        <w:szCs w:val="16"/>
                      </w:rPr>
                      <w:t>815</w:t>
                    </w:r>
                  </w:p>
                </w:txbxContent>
              </v:textbox>
              <w10:wrap anchorx="page" anchory="page"/>
            </v:shape>
          </w:pict>
        </mc:Fallback>
      </mc:AlternateContent>
    </w:r>
    <w:r>
      <w:rPr>
        <w:noProof/>
      </w:rPr>
      <mc:AlternateContent>
        <mc:Choice Requires="wps">
          <w:drawing>
            <wp:anchor distT="0" distB="0" distL="114300" distR="114300" simplePos="0" relativeHeight="251784192" behindDoc="1" locked="0" layoutInCell="1" allowOverlap="1" wp14:anchorId="43E424F0" wp14:editId="2269F237">
              <wp:simplePos x="0" y="0"/>
              <wp:positionH relativeFrom="page">
                <wp:posOffset>722630</wp:posOffset>
              </wp:positionH>
              <wp:positionV relativeFrom="page">
                <wp:posOffset>419100</wp:posOffset>
              </wp:positionV>
              <wp:extent cx="4358640" cy="0"/>
              <wp:effectExtent l="0" t="0" r="0" b="0"/>
              <wp:wrapNone/>
              <wp:docPr id="2523" name="Shape 2523"/>
              <wp:cNvGraphicFramePr/>
              <a:graphic xmlns:a="http://schemas.openxmlformats.org/drawingml/2006/main">
                <a:graphicData uri="http://schemas.microsoft.com/office/word/2010/wordprocessingShape">
                  <wps:wsp>
                    <wps:cNvCnPr/>
                    <wps:spPr>
                      <a:xfrm>
                        <a:off x="0" y="0"/>
                        <a:ext cx="4358640" cy="0"/>
                      </a:xfrm>
                      <a:prstGeom prst="straightConnector1">
                        <a:avLst/>
                      </a:prstGeom>
                      <a:ln w="12700">
                        <a:solidFill/>
                      </a:ln>
                    </wps:spPr>
                    <wps:bodyPr/>
                  </wps:wsp>
                </a:graphicData>
              </a:graphic>
            </wp:anchor>
          </w:drawing>
        </mc:Choice>
        <mc:Fallback>
          <w:pict>
            <v:shapetype w14:anchorId="002582DA" id="_x0000_t32" coordsize="21600,21600" o:spt="32" o:oned="t" path="m,l21600,21600e" filled="f">
              <v:path arrowok="t" fillok="f" o:connecttype="none"/>
              <o:lock v:ext="edit" shapetype="t"/>
            </v:shapetype>
            <v:shape id="Shape 2523" o:spid="_x0000_s1026" type="#_x0000_t32" style="position:absolute;margin-left:56.9pt;margin-top:33pt;width:343.2pt;height:0;z-index:-251532288;visibility:visible;mso-wrap-style:square;mso-wrap-distance-left:9pt;mso-wrap-distance-top:0;mso-wrap-distance-right:9pt;mso-wrap-distance-bottom:0;mso-position-horizontal:absolute;mso-position-horizontal-relative:page;mso-position-vertical:absolute;mso-position-vertical-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" strokeweight="1pt">
              <w10:wrap anchorx="page" anchory="page"/>
            </v:shape>
          </w:pict>
        </mc:Fallback>
      </mc:AlternateContent>
    </w:r>
  </w:p>
</w:hdr>
</file>

<file path=word/header18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F6A932" w14:textId="77777777" w:rsidR="00924992" w:rsidRDefault="00924992"/>
</w:hdr>
</file>

<file path=word/header18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A2D905" w14:textId="77777777" w:rsidR="00924992" w:rsidRDefault="00924992"/>
</w:hdr>
</file>

<file path=word/header19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0E5F9E" w14:textId="77777777" w:rsidR="00924992" w:rsidRDefault="00924992">
    <w:pPr>
      <w:spacing w:line="1" w:lineRule="exact"/>
    </w:pPr>
    <w:r>
      <w:rPr>
        <w:noProof/>
      </w:rPr>
      <mc:AlternateContent>
        <mc:Choice Requires="wps">
          <w:drawing>
            <wp:anchor distT="0" distB="0" distL="0" distR="0" simplePos="0" relativeHeight="251966464" behindDoc="1" locked="0" layoutInCell="1" allowOverlap="1" wp14:anchorId="557DF874" wp14:editId="5CB15720">
              <wp:simplePos x="0" y="0"/>
              <wp:positionH relativeFrom="page">
                <wp:posOffset>338455</wp:posOffset>
              </wp:positionH>
              <wp:positionV relativeFrom="page">
                <wp:posOffset>295910</wp:posOffset>
              </wp:positionV>
              <wp:extent cx="3005455" cy="85090"/>
              <wp:effectExtent l="0" t="0" r="0" b="0"/>
              <wp:wrapNone/>
              <wp:docPr id="2536" name="Shape 2536"/>
              <wp:cNvGraphicFramePr/>
              <a:graphic xmlns:a="http://schemas.openxmlformats.org/drawingml/2006/main">
                <a:graphicData uri="http://schemas.microsoft.com/office/word/2010/wordprocessingShape">
                  <wps:wsp>
                    <wps:cNvSpPr txBox="1"/>
                    <wps:spPr>
                      <a:xfrm>
                        <a:off x="0" y="0"/>
                        <a:ext cx="3005455" cy="85090"/>
                      </a:xfrm>
                      <a:prstGeom prst="rect">
                        <a:avLst/>
                      </a:prstGeom>
                      <a:noFill/>
                    </wps:spPr>
                    <wps:txbx>
                      <w:txbxContent>
                        <w:p w14:paraId="053ADD48" w14:textId="77777777" w:rsidR="00924992" w:rsidRDefault="00924992">
                          <w:pPr>
                            <w:pStyle w:val="Headerorfooter0"/>
                            <w:tabs>
                              <w:tab w:val="right" w:pos="4733"/>
                            </w:tabs>
                          </w:pPr>
                          <w:r>
                            <w:fldChar w:fldCharType="begin"/>
                          </w:r>
                          <w:r>
                            <w:instrText xml:space="preserve"> PAGE \* MERGEFORMAT </w:instrText>
                          </w:r>
                          <w:r>
                            <w:fldChar w:fldCharType="separate"/>
                          </w:r>
                          <w:r>
                            <w:rPr>
                              <w:sz w:val="16"/>
                              <w:szCs w:val="16"/>
                            </w:rPr>
                            <w:t>#</w:t>
                          </w:r>
                          <w:r>
                            <w:rPr>
                              <w:sz w:val="16"/>
                              <w:szCs w:val="16"/>
                            </w:rPr>
                            <w:fldChar w:fldCharType="end"/>
                          </w:r>
                          <w:r>
                            <w:rPr>
                              <w:sz w:val="16"/>
                              <w:szCs w:val="16"/>
                            </w:rPr>
                            <w:tab/>
                          </w:r>
                          <w:r>
                            <w:t>PREVENCIÓN DE OFTALMÍA NEONATAL</w:t>
                          </w:r>
                        </w:p>
                      </w:txbxContent>
                    </wps:txbx>
                    <wps:bodyPr lIns="0" tIns="0" rIns="0" bIns="0">
                      <a:spAutoFit/>
                    </wps:bodyPr>
                  </wps:wsp>
                </a:graphicData>
              </a:graphic>
            </wp:anchor>
          </w:drawing>
        </mc:Choice>
        <mc:Fallback>
          <w:pict>
            <v:shapetype w14:anchorId="557DF874" id="_x0000_t202" coordsize="21600,21600" o:spt="202" path="m,l,21600r21600,l21600,xe">
              <v:stroke joinstyle="miter"/>
              <v:path gradientshapeok="t" o:connecttype="rect"/>
            </v:shapetype>
            <v:shape id="Shape 2536" o:spid="_x0000_s1325" type="#_x0000_t202" style="position:absolute;margin-left:26.65pt;margin-top:23.3pt;width:236.65pt;height:6.7pt;z-index:-25135001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" filled="f" stroked="f">
              <v:textbox style="mso-fit-shape-to-text:t" inset="0,0,0,0">
                <w:txbxContent>
                  <w:p w14:paraId="053ADD48" w14:textId="77777777" w:rsidR="00924992" w:rsidRDefault="00924992">
                    <w:pPr>
                      <w:pStyle w:val="Headerorfooter0"/>
                      <w:tabs>
                        <w:tab w:val="right" w:pos="4733"/>
                      </w:tabs>
                    </w:pPr>
                    <w:r>
                      <w:fldChar w:fldCharType="begin"/>
                    </w:r>
                    <w:r>
                      <w:instrText xml:space="preserve"> PAGE \* MERGEFORMAT </w:instrText>
                    </w:r>
                    <w:r>
                      <w:fldChar w:fldCharType="separate"/>
                    </w:r>
                    <w:r>
                      <w:rPr>
                        <w:sz w:val="16"/>
                        <w:szCs w:val="16"/>
                      </w:rPr>
                      <w:t>#</w:t>
                    </w:r>
                    <w:r>
                      <w:rPr>
                        <w:sz w:val="16"/>
                        <w:szCs w:val="16"/>
                      </w:rPr>
                      <w:fldChar w:fldCharType="end"/>
                    </w:r>
                    <w:r>
                      <w:rPr>
                        <w:sz w:val="16"/>
                        <w:szCs w:val="16"/>
                      </w:rPr>
                      <w:tab/>
                    </w:r>
                    <w:r>
                      <w:t>PREVENCIÓN DE OFTALMÍA NEONATAL</w:t>
                    </w:r>
                  </w:p>
                </w:txbxContent>
              </v:textbox>
              <w10:wrap anchorx="page" anchory="page"/>
            </v:shape>
          </w:pict>
        </mc:Fallback>
      </mc:AlternateContent>
    </w:r>
    <w:r>
      <w:rPr>
        <w:noProof/>
      </w:rPr>
      <mc:AlternateContent>
        <mc:Choice Requires="wps">
          <w:drawing>
            <wp:anchor distT="0" distB="0" distL="114300" distR="114300" simplePos="0" relativeHeight="251787264" behindDoc="1" locked="0" layoutInCell="1" allowOverlap="1" wp14:anchorId="1A68506D" wp14:editId="2EE22B5B">
              <wp:simplePos x="0" y="0"/>
              <wp:positionH relativeFrom="page">
                <wp:posOffset>323215</wp:posOffset>
              </wp:positionH>
              <wp:positionV relativeFrom="page">
                <wp:posOffset>419100</wp:posOffset>
              </wp:positionV>
              <wp:extent cx="4358640" cy="0"/>
              <wp:effectExtent l="0" t="0" r="0" b="0"/>
              <wp:wrapNone/>
              <wp:docPr id="2538" name="Shape 2538"/>
              <wp:cNvGraphicFramePr/>
              <a:graphic xmlns:a="http://schemas.openxmlformats.org/drawingml/2006/main">
                <a:graphicData uri="http://schemas.microsoft.com/office/word/2010/wordprocessingShape">
                  <wps:wsp>
                    <wps:cNvCnPr/>
                    <wps:spPr>
                      <a:xfrm>
                        <a:off x="0" y="0"/>
                        <a:ext cx="4358640" cy="0"/>
                      </a:xfrm>
                      <a:prstGeom prst="straightConnector1">
                        <a:avLst/>
                      </a:prstGeom>
                      <a:ln w="12700">
                        <a:solidFill/>
                      </a:ln>
                    </wps:spPr>
                    <wps:bodyPr/>
                  </wps:wsp>
                </a:graphicData>
              </a:graphic>
            </wp:anchor>
          </w:drawing>
        </mc:Choice>
        <mc:Fallback>
          <w:pict>
            <v:shapetype w14:anchorId="3A6CEB04" id="_x0000_t32" coordsize="21600,21600" o:spt="32" o:oned="t" path="m,l21600,21600e" filled="f">
              <v:path arrowok="t" fillok="f" o:connecttype="none"/>
              <o:lock v:ext="edit" shapetype="t"/>
            </v:shapetype>
            <v:shape id="Shape 2538" o:spid="_x0000_s1026" type="#_x0000_t32" style="position:absolute;margin-left:25.45pt;margin-top:33pt;width:343.2pt;height:0;z-index:-251529216;visibility:visible;mso-wrap-style:square;mso-wrap-distance-left:9pt;mso-wrap-distance-top:0;mso-wrap-distance-right:9pt;mso-wrap-distance-bottom:0;mso-position-horizontal:absolute;mso-position-horizontal-relative:page;mso-position-vertical:absolute;mso-position-vertical-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" strokeweight="1pt">
              <w10:wrap anchorx="page" anchory="page"/>
            </v:shape>
          </w:pict>
        </mc:Fallback>
      </mc:AlternateContent>
    </w:r>
  </w:p>
</w:hdr>
</file>

<file path=word/header19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FCA670" w14:textId="77777777" w:rsidR="00924992" w:rsidRDefault="00924992">
    <w:pPr>
      <w:spacing w:line="1" w:lineRule="exact"/>
    </w:pPr>
    <w:r>
      <w:rPr>
        <w:noProof/>
      </w:rPr>
      <mc:AlternateContent>
        <mc:Choice Requires="wps">
          <w:drawing>
            <wp:anchor distT="0" distB="0" distL="0" distR="0" simplePos="0" relativeHeight="251965440" behindDoc="1" locked="0" layoutInCell="1" allowOverlap="1" wp14:anchorId="35A62005" wp14:editId="4127311D">
              <wp:simplePos x="0" y="0"/>
              <wp:positionH relativeFrom="page">
                <wp:posOffset>338455</wp:posOffset>
              </wp:positionH>
              <wp:positionV relativeFrom="page">
                <wp:posOffset>295910</wp:posOffset>
              </wp:positionV>
              <wp:extent cx="3005455" cy="85090"/>
              <wp:effectExtent l="0" t="0" r="0" b="0"/>
              <wp:wrapNone/>
              <wp:docPr id="2533" name="Shape 2533"/>
              <wp:cNvGraphicFramePr/>
              <a:graphic xmlns:a="http://schemas.openxmlformats.org/drawingml/2006/main">
                <a:graphicData uri="http://schemas.microsoft.com/office/word/2010/wordprocessingShape">
                  <wps:wsp>
                    <wps:cNvSpPr txBox="1"/>
                    <wps:spPr>
                      <a:xfrm>
                        <a:off x="0" y="0"/>
                        <a:ext cx="3005455" cy="85090"/>
                      </a:xfrm>
                      <a:prstGeom prst="rect">
                        <a:avLst/>
                      </a:prstGeom>
                      <a:noFill/>
                    </wps:spPr>
                    <wps:txbx>
                      <w:txbxContent>
                        <w:p w14:paraId="655C46D6" w14:textId="77777777" w:rsidR="00924992" w:rsidRDefault="00924992">
                          <w:pPr>
                            <w:pStyle w:val="Headerorfooter0"/>
                            <w:tabs>
                              <w:tab w:val="right" w:pos="4733"/>
                            </w:tabs>
                          </w:pPr>
                          <w:r>
                            <w:fldChar w:fldCharType="begin"/>
                          </w:r>
                          <w:r>
                            <w:instrText xml:space="preserve"> PAGE \* MERGEFORMAT </w:instrText>
                          </w:r>
                          <w:r>
                            <w:fldChar w:fldCharType="separate"/>
                          </w:r>
                          <w:r>
                            <w:rPr>
                              <w:sz w:val="16"/>
                              <w:szCs w:val="16"/>
                            </w:rPr>
                            <w:t>#</w:t>
                          </w:r>
                          <w:r>
                            <w:rPr>
                              <w:sz w:val="16"/>
                              <w:szCs w:val="16"/>
                            </w:rPr>
                            <w:fldChar w:fldCharType="end"/>
                          </w:r>
                          <w:r>
                            <w:rPr>
                              <w:sz w:val="16"/>
                              <w:szCs w:val="16"/>
                            </w:rPr>
                            <w:tab/>
                          </w:r>
                          <w:r>
                            <w:t>PREVENCIÓN DE OFTALMÍA NEONATAL</w:t>
                          </w:r>
                        </w:p>
                      </w:txbxContent>
                    </wps:txbx>
                    <wps:bodyPr lIns="0" tIns="0" rIns="0" bIns="0">
                      <a:spAutoFit/>
                    </wps:bodyPr>
                  </wps:wsp>
                </a:graphicData>
              </a:graphic>
            </wp:anchor>
          </w:drawing>
        </mc:Choice>
        <mc:Fallback>
          <w:pict>
            <v:shapetype w14:anchorId="35A62005" id="_x0000_t202" coordsize="21600,21600" o:spt="202" path="m,l,21600r21600,l21600,xe">
              <v:stroke joinstyle="miter"/>
              <v:path gradientshapeok="t" o:connecttype="rect"/>
            </v:shapetype>
            <v:shape id="Shape 2533" o:spid="_x0000_s1326" type="#_x0000_t202" style="position:absolute;margin-left:26.65pt;margin-top:23.3pt;width:236.65pt;height:6.7pt;z-index:-25135104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" filled="f" stroked="f">
              <v:textbox style="mso-fit-shape-to-text:t" inset="0,0,0,0">
                <w:txbxContent>
                  <w:p w14:paraId="655C46D6" w14:textId="77777777" w:rsidR="00924992" w:rsidRDefault="00924992">
                    <w:pPr>
                      <w:pStyle w:val="Headerorfooter0"/>
                      <w:tabs>
                        <w:tab w:val="right" w:pos="4733"/>
                      </w:tabs>
                    </w:pPr>
                    <w:r>
                      <w:fldChar w:fldCharType="begin"/>
                    </w:r>
                    <w:r>
                      <w:instrText xml:space="preserve"> PAGE \* MERGEFORMAT </w:instrText>
                    </w:r>
                    <w:r>
                      <w:fldChar w:fldCharType="separate"/>
                    </w:r>
                    <w:r>
                      <w:rPr>
                        <w:sz w:val="16"/>
                        <w:szCs w:val="16"/>
                      </w:rPr>
                      <w:t>#</w:t>
                    </w:r>
                    <w:r>
                      <w:rPr>
                        <w:sz w:val="16"/>
                        <w:szCs w:val="16"/>
                      </w:rPr>
                      <w:fldChar w:fldCharType="end"/>
                    </w:r>
                    <w:r>
                      <w:rPr>
                        <w:sz w:val="16"/>
                        <w:szCs w:val="16"/>
                      </w:rPr>
                      <w:tab/>
                    </w:r>
                    <w:r>
                      <w:t>PREVENCIÓN DE OFTALMÍA NEONATAL</w:t>
                    </w:r>
                  </w:p>
                </w:txbxContent>
              </v:textbox>
              <w10:wrap anchorx="page" anchory="page"/>
            </v:shape>
          </w:pict>
        </mc:Fallback>
      </mc:AlternateContent>
    </w:r>
    <w:r>
      <w:rPr>
        <w:noProof/>
      </w:rPr>
      <mc:AlternateContent>
        <mc:Choice Requires="wps">
          <w:drawing>
            <wp:anchor distT="0" distB="0" distL="114300" distR="114300" simplePos="0" relativeHeight="251786240" behindDoc="1" locked="0" layoutInCell="1" allowOverlap="1" wp14:anchorId="17940273" wp14:editId="242EB23F">
              <wp:simplePos x="0" y="0"/>
              <wp:positionH relativeFrom="page">
                <wp:posOffset>323215</wp:posOffset>
              </wp:positionH>
              <wp:positionV relativeFrom="page">
                <wp:posOffset>419100</wp:posOffset>
              </wp:positionV>
              <wp:extent cx="4358640" cy="0"/>
              <wp:effectExtent l="0" t="0" r="0" b="0"/>
              <wp:wrapNone/>
              <wp:docPr id="2535" name="Shape 2535"/>
              <wp:cNvGraphicFramePr/>
              <a:graphic xmlns:a="http://schemas.openxmlformats.org/drawingml/2006/main">
                <a:graphicData uri="http://schemas.microsoft.com/office/word/2010/wordprocessingShape">
                  <wps:wsp>
                    <wps:cNvCnPr/>
                    <wps:spPr>
                      <a:xfrm>
                        <a:off x="0" y="0"/>
                        <a:ext cx="4358640" cy="0"/>
                      </a:xfrm>
                      <a:prstGeom prst="straightConnector1">
                        <a:avLst/>
                      </a:prstGeom>
                      <a:ln w="12700">
                        <a:solidFill/>
                      </a:ln>
                    </wps:spPr>
                    <wps:bodyPr/>
                  </wps:wsp>
                </a:graphicData>
              </a:graphic>
            </wp:anchor>
          </w:drawing>
        </mc:Choice>
        <mc:Fallback>
          <w:pict>
            <v:shapetype w14:anchorId="169C6F89" id="_x0000_t32" coordsize="21600,21600" o:spt="32" o:oned="t" path="m,l21600,21600e" filled="f">
              <v:path arrowok="t" fillok="f" o:connecttype="none"/>
              <o:lock v:ext="edit" shapetype="t"/>
            </v:shapetype>
            <v:shape id="Shape 2535" o:spid="_x0000_s1026" type="#_x0000_t32" style="position:absolute;margin-left:25.45pt;margin-top:33pt;width:343.2pt;height:0;z-index:-251530240;visibility:visible;mso-wrap-style:square;mso-wrap-distance-left:9pt;mso-wrap-distance-top:0;mso-wrap-distance-right:9pt;mso-wrap-distance-bottom:0;mso-position-horizontal:absolute;mso-position-horizontal-relative:page;mso-position-vertical:absolute;mso-position-vertical-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" strokeweight="1pt">
              <w10:wrap anchorx="page" anchory="page"/>
            </v:shape>
          </w:pict>
        </mc:Fallback>
      </mc:AlternateContent>
    </w:r>
  </w:p>
</w:hdr>
</file>

<file path=word/header19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64C0A8" w14:textId="77777777" w:rsidR="00924992" w:rsidRDefault="00924992"/>
</w:hdr>
</file>

<file path=word/header19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028A19" w14:textId="77777777" w:rsidR="00924992" w:rsidRDefault="00924992"/>
</w:hdr>
</file>

<file path=word/header19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81A32D" w14:textId="77777777" w:rsidR="00924992" w:rsidRDefault="00924992"/>
</w:hdr>
</file>

<file path=word/header19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9210BF" w14:textId="77777777" w:rsidR="00924992" w:rsidRDefault="00924992"/>
</w:hdr>
</file>

<file path=word/header19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E7BD7F" w14:textId="77777777" w:rsidR="00924992" w:rsidRDefault="00924992"/>
</w:hdr>
</file>

<file path=word/header19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3618A6" w14:textId="77777777" w:rsidR="00924992" w:rsidRDefault="00924992"/>
</w:hdr>
</file>

<file path=word/header19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F2FCC5" w14:textId="77777777" w:rsidR="00924992" w:rsidRDefault="00924992">
    <w:pPr>
      <w:spacing w:line="1" w:lineRule="exact"/>
    </w:pPr>
    <w:r>
      <w:rPr>
        <w:noProof/>
      </w:rPr>
      <mc:AlternateContent>
        <mc:Choice Requires="wps">
          <w:drawing>
            <wp:anchor distT="0" distB="0" distL="0" distR="0" simplePos="0" relativeHeight="251970560" behindDoc="1" locked="0" layoutInCell="1" allowOverlap="1" wp14:anchorId="1BF7BEF5" wp14:editId="0A657248">
              <wp:simplePos x="0" y="0"/>
              <wp:positionH relativeFrom="page">
                <wp:posOffset>474345</wp:posOffset>
              </wp:positionH>
              <wp:positionV relativeFrom="page">
                <wp:posOffset>295910</wp:posOffset>
              </wp:positionV>
              <wp:extent cx="2423160" cy="85090"/>
              <wp:effectExtent l="0" t="0" r="0" b="0"/>
              <wp:wrapNone/>
              <wp:docPr id="2550" name="Shape 2550"/>
              <wp:cNvGraphicFramePr/>
              <a:graphic xmlns:a="http://schemas.openxmlformats.org/drawingml/2006/main">
                <a:graphicData uri="http://schemas.microsoft.com/office/word/2010/wordprocessingShape">
                  <wps:wsp>
                    <wps:cNvSpPr txBox="1"/>
                    <wps:spPr>
                      <a:xfrm>
                        <a:off x="0" y="0"/>
                        <a:ext cx="2423160" cy="85090"/>
                      </a:xfrm>
                      <a:prstGeom prst="rect">
                        <a:avLst/>
                      </a:prstGeom>
                      <a:noFill/>
                    </wps:spPr>
                    <wps:txbx>
                      <w:txbxContent>
                        <w:p w14:paraId="351FF4DB" w14:textId="77777777" w:rsidR="00924992" w:rsidRDefault="00924992">
                          <w:pPr>
                            <w:pStyle w:val="Headerorfooter0"/>
                            <w:tabs>
                              <w:tab w:val="right" w:pos="3816"/>
                            </w:tabs>
                          </w:pPr>
                          <w:r>
                            <w:fldChar w:fldCharType="begin"/>
                          </w:r>
                          <w:r>
                            <w:instrText xml:space="preserve"> PAGE \* MERGEFORMAT </w:instrText>
                          </w:r>
                          <w:r>
                            <w:fldChar w:fldCharType="separate"/>
                          </w:r>
                          <w:r>
                            <w:rPr>
                              <w:sz w:val="16"/>
                              <w:szCs w:val="16"/>
                            </w:rPr>
                            <w:t>#</w:t>
                          </w:r>
                          <w:r>
                            <w:rPr>
                              <w:sz w:val="16"/>
                              <w:szCs w:val="16"/>
                            </w:rPr>
                            <w:fldChar w:fldCharType="end"/>
                          </w:r>
                          <w:r>
                            <w:rPr>
                              <w:sz w:val="16"/>
                              <w:szCs w:val="16"/>
                            </w:rPr>
                            <w:tab/>
                          </w:r>
                          <w:r>
                            <w:t>APÉNDICE II</w:t>
                          </w:r>
                        </w:p>
                      </w:txbxContent>
                    </wps:txbx>
                    <wps:bodyPr lIns="0" tIns="0" rIns="0" bIns="0">
                      <a:spAutoFit/>
                    </wps:bodyPr>
                  </wps:wsp>
                </a:graphicData>
              </a:graphic>
            </wp:anchor>
          </w:drawing>
        </mc:Choice>
        <mc:Fallback>
          <w:pict>
            <v:shapetype w14:anchorId="1BF7BEF5" id="_x0000_t202" coordsize="21600,21600" o:spt="202" path="m,l,21600r21600,l21600,xe">
              <v:stroke joinstyle="miter"/>
              <v:path gradientshapeok="t" o:connecttype="rect"/>
            </v:shapetype>
            <v:shape id="Shape 2550" o:spid="_x0000_s1329" type="#_x0000_t202" style="position:absolute;margin-left:37.35pt;margin-top:23.3pt;width:190.8pt;height:6.7pt;z-index:-25134592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" filled="f" stroked="f">
              <v:textbox style="mso-fit-shape-to-text:t" inset="0,0,0,0">
                <w:txbxContent>
                  <w:p w14:paraId="351FF4DB" w14:textId="77777777" w:rsidR="00924992" w:rsidRDefault="00924992">
                    <w:pPr>
                      <w:pStyle w:val="Headerorfooter0"/>
                      <w:tabs>
                        <w:tab w:val="right" w:pos="3816"/>
                      </w:tabs>
                    </w:pPr>
                    <w:r>
                      <w:fldChar w:fldCharType="begin"/>
                    </w:r>
                    <w:r>
                      <w:instrText xml:space="preserve"> PAGE \* MERGEFORMAT </w:instrText>
                    </w:r>
                    <w:r>
                      <w:fldChar w:fldCharType="separate"/>
                    </w:r>
                    <w:r>
                      <w:rPr>
                        <w:sz w:val="16"/>
                        <w:szCs w:val="16"/>
                      </w:rPr>
                      <w:t>#</w:t>
                    </w:r>
                    <w:r>
                      <w:rPr>
                        <w:sz w:val="16"/>
                        <w:szCs w:val="16"/>
                      </w:rPr>
                      <w:fldChar w:fldCharType="end"/>
                    </w:r>
                    <w:r>
                      <w:rPr>
                        <w:sz w:val="16"/>
                        <w:szCs w:val="16"/>
                      </w:rPr>
                      <w:tab/>
                    </w:r>
                    <w:r>
                      <w:t>APÉNDICE II</w:t>
                    </w:r>
                  </w:p>
                </w:txbxContent>
              </v:textbox>
              <w10:wrap anchorx="page" anchory="page"/>
            </v:shape>
          </w:pict>
        </mc:Fallback>
      </mc:AlternateContent>
    </w:r>
    <w:r>
      <w:rPr>
        <w:noProof/>
      </w:rPr>
      <mc:AlternateContent>
        <mc:Choice Requires="wps">
          <w:drawing>
            <wp:anchor distT="0" distB="0" distL="114300" distR="114300" simplePos="0" relativeHeight="251789312" behindDoc="1" locked="0" layoutInCell="1" allowOverlap="1" wp14:anchorId="70DDED40" wp14:editId="0CE399D4">
              <wp:simplePos x="0" y="0"/>
              <wp:positionH relativeFrom="page">
                <wp:posOffset>459105</wp:posOffset>
              </wp:positionH>
              <wp:positionV relativeFrom="page">
                <wp:posOffset>419100</wp:posOffset>
              </wp:positionV>
              <wp:extent cx="4358640" cy="0"/>
              <wp:effectExtent l="0" t="0" r="0" b="0"/>
              <wp:wrapNone/>
              <wp:docPr id="2552" name="Shape 2552"/>
              <wp:cNvGraphicFramePr/>
              <a:graphic xmlns:a="http://schemas.openxmlformats.org/drawingml/2006/main">
                <a:graphicData uri="http://schemas.microsoft.com/office/word/2010/wordprocessingShape">
                  <wps:wsp>
                    <wps:cNvCnPr/>
                    <wps:spPr>
                      <a:xfrm>
                        <a:off x="0" y="0"/>
                        <a:ext cx="4358640" cy="0"/>
                      </a:xfrm>
                      <a:prstGeom prst="straightConnector1">
                        <a:avLst/>
                      </a:prstGeom>
                      <a:ln w="12700">
                        <a:solidFill/>
                      </a:ln>
                    </wps:spPr>
                    <wps:bodyPr/>
                  </wps:wsp>
                </a:graphicData>
              </a:graphic>
            </wp:anchor>
          </w:drawing>
        </mc:Choice>
        <mc:Fallback>
          <w:pict>
            <v:shapetype w14:anchorId="086CDAD2" id="_x0000_t32" coordsize="21600,21600" o:spt="32" o:oned="t" path="m,l21600,21600e" filled="f">
              <v:path arrowok="t" fillok="f" o:connecttype="none"/>
              <o:lock v:ext="edit" shapetype="t"/>
            </v:shapetype>
            <v:shape id="Shape 2552" o:spid="_x0000_s1026" type="#_x0000_t32" style="position:absolute;margin-left:36.15pt;margin-top:33pt;width:343.2pt;height:0;z-index:-251527168;visibility:visible;mso-wrap-style:square;mso-wrap-distance-left:9pt;mso-wrap-distance-top:0;mso-wrap-distance-right:9pt;mso-wrap-distance-bottom:0;mso-position-horizontal:absolute;mso-position-horizontal-relative:page;mso-position-vertical:absolute;mso-position-vertical-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" strokeweight="1pt">
              <w10:wrap anchorx="page" anchory="page"/>
            </v:shape>
          </w:pict>
        </mc:Fallback>
      </mc:AlternateContent>
    </w:r>
  </w:p>
</w:hdr>
</file>

<file path=word/header19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1F23A0" w14:textId="77777777" w:rsidR="00924992" w:rsidRDefault="00924992">
    <w:pPr>
      <w:spacing w:line="1" w:lineRule="exact"/>
    </w:pPr>
    <w:r>
      <w:rPr>
        <w:noProof/>
      </w:rPr>
      <mc:AlternateContent>
        <mc:Choice Requires="wps">
          <w:drawing>
            <wp:anchor distT="0" distB="0" distL="0" distR="0" simplePos="0" relativeHeight="251969536" behindDoc="1" locked="0" layoutInCell="1" allowOverlap="1" wp14:anchorId="12910AF2" wp14:editId="615DB0D7">
              <wp:simplePos x="0" y="0"/>
              <wp:positionH relativeFrom="page">
                <wp:posOffset>2373630</wp:posOffset>
              </wp:positionH>
              <wp:positionV relativeFrom="page">
                <wp:posOffset>295910</wp:posOffset>
              </wp:positionV>
              <wp:extent cx="2407920" cy="85090"/>
              <wp:effectExtent l="0" t="0" r="0" b="0"/>
              <wp:wrapNone/>
              <wp:docPr id="2547" name="Shape 2547"/>
              <wp:cNvGraphicFramePr/>
              <a:graphic xmlns:a="http://schemas.openxmlformats.org/drawingml/2006/main">
                <a:graphicData uri="http://schemas.microsoft.com/office/word/2010/wordprocessingShape">
                  <wps:wsp>
                    <wps:cNvSpPr txBox="1"/>
                    <wps:spPr>
                      <a:xfrm>
                        <a:off x="0" y="0"/>
                        <a:ext cx="2407920" cy="85090"/>
                      </a:xfrm>
                      <a:prstGeom prst="rect">
                        <a:avLst/>
                      </a:prstGeom>
                      <a:noFill/>
                    </wps:spPr>
                    <wps:txbx>
                      <w:txbxContent>
                        <w:p w14:paraId="1AEB3241" w14:textId="77777777" w:rsidR="00924992" w:rsidRDefault="00924992">
                          <w:pPr>
                            <w:pStyle w:val="Headerorfooter0"/>
                            <w:tabs>
                              <w:tab w:val="right" w:pos="3792"/>
                            </w:tabs>
                            <w:rPr>
                              <w:sz w:val="16"/>
                              <w:szCs w:val="16"/>
                            </w:rPr>
                          </w:pPr>
                          <w:r>
                            <w:t>APÉNDICE II</w:t>
                          </w:r>
                          <w:r>
                            <w:tab/>
                          </w:r>
                          <w:r>
                            <w:fldChar w:fldCharType="begin"/>
                          </w:r>
                          <w:r>
                            <w:instrText xml:space="preserve"> PAGE \* MERGEFORMAT </w:instrText>
                          </w:r>
                          <w:r>
                            <w:fldChar w:fldCharType="separate"/>
                          </w:r>
                          <w:r>
                            <w:rPr>
                              <w:sz w:val="16"/>
                              <w:szCs w:val="16"/>
                            </w:rPr>
                            <w:t>#</w:t>
                          </w:r>
                          <w:r>
                            <w:rPr>
                              <w:sz w:val="16"/>
                              <w:szCs w:val="16"/>
                            </w:rPr>
                            <w:fldChar w:fldCharType="end"/>
                          </w:r>
                        </w:p>
                      </w:txbxContent>
                    </wps:txbx>
                    <wps:bodyPr lIns="0" tIns="0" rIns="0" bIns="0">
                      <a:spAutoFit/>
                    </wps:bodyPr>
                  </wps:wsp>
                </a:graphicData>
              </a:graphic>
            </wp:anchor>
          </w:drawing>
        </mc:Choice>
        <mc:Fallback>
          <w:pict>
            <v:shapetype w14:anchorId="12910AF2" id="_x0000_t202" coordsize="21600,21600" o:spt="202" path="m,l,21600r21600,l21600,xe">
              <v:stroke joinstyle="miter"/>
              <v:path gradientshapeok="t" o:connecttype="rect"/>
            </v:shapetype>
            <v:shape id="Shape 2547" o:spid="_x0000_s1330" type="#_x0000_t202" style="position:absolute;margin-left:186.9pt;margin-top:23.3pt;width:189.6pt;height:6.7pt;z-index:-25134694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" filled="f" stroked="f">
              <v:textbox style="mso-fit-shape-to-text:t" inset="0,0,0,0">
                <w:txbxContent>
                  <w:p w14:paraId="1AEB3241" w14:textId="77777777" w:rsidR="00924992" w:rsidRDefault="00924992">
                    <w:pPr>
                      <w:pStyle w:val="Headerorfooter0"/>
                      <w:tabs>
                        <w:tab w:val="right" w:pos="3792"/>
                      </w:tabs>
                      <w:rPr>
                        <w:sz w:val="16"/>
                        <w:szCs w:val="16"/>
                      </w:rPr>
                    </w:pPr>
                    <w:r>
                      <w:t>APÉNDICE II</w:t>
                    </w:r>
                    <w:r>
                      <w:tab/>
                    </w:r>
                    <w:r>
                      <w:fldChar w:fldCharType="begin"/>
                    </w:r>
                    <w:r>
                      <w:instrText xml:space="preserve"> PAGE \* MERGEFORMAT </w:instrText>
                    </w:r>
                    <w:r>
                      <w:fldChar w:fldCharType="separate"/>
                    </w:r>
                    <w:r>
                      <w:rPr>
                        <w:sz w:val="16"/>
                        <w:szCs w:val="16"/>
                      </w:rPr>
                      <w:t>#</w:t>
                    </w:r>
                    <w:r>
                      <w:rPr>
                        <w:sz w:val="16"/>
                        <w:szCs w:val="16"/>
                      </w:rPr>
                      <w:fldChar w:fldCharType="end"/>
                    </w:r>
                  </w:p>
                </w:txbxContent>
              </v:textbox>
              <w10:wrap anchorx="page" anchory="page"/>
            </v:shape>
          </w:pict>
        </mc:Fallback>
      </mc:AlternateContent>
    </w:r>
    <w:r>
      <w:rPr>
        <w:noProof/>
      </w:rPr>
      <mc:AlternateContent>
        <mc:Choice Requires="wps">
          <w:drawing>
            <wp:anchor distT="0" distB="0" distL="114300" distR="114300" simplePos="0" relativeHeight="251788288" behindDoc="1" locked="0" layoutInCell="1" allowOverlap="1" wp14:anchorId="62561A85" wp14:editId="1C44482B">
              <wp:simplePos x="0" y="0"/>
              <wp:positionH relativeFrom="page">
                <wp:posOffset>459105</wp:posOffset>
              </wp:positionH>
              <wp:positionV relativeFrom="page">
                <wp:posOffset>419100</wp:posOffset>
              </wp:positionV>
              <wp:extent cx="4358640" cy="0"/>
              <wp:effectExtent l="0" t="0" r="0" b="0"/>
              <wp:wrapNone/>
              <wp:docPr id="2549" name="Shape 2549"/>
              <wp:cNvGraphicFramePr/>
              <a:graphic xmlns:a="http://schemas.openxmlformats.org/drawingml/2006/main">
                <a:graphicData uri="http://schemas.microsoft.com/office/word/2010/wordprocessingShape">
                  <wps:wsp>
                    <wps:cNvCnPr/>
                    <wps:spPr>
                      <a:xfrm>
                        <a:off x="0" y="0"/>
                        <a:ext cx="4358640" cy="0"/>
                      </a:xfrm>
                      <a:prstGeom prst="straightConnector1">
                        <a:avLst/>
                      </a:prstGeom>
                      <a:ln w="12700">
                        <a:solidFill/>
                      </a:ln>
                    </wps:spPr>
                    <wps:bodyPr/>
                  </wps:wsp>
                </a:graphicData>
              </a:graphic>
            </wp:anchor>
          </w:drawing>
        </mc:Choice>
        <mc:Fallback>
          <w:pict>
            <v:shapetype w14:anchorId="277747AD" id="_x0000_t32" coordsize="21600,21600" o:spt="32" o:oned="t" path="m,l21600,21600e" filled="f">
              <v:path arrowok="t" fillok="f" o:connecttype="none"/>
              <o:lock v:ext="edit" shapetype="t"/>
            </v:shapetype>
            <v:shape id="Shape 2549" o:spid="_x0000_s1026" type="#_x0000_t32" style="position:absolute;margin-left:36.15pt;margin-top:33pt;width:343.2pt;height:0;z-index:-251528192;visibility:visible;mso-wrap-style:square;mso-wrap-distance-left:9pt;mso-wrap-distance-top:0;mso-wrap-distance-right:9pt;mso-wrap-distance-bottom:0;mso-position-horizontal:absolute;mso-position-horizontal-relative:page;mso-position-vertical:absolute;mso-position-vertical-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" strokeweight="1pt">
              <w10:wrap anchorx="page" anchory="page"/>
            </v:shape>
          </w:pict>
        </mc:Fallback>
      </mc:AlternateContent>
    </w:r>
  </w:p>
</w:hdr>
</file>

<file path=word/header20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375AAA" w14:textId="77777777" w:rsidR="00924992" w:rsidRDefault="00924992"/>
</w:hdr>
</file>

<file path=word/header20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D612E5" w14:textId="77777777" w:rsidR="00924992" w:rsidRDefault="00924992"/>
</w:hdr>
</file>

<file path=word/header20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072F7F" w14:textId="77777777" w:rsidR="00924992" w:rsidRDefault="00924992"/>
</w:hdr>
</file>

<file path=word/header20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D33874" w14:textId="77777777" w:rsidR="00924992" w:rsidRDefault="00924992"/>
</w:hdr>
</file>

<file path=word/header20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7CA92B" w14:textId="77777777" w:rsidR="00924992" w:rsidRDefault="00924992"/>
</w:hdr>
</file>

<file path=word/header20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5427D5" w14:textId="77777777" w:rsidR="00924992" w:rsidRDefault="00924992"/>
</w:hdr>
</file>

<file path=word/header20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781E24" w14:textId="77777777" w:rsidR="00924992" w:rsidRDefault="00924992">
    <w:pPr>
      <w:spacing w:line="1" w:lineRule="exact"/>
    </w:pPr>
    <w:r>
      <w:rPr>
        <w:noProof/>
      </w:rPr>
      <mc:AlternateContent>
        <mc:Choice Requires="wps">
          <w:drawing>
            <wp:anchor distT="0" distB="0" distL="0" distR="0" simplePos="0" relativeHeight="251974656" behindDoc="1" locked="0" layoutInCell="1" allowOverlap="1" wp14:anchorId="389083D7" wp14:editId="1B1E8F79">
              <wp:simplePos x="0" y="0"/>
              <wp:positionH relativeFrom="page">
                <wp:posOffset>474345</wp:posOffset>
              </wp:positionH>
              <wp:positionV relativeFrom="page">
                <wp:posOffset>295910</wp:posOffset>
              </wp:positionV>
              <wp:extent cx="2423160" cy="85090"/>
              <wp:effectExtent l="0" t="0" r="0" b="0"/>
              <wp:wrapNone/>
              <wp:docPr id="2570" name="Shape 2570"/>
              <wp:cNvGraphicFramePr/>
              <a:graphic xmlns:a="http://schemas.openxmlformats.org/drawingml/2006/main">
                <a:graphicData uri="http://schemas.microsoft.com/office/word/2010/wordprocessingShape">
                  <wps:wsp>
                    <wps:cNvSpPr txBox="1"/>
                    <wps:spPr>
                      <a:xfrm>
                        <a:off x="0" y="0"/>
                        <a:ext cx="2423160" cy="85090"/>
                      </a:xfrm>
                      <a:prstGeom prst="rect">
                        <a:avLst/>
                      </a:prstGeom>
                      <a:noFill/>
                    </wps:spPr>
                    <wps:txbx>
                      <w:txbxContent>
                        <w:p w14:paraId="256A6669" w14:textId="77777777" w:rsidR="00924992" w:rsidRDefault="00924992">
                          <w:pPr>
                            <w:pStyle w:val="Headerorfooter0"/>
                            <w:tabs>
                              <w:tab w:val="right" w:pos="3816"/>
                            </w:tabs>
                          </w:pPr>
                          <w:r>
                            <w:fldChar w:fldCharType="begin"/>
                          </w:r>
                          <w:r>
                            <w:instrText xml:space="preserve"> PAGE \* MERGEFORMAT </w:instrText>
                          </w:r>
                          <w:r>
                            <w:fldChar w:fldCharType="separate"/>
                          </w:r>
                          <w:r>
                            <w:rPr>
                              <w:sz w:val="16"/>
                              <w:szCs w:val="16"/>
                            </w:rPr>
                            <w:t>#</w:t>
                          </w:r>
                          <w:r>
                            <w:rPr>
                              <w:sz w:val="16"/>
                              <w:szCs w:val="16"/>
                            </w:rPr>
                            <w:fldChar w:fldCharType="end"/>
                          </w:r>
                          <w:r>
                            <w:rPr>
                              <w:sz w:val="16"/>
                              <w:szCs w:val="16"/>
                            </w:rPr>
                            <w:tab/>
                          </w:r>
                          <w:r>
                            <w:t>APÉNDICE II</w:t>
                          </w:r>
                        </w:p>
                      </w:txbxContent>
                    </wps:txbx>
                    <wps:bodyPr lIns="0" tIns="0" rIns="0" bIns="0">
                      <a:spAutoFit/>
                    </wps:bodyPr>
                  </wps:wsp>
                </a:graphicData>
              </a:graphic>
            </wp:anchor>
          </w:drawing>
        </mc:Choice>
        <mc:Fallback>
          <w:pict>
            <v:shapetype w14:anchorId="389083D7" id="_x0000_t202" coordsize="21600,21600" o:spt="202" path="m,l,21600r21600,l21600,xe">
              <v:stroke joinstyle="miter"/>
              <v:path gradientshapeok="t" o:connecttype="rect"/>
            </v:shapetype>
            <v:shape id="Shape 2570" o:spid="_x0000_s1333" type="#_x0000_t202" style="position:absolute;margin-left:37.35pt;margin-top:23.3pt;width:190.8pt;height:6.7pt;z-index:-25134182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" filled="f" stroked="f">
              <v:textbox style="mso-fit-shape-to-text:t" inset="0,0,0,0">
                <w:txbxContent>
                  <w:p w14:paraId="256A6669" w14:textId="77777777" w:rsidR="00924992" w:rsidRDefault="00924992">
                    <w:pPr>
                      <w:pStyle w:val="Headerorfooter0"/>
                      <w:tabs>
                        <w:tab w:val="right" w:pos="3816"/>
                      </w:tabs>
                    </w:pPr>
                    <w:r>
                      <w:fldChar w:fldCharType="begin"/>
                    </w:r>
                    <w:r>
                      <w:instrText xml:space="preserve"> PAGE \* MERGEFORMAT </w:instrText>
                    </w:r>
                    <w:r>
                      <w:fldChar w:fldCharType="separate"/>
                    </w:r>
                    <w:r>
                      <w:rPr>
                        <w:sz w:val="16"/>
                        <w:szCs w:val="16"/>
                      </w:rPr>
                      <w:t>#</w:t>
                    </w:r>
                    <w:r>
                      <w:rPr>
                        <w:sz w:val="16"/>
                        <w:szCs w:val="16"/>
                      </w:rPr>
                      <w:fldChar w:fldCharType="end"/>
                    </w:r>
                    <w:r>
                      <w:rPr>
                        <w:sz w:val="16"/>
                        <w:szCs w:val="16"/>
                      </w:rPr>
                      <w:tab/>
                    </w:r>
                    <w:r>
                      <w:t>APÉNDICE II</w:t>
                    </w:r>
                  </w:p>
                </w:txbxContent>
              </v:textbox>
              <w10:wrap anchorx="page" anchory="page"/>
            </v:shape>
          </w:pict>
        </mc:Fallback>
      </mc:AlternateContent>
    </w:r>
    <w:r>
      <w:rPr>
        <w:noProof/>
      </w:rPr>
      <mc:AlternateContent>
        <mc:Choice Requires="wps">
          <w:drawing>
            <wp:anchor distT="0" distB="0" distL="114300" distR="114300" simplePos="0" relativeHeight="251791360" behindDoc="1" locked="0" layoutInCell="1" allowOverlap="1" wp14:anchorId="7E72C98E" wp14:editId="14AB3A0F">
              <wp:simplePos x="0" y="0"/>
              <wp:positionH relativeFrom="page">
                <wp:posOffset>459105</wp:posOffset>
              </wp:positionH>
              <wp:positionV relativeFrom="page">
                <wp:posOffset>419100</wp:posOffset>
              </wp:positionV>
              <wp:extent cx="4358640" cy="0"/>
              <wp:effectExtent l="0" t="0" r="0" b="0"/>
              <wp:wrapNone/>
              <wp:docPr id="2572" name="Shape 2572"/>
              <wp:cNvGraphicFramePr/>
              <a:graphic xmlns:a="http://schemas.openxmlformats.org/drawingml/2006/main">
                <a:graphicData uri="http://schemas.microsoft.com/office/word/2010/wordprocessingShape">
                  <wps:wsp>
                    <wps:cNvCnPr/>
                    <wps:spPr>
                      <a:xfrm>
                        <a:off x="0" y="0"/>
                        <a:ext cx="4358640" cy="0"/>
                      </a:xfrm>
                      <a:prstGeom prst="straightConnector1">
                        <a:avLst/>
                      </a:prstGeom>
                      <a:ln w="12700">
                        <a:solidFill/>
                      </a:ln>
                    </wps:spPr>
                    <wps:bodyPr/>
                  </wps:wsp>
                </a:graphicData>
              </a:graphic>
            </wp:anchor>
          </w:drawing>
        </mc:Choice>
        <mc:Fallback>
          <w:pict>
            <v:shapetype w14:anchorId="1A09458C" id="_x0000_t32" coordsize="21600,21600" o:spt="32" o:oned="t" path="m,l21600,21600e" filled="f">
              <v:path arrowok="t" fillok="f" o:connecttype="none"/>
              <o:lock v:ext="edit" shapetype="t"/>
            </v:shapetype>
            <v:shape id="Shape 2572" o:spid="_x0000_s1026" type="#_x0000_t32" style="position:absolute;margin-left:36.15pt;margin-top:33pt;width:343.2pt;height:0;z-index:-251525120;visibility:visible;mso-wrap-style:square;mso-wrap-distance-left:9pt;mso-wrap-distance-top:0;mso-wrap-distance-right:9pt;mso-wrap-distance-bottom:0;mso-position-horizontal:absolute;mso-position-horizontal-relative:page;mso-position-vertical:absolute;mso-position-vertical-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" strokeweight="1pt">
              <w10:wrap anchorx="page" anchory="page"/>
            </v:shape>
          </w:pict>
        </mc:Fallback>
      </mc:AlternateContent>
    </w:r>
  </w:p>
</w:hdr>
</file>

<file path=word/header20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773D2C" w14:textId="77777777" w:rsidR="00924992" w:rsidRDefault="00924992">
    <w:pPr>
      <w:spacing w:line="1" w:lineRule="exact"/>
    </w:pPr>
    <w:r>
      <w:rPr>
        <w:noProof/>
      </w:rPr>
      <mc:AlternateContent>
        <mc:Choice Requires="wps">
          <w:drawing>
            <wp:anchor distT="0" distB="0" distL="0" distR="0" simplePos="0" relativeHeight="251973632" behindDoc="1" locked="0" layoutInCell="1" allowOverlap="1" wp14:anchorId="07DF1377" wp14:editId="13FA70AF">
              <wp:simplePos x="0" y="0"/>
              <wp:positionH relativeFrom="page">
                <wp:posOffset>474345</wp:posOffset>
              </wp:positionH>
              <wp:positionV relativeFrom="page">
                <wp:posOffset>295910</wp:posOffset>
              </wp:positionV>
              <wp:extent cx="2423160" cy="85090"/>
              <wp:effectExtent l="0" t="0" r="0" b="0"/>
              <wp:wrapNone/>
              <wp:docPr id="2567" name="Shape 2567"/>
              <wp:cNvGraphicFramePr/>
              <a:graphic xmlns:a="http://schemas.openxmlformats.org/drawingml/2006/main">
                <a:graphicData uri="http://schemas.microsoft.com/office/word/2010/wordprocessingShape">
                  <wps:wsp>
                    <wps:cNvSpPr txBox="1"/>
                    <wps:spPr>
                      <a:xfrm>
                        <a:off x="0" y="0"/>
                        <a:ext cx="2423160" cy="85090"/>
                      </a:xfrm>
                      <a:prstGeom prst="rect">
                        <a:avLst/>
                      </a:prstGeom>
                      <a:noFill/>
                    </wps:spPr>
                    <wps:txbx>
                      <w:txbxContent>
                        <w:p w14:paraId="3A4E6EEF" w14:textId="77777777" w:rsidR="00924992" w:rsidRDefault="00924992">
                          <w:pPr>
                            <w:pStyle w:val="Headerorfooter0"/>
                            <w:tabs>
                              <w:tab w:val="right" w:pos="3816"/>
                            </w:tabs>
                          </w:pPr>
                          <w:r>
                            <w:fldChar w:fldCharType="begin"/>
                          </w:r>
                          <w:r>
                            <w:instrText xml:space="preserve"> PAGE \* MERGEFORMAT </w:instrText>
                          </w:r>
                          <w:r>
                            <w:fldChar w:fldCharType="separate"/>
                          </w:r>
                          <w:r>
                            <w:rPr>
                              <w:sz w:val="16"/>
                              <w:szCs w:val="16"/>
                            </w:rPr>
                            <w:t>#</w:t>
                          </w:r>
                          <w:r>
                            <w:rPr>
                              <w:sz w:val="16"/>
                              <w:szCs w:val="16"/>
                            </w:rPr>
                            <w:fldChar w:fldCharType="end"/>
                          </w:r>
                          <w:r>
                            <w:rPr>
                              <w:sz w:val="16"/>
                              <w:szCs w:val="16"/>
                            </w:rPr>
                            <w:tab/>
                          </w:r>
                          <w:r>
                            <w:t>APÉNDICE II</w:t>
                          </w:r>
                        </w:p>
                      </w:txbxContent>
                    </wps:txbx>
                    <wps:bodyPr lIns="0" tIns="0" rIns="0" bIns="0">
                      <a:spAutoFit/>
                    </wps:bodyPr>
                  </wps:wsp>
                </a:graphicData>
              </a:graphic>
            </wp:anchor>
          </w:drawing>
        </mc:Choice>
        <mc:Fallback>
          <w:pict>
            <v:shapetype w14:anchorId="07DF1377" id="_x0000_t202" coordsize="21600,21600" o:spt="202" path="m,l,21600r21600,l21600,xe">
              <v:stroke joinstyle="miter"/>
              <v:path gradientshapeok="t" o:connecttype="rect"/>
            </v:shapetype>
            <v:shape id="Shape 2567" o:spid="_x0000_s1334" type="#_x0000_t202" style="position:absolute;margin-left:37.35pt;margin-top:23.3pt;width:190.8pt;height:6.7pt;z-index:-25134284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" filled="f" stroked="f">
              <v:textbox style="mso-fit-shape-to-text:t" inset="0,0,0,0">
                <w:txbxContent>
                  <w:p w14:paraId="3A4E6EEF" w14:textId="77777777" w:rsidR="00924992" w:rsidRDefault="00924992">
                    <w:pPr>
                      <w:pStyle w:val="Headerorfooter0"/>
                      <w:tabs>
                        <w:tab w:val="right" w:pos="3816"/>
                      </w:tabs>
                    </w:pPr>
                    <w:r>
                      <w:fldChar w:fldCharType="begin"/>
                    </w:r>
                    <w:r>
                      <w:instrText xml:space="preserve"> PAGE \* MERGEFORMAT </w:instrText>
                    </w:r>
                    <w:r>
                      <w:fldChar w:fldCharType="separate"/>
                    </w:r>
                    <w:r>
                      <w:rPr>
                        <w:sz w:val="16"/>
                        <w:szCs w:val="16"/>
                      </w:rPr>
                      <w:t>#</w:t>
                    </w:r>
                    <w:r>
                      <w:rPr>
                        <w:sz w:val="16"/>
                        <w:szCs w:val="16"/>
                      </w:rPr>
                      <w:fldChar w:fldCharType="end"/>
                    </w:r>
                    <w:r>
                      <w:rPr>
                        <w:sz w:val="16"/>
                        <w:szCs w:val="16"/>
                      </w:rPr>
                      <w:tab/>
                    </w:r>
                    <w:r>
                      <w:t>APÉNDICE II</w:t>
                    </w:r>
                  </w:p>
                </w:txbxContent>
              </v:textbox>
              <w10:wrap anchorx="page" anchory="page"/>
            </v:shape>
          </w:pict>
        </mc:Fallback>
      </mc:AlternateContent>
    </w:r>
    <w:r>
      <w:rPr>
        <w:noProof/>
      </w:rPr>
      <mc:AlternateContent>
        <mc:Choice Requires="wps">
          <w:drawing>
            <wp:anchor distT="0" distB="0" distL="114300" distR="114300" simplePos="0" relativeHeight="251790336" behindDoc="1" locked="0" layoutInCell="1" allowOverlap="1" wp14:anchorId="09C1A2C0" wp14:editId="648D4390">
              <wp:simplePos x="0" y="0"/>
              <wp:positionH relativeFrom="page">
                <wp:posOffset>459105</wp:posOffset>
              </wp:positionH>
              <wp:positionV relativeFrom="page">
                <wp:posOffset>419100</wp:posOffset>
              </wp:positionV>
              <wp:extent cx="4358640" cy="0"/>
              <wp:effectExtent l="0" t="0" r="0" b="0"/>
              <wp:wrapNone/>
              <wp:docPr id="2569" name="Shape 2569"/>
              <wp:cNvGraphicFramePr/>
              <a:graphic xmlns:a="http://schemas.openxmlformats.org/drawingml/2006/main">
                <a:graphicData uri="http://schemas.microsoft.com/office/word/2010/wordprocessingShape">
                  <wps:wsp>
                    <wps:cNvCnPr/>
                    <wps:spPr>
                      <a:xfrm>
                        <a:off x="0" y="0"/>
                        <a:ext cx="4358640" cy="0"/>
                      </a:xfrm>
                      <a:prstGeom prst="straightConnector1">
                        <a:avLst/>
                      </a:prstGeom>
                      <a:ln w="12700">
                        <a:solidFill/>
                      </a:ln>
                    </wps:spPr>
                    <wps:bodyPr/>
                  </wps:wsp>
                </a:graphicData>
              </a:graphic>
            </wp:anchor>
          </w:drawing>
        </mc:Choice>
        <mc:Fallback>
          <w:pict>
            <v:shapetype w14:anchorId="7F744B55" id="_x0000_t32" coordsize="21600,21600" o:spt="32" o:oned="t" path="m,l21600,21600e" filled="f">
              <v:path arrowok="t" fillok="f" o:connecttype="none"/>
              <o:lock v:ext="edit" shapetype="t"/>
            </v:shapetype>
            <v:shape id="Shape 2569" o:spid="_x0000_s1026" type="#_x0000_t32" style="position:absolute;margin-left:36.15pt;margin-top:33pt;width:343.2pt;height:0;z-index:-251526144;visibility:visible;mso-wrap-style:square;mso-wrap-distance-left:9pt;mso-wrap-distance-top:0;mso-wrap-distance-right:9pt;mso-wrap-distance-bottom:0;mso-position-horizontal:absolute;mso-position-horizontal-relative:page;mso-position-vertical:absolute;mso-position-vertical-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" strokeweight="1pt">
              <w10:wrap anchorx="page" anchory="page"/>
            </v:shape>
          </w:pict>
        </mc:Fallback>
      </mc:AlternateContent>
    </w:r>
  </w:p>
</w:hdr>
</file>

<file path=word/header20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250CC2" w14:textId="77777777" w:rsidR="00924992" w:rsidRDefault="00924992"/>
</w:hdr>
</file>

<file path=word/header20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9E1719" w14:textId="77777777" w:rsidR="00924992" w:rsidRDefault="00924992"/>
</w:hdr>
</file>

<file path=word/header2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73DFAD" w14:textId="77777777" w:rsidR="00924992" w:rsidRDefault="00924992"/>
</w:hdr>
</file>

<file path=word/header2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BA2811" w14:textId="77777777" w:rsidR="00924992" w:rsidRDefault="00924992"/>
</w:hdr>
</file>

<file path=word/header2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31D839" w14:textId="77777777" w:rsidR="00924992" w:rsidRDefault="00924992"/>
</w:hdr>
</file>

<file path=word/header2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E07B6E" w14:textId="77777777" w:rsidR="00924992" w:rsidRDefault="00924992"/>
</w:hdr>
</file>

<file path=word/header2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1B5475" w14:textId="77777777" w:rsidR="00924992" w:rsidRDefault="00924992">
    <w:pPr>
      <w:spacing w:line="1" w:lineRule="exact"/>
    </w:pPr>
    <w:r>
      <w:rPr>
        <w:noProof/>
      </w:rPr>
      <mc:AlternateContent>
        <mc:Choice Requires="wps">
          <w:drawing>
            <wp:anchor distT="0" distB="0" distL="0" distR="0" simplePos="0" relativeHeight="251978752" behindDoc="1" locked="0" layoutInCell="1" allowOverlap="1" wp14:anchorId="6D3FFA40" wp14:editId="4A7068A1">
              <wp:simplePos x="0" y="0"/>
              <wp:positionH relativeFrom="page">
                <wp:posOffset>2633345</wp:posOffset>
              </wp:positionH>
              <wp:positionV relativeFrom="page">
                <wp:posOffset>295910</wp:posOffset>
              </wp:positionV>
              <wp:extent cx="2426335" cy="85090"/>
              <wp:effectExtent l="0" t="0" r="0" b="0"/>
              <wp:wrapNone/>
              <wp:docPr id="2606" name="Shape 2606"/>
              <wp:cNvGraphicFramePr/>
              <a:graphic xmlns:a="http://schemas.openxmlformats.org/drawingml/2006/main">
                <a:graphicData uri="http://schemas.microsoft.com/office/word/2010/wordprocessingShape">
                  <wps:wsp>
                    <wps:cNvSpPr txBox="1"/>
                    <wps:spPr>
                      <a:xfrm>
                        <a:off x="0" y="0"/>
                        <a:ext cx="2426335" cy="85090"/>
                      </a:xfrm>
                      <a:prstGeom prst="rect">
                        <a:avLst/>
                      </a:prstGeom>
                      <a:noFill/>
                    </wps:spPr>
                    <wps:txbx>
                      <w:txbxContent>
                        <w:p w14:paraId="11EEE27E" w14:textId="77777777" w:rsidR="00924992" w:rsidRDefault="00924992">
                          <w:pPr>
                            <w:pStyle w:val="Headerorfooter0"/>
                            <w:tabs>
                              <w:tab w:val="right" w:pos="3821"/>
                            </w:tabs>
                            <w:rPr>
                              <w:sz w:val="16"/>
                              <w:szCs w:val="16"/>
                            </w:rPr>
                          </w:pPr>
                          <w:r>
                            <w:t>APÉNDICE V</w:t>
                          </w:r>
                          <w:r>
                            <w:tab/>
                          </w:r>
                          <w:r>
                            <w:fldChar w:fldCharType="begin"/>
                          </w:r>
                          <w:r>
                            <w:instrText xml:space="preserve"> PAGE \* MERGEFORMAT </w:instrText>
                          </w:r>
                          <w:r>
                            <w:fldChar w:fldCharType="separate"/>
                          </w:r>
                          <w:r>
                            <w:rPr>
                              <w:sz w:val="16"/>
                              <w:szCs w:val="16"/>
                            </w:rPr>
                            <w:t>#</w:t>
                          </w:r>
                          <w:r>
                            <w:rPr>
                              <w:sz w:val="16"/>
                              <w:szCs w:val="16"/>
                            </w:rPr>
                            <w:fldChar w:fldCharType="end"/>
                          </w:r>
                        </w:p>
                      </w:txbxContent>
                    </wps:txbx>
                    <wps:bodyPr lIns="0" tIns="0" rIns="0" bIns="0">
                      <a:spAutoFit/>
                    </wps:bodyPr>
                  </wps:wsp>
                </a:graphicData>
              </a:graphic>
            </wp:anchor>
          </w:drawing>
        </mc:Choice>
        <mc:Fallback>
          <w:pict>
            <v:shapetype w14:anchorId="6D3FFA40" id="_x0000_t202" coordsize="21600,21600" o:spt="202" path="m,l,21600r21600,l21600,xe">
              <v:stroke joinstyle="miter"/>
              <v:path gradientshapeok="t" o:connecttype="rect"/>
            </v:shapetype>
            <v:shape id="Shape 2606" o:spid="_x0000_s1337" type="#_x0000_t202" style="position:absolute;margin-left:207.35pt;margin-top:23.3pt;width:191.05pt;height:6.7pt;z-index:-25133772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" filled="f" stroked="f">
              <v:textbox style="mso-fit-shape-to-text:t" inset="0,0,0,0">
                <w:txbxContent>
                  <w:p w14:paraId="11EEE27E" w14:textId="77777777" w:rsidR="00924992" w:rsidRDefault="00924992">
                    <w:pPr>
                      <w:pStyle w:val="Headerorfooter0"/>
                      <w:tabs>
                        <w:tab w:val="right" w:pos="3821"/>
                      </w:tabs>
                      <w:rPr>
                        <w:sz w:val="16"/>
                        <w:szCs w:val="16"/>
                      </w:rPr>
                    </w:pPr>
                    <w:r>
                      <w:t>APÉNDICE V</w:t>
                    </w:r>
                    <w:r>
                      <w:tab/>
                    </w:r>
                    <w:r>
                      <w:fldChar w:fldCharType="begin"/>
                    </w:r>
                    <w:r>
                      <w:instrText xml:space="preserve"> PAGE \* MERGEFORMAT </w:instrText>
                    </w:r>
                    <w:r>
                      <w:fldChar w:fldCharType="separate"/>
                    </w:r>
                    <w:r>
                      <w:rPr>
                        <w:sz w:val="16"/>
                        <w:szCs w:val="16"/>
                      </w:rPr>
                      <w:t>#</w:t>
                    </w:r>
                    <w:r>
                      <w:rPr>
                        <w:sz w:val="16"/>
                        <w:szCs w:val="16"/>
                      </w:rPr>
                      <w:fldChar w:fldCharType="end"/>
                    </w:r>
                  </w:p>
                </w:txbxContent>
              </v:textbox>
              <w10:wrap anchorx="page" anchory="page"/>
            </v:shape>
          </w:pict>
        </mc:Fallback>
      </mc:AlternateContent>
    </w:r>
    <w:r>
      <w:rPr>
        <w:noProof/>
      </w:rPr>
      <mc:AlternateContent>
        <mc:Choice Requires="wps">
          <w:drawing>
            <wp:anchor distT="0" distB="0" distL="114300" distR="114300" simplePos="0" relativeHeight="251793408" behindDoc="1" locked="0" layoutInCell="1" allowOverlap="1" wp14:anchorId="556ABA3C" wp14:editId="7A777027">
              <wp:simplePos x="0" y="0"/>
              <wp:positionH relativeFrom="page">
                <wp:posOffset>722630</wp:posOffset>
              </wp:positionH>
              <wp:positionV relativeFrom="page">
                <wp:posOffset>419100</wp:posOffset>
              </wp:positionV>
              <wp:extent cx="4358640" cy="0"/>
              <wp:effectExtent l="0" t="0" r="0" b="0"/>
              <wp:wrapNone/>
              <wp:docPr id="2608" name="Shape 2608"/>
              <wp:cNvGraphicFramePr/>
              <a:graphic xmlns:a="http://schemas.openxmlformats.org/drawingml/2006/main">
                <a:graphicData uri="http://schemas.microsoft.com/office/word/2010/wordprocessingShape">
                  <wps:wsp>
                    <wps:cNvCnPr/>
                    <wps:spPr>
                      <a:xfrm>
                        <a:off x="0" y="0"/>
                        <a:ext cx="4358640" cy="0"/>
                      </a:xfrm>
                      <a:prstGeom prst="straightConnector1">
                        <a:avLst/>
                      </a:prstGeom>
                      <a:ln w="12700">
                        <a:solidFill/>
                      </a:ln>
                    </wps:spPr>
                    <wps:bodyPr/>
                  </wps:wsp>
                </a:graphicData>
              </a:graphic>
            </wp:anchor>
          </w:drawing>
        </mc:Choice>
        <mc:Fallback>
          <w:pict>
            <v:shapetype w14:anchorId="4DEF1E4B" id="_x0000_t32" coordsize="21600,21600" o:spt="32" o:oned="t" path="m,l21600,21600e" filled="f">
              <v:path arrowok="t" fillok="f" o:connecttype="none"/>
              <o:lock v:ext="edit" shapetype="t"/>
            </v:shapetype>
            <v:shape id="Shape 2608" o:spid="_x0000_s1026" type="#_x0000_t32" style="position:absolute;margin-left:56.9pt;margin-top:33pt;width:343.2pt;height:0;z-index:-251523072;visibility:visible;mso-wrap-style:square;mso-wrap-distance-left:9pt;mso-wrap-distance-top:0;mso-wrap-distance-right:9pt;mso-wrap-distance-bottom:0;mso-position-horizontal:absolute;mso-position-horizontal-relative:page;mso-position-vertical:absolute;mso-position-vertical-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" strokeweight="1pt">
              <w10:wrap anchorx="page" anchory="page"/>
            </v:shape>
          </w:pict>
        </mc:Fallback>
      </mc:AlternateContent>
    </w:r>
  </w:p>
</w:hdr>
</file>

<file path=word/header21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3C2C48" w14:textId="77777777" w:rsidR="00924992" w:rsidRDefault="00924992">
    <w:pPr>
      <w:spacing w:line="1" w:lineRule="exact"/>
    </w:pPr>
    <w:r>
      <w:rPr>
        <w:noProof/>
      </w:rPr>
      <mc:AlternateContent>
        <mc:Choice Requires="wps">
          <w:drawing>
            <wp:anchor distT="0" distB="0" distL="0" distR="0" simplePos="0" relativeHeight="251977728" behindDoc="1" locked="0" layoutInCell="1" allowOverlap="1" wp14:anchorId="531678A2" wp14:editId="201ED16B">
              <wp:simplePos x="0" y="0"/>
              <wp:positionH relativeFrom="page">
                <wp:posOffset>2633345</wp:posOffset>
              </wp:positionH>
              <wp:positionV relativeFrom="page">
                <wp:posOffset>295910</wp:posOffset>
              </wp:positionV>
              <wp:extent cx="2426335" cy="85090"/>
              <wp:effectExtent l="0" t="0" r="0" b="0"/>
              <wp:wrapNone/>
              <wp:docPr id="2603" name="Shape 2603"/>
              <wp:cNvGraphicFramePr/>
              <a:graphic xmlns:a="http://schemas.openxmlformats.org/drawingml/2006/main">
                <a:graphicData uri="http://schemas.microsoft.com/office/word/2010/wordprocessingShape">
                  <wps:wsp>
                    <wps:cNvSpPr txBox="1"/>
                    <wps:spPr>
                      <a:xfrm>
                        <a:off x="0" y="0"/>
                        <a:ext cx="2426335" cy="85090"/>
                      </a:xfrm>
                      <a:prstGeom prst="rect">
                        <a:avLst/>
                      </a:prstGeom>
                      <a:noFill/>
                    </wps:spPr>
                    <wps:txbx>
                      <w:txbxContent>
                        <w:p w14:paraId="3713C508" w14:textId="77777777" w:rsidR="00924992" w:rsidRDefault="00924992">
                          <w:pPr>
                            <w:pStyle w:val="Headerorfooter0"/>
                            <w:tabs>
                              <w:tab w:val="right" w:pos="3821"/>
                            </w:tabs>
                            <w:rPr>
                              <w:sz w:val="16"/>
                              <w:szCs w:val="16"/>
                            </w:rPr>
                          </w:pPr>
                          <w:r>
                            <w:t>APÉNDICE V</w:t>
                          </w:r>
                          <w:r>
                            <w:tab/>
                          </w:r>
                          <w:r>
                            <w:fldChar w:fldCharType="begin"/>
                          </w:r>
                          <w:r>
                            <w:instrText xml:space="preserve"> PAGE \* MERGEFORMAT </w:instrText>
                          </w:r>
                          <w:r>
                            <w:fldChar w:fldCharType="separate"/>
                          </w:r>
                          <w:r>
                            <w:rPr>
                              <w:sz w:val="16"/>
                              <w:szCs w:val="16"/>
                            </w:rPr>
                            <w:t>#</w:t>
                          </w:r>
                          <w:r>
                            <w:rPr>
                              <w:sz w:val="16"/>
                              <w:szCs w:val="16"/>
                            </w:rPr>
                            <w:fldChar w:fldCharType="end"/>
                          </w:r>
                        </w:p>
                      </w:txbxContent>
                    </wps:txbx>
                    <wps:bodyPr lIns="0" tIns="0" rIns="0" bIns="0">
                      <a:spAutoFit/>
                    </wps:bodyPr>
                  </wps:wsp>
                </a:graphicData>
              </a:graphic>
            </wp:anchor>
          </w:drawing>
        </mc:Choice>
        <mc:Fallback>
          <w:pict>
            <v:shapetype w14:anchorId="531678A2" id="_x0000_t202" coordsize="21600,21600" o:spt="202" path="m,l,21600r21600,l21600,xe">
              <v:stroke joinstyle="miter"/>
              <v:path gradientshapeok="t" o:connecttype="rect"/>
            </v:shapetype>
            <v:shape id="Shape 2603" o:spid="_x0000_s1338" type="#_x0000_t202" style="position:absolute;margin-left:207.35pt;margin-top:23.3pt;width:191.05pt;height:6.7pt;z-index:-25133875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" filled="f" stroked="f">
              <v:textbox style="mso-fit-shape-to-text:t" inset="0,0,0,0">
                <w:txbxContent>
                  <w:p w14:paraId="3713C508" w14:textId="77777777" w:rsidR="00924992" w:rsidRDefault="00924992">
                    <w:pPr>
                      <w:pStyle w:val="Headerorfooter0"/>
                      <w:tabs>
                        <w:tab w:val="right" w:pos="3821"/>
                      </w:tabs>
                      <w:rPr>
                        <w:sz w:val="16"/>
                        <w:szCs w:val="16"/>
                      </w:rPr>
                    </w:pPr>
                    <w:r>
                      <w:t>APÉNDICE V</w:t>
                    </w:r>
                    <w:r>
                      <w:tab/>
                    </w:r>
                    <w:r>
                      <w:fldChar w:fldCharType="begin"/>
                    </w:r>
                    <w:r>
                      <w:instrText xml:space="preserve"> PAGE \* MERGEFORMAT </w:instrText>
                    </w:r>
                    <w:r>
                      <w:fldChar w:fldCharType="separate"/>
                    </w:r>
                    <w:r>
                      <w:rPr>
                        <w:sz w:val="16"/>
                        <w:szCs w:val="16"/>
                      </w:rPr>
                      <w:t>#</w:t>
                    </w:r>
                    <w:r>
                      <w:rPr>
                        <w:sz w:val="16"/>
                        <w:szCs w:val="16"/>
                      </w:rPr>
                      <w:fldChar w:fldCharType="end"/>
                    </w:r>
                  </w:p>
                </w:txbxContent>
              </v:textbox>
              <w10:wrap anchorx="page" anchory="page"/>
            </v:shape>
          </w:pict>
        </mc:Fallback>
      </mc:AlternateContent>
    </w:r>
    <w:r>
      <w:rPr>
        <w:noProof/>
      </w:rPr>
      <mc:AlternateContent>
        <mc:Choice Requires="wps">
          <w:drawing>
            <wp:anchor distT="0" distB="0" distL="114300" distR="114300" simplePos="0" relativeHeight="251792384" behindDoc="1" locked="0" layoutInCell="1" allowOverlap="1" wp14:anchorId="5954C54B" wp14:editId="2421BCC4">
              <wp:simplePos x="0" y="0"/>
              <wp:positionH relativeFrom="page">
                <wp:posOffset>722630</wp:posOffset>
              </wp:positionH>
              <wp:positionV relativeFrom="page">
                <wp:posOffset>419100</wp:posOffset>
              </wp:positionV>
              <wp:extent cx="4358640" cy="0"/>
              <wp:effectExtent l="0" t="0" r="0" b="0"/>
              <wp:wrapNone/>
              <wp:docPr id="2605" name="Shape 2605"/>
              <wp:cNvGraphicFramePr/>
              <a:graphic xmlns:a="http://schemas.openxmlformats.org/drawingml/2006/main">
                <a:graphicData uri="http://schemas.microsoft.com/office/word/2010/wordprocessingShape">
                  <wps:wsp>
                    <wps:cNvCnPr/>
                    <wps:spPr>
                      <a:xfrm>
                        <a:off x="0" y="0"/>
                        <a:ext cx="4358640" cy="0"/>
                      </a:xfrm>
                      <a:prstGeom prst="straightConnector1">
                        <a:avLst/>
                      </a:prstGeom>
                      <a:ln w="12700">
                        <a:solidFill/>
                      </a:ln>
                    </wps:spPr>
                    <wps:bodyPr/>
                  </wps:wsp>
                </a:graphicData>
              </a:graphic>
            </wp:anchor>
          </w:drawing>
        </mc:Choice>
        <mc:Fallback>
          <w:pict>
            <v:shapetype w14:anchorId="0190CB05" id="_x0000_t32" coordsize="21600,21600" o:spt="32" o:oned="t" path="m,l21600,21600e" filled="f">
              <v:path arrowok="t" fillok="f" o:connecttype="none"/>
              <o:lock v:ext="edit" shapetype="t"/>
            </v:shapetype>
            <v:shape id="Shape 2605" o:spid="_x0000_s1026" type="#_x0000_t32" style="position:absolute;margin-left:56.9pt;margin-top:33pt;width:343.2pt;height:0;z-index:-251524096;visibility:visible;mso-wrap-style:square;mso-wrap-distance-left:9pt;mso-wrap-distance-top:0;mso-wrap-distance-right:9pt;mso-wrap-distance-bottom:0;mso-position-horizontal:absolute;mso-position-horizontal-relative:page;mso-position-vertical:absolute;mso-position-vertical-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" strokeweight="1pt">
              <w10:wrap anchorx="page" anchory="page"/>
            </v:shape>
          </w:pict>
        </mc:Fallback>
      </mc:AlternateContent>
    </w:r>
  </w:p>
</w:hdr>
</file>

<file path=word/header21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4139CA" w14:textId="77777777" w:rsidR="00924992" w:rsidRDefault="00924992">
    <w:pPr>
      <w:spacing w:line="1" w:lineRule="exact"/>
    </w:pPr>
    <w:r>
      <w:rPr>
        <w:noProof/>
      </w:rPr>
      <mc:AlternateContent>
        <mc:Choice Requires="wps">
          <w:drawing>
            <wp:anchor distT="0" distB="0" distL="0" distR="0" simplePos="0" relativeHeight="251980800" behindDoc="1" locked="0" layoutInCell="1" allowOverlap="1" wp14:anchorId="3D5381F8" wp14:editId="47ADEDF8">
              <wp:simplePos x="0" y="0"/>
              <wp:positionH relativeFrom="page">
                <wp:posOffset>480695</wp:posOffset>
              </wp:positionH>
              <wp:positionV relativeFrom="page">
                <wp:posOffset>295910</wp:posOffset>
              </wp:positionV>
              <wp:extent cx="2450465" cy="85090"/>
              <wp:effectExtent l="0" t="0" r="0" b="0"/>
              <wp:wrapNone/>
              <wp:docPr id="2612" name="Shape 2612"/>
              <wp:cNvGraphicFramePr/>
              <a:graphic xmlns:a="http://schemas.openxmlformats.org/drawingml/2006/main">
                <a:graphicData uri="http://schemas.microsoft.com/office/word/2010/wordprocessingShape">
                  <wps:wsp>
                    <wps:cNvSpPr txBox="1"/>
                    <wps:spPr>
                      <a:xfrm>
                        <a:off x="0" y="0"/>
                        <a:ext cx="2450465" cy="85090"/>
                      </a:xfrm>
                      <a:prstGeom prst="rect">
                        <a:avLst/>
                      </a:prstGeom>
                      <a:noFill/>
                    </wps:spPr>
                    <wps:txbx>
                      <w:txbxContent>
                        <w:p w14:paraId="56DD1BBD" w14:textId="77777777" w:rsidR="00924992" w:rsidRDefault="00924992">
                          <w:pPr>
                            <w:pStyle w:val="Headerorfooter0"/>
                            <w:tabs>
                              <w:tab w:val="right" w:pos="3859"/>
                            </w:tabs>
                          </w:pPr>
                          <w:r>
                            <w:fldChar w:fldCharType="begin"/>
                          </w:r>
                          <w:r>
                            <w:instrText xml:space="preserve"> PAGE \* MERGEFORMAT </w:instrText>
                          </w:r>
                          <w:r>
                            <w:fldChar w:fldCharType="separate"/>
                          </w:r>
                          <w:r>
                            <w:rPr>
                              <w:sz w:val="16"/>
                              <w:szCs w:val="16"/>
                            </w:rPr>
                            <w:t>#</w:t>
                          </w:r>
                          <w:r>
                            <w:rPr>
                              <w:sz w:val="16"/>
                              <w:szCs w:val="16"/>
                            </w:rPr>
                            <w:fldChar w:fldCharType="end"/>
                          </w:r>
                          <w:r>
                            <w:rPr>
                              <w:sz w:val="16"/>
                              <w:szCs w:val="16"/>
                            </w:rPr>
                            <w:tab/>
                          </w:r>
                          <w:r>
                            <w:t>APÉNDICE VII</w:t>
                          </w:r>
                        </w:p>
                      </w:txbxContent>
                    </wps:txbx>
                    <wps:bodyPr lIns="0" tIns="0" rIns="0" bIns="0">
                      <a:spAutoFit/>
                    </wps:bodyPr>
                  </wps:wsp>
                </a:graphicData>
              </a:graphic>
            </wp:anchor>
          </w:drawing>
        </mc:Choice>
        <mc:Fallback>
          <w:pict>
            <v:shapetype w14:anchorId="3D5381F8" id="_x0000_t202" coordsize="21600,21600" o:spt="202" path="m,l,21600r21600,l21600,xe">
              <v:stroke joinstyle="miter"/>
              <v:path gradientshapeok="t" o:connecttype="rect"/>
            </v:shapetype>
            <v:shape id="Shape 2612" o:spid="_x0000_s1339" type="#_x0000_t202" style="position:absolute;margin-left:37.85pt;margin-top:23.3pt;width:192.95pt;height:6.7pt;z-index:-25133568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" filled="f" stroked="f">
              <v:textbox style="mso-fit-shape-to-text:t" inset="0,0,0,0">
                <w:txbxContent>
                  <w:p w14:paraId="56DD1BBD" w14:textId="77777777" w:rsidR="00924992" w:rsidRDefault="00924992">
                    <w:pPr>
                      <w:pStyle w:val="Headerorfooter0"/>
                      <w:tabs>
                        <w:tab w:val="right" w:pos="3859"/>
                      </w:tabs>
                    </w:pPr>
                    <w:r>
                      <w:fldChar w:fldCharType="begin"/>
                    </w:r>
                    <w:r>
                      <w:instrText xml:space="preserve"> PAGE \* MERGEFORMAT </w:instrText>
                    </w:r>
                    <w:r>
                      <w:fldChar w:fldCharType="separate"/>
                    </w:r>
                    <w:r>
                      <w:rPr>
                        <w:sz w:val="16"/>
                        <w:szCs w:val="16"/>
                      </w:rPr>
                      <w:t>#</w:t>
                    </w:r>
                    <w:r>
                      <w:rPr>
                        <w:sz w:val="16"/>
                        <w:szCs w:val="16"/>
                      </w:rPr>
                      <w:fldChar w:fldCharType="end"/>
                    </w:r>
                    <w:r>
                      <w:rPr>
                        <w:sz w:val="16"/>
                        <w:szCs w:val="16"/>
                      </w:rPr>
                      <w:tab/>
                    </w:r>
                    <w:r>
                      <w:t>APÉNDICE VII</w:t>
                    </w:r>
                  </w:p>
                </w:txbxContent>
              </v:textbox>
              <w10:wrap anchorx="page" anchory="page"/>
            </v:shape>
          </w:pict>
        </mc:Fallback>
      </mc:AlternateContent>
    </w:r>
    <w:r>
      <w:rPr>
        <w:noProof/>
      </w:rPr>
      <mc:AlternateContent>
        <mc:Choice Requires="wps">
          <w:drawing>
            <wp:anchor distT="0" distB="0" distL="114300" distR="114300" simplePos="0" relativeHeight="251795456" behindDoc="1" locked="0" layoutInCell="1" allowOverlap="1" wp14:anchorId="768F2BFE" wp14:editId="6D979480">
              <wp:simplePos x="0" y="0"/>
              <wp:positionH relativeFrom="page">
                <wp:posOffset>465455</wp:posOffset>
              </wp:positionH>
              <wp:positionV relativeFrom="page">
                <wp:posOffset>419100</wp:posOffset>
              </wp:positionV>
              <wp:extent cx="4358640" cy="0"/>
              <wp:effectExtent l="0" t="0" r="0" b="0"/>
              <wp:wrapNone/>
              <wp:docPr id="2614" name="Shape 2614"/>
              <wp:cNvGraphicFramePr/>
              <a:graphic xmlns:a="http://schemas.openxmlformats.org/drawingml/2006/main">
                <a:graphicData uri="http://schemas.microsoft.com/office/word/2010/wordprocessingShape">
                  <wps:wsp>
                    <wps:cNvCnPr/>
                    <wps:spPr>
                      <a:xfrm>
                        <a:off x="0" y="0"/>
                        <a:ext cx="4358640" cy="0"/>
                      </a:xfrm>
                      <a:prstGeom prst="straightConnector1">
                        <a:avLst/>
                      </a:prstGeom>
                      <a:ln w="12700">
                        <a:solidFill/>
                      </a:ln>
                    </wps:spPr>
                    <wps:bodyPr/>
                  </wps:wsp>
                </a:graphicData>
              </a:graphic>
            </wp:anchor>
          </w:drawing>
        </mc:Choice>
        <mc:Fallback>
          <w:pict>
            <v:shapetype w14:anchorId="2BE5F157" id="_x0000_t32" coordsize="21600,21600" o:spt="32" o:oned="t" path="m,l21600,21600e" filled="f">
              <v:path arrowok="t" fillok="f" o:connecttype="none"/>
              <o:lock v:ext="edit" shapetype="t"/>
            </v:shapetype>
            <v:shape id="Shape 2614" o:spid="_x0000_s1026" type="#_x0000_t32" style="position:absolute;margin-left:36.65pt;margin-top:33pt;width:343.2pt;height:0;z-index:-251521024;visibility:visible;mso-wrap-style:square;mso-wrap-distance-left:9pt;mso-wrap-distance-top:0;mso-wrap-distance-right:9pt;mso-wrap-distance-bottom:0;mso-position-horizontal:absolute;mso-position-horizontal-relative:page;mso-position-vertical:absolute;mso-position-vertical-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" strokeweight="1pt">
              <w10:wrap anchorx="page" anchory="page"/>
            </v:shape>
          </w:pict>
        </mc:Fallback>
      </mc:AlternateContent>
    </w:r>
  </w:p>
</w:hdr>
</file>

<file path=word/header21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FBA18E" w14:textId="77777777" w:rsidR="00924992" w:rsidRDefault="00924992">
    <w:pPr>
      <w:spacing w:line="1" w:lineRule="exact"/>
    </w:pPr>
    <w:r>
      <w:rPr>
        <w:noProof/>
      </w:rPr>
      <mc:AlternateContent>
        <mc:Choice Requires="wps">
          <w:drawing>
            <wp:anchor distT="0" distB="0" distL="0" distR="0" simplePos="0" relativeHeight="251979776" behindDoc="1" locked="0" layoutInCell="1" allowOverlap="1" wp14:anchorId="6B28DB9F" wp14:editId="197E5CF9">
              <wp:simplePos x="0" y="0"/>
              <wp:positionH relativeFrom="page">
                <wp:posOffset>480695</wp:posOffset>
              </wp:positionH>
              <wp:positionV relativeFrom="page">
                <wp:posOffset>295910</wp:posOffset>
              </wp:positionV>
              <wp:extent cx="2450465" cy="85090"/>
              <wp:effectExtent l="0" t="0" r="0" b="0"/>
              <wp:wrapNone/>
              <wp:docPr id="2609" name="Shape 2609"/>
              <wp:cNvGraphicFramePr/>
              <a:graphic xmlns:a="http://schemas.openxmlformats.org/drawingml/2006/main">
                <a:graphicData uri="http://schemas.microsoft.com/office/word/2010/wordprocessingShape">
                  <wps:wsp>
                    <wps:cNvSpPr txBox="1"/>
                    <wps:spPr>
                      <a:xfrm>
                        <a:off x="0" y="0"/>
                        <a:ext cx="2450465" cy="85090"/>
                      </a:xfrm>
                      <a:prstGeom prst="rect">
                        <a:avLst/>
                      </a:prstGeom>
                      <a:noFill/>
                    </wps:spPr>
                    <wps:txbx>
                      <w:txbxContent>
                        <w:p w14:paraId="2D5C75B2" w14:textId="77777777" w:rsidR="00924992" w:rsidRDefault="00924992">
                          <w:pPr>
                            <w:pStyle w:val="Headerorfooter0"/>
                            <w:tabs>
                              <w:tab w:val="right" w:pos="3859"/>
                            </w:tabs>
                          </w:pPr>
                          <w:r>
                            <w:fldChar w:fldCharType="begin"/>
                          </w:r>
                          <w:r>
                            <w:instrText xml:space="preserve"> PAGE \* MERGEFORMAT </w:instrText>
                          </w:r>
                          <w:r>
                            <w:fldChar w:fldCharType="separate"/>
                          </w:r>
                          <w:r>
                            <w:rPr>
                              <w:sz w:val="16"/>
                              <w:szCs w:val="16"/>
                            </w:rPr>
                            <w:t>#</w:t>
                          </w:r>
                          <w:r>
                            <w:rPr>
                              <w:sz w:val="16"/>
                              <w:szCs w:val="16"/>
                            </w:rPr>
                            <w:fldChar w:fldCharType="end"/>
                          </w:r>
                          <w:r>
                            <w:rPr>
                              <w:sz w:val="16"/>
                              <w:szCs w:val="16"/>
                            </w:rPr>
                            <w:tab/>
                          </w:r>
                          <w:r>
                            <w:t>APÉNDICE VII</w:t>
                          </w:r>
                        </w:p>
                      </w:txbxContent>
                    </wps:txbx>
                    <wps:bodyPr lIns="0" tIns="0" rIns="0" bIns="0">
                      <a:spAutoFit/>
                    </wps:bodyPr>
                  </wps:wsp>
                </a:graphicData>
              </a:graphic>
            </wp:anchor>
          </w:drawing>
        </mc:Choice>
        <mc:Fallback>
          <w:pict>
            <v:shapetype w14:anchorId="6B28DB9F" id="_x0000_t202" coordsize="21600,21600" o:spt="202" path="m,l,21600r21600,l21600,xe">
              <v:stroke joinstyle="miter"/>
              <v:path gradientshapeok="t" o:connecttype="rect"/>
            </v:shapetype>
            <v:shape id="Shape 2609" o:spid="_x0000_s1340" type="#_x0000_t202" style="position:absolute;margin-left:37.85pt;margin-top:23.3pt;width:192.95pt;height:6.7pt;z-index:-25133670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" filled="f" stroked="f">
              <v:textbox style="mso-fit-shape-to-text:t" inset="0,0,0,0">
                <w:txbxContent>
                  <w:p w14:paraId="2D5C75B2" w14:textId="77777777" w:rsidR="00924992" w:rsidRDefault="00924992">
                    <w:pPr>
                      <w:pStyle w:val="Headerorfooter0"/>
                      <w:tabs>
                        <w:tab w:val="right" w:pos="3859"/>
                      </w:tabs>
                    </w:pPr>
                    <w:r>
                      <w:fldChar w:fldCharType="begin"/>
                    </w:r>
                    <w:r>
                      <w:instrText xml:space="preserve"> PAGE \* MERGEFORMAT </w:instrText>
                    </w:r>
                    <w:r>
                      <w:fldChar w:fldCharType="separate"/>
                    </w:r>
                    <w:r>
                      <w:rPr>
                        <w:sz w:val="16"/>
                        <w:szCs w:val="16"/>
                      </w:rPr>
                      <w:t>#</w:t>
                    </w:r>
                    <w:r>
                      <w:rPr>
                        <w:sz w:val="16"/>
                        <w:szCs w:val="16"/>
                      </w:rPr>
                      <w:fldChar w:fldCharType="end"/>
                    </w:r>
                    <w:r>
                      <w:rPr>
                        <w:sz w:val="16"/>
                        <w:szCs w:val="16"/>
                      </w:rPr>
                      <w:tab/>
                    </w:r>
                    <w:r>
                      <w:t>APÉNDICE VII</w:t>
                    </w:r>
                  </w:p>
                </w:txbxContent>
              </v:textbox>
              <w10:wrap anchorx="page" anchory="page"/>
            </v:shape>
          </w:pict>
        </mc:Fallback>
      </mc:AlternateContent>
    </w:r>
    <w:r>
      <w:rPr>
        <w:noProof/>
      </w:rPr>
      <mc:AlternateContent>
        <mc:Choice Requires="wps">
          <w:drawing>
            <wp:anchor distT="0" distB="0" distL="114300" distR="114300" simplePos="0" relativeHeight="251794432" behindDoc="1" locked="0" layoutInCell="1" allowOverlap="1" wp14:anchorId="1FC179D3" wp14:editId="5C6B646C">
              <wp:simplePos x="0" y="0"/>
              <wp:positionH relativeFrom="page">
                <wp:posOffset>465455</wp:posOffset>
              </wp:positionH>
              <wp:positionV relativeFrom="page">
                <wp:posOffset>419100</wp:posOffset>
              </wp:positionV>
              <wp:extent cx="4358640" cy="0"/>
              <wp:effectExtent l="0" t="0" r="0" b="0"/>
              <wp:wrapNone/>
              <wp:docPr id="2611" name="Shape 2611"/>
              <wp:cNvGraphicFramePr/>
              <a:graphic xmlns:a="http://schemas.openxmlformats.org/drawingml/2006/main">
                <a:graphicData uri="http://schemas.microsoft.com/office/word/2010/wordprocessingShape">
                  <wps:wsp>
                    <wps:cNvCnPr/>
                    <wps:spPr>
                      <a:xfrm>
                        <a:off x="0" y="0"/>
                        <a:ext cx="4358640" cy="0"/>
                      </a:xfrm>
                      <a:prstGeom prst="straightConnector1">
                        <a:avLst/>
                      </a:prstGeom>
                      <a:ln w="12700">
                        <a:solidFill/>
                      </a:ln>
                    </wps:spPr>
                    <wps:bodyPr/>
                  </wps:wsp>
                </a:graphicData>
              </a:graphic>
            </wp:anchor>
          </w:drawing>
        </mc:Choice>
        <mc:Fallback>
          <w:pict>
            <v:shapetype w14:anchorId="21EBE97A" id="_x0000_t32" coordsize="21600,21600" o:spt="32" o:oned="t" path="m,l21600,21600e" filled="f">
              <v:path arrowok="t" fillok="f" o:connecttype="none"/>
              <o:lock v:ext="edit" shapetype="t"/>
            </v:shapetype>
            <v:shape id="Shape 2611" o:spid="_x0000_s1026" type="#_x0000_t32" style="position:absolute;margin-left:36.65pt;margin-top:33pt;width:343.2pt;height:0;z-index:-251522048;visibility:visible;mso-wrap-style:square;mso-wrap-distance-left:9pt;mso-wrap-distance-top:0;mso-wrap-distance-right:9pt;mso-wrap-distance-bottom:0;mso-position-horizontal:absolute;mso-position-horizontal-relative:page;mso-position-vertical:absolute;mso-position-vertical-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" strokeweight="1pt">
              <w10:wrap anchorx="page" anchory="page"/>
            </v:shape>
          </w:pict>
        </mc:Fallback>
      </mc:AlternateContent>
    </w:r>
  </w:p>
</w:hdr>
</file>

<file path=word/header21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7D9334" w14:textId="77777777" w:rsidR="00924992" w:rsidRDefault="00924992"/>
</w:hdr>
</file>

<file path=word/header21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21DD00" w14:textId="77777777" w:rsidR="00924992" w:rsidRDefault="00924992"/>
</w:hdr>
</file>

<file path=word/header22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5FBC7A" w14:textId="77777777" w:rsidR="00924992" w:rsidRDefault="00924992"/>
</w:hdr>
</file>

<file path=word/header22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EC8905" w14:textId="77777777" w:rsidR="00924992" w:rsidRDefault="00924992"/>
</w:hdr>
</file>

<file path=word/header22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B1C881" w14:textId="77777777" w:rsidR="00924992" w:rsidRDefault="00924992">
    <w:pPr>
      <w:spacing w:line="1" w:lineRule="exact"/>
    </w:pPr>
    <w:r>
      <w:rPr>
        <w:noProof/>
      </w:rPr>
      <mc:AlternateContent>
        <mc:Choice Requires="wps">
          <w:drawing>
            <wp:anchor distT="0" distB="0" distL="0" distR="0" simplePos="0" relativeHeight="251984896" behindDoc="1" locked="0" layoutInCell="1" allowOverlap="1" wp14:anchorId="02873AFA" wp14:editId="18EE46DD">
              <wp:simplePos x="0" y="0"/>
              <wp:positionH relativeFrom="page">
                <wp:posOffset>480695</wp:posOffset>
              </wp:positionH>
              <wp:positionV relativeFrom="page">
                <wp:posOffset>295910</wp:posOffset>
              </wp:positionV>
              <wp:extent cx="2450465" cy="85090"/>
              <wp:effectExtent l="0" t="0" r="0" b="0"/>
              <wp:wrapNone/>
              <wp:docPr id="2624" name="Shape 2624"/>
              <wp:cNvGraphicFramePr/>
              <a:graphic xmlns:a="http://schemas.openxmlformats.org/drawingml/2006/main">
                <a:graphicData uri="http://schemas.microsoft.com/office/word/2010/wordprocessingShape">
                  <wps:wsp>
                    <wps:cNvSpPr txBox="1"/>
                    <wps:spPr>
                      <a:xfrm>
                        <a:off x="0" y="0"/>
                        <a:ext cx="2450465" cy="85090"/>
                      </a:xfrm>
                      <a:prstGeom prst="rect">
                        <a:avLst/>
                      </a:prstGeom>
                      <a:noFill/>
                    </wps:spPr>
                    <wps:txbx>
                      <w:txbxContent>
                        <w:p w14:paraId="29808AD6" w14:textId="77777777" w:rsidR="00924992" w:rsidRDefault="00924992">
                          <w:pPr>
                            <w:pStyle w:val="Headerorfooter0"/>
                            <w:tabs>
                              <w:tab w:val="right" w:pos="3859"/>
                            </w:tabs>
                          </w:pPr>
                          <w:r>
                            <w:fldChar w:fldCharType="begin"/>
                          </w:r>
                          <w:r>
                            <w:instrText xml:space="preserve"> PAGE \* MERGEFORMAT </w:instrText>
                          </w:r>
                          <w:r>
                            <w:fldChar w:fldCharType="separate"/>
                          </w:r>
                          <w:r>
                            <w:rPr>
                              <w:sz w:val="16"/>
                              <w:szCs w:val="16"/>
                            </w:rPr>
                            <w:t>#</w:t>
                          </w:r>
                          <w:r>
                            <w:rPr>
                              <w:sz w:val="16"/>
                              <w:szCs w:val="16"/>
                            </w:rPr>
                            <w:fldChar w:fldCharType="end"/>
                          </w:r>
                          <w:r>
                            <w:rPr>
                              <w:sz w:val="16"/>
                              <w:szCs w:val="16"/>
                            </w:rPr>
                            <w:tab/>
                          </w:r>
                          <w:r>
                            <w:t>APÉNDICE VII</w:t>
                          </w:r>
                        </w:p>
                      </w:txbxContent>
                    </wps:txbx>
                    <wps:bodyPr lIns="0" tIns="0" rIns="0" bIns="0">
                      <a:spAutoFit/>
                    </wps:bodyPr>
                  </wps:wsp>
                </a:graphicData>
              </a:graphic>
            </wp:anchor>
          </w:drawing>
        </mc:Choice>
        <mc:Fallback>
          <w:pict>
            <v:shapetype w14:anchorId="02873AFA" id="_x0000_t202" coordsize="21600,21600" o:spt="202" path="m,l,21600r21600,l21600,xe">
              <v:stroke joinstyle="miter"/>
              <v:path gradientshapeok="t" o:connecttype="rect"/>
            </v:shapetype>
            <v:shape id="Shape 2624" o:spid="_x0000_s1343" type="#_x0000_t202" style="position:absolute;margin-left:37.85pt;margin-top:23.3pt;width:192.95pt;height:6.7pt;z-index:-25133158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" filled="f" stroked="f">
              <v:textbox style="mso-fit-shape-to-text:t" inset="0,0,0,0">
                <w:txbxContent>
                  <w:p w14:paraId="29808AD6" w14:textId="77777777" w:rsidR="00924992" w:rsidRDefault="00924992">
                    <w:pPr>
                      <w:pStyle w:val="Headerorfooter0"/>
                      <w:tabs>
                        <w:tab w:val="right" w:pos="3859"/>
                      </w:tabs>
                    </w:pPr>
                    <w:r>
                      <w:fldChar w:fldCharType="begin"/>
                    </w:r>
                    <w:r>
                      <w:instrText xml:space="preserve"> PAGE \* MERGEFORMAT </w:instrText>
                    </w:r>
                    <w:r>
                      <w:fldChar w:fldCharType="separate"/>
                    </w:r>
                    <w:r>
                      <w:rPr>
                        <w:sz w:val="16"/>
                        <w:szCs w:val="16"/>
                      </w:rPr>
                      <w:t>#</w:t>
                    </w:r>
                    <w:r>
                      <w:rPr>
                        <w:sz w:val="16"/>
                        <w:szCs w:val="16"/>
                      </w:rPr>
                      <w:fldChar w:fldCharType="end"/>
                    </w:r>
                    <w:r>
                      <w:rPr>
                        <w:sz w:val="16"/>
                        <w:szCs w:val="16"/>
                      </w:rPr>
                      <w:tab/>
                    </w:r>
                    <w:r>
                      <w:t>APÉNDICE VII</w:t>
                    </w:r>
                  </w:p>
                </w:txbxContent>
              </v:textbox>
              <w10:wrap anchorx="page" anchory="page"/>
            </v:shape>
          </w:pict>
        </mc:Fallback>
      </mc:AlternateContent>
    </w:r>
    <w:r>
      <w:rPr>
        <w:noProof/>
      </w:rPr>
      <mc:AlternateContent>
        <mc:Choice Requires="wps">
          <w:drawing>
            <wp:anchor distT="0" distB="0" distL="114300" distR="114300" simplePos="0" relativeHeight="251797504" behindDoc="1" locked="0" layoutInCell="1" allowOverlap="1" wp14:anchorId="08214F0D" wp14:editId="00E26A23">
              <wp:simplePos x="0" y="0"/>
              <wp:positionH relativeFrom="page">
                <wp:posOffset>465455</wp:posOffset>
              </wp:positionH>
              <wp:positionV relativeFrom="page">
                <wp:posOffset>419100</wp:posOffset>
              </wp:positionV>
              <wp:extent cx="4358640" cy="0"/>
              <wp:effectExtent l="0" t="0" r="0" b="0"/>
              <wp:wrapNone/>
              <wp:docPr id="2626" name="Shape 2626"/>
              <wp:cNvGraphicFramePr/>
              <a:graphic xmlns:a="http://schemas.openxmlformats.org/drawingml/2006/main">
                <a:graphicData uri="http://schemas.microsoft.com/office/word/2010/wordprocessingShape">
                  <wps:wsp>
                    <wps:cNvCnPr/>
                    <wps:spPr>
                      <a:xfrm>
                        <a:off x="0" y="0"/>
                        <a:ext cx="4358640" cy="0"/>
                      </a:xfrm>
                      <a:prstGeom prst="straightConnector1">
                        <a:avLst/>
                      </a:prstGeom>
                      <a:ln w="12700">
                        <a:solidFill/>
                      </a:ln>
                    </wps:spPr>
                    <wps:bodyPr/>
                  </wps:wsp>
                </a:graphicData>
              </a:graphic>
            </wp:anchor>
          </w:drawing>
        </mc:Choice>
        <mc:Fallback>
          <w:pict>
            <v:shapetype w14:anchorId="359CF005" id="_x0000_t32" coordsize="21600,21600" o:spt="32" o:oned="t" path="m,l21600,21600e" filled="f">
              <v:path arrowok="t" fillok="f" o:connecttype="none"/>
              <o:lock v:ext="edit" shapetype="t"/>
            </v:shapetype>
            <v:shape id="Shape 2626" o:spid="_x0000_s1026" type="#_x0000_t32" style="position:absolute;margin-left:36.65pt;margin-top:33pt;width:343.2pt;height:0;z-index:-251518976;visibility:visible;mso-wrap-style:square;mso-wrap-distance-left:9pt;mso-wrap-distance-top:0;mso-wrap-distance-right:9pt;mso-wrap-distance-bottom:0;mso-position-horizontal:absolute;mso-position-horizontal-relative:page;mso-position-vertical:absolute;mso-position-vertical-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" strokeweight="1pt">
              <w10:wrap anchorx="page" anchory="page"/>
            </v:shape>
          </w:pict>
        </mc:Fallback>
      </mc:AlternateContent>
    </w:r>
  </w:p>
</w:hdr>
</file>

<file path=word/header22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1117F4" w14:textId="77777777" w:rsidR="00924992" w:rsidRDefault="00924992">
    <w:pPr>
      <w:spacing w:line="1" w:lineRule="exact"/>
    </w:pPr>
    <w:r>
      <w:rPr>
        <w:noProof/>
      </w:rPr>
      <mc:AlternateContent>
        <mc:Choice Requires="wps">
          <w:drawing>
            <wp:anchor distT="0" distB="0" distL="0" distR="0" simplePos="0" relativeHeight="251983872" behindDoc="1" locked="0" layoutInCell="1" allowOverlap="1" wp14:anchorId="090E6DFA" wp14:editId="099DB836">
              <wp:simplePos x="0" y="0"/>
              <wp:positionH relativeFrom="page">
                <wp:posOffset>2339975</wp:posOffset>
              </wp:positionH>
              <wp:positionV relativeFrom="page">
                <wp:posOffset>295910</wp:posOffset>
              </wp:positionV>
              <wp:extent cx="2435225" cy="85090"/>
              <wp:effectExtent l="0" t="0" r="0" b="0"/>
              <wp:wrapNone/>
              <wp:docPr id="2621" name="Shape 2621"/>
              <wp:cNvGraphicFramePr/>
              <a:graphic xmlns:a="http://schemas.openxmlformats.org/drawingml/2006/main">
                <a:graphicData uri="http://schemas.microsoft.com/office/word/2010/wordprocessingShape">
                  <wps:wsp>
                    <wps:cNvSpPr txBox="1"/>
                    <wps:spPr>
                      <a:xfrm>
                        <a:off x="0" y="0"/>
                        <a:ext cx="2435225" cy="85090"/>
                      </a:xfrm>
                      <a:prstGeom prst="rect">
                        <a:avLst/>
                      </a:prstGeom>
                      <a:noFill/>
                    </wps:spPr>
                    <wps:txbx>
                      <w:txbxContent>
                        <w:p w14:paraId="12EC0F6E" w14:textId="77777777" w:rsidR="00924992" w:rsidRDefault="00924992">
                          <w:pPr>
                            <w:pStyle w:val="Headerorfooter0"/>
                            <w:tabs>
                              <w:tab w:val="right" w:pos="3835"/>
                            </w:tabs>
                            <w:rPr>
                              <w:sz w:val="16"/>
                              <w:szCs w:val="16"/>
                            </w:rPr>
                          </w:pPr>
                          <w:r>
                            <w:t>APÉNDICE VII</w:t>
                          </w:r>
                          <w:r>
                            <w:tab/>
                          </w:r>
                          <w:r>
                            <w:fldChar w:fldCharType="begin"/>
                          </w:r>
                          <w:r>
                            <w:instrText xml:space="preserve"> PAGE \* MERGEFORMAT </w:instrText>
                          </w:r>
                          <w:r>
                            <w:fldChar w:fldCharType="separate"/>
                          </w:r>
                          <w:r>
                            <w:rPr>
                              <w:sz w:val="16"/>
                              <w:szCs w:val="16"/>
                            </w:rPr>
                            <w:t>#</w:t>
                          </w:r>
                          <w:r>
                            <w:rPr>
                              <w:sz w:val="16"/>
                              <w:szCs w:val="16"/>
                            </w:rPr>
                            <w:fldChar w:fldCharType="end"/>
                          </w:r>
                        </w:p>
                      </w:txbxContent>
                    </wps:txbx>
                    <wps:bodyPr lIns="0" tIns="0" rIns="0" bIns="0">
                      <a:spAutoFit/>
                    </wps:bodyPr>
                  </wps:wsp>
                </a:graphicData>
              </a:graphic>
            </wp:anchor>
          </w:drawing>
        </mc:Choice>
        <mc:Fallback>
          <w:pict>
            <v:shapetype w14:anchorId="090E6DFA" id="_x0000_t202" coordsize="21600,21600" o:spt="202" path="m,l,21600r21600,l21600,xe">
              <v:stroke joinstyle="miter"/>
              <v:path gradientshapeok="t" o:connecttype="rect"/>
            </v:shapetype>
            <v:shape id="Shape 2621" o:spid="_x0000_s1344" type="#_x0000_t202" style="position:absolute;margin-left:184.25pt;margin-top:23.3pt;width:191.75pt;height:6.7pt;z-index:-25133260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" filled="f" stroked="f">
              <v:textbox style="mso-fit-shape-to-text:t" inset="0,0,0,0">
                <w:txbxContent>
                  <w:p w14:paraId="12EC0F6E" w14:textId="77777777" w:rsidR="00924992" w:rsidRDefault="00924992">
                    <w:pPr>
                      <w:pStyle w:val="Headerorfooter0"/>
                      <w:tabs>
                        <w:tab w:val="right" w:pos="3835"/>
                      </w:tabs>
                      <w:rPr>
                        <w:sz w:val="16"/>
                        <w:szCs w:val="16"/>
                      </w:rPr>
                    </w:pPr>
                    <w:r>
                      <w:t>APÉNDICE VII</w:t>
                    </w:r>
                    <w:r>
                      <w:tab/>
                    </w:r>
                    <w:r>
                      <w:fldChar w:fldCharType="begin"/>
                    </w:r>
                    <w:r>
                      <w:instrText xml:space="preserve"> PAGE \* MERGEFORMAT </w:instrText>
                    </w:r>
                    <w:r>
                      <w:fldChar w:fldCharType="separate"/>
                    </w:r>
                    <w:r>
                      <w:rPr>
                        <w:sz w:val="16"/>
                        <w:szCs w:val="16"/>
                      </w:rPr>
                      <w:t>#</w:t>
                    </w:r>
                    <w:r>
                      <w:rPr>
                        <w:sz w:val="16"/>
                        <w:szCs w:val="16"/>
                      </w:rPr>
                      <w:fldChar w:fldCharType="end"/>
                    </w:r>
                  </w:p>
                </w:txbxContent>
              </v:textbox>
              <w10:wrap anchorx="page" anchory="page"/>
            </v:shape>
          </w:pict>
        </mc:Fallback>
      </mc:AlternateContent>
    </w:r>
    <w:r>
      <w:rPr>
        <w:noProof/>
      </w:rPr>
      <mc:AlternateContent>
        <mc:Choice Requires="wps">
          <w:drawing>
            <wp:anchor distT="0" distB="0" distL="114300" distR="114300" simplePos="0" relativeHeight="251796480" behindDoc="1" locked="0" layoutInCell="1" allowOverlap="1" wp14:anchorId="02B0AAED" wp14:editId="4E9A03E0">
              <wp:simplePos x="0" y="0"/>
              <wp:positionH relativeFrom="page">
                <wp:posOffset>453390</wp:posOffset>
              </wp:positionH>
              <wp:positionV relativeFrom="page">
                <wp:posOffset>419100</wp:posOffset>
              </wp:positionV>
              <wp:extent cx="4358640" cy="0"/>
              <wp:effectExtent l="0" t="0" r="0" b="0"/>
              <wp:wrapNone/>
              <wp:docPr id="2623" name="Shape 2623"/>
              <wp:cNvGraphicFramePr/>
              <a:graphic xmlns:a="http://schemas.openxmlformats.org/drawingml/2006/main">
                <a:graphicData uri="http://schemas.microsoft.com/office/word/2010/wordprocessingShape">
                  <wps:wsp>
                    <wps:cNvCnPr/>
                    <wps:spPr>
                      <a:xfrm>
                        <a:off x="0" y="0"/>
                        <a:ext cx="4358640" cy="0"/>
                      </a:xfrm>
                      <a:prstGeom prst="straightConnector1">
                        <a:avLst/>
                      </a:prstGeom>
                      <a:ln w="12700">
                        <a:solidFill/>
                      </a:ln>
                    </wps:spPr>
                    <wps:bodyPr/>
                  </wps:wsp>
                </a:graphicData>
              </a:graphic>
            </wp:anchor>
          </w:drawing>
        </mc:Choice>
        <mc:Fallback>
          <w:pict>
            <v:shapetype w14:anchorId="0FA9A681" id="_x0000_t32" coordsize="21600,21600" o:spt="32" o:oned="t" path="m,l21600,21600e" filled="f">
              <v:path arrowok="t" fillok="f" o:connecttype="none"/>
              <o:lock v:ext="edit" shapetype="t"/>
            </v:shapetype>
            <v:shape id="Shape 2623" o:spid="_x0000_s1026" type="#_x0000_t32" style="position:absolute;margin-left:35.7pt;margin-top:33pt;width:343.2pt;height:0;z-index:-251520000;visibility:visible;mso-wrap-style:square;mso-wrap-distance-left:9pt;mso-wrap-distance-top:0;mso-wrap-distance-right:9pt;mso-wrap-distance-bottom:0;mso-position-horizontal:absolute;mso-position-horizontal-relative:page;mso-position-vertical:absolute;mso-position-vertical-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" strokeweight="1pt">
              <w10:wrap anchorx="page" anchory="page"/>
            </v:shape>
          </w:pict>
        </mc:Fallback>
      </mc:AlternateContent>
    </w:r>
  </w:p>
</w:hdr>
</file>

<file path=word/header22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324B14" w14:textId="77777777" w:rsidR="00924992" w:rsidRDefault="00924992">
    <w:pPr>
      <w:spacing w:line="1" w:lineRule="exact"/>
    </w:pPr>
    <w:r>
      <w:rPr>
        <w:noProof/>
      </w:rPr>
      <mc:AlternateContent>
        <mc:Choice Requires="wps">
          <w:drawing>
            <wp:anchor distT="0" distB="0" distL="0" distR="0" simplePos="0" relativeHeight="251986944" behindDoc="1" locked="0" layoutInCell="1" allowOverlap="1" wp14:anchorId="05938C4C" wp14:editId="0879FF3A">
              <wp:simplePos x="0" y="0"/>
              <wp:positionH relativeFrom="page">
                <wp:posOffset>2593975</wp:posOffset>
              </wp:positionH>
              <wp:positionV relativeFrom="page">
                <wp:posOffset>295910</wp:posOffset>
              </wp:positionV>
              <wp:extent cx="2465705" cy="85090"/>
              <wp:effectExtent l="0" t="0" r="0" b="0"/>
              <wp:wrapNone/>
              <wp:docPr id="2630" name="Shape 2630"/>
              <wp:cNvGraphicFramePr/>
              <a:graphic xmlns:a="http://schemas.openxmlformats.org/drawingml/2006/main">
                <a:graphicData uri="http://schemas.microsoft.com/office/word/2010/wordprocessingShape">
                  <wps:wsp>
                    <wps:cNvSpPr txBox="1"/>
                    <wps:spPr>
                      <a:xfrm>
                        <a:off x="0" y="0"/>
                        <a:ext cx="2465705" cy="85090"/>
                      </a:xfrm>
                      <a:prstGeom prst="rect">
                        <a:avLst/>
                      </a:prstGeom>
                      <a:noFill/>
                    </wps:spPr>
                    <wps:txbx>
                      <w:txbxContent>
                        <w:p w14:paraId="1F4A1B46" w14:textId="77777777" w:rsidR="00924992" w:rsidRDefault="00924992">
                          <w:pPr>
                            <w:pStyle w:val="Headerorfooter0"/>
                            <w:tabs>
                              <w:tab w:val="right" w:pos="3883"/>
                            </w:tabs>
                            <w:rPr>
                              <w:sz w:val="16"/>
                              <w:szCs w:val="16"/>
                            </w:rPr>
                          </w:pPr>
                          <w:r>
                            <w:t>APÉNDICE VIII</w:t>
                          </w:r>
                          <w:r>
                            <w:tab/>
                          </w:r>
                          <w:r>
                            <w:fldChar w:fldCharType="begin"/>
                          </w:r>
                          <w:r>
                            <w:instrText xml:space="preserve"> PAGE \* MERGEFORMAT </w:instrText>
                          </w:r>
                          <w:r>
                            <w:fldChar w:fldCharType="separate"/>
                          </w:r>
                          <w:r>
                            <w:rPr>
                              <w:sz w:val="16"/>
                              <w:szCs w:val="16"/>
                            </w:rPr>
                            <w:t>#</w:t>
                          </w:r>
                          <w:r>
                            <w:rPr>
                              <w:sz w:val="16"/>
                              <w:szCs w:val="16"/>
                            </w:rPr>
                            <w:fldChar w:fldCharType="end"/>
                          </w:r>
                        </w:p>
                      </w:txbxContent>
                    </wps:txbx>
                    <wps:bodyPr lIns="0" tIns="0" rIns="0" bIns="0">
                      <a:spAutoFit/>
                    </wps:bodyPr>
                  </wps:wsp>
                </a:graphicData>
              </a:graphic>
            </wp:anchor>
          </w:drawing>
        </mc:Choice>
        <mc:Fallback>
          <w:pict>
            <v:shapetype w14:anchorId="05938C4C" id="_x0000_t202" coordsize="21600,21600" o:spt="202" path="m,l,21600r21600,l21600,xe">
              <v:stroke joinstyle="miter"/>
              <v:path gradientshapeok="t" o:connecttype="rect"/>
            </v:shapetype>
            <v:shape id="Shape 2630" o:spid="_x0000_s1345" type="#_x0000_t202" style="position:absolute;margin-left:204.25pt;margin-top:23.3pt;width:194.15pt;height:6.7pt;z-index:-25132953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" filled="f" stroked="f">
              <v:textbox style="mso-fit-shape-to-text:t" inset="0,0,0,0">
                <w:txbxContent>
                  <w:p w14:paraId="1F4A1B46" w14:textId="77777777" w:rsidR="00924992" w:rsidRDefault="00924992">
                    <w:pPr>
                      <w:pStyle w:val="Headerorfooter0"/>
                      <w:tabs>
                        <w:tab w:val="right" w:pos="3883"/>
                      </w:tabs>
                      <w:rPr>
                        <w:sz w:val="16"/>
                        <w:szCs w:val="16"/>
                      </w:rPr>
                    </w:pPr>
                    <w:r>
                      <w:t>APÉNDICE VIII</w:t>
                    </w:r>
                    <w:r>
                      <w:tab/>
                    </w:r>
                    <w:r>
                      <w:fldChar w:fldCharType="begin"/>
                    </w:r>
                    <w:r>
                      <w:instrText xml:space="preserve"> PAGE \* MERGEFORMAT </w:instrText>
                    </w:r>
                    <w:r>
                      <w:fldChar w:fldCharType="separate"/>
                    </w:r>
                    <w:r>
                      <w:rPr>
                        <w:sz w:val="16"/>
                        <w:szCs w:val="16"/>
                      </w:rPr>
                      <w:t>#</w:t>
                    </w:r>
                    <w:r>
                      <w:rPr>
                        <w:sz w:val="16"/>
                        <w:szCs w:val="16"/>
                      </w:rPr>
                      <w:fldChar w:fldCharType="end"/>
                    </w:r>
                  </w:p>
                </w:txbxContent>
              </v:textbox>
              <w10:wrap anchorx="page" anchory="page"/>
            </v:shape>
          </w:pict>
        </mc:Fallback>
      </mc:AlternateContent>
    </w:r>
    <w:r>
      <w:rPr>
        <w:noProof/>
      </w:rPr>
      <mc:AlternateContent>
        <mc:Choice Requires="wps">
          <w:drawing>
            <wp:anchor distT="0" distB="0" distL="114300" distR="114300" simplePos="0" relativeHeight="251799552" behindDoc="1" locked="0" layoutInCell="1" allowOverlap="1" wp14:anchorId="4B410FB6" wp14:editId="1A04A970">
              <wp:simplePos x="0" y="0"/>
              <wp:positionH relativeFrom="page">
                <wp:posOffset>722630</wp:posOffset>
              </wp:positionH>
              <wp:positionV relativeFrom="page">
                <wp:posOffset>419100</wp:posOffset>
              </wp:positionV>
              <wp:extent cx="4358640" cy="0"/>
              <wp:effectExtent l="0" t="0" r="0" b="0"/>
              <wp:wrapNone/>
              <wp:docPr id="2632" name="Shape 2632"/>
              <wp:cNvGraphicFramePr/>
              <a:graphic xmlns:a="http://schemas.openxmlformats.org/drawingml/2006/main">
                <a:graphicData uri="http://schemas.microsoft.com/office/word/2010/wordprocessingShape">
                  <wps:wsp>
                    <wps:cNvCnPr/>
                    <wps:spPr>
                      <a:xfrm>
                        <a:off x="0" y="0"/>
                        <a:ext cx="4358640" cy="0"/>
                      </a:xfrm>
                      <a:prstGeom prst="straightConnector1">
                        <a:avLst/>
                      </a:prstGeom>
                      <a:ln w="12700">
                        <a:solidFill/>
                      </a:ln>
                    </wps:spPr>
                    <wps:bodyPr/>
                  </wps:wsp>
                </a:graphicData>
              </a:graphic>
            </wp:anchor>
          </w:drawing>
        </mc:Choice>
        <mc:Fallback>
          <w:pict>
            <v:shapetype w14:anchorId="46DC45D5" id="_x0000_t32" coordsize="21600,21600" o:spt="32" o:oned="t" path="m,l21600,21600e" filled="f">
              <v:path arrowok="t" fillok="f" o:connecttype="none"/>
              <o:lock v:ext="edit" shapetype="t"/>
            </v:shapetype>
            <v:shape id="Shape 2632" o:spid="_x0000_s1026" type="#_x0000_t32" style="position:absolute;margin-left:56.9pt;margin-top:33pt;width:343.2pt;height:0;z-index:-251516928;visibility:visible;mso-wrap-style:square;mso-wrap-distance-left:9pt;mso-wrap-distance-top:0;mso-wrap-distance-right:9pt;mso-wrap-distance-bottom:0;mso-position-horizontal:absolute;mso-position-horizontal-relative:page;mso-position-vertical:absolute;mso-position-vertical-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" strokeweight="1pt">
              <w10:wrap anchorx="page" anchory="page"/>
            </v:shape>
          </w:pict>
        </mc:Fallback>
      </mc:AlternateContent>
    </w:r>
  </w:p>
</w:hdr>
</file>

<file path=word/header22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51D091" w14:textId="77777777" w:rsidR="00924992" w:rsidRDefault="00924992">
    <w:pPr>
      <w:spacing w:line="1" w:lineRule="exact"/>
    </w:pPr>
    <w:r>
      <w:rPr>
        <w:noProof/>
      </w:rPr>
      <mc:AlternateContent>
        <mc:Choice Requires="wps">
          <w:drawing>
            <wp:anchor distT="0" distB="0" distL="0" distR="0" simplePos="0" relativeHeight="251985920" behindDoc="1" locked="0" layoutInCell="1" allowOverlap="1" wp14:anchorId="3FE4EBE1" wp14:editId="4C39E770">
              <wp:simplePos x="0" y="0"/>
              <wp:positionH relativeFrom="page">
                <wp:posOffset>2593975</wp:posOffset>
              </wp:positionH>
              <wp:positionV relativeFrom="page">
                <wp:posOffset>295910</wp:posOffset>
              </wp:positionV>
              <wp:extent cx="2465705" cy="85090"/>
              <wp:effectExtent l="0" t="0" r="0" b="0"/>
              <wp:wrapNone/>
              <wp:docPr id="2627" name="Shape 2627"/>
              <wp:cNvGraphicFramePr/>
              <a:graphic xmlns:a="http://schemas.openxmlformats.org/drawingml/2006/main">
                <a:graphicData uri="http://schemas.microsoft.com/office/word/2010/wordprocessingShape">
                  <wps:wsp>
                    <wps:cNvSpPr txBox="1"/>
                    <wps:spPr>
                      <a:xfrm>
                        <a:off x="0" y="0"/>
                        <a:ext cx="2465705" cy="85090"/>
                      </a:xfrm>
                      <a:prstGeom prst="rect">
                        <a:avLst/>
                      </a:prstGeom>
                      <a:noFill/>
                    </wps:spPr>
                    <wps:txbx>
                      <w:txbxContent>
                        <w:p w14:paraId="50B4AF20" w14:textId="77777777" w:rsidR="00924992" w:rsidRDefault="00924992">
                          <w:pPr>
                            <w:pStyle w:val="Headerorfooter0"/>
                            <w:tabs>
                              <w:tab w:val="right" w:pos="3883"/>
                            </w:tabs>
                            <w:rPr>
                              <w:sz w:val="16"/>
                              <w:szCs w:val="16"/>
                            </w:rPr>
                          </w:pPr>
                          <w:r>
                            <w:t>APÉNDICE VIII</w:t>
                          </w:r>
                          <w:r>
                            <w:tab/>
                          </w:r>
                          <w:r>
                            <w:fldChar w:fldCharType="begin"/>
                          </w:r>
                          <w:r>
                            <w:instrText xml:space="preserve"> PAGE \* MERGEFORMAT </w:instrText>
                          </w:r>
                          <w:r>
                            <w:fldChar w:fldCharType="separate"/>
                          </w:r>
                          <w:r>
                            <w:rPr>
                              <w:sz w:val="16"/>
                              <w:szCs w:val="16"/>
                            </w:rPr>
                            <w:t>#</w:t>
                          </w:r>
                          <w:r>
                            <w:rPr>
                              <w:sz w:val="16"/>
                              <w:szCs w:val="16"/>
                            </w:rPr>
                            <w:fldChar w:fldCharType="end"/>
                          </w:r>
                        </w:p>
                      </w:txbxContent>
                    </wps:txbx>
                    <wps:bodyPr lIns="0" tIns="0" rIns="0" bIns="0">
                      <a:spAutoFit/>
                    </wps:bodyPr>
                  </wps:wsp>
                </a:graphicData>
              </a:graphic>
            </wp:anchor>
          </w:drawing>
        </mc:Choice>
        <mc:Fallback>
          <w:pict>
            <v:shapetype w14:anchorId="3FE4EBE1" id="_x0000_t202" coordsize="21600,21600" o:spt="202" path="m,l,21600r21600,l21600,xe">
              <v:stroke joinstyle="miter"/>
              <v:path gradientshapeok="t" o:connecttype="rect"/>
            </v:shapetype>
            <v:shape id="Shape 2627" o:spid="_x0000_s1346" type="#_x0000_t202" style="position:absolute;margin-left:204.25pt;margin-top:23.3pt;width:194.15pt;height:6.7pt;z-index:-25133056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" filled="f" stroked="f">
              <v:textbox style="mso-fit-shape-to-text:t" inset="0,0,0,0">
                <w:txbxContent>
                  <w:p w14:paraId="50B4AF20" w14:textId="77777777" w:rsidR="00924992" w:rsidRDefault="00924992">
                    <w:pPr>
                      <w:pStyle w:val="Headerorfooter0"/>
                      <w:tabs>
                        <w:tab w:val="right" w:pos="3883"/>
                      </w:tabs>
                      <w:rPr>
                        <w:sz w:val="16"/>
                        <w:szCs w:val="16"/>
                      </w:rPr>
                    </w:pPr>
                    <w:r>
                      <w:t>APÉNDICE VIII</w:t>
                    </w:r>
                    <w:r>
                      <w:tab/>
                    </w:r>
                    <w:r>
                      <w:fldChar w:fldCharType="begin"/>
                    </w:r>
                    <w:r>
                      <w:instrText xml:space="preserve"> PAGE \* MERGEFORMAT </w:instrText>
                    </w:r>
                    <w:r>
                      <w:fldChar w:fldCharType="separate"/>
                    </w:r>
                    <w:r>
                      <w:rPr>
                        <w:sz w:val="16"/>
                        <w:szCs w:val="16"/>
                      </w:rPr>
                      <w:t>#</w:t>
                    </w:r>
                    <w:r>
                      <w:rPr>
                        <w:sz w:val="16"/>
                        <w:szCs w:val="16"/>
                      </w:rPr>
                      <w:fldChar w:fldCharType="end"/>
                    </w:r>
                  </w:p>
                </w:txbxContent>
              </v:textbox>
              <w10:wrap anchorx="page" anchory="page"/>
            </v:shape>
          </w:pict>
        </mc:Fallback>
      </mc:AlternateContent>
    </w:r>
    <w:r>
      <w:rPr>
        <w:noProof/>
      </w:rPr>
      <mc:AlternateContent>
        <mc:Choice Requires="wps">
          <w:drawing>
            <wp:anchor distT="0" distB="0" distL="114300" distR="114300" simplePos="0" relativeHeight="251798528" behindDoc="1" locked="0" layoutInCell="1" allowOverlap="1" wp14:anchorId="64707F37" wp14:editId="4ACD3E6A">
              <wp:simplePos x="0" y="0"/>
              <wp:positionH relativeFrom="page">
                <wp:posOffset>722630</wp:posOffset>
              </wp:positionH>
              <wp:positionV relativeFrom="page">
                <wp:posOffset>419100</wp:posOffset>
              </wp:positionV>
              <wp:extent cx="4358640" cy="0"/>
              <wp:effectExtent l="0" t="0" r="0" b="0"/>
              <wp:wrapNone/>
              <wp:docPr id="2629" name="Shape 2629"/>
              <wp:cNvGraphicFramePr/>
              <a:graphic xmlns:a="http://schemas.openxmlformats.org/drawingml/2006/main">
                <a:graphicData uri="http://schemas.microsoft.com/office/word/2010/wordprocessingShape">
                  <wps:wsp>
                    <wps:cNvCnPr/>
                    <wps:spPr>
                      <a:xfrm>
                        <a:off x="0" y="0"/>
                        <a:ext cx="4358640" cy="0"/>
                      </a:xfrm>
                      <a:prstGeom prst="straightConnector1">
                        <a:avLst/>
                      </a:prstGeom>
                      <a:ln w="12700">
                        <a:solidFill/>
                      </a:ln>
                    </wps:spPr>
                    <wps:bodyPr/>
                  </wps:wsp>
                </a:graphicData>
              </a:graphic>
            </wp:anchor>
          </w:drawing>
        </mc:Choice>
        <mc:Fallback>
          <w:pict>
            <v:shapetype w14:anchorId="7431FD53" id="_x0000_t32" coordsize="21600,21600" o:spt="32" o:oned="t" path="m,l21600,21600e" filled="f">
              <v:path arrowok="t" fillok="f" o:connecttype="none"/>
              <o:lock v:ext="edit" shapetype="t"/>
            </v:shapetype>
            <v:shape id="Shape 2629" o:spid="_x0000_s1026" type="#_x0000_t32" style="position:absolute;margin-left:56.9pt;margin-top:33pt;width:343.2pt;height:0;z-index:-251517952;visibility:visible;mso-wrap-style:square;mso-wrap-distance-left:9pt;mso-wrap-distance-top:0;mso-wrap-distance-right:9pt;mso-wrap-distance-bottom:0;mso-position-horizontal:absolute;mso-position-horizontal-relative:page;mso-position-vertical:absolute;mso-position-vertical-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" strokeweight="1pt">
              <w10:wrap anchorx="page" anchory="page"/>
            </v:shape>
          </w:pict>
        </mc:Fallback>
      </mc:AlternateContent>
    </w:r>
  </w:p>
</w:hdr>
</file>

<file path=word/header22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F927C7" w14:textId="77777777" w:rsidR="00924992" w:rsidRDefault="00924992"/>
</w:hdr>
</file>

<file path=word/header22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E4E5D2" w14:textId="77777777" w:rsidR="00924992" w:rsidRDefault="00924992"/>
</w:hdr>
</file>

<file path=word/header22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7D18A6" w14:textId="77777777" w:rsidR="00924992" w:rsidRDefault="00924992"/>
</w:hdr>
</file>

<file path=word/header22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5B0FB4" w14:textId="77777777" w:rsidR="00924992" w:rsidRDefault="00924992"/>
</w:hdr>
</file>

<file path=word/header23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FB3887" w14:textId="77777777" w:rsidR="00924992" w:rsidRDefault="00924992">
    <w:pPr>
      <w:spacing w:line="1" w:lineRule="exact"/>
    </w:pPr>
    <w:r>
      <w:rPr>
        <w:noProof/>
      </w:rPr>
      <mc:AlternateContent>
        <mc:Choice Requires="wps">
          <w:drawing>
            <wp:anchor distT="0" distB="0" distL="0" distR="0" simplePos="0" relativeHeight="251991040" behindDoc="1" locked="0" layoutInCell="1" allowOverlap="1" wp14:anchorId="34762CEE" wp14:editId="34A66E51">
              <wp:simplePos x="0" y="0"/>
              <wp:positionH relativeFrom="page">
                <wp:posOffset>541655</wp:posOffset>
              </wp:positionH>
              <wp:positionV relativeFrom="page">
                <wp:posOffset>295910</wp:posOffset>
              </wp:positionV>
              <wp:extent cx="2432050" cy="85090"/>
              <wp:effectExtent l="0" t="0" r="0" b="0"/>
              <wp:wrapNone/>
              <wp:docPr id="2670" name="Shape 2670"/>
              <wp:cNvGraphicFramePr/>
              <a:graphic xmlns:a="http://schemas.openxmlformats.org/drawingml/2006/main">
                <a:graphicData uri="http://schemas.microsoft.com/office/word/2010/wordprocessingShape">
                  <wps:wsp>
                    <wps:cNvSpPr txBox="1"/>
                    <wps:spPr>
                      <a:xfrm>
                        <a:off x="0" y="0"/>
                        <a:ext cx="2432050" cy="85090"/>
                      </a:xfrm>
                      <a:prstGeom prst="rect">
                        <a:avLst/>
                      </a:prstGeom>
                      <a:noFill/>
                    </wps:spPr>
                    <wps:txbx>
                      <w:txbxContent>
                        <w:p w14:paraId="47C59F7B" w14:textId="77777777" w:rsidR="00924992" w:rsidRDefault="00924992">
                          <w:pPr>
                            <w:pStyle w:val="Headerorfooter0"/>
                            <w:tabs>
                              <w:tab w:val="right" w:pos="3830"/>
                            </w:tabs>
                          </w:pPr>
                          <w:r>
                            <w:fldChar w:fldCharType="begin"/>
                          </w:r>
                          <w:r>
                            <w:instrText xml:space="preserve"> PAGE \* MERGEFORMAT </w:instrText>
                          </w:r>
                          <w:r>
                            <w:fldChar w:fldCharType="separate"/>
                          </w:r>
                          <w:r>
                            <w:rPr>
                              <w:sz w:val="16"/>
                              <w:szCs w:val="16"/>
                            </w:rPr>
                            <w:t>#</w:t>
                          </w:r>
                          <w:r>
                            <w:rPr>
                              <w:sz w:val="16"/>
                              <w:szCs w:val="16"/>
                            </w:rPr>
                            <w:fldChar w:fldCharType="end"/>
                          </w:r>
                          <w:r>
                            <w:rPr>
                              <w:sz w:val="16"/>
                              <w:szCs w:val="16"/>
                            </w:rPr>
                            <w:tab/>
                          </w:r>
                          <w:r>
                            <w:t>APÉNDICE X</w:t>
                          </w:r>
                        </w:p>
                      </w:txbxContent>
                    </wps:txbx>
                    <wps:bodyPr lIns="0" tIns="0" rIns="0" bIns="0">
                      <a:spAutoFit/>
                    </wps:bodyPr>
                  </wps:wsp>
                </a:graphicData>
              </a:graphic>
            </wp:anchor>
          </w:drawing>
        </mc:Choice>
        <mc:Fallback>
          <w:pict>
            <v:shapetype w14:anchorId="34762CEE" id="_x0000_t202" coordsize="21600,21600" o:spt="202" path="m,l,21600r21600,l21600,xe">
              <v:stroke joinstyle="miter"/>
              <v:path gradientshapeok="t" o:connecttype="rect"/>
            </v:shapetype>
            <v:shape id="Shape 2670" o:spid="_x0000_s1349" type="#_x0000_t202" style="position:absolute;margin-left:42.65pt;margin-top:23.3pt;width:191.5pt;height:6.7pt;z-index:-25132544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" filled="f" stroked="f">
              <v:textbox style="mso-fit-shape-to-text:t" inset="0,0,0,0">
                <w:txbxContent>
                  <w:p w14:paraId="47C59F7B" w14:textId="77777777" w:rsidR="00924992" w:rsidRDefault="00924992">
                    <w:pPr>
                      <w:pStyle w:val="Headerorfooter0"/>
                      <w:tabs>
                        <w:tab w:val="right" w:pos="3830"/>
                      </w:tabs>
                    </w:pPr>
                    <w:r>
                      <w:fldChar w:fldCharType="begin"/>
                    </w:r>
                    <w:r>
                      <w:instrText xml:space="preserve"> PAGE \* MERGEFORMAT </w:instrText>
                    </w:r>
                    <w:r>
                      <w:fldChar w:fldCharType="separate"/>
                    </w:r>
                    <w:r>
                      <w:rPr>
                        <w:sz w:val="16"/>
                        <w:szCs w:val="16"/>
                      </w:rPr>
                      <w:t>#</w:t>
                    </w:r>
                    <w:r>
                      <w:rPr>
                        <w:sz w:val="16"/>
                        <w:szCs w:val="16"/>
                      </w:rPr>
                      <w:fldChar w:fldCharType="end"/>
                    </w:r>
                    <w:r>
                      <w:rPr>
                        <w:sz w:val="16"/>
                        <w:szCs w:val="16"/>
                      </w:rPr>
                      <w:tab/>
                    </w:r>
                    <w:r>
                      <w:t>APÉNDICE X</w:t>
                    </w:r>
                  </w:p>
                </w:txbxContent>
              </v:textbox>
              <w10:wrap anchorx="page" anchory="page"/>
            </v:shape>
          </w:pict>
        </mc:Fallback>
      </mc:AlternateContent>
    </w:r>
    <w:r>
      <w:rPr>
        <w:noProof/>
      </w:rPr>
      <mc:AlternateContent>
        <mc:Choice Requires="wps">
          <w:drawing>
            <wp:anchor distT="0" distB="0" distL="114300" distR="114300" simplePos="0" relativeHeight="251801600" behindDoc="1" locked="0" layoutInCell="1" allowOverlap="1" wp14:anchorId="6FE2FAAE" wp14:editId="71B7DC92">
              <wp:simplePos x="0" y="0"/>
              <wp:positionH relativeFrom="page">
                <wp:posOffset>526415</wp:posOffset>
              </wp:positionH>
              <wp:positionV relativeFrom="page">
                <wp:posOffset>419100</wp:posOffset>
              </wp:positionV>
              <wp:extent cx="4358640" cy="0"/>
              <wp:effectExtent l="0" t="0" r="0" b="0"/>
              <wp:wrapNone/>
              <wp:docPr id="2672" name="Shape 2672"/>
              <wp:cNvGraphicFramePr/>
              <a:graphic xmlns:a="http://schemas.openxmlformats.org/drawingml/2006/main">
                <a:graphicData uri="http://schemas.microsoft.com/office/word/2010/wordprocessingShape">
                  <wps:wsp>
                    <wps:cNvCnPr/>
                    <wps:spPr>
                      <a:xfrm>
                        <a:off x="0" y="0"/>
                        <a:ext cx="4358640" cy="0"/>
                      </a:xfrm>
                      <a:prstGeom prst="straightConnector1">
                        <a:avLst/>
                      </a:prstGeom>
                      <a:ln w="12700">
                        <a:solidFill/>
                      </a:ln>
                    </wps:spPr>
                    <wps:bodyPr/>
                  </wps:wsp>
                </a:graphicData>
              </a:graphic>
            </wp:anchor>
          </w:drawing>
        </mc:Choice>
        <mc:Fallback>
          <w:pict>
            <v:shapetype w14:anchorId="5E531F3A" id="_x0000_t32" coordsize="21600,21600" o:spt="32" o:oned="t" path="m,l21600,21600e" filled="f">
              <v:path arrowok="t" fillok="f" o:connecttype="none"/>
              <o:lock v:ext="edit" shapetype="t"/>
            </v:shapetype>
            <v:shape id="Shape 2672" o:spid="_x0000_s1026" type="#_x0000_t32" style="position:absolute;margin-left:41.45pt;margin-top:33pt;width:343.2pt;height:0;z-index:-251514880;visibility:visible;mso-wrap-style:square;mso-wrap-distance-left:9pt;mso-wrap-distance-top:0;mso-wrap-distance-right:9pt;mso-wrap-distance-bottom:0;mso-position-horizontal:absolute;mso-position-horizontal-relative:page;mso-position-vertical:absolute;mso-position-vertical-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" strokeweight="1pt">
              <w10:wrap anchorx="page" anchory="page"/>
            </v:shape>
          </w:pict>
        </mc:Fallback>
      </mc:AlternateContent>
    </w:r>
  </w:p>
</w:hdr>
</file>

<file path=word/header23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9D6701" w14:textId="77777777" w:rsidR="00924992" w:rsidRDefault="00924992">
    <w:pPr>
      <w:spacing w:line="1" w:lineRule="exact"/>
    </w:pPr>
    <w:r>
      <w:rPr>
        <w:noProof/>
      </w:rPr>
      <mc:AlternateContent>
        <mc:Choice Requires="wps">
          <w:drawing>
            <wp:anchor distT="0" distB="0" distL="0" distR="0" simplePos="0" relativeHeight="251990016" behindDoc="1" locked="0" layoutInCell="1" allowOverlap="1" wp14:anchorId="3595B484" wp14:editId="4B3AFFF3">
              <wp:simplePos x="0" y="0"/>
              <wp:positionH relativeFrom="page">
                <wp:posOffset>2414905</wp:posOffset>
              </wp:positionH>
              <wp:positionV relativeFrom="page">
                <wp:posOffset>295910</wp:posOffset>
              </wp:positionV>
              <wp:extent cx="2441575" cy="85090"/>
              <wp:effectExtent l="0" t="0" r="0" b="0"/>
              <wp:wrapNone/>
              <wp:docPr id="2667" name="Shape 2667"/>
              <wp:cNvGraphicFramePr/>
              <a:graphic xmlns:a="http://schemas.openxmlformats.org/drawingml/2006/main">
                <a:graphicData uri="http://schemas.microsoft.com/office/word/2010/wordprocessingShape">
                  <wps:wsp>
                    <wps:cNvSpPr txBox="1"/>
                    <wps:spPr>
                      <a:xfrm>
                        <a:off x="0" y="0"/>
                        <a:ext cx="2441575" cy="85090"/>
                      </a:xfrm>
                      <a:prstGeom prst="rect">
                        <a:avLst/>
                      </a:prstGeom>
                      <a:noFill/>
                    </wps:spPr>
                    <wps:txbx>
                      <w:txbxContent>
                        <w:p w14:paraId="7C2260B1" w14:textId="77777777" w:rsidR="00924992" w:rsidRDefault="00924992">
                          <w:pPr>
                            <w:pStyle w:val="Headerorfooter0"/>
                            <w:tabs>
                              <w:tab w:val="right" w:pos="3845"/>
                            </w:tabs>
                            <w:rPr>
                              <w:sz w:val="16"/>
                              <w:szCs w:val="16"/>
                            </w:rPr>
                          </w:pPr>
                          <w:r>
                            <w:t>APÉNDICE IX</w:t>
                          </w:r>
                          <w:r>
                            <w:tab/>
                          </w:r>
                          <w:r>
                            <w:fldChar w:fldCharType="begin"/>
                          </w:r>
                          <w:r>
                            <w:instrText xml:space="preserve"> PAGE \* MERGEFORMAT </w:instrText>
                          </w:r>
                          <w:r>
                            <w:fldChar w:fldCharType="separate"/>
                          </w:r>
                          <w:r>
                            <w:rPr>
                              <w:sz w:val="16"/>
                              <w:szCs w:val="16"/>
                            </w:rPr>
                            <w:t>#</w:t>
                          </w:r>
                          <w:r>
                            <w:rPr>
                              <w:sz w:val="16"/>
                              <w:szCs w:val="16"/>
                            </w:rPr>
                            <w:fldChar w:fldCharType="end"/>
                          </w:r>
                        </w:p>
                      </w:txbxContent>
                    </wps:txbx>
                    <wps:bodyPr lIns="0" tIns="0" rIns="0" bIns="0">
                      <a:spAutoFit/>
                    </wps:bodyPr>
                  </wps:wsp>
                </a:graphicData>
              </a:graphic>
            </wp:anchor>
          </w:drawing>
        </mc:Choice>
        <mc:Fallback>
          <w:pict>
            <v:shapetype w14:anchorId="3595B484" id="_x0000_t202" coordsize="21600,21600" o:spt="202" path="m,l,21600r21600,l21600,xe">
              <v:stroke joinstyle="miter"/>
              <v:path gradientshapeok="t" o:connecttype="rect"/>
            </v:shapetype>
            <v:shape id="Shape 2667" o:spid="_x0000_s1350" type="#_x0000_t202" style="position:absolute;margin-left:190.15pt;margin-top:23.3pt;width:192.25pt;height:6.7pt;z-index:-25132646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" filled="f" stroked="f">
              <v:textbox style="mso-fit-shape-to-text:t" inset="0,0,0,0">
                <w:txbxContent>
                  <w:p w14:paraId="7C2260B1" w14:textId="77777777" w:rsidR="00924992" w:rsidRDefault="00924992">
                    <w:pPr>
                      <w:pStyle w:val="Headerorfooter0"/>
                      <w:tabs>
                        <w:tab w:val="right" w:pos="3845"/>
                      </w:tabs>
                      <w:rPr>
                        <w:sz w:val="16"/>
                        <w:szCs w:val="16"/>
                      </w:rPr>
                    </w:pPr>
                    <w:r>
                      <w:t>APÉNDICE IX</w:t>
                    </w:r>
                    <w:r>
                      <w:tab/>
                    </w:r>
                    <w:r>
                      <w:fldChar w:fldCharType="begin"/>
                    </w:r>
                    <w:r>
                      <w:instrText xml:space="preserve"> PAGE \* MERGEFORMAT </w:instrText>
                    </w:r>
                    <w:r>
                      <w:fldChar w:fldCharType="separate"/>
                    </w:r>
                    <w:r>
                      <w:rPr>
                        <w:sz w:val="16"/>
                        <w:szCs w:val="16"/>
                      </w:rPr>
                      <w:t>#</w:t>
                    </w:r>
                    <w:r>
                      <w:rPr>
                        <w:sz w:val="16"/>
                        <w:szCs w:val="16"/>
                      </w:rPr>
                      <w:fldChar w:fldCharType="end"/>
                    </w:r>
                  </w:p>
                </w:txbxContent>
              </v:textbox>
              <w10:wrap anchorx="page" anchory="page"/>
            </v:shape>
          </w:pict>
        </mc:Fallback>
      </mc:AlternateContent>
    </w:r>
    <w:r>
      <w:rPr>
        <w:noProof/>
      </w:rPr>
      <mc:AlternateContent>
        <mc:Choice Requires="wps">
          <w:drawing>
            <wp:anchor distT="0" distB="0" distL="114300" distR="114300" simplePos="0" relativeHeight="251800576" behindDoc="1" locked="0" layoutInCell="1" allowOverlap="1" wp14:anchorId="3179D882" wp14:editId="2A73B4CA">
              <wp:simplePos x="0" y="0"/>
              <wp:positionH relativeFrom="page">
                <wp:posOffset>518795</wp:posOffset>
              </wp:positionH>
              <wp:positionV relativeFrom="page">
                <wp:posOffset>419100</wp:posOffset>
              </wp:positionV>
              <wp:extent cx="4358640" cy="0"/>
              <wp:effectExtent l="0" t="0" r="0" b="0"/>
              <wp:wrapNone/>
              <wp:docPr id="2669" name="Shape 2669"/>
              <wp:cNvGraphicFramePr/>
              <a:graphic xmlns:a="http://schemas.openxmlformats.org/drawingml/2006/main">
                <a:graphicData uri="http://schemas.microsoft.com/office/word/2010/wordprocessingShape">
                  <wps:wsp>
                    <wps:cNvCnPr/>
                    <wps:spPr>
                      <a:xfrm>
                        <a:off x="0" y="0"/>
                        <a:ext cx="4358640" cy="0"/>
                      </a:xfrm>
                      <a:prstGeom prst="straightConnector1">
                        <a:avLst/>
                      </a:prstGeom>
                      <a:ln w="12700">
                        <a:solidFill/>
                      </a:ln>
                    </wps:spPr>
                    <wps:bodyPr/>
                  </wps:wsp>
                </a:graphicData>
              </a:graphic>
            </wp:anchor>
          </w:drawing>
        </mc:Choice>
        <mc:Fallback>
          <w:pict>
            <v:shapetype w14:anchorId="7AD2E4FE" id="_x0000_t32" coordsize="21600,21600" o:spt="32" o:oned="t" path="m,l21600,21600e" filled="f">
              <v:path arrowok="t" fillok="f" o:connecttype="none"/>
              <o:lock v:ext="edit" shapetype="t"/>
            </v:shapetype>
            <v:shape id="Shape 2669" o:spid="_x0000_s1026" type="#_x0000_t32" style="position:absolute;margin-left:40.85pt;margin-top:33pt;width:343.2pt;height:0;z-index:-251515904;visibility:visible;mso-wrap-style:square;mso-wrap-distance-left:9pt;mso-wrap-distance-top:0;mso-wrap-distance-right:9pt;mso-wrap-distance-bottom:0;mso-position-horizontal:absolute;mso-position-horizontal-relative:page;mso-position-vertical:absolute;mso-position-vertical-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" strokeweight="1pt">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484C08"/>
    <w:multiLevelType w:val="multilevel"/>
    <w:tmpl w:val="12E65008"/>
    <w:lvl w:ilvl="0">
      <w:start w:val="1"/>
      <w:numFmt w:val="decimal"/>
      <w:lvlText w:val="%1"/>
      <w:lvlJc w:val="left"/>
      <w:rPr>
        <w:rFonts w:ascii="Times New Roman" w:eastAsia="Times New Roman" w:hAnsi="Times New Roman" w:cs="Times New Roman"/>
        <w:b w:val="0"/>
        <w:bCs w:val="0"/>
        <w:i w:val="0"/>
        <w:iCs w:val="0"/>
        <w:smallCaps w:val="0"/>
        <w:strike w:val="0"/>
        <w:color w:val="231F20"/>
        <w:spacing w:val="0"/>
        <w:w w:val="100"/>
        <w:position w:val="0"/>
        <w:sz w:val="8"/>
        <w:szCs w:val="8"/>
        <w:u w:val="none"/>
        <w:shd w:val="clear" w:color="auto" w:fill="auto"/>
        <w:vertAlign w:val="superscrip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 w15:restartNumberingAfterBreak="0">
    <w:nsid w:val="01733C52"/>
    <w:multiLevelType w:val="multilevel"/>
    <w:tmpl w:val="B8D0A9F6"/>
    <w:lvl w:ilvl="0">
      <w:start w:val="1"/>
      <w:numFmt w:val="decimal"/>
      <w:lvlText w:val="%1"/>
      <w:lvlJc w:val="left"/>
      <w:rPr>
        <w:rFonts w:ascii="Times New Roman" w:eastAsia="Times New Roman" w:hAnsi="Times New Roman" w:cs="Times New Roman"/>
        <w:b w:val="0"/>
        <w:bCs w:val="0"/>
        <w:i w:val="0"/>
        <w:iCs w:val="0"/>
        <w:smallCaps w:val="0"/>
        <w:strike w:val="0"/>
        <w:color w:val="231F20"/>
        <w:spacing w:val="0"/>
        <w:w w:val="100"/>
        <w:position w:val="0"/>
        <w:sz w:val="8"/>
        <w:szCs w:val="8"/>
        <w:u w:val="none"/>
        <w:shd w:val="clear" w:color="auto" w:fill="auto"/>
        <w:vertAlign w:val="superscrip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 w15:restartNumberingAfterBreak="0">
    <w:nsid w:val="01BC443B"/>
    <w:multiLevelType w:val="multilevel"/>
    <w:tmpl w:val="9A74C74E"/>
    <w:lvl w:ilvl="0">
      <w:start w:val="1"/>
      <w:numFmt w:val="bullet"/>
      <w:lvlText w:val="•"/>
      <w:lvlJc w:val="left"/>
      <w:rPr>
        <w:rFonts w:ascii="Garamond" w:eastAsia="Garamond" w:hAnsi="Garamond" w:cs="Garamond"/>
        <w:b w:val="0"/>
        <w:bCs w:val="0"/>
        <w:i w:val="0"/>
        <w:iCs w:val="0"/>
        <w:smallCaps w:val="0"/>
        <w:strike w:val="0"/>
        <w:color w:val="231F20"/>
        <w:spacing w:val="0"/>
        <w:w w:val="100"/>
        <w:position w:val="0"/>
        <w:sz w:val="19"/>
        <w:szCs w:val="19"/>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 w15:restartNumberingAfterBreak="0">
    <w:nsid w:val="01F00E29"/>
    <w:multiLevelType w:val="multilevel"/>
    <w:tmpl w:val="D5A25662"/>
    <w:lvl w:ilvl="0">
      <w:start w:val="1"/>
      <w:numFmt w:val="decimal"/>
      <w:lvlText w:val="%1"/>
      <w:lvlJc w:val="left"/>
      <w:rPr>
        <w:rFonts w:ascii="Times New Roman" w:eastAsia="Times New Roman" w:hAnsi="Times New Roman" w:cs="Times New Roman"/>
        <w:b w:val="0"/>
        <w:bCs w:val="0"/>
        <w:i w:val="0"/>
        <w:iCs w:val="0"/>
        <w:smallCaps w:val="0"/>
        <w:strike w:val="0"/>
        <w:color w:val="231F20"/>
        <w:spacing w:val="0"/>
        <w:w w:val="100"/>
        <w:position w:val="0"/>
        <w:sz w:val="8"/>
        <w:szCs w:val="8"/>
        <w:u w:val="none"/>
        <w:shd w:val="clear" w:color="auto" w:fill="auto"/>
        <w:vertAlign w:val="superscrip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 w15:restartNumberingAfterBreak="0">
    <w:nsid w:val="03DA65F6"/>
    <w:multiLevelType w:val="multilevel"/>
    <w:tmpl w:val="D17E4D38"/>
    <w:lvl w:ilvl="0">
      <w:start w:val="1"/>
      <w:numFmt w:val="bullet"/>
      <w:lvlText w:val="•"/>
      <w:lvlJc w:val="left"/>
      <w:rPr>
        <w:rFonts w:ascii="Times New Roman" w:eastAsia="Times New Roman" w:hAnsi="Times New Roman" w:cs="Times New Roman"/>
        <w:b w:val="0"/>
        <w:bCs w:val="0"/>
        <w:i w:val="0"/>
        <w:iCs w:val="0"/>
        <w:smallCaps w:val="0"/>
        <w:strike w:val="0"/>
        <w:color w:val="231F20"/>
        <w:spacing w:val="0"/>
        <w:w w:val="100"/>
        <w:position w:val="0"/>
        <w:sz w:val="16"/>
        <w:szCs w:val="16"/>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 w15:restartNumberingAfterBreak="0">
    <w:nsid w:val="04CC45F8"/>
    <w:multiLevelType w:val="multilevel"/>
    <w:tmpl w:val="F1C6D830"/>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8"/>
        <w:szCs w:val="8"/>
        <w:u w:val="none"/>
        <w:shd w:val="clear" w:color="auto" w:fill="auto"/>
        <w:vertAlign w:val="superscrip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6" w15:restartNumberingAfterBreak="0">
    <w:nsid w:val="04E60D15"/>
    <w:multiLevelType w:val="multilevel"/>
    <w:tmpl w:val="4080D88E"/>
    <w:lvl w:ilvl="0">
      <w:start w:val="1"/>
      <w:numFmt w:val="decimal"/>
      <w:lvlText w:val="%1."/>
      <w:lvlJc w:val="left"/>
      <w:rPr>
        <w:rFonts w:ascii="Garamond" w:eastAsia="Garamond" w:hAnsi="Garamond" w:cs="Garamond"/>
        <w:b w:val="0"/>
        <w:bCs w:val="0"/>
        <w:i w:val="0"/>
        <w:iCs w:val="0"/>
        <w:smallCaps w:val="0"/>
        <w:strike w:val="0"/>
        <w:color w:val="231F20"/>
        <w:spacing w:val="0"/>
        <w:w w:val="100"/>
        <w:position w:val="0"/>
        <w:sz w:val="19"/>
        <w:szCs w:val="19"/>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7" w15:restartNumberingAfterBreak="0">
    <w:nsid w:val="05A537B7"/>
    <w:multiLevelType w:val="multilevel"/>
    <w:tmpl w:val="4E5478D6"/>
    <w:lvl w:ilvl="0">
      <w:start w:val="1"/>
      <w:numFmt w:val="decimal"/>
      <w:lvlText w:val="%1"/>
      <w:lvlJc w:val="left"/>
      <w:rPr>
        <w:rFonts w:ascii="Times New Roman" w:eastAsia="Times New Roman" w:hAnsi="Times New Roman" w:cs="Times New Roman"/>
        <w:b w:val="0"/>
        <w:bCs w:val="0"/>
        <w:i w:val="0"/>
        <w:iCs w:val="0"/>
        <w:smallCaps w:val="0"/>
        <w:strike w:val="0"/>
        <w:color w:val="231F20"/>
        <w:spacing w:val="0"/>
        <w:w w:val="100"/>
        <w:position w:val="0"/>
        <w:sz w:val="8"/>
        <w:szCs w:val="8"/>
        <w:u w:val="none"/>
        <w:shd w:val="clear" w:color="auto" w:fill="auto"/>
        <w:vertAlign w:val="superscrip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8" w15:restartNumberingAfterBreak="0">
    <w:nsid w:val="06F0541C"/>
    <w:multiLevelType w:val="multilevel"/>
    <w:tmpl w:val="FC6A00BA"/>
    <w:lvl w:ilvl="0">
      <w:start w:val="3"/>
      <w:numFmt w:val="decimal"/>
      <w:lvlText w:val="%1"/>
      <w:lvlJc w:val="left"/>
      <w:rPr>
        <w:rFonts w:ascii="Times New Roman" w:eastAsia="Times New Roman" w:hAnsi="Times New Roman" w:cs="Times New Roman"/>
        <w:b w:val="0"/>
        <w:bCs w:val="0"/>
        <w:i w:val="0"/>
        <w:iCs w:val="0"/>
        <w:smallCaps w:val="0"/>
        <w:strike w:val="0"/>
        <w:color w:val="231F20"/>
        <w:spacing w:val="0"/>
        <w:w w:val="100"/>
        <w:position w:val="0"/>
        <w:sz w:val="8"/>
        <w:szCs w:val="8"/>
        <w:u w:val="none"/>
        <w:shd w:val="clear" w:color="auto" w:fill="auto"/>
        <w:vertAlign w:val="superscrip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9" w15:restartNumberingAfterBreak="0">
    <w:nsid w:val="080730CA"/>
    <w:multiLevelType w:val="multilevel"/>
    <w:tmpl w:val="D8EEBF9E"/>
    <w:lvl w:ilvl="0">
      <w:start w:val="1"/>
      <w:numFmt w:val="bullet"/>
      <w:lvlText w:val="□"/>
      <w:lvlJc w:val="left"/>
      <w:rPr>
        <w:rFonts w:ascii="Arial" w:eastAsia="Arial" w:hAnsi="Arial" w:cs="Arial"/>
        <w:b w:val="0"/>
        <w:bCs w:val="0"/>
        <w:i w:val="0"/>
        <w:iCs w:val="0"/>
        <w:smallCaps w:val="0"/>
        <w:strike w:val="0"/>
        <w:color w:val="231F20"/>
        <w:spacing w:val="0"/>
        <w:w w:val="100"/>
        <w:position w:val="0"/>
        <w:sz w:val="10"/>
        <w:szCs w:val="10"/>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0" w15:restartNumberingAfterBreak="0">
    <w:nsid w:val="091C1E7C"/>
    <w:multiLevelType w:val="multilevel"/>
    <w:tmpl w:val="6B807692"/>
    <w:lvl w:ilvl="0">
      <w:start w:val="1"/>
      <w:numFmt w:val="upperLetter"/>
      <w:lvlText w:val="%1."/>
      <w:lvlJc w:val="left"/>
      <w:rPr>
        <w:rFonts w:ascii="Times New Roman" w:eastAsia="Times New Roman" w:hAnsi="Times New Roman" w:cs="Times New Roman"/>
        <w:b w:val="0"/>
        <w:bCs w:val="0"/>
        <w:i w:val="0"/>
        <w:iCs w:val="0"/>
        <w:smallCaps w:val="0"/>
        <w:strike w:val="0"/>
        <w:color w:val="231F20"/>
        <w:spacing w:val="0"/>
        <w:w w:val="100"/>
        <w:position w:val="0"/>
        <w:sz w:val="16"/>
        <w:szCs w:val="16"/>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1" w15:restartNumberingAfterBreak="0">
    <w:nsid w:val="098F6712"/>
    <w:multiLevelType w:val="multilevel"/>
    <w:tmpl w:val="E8688666"/>
    <w:lvl w:ilvl="0">
      <w:start w:val="1"/>
      <w:numFmt w:val="decimal"/>
      <w:lvlText w:val="%1"/>
      <w:lvlJc w:val="left"/>
      <w:rPr>
        <w:rFonts w:ascii="Garamond" w:eastAsia="Garamond" w:hAnsi="Garamond" w:cs="Garamond"/>
        <w:b w:val="0"/>
        <w:bCs w:val="0"/>
        <w:i w:val="0"/>
        <w:iCs w:val="0"/>
        <w:smallCaps w:val="0"/>
        <w:strike w:val="0"/>
        <w:color w:val="231F20"/>
        <w:spacing w:val="0"/>
        <w:w w:val="100"/>
        <w:position w:val="0"/>
        <w:sz w:val="19"/>
        <w:szCs w:val="19"/>
        <w:u w:val="none"/>
        <w:shd w:val="clear" w:color="auto" w:fill="auto"/>
        <w:vertAlign w:val="superscrip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2" w15:restartNumberingAfterBreak="0">
    <w:nsid w:val="0A837A37"/>
    <w:multiLevelType w:val="multilevel"/>
    <w:tmpl w:val="B566B676"/>
    <w:lvl w:ilvl="0">
      <w:start w:val="1"/>
      <w:numFmt w:val="bullet"/>
      <w:lvlText w:val="•"/>
      <w:lvlJc w:val="left"/>
      <w:rPr>
        <w:rFonts w:ascii="Times New Roman" w:eastAsia="Times New Roman" w:hAnsi="Times New Roman" w:cs="Times New Roman"/>
        <w:b/>
        <w:bCs/>
        <w:i/>
        <w:iCs/>
        <w:smallCaps w:val="0"/>
        <w:strike w:val="0"/>
        <w:color w:val="231F20"/>
        <w:spacing w:val="0"/>
        <w:w w:val="100"/>
        <w:position w:val="0"/>
        <w:sz w:val="16"/>
        <w:szCs w:val="16"/>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3" w15:restartNumberingAfterBreak="0">
    <w:nsid w:val="0B310F33"/>
    <w:multiLevelType w:val="multilevel"/>
    <w:tmpl w:val="ACA25716"/>
    <w:lvl w:ilvl="0">
      <w:start w:val="1"/>
      <w:numFmt w:val="decimal"/>
      <w:lvlText w:val="%1"/>
      <w:lvlJc w:val="left"/>
      <w:rPr>
        <w:rFonts w:ascii="Times New Roman" w:eastAsia="Times New Roman" w:hAnsi="Times New Roman" w:cs="Times New Roman"/>
        <w:b w:val="0"/>
        <w:bCs w:val="0"/>
        <w:i w:val="0"/>
        <w:iCs w:val="0"/>
        <w:smallCaps w:val="0"/>
        <w:strike w:val="0"/>
        <w:color w:val="231F20"/>
        <w:spacing w:val="0"/>
        <w:w w:val="100"/>
        <w:position w:val="0"/>
        <w:sz w:val="16"/>
        <w:szCs w:val="16"/>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4" w15:restartNumberingAfterBreak="0">
    <w:nsid w:val="0B5B62B1"/>
    <w:multiLevelType w:val="multilevel"/>
    <w:tmpl w:val="E7AA22B4"/>
    <w:lvl w:ilvl="0">
      <w:start w:val="1"/>
      <w:numFmt w:val="bullet"/>
      <w:lvlText w:val="•"/>
      <w:lvlJc w:val="left"/>
      <w:rPr>
        <w:rFonts w:ascii="Times New Roman" w:eastAsia="Times New Roman" w:hAnsi="Times New Roman" w:cs="Times New Roman"/>
        <w:b w:val="0"/>
        <w:bCs w:val="0"/>
        <w:i w:val="0"/>
        <w:iCs w:val="0"/>
        <w:smallCaps w:val="0"/>
        <w:strike w:val="0"/>
        <w:color w:val="231F20"/>
        <w:spacing w:val="0"/>
        <w:w w:val="100"/>
        <w:position w:val="0"/>
        <w:sz w:val="16"/>
        <w:szCs w:val="16"/>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5" w15:restartNumberingAfterBreak="0">
    <w:nsid w:val="0C264F45"/>
    <w:multiLevelType w:val="multilevel"/>
    <w:tmpl w:val="B9ACB18C"/>
    <w:lvl w:ilvl="0">
      <w:start w:val="1"/>
      <w:numFmt w:val="bullet"/>
      <w:lvlText w:val="•"/>
      <w:lvlJc w:val="left"/>
      <w:rPr>
        <w:rFonts w:ascii="Garamond" w:eastAsia="Garamond" w:hAnsi="Garamond" w:cs="Garamond"/>
        <w:b w:val="0"/>
        <w:bCs w:val="0"/>
        <w:i w:val="0"/>
        <w:iCs w:val="0"/>
        <w:smallCaps w:val="0"/>
        <w:strike w:val="0"/>
        <w:color w:val="231F20"/>
        <w:spacing w:val="0"/>
        <w:w w:val="100"/>
        <w:position w:val="0"/>
        <w:sz w:val="19"/>
        <w:szCs w:val="19"/>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6" w15:restartNumberingAfterBreak="0">
    <w:nsid w:val="0E197A34"/>
    <w:multiLevelType w:val="multilevel"/>
    <w:tmpl w:val="DDF48DFE"/>
    <w:lvl w:ilvl="0">
      <w:start w:val="1"/>
      <w:numFmt w:val="decimal"/>
      <w:lvlText w:val="%1"/>
      <w:lvlJc w:val="left"/>
      <w:rPr>
        <w:rFonts w:ascii="Times New Roman" w:eastAsia="Times New Roman" w:hAnsi="Times New Roman" w:cs="Times New Roman"/>
        <w:b w:val="0"/>
        <w:bCs w:val="0"/>
        <w:i w:val="0"/>
        <w:iCs w:val="0"/>
        <w:smallCaps w:val="0"/>
        <w:strike w:val="0"/>
        <w:color w:val="231F20"/>
        <w:spacing w:val="0"/>
        <w:w w:val="100"/>
        <w:position w:val="0"/>
        <w:sz w:val="8"/>
        <w:szCs w:val="8"/>
        <w:u w:val="none"/>
        <w:shd w:val="clear" w:color="auto" w:fill="auto"/>
        <w:vertAlign w:val="superscrip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7" w15:restartNumberingAfterBreak="0">
    <w:nsid w:val="0F60087B"/>
    <w:multiLevelType w:val="multilevel"/>
    <w:tmpl w:val="F7E820E2"/>
    <w:lvl w:ilvl="0">
      <w:start w:val="1"/>
      <w:numFmt w:val="upperLetter"/>
      <w:lvlText w:val="(%1)"/>
      <w:lvlJc w:val="left"/>
      <w:rPr>
        <w:rFonts w:ascii="Times New Roman" w:eastAsia="Times New Roman" w:hAnsi="Times New Roman" w:cs="Times New Roman"/>
        <w:b w:val="0"/>
        <w:bCs w:val="0"/>
        <w:i w:val="0"/>
        <w:iCs w:val="0"/>
        <w:smallCaps w:val="0"/>
        <w:strike w:val="0"/>
        <w:color w:val="231F20"/>
        <w:spacing w:val="0"/>
        <w:w w:val="100"/>
        <w:position w:val="0"/>
        <w:sz w:val="15"/>
        <w:szCs w:val="15"/>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8" w15:restartNumberingAfterBreak="0">
    <w:nsid w:val="0F7E0156"/>
    <w:multiLevelType w:val="multilevel"/>
    <w:tmpl w:val="ED2C6D2C"/>
    <w:lvl w:ilvl="0">
      <w:start w:val="1"/>
      <w:numFmt w:val="bullet"/>
      <w:lvlText w:val="•"/>
      <w:lvlJc w:val="left"/>
      <w:rPr>
        <w:rFonts w:ascii="Times New Roman" w:eastAsia="Times New Roman" w:hAnsi="Times New Roman" w:cs="Times New Roman"/>
        <w:b w:val="0"/>
        <w:bCs w:val="0"/>
        <w:i w:val="0"/>
        <w:iCs w:val="0"/>
        <w:smallCaps w:val="0"/>
        <w:strike w:val="0"/>
        <w:color w:val="231F20"/>
        <w:spacing w:val="0"/>
        <w:w w:val="100"/>
        <w:position w:val="0"/>
        <w:sz w:val="16"/>
        <w:szCs w:val="16"/>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9" w15:restartNumberingAfterBreak="0">
    <w:nsid w:val="104C6F74"/>
    <w:multiLevelType w:val="multilevel"/>
    <w:tmpl w:val="E66EC10C"/>
    <w:lvl w:ilvl="0">
      <w:start w:val="1"/>
      <w:numFmt w:val="bullet"/>
      <w:lvlText w:val="•"/>
      <w:lvlJc w:val="left"/>
      <w:rPr>
        <w:rFonts w:ascii="Garamond" w:eastAsia="Garamond" w:hAnsi="Garamond" w:cs="Garamond"/>
        <w:b w:val="0"/>
        <w:bCs w:val="0"/>
        <w:i w:val="0"/>
        <w:iCs w:val="0"/>
        <w:smallCaps w:val="0"/>
        <w:strike w:val="0"/>
        <w:color w:val="231F20"/>
        <w:spacing w:val="0"/>
        <w:w w:val="100"/>
        <w:position w:val="0"/>
        <w:sz w:val="19"/>
        <w:szCs w:val="19"/>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0" w15:restartNumberingAfterBreak="0">
    <w:nsid w:val="10955F51"/>
    <w:multiLevelType w:val="multilevel"/>
    <w:tmpl w:val="E9227402"/>
    <w:lvl w:ilvl="0">
      <w:start w:val="1"/>
      <w:numFmt w:val="bullet"/>
      <w:lvlText w:val="*"/>
      <w:lvlJc w:val="left"/>
      <w:rPr>
        <w:rFonts w:ascii="Times New Roman" w:eastAsia="Times New Roman" w:hAnsi="Times New Roman" w:cs="Times New Roman"/>
        <w:b w:val="0"/>
        <w:bCs w:val="0"/>
        <w:i w:val="0"/>
        <w:iCs w:val="0"/>
        <w:smallCaps w:val="0"/>
        <w:strike w:val="0"/>
        <w:color w:val="231F20"/>
        <w:spacing w:val="0"/>
        <w:w w:val="100"/>
        <w:position w:val="0"/>
        <w:sz w:val="15"/>
        <w:szCs w:val="15"/>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1" w15:restartNumberingAfterBreak="0">
    <w:nsid w:val="10B360C5"/>
    <w:multiLevelType w:val="multilevel"/>
    <w:tmpl w:val="6A48C06A"/>
    <w:lvl w:ilvl="0">
      <w:start w:val="1"/>
      <w:numFmt w:val="decimal"/>
      <w:lvlText w:val="%1"/>
      <w:lvlJc w:val="left"/>
      <w:rPr>
        <w:rFonts w:ascii="Times New Roman" w:eastAsia="Times New Roman" w:hAnsi="Times New Roman" w:cs="Times New Roman"/>
        <w:b w:val="0"/>
        <w:bCs w:val="0"/>
        <w:i w:val="0"/>
        <w:iCs w:val="0"/>
        <w:smallCaps w:val="0"/>
        <w:strike w:val="0"/>
        <w:color w:val="231F20"/>
        <w:spacing w:val="0"/>
        <w:w w:val="100"/>
        <w:position w:val="0"/>
        <w:sz w:val="8"/>
        <w:szCs w:val="8"/>
        <w:u w:val="none"/>
        <w:shd w:val="clear" w:color="auto" w:fill="auto"/>
        <w:vertAlign w:val="superscrip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2" w15:restartNumberingAfterBreak="0">
    <w:nsid w:val="118B3383"/>
    <w:multiLevelType w:val="multilevel"/>
    <w:tmpl w:val="E46ED3FE"/>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15"/>
        <w:szCs w:val="15"/>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3" w15:restartNumberingAfterBreak="0">
    <w:nsid w:val="11D60126"/>
    <w:multiLevelType w:val="multilevel"/>
    <w:tmpl w:val="8BC22392"/>
    <w:lvl w:ilvl="0">
      <w:start w:val="1"/>
      <w:numFmt w:val="decimal"/>
      <w:lvlText w:val="%1"/>
      <w:lvlJc w:val="left"/>
      <w:rPr>
        <w:rFonts w:ascii="Times New Roman" w:eastAsia="Times New Roman" w:hAnsi="Times New Roman" w:cs="Times New Roman"/>
        <w:b w:val="0"/>
        <w:bCs w:val="0"/>
        <w:i w:val="0"/>
        <w:iCs w:val="0"/>
        <w:smallCaps w:val="0"/>
        <w:strike w:val="0"/>
        <w:color w:val="231F20"/>
        <w:spacing w:val="0"/>
        <w:w w:val="100"/>
        <w:position w:val="0"/>
        <w:sz w:val="8"/>
        <w:szCs w:val="8"/>
        <w:u w:val="none"/>
        <w:shd w:val="clear" w:color="auto" w:fill="auto"/>
        <w:vertAlign w:val="superscrip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4" w15:restartNumberingAfterBreak="0">
    <w:nsid w:val="12CF55A4"/>
    <w:multiLevelType w:val="multilevel"/>
    <w:tmpl w:val="5902347A"/>
    <w:lvl w:ilvl="0">
      <w:start w:val="1"/>
      <w:numFmt w:val="upperRoman"/>
      <w:lvlText w:val="%1."/>
      <w:lvlJc w:val="left"/>
      <w:rPr>
        <w:rFonts w:ascii="Garamond" w:eastAsia="Garamond" w:hAnsi="Garamond" w:cs="Garamond"/>
        <w:b w:val="0"/>
        <w:bCs w:val="0"/>
        <w:i w:val="0"/>
        <w:iCs w:val="0"/>
        <w:smallCaps w:val="0"/>
        <w:strike w:val="0"/>
        <w:color w:val="231F20"/>
        <w:spacing w:val="0"/>
        <w:w w:val="100"/>
        <w:position w:val="0"/>
        <w:sz w:val="19"/>
        <w:szCs w:val="19"/>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5" w15:restartNumberingAfterBreak="0">
    <w:nsid w:val="14541776"/>
    <w:multiLevelType w:val="multilevel"/>
    <w:tmpl w:val="7722E054"/>
    <w:lvl w:ilvl="0">
      <w:start w:val="1"/>
      <w:numFmt w:val="bullet"/>
      <w:lvlText w:val="♦"/>
      <w:lvlJc w:val="left"/>
      <w:rPr>
        <w:rFonts w:ascii="Times New Roman" w:eastAsia="Times New Roman" w:hAnsi="Times New Roman" w:cs="Times New Roman"/>
        <w:b w:val="0"/>
        <w:bCs w:val="0"/>
        <w:i w:val="0"/>
        <w:iCs w:val="0"/>
        <w:smallCaps w:val="0"/>
        <w:strike w:val="0"/>
        <w:color w:val="231F20"/>
        <w:spacing w:val="0"/>
        <w:w w:val="100"/>
        <w:position w:val="0"/>
        <w:sz w:val="16"/>
        <w:szCs w:val="16"/>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6" w15:restartNumberingAfterBreak="0">
    <w:nsid w:val="14582528"/>
    <w:multiLevelType w:val="multilevel"/>
    <w:tmpl w:val="48CC3240"/>
    <w:lvl w:ilvl="0">
      <w:start w:val="1"/>
      <w:numFmt w:val="bullet"/>
      <w:lvlText w:val="•"/>
      <w:lvlJc w:val="left"/>
      <w:rPr>
        <w:rFonts w:ascii="Garamond" w:eastAsia="Garamond" w:hAnsi="Garamond" w:cs="Garamond"/>
        <w:b w:val="0"/>
        <w:bCs w:val="0"/>
        <w:i w:val="0"/>
        <w:iCs w:val="0"/>
        <w:smallCaps w:val="0"/>
        <w:strike w:val="0"/>
        <w:color w:val="231F20"/>
        <w:spacing w:val="0"/>
        <w:w w:val="100"/>
        <w:position w:val="0"/>
        <w:sz w:val="19"/>
        <w:szCs w:val="19"/>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7" w15:restartNumberingAfterBreak="0">
    <w:nsid w:val="151F6E15"/>
    <w:multiLevelType w:val="multilevel"/>
    <w:tmpl w:val="E65A9620"/>
    <w:lvl w:ilvl="0">
      <w:start w:val="4"/>
      <w:numFmt w:val="decimal"/>
      <w:lvlText w:val="%1)"/>
      <w:lvlJc w:val="left"/>
      <w:rPr>
        <w:rFonts w:ascii="Garamond" w:eastAsia="Garamond" w:hAnsi="Garamond" w:cs="Garamond"/>
        <w:b w:val="0"/>
        <w:bCs w:val="0"/>
        <w:i w:val="0"/>
        <w:iCs w:val="0"/>
        <w:smallCaps w:val="0"/>
        <w:strike w:val="0"/>
        <w:color w:val="231F20"/>
        <w:spacing w:val="0"/>
        <w:w w:val="100"/>
        <w:position w:val="0"/>
        <w:sz w:val="19"/>
        <w:szCs w:val="19"/>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8" w15:restartNumberingAfterBreak="0">
    <w:nsid w:val="15370C74"/>
    <w:multiLevelType w:val="multilevel"/>
    <w:tmpl w:val="CCC435AA"/>
    <w:lvl w:ilvl="0">
      <w:start w:val="1"/>
      <w:numFmt w:val="decimal"/>
      <w:lvlText w:val="%1"/>
      <w:lvlJc w:val="left"/>
      <w:rPr>
        <w:rFonts w:ascii="Times New Roman" w:eastAsia="Times New Roman" w:hAnsi="Times New Roman" w:cs="Times New Roman"/>
        <w:b w:val="0"/>
        <w:bCs w:val="0"/>
        <w:i w:val="0"/>
        <w:iCs w:val="0"/>
        <w:smallCaps w:val="0"/>
        <w:strike w:val="0"/>
        <w:color w:val="231F20"/>
        <w:spacing w:val="0"/>
        <w:w w:val="100"/>
        <w:position w:val="0"/>
        <w:sz w:val="8"/>
        <w:szCs w:val="8"/>
        <w:u w:val="none"/>
        <w:shd w:val="clear" w:color="auto" w:fill="auto"/>
        <w:vertAlign w:val="superscrip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9" w15:restartNumberingAfterBreak="0">
    <w:nsid w:val="157F63E2"/>
    <w:multiLevelType w:val="multilevel"/>
    <w:tmpl w:val="58AE6BCE"/>
    <w:lvl w:ilvl="0">
      <w:start w:val="1"/>
      <w:numFmt w:val="upperLetter"/>
      <w:lvlText w:val="%1."/>
      <w:lvlJc w:val="left"/>
      <w:rPr>
        <w:rFonts w:ascii="Times New Roman" w:eastAsia="Times New Roman" w:hAnsi="Times New Roman" w:cs="Times New Roman"/>
        <w:b w:val="0"/>
        <w:bCs w:val="0"/>
        <w:i w:val="0"/>
        <w:iCs w:val="0"/>
        <w:smallCaps w:val="0"/>
        <w:strike w:val="0"/>
        <w:color w:val="231F20"/>
        <w:spacing w:val="0"/>
        <w:w w:val="100"/>
        <w:position w:val="0"/>
        <w:sz w:val="16"/>
        <w:szCs w:val="16"/>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0" w15:restartNumberingAfterBreak="0">
    <w:nsid w:val="158B31BD"/>
    <w:multiLevelType w:val="multilevel"/>
    <w:tmpl w:val="D7682A1E"/>
    <w:lvl w:ilvl="0">
      <w:start w:val="1"/>
      <w:numFmt w:val="bullet"/>
      <w:lvlText w:val="•"/>
      <w:lvlJc w:val="left"/>
      <w:rPr>
        <w:rFonts w:ascii="Times New Roman" w:eastAsia="Times New Roman" w:hAnsi="Times New Roman" w:cs="Times New Roman"/>
        <w:b w:val="0"/>
        <w:bCs w:val="0"/>
        <w:i w:val="0"/>
        <w:iCs w:val="0"/>
        <w:smallCaps w:val="0"/>
        <w:strike w:val="0"/>
        <w:color w:val="231F20"/>
        <w:spacing w:val="0"/>
        <w:w w:val="100"/>
        <w:position w:val="0"/>
        <w:sz w:val="16"/>
        <w:szCs w:val="16"/>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1" w15:restartNumberingAfterBreak="0">
    <w:nsid w:val="159C4862"/>
    <w:multiLevelType w:val="multilevel"/>
    <w:tmpl w:val="1C6CC4FC"/>
    <w:lvl w:ilvl="0">
      <w:start w:val="1"/>
      <w:numFmt w:val="bullet"/>
      <w:lvlText w:val="•"/>
      <w:lvlJc w:val="left"/>
      <w:rPr>
        <w:rFonts w:ascii="Times New Roman" w:eastAsia="Times New Roman" w:hAnsi="Times New Roman" w:cs="Times New Roman"/>
        <w:b/>
        <w:bCs/>
        <w:i/>
        <w:iCs/>
        <w:smallCaps w:val="0"/>
        <w:strike w:val="0"/>
        <w:color w:val="231F20"/>
        <w:spacing w:val="0"/>
        <w:w w:val="100"/>
        <w:position w:val="0"/>
        <w:sz w:val="16"/>
        <w:szCs w:val="16"/>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2" w15:restartNumberingAfterBreak="0">
    <w:nsid w:val="15A22458"/>
    <w:multiLevelType w:val="multilevel"/>
    <w:tmpl w:val="01463550"/>
    <w:lvl w:ilvl="0">
      <w:start w:val="1"/>
      <w:numFmt w:val="bullet"/>
      <w:lvlText w:val="•"/>
      <w:lvlJc w:val="left"/>
      <w:rPr>
        <w:rFonts w:ascii="Garamond" w:eastAsia="Garamond" w:hAnsi="Garamond" w:cs="Garamond"/>
        <w:b w:val="0"/>
        <w:bCs w:val="0"/>
        <w:i w:val="0"/>
        <w:iCs w:val="0"/>
        <w:smallCaps w:val="0"/>
        <w:strike w:val="0"/>
        <w:color w:val="231F20"/>
        <w:spacing w:val="0"/>
        <w:w w:val="100"/>
        <w:position w:val="0"/>
        <w:sz w:val="19"/>
        <w:szCs w:val="19"/>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3" w15:restartNumberingAfterBreak="0">
    <w:nsid w:val="16765669"/>
    <w:multiLevelType w:val="multilevel"/>
    <w:tmpl w:val="6EA4F060"/>
    <w:lvl w:ilvl="0">
      <w:start w:val="1"/>
      <w:numFmt w:val="bullet"/>
      <w:lvlText w:val="□"/>
      <w:lvlJc w:val="left"/>
      <w:rPr>
        <w:rFonts w:ascii="Arial" w:eastAsia="Arial" w:hAnsi="Arial" w:cs="Arial"/>
        <w:b w:val="0"/>
        <w:bCs w:val="0"/>
        <w:i w:val="0"/>
        <w:iCs w:val="0"/>
        <w:smallCaps w:val="0"/>
        <w:strike w:val="0"/>
        <w:color w:val="231F20"/>
        <w:spacing w:val="0"/>
        <w:w w:val="100"/>
        <w:position w:val="0"/>
        <w:sz w:val="10"/>
        <w:szCs w:val="10"/>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4" w15:restartNumberingAfterBreak="0">
    <w:nsid w:val="18F46DC4"/>
    <w:multiLevelType w:val="multilevel"/>
    <w:tmpl w:val="8FD459A4"/>
    <w:lvl w:ilvl="0">
      <w:start w:val="1"/>
      <w:numFmt w:val="bullet"/>
      <w:lvlText w:val="•"/>
      <w:lvlJc w:val="left"/>
      <w:rPr>
        <w:rFonts w:ascii="Garamond" w:eastAsia="Garamond" w:hAnsi="Garamond" w:cs="Garamond"/>
        <w:b w:val="0"/>
        <w:bCs w:val="0"/>
        <w:i w:val="0"/>
        <w:iCs w:val="0"/>
        <w:smallCaps w:val="0"/>
        <w:strike w:val="0"/>
        <w:color w:val="231F20"/>
        <w:spacing w:val="0"/>
        <w:w w:val="100"/>
        <w:position w:val="0"/>
        <w:sz w:val="19"/>
        <w:szCs w:val="19"/>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5" w15:restartNumberingAfterBreak="0">
    <w:nsid w:val="193F4BA6"/>
    <w:multiLevelType w:val="multilevel"/>
    <w:tmpl w:val="E966809A"/>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8"/>
        <w:szCs w:val="8"/>
        <w:u w:val="none"/>
        <w:shd w:val="clear" w:color="auto" w:fill="auto"/>
        <w:vertAlign w:val="superscrip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6" w15:restartNumberingAfterBreak="0">
    <w:nsid w:val="1A6F5C41"/>
    <w:multiLevelType w:val="multilevel"/>
    <w:tmpl w:val="F2544992"/>
    <w:lvl w:ilvl="0">
      <w:start w:val="1"/>
      <w:numFmt w:val="decimal"/>
      <w:lvlText w:val="%1"/>
      <w:lvlJc w:val="left"/>
      <w:rPr>
        <w:rFonts w:ascii="Times New Roman" w:eastAsia="Times New Roman" w:hAnsi="Times New Roman" w:cs="Times New Roman"/>
        <w:b w:val="0"/>
        <w:bCs w:val="0"/>
        <w:i w:val="0"/>
        <w:iCs w:val="0"/>
        <w:smallCaps w:val="0"/>
        <w:strike w:val="0"/>
        <w:color w:val="231F20"/>
        <w:spacing w:val="0"/>
        <w:w w:val="100"/>
        <w:position w:val="0"/>
        <w:sz w:val="8"/>
        <w:szCs w:val="8"/>
        <w:u w:val="none"/>
        <w:shd w:val="clear" w:color="auto" w:fill="auto"/>
        <w:vertAlign w:val="superscrip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7" w15:restartNumberingAfterBreak="0">
    <w:nsid w:val="1A84658D"/>
    <w:multiLevelType w:val="multilevel"/>
    <w:tmpl w:val="2F7C2BB4"/>
    <w:lvl w:ilvl="0">
      <w:start w:val="1"/>
      <w:numFmt w:val="bullet"/>
      <w:lvlText w:val="•"/>
      <w:lvlJc w:val="left"/>
      <w:rPr>
        <w:rFonts w:ascii="Garamond" w:eastAsia="Garamond" w:hAnsi="Garamond" w:cs="Garamond"/>
        <w:b w:val="0"/>
        <w:bCs w:val="0"/>
        <w:i w:val="0"/>
        <w:iCs w:val="0"/>
        <w:smallCaps w:val="0"/>
        <w:strike w:val="0"/>
        <w:color w:val="231F20"/>
        <w:spacing w:val="0"/>
        <w:w w:val="100"/>
        <w:position w:val="0"/>
        <w:sz w:val="19"/>
        <w:szCs w:val="19"/>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8" w15:restartNumberingAfterBreak="0">
    <w:nsid w:val="1B720B08"/>
    <w:multiLevelType w:val="multilevel"/>
    <w:tmpl w:val="E03E2C16"/>
    <w:lvl w:ilvl="0">
      <w:start w:val="1"/>
      <w:numFmt w:val="decimal"/>
      <w:lvlText w:val="%1"/>
      <w:lvlJc w:val="left"/>
      <w:rPr>
        <w:rFonts w:ascii="Times New Roman" w:eastAsia="Times New Roman" w:hAnsi="Times New Roman" w:cs="Times New Roman"/>
        <w:b w:val="0"/>
        <w:bCs w:val="0"/>
        <w:i w:val="0"/>
        <w:iCs w:val="0"/>
        <w:smallCaps w:val="0"/>
        <w:strike w:val="0"/>
        <w:color w:val="231F20"/>
        <w:spacing w:val="0"/>
        <w:w w:val="100"/>
        <w:position w:val="0"/>
        <w:sz w:val="8"/>
        <w:szCs w:val="8"/>
        <w:u w:val="none"/>
        <w:shd w:val="clear" w:color="auto" w:fill="auto"/>
        <w:vertAlign w:val="superscrip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9" w15:restartNumberingAfterBreak="0">
    <w:nsid w:val="1C8B3D27"/>
    <w:multiLevelType w:val="multilevel"/>
    <w:tmpl w:val="795407D8"/>
    <w:lvl w:ilvl="0">
      <w:start w:val="9"/>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15"/>
        <w:szCs w:val="15"/>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0" w15:restartNumberingAfterBreak="0">
    <w:nsid w:val="1F7501E3"/>
    <w:multiLevelType w:val="multilevel"/>
    <w:tmpl w:val="07163406"/>
    <w:lvl w:ilvl="0">
      <w:start w:val="1"/>
      <w:numFmt w:val="decimal"/>
      <w:lvlText w:val="%1"/>
      <w:lvlJc w:val="left"/>
      <w:rPr>
        <w:rFonts w:ascii="Times New Roman" w:eastAsia="Times New Roman" w:hAnsi="Times New Roman" w:cs="Times New Roman"/>
        <w:b w:val="0"/>
        <w:bCs w:val="0"/>
        <w:i w:val="0"/>
        <w:iCs w:val="0"/>
        <w:smallCaps w:val="0"/>
        <w:strike w:val="0"/>
        <w:color w:val="231F20"/>
        <w:spacing w:val="0"/>
        <w:w w:val="100"/>
        <w:position w:val="0"/>
        <w:sz w:val="8"/>
        <w:szCs w:val="8"/>
        <w:u w:val="none"/>
        <w:shd w:val="clear" w:color="auto" w:fill="auto"/>
        <w:vertAlign w:val="superscrip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1" w15:restartNumberingAfterBreak="0">
    <w:nsid w:val="1F843E2E"/>
    <w:multiLevelType w:val="multilevel"/>
    <w:tmpl w:val="5378B38C"/>
    <w:lvl w:ilvl="0">
      <w:start w:val="1"/>
      <w:numFmt w:val="bullet"/>
      <w:lvlText w:val="♦"/>
      <w:lvlJc w:val="left"/>
      <w:rPr>
        <w:rFonts w:ascii="Times New Roman" w:eastAsia="Times New Roman" w:hAnsi="Times New Roman" w:cs="Times New Roman"/>
        <w:b w:val="0"/>
        <w:bCs w:val="0"/>
        <w:i w:val="0"/>
        <w:iCs w:val="0"/>
        <w:smallCaps w:val="0"/>
        <w:strike w:val="0"/>
        <w:color w:val="231F20"/>
        <w:spacing w:val="0"/>
        <w:w w:val="100"/>
        <w:position w:val="0"/>
        <w:sz w:val="16"/>
        <w:szCs w:val="16"/>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2" w15:restartNumberingAfterBreak="0">
    <w:nsid w:val="1FC87046"/>
    <w:multiLevelType w:val="multilevel"/>
    <w:tmpl w:val="1D0EE74C"/>
    <w:lvl w:ilvl="0">
      <w:start w:val="1"/>
      <w:numFmt w:val="bullet"/>
      <w:lvlText w:val="•"/>
      <w:lvlJc w:val="left"/>
      <w:rPr>
        <w:rFonts w:ascii="Times New Roman" w:eastAsia="Times New Roman" w:hAnsi="Times New Roman" w:cs="Times New Roman"/>
        <w:b w:val="0"/>
        <w:bCs w:val="0"/>
        <w:i w:val="0"/>
        <w:iCs w:val="0"/>
        <w:smallCaps w:val="0"/>
        <w:strike w:val="0"/>
        <w:color w:val="000000"/>
        <w:spacing w:val="0"/>
        <w:w w:val="100"/>
        <w:position w:val="0"/>
        <w:sz w:val="16"/>
        <w:szCs w:val="16"/>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3" w15:restartNumberingAfterBreak="0">
    <w:nsid w:val="1FDC7362"/>
    <w:multiLevelType w:val="multilevel"/>
    <w:tmpl w:val="74E61570"/>
    <w:lvl w:ilvl="0">
      <w:start w:val="73"/>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15"/>
        <w:szCs w:val="15"/>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4" w15:restartNumberingAfterBreak="0">
    <w:nsid w:val="219331BF"/>
    <w:multiLevelType w:val="multilevel"/>
    <w:tmpl w:val="3C5AA570"/>
    <w:lvl w:ilvl="0">
      <w:start w:val="1"/>
      <w:numFmt w:val="decimal"/>
      <w:lvlText w:val="%1"/>
      <w:lvlJc w:val="left"/>
      <w:rPr>
        <w:rFonts w:ascii="Garamond" w:eastAsia="Garamond" w:hAnsi="Garamond" w:cs="Garamond"/>
        <w:b w:val="0"/>
        <w:bCs w:val="0"/>
        <w:i w:val="0"/>
        <w:iCs w:val="0"/>
        <w:smallCaps w:val="0"/>
        <w:strike w:val="0"/>
        <w:color w:val="231F20"/>
        <w:spacing w:val="0"/>
        <w:w w:val="100"/>
        <w:position w:val="0"/>
        <w:sz w:val="19"/>
        <w:szCs w:val="19"/>
        <w:u w:val="none"/>
        <w:shd w:val="clear" w:color="auto" w:fill="auto"/>
        <w:vertAlign w:val="superscrip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5" w15:restartNumberingAfterBreak="0">
    <w:nsid w:val="225D0A53"/>
    <w:multiLevelType w:val="multilevel"/>
    <w:tmpl w:val="A5C4DFB6"/>
    <w:lvl w:ilvl="0">
      <w:start w:val="1"/>
      <w:numFmt w:val="upperRoman"/>
      <w:lvlText w:val="%1."/>
      <w:lvlJc w:val="left"/>
      <w:rPr>
        <w:rFonts w:ascii="Times New Roman" w:eastAsia="Times New Roman" w:hAnsi="Times New Roman" w:cs="Times New Roman"/>
        <w:b w:val="0"/>
        <w:bCs w:val="0"/>
        <w:i w:val="0"/>
        <w:iCs w:val="0"/>
        <w:smallCaps w:val="0"/>
        <w:strike w:val="0"/>
        <w:color w:val="231F20"/>
        <w:spacing w:val="0"/>
        <w:w w:val="100"/>
        <w:position w:val="0"/>
        <w:sz w:val="16"/>
        <w:szCs w:val="16"/>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6" w15:restartNumberingAfterBreak="0">
    <w:nsid w:val="239C4B8D"/>
    <w:multiLevelType w:val="multilevel"/>
    <w:tmpl w:val="4FA0179A"/>
    <w:lvl w:ilvl="0">
      <w:start w:val="1"/>
      <w:numFmt w:val="decimal"/>
      <w:lvlText w:val="%1"/>
      <w:lvlJc w:val="left"/>
      <w:rPr>
        <w:rFonts w:ascii="Times New Roman" w:eastAsia="Times New Roman" w:hAnsi="Times New Roman" w:cs="Times New Roman"/>
        <w:b w:val="0"/>
        <w:bCs w:val="0"/>
        <w:i w:val="0"/>
        <w:iCs w:val="0"/>
        <w:smallCaps w:val="0"/>
        <w:strike w:val="0"/>
        <w:color w:val="231F20"/>
        <w:spacing w:val="0"/>
        <w:w w:val="100"/>
        <w:position w:val="0"/>
        <w:sz w:val="8"/>
        <w:szCs w:val="8"/>
        <w:u w:val="none"/>
        <w:shd w:val="clear" w:color="auto" w:fill="auto"/>
        <w:vertAlign w:val="superscrip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7" w15:restartNumberingAfterBreak="0">
    <w:nsid w:val="23A17DE1"/>
    <w:multiLevelType w:val="multilevel"/>
    <w:tmpl w:val="C35067BC"/>
    <w:lvl w:ilvl="0">
      <w:start w:val="1"/>
      <w:numFmt w:val="upperLetter"/>
      <w:lvlText w:val="(%1)"/>
      <w:lvlJc w:val="left"/>
      <w:rPr>
        <w:rFonts w:ascii="Times New Roman" w:eastAsia="Times New Roman" w:hAnsi="Times New Roman" w:cs="Times New Roman"/>
        <w:b w:val="0"/>
        <w:bCs w:val="0"/>
        <w:i w:val="0"/>
        <w:iCs w:val="0"/>
        <w:smallCaps w:val="0"/>
        <w:strike w:val="0"/>
        <w:color w:val="231F20"/>
        <w:spacing w:val="0"/>
        <w:w w:val="100"/>
        <w:position w:val="0"/>
        <w:sz w:val="15"/>
        <w:szCs w:val="15"/>
        <w:u w:val="none"/>
        <w:shd w:val="clear" w:color="auto" w:fill="FFFF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8" w15:restartNumberingAfterBreak="0">
    <w:nsid w:val="23BC1767"/>
    <w:multiLevelType w:val="multilevel"/>
    <w:tmpl w:val="EEE8BE9C"/>
    <w:lvl w:ilvl="0">
      <w:start w:val="2"/>
      <w:numFmt w:val="decimal"/>
      <w:lvlText w:val="%1)"/>
      <w:lvlJc w:val="left"/>
      <w:rPr>
        <w:rFonts w:ascii="Garamond" w:eastAsia="Garamond" w:hAnsi="Garamond" w:cs="Garamond"/>
        <w:b w:val="0"/>
        <w:bCs w:val="0"/>
        <w:i w:val="0"/>
        <w:iCs w:val="0"/>
        <w:smallCaps w:val="0"/>
        <w:strike w:val="0"/>
        <w:color w:val="231F20"/>
        <w:spacing w:val="0"/>
        <w:w w:val="100"/>
        <w:position w:val="0"/>
        <w:sz w:val="19"/>
        <w:szCs w:val="19"/>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9" w15:restartNumberingAfterBreak="0">
    <w:nsid w:val="24840FBD"/>
    <w:multiLevelType w:val="multilevel"/>
    <w:tmpl w:val="CB98FFF2"/>
    <w:lvl w:ilvl="0">
      <w:start w:val="3"/>
      <w:numFmt w:val="decimal"/>
      <w:lvlText w:val="%1"/>
      <w:lvlJc w:val="left"/>
      <w:rPr>
        <w:rFonts w:ascii="Times New Roman" w:eastAsia="Times New Roman" w:hAnsi="Times New Roman" w:cs="Times New Roman"/>
        <w:b w:val="0"/>
        <w:bCs w:val="0"/>
        <w:i w:val="0"/>
        <w:iCs w:val="0"/>
        <w:smallCaps w:val="0"/>
        <w:strike w:val="0"/>
        <w:color w:val="231F20"/>
        <w:spacing w:val="0"/>
        <w:w w:val="100"/>
        <w:position w:val="0"/>
        <w:sz w:val="8"/>
        <w:szCs w:val="8"/>
        <w:u w:val="none"/>
        <w:shd w:val="clear" w:color="auto" w:fill="auto"/>
        <w:vertAlign w:val="superscrip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0" w15:restartNumberingAfterBreak="0">
    <w:nsid w:val="24CB2CBA"/>
    <w:multiLevelType w:val="multilevel"/>
    <w:tmpl w:val="4DC27AF8"/>
    <w:lvl w:ilvl="0">
      <w:start w:val="1"/>
      <w:numFmt w:val="decimal"/>
      <w:lvlText w:val="(%1)"/>
      <w:lvlJc w:val="left"/>
      <w:rPr>
        <w:rFonts w:ascii="Times New Roman" w:eastAsia="Times New Roman" w:hAnsi="Times New Roman" w:cs="Times New Roman"/>
        <w:b w:val="0"/>
        <w:bCs w:val="0"/>
        <w:i w:val="0"/>
        <w:iCs w:val="0"/>
        <w:smallCaps w:val="0"/>
        <w:strike w:val="0"/>
        <w:color w:val="231F20"/>
        <w:spacing w:val="0"/>
        <w:w w:val="100"/>
        <w:position w:val="0"/>
        <w:sz w:val="15"/>
        <w:szCs w:val="15"/>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1" w15:restartNumberingAfterBreak="0">
    <w:nsid w:val="25197BBD"/>
    <w:multiLevelType w:val="multilevel"/>
    <w:tmpl w:val="B79C7886"/>
    <w:lvl w:ilvl="0">
      <w:start w:val="1"/>
      <w:numFmt w:val="bullet"/>
      <w:lvlText w:val="•"/>
      <w:lvlJc w:val="left"/>
      <w:rPr>
        <w:rFonts w:ascii="Garamond" w:eastAsia="Garamond" w:hAnsi="Garamond" w:cs="Garamond"/>
        <w:b w:val="0"/>
        <w:bCs w:val="0"/>
        <w:i w:val="0"/>
        <w:iCs w:val="0"/>
        <w:smallCaps w:val="0"/>
        <w:strike w:val="0"/>
        <w:color w:val="231F20"/>
        <w:spacing w:val="0"/>
        <w:w w:val="100"/>
        <w:position w:val="0"/>
        <w:sz w:val="19"/>
        <w:szCs w:val="19"/>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2" w15:restartNumberingAfterBreak="0">
    <w:nsid w:val="25A74312"/>
    <w:multiLevelType w:val="multilevel"/>
    <w:tmpl w:val="962A69AE"/>
    <w:lvl w:ilvl="0">
      <w:start w:val="1"/>
      <w:numFmt w:val="bullet"/>
      <w:lvlText w:val="Y"/>
      <w:lvlJc w:val="left"/>
      <w:rPr>
        <w:rFonts w:ascii="Times New Roman" w:eastAsia="Times New Roman" w:hAnsi="Times New Roman" w:cs="Times New Roman"/>
        <w:b/>
        <w:bCs/>
        <w:i w:val="0"/>
        <w:iCs w:val="0"/>
        <w:smallCaps w:val="0"/>
        <w:strike w:val="0"/>
        <w:color w:val="231F20"/>
        <w:spacing w:val="0"/>
        <w:w w:val="100"/>
        <w:position w:val="0"/>
        <w:sz w:val="16"/>
        <w:szCs w:val="16"/>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3" w15:restartNumberingAfterBreak="0">
    <w:nsid w:val="25EC19D3"/>
    <w:multiLevelType w:val="multilevel"/>
    <w:tmpl w:val="CA361490"/>
    <w:lvl w:ilvl="0">
      <w:start w:val="1"/>
      <w:numFmt w:val="bullet"/>
      <w:lvlText w:val="•"/>
      <w:lvlJc w:val="left"/>
      <w:rPr>
        <w:rFonts w:ascii="Garamond" w:eastAsia="Garamond" w:hAnsi="Garamond" w:cs="Garamond"/>
        <w:b w:val="0"/>
        <w:bCs w:val="0"/>
        <w:i w:val="0"/>
        <w:iCs w:val="0"/>
        <w:smallCaps w:val="0"/>
        <w:strike w:val="0"/>
        <w:color w:val="231F20"/>
        <w:spacing w:val="0"/>
        <w:w w:val="100"/>
        <w:position w:val="0"/>
        <w:sz w:val="19"/>
        <w:szCs w:val="19"/>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4" w15:restartNumberingAfterBreak="0">
    <w:nsid w:val="25EE5ED4"/>
    <w:multiLevelType w:val="multilevel"/>
    <w:tmpl w:val="4AF4C1D2"/>
    <w:lvl w:ilvl="0">
      <w:start w:val="1"/>
      <w:numFmt w:val="bullet"/>
      <w:lvlText w:val="•"/>
      <w:lvlJc w:val="left"/>
      <w:rPr>
        <w:rFonts w:ascii="Times New Roman" w:eastAsia="Times New Roman" w:hAnsi="Times New Roman" w:cs="Times New Roman"/>
        <w:b w:val="0"/>
        <w:bCs w:val="0"/>
        <w:i w:val="0"/>
        <w:iCs w:val="0"/>
        <w:smallCaps w:val="0"/>
        <w:strike w:val="0"/>
        <w:color w:val="231F20"/>
        <w:spacing w:val="0"/>
        <w:w w:val="100"/>
        <w:position w:val="0"/>
        <w:sz w:val="16"/>
        <w:szCs w:val="16"/>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5" w15:restartNumberingAfterBreak="0">
    <w:nsid w:val="26EF6478"/>
    <w:multiLevelType w:val="multilevel"/>
    <w:tmpl w:val="1E26DED8"/>
    <w:lvl w:ilvl="0">
      <w:start w:val="1"/>
      <w:numFmt w:val="bullet"/>
      <w:lvlText w:val="•"/>
      <w:lvlJc w:val="left"/>
      <w:rPr>
        <w:rFonts w:ascii="Times New Roman" w:eastAsia="Times New Roman" w:hAnsi="Times New Roman" w:cs="Times New Roman"/>
        <w:b w:val="0"/>
        <w:bCs w:val="0"/>
        <w:i w:val="0"/>
        <w:iCs w:val="0"/>
        <w:smallCaps w:val="0"/>
        <w:strike w:val="0"/>
        <w:color w:val="231F20"/>
        <w:spacing w:val="0"/>
        <w:w w:val="100"/>
        <w:position w:val="0"/>
        <w:sz w:val="16"/>
        <w:szCs w:val="16"/>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6" w15:restartNumberingAfterBreak="0">
    <w:nsid w:val="278A2151"/>
    <w:multiLevelType w:val="multilevel"/>
    <w:tmpl w:val="D0EA1F2A"/>
    <w:lvl w:ilvl="0">
      <w:start w:val="1"/>
      <w:numFmt w:val="decimal"/>
      <w:lvlText w:val="%1"/>
      <w:lvlJc w:val="left"/>
      <w:rPr>
        <w:rFonts w:ascii="Times New Roman" w:eastAsia="Times New Roman" w:hAnsi="Times New Roman" w:cs="Times New Roman"/>
        <w:b w:val="0"/>
        <w:bCs w:val="0"/>
        <w:i w:val="0"/>
        <w:iCs w:val="0"/>
        <w:smallCaps w:val="0"/>
        <w:strike w:val="0"/>
        <w:color w:val="231F20"/>
        <w:spacing w:val="0"/>
        <w:w w:val="100"/>
        <w:position w:val="0"/>
        <w:sz w:val="16"/>
        <w:szCs w:val="16"/>
        <w:u w:val="none"/>
        <w:shd w:val="clear" w:color="auto" w:fill="auto"/>
        <w:vertAlign w:val="superscrip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7" w15:restartNumberingAfterBreak="0">
    <w:nsid w:val="27D602C6"/>
    <w:multiLevelType w:val="multilevel"/>
    <w:tmpl w:val="3346610C"/>
    <w:lvl w:ilvl="0">
      <w:start w:val="1"/>
      <w:numFmt w:val="decimal"/>
      <w:lvlText w:val="%1"/>
      <w:lvlJc w:val="left"/>
      <w:rPr>
        <w:rFonts w:ascii="Times New Roman" w:eastAsia="Times New Roman" w:hAnsi="Times New Roman" w:cs="Times New Roman"/>
        <w:b w:val="0"/>
        <w:bCs w:val="0"/>
        <w:i w:val="0"/>
        <w:iCs w:val="0"/>
        <w:smallCaps w:val="0"/>
        <w:strike w:val="0"/>
        <w:color w:val="231F20"/>
        <w:spacing w:val="0"/>
        <w:w w:val="100"/>
        <w:position w:val="0"/>
        <w:sz w:val="8"/>
        <w:szCs w:val="8"/>
        <w:u w:val="none"/>
        <w:shd w:val="clear" w:color="auto" w:fill="auto"/>
        <w:vertAlign w:val="superscrip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8" w15:restartNumberingAfterBreak="0">
    <w:nsid w:val="28A45D03"/>
    <w:multiLevelType w:val="multilevel"/>
    <w:tmpl w:val="02B63CA2"/>
    <w:lvl w:ilvl="0">
      <w:start w:val="1"/>
      <w:numFmt w:val="bullet"/>
      <w:lvlText w:val="•"/>
      <w:lvlJc w:val="left"/>
      <w:rPr>
        <w:rFonts w:ascii="Times New Roman" w:eastAsia="Times New Roman" w:hAnsi="Times New Roman" w:cs="Times New Roman"/>
        <w:b w:val="0"/>
        <w:bCs w:val="0"/>
        <w:i w:val="0"/>
        <w:iCs w:val="0"/>
        <w:smallCaps w:val="0"/>
        <w:strike w:val="0"/>
        <w:color w:val="231F20"/>
        <w:spacing w:val="0"/>
        <w:w w:val="100"/>
        <w:position w:val="0"/>
        <w:sz w:val="16"/>
        <w:szCs w:val="16"/>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9" w15:restartNumberingAfterBreak="0">
    <w:nsid w:val="29AB490E"/>
    <w:multiLevelType w:val="multilevel"/>
    <w:tmpl w:val="D5C20828"/>
    <w:lvl w:ilvl="0">
      <w:start w:val="1"/>
      <w:numFmt w:val="bullet"/>
      <w:lvlText w:val="•"/>
      <w:lvlJc w:val="left"/>
      <w:rPr>
        <w:rFonts w:ascii="Times New Roman" w:eastAsia="Times New Roman" w:hAnsi="Times New Roman" w:cs="Times New Roman"/>
        <w:b w:val="0"/>
        <w:bCs w:val="0"/>
        <w:i w:val="0"/>
        <w:iCs w:val="0"/>
        <w:smallCaps w:val="0"/>
        <w:strike w:val="0"/>
        <w:color w:val="000000"/>
        <w:spacing w:val="0"/>
        <w:w w:val="100"/>
        <w:position w:val="0"/>
        <w:sz w:val="16"/>
        <w:szCs w:val="16"/>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60" w15:restartNumberingAfterBreak="0">
    <w:nsid w:val="2A3571BC"/>
    <w:multiLevelType w:val="multilevel"/>
    <w:tmpl w:val="FE302D0C"/>
    <w:lvl w:ilvl="0">
      <w:start w:val="1"/>
      <w:numFmt w:val="decimal"/>
      <w:lvlText w:val="(%1)"/>
      <w:lvlJc w:val="left"/>
      <w:rPr>
        <w:rFonts w:ascii="Times New Roman" w:eastAsia="Times New Roman" w:hAnsi="Times New Roman" w:cs="Times New Roman"/>
        <w:b w:val="0"/>
        <w:bCs w:val="0"/>
        <w:i w:val="0"/>
        <w:iCs w:val="0"/>
        <w:smallCaps w:val="0"/>
        <w:strike w:val="0"/>
        <w:color w:val="231F20"/>
        <w:spacing w:val="0"/>
        <w:w w:val="100"/>
        <w:position w:val="0"/>
        <w:sz w:val="15"/>
        <w:szCs w:val="15"/>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61" w15:restartNumberingAfterBreak="0">
    <w:nsid w:val="2AAC3EB3"/>
    <w:multiLevelType w:val="multilevel"/>
    <w:tmpl w:val="3224120E"/>
    <w:lvl w:ilvl="0">
      <w:start w:val="1"/>
      <w:numFmt w:val="bullet"/>
      <w:lvlText w:val="•"/>
      <w:lvlJc w:val="left"/>
      <w:rPr>
        <w:rFonts w:ascii="Garamond" w:eastAsia="Garamond" w:hAnsi="Garamond" w:cs="Garamond"/>
        <w:b w:val="0"/>
        <w:bCs w:val="0"/>
        <w:i w:val="0"/>
        <w:iCs w:val="0"/>
        <w:smallCaps w:val="0"/>
        <w:strike w:val="0"/>
        <w:color w:val="231F20"/>
        <w:spacing w:val="0"/>
        <w:w w:val="100"/>
        <w:position w:val="0"/>
        <w:sz w:val="19"/>
        <w:szCs w:val="19"/>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62" w15:restartNumberingAfterBreak="0">
    <w:nsid w:val="2B8716F9"/>
    <w:multiLevelType w:val="multilevel"/>
    <w:tmpl w:val="1CFC3080"/>
    <w:lvl w:ilvl="0">
      <w:start w:val="1"/>
      <w:numFmt w:val="bullet"/>
      <w:lvlText w:val="*"/>
      <w:lvlJc w:val="left"/>
      <w:rPr>
        <w:rFonts w:ascii="Times New Roman" w:eastAsia="Times New Roman" w:hAnsi="Times New Roman" w:cs="Times New Roman"/>
        <w:b w:val="0"/>
        <w:bCs w:val="0"/>
        <w:i w:val="0"/>
        <w:iCs w:val="0"/>
        <w:smallCaps w:val="0"/>
        <w:strike w:val="0"/>
        <w:color w:val="000000"/>
        <w:spacing w:val="0"/>
        <w:w w:val="100"/>
        <w:position w:val="0"/>
        <w:sz w:val="16"/>
        <w:szCs w:val="16"/>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63" w15:restartNumberingAfterBreak="0">
    <w:nsid w:val="2BA92B58"/>
    <w:multiLevelType w:val="multilevel"/>
    <w:tmpl w:val="1F36C2DC"/>
    <w:lvl w:ilvl="0">
      <w:start w:val="54"/>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16"/>
        <w:szCs w:val="16"/>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64" w15:restartNumberingAfterBreak="0">
    <w:nsid w:val="2C7251D1"/>
    <w:multiLevelType w:val="multilevel"/>
    <w:tmpl w:val="0512BF12"/>
    <w:lvl w:ilvl="0">
      <w:start w:val="65"/>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15"/>
        <w:szCs w:val="15"/>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65" w15:restartNumberingAfterBreak="0">
    <w:nsid w:val="2DAC50B8"/>
    <w:multiLevelType w:val="multilevel"/>
    <w:tmpl w:val="DC32EE42"/>
    <w:lvl w:ilvl="0">
      <w:start w:val="1"/>
      <w:numFmt w:val="decimal"/>
      <w:lvlText w:val="%1."/>
      <w:lvlJc w:val="left"/>
      <w:rPr>
        <w:rFonts w:ascii="Arial" w:eastAsia="Arial" w:hAnsi="Arial" w:cs="Arial"/>
        <w:b/>
        <w:bCs/>
        <w:i w:val="0"/>
        <w:iCs w:val="0"/>
        <w:smallCaps w:val="0"/>
        <w:strike w:val="0"/>
        <w:color w:val="231F20"/>
        <w:spacing w:val="0"/>
        <w:w w:val="100"/>
        <w:position w:val="0"/>
        <w:sz w:val="12"/>
        <w:szCs w:val="12"/>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66" w15:restartNumberingAfterBreak="0">
    <w:nsid w:val="2F494C4E"/>
    <w:multiLevelType w:val="multilevel"/>
    <w:tmpl w:val="359875AE"/>
    <w:lvl w:ilvl="0">
      <w:start w:val="1"/>
      <w:numFmt w:val="bullet"/>
      <w:lvlText w:val="•"/>
      <w:lvlJc w:val="left"/>
      <w:rPr>
        <w:rFonts w:ascii="Garamond" w:eastAsia="Garamond" w:hAnsi="Garamond" w:cs="Garamond"/>
        <w:b w:val="0"/>
        <w:bCs w:val="0"/>
        <w:i w:val="0"/>
        <w:iCs w:val="0"/>
        <w:smallCaps w:val="0"/>
        <w:strike w:val="0"/>
        <w:color w:val="231F20"/>
        <w:spacing w:val="0"/>
        <w:w w:val="100"/>
        <w:position w:val="0"/>
        <w:sz w:val="19"/>
        <w:szCs w:val="19"/>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67" w15:restartNumberingAfterBreak="0">
    <w:nsid w:val="2F645C9F"/>
    <w:multiLevelType w:val="multilevel"/>
    <w:tmpl w:val="0FB85F30"/>
    <w:lvl w:ilvl="0">
      <w:start w:val="1"/>
      <w:numFmt w:val="bullet"/>
      <w:lvlText w:val="•"/>
      <w:lvlJc w:val="left"/>
      <w:rPr>
        <w:rFonts w:ascii="Times New Roman" w:eastAsia="Times New Roman" w:hAnsi="Times New Roman" w:cs="Times New Roman"/>
        <w:b w:val="0"/>
        <w:bCs w:val="0"/>
        <w:i w:val="0"/>
        <w:iCs w:val="0"/>
        <w:smallCaps w:val="0"/>
        <w:strike w:val="0"/>
        <w:color w:val="231F20"/>
        <w:spacing w:val="0"/>
        <w:w w:val="100"/>
        <w:position w:val="0"/>
        <w:sz w:val="16"/>
        <w:szCs w:val="16"/>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68" w15:restartNumberingAfterBreak="0">
    <w:nsid w:val="31292C2E"/>
    <w:multiLevelType w:val="multilevel"/>
    <w:tmpl w:val="4F1C34E6"/>
    <w:lvl w:ilvl="0">
      <w:start w:val="1"/>
      <w:numFmt w:val="bullet"/>
      <w:lvlText w:val="•"/>
      <w:lvlJc w:val="left"/>
      <w:rPr>
        <w:rFonts w:ascii="Times New Roman" w:eastAsia="Times New Roman" w:hAnsi="Times New Roman" w:cs="Times New Roman"/>
        <w:b w:val="0"/>
        <w:bCs w:val="0"/>
        <w:i w:val="0"/>
        <w:iCs w:val="0"/>
        <w:smallCaps w:val="0"/>
        <w:strike w:val="0"/>
        <w:color w:val="231F20"/>
        <w:spacing w:val="0"/>
        <w:w w:val="100"/>
        <w:position w:val="0"/>
        <w:sz w:val="16"/>
        <w:szCs w:val="16"/>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69" w15:restartNumberingAfterBreak="0">
    <w:nsid w:val="319971B0"/>
    <w:multiLevelType w:val="multilevel"/>
    <w:tmpl w:val="5A24B470"/>
    <w:lvl w:ilvl="0">
      <w:start w:val="1"/>
      <w:numFmt w:val="upperLetter"/>
      <w:lvlText w:val="%1."/>
      <w:lvlJc w:val="left"/>
      <w:rPr>
        <w:rFonts w:ascii="Times New Roman" w:eastAsia="Times New Roman" w:hAnsi="Times New Roman" w:cs="Times New Roman"/>
        <w:b w:val="0"/>
        <w:bCs w:val="0"/>
        <w:i w:val="0"/>
        <w:iCs w:val="0"/>
        <w:smallCaps w:val="0"/>
        <w:strike w:val="0"/>
        <w:color w:val="231F20"/>
        <w:spacing w:val="0"/>
        <w:w w:val="100"/>
        <w:position w:val="0"/>
        <w:sz w:val="16"/>
        <w:szCs w:val="16"/>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70" w15:restartNumberingAfterBreak="0">
    <w:nsid w:val="328B395F"/>
    <w:multiLevelType w:val="multilevel"/>
    <w:tmpl w:val="7AC0AC6C"/>
    <w:lvl w:ilvl="0">
      <w:start w:val="1"/>
      <w:numFmt w:val="decimal"/>
      <w:lvlText w:val="%1"/>
      <w:lvlJc w:val="left"/>
      <w:rPr>
        <w:rFonts w:ascii="Times New Roman" w:eastAsia="Times New Roman" w:hAnsi="Times New Roman" w:cs="Times New Roman"/>
        <w:b w:val="0"/>
        <w:bCs w:val="0"/>
        <w:i w:val="0"/>
        <w:iCs w:val="0"/>
        <w:smallCaps w:val="0"/>
        <w:strike w:val="0"/>
        <w:color w:val="231F20"/>
        <w:spacing w:val="0"/>
        <w:w w:val="100"/>
        <w:position w:val="0"/>
        <w:sz w:val="8"/>
        <w:szCs w:val="8"/>
        <w:u w:val="none"/>
        <w:shd w:val="clear" w:color="auto" w:fill="auto"/>
        <w:vertAlign w:val="superscrip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71" w15:restartNumberingAfterBreak="0">
    <w:nsid w:val="32B63FFC"/>
    <w:multiLevelType w:val="multilevel"/>
    <w:tmpl w:val="B3684D4A"/>
    <w:lvl w:ilvl="0">
      <w:start w:val="1"/>
      <w:numFmt w:val="decimal"/>
      <w:lvlText w:val="%1"/>
      <w:lvlJc w:val="left"/>
      <w:rPr>
        <w:rFonts w:ascii="Times New Roman" w:eastAsia="Times New Roman" w:hAnsi="Times New Roman" w:cs="Times New Roman"/>
        <w:b w:val="0"/>
        <w:bCs w:val="0"/>
        <w:i w:val="0"/>
        <w:iCs w:val="0"/>
        <w:smallCaps w:val="0"/>
        <w:strike w:val="0"/>
        <w:color w:val="231F20"/>
        <w:spacing w:val="0"/>
        <w:w w:val="100"/>
        <w:position w:val="0"/>
        <w:sz w:val="8"/>
        <w:szCs w:val="8"/>
        <w:u w:val="none"/>
        <w:shd w:val="clear" w:color="auto" w:fill="auto"/>
        <w:vertAlign w:val="superscrip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72" w15:restartNumberingAfterBreak="0">
    <w:nsid w:val="345C7767"/>
    <w:multiLevelType w:val="multilevel"/>
    <w:tmpl w:val="D76ABC84"/>
    <w:lvl w:ilvl="0">
      <w:start w:val="1"/>
      <w:numFmt w:val="decimal"/>
      <w:lvlText w:val="%1"/>
      <w:lvlJc w:val="left"/>
      <w:rPr>
        <w:rFonts w:ascii="Times New Roman" w:eastAsia="Times New Roman" w:hAnsi="Times New Roman" w:cs="Times New Roman"/>
        <w:b w:val="0"/>
        <w:bCs w:val="0"/>
        <w:i w:val="0"/>
        <w:iCs w:val="0"/>
        <w:smallCaps w:val="0"/>
        <w:strike w:val="0"/>
        <w:color w:val="231F20"/>
        <w:spacing w:val="0"/>
        <w:w w:val="100"/>
        <w:position w:val="0"/>
        <w:sz w:val="16"/>
        <w:szCs w:val="16"/>
        <w:u w:val="none"/>
        <w:shd w:val="clear" w:color="auto" w:fill="auto"/>
        <w:vertAlign w:val="superscrip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73" w15:restartNumberingAfterBreak="0">
    <w:nsid w:val="348D3DDA"/>
    <w:multiLevelType w:val="multilevel"/>
    <w:tmpl w:val="27A09350"/>
    <w:lvl w:ilvl="0">
      <w:start w:val="1"/>
      <w:numFmt w:val="decimal"/>
      <w:lvlText w:val="%1"/>
      <w:lvlJc w:val="left"/>
      <w:rPr>
        <w:rFonts w:ascii="Times New Roman" w:eastAsia="Times New Roman" w:hAnsi="Times New Roman" w:cs="Times New Roman"/>
        <w:b w:val="0"/>
        <w:bCs w:val="0"/>
        <w:i w:val="0"/>
        <w:iCs w:val="0"/>
        <w:smallCaps w:val="0"/>
        <w:strike w:val="0"/>
        <w:color w:val="231F20"/>
        <w:spacing w:val="0"/>
        <w:w w:val="100"/>
        <w:position w:val="0"/>
        <w:sz w:val="8"/>
        <w:szCs w:val="8"/>
        <w:u w:val="none"/>
        <w:shd w:val="clear" w:color="auto" w:fill="auto"/>
        <w:vertAlign w:val="superscrip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74" w15:restartNumberingAfterBreak="0">
    <w:nsid w:val="375A35BE"/>
    <w:multiLevelType w:val="multilevel"/>
    <w:tmpl w:val="FDFEB848"/>
    <w:lvl w:ilvl="0">
      <w:start w:val="1"/>
      <w:numFmt w:val="decimal"/>
      <w:lvlText w:val="%1"/>
      <w:lvlJc w:val="left"/>
      <w:rPr>
        <w:rFonts w:ascii="Times New Roman" w:eastAsia="Times New Roman" w:hAnsi="Times New Roman" w:cs="Times New Roman"/>
        <w:b w:val="0"/>
        <w:bCs w:val="0"/>
        <w:i w:val="0"/>
        <w:iCs w:val="0"/>
        <w:smallCaps w:val="0"/>
        <w:strike w:val="0"/>
        <w:color w:val="231F20"/>
        <w:spacing w:val="0"/>
        <w:w w:val="100"/>
        <w:position w:val="0"/>
        <w:sz w:val="8"/>
        <w:szCs w:val="8"/>
        <w:u w:val="none"/>
        <w:shd w:val="clear" w:color="auto" w:fill="auto"/>
        <w:vertAlign w:val="superscrip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75" w15:restartNumberingAfterBreak="0">
    <w:nsid w:val="37DB12A5"/>
    <w:multiLevelType w:val="multilevel"/>
    <w:tmpl w:val="CA62A288"/>
    <w:lvl w:ilvl="0">
      <w:start w:val="1"/>
      <w:numFmt w:val="bullet"/>
      <w:lvlText w:val="•"/>
      <w:lvlJc w:val="left"/>
      <w:rPr>
        <w:rFonts w:ascii="Garamond" w:eastAsia="Garamond" w:hAnsi="Garamond" w:cs="Garamond"/>
        <w:b w:val="0"/>
        <w:bCs w:val="0"/>
        <w:i w:val="0"/>
        <w:iCs w:val="0"/>
        <w:smallCaps w:val="0"/>
        <w:strike w:val="0"/>
        <w:color w:val="231F20"/>
        <w:spacing w:val="0"/>
        <w:w w:val="100"/>
        <w:position w:val="0"/>
        <w:sz w:val="19"/>
        <w:szCs w:val="19"/>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76" w15:restartNumberingAfterBreak="0">
    <w:nsid w:val="37E6237E"/>
    <w:multiLevelType w:val="multilevel"/>
    <w:tmpl w:val="B80E8B16"/>
    <w:lvl w:ilvl="0">
      <w:start w:val="50"/>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15"/>
        <w:szCs w:val="15"/>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77" w15:restartNumberingAfterBreak="0">
    <w:nsid w:val="3909596B"/>
    <w:multiLevelType w:val="multilevel"/>
    <w:tmpl w:val="2E1A1A94"/>
    <w:lvl w:ilvl="0">
      <w:start w:val="1"/>
      <w:numFmt w:val="bullet"/>
      <w:lvlText w:val="•"/>
      <w:lvlJc w:val="left"/>
      <w:rPr>
        <w:rFonts w:ascii="Garamond" w:eastAsia="Garamond" w:hAnsi="Garamond" w:cs="Garamond"/>
        <w:b w:val="0"/>
        <w:bCs w:val="0"/>
        <w:i w:val="0"/>
        <w:iCs w:val="0"/>
        <w:smallCaps w:val="0"/>
        <w:strike w:val="0"/>
        <w:color w:val="231F20"/>
        <w:spacing w:val="0"/>
        <w:w w:val="100"/>
        <w:position w:val="0"/>
        <w:sz w:val="19"/>
        <w:szCs w:val="19"/>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78" w15:restartNumberingAfterBreak="0">
    <w:nsid w:val="39273EC2"/>
    <w:multiLevelType w:val="multilevel"/>
    <w:tmpl w:val="A2368A9C"/>
    <w:lvl w:ilvl="0">
      <w:start w:val="1"/>
      <w:numFmt w:val="decimal"/>
      <w:lvlText w:val="%1"/>
      <w:lvlJc w:val="left"/>
      <w:rPr>
        <w:rFonts w:ascii="Times New Roman" w:eastAsia="Times New Roman" w:hAnsi="Times New Roman" w:cs="Times New Roman"/>
        <w:b w:val="0"/>
        <w:bCs w:val="0"/>
        <w:i w:val="0"/>
        <w:iCs w:val="0"/>
        <w:smallCaps w:val="0"/>
        <w:strike w:val="0"/>
        <w:color w:val="231F20"/>
        <w:spacing w:val="0"/>
        <w:w w:val="100"/>
        <w:position w:val="0"/>
        <w:sz w:val="8"/>
        <w:szCs w:val="8"/>
        <w:u w:val="none"/>
        <w:shd w:val="clear" w:color="auto" w:fill="auto"/>
        <w:vertAlign w:val="superscrip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79" w15:restartNumberingAfterBreak="0">
    <w:nsid w:val="39315AAB"/>
    <w:multiLevelType w:val="multilevel"/>
    <w:tmpl w:val="379E24D0"/>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8"/>
        <w:szCs w:val="8"/>
        <w:u w:val="none"/>
        <w:shd w:val="clear" w:color="auto" w:fill="auto"/>
        <w:vertAlign w:val="superscrip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80" w15:restartNumberingAfterBreak="0">
    <w:nsid w:val="3A994F22"/>
    <w:multiLevelType w:val="multilevel"/>
    <w:tmpl w:val="FDE27A60"/>
    <w:lvl w:ilvl="0">
      <w:start w:val="1"/>
      <w:numFmt w:val="decimal"/>
      <w:lvlText w:val="%1"/>
      <w:lvlJc w:val="left"/>
      <w:rPr>
        <w:rFonts w:ascii="Times New Roman" w:eastAsia="Times New Roman" w:hAnsi="Times New Roman" w:cs="Times New Roman"/>
        <w:b w:val="0"/>
        <w:bCs w:val="0"/>
        <w:i w:val="0"/>
        <w:iCs w:val="0"/>
        <w:smallCaps w:val="0"/>
        <w:strike w:val="0"/>
        <w:color w:val="231F20"/>
        <w:spacing w:val="0"/>
        <w:w w:val="100"/>
        <w:position w:val="0"/>
        <w:sz w:val="8"/>
        <w:szCs w:val="8"/>
        <w:u w:val="none"/>
        <w:shd w:val="clear" w:color="auto" w:fill="auto"/>
        <w:vertAlign w:val="superscrip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81" w15:restartNumberingAfterBreak="0">
    <w:nsid w:val="3B975D3D"/>
    <w:multiLevelType w:val="multilevel"/>
    <w:tmpl w:val="4A34120C"/>
    <w:lvl w:ilvl="0">
      <w:start w:val="1"/>
      <w:numFmt w:val="bullet"/>
      <w:lvlText w:val="•"/>
      <w:lvlJc w:val="left"/>
      <w:rPr>
        <w:rFonts w:ascii="Garamond" w:eastAsia="Garamond" w:hAnsi="Garamond" w:cs="Garamond"/>
        <w:b w:val="0"/>
        <w:bCs w:val="0"/>
        <w:i w:val="0"/>
        <w:iCs w:val="0"/>
        <w:smallCaps w:val="0"/>
        <w:strike w:val="0"/>
        <w:color w:val="231F20"/>
        <w:spacing w:val="0"/>
        <w:w w:val="100"/>
        <w:position w:val="0"/>
        <w:sz w:val="19"/>
        <w:szCs w:val="19"/>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82" w15:restartNumberingAfterBreak="0">
    <w:nsid w:val="3C1943F7"/>
    <w:multiLevelType w:val="multilevel"/>
    <w:tmpl w:val="23B8AA02"/>
    <w:lvl w:ilvl="0">
      <w:start w:val="80"/>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15"/>
        <w:szCs w:val="15"/>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83" w15:restartNumberingAfterBreak="0">
    <w:nsid w:val="3C3E5EE3"/>
    <w:multiLevelType w:val="multilevel"/>
    <w:tmpl w:val="F5CC229E"/>
    <w:lvl w:ilvl="0">
      <w:start w:val="1"/>
      <w:numFmt w:val="bullet"/>
      <w:lvlText w:val="•"/>
      <w:lvlJc w:val="left"/>
      <w:rPr>
        <w:rFonts w:ascii="Times New Roman" w:eastAsia="Times New Roman" w:hAnsi="Times New Roman" w:cs="Times New Roman"/>
        <w:b w:val="0"/>
        <w:bCs w:val="0"/>
        <w:i w:val="0"/>
        <w:iCs w:val="0"/>
        <w:smallCaps w:val="0"/>
        <w:strike w:val="0"/>
        <w:color w:val="231F20"/>
        <w:spacing w:val="0"/>
        <w:w w:val="100"/>
        <w:position w:val="0"/>
        <w:sz w:val="16"/>
        <w:szCs w:val="16"/>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84" w15:restartNumberingAfterBreak="0">
    <w:nsid w:val="3CDD2D35"/>
    <w:multiLevelType w:val="multilevel"/>
    <w:tmpl w:val="F948018C"/>
    <w:lvl w:ilvl="0">
      <w:start w:val="1"/>
      <w:numFmt w:val="decimal"/>
      <w:lvlText w:val="%1"/>
      <w:lvlJc w:val="left"/>
      <w:rPr>
        <w:rFonts w:ascii="Times New Roman" w:eastAsia="Times New Roman" w:hAnsi="Times New Roman" w:cs="Times New Roman"/>
        <w:b w:val="0"/>
        <w:bCs w:val="0"/>
        <w:i w:val="0"/>
        <w:iCs w:val="0"/>
        <w:smallCaps w:val="0"/>
        <w:strike w:val="0"/>
        <w:color w:val="231F20"/>
        <w:spacing w:val="0"/>
        <w:w w:val="100"/>
        <w:position w:val="0"/>
        <w:sz w:val="8"/>
        <w:szCs w:val="8"/>
        <w:u w:val="none"/>
        <w:shd w:val="clear" w:color="auto" w:fill="auto"/>
        <w:vertAlign w:val="superscrip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85" w15:restartNumberingAfterBreak="0">
    <w:nsid w:val="3D8567B6"/>
    <w:multiLevelType w:val="multilevel"/>
    <w:tmpl w:val="E92837D0"/>
    <w:lvl w:ilvl="0">
      <w:start w:val="1"/>
      <w:numFmt w:val="decimal"/>
      <w:lvlText w:val="%1"/>
      <w:lvlJc w:val="left"/>
      <w:rPr>
        <w:rFonts w:ascii="Times New Roman" w:eastAsia="Times New Roman" w:hAnsi="Times New Roman" w:cs="Times New Roman"/>
        <w:b w:val="0"/>
        <w:bCs w:val="0"/>
        <w:i w:val="0"/>
        <w:iCs w:val="0"/>
        <w:smallCaps w:val="0"/>
        <w:strike w:val="0"/>
        <w:color w:val="231F20"/>
        <w:spacing w:val="0"/>
        <w:w w:val="100"/>
        <w:position w:val="0"/>
        <w:sz w:val="15"/>
        <w:szCs w:val="15"/>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86" w15:restartNumberingAfterBreak="0">
    <w:nsid w:val="40B80447"/>
    <w:multiLevelType w:val="multilevel"/>
    <w:tmpl w:val="A476CF14"/>
    <w:lvl w:ilvl="0">
      <w:start w:val="1"/>
      <w:numFmt w:val="bullet"/>
      <w:lvlText w:val="•"/>
      <w:lvlJc w:val="left"/>
      <w:rPr>
        <w:rFonts w:ascii="Garamond" w:eastAsia="Garamond" w:hAnsi="Garamond" w:cs="Garamond"/>
        <w:b w:val="0"/>
        <w:bCs w:val="0"/>
        <w:i w:val="0"/>
        <w:iCs w:val="0"/>
        <w:smallCaps w:val="0"/>
        <w:strike w:val="0"/>
        <w:color w:val="231F20"/>
        <w:spacing w:val="0"/>
        <w:w w:val="100"/>
        <w:position w:val="0"/>
        <w:sz w:val="19"/>
        <w:szCs w:val="19"/>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87" w15:restartNumberingAfterBreak="0">
    <w:nsid w:val="40E72EE3"/>
    <w:multiLevelType w:val="multilevel"/>
    <w:tmpl w:val="FA96F854"/>
    <w:lvl w:ilvl="0">
      <w:start w:val="1"/>
      <w:numFmt w:val="decimal"/>
      <w:lvlText w:val="%1"/>
      <w:lvlJc w:val="left"/>
      <w:rPr>
        <w:rFonts w:ascii="Times New Roman" w:eastAsia="Times New Roman" w:hAnsi="Times New Roman" w:cs="Times New Roman"/>
        <w:b w:val="0"/>
        <w:bCs w:val="0"/>
        <w:i w:val="0"/>
        <w:iCs w:val="0"/>
        <w:smallCaps w:val="0"/>
        <w:strike w:val="0"/>
        <w:color w:val="231F20"/>
        <w:spacing w:val="0"/>
        <w:w w:val="100"/>
        <w:position w:val="0"/>
        <w:sz w:val="15"/>
        <w:szCs w:val="15"/>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88" w15:restartNumberingAfterBreak="0">
    <w:nsid w:val="412F591D"/>
    <w:multiLevelType w:val="multilevel"/>
    <w:tmpl w:val="E6D2972E"/>
    <w:lvl w:ilvl="0">
      <w:start w:val="1"/>
      <w:numFmt w:val="decimal"/>
      <w:lvlText w:val="%1"/>
      <w:lvlJc w:val="left"/>
      <w:rPr>
        <w:rFonts w:ascii="Times New Roman" w:eastAsia="Times New Roman" w:hAnsi="Times New Roman" w:cs="Times New Roman"/>
        <w:b w:val="0"/>
        <w:bCs w:val="0"/>
        <w:i w:val="0"/>
        <w:iCs w:val="0"/>
        <w:smallCaps w:val="0"/>
        <w:strike w:val="0"/>
        <w:color w:val="231F20"/>
        <w:spacing w:val="0"/>
        <w:w w:val="100"/>
        <w:position w:val="0"/>
        <w:sz w:val="8"/>
        <w:szCs w:val="8"/>
        <w:u w:val="none"/>
        <w:shd w:val="clear" w:color="auto" w:fill="auto"/>
        <w:vertAlign w:val="superscrip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89" w15:restartNumberingAfterBreak="0">
    <w:nsid w:val="41E414EF"/>
    <w:multiLevelType w:val="multilevel"/>
    <w:tmpl w:val="A6BC0A84"/>
    <w:lvl w:ilvl="0">
      <w:start w:val="1"/>
      <w:numFmt w:val="bullet"/>
      <w:lvlText w:val="□"/>
      <w:lvlJc w:val="left"/>
      <w:rPr>
        <w:rFonts w:ascii="Arial" w:eastAsia="Arial" w:hAnsi="Arial" w:cs="Arial"/>
        <w:b w:val="0"/>
        <w:bCs w:val="0"/>
        <w:i w:val="0"/>
        <w:iCs w:val="0"/>
        <w:smallCaps w:val="0"/>
        <w:strike w:val="0"/>
        <w:color w:val="231F20"/>
        <w:spacing w:val="0"/>
        <w:w w:val="100"/>
        <w:position w:val="0"/>
        <w:sz w:val="12"/>
        <w:szCs w:val="12"/>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90" w15:restartNumberingAfterBreak="0">
    <w:nsid w:val="41F2281F"/>
    <w:multiLevelType w:val="multilevel"/>
    <w:tmpl w:val="C840C89E"/>
    <w:lvl w:ilvl="0">
      <w:start w:val="1"/>
      <w:numFmt w:val="decimal"/>
      <w:lvlText w:val="%1"/>
      <w:lvlJc w:val="left"/>
      <w:rPr>
        <w:rFonts w:ascii="Times New Roman" w:eastAsia="Times New Roman" w:hAnsi="Times New Roman" w:cs="Times New Roman"/>
        <w:b w:val="0"/>
        <w:bCs w:val="0"/>
        <w:i w:val="0"/>
        <w:iCs w:val="0"/>
        <w:smallCaps w:val="0"/>
        <w:strike w:val="0"/>
        <w:color w:val="231F20"/>
        <w:spacing w:val="0"/>
        <w:w w:val="100"/>
        <w:position w:val="0"/>
        <w:sz w:val="8"/>
        <w:szCs w:val="8"/>
        <w:u w:val="none"/>
        <w:shd w:val="clear" w:color="auto" w:fill="auto"/>
        <w:vertAlign w:val="superscrip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91" w15:restartNumberingAfterBreak="0">
    <w:nsid w:val="42102774"/>
    <w:multiLevelType w:val="multilevel"/>
    <w:tmpl w:val="6C709A4E"/>
    <w:lvl w:ilvl="0">
      <w:start w:val="1"/>
      <w:numFmt w:val="decimal"/>
      <w:lvlText w:val="%1"/>
      <w:lvlJc w:val="left"/>
      <w:rPr>
        <w:rFonts w:ascii="Times New Roman" w:eastAsia="Times New Roman" w:hAnsi="Times New Roman" w:cs="Times New Roman"/>
        <w:b w:val="0"/>
        <w:bCs w:val="0"/>
        <w:i w:val="0"/>
        <w:iCs w:val="0"/>
        <w:smallCaps w:val="0"/>
        <w:strike w:val="0"/>
        <w:color w:val="231F20"/>
        <w:spacing w:val="0"/>
        <w:w w:val="100"/>
        <w:position w:val="0"/>
        <w:sz w:val="8"/>
        <w:szCs w:val="8"/>
        <w:u w:val="none"/>
        <w:shd w:val="clear" w:color="auto" w:fill="auto"/>
        <w:vertAlign w:val="superscrip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92" w15:restartNumberingAfterBreak="0">
    <w:nsid w:val="42126E58"/>
    <w:multiLevelType w:val="multilevel"/>
    <w:tmpl w:val="D892EA8E"/>
    <w:lvl w:ilvl="0">
      <w:start w:val="1"/>
      <w:numFmt w:val="decimal"/>
      <w:lvlText w:val="%1)"/>
      <w:lvlJc w:val="left"/>
      <w:rPr>
        <w:rFonts w:ascii="Garamond" w:eastAsia="Garamond" w:hAnsi="Garamond" w:cs="Garamond"/>
        <w:b w:val="0"/>
        <w:bCs w:val="0"/>
        <w:i w:val="0"/>
        <w:iCs w:val="0"/>
        <w:smallCaps w:val="0"/>
        <w:strike w:val="0"/>
        <w:color w:val="231F20"/>
        <w:spacing w:val="0"/>
        <w:w w:val="100"/>
        <w:position w:val="0"/>
        <w:sz w:val="19"/>
        <w:szCs w:val="19"/>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93" w15:restartNumberingAfterBreak="0">
    <w:nsid w:val="426E2B34"/>
    <w:multiLevelType w:val="multilevel"/>
    <w:tmpl w:val="2C3209D2"/>
    <w:lvl w:ilvl="0">
      <w:start w:val="1"/>
      <w:numFmt w:val="bullet"/>
      <w:lvlText w:val="♦"/>
      <w:lvlJc w:val="left"/>
      <w:rPr>
        <w:rFonts w:ascii="Times New Roman" w:eastAsia="Times New Roman" w:hAnsi="Times New Roman" w:cs="Times New Roman"/>
        <w:b w:val="0"/>
        <w:bCs w:val="0"/>
        <w:i w:val="0"/>
        <w:iCs w:val="0"/>
        <w:smallCaps w:val="0"/>
        <w:strike w:val="0"/>
        <w:color w:val="231F20"/>
        <w:spacing w:val="0"/>
        <w:w w:val="100"/>
        <w:position w:val="0"/>
        <w:sz w:val="16"/>
        <w:szCs w:val="16"/>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94" w15:restartNumberingAfterBreak="0">
    <w:nsid w:val="42FE3E78"/>
    <w:multiLevelType w:val="multilevel"/>
    <w:tmpl w:val="7658AE20"/>
    <w:lvl w:ilvl="0">
      <w:start w:val="1"/>
      <w:numFmt w:val="decimal"/>
      <w:lvlText w:val="%1."/>
      <w:lvlJc w:val="left"/>
      <w:rPr>
        <w:rFonts w:ascii="Garamond" w:eastAsia="Garamond" w:hAnsi="Garamond" w:cs="Garamond"/>
        <w:b w:val="0"/>
        <w:bCs w:val="0"/>
        <w:i w:val="0"/>
        <w:iCs w:val="0"/>
        <w:smallCaps w:val="0"/>
        <w:strike w:val="0"/>
        <w:color w:val="231F20"/>
        <w:spacing w:val="0"/>
        <w:w w:val="100"/>
        <w:position w:val="0"/>
        <w:sz w:val="19"/>
        <w:szCs w:val="19"/>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95" w15:restartNumberingAfterBreak="0">
    <w:nsid w:val="433911FF"/>
    <w:multiLevelType w:val="multilevel"/>
    <w:tmpl w:val="94EC9D02"/>
    <w:lvl w:ilvl="0">
      <w:start w:val="1"/>
      <w:numFmt w:val="decimal"/>
      <w:lvlText w:val="%1"/>
      <w:lvlJc w:val="left"/>
      <w:rPr>
        <w:rFonts w:ascii="Times New Roman" w:eastAsia="Times New Roman" w:hAnsi="Times New Roman" w:cs="Times New Roman"/>
        <w:b w:val="0"/>
        <w:bCs w:val="0"/>
        <w:i w:val="0"/>
        <w:iCs w:val="0"/>
        <w:smallCaps w:val="0"/>
        <w:strike w:val="0"/>
        <w:color w:val="231F20"/>
        <w:spacing w:val="0"/>
        <w:w w:val="100"/>
        <w:position w:val="0"/>
        <w:sz w:val="8"/>
        <w:szCs w:val="8"/>
        <w:u w:val="none"/>
        <w:shd w:val="clear" w:color="auto" w:fill="auto"/>
        <w:vertAlign w:val="superscrip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96" w15:restartNumberingAfterBreak="0">
    <w:nsid w:val="437F3054"/>
    <w:multiLevelType w:val="multilevel"/>
    <w:tmpl w:val="80F8274A"/>
    <w:lvl w:ilvl="0">
      <w:start w:val="1"/>
      <w:numFmt w:val="decimal"/>
      <w:lvlText w:val="%1"/>
      <w:lvlJc w:val="left"/>
      <w:rPr>
        <w:rFonts w:ascii="Times New Roman" w:eastAsia="Times New Roman" w:hAnsi="Times New Roman" w:cs="Times New Roman"/>
        <w:b w:val="0"/>
        <w:bCs w:val="0"/>
        <w:i w:val="0"/>
        <w:iCs w:val="0"/>
        <w:smallCaps w:val="0"/>
        <w:strike w:val="0"/>
        <w:color w:val="231F20"/>
        <w:spacing w:val="0"/>
        <w:w w:val="100"/>
        <w:position w:val="0"/>
        <w:sz w:val="8"/>
        <w:szCs w:val="8"/>
        <w:u w:val="none"/>
        <w:shd w:val="clear" w:color="auto" w:fill="auto"/>
        <w:vertAlign w:val="superscrip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97" w15:restartNumberingAfterBreak="0">
    <w:nsid w:val="443C67A0"/>
    <w:multiLevelType w:val="multilevel"/>
    <w:tmpl w:val="643821B8"/>
    <w:lvl w:ilvl="0">
      <w:start w:val="1"/>
      <w:numFmt w:val="decimal"/>
      <w:lvlText w:val="%1"/>
      <w:lvlJc w:val="left"/>
      <w:rPr>
        <w:rFonts w:ascii="Times New Roman" w:eastAsia="Times New Roman" w:hAnsi="Times New Roman" w:cs="Times New Roman"/>
        <w:b w:val="0"/>
        <w:bCs w:val="0"/>
        <w:i w:val="0"/>
        <w:iCs w:val="0"/>
        <w:smallCaps w:val="0"/>
        <w:strike w:val="0"/>
        <w:color w:val="231F20"/>
        <w:spacing w:val="0"/>
        <w:w w:val="100"/>
        <w:position w:val="0"/>
        <w:sz w:val="8"/>
        <w:szCs w:val="8"/>
        <w:u w:val="none"/>
        <w:shd w:val="clear" w:color="auto" w:fill="auto"/>
        <w:vertAlign w:val="superscrip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98" w15:restartNumberingAfterBreak="0">
    <w:nsid w:val="445543CE"/>
    <w:multiLevelType w:val="multilevel"/>
    <w:tmpl w:val="134CA116"/>
    <w:lvl w:ilvl="0">
      <w:start w:val="1"/>
      <w:numFmt w:val="bullet"/>
      <w:lvlText w:val="•"/>
      <w:lvlJc w:val="left"/>
      <w:rPr>
        <w:rFonts w:ascii="Garamond" w:eastAsia="Garamond" w:hAnsi="Garamond" w:cs="Garamond"/>
        <w:b w:val="0"/>
        <w:bCs w:val="0"/>
        <w:i w:val="0"/>
        <w:iCs w:val="0"/>
        <w:smallCaps w:val="0"/>
        <w:strike w:val="0"/>
        <w:color w:val="231F20"/>
        <w:spacing w:val="0"/>
        <w:w w:val="100"/>
        <w:position w:val="0"/>
        <w:sz w:val="19"/>
        <w:szCs w:val="19"/>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99" w15:restartNumberingAfterBreak="0">
    <w:nsid w:val="4552187B"/>
    <w:multiLevelType w:val="multilevel"/>
    <w:tmpl w:val="DBF0FF1E"/>
    <w:lvl w:ilvl="0">
      <w:start w:val="1"/>
      <w:numFmt w:val="decimal"/>
      <w:lvlText w:val="%1"/>
      <w:lvlJc w:val="left"/>
      <w:rPr>
        <w:rFonts w:ascii="Times New Roman" w:eastAsia="Times New Roman" w:hAnsi="Times New Roman" w:cs="Times New Roman"/>
        <w:b w:val="0"/>
        <w:bCs w:val="0"/>
        <w:i w:val="0"/>
        <w:iCs w:val="0"/>
        <w:smallCaps w:val="0"/>
        <w:strike w:val="0"/>
        <w:color w:val="231F20"/>
        <w:spacing w:val="0"/>
        <w:w w:val="100"/>
        <w:position w:val="0"/>
        <w:sz w:val="8"/>
        <w:szCs w:val="8"/>
        <w:u w:val="none"/>
        <w:shd w:val="clear" w:color="auto" w:fill="auto"/>
        <w:vertAlign w:val="superscrip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00" w15:restartNumberingAfterBreak="0">
    <w:nsid w:val="48017F42"/>
    <w:multiLevelType w:val="multilevel"/>
    <w:tmpl w:val="B316D3D6"/>
    <w:lvl w:ilvl="0">
      <w:start w:val="1"/>
      <w:numFmt w:val="decimal"/>
      <w:lvlText w:val="%1"/>
      <w:lvlJc w:val="left"/>
      <w:rPr>
        <w:rFonts w:ascii="Times New Roman" w:eastAsia="Times New Roman" w:hAnsi="Times New Roman" w:cs="Times New Roman"/>
        <w:b w:val="0"/>
        <w:bCs w:val="0"/>
        <w:i w:val="0"/>
        <w:iCs w:val="0"/>
        <w:smallCaps w:val="0"/>
        <w:strike w:val="0"/>
        <w:color w:val="231F20"/>
        <w:spacing w:val="0"/>
        <w:w w:val="100"/>
        <w:position w:val="0"/>
        <w:sz w:val="8"/>
        <w:szCs w:val="8"/>
        <w:u w:val="none"/>
        <w:shd w:val="clear" w:color="auto" w:fill="auto"/>
        <w:vertAlign w:val="superscrip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01" w15:restartNumberingAfterBreak="0">
    <w:nsid w:val="492F6007"/>
    <w:multiLevelType w:val="multilevel"/>
    <w:tmpl w:val="77F2FFF0"/>
    <w:lvl w:ilvl="0">
      <w:start w:val="1"/>
      <w:numFmt w:val="decimal"/>
      <w:lvlText w:val="%1"/>
      <w:lvlJc w:val="left"/>
      <w:rPr>
        <w:rFonts w:ascii="Times New Roman" w:eastAsia="Times New Roman" w:hAnsi="Times New Roman" w:cs="Times New Roman"/>
        <w:b w:val="0"/>
        <w:bCs w:val="0"/>
        <w:i w:val="0"/>
        <w:iCs w:val="0"/>
        <w:smallCaps w:val="0"/>
        <w:strike w:val="0"/>
        <w:color w:val="231F20"/>
        <w:spacing w:val="0"/>
        <w:w w:val="100"/>
        <w:position w:val="0"/>
        <w:sz w:val="8"/>
        <w:szCs w:val="8"/>
        <w:u w:val="none"/>
        <w:shd w:val="clear" w:color="auto" w:fill="auto"/>
        <w:vertAlign w:val="superscrip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02" w15:restartNumberingAfterBreak="0">
    <w:nsid w:val="4980084A"/>
    <w:multiLevelType w:val="multilevel"/>
    <w:tmpl w:val="586C8210"/>
    <w:lvl w:ilvl="0">
      <w:start w:val="1"/>
      <w:numFmt w:val="bullet"/>
      <w:lvlText w:val="•"/>
      <w:lvlJc w:val="left"/>
      <w:rPr>
        <w:rFonts w:ascii="Times New Roman" w:eastAsia="Times New Roman" w:hAnsi="Times New Roman" w:cs="Times New Roman"/>
        <w:b w:val="0"/>
        <w:bCs w:val="0"/>
        <w:i w:val="0"/>
        <w:iCs w:val="0"/>
        <w:smallCaps w:val="0"/>
        <w:strike w:val="0"/>
        <w:color w:val="231F20"/>
        <w:spacing w:val="0"/>
        <w:w w:val="100"/>
        <w:position w:val="0"/>
        <w:sz w:val="16"/>
        <w:szCs w:val="16"/>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03" w15:restartNumberingAfterBreak="0">
    <w:nsid w:val="4A667988"/>
    <w:multiLevelType w:val="multilevel"/>
    <w:tmpl w:val="3376BE3E"/>
    <w:lvl w:ilvl="0">
      <w:start w:val="1"/>
      <w:numFmt w:val="bullet"/>
      <w:lvlText w:val="•"/>
      <w:lvlJc w:val="left"/>
      <w:rPr>
        <w:rFonts w:ascii="Garamond" w:eastAsia="Garamond" w:hAnsi="Garamond" w:cs="Garamond"/>
        <w:b w:val="0"/>
        <w:bCs w:val="0"/>
        <w:i w:val="0"/>
        <w:iCs w:val="0"/>
        <w:smallCaps w:val="0"/>
        <w:strike w:val="0"/>
        <w:color w:val="231F20"/>
        <w:spacing w:val="0"/>
        <w:w w:val="100"/>
        <w:position w:val="0"/>
        <w:sz w:val="19"/>
        <w:szCs w:val="19"/>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04" w15:restartNumberingAfterBreak="0">
    <w:nsid w:val="4B0A71C5"/>
    <w:multiLevelType w:val="multilevel"/>
    <w:tmpl w:val="D62C079C"/>
    <w:lvl w:ilvl="0">
      <w:start w:val="1"/>
      <w:numFmt w:val="decimal"/>
      <w:lvlText w:val="%1"/>
      <w:lvlJc w:val="left"/>
      <w:rPr>
        <w:rFonts w:ascii="Times New Roman" w:eastAsia="Times New Roman" w:hAnsi="Times New Roman" w:cs="Times New Roman"/>
        <w:b w:val="0"/>
        <w:bCs w:val="0"/>
        <w:i w:val="0"/>
        <w:iCs w:val="0"/>
        <w:smallCaps w:val="0"/>
        <w:strike w:val="0"/>
        <w:color w:val="231F20"/>
        <w:spacing w:val="0"/>
        <w:w w:val="100"/>
        <w:position w:val="0"/>
        <w:sz w:val="15"/>
        <w:szCs w:val="15"/>
        <w:u w:val="none"/>
        <w:shd w:val="clear" w:color="auto" w:fill="auto"/>
        <w:vertAlign w:val="superscrip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05" w15:restartNumberingAfterBreak="0">
    <w:nsid w:val="4B60745E"/>
    <w:multiLevelType w:val="multilevel"/>
    <w:tmpl w:val="F60CABFC"/>
    <w:lvl w:ilvl="0">
      <w:start w:val="1"/>
      <w:numFmt w:val="bullet"/>
      <w:lvlText w:val="•"/>
      <w:lvlJc w:val="left"/>
      <w:rPr>
        <w:rFonts w:ascii="Garamond" w:eastAsia="Garamond" w:hAnsi="Garamond" w:cs="Garamond"/>
        <w:b w:val="0"/>
        <w:bCs w:val="0"/>
        <w:i w:val="0"/>
        <w:iCs w:val="0"/>
        <w:smallCaps w:val="0"/>
        <w:strike w:val="0"/>
        <w:color w:val="231F20"/>
        <w:spacing w:val="0"/>
        <w:w w:val="100"/>
        <w:position w:val="0"/>
        <w:sz w:val="19"/>
        <w:szCs w:val="19"/>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06" w15:restartNumberingAfterBreak="0">
    <w:nsid w:val="4BEF4CA4"/>
    <w:multiLevelType w:val="multilevel"/>
    <w:tmpl w:val="C9DE0050"/>
    <w:lvl w:ilvl="0">
      <w:start w:val="1"/>
      <w:numFmt w:val="bullet"/>
      <w:lvlText w:val="♦"/>
      <w:lvlJc w:val="left"/>
      <w:rPr>
        <w:rFonts w:ascii="Times New Roman" w:eastAsia="Times New Roman" w:hAnsi="Times New Roman" w:cs="Times New Roman"/>
        <w:b w:val="0"/>
        <w:bCs w:val="0"/>
        <w:i w:val="0"/>
        <w:iCs w:val="0"/>
        <w:smallCaps w:val="0"/>
        <w:strike w:val="0"/>
        <w:color w:val="231F20"/>
        <w:spacing w:val="0"/>
        <w:w w:val="100"/>
        <w:position w:val="0"/>
        <w:sz w:val="16"/>
        <w:szCs w:val="16"/>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07" w15:restartNumberingAfterBreak="0">
    <w:nsid w:val="4C466168"/>
    <w:multiLevelType w:val="multilevel"/>
    <w:tmpl w:val="335A8DA6"/>
    <w:lvl w:ilvl="0">
      <w:start w:val="62"/>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15"/>
        <w:szCs w:val="15"/>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08" w15:restartNumberingAfterBreak="0">
    <w:nsid w:val="4CF81472"/>
    <w:multiLevelType w:val="multilevel"/>
    <w:tmpl w:val="FCDE7384"/>
    <w:lvl w:ilvl="0">
      <w:start w:val="28"/>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15"/>
        <w:szCs w:val="15"/>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09" w15:restartNumberingAfterBreak="0">
    <w:nsid w:val="4D307699"/>
    <w:multiLevelType w:val="multilevel"/>
    <w:tmpl w:val="3CD401D0"/>
    <w:lvl w:ilvl="0">
      <w:start w:val="1"/>
      <w:numFmt w:val="bullet"/>
      <w:lvlText w:val="•"/>
      <w:lvlJc w:val="left"/>
      <w:rPr>
        <w:rFonts w:ascii="Times New Roman" w:eastAsia="Times New Roman" w:hAnsi="Times New Roman" w:cs="Times New Roman"/>
        <w:b w:val="0"/>
        <w:bCs w:val="0"/>
        <w:i w:val="0"/>
        <w:iCs w:val="0"/>
        <w:smallCaps w:val="0"/>
        <w:strike w:val="0"/>
        <w:color w:val="231F20"/>
        <w:spacing w:val="0"/>
        <w:w w:val="100"/>
        <w:position w:val="0"/>
        <w:sz w:val="16"/>
        <w:szCs w:val="16"/>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10" w15:restartNumberingAfterBreak="0">
    <w:nsid w:val="4E665E90"/>
    <w:multiLevelType w:val="multilevel"/>
    <w:tmpl w:val="23EA281A"/>
    <w:lvl w:ilvl="0">
      <w:start w:val="1"/>
      <w:numFmt w:val="decimal"/>
      <w:lvlText w:val="%1"/>
      <w:lvlJc w:val="left"/>
      <w:rPr>
        <w:rFonts w:ascii="Times New Roman" w:eastAsia="Times New Roman" w:hAnsi="Times New Roman" w:cs="Times New Roman"/>
        <w:b w:val="0"/>
        <w:bCs w:val="0"/>
        <w:i w:val="0"/>
        <w:iCs w:val="0"/>
        <w:smallCaps w:val="0"/>
        <w:strike w:val="0"/>
        <w:color w:val="231F20"/>
        <w:spacing w:val="0"/>
        <w:w w:val="100"/>
        <w:position w:val="0"/>
        <w:sz w:val="8"/>
        <w:szCs w:val="8"/>
        <w:u w:val="none"/>
        <w:shd w:val="clear" w:color="auto" w:fill="auto"/>
        <w:vertAlign w:val="superscrip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11" w15:restartNumberingAfterBreak="0">
    <w:nsid w:val="4EA30E27"/>
    <w:multiLevelType w:val="multilevel"/>
    <w:tmpl w:val="6130E6DE"/>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16"/>
        <w:szCs w:val="16"/>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12" w15:restartNumberingAfterBreak="0">
    <w:nsid w:val="50D36967"/>
    <w:multiLevelType w:val="multilevel"/>
    <w:tmpl w:val="B8B68F02"/>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8"/>
        <w:szCs w:val="8"/>
        <w:u w:val="none"/>
        <w:shd w:val="clear" w:color="auto" w:fill="auto"/>
        <w:vertAlign w:val="superscrip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13" w15:restartNumberingAfterBreak="0">
    <w:nsid w:val="51113609"/>
    <w:multiLevelType w:val="multilevel"/>
    <w:tmpl w:val="7AF82000"/>
    <w:lvl w:ilvl="0">
      <w:start w:val="1"/>
      <w:numFmt w:val="bullet"/>
      <w:lvlText w:val="•"/>
      <w:lvlJc w:val="left"/>
      <w:rPr>
        <w:rFonts w:ascii="Times New Roman" w:eastAsia="Times New Roman" w:hAnsi="Times New Roman" w:cs="Times New Roman"/>
        <w:b w:val="0"/>
        <w:bCs w:val="0"/>
        <w:i w:val="0"/>
        <w:iCs w:val="0"/>
        <w:smallCaps w:val="0"/>
        <w:strike w:val="0"/>
        <w:color w:val="231F20"/>
        <w:spacing w:val="0"/>
        <w:w w:val="100"/>
        <w:position w:val="0"/>
        <w:sz w:val="16"/>
        <w:szCs w:val="16"/>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14" w15:restartNumberingAfterBreak="0">
    <w:nsid w:val="535E04E2"/>
    <w:multiLevelType w:val="multilevel"/>
    <w:tmpl w:val="E8ACB7FA"/>
    <w:lvl w:ilvl="0">
      <w:start w:val="1"/>
      <w:numFmt w:val="bullet"/>
      <w:lvlText w:val="•"/>
      <w:lvlJc w:val="left"/>
      <w:rPr>
        <w:rFonts w:ascii="Times New Roman" w:eastAsia="Times New Roman" w:hAnsi="Times New Roman" w:cs="Times New Roman"/>
        <w:b w:val="0"/>
        <w:bCs w:val="0"/>
        <w:i w:val="0"/>
        <w:iCs w:val="0"/>
        <w:smallCaps w:val="0"/>
        <w:strike w:val="0"/>
        <w:color w:val="231F20"/>
        <w:spacing w:val="0"/>
        <w:w w:val="100"/>
        <w:position w:val="0"/>
        <w:sz w:val="16"/>
        <w:szCs w:val="16"/>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15" w15:restartNumberingAfterBreak="0">
    <w:nsid w:val="53DD04A1"/>
    <w:multiLevelType w:val="multilevel"/>
    <w:tmpl w:val="80E407A6"/>
    <w:lvl w:ilvl="0">
      <w:start w:val="1"/>
      <w:numFmt w:val="decimal"/>
      <w:lvlText w:val="%1"/>
      <w:lvlJc w:val="left"/>
      <w:rPr>
        <w:rFonts w:ascii="Times New Roman" w:eastAsia="Times New Roman" w:hAnsi="Times New Roman" w:cs="Times New Roman"/>
        <w:b w:val="0"/>
        <w:bCs w:val="0"/>
        <w:i w:val="0"/>
        <w:iCs w:val="0"/>
        <w:smallCaps w:val="0"/>
        <w:strike w:val="0"/>
        <w:color w:val="231F20"/>
        <w:spacing w:val="0"/>
        <w:w w:val="100"/>
        <w:position w:val="0"/>
        <w:sz w:val="8"/>
        <w:szCs w:val="8"/>
        <w:u w:val="none"/>
        <w:shd w:val="clear" w:color="auto" w:fill="FFFFFF"/>
        <w:vertAlign w:val="superscrip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16" w15:restartNumberingAfterBreak="0">
    <w:nsid w:val="547B4C55"/>
    <w:multiLevelType w:val="multilevel"/>
    <w:tmpl w:val="389C394A"/>
    <w:lvl w:ilvl="0">
      <w:start w:val="10"/>
      <w:numFmt w:val="decimal"/>
      <w:lvlText w:val="%1"/>
      <w:lvlJc w:val="left"/>
      <w:rPr>
        <w:rFonts w:ascii="Times New Roman" w:eastAsia="Times New Roman" w:hAnsi="Times New Roman" w:cs="Times New Roman"/>
        <w:b w:val="0"/>
        <w:bCs w:val="0"/>
        <w:i w:val="0"/>
        <w:iCs w:val="0"/>
        <w:smallCaps w:val="0"/>
        <w:strike w:val="0"/>
        <w:color w:val="231F20"/>
        <w:spacing w:val="0"/>
        <w:w w:val="100"/>
        <w:position w:val="0"/>
        <w:sz w:val="8"/>
        <w:szCs w:val="8"/>
        <w:u w:val="none"/>
        <w:shd w:val="clear" w:color="auto" w:fill="auto"/>
        <w:vertAlign w:val="superscrip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17" w15:restartNumberingAfterBreak="0">
    <w:nsid w:val="548529AF"/>
    <w:multiLevelType w:val="multilevel"/>
    <w:tmpl w:val="9BD020B0"/>
    <w:lvl w:ilvl="0">
      <w:start w:val="1"/>
      <w:numFmt w:val="decimal"/>
      <w:lvlText w:val="%1"/>
      <w:lvlJc w:val="left"/>
      <w:rPr>
        <w:rFonts w:ascii="Times New Roman" w:eastAsia="Times New Roman" w:hAnsi="Times New Roman" w:cs="Times New Roman"/>
        <w:b w:val="0"/>
        <w:bCs w:val="0"/>
        <w:i w:val="0"/>
        <w:iCs w:val="0"/>
        <w:smallCaps w:val="0"/>
        <w:strike w:val="0"/>
        <w:color w:val="231F20"/>
        <w:spacing w:val="0"/>
        <w:w w:val="100"/>
        <w:position w:val="0"/>
        <w:sz w:val="8"/>
        <w:szCs w:val="8"/>
        <w:u w:val="none"/>
        <w:shd w:val="clear" w:color="auto" w:fill="auto"/>
        <w:vertAlign w:val="superscrip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18" w15:restartNumberingAfterBreak="0">
    <w:nsid w:val="548B205A"/>
    <w:multiLevelType w:val="multilevel"/>
    <w:tmpl w:val="B66AB16E"/>
    <w:lvl w:ilvl="0">
      <w:start w:val="1"/>
      <w:numFmt w:val="decimal"/>
      <w:lvlText w:val="%1"/>
      <w:lvlJc w:val="left"/>
      <w:rPr>
        <w:rFonts w:ascii="Times New Roman" w:eastAsia="Times New Roman" w:hAnsi="Times New Roman" w:cs="Times New Roman"/>
        <w:b w:val="0"/>
        <w:bCs w:val="0"/>
        <w:i w:val="0"/>
        <w:iCs w:val="0"/>
        <w:smallCaps w:val="0"/>
        <w:strike w:val="0"/>
        <w:color w:val="231F20"/>
        <w:spacing w:val="0"/>
        <w:w w:val="100"/>
        <w:position w:val="0"/>
        <w:sz w:val="8"/>
        <w:szCs w:val="8"/>
        <w:u w:val="none"/>
        <w:shd w:val="clear" w:color="auto" w:fill="auto"/>
        <w:vertAlign w:val="superscrip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19" w15:restartNumberingAfterBreak="0">
    <w:nsid w:val="54D528B3"/>
    <w:multiLevelType w:val="multilevel"/>
    <w:tmpl w:val="2004AF7E"/>
    <w:lvl w:ilvl="0">
      <w:start w:val="1"/>
      <w:numFmt w:val="bullet"/>
      <w:lvlText w:val="•"/>
      <w:lvlJc w:val="left"/>
      <w:rPr>
        <w:rFonts w:ascii="Garamond" w:eastAsia="Garamond" w:hAnsi="Garamond" w:cs="Garamond"/>
        <w:b w:val="0"/>
        <w:bCs w:val="0"/>
        <w:i w:val="0"/>
        <w:iCs w:val="0"/>
        <w:smallCaps w:val="0"/>
        <w:strike w:val="0"/>
        <w:color w:val="231F20"/>
        <w:spacing w:val="0"/>
        <w:w w:val="100"/>
        <w:position w:val="0"/>
        <w:sz w:val="19"/>
        <w:szCs w:val="19"/>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20" w15:restartNumberingAfterBreak="0">
    <w:nsid w:val="554906B5"/>
    <w:multiLevelType w:val="multilevel"/>
    <w:tmpl w:val="1E4A632C"/>
    <w:lvl w:ilvl="0">
      <w:start w:val="1"/>
      <w:numFmt w:val="decimal"/>
      <w:lvlText w:val="%1"/>
      <w:lvlJc w:val="left"/>
      <w:rPr>
        <w:rFonts w:ascii="Times New Roman" w:eastAsia="Times New Roman" w:hAnsi="Times New Roman" w:cs="Times New Roman"/>
        <w:b w:val="0"/>
        <w:bCs w:val="0"/>
        <w:i w:val="0"/>
        <w:iCs w:val="0"/>
        <w:smallCaps w:val="0"/>
        <w:strike w:val="0"/>
        <w:color w:val="231F20"/>
        <w:spacing w:val="0"/>
        <w:w w:val="100"/>
        <w:position w:val="0"/>
        <w:sz w:val="16"/>
        <w:szCs w:val="16"/>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21" w15:restartNumberingAfterBreak="0">
    <w:nsid w:val="569D0646"/>
    <w:multiLevelType w:val="multilevel"/>
    <w:tmpl w:val="CD0E4BD0"/>
    <w:lvl w:ilvl="0">
      <w:start w:val="3"/>
      <w:numFmt w:val="decimal"/>
      <w:lvlText w:val="%1."/>
      <w:lvlJc w:val="left"/>
      <w:rPr>
        <w:rFonts w:ascii="Times New Roman" w:eastAsia="Times New Roman" w:hAnsi="Times New Roman" w:cs="Times New Roman"/>
        <w:b w:val="0"/>
        <w:bCs w:val="0"/>
        <w:i w:val="0"/>
        <w:iCs w:val="0"/>
        <w:smallCaps w:val="0"/>
        <w:strike w:val="0"/>
        <w:color w:val="231F20"/>
        <w:spacing w:val="0"/>
        <w:w w:val="100"/>
        <w:position w:val="0"/>
        <w:sz w:val="16"/>
        <w:szCs w:val="16"/>
        <w:u w:val="none"/>
        <w:shd w:val="clear" w:color="auto" w:fill="FFFF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22" w15:restartNumberingAfterBreak="0">
    <w:nsid w:val="56CB673D"/>
    <w:multiLevelType w:val="multilevel"/>
    <w:tmpl w:val="CBA03888"/>
    <w:lvl w:ilvl="0">
      <w:start w:val="1"/>
      <w:numFmt w:val="upperLetter"/>
      <w:lvlText w:val="%1."/>
      <w:lvlJc w:val="left"/>
      <w:rPr>
        <w:rFonts w:ascii="Times New Roman" w:eastAsia="Times New Roman" w:hAnsi="Times New Roman" w:cs="Times New Roman"/>
        <w:b w:val="0"/>
        <w:bCs w:val="0"/>
        <w:i w:val="0"/>
        <w:iCs w:val="0"/>
        <w:smallCaps w:val="0"/>
        <w:strike w:val="0"/>
        <w:color w:val="231F20"/>
        <w:spacing w:val="0"/>
        <w:w w:val="100"/>
        <w:position w:val="0"/>
        <w:sz w:val="16"/>
        <w:szCs w:val="16"/>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23" w15:restartNumberingAfterBreak="0">
    <w:nsid w:val="56E66CEB"/>
    <w:multiLevelType w:val="multilevel"/>
    <w:tmpl w:val="A306A628"/>
    <w:lvl w:ilvl="0">
      <w:start w:val="1"/>
      <w:numFmt w:val="decimal"/>
      <w:lvlText w:val="%1"/>
      <w:lvlJc w:val="left"/>
      <w:rPr>
        <w:rFonts w:ascii="Times New Roman" w:eastAsia="Times New Roman" w:hAnsi="Times New Roman" w:cs="Times New Roman"/>
        <w:b w:val="0"/>
        <w:bCs w:val="0"/>
        <w:i w:val="0"/>
        <w:iCs w:val="0"/>
        <w:smallCaps w:val="0"/>
        <w:strike w:val="0"/>
        <w:color w:val="231F20"/>
        <w:spacing w:val="0"/>
        <w:w w:val="100"/>
        <w:position w:val="0"/>
        <w:sz w:val="16"/>
        <w:szCs w:val="16"/>
        <w:u w:val="none"/>
        <w:shd w:val="clear" w:color="auto" w:fill="auto"/>
        <w:vertAlign w:val="superscrip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24" w15:restartNumberingAfterBreak="0">
    <w:nsid w:val="57C43E04"/>
    <w:multiLevelType w:val="multilevel"/>
    <w:tmpl w:val="B642A23C"/>
    <w:lvl w:ilvl="0">
      <w:start w:val="1"/>
      <w:numFmt w:val="bullet"/>
      <w:lvlText w:val="*"/>
      <w:lvlJc w:val="left"/>
      <w:rPr>
        <w:rFonts w:ascii="Times New Roman" w:eastAsia="Times New Roman" w:hAnsi="Times New Roman" w:cs="Times New Roman"/>
        <w:b w:val="0"/>
        <w:bCs w:val="0"/>
        <w:i w:val="0"/>
        <w:iCs w:val="0"/>
        <w:smallCaps w:val="0"/>
        <w:strike w:val="0"/>
        <w:color w:val="231F20"/>
        <w:spacing w:val="0"/>
        <w:w w:val="100"/>
        <w:position w:val="0"/>
        <w:sz w:val="8"/>
        <w:szCs w:val="8"/>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25" w15:restartNumberingAfterBreak="0">
    <w:nsid w:val="590C79C1"/>
    <w:multiLevelType w:val="multilevel"/>
    <w:tmpl w:val="72C0C22A"/>
    <w:lvl w:ilvl="0">
      <w:start w:val="1"/>
      <w:numFmt w:val="bullet"/>
      <w:lvlText w:val="•"/>
      <w:lvlJc w:val="left"/>
      <w:rPr>
        <w:rFonts w:ascii="Times New Roman" w:eastAsia="Times New Roman" w:hAnsi="Times New Roman" w:cs="Times New Roman"/>
        <w:b w:val="0"/>
        <w:bCs w:val="0"/>
        <w:i w:val="0"/>
        <w:iCs w:val="0"/>
        <w:smallCaps w:val="0"/>
        <w:strike w:val="0"/>
        <w:color w:val="231F20"/>
        <w:spacing w:val="0"/>
        <w:w w:val="100"/>
        <w:position w:val="0"/>
        <w:sz w:val="16"/>
        <w:szCs w:val="16"/>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26" w15:restartNumberingAfterBreak="0">
    <w:nsid w:val="5AB342DA"/>
    <w:multiLevelType w:val="multilevel"/>
    <w:tmpl w:val="B2F4C0B4"/>
    <w:lvl w:ilvl="0">
      <w:start w:val="1"/>
      <w:numFmt w:val="bullet"/>
      <w:lvlText w:val="•"/>
      <w:lvlJc w:val="left"/>
      <w:rPr>
        <w:rFonts w:ascii="Garamond" w:eastAsia="Garamond" w:hAnsi="Garamond" w:cs="Garamond"/>
        <w:b w:val="0"/>
        <w:bCs w:val="0"/>
        <w:i w:val="0"/>
        <w:iCs w:val="0"/>
        <w:smallCaps w:val="0"/>
        <w:strike w:val="0"/>
        <w:color w:val="000000"/>
        <w:spacing w:val="0"/>
        <w:w w:val="100"/>
        <w:position w:val="0"/>
        <w:sz w:val="19"/>
        <w:szCs w:val="19"/>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27" w15:restartNumberingAfterBreak="0">
    <w:nsid w:val="5BF22E6A"/>
    <w:multiLevelType w:val="multilevel"/>
    <w:tmpl w:val="8FF2D650"/>
    <w:lvl w:ilvl="0">
      <w:start w:val="1"/>
      <w:numFmt w:val="bullet"/>
      <w:lvlText w:val="•"/>
      <w:lvlJc w:val="left"/>
      <w:rPr>
        <w:rFonts w:ascii="Garamond" w:eastAsia="Garamond" w:hAnsi="Garamond" w:cs="Garamond"/>
        <w:b w:val="0"/>
        <w:bCs w:val="0"/>
        <w:i w:val="0"/>
        <w:iCs w:val="0"/>
        <w:smallCaps w:val="0"/>
        <w:strike w:val="0"/>
        <w:color w:val="231F20"/>
        <w:spacing w:val="0"/>
        <w:w w:val="100"/>
        <w:position w:val="0"/>
        <w:sz w:val="19"/>
        <w:szCs w:val="19"/>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28" w15:restartNumberingAfterBreak="0">
    <w:nsid w:val="5C532C96"/>
    <w:multiLevelType w:val="multilevel"/>
    <w:tmpl w:val="4C8ADE76"/>
    <w:lvl w:ilvl="0">
      <w:start w:val="1"/>
      <w:numFmt w:val="decimal"/>
      <w:lvlText w:val="%1"/>
      <w:lvlJc w:val="left"/>
      <w:rPr>
        <w:rFonts w:ascii="Times New Roman" w:eastAsia="Times New Roman" w:hAnsi="Times New Roman" w:cs="Times New Roman"/>
        <w:b w:val="0"/>
        <w:bCs w:val="0"/>
        <w:i w:val="0"/>
        <w:iCs w:val="0"/>
        <w:smallCaps w:val="0"/>
        <w:strike w:val="0"/>
        <w:color w:val="231F20"/>
        <w:spacing w:val="0"/>
        <w:w w:val="100"/>
        <w:position w:val="0"/>
        <w:sz w:val="8"/>
        <w:szCs w:val="8"/>
        <w:u w:val="none"/>
        <w:shd w:val="clear" w:color="auto" w:fill="auto"/>
        <w:vertAlign w:val="superscrip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29" w15:restartNumberingAfterBreak="0">
    <w:nsid w:val="5F020EAC"/>
    <w:multiLevelType w:val="multilevel"/>
    <w:tmpl w:val="3E6E6A70"/>
    <w:lvl w:ilvl="0">
      <w:start w:val="1"/>
      <w:numFmt w:val="bullet"/>
      <w:lvlText w:val="•"/>
      <w:lvlJc w:val="left"/>
      <w:rPr>
        <w:rFonts w:ascii="Garamond" w:eastAsia="Garamond" w:hAnsi="Garamond" w:cs="Garamond"/>
        <w:b w:val="0"/>
        <w:bCs w:val="0"/>
        <w:i w:val="0"/>
        <w:iCs w:val="0"/>
        <w:smallCaps w:val="0"/>
        <w:strike w:val="0"/>
        <w:color w:val="231F20"/>
        <w:spacing w:val="0"/>
        <w:w w:val="100"/>
        <w:position w:val="0"/>
        <w:sz w:val="19"/>
        <w:szCs w:val="19"/>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30" w15:restartNumberingAfterBreak="0">
    <w:nsid w:val="5F1C7981"/>
    <w:multiLevelType w:val="multilevel"/>
    <w:tmpl w:val="4386C2E6"/>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16"/>
        <w:szCs w:val="16"/>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31" w15:restartNumberingAfterBreak="0">
    <w:nsid w:val="5FCB4389"/>
    <w:multiLevelType w:val="multilevel"/>
    <w:tmpl w:val="21B2FDAE"/>
    <w:lvl w:ilvl="0">
      <w:start w:val="1"/>
      <w:numFmt w:val="decimal"/>
      <w:lvlText w:val="%1"/>
      <w:lvlJc w:val="left"/>
      <w:rPr>
        <w:rFonts w:ascii="Times New Roman" w:eastAsia="Times New Roman" w:hAnsi="Times New Roman" w:cs="Times New Roman"/>
        <w:b w:val="0"/>
        <w:bCs w:val="0"/>
        <w:i w:val="0"/>
        <w:iCs w:val="0"/>
        <w:smallCaps w:val="0"/>
        <w:strike w:val="0"/>
        <w:color w:val="231F20"/>
        <w:spacing w:val="0"/>
        <w:w w:val="100"/>
        <w:position w:val="0"/>
        <w:sz w:val="8"/>
        <w:szCs w:val="8"/>
        <w:u w:val="none"/>
        <w:shd w:val="clear" w:color="auto" w:fill="auto"/>
        <w:vertAlign w:val="superscrip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32" w15:restartNumberingAfterBreak="0">
    <w:nsid w:val="6057461D"/>
    <w:multiLevelType w:val="multilevel"/>
    <w:tmpl w:val="F13076E2"/>
    <w:lvl w:ilvl="0">
      <w:start w:val="1"/>
      <w:numFmt w:val="decimal"/>
      <w:lvlText w:val="%1"/>
      <w:lvlJc w:val="left"/>
      <w:rPr>
        <w:rFonts w:ascii="Times New Roman" w:eastAsia="Times New Roman" w:hAnsi="Times New Roman" w:cs="Times New Roman"/>
        <w:b w:val="0"/>
        <w:bCs w:val="0"/>
        <w:i w:val="0"/>
        <w:iCs w:val="0"/>
        <w:smallCaps w:val="0"/>
        <w:strike w:val="0"/>
        <w:color w:val="231F20"/>
        <w:spacing w:val="0"/>
        <w:w w:val="100"/>
        <w:position w:val="0"/>
        <w:sz w:val="8"/>
        <w:szCs w:val="8"/>
        <w:u w:val="none"/>
        <w:shd w:val="clear" w:color="auto" w:fill="auto"/>
        <w:vertAlign w:val="superscrip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33" w15:restartNumberingAfterBreak="0">
    <w:nsid w:val="607B1A85"/>
    <w:multiLevelType w:val="multilevel"/>
    <w:tmpl w:val="40CAFDF2"/>
    <w:lvl w:ilvl="0">
      <w:start w:val="1"/>
      <w:numFmt w:val="decimal"/>
      <w:lvlText w:val="(%1)"/>
      <w:lvlJc w:val="left"/>
      <w:rPr>
        <w:rFonts w:ascii="Times New Roman" w:eastAsia="Times New Roman" w:hAnsi="Times New Roman" w:cs="Times New Roman"/>
        <w:b w:val="0"/>
        <w:bCs w:val="0"/>
        <w:i w:val="0"/>
        <w:iCs w:val="0"/>
        <w:smallCaps w:val="0"/>
        <w:strike w:val="0"/>
        <w:color w:val="231F20"/>
        <w:spacing w:val="0"/>
        <w:w w:val="100"/>
        <w:position w:val="0"/>
        <w:sz w:val="15"/>
        <w:szCs w:val="15"/>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34" w15:restartNumberingAfterBreak="0">
    <w:nsid w:val="61456AD4"/>
    <w:multiLevelType w:val="multilevel"/>
    <w:tmpl w:val="3A44C6BE"/>
    <w:lvl w:ilvl="0">
      <w:start w:val="1"/>
      <w:numFmt w:val="decimal"/>
      <w:lvlText w:val="%1"/>
      <w:lvlJc w:val="left"/>
      <w:rPr>
        <w:rFonts w:ascii="Times New Roman" w:eastAsia="Times New Roman" w:hAnsi="Times New Roman" w:cs="Times New Roman"/>
        <w:b w:val="0"/>
        <w:bCs w:val="0"/>
        <w:i w:val="0"/>
        <w:iCs w:val="0"/>
        <w:smallCaps w:val="0"/>
        <w:strike w:val="0"/>
        <w:color w:val="231F20"/>
        <w:spacing w:val="0"/>
        <w:w w:val="100"/>
        <w:position w:val="0"/>
        <w:sz w:val="15"/>
        <w:szCs w:val="15"/>
        <w:u w:val="none"/>
        <w:shd w:val="clear" w:color="auto" w:fill="auto"/>
        <w:vertAlign w:val="superscrip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35" w15:restartNumberingAfterBreak="0">
    <w:nsid w:val="62116357"/>
    <w:multiLevelType w:val="multilevel"/>
    <w:tmpl w:val="B748DA88"/>
    <w:lvl w:ilvl="0">
      <w:start w:val="1"/>
      <w:numFmt w:val="decimal"/>
      <w:lvlText w:val="%1"/>
      <w:lvlJc w:val="left"/>
      <w:rPr>
        <w:rFonts w:ascii="Times New Roman" w:eastAsia="Times New Roman" w:hAnsi="Times New Roman" w:cs="Times New Roman"/>
        <w:b w:val="0"/>
        <w:bCs w:val="0"/>
        <w:i w:val="0"/>
        <w:iCs w:val="0"/>
        <w:smallCaps w:val="0"/>
        <w:strike w:val="0"/>
        <w:color w:val="231F20"/>
        <w:spacing w:val="0"/>
        <w:w w:val="100"/>
        <w:position w:val="0"/>
        <w:sz w:val="8"/>
        <w:szCs w:val="8"/>
        <w:u w:val="none"/>
        <w:shd w:val="clear" w:color="auto" w:fill="auto"/>
        <w:vertAlign w:val="superscrip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36" w15:restartNumberingAfterBreak="0">
    <w:nsid w:val="638C4EC2"/>
    <w:multiLevelType w:val="multilevel"/>
    <w:tmpl w:val="4184ED1C"/>
    <w:lvl w:ilvl="0">
      <w:start w:val="1"/>
      <w:numFmt w:val="decimal"/>
      <w:lvlText w:val="%1"/>
      <w:lvlJc w:val="left"/>
      <w:rPr>
        <w:rFonts w:ascii="Times New Roman" w:eastAsia="Times New Roman" w:hAnsi="Times New Roman" w:cs="Times New Roman"/>
        <w:b w:val="0"/>
        <w:bCs w:val="0"/>
        <w:i w:val="0"/>
        <w:iCs w:val="0"/>
        <w:smallCaps w:val="0"/>
        <w:strike w:val="0"/>
        <w:color w:val="231F20"/>
        <w:spacing w:val="0"/>
        <w:w w:val="100"/>
        <w:position w:val="0"/>
        <w:sz w:val="8"/>
        <w:szCs w:val="8"/>
        <w:u w:val="none"/>
        <w:shd w:val="clear" w:color="auto" w:fill="auto"/>
        <w:vertAlign w:val="superscrip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37" w15:restartNumberingAfterBreak="0">
    <w:nsid w:val="646838BD"/>
    <w:multiLevelType w:val="multilevel"/>
    <w:tmpl w:val="D25CA8BE"/>
    <w:lvl w:ilvl="0">
      <w:start w:val="1"/>
      <w:numFmt w:val="bullet"/>
      <w:lvlText w:val="□"/>
      <w:lvlJc w:val="left"/>
      <w:rPr>
        <w:rFonts w:ascii="Arial" w:eastAsia="Arial" w:hAnsi="Arial" w:cs="Arial"/>
        <w:b w:val="0"/>
        <w:bCs w:val="0"/>
        <w:i w:val="0"/>
        <w:iCs w:val="0"/>
        <w:smallCaps w:val="0"/>
        <w:strike w:val="0"/>
        <w:color w:val="231F20"/>
        <w:spacing w:val="0"/>
        <w:w w:val="100"/>
        <w:position w:val="0"/>
        <w:sz w:val="10"/>
        <w:szCs w:val="10"/>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38" w15:restartNumberingAfterBreak="0">
    <w:nsid w:val="658D1BAE"/>
    <w:multiLevelType w:val="multilevel"/>
    <w:tmpl w:val="1E5AB438"/>
    <w:lvl w:ilvl="0">
      <w:start w:val="1"/>
      <w:numFmt w:val="decimal"/>
      <w:lvlText w:val="%1"/>
      <w:lvlJc w:val="left"/>
      <w:rPr>
        <w:rFonts w:ascii="Times New Roman" w:eastAsia="Times New Roman" w:hAnsi="Times New Roman" w:cs="Times New Roman"/>
        <w:b w:val="0"/>
        <w:bCs w:val="0"/>
        <w:i w:val="0"/>
        <w:iCs w:val="0"/>
        <w:smallCaps w:val="0"/>
        <w:strike w:val="0"/>
        <w:color w:val="231F20"/>
        <w:spacing w:val="0"/>
        <w:w w:val="100"/>
        <w:position w:val="0"/>
        <w:sz w:val="16"/>
        <w:szCs w:val="16"/>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39" w15:restartNumberingAfterBreak="0">
    <w:nsid w:val="67113748"/>
    <w:multiLevelType w:val="multilevel"/>
    <w:tmpl w:val="19228602"/>
    <w:lvl w:ilvl="0">
      <w:start w:val="1"/>
      <w:numFmt w:val="bullet"/>
      <w:lvlText w:val="•"/>
      <w:lvlJc w:val="left"/>
      <w:rPr>
        <w:rFonts w:ascii="Times New Roman" w:eastAsia="Times New Roman" w:hAnsi="Times New Roman" w:cs="Times New Roman"/>
        <w:b w:val="0"/>
        <w:bCs w:val="0"/>
        <w:i w:val="0"/>
        <w:iCs w:val="0"/>
        <w:smallCaps w:val="0"/>
        <w:strike w:val="0"/>
        <w:color w:val="231F20"/>
        <w:spacing w:val="0"/>
        <w:w w:val="100"/>
        <w:position w:val="0"/>
        <w:sz w:val="16"/>
        <w:szCs w:val="16"/>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40" w15:restartNumberingAfterBreak="0">
    <w:nsid w:val="67B67B09"/>
    <w:multiLevelType w:val="multilevel"/>
    <w:tmpl w:val="B86A4BA4"/>
    <w:lvl w:ilvl="0">
      <w:start w:val="1"/>
      <w:numFmt w:val="decimal"/>
      <w:lvlText w:val="%1"/>
      <w:lvlJc w:val="left"/>
      <w:rPr>
        <w:rFonts w:ascii="Times New Roman" w:eastAsia="Times New Roman" w:hAnsi="Times New Roman" w:cs="Times New Roman"/>
        <w:b w:val="0"/>
        <w:bCs w:val="0"/>
        <w:i w:val="0"/>
        <w:iCs w:val="0"/>
        <w:smallCaps w:val="0"/>
        <w:strike w:val="0"/>
        <w:color w:val="231F20"/>
        <w:spacing w:val="0"/>
        <w:w w:val="100"/>
        <w:position w:val="0"/>
        <w:sz w:val="8"/>
        <w:szCs w:val="8"/>
        <w:u w:val="none"/>
        <w:shd w:val="clear" w:color="auto" w:fill="auto"/>
        <w:vertAlign w:val="superscrip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41" w15:restartNumberingAfterBreak="0">
    <w:nsid w:val="68652DA3"/>
    <w:multiLevelType w:val="multilevel"/>
    <w:tmpl w:val="1CAE7E7E"/>
    <w:lvl w:ilvl="0">
      <w:start w:val="1"/>
      <w:numFmt w:val="bullet"/>
      <w:lvlText w:val="*"/>
      <w:lvlJc w:val="left"/>
      <w:rPr>
        <w:rFonts w:ascii="Times New Roman" w:eastAsia="Times New Roman" w:hAnsi="Times New Roman" w:cs="Times New Roman"/>
        <w:b w:val="0"/>
        <w:bCs w:val="0"/>
        <w:i w:val="0"/>
        <w:iCs w:val="0"/>
        <w:smallCaps w:val="0"/>
        <w:strike w:val="0"/>
        <w:color w:val="231F20"/>
        <w:spacing w:val="0"/>
        <w:w w:val="100"/>
        <w:position w:val="0"/>
        <w:sz w:val="15"/>
        <w:szCs w:val="15"/>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42" w15:restartNumberingAfterBreak="0">
    <w:nsid w:val="686778EB"/>
    <w:multiLevelType w:val="multilevel"/>
    <w:tmpl w:val="5E94B37C"/>
    <w:lvl w:ilvl="0">
      <w:start w:val="1"/>
      <w:numFmt w:val="decimal"/>
      <w:lvlText w:val="%1"/>
      <w:lvlJc w:val="left"/>
      <w:rPr>
        <w:rFonts w:ascii="Times New Roman" w:eastAsia="Times New Roman" w:hAnsi="Times New Roman" w:cs="Times New Roman"/>
        <w:b w:val="0"/>
        <w:bCs w:val="0"/>
        <w:i w:val="0"/>
        <w:iCs w:val="0"/>
        <w:smallCaps w:val="0"/>
        <w:strike w:val="0"/>
        <w:color w:val="231F20"/>
        <w:spacing w:val="0"/>
        <w:w w:val="100"/>
        <w:position w:val="0"/>
        <w:sz w:val="8"/>
        <w:szCs w:val="8"/>
        <w:u w:val="none"/>
        <w:shd w:val="clear" w:color="auto" w:fill="auto"/>
        <w:vertAlign w:val="superscrip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43" w15:restartNumberingAfterBreak="0">
    <w:nsid w:val="693B487F"/>
    <w:multiLevelType w:val="multilevel"/>
    <w:tmpl w:val="025862DE"/>
    <w:lvl w:ilvl="0">
      <w:start w:val="1"/>
      <w:numFmt w:val="bullet"/>
      <w:lvlText w:val="•"/>
      <w:lvlJc w:val="left"/>
      <w:rPr>
        <w:rFonts w:ascii="Times New Roman" w:eastAsia="Times New Roman" w:hAnsi="Times New Roman" w:cs="Times New Roman"/>
        <w:b w:val="0"/>
        <w:bCs w:val="0"/>
        <w:i w:val="0"/>
        <w:iCs w:val="0"/>
        <w:smallCaps w:val="0"/>
        <w:strike w:val="0"/>
        <w:color w:val="231F20"/>
        <w:spacing w:val="0"/>
        <w:w w:val="100"/>
        <w:position w:val="0"/>
        <w:sz w:val="16"/>
        <w:szCs w:val="16"/>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44" w15:restartNumberingAfterBreak="0">
    <w:nsid w:val="69720BB4"/>
    <w:multiLevelType w:val="multilevel"/>
    <w:tmpl w:val="41F0E202"/>
    <w:lvl w:ilvl="0">
      <w:start w:val="1"/>
      <w:numFmt w:val="decimal"/>
      <w:lvlText w:val="%1"/>
      <w:lvlJc w:val="left"/>
      <w:rPr>
        <w:rFonts w:ascii="Times New Roman" w:eastAsia="Times New Roman" w:hAnsi="Times New Roman" w:cs="Times New Roman"/>
        <w:b w:val="0"/>
        <w:bCs w:val="0"/>
        <w:i w:val="0"/>
        <w:iCs w:val="0"/>
        <w:smallCaps w:val="0"/>
        <w:strike w:val="0"/>
        <w:color w:val="231F20"/>
        <w:spacing w:val="0"/>
        <w:w w:val="100"/>
        <w:position w:val="0"/>
        <w:sz w:val="8"/>
        <w:szCs w:val="8"/>
        <w:u w:val="none"/>
        <w:shd w:val="clear" w:color="auto" w:fill="auto"/>
        <w:vertAlign w:val="superscrip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45" w15:restartNumberingAfterBreak="0">
    <w:nsid w:val="69BF0BA4"/>
    <w:multiLevelType w:val="multilevel"/>
    <w:tmpl w:val="63B234AC"/>
    <w:lvl w:ilvl="0">
      <w:start w:val="1"/>
      <w:numFmt w:val="upperLetter"/>
      <w:lvlText w:val="%1."/>
      <w:lvlJc w:val="left"/>
      <w:rPr>
        <w:rFonts w:ascii="Times New Roman" w:eastAsia="Times New Roman" w:hAnsi="Times New Roman" w:cs="Times New Roman"/>
        <w:b w:val="0"/>
        <w:bCs w:val="0"/>
        <w:i w:val="0"/>
        <w:iCs w:val="0"/>
        <w:smallCaps w:val="0"/>
        <w:strike w:val="0"/>
        <w:color w:val="231F20"/>
        <w:spacing w:val="0"/>
        <w:w w:val="100"/>
        <w:position w:val="0"/>
        <w:sz w:val="16"/>
        <w:szCs w:val="16"/>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46" w15:restartNumberingAfterBreak="0">
    <w:nsid w:val="6B032789"/>
    <w:multiLevelType w:val="multilevel"/>
    <w:tmpl w:val="DFE6310C"/>
    <w:lvl w:ilvl="0">
      <w:start w:val="7"/>
      <w:numFmt w:val="upperRoman"/>
      <w:lvlText w:val="%1."/>
      <w:lvlJc w:val="left"/>
      <w:rPr>
        <w:rFonts w:ascii="Times New Roman" w:eastAsia="Times New Roman" w:hAnsi="Times New Roman" w:cs="Times New Roman"/>
        <w:b w:val="0"/>
        <w:bCs w:val="0"/>
        <w:i w:val="0"/>
        <w:iCs w:val="0"/>
        <w:smallCaps w:val="0"/>
        <w:strike w:val="0"/>
        <w:color w:val="231F20"/>
        <w:spacing w:val="0"/>
        <w:w w:val="100"/>
        <w:position w:val="0"/>
        <w:sz w:val="16"/>
        <w:szCs w:val="16"/>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47" w15:restartNumberingAfterBreak="0">
    <w:nsid w:val="6D7609F5"/>
    <w:multiLevelType w:val="multilevel"/>
    <w:tmpl w:val="7218A140"/>
    <w:lvl w:ilvl="0">
      <w:start w:val="1"/>
      <w:numFmt w:val="decimal"/>
      <w:lvlText w:val="%1"/>
      <w:lvlJc w:val="left"/>
      <w:rPr>
        <w:rFonts w:ascii="Times New Roman" w:eastAsia="Times New Roman" w:hAnsi="Times New Roman" w:cs="Times New Roman"/>
        <w:b w:val="0"/>
        <w:bCs w:val="0"/>
        <w:i w:val="0"/>
        <w:iCs w:val="0"/>
        <w:smallCaps w:val="0"/>
        <w:strike w:val="0"/>
        <w:color w:val="231F20"/>
        <w:spacing w:val="0"/>
        <w:w w:val="100"/>
        <w:position w:val="0"/>
        <w:sz w:val="8"/>
        <w:szCs w:val="8"/>
        <w:u w:val="none"/>
        <w:shd w:val="clear" w:color="auto" w:fill="auto"/>
        <w:vertAlign w:val="superscrip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48" w15:restartNumberingAfterBreak="0">
    <w:nsid w:val="6DEB181B"/>
    <w:multiLevelType w:val="multilevel"/>
    <w:tmpl w:val="0D944598"/>
    <w:lvl w:ilvl="0">
      <w:start w:val="1"/>
      <w:numFmt w:val="bullet"/>
      <w:lvlText w:val="*"/>
      <w:lvlJc w:val="left"/>
      <w:rPr>
        <w:rFonts w:ascii="Times New Roman" w:eastAsia="Times New Roman" w:hAnsi="Times New Roman" w:cs="Times New Roman"/>
        <w:b w:val="0"/>
        <w:bCs w:val="0"/>
        <w:i w:val="0"/>
        <w:iCs w:val="0"/>
        <w:smallCaps w:val="0"/>
        <w:strike w:val="0"/>
        <w:color w:val="231F20"/>
        <w:spacing w:val="0"/>
        <w:w w:val="100"/>
        <w:position w:val="0"/>
        <w:sz w:val="15"/>
        <w:szCs w:val="15"/>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49" w15:restartNumberingAfterBreak="0">
    <w:nsid w:val="6E5B6990"/>
    <w:multiLevelType w:val="multilevel"/>
    <w:tmpl w:val="F3F6A92E"/>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8"/>
        <w:szCs w:val="8"/>
        <w:u w:val="none"/>
        <w:shd w:val="clear" w:color="auto" w:fill="auto"/>
        <w:vertAlign w:val="superscrip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50" w15:restartNumberingAfterBreak="0">
    <w:nsid w:val="6F252957"/>
    <w:multiLevelType w:val="multilevel"/>
    <w:tmpl w:val="684240DE"/>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8"/>
        <w:szCs w:val="8"/>
        <w:u w:val="none"/>
        <w:shd w:val="clear" w:color="auto" w:fill="auto"/>
        <w:vertAlign w:val="superscrip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51" w15:restartNumberingAfterBreak="0">
    <w:nsid w:val="6FC22AB2"/>
    <w:multiLevelType w:val="multilevel"/>
    <w:tmpl w:val="561E3F38"/>
    <w:lvl w:ilvl="0">
      <w:start w:val="1"/>
      <w:numFmt w:val="bullet"/>
      <w:lvlText w:val="•"/>
      <w:lvlJc w:val="left"/>
      <w:rPr>
        <w:rFonts w:ascii="Times New Roman" w:eastAsia="Times New Roman" w:hAnsi="Times New Roman" w:cs="Times New Roman"/>
        <w:b w:val="0"/>
        <w:bCs w:val="0"/>
        <w:i w:val="0"/>
        <w:iCs w:val="0"/>
        <w:smallCaps w:val="0"/>
        <w:strike w:val="0"/>
        <w:color w:val="231F20"/>
        <w:spacing w:val="0"/>
        <w:w w:val="100"/>
        <w:position w:val="0"/>
        <w:sz w:val="16"/>
        <w:szCs w:val="16"/>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52" w15:restartNumberingAfterBreak="0">
    <w:nsid w:val="70291285"/>
    <w:multiLevelType w:val="multilevel"/>
    <w:tmpl w:val="6FD26F6E"/>
    <w:lvl w:ilvl="0">
      <w:start w:val="1"/>
      <w:numFmt w:val="decimal"/>
      <w:lvlText w:val="%1"/>
      <w:lvlJc w:val="left"/>
      <w:rPr>
        <w:rFonts w:ascii="Times New Roman" w:eastAsia="Times New Roman" w:hAnsi="Times New Roman" w:cs="Times New Roman"/>
        <w:b w:val="0"/>
        <w:bCs w:val="0"/>
        <w:i w:val="0"/>
        <w:iCs w:val="0"/>
        <w:smallCaps w:val="0"/>
        <w:strike w:val="0"/>
        <w:color w:val="231F20"/>
        <w:spacing w:val="0"/>
        <w:w w:val="100"/>
        <w:position w:val="0"/>
        <w:sz w:val="8"/>
        <w:szCs w:val="8"/>
        <w:u w:val="none"/>
        <w:shd w:val="clear" w:color="auto" w:fill="auto"/>
        <w:vertAlign w:val="superscrip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53" w15:restartNumberingAfterBreak="0">
    <w:nsid w:val="71215017"/>
    <w:multiLevelType w:val="multilevel"/>
    <w:tmpl w:val="A3C8C7F0"/>
    <w:lvl w:ilvl="0">
      <w:start w:val="1"/>
      <w:numFmt w:val="decimal"/>
      <w:lvlText w:val="%1"/>
      <w:lvlJc w:val="left"/>
      <w:rPr>
        <w:rFonts w:ascii="Times New Roman" w:eastAsia="Times New Roman" w:hAnsi="Times New Roman" w:cs="Times New Roman"/>
        <w:b w:val="0"/>
        <w:bCs w:val="0"/>
        <w:i w:val="0"/>
        <w:iCs w:val="0"/>
        <w:smallCaps w:val="0"/>
        <w:strike w:val="0"/>
        <w:color w:val="231F20"/>
        <w:spacing w:val="0"/>
        <w:w w:val="100"/>
        <w:position w:val="0"/>
        <w:sz w:val="16"/>
        <w:szCs w:val="16"/>
        <w:u w:val="none"/>
        <w:shd w:val="clear" w:color="auto" w:fill="auto"/>
        <w:vertAlign w:val="superscrip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54" w15:restartNumberingAfterBreak="0">
    <w:nsid w:val="71215484"/>
    <w:multiLevelType w:val="multilevel"/>
    <w:tmpl w:val="3C027DEE"/>
    <w:lvl w:ilvl="0">
      <w:start w:val="1"/>
      <w:numFmt w:val="bullet"/>
      <w:lvlText w:val="•"/>
      <w:lvlJc w:val="left"/>
      <w:rPr>
        <w:rFonts w:ascii="Garamond" w:eastAsia="Garamond" w:hAnsi="Garamond" w:cs="Garamond"/>
        <w:b w:val="0"/>
        <w:bCs w:val="0"/>
        <w:i w:val="0"/>
        <w:iCs w:val="0"/>
        <w:smallCaps w:val="0"/>
        <w:strike w:val="0"/>
        <w:color w:val="231F20"/>
        <w:spacing w:val="0"/>
        <w:w w:val="100"/>
        <w:position w:val="0"/>
        <w:sz w:val="19"/>
        <w:szCs w:val="19"/>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55" w15:restartNumberingAfterBreak="0">
    <w:nsid w:val="715B012D"/>
    <w:multiLevelType w:val="multilevel"/>
    <w:tmpl w:val="6E30A6D4"/>
    <w:lvl w:ilvl="0">
      <w:start w:val="5"/>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15"/>
        <w:szCs w:val="15"/>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56" w15:restartNumberingAfterBreak="0">
    <w:nsid w:val="71CB5BC4"/>
    <w:multiLevelType w:val="multilevel"/>
    <w:tmpl w:val="62D4CA58"/>
    <w:lvl w:ilvl="0">
      <w:start w:val="1"/>
      <w:numFmt w:val="bullet"/>
      <w:lvlText w:val="*"/>
      <w:lvlJc w:val="left"/>
      <w:rPr>
        <w:rFonts w:ascii="Times New Roman" w:eastAsia="Times New Roman" w:hAnsi="Times New Roman" w:cs="Times New Roman"/>
        <w:b w:val="0"/>
        <w:bCs w:val="0"/>
        <w:i w:val="0"/>
        <w:iCs w:val="0"/>
        <w:smallCaps w:val="0"/>
        <w:strike w:val="0"/>
        <w:color w:val="231F20"/>
        <w:spacing w:val="0"/>
        <w:w w:val="100"/>
        <w:position w:val="0"/>
        <w:sz w:val="15"/>
        <w:szCs w:val="15"/>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57" w15:restartNumberingAfterBreak="0">
    <w:nsid w:val="726717B3"/>
    <w:multiLevelType w:val="multilevel"/>
    <w:tmpl w:val="D254968E"/>
    <w:lvl w:ilvl="0">
      <w:start w:val="1"/>
      <w:numFmt w:val="decimal"/>
      <w:lvlText w:val="%1"/>
      <w:lvlJc w:val="left"/>
      <w:rPr>
        <w:rFonts w:ascii="Times New Roman" w:eastAsia="Times New Roman" w:hAnsi="Times New Roman" w:cs="Times New Roman"/>
        <w:b w:val="0"/>
        <w:bCs w:val="0"/>
        <w:i w:val="0"/>
        <w:iCs w:val="0"/>
        <w:smallCaps w:val="0"/>
        <w:strike w:val="0"/>
        <w:color w:val="231F20"/>
        <w:spacing w:val="0"/>
        <w:w w:val="100"/>
        <w:position w:val="0"/>
        <w:sz w:val="8"/>
        <w:szCs w:val="8"/>
        <w:u w:val="none"/>
        <w:shd w:val="clear" w:color="auto" w:fill="auto"/>
        <w:vertAlign w:val="superscrip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58" w15:restartNumberingAfterBreak="0">
    <w:nsid w:val="72753960"/>
    <w:multiLevelType w:val="multilevel"/>
    <w:tmpl w:val="D29AE6A0"/>
    <w:lvl w:ilvl="0">
      <w:start w:val="1"/>
      <w:numFmt w:val="decimal"/>
      <w:lvlText w:val="%1"/>
      <w:lvlJc w:val="left"/>
      <w:rPr>
        <w:rFonts w:ascii="Times New Roman" w:eastAsia="Times New Roman" w:hAnsi="Times New Roman" w:cs="Times New Roman"/>
        <w:b w:val="0"/>
        <w:bCs w:val="0"/>
        <w:i w:val="0"/>
        <w:iCs w:val="0"/>
        <w:smallCaps w:val="0"/>
        <w:strike w:val="0"/>
        <w:color w:val="231F20"/>
        <w:spacing w:val="0"/>
        <w:w w:val="100"/>
        <w:position w:val="0"/>
        <w:sz w:val="8"/>
        <w:szCs w:val="8"/>
        <w:u w:val="none"/>
        <w:shd w:val="clear" w:color="auto" w:fill="auto"/>
        <w:vertAlign w:val="superscrip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59" w15:restartNumberingAfterBreak="0">
    <w:nsid w:val="72DD6351"/>
    <w:multiLevelType w:val="multilevel"/>
    <w:tmpl w:val="C548D4A6"/>
    <w:lvl w:ilvl="0">
      <w:start w:val="8"/>
      <w:numFmt w:val="decimal"/>
      <w:lvlText w:val="%1"/>
      <w:lvlJc w:val="left"/>
      <w:rPr>
        <w:rFonts w:ascii="Times New Roman" w:eastAsia="Times New Roman" w:hAnsi="Times New Roman" w:cs="Times New Roman"/>
        <w:b/>
        <w:bCs/>
        <w:i w:val="0"/>
        <w:iCs w:val="0"/>
        <w:smallCaps w:val="0"/>
        <w:strike w:val="0"/>
        <w:color w:val="231F20"/>
        <w:spacing w:val="0"/>
        <w:w w:val="100"/>
        <w:position w:val="0"/>
        <w:sz w:val="16"/>
        <w:szCs w:val="16"/>
        <w:u w:val="none"/>
        <w:shd w:val="clear" w:color="auto" w:fill="FFFF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60" w15:restartNumberingAfterBreak="0">
    <w:nsid w:val="75092C21"/>
    <w:multiLevelType w:val="multilevel"/>
    <w:tmpl w:val="5F8E2B48"/>
    <w:lvl w:ilvl="0">
      <w:start w:val="1"/>
      <w:numFmt w:val="bullet"/>
      <w:lvlText w:val="•"/>
      <w:lvlJc w:val="left"/>
      <w:rPr>
        <w:rFonts w:ascii="Times New Roman" w:eastAsia="Times New Roman" w:hAnsi="Times New Roman" w:cs="Times New Roman"/>
        <w:b w:val="0"/>
        <w:bCs w:val="0"/>
        <w:i w:val="0"/>
        <w:iCs w:val="0"/>
        <w:smallCaps w:val="0"/>
        <w:strike w:val="0"/>
        <w:color w:val="231F20"/>
        <w:spacing w:val="0"/>
        <w:w w:val="100"/>
        <w:position w:val="0"/>
        <w:sz w:val="16"/>
        <w:szCs w:val="16"/>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61" w15:restartNumberingAfterBreak="0">
    <w:nsid w:val="762C47A1"/>
    <w:multiLevelType w:val="multilevel"/>
    <w:tmpl w:val="78D2B400"/>
    <w:lvl w:ilvl="0">
      <w:start w:val="1"/>
      <w:numFmt w:val="decimal"/>
      <w:lvlText w:val="%1"/>
      <w:lvlJc w:val="left"/>
      <w:rPr>
        <w:rFonts w:ascii="Times New Roman" w:eastAsia="Times New Roman" w:hAnsi="Times New Roman" w:cs="Times New Roman"/>
        <w:b w:val="0"/>
        <w:bCs w:val="0"/>
        <w:i w:val="0"/>
        <w:iCs w:val="0"/>
        <w:smallCaps w:val="0"/>
        <w:strike w:val="0"/>
        <w:color w:val="231F20"/>
        <w:spacing w:val="0"/>
        <w:w w:val="100"/>
        <w:position w:val="0"/>
        <w:sz w:val="8"/>
        <w:szCs w:val="8"/>
        <w:u w:val="none"/>
        <w:shd w:val="clear" w:color="auto" w:fill="auto"/>
        <w:vertAlign w:val="superscrip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62" w15:restartNumberingAfterBreak="0">
    <w:nsid w:val="798C45C7"/>
    <w:multiLevelType w:val="multilevel"/>
    <w:tmpl w:val="6FB63ABC"/>
    <w:lvl w:ilvl="0">
      <w:start w:val="1"/>
      <w:numFmt w:val="bullet"/>
      <w:lvlText w:val="•"/>
      <w:lvlJc w:val="left"/>
      <w:rPr>
        <w:rFonts w:ascii="Garamond" w:eastAsia="Garamond" w:hAnsi="Garamond" w:cs="Garamond"/>
        <w:b w:val="0"/>
        <w:bCs w:val="0"/>
        <w:i w:val="0"/>
        <w:iCs w:val="0"/>
        <w:smallCaps w:val="0"/>
        <w:strike w:val="0"/>
        <w:color w:val="231F20"/>
        <w:spacing w:val="0"/>
        <w:w w:val="100"/>
        <w:position w:val="0"/>
        <w:sz w:val="19"/>
        <w:szCs w:val="19"/>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63" w15:restartNumberingAfterBreak="0">
    <w:nsid w:val="7A8E6AE4"/>
    <w:multiLevelType w:val="multilevel"/>
    <w:tmpl w:val="05CCC7EA"/>
    <w:lvl w:ilvl="0">
      <w:start w:val="1"/>
      <w:numFmt w:val="lowerLetter"/>
      <w:lvlText w:val="%1)"/>
      <w:lvlJc w:val="left"/>
      <w:rPr>
        <w:rFonts w:ascii="Times New Roman" w:eastAsia="Times New Roman" w:hAnsi="Times New Roman" w:cs="Times New Roman"/>
        <w:b w:val="0"/>
        <w:bCs w:val="0"/>
        <w:i w:val="0"/>
        <w:iCs w:val="0"/>
        <w:smallCaps w:val="0"/>
        <w:strike w:val="0"/>
        <w:color w:val="231F20"/>
        <w:spacing w:val="0"/>
        <w:w w:val="100"/>
        <w:position w:val="0"/>
        <w:sz w:val="15"/>
        <w:szCs w:val="15"/>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64" w15:restartNumberingAfterBreak="0">
    <w:nsid w:val="7C371BD4"/>
    <w:multiLevelType w:val="multilevel"/>
    <w:tmpl w:val="75303B8E"/>
    <w:lvl w:ilvl="0">
      <w:start w:val="1"/>
      <w:numFmt w:val="lowerRoman"/>
      <w:lvlText w:val="(%1)"/>
      <w:lvlJc w:val="left"/>
      <w:rPr>
        <w:rFonts w:ascii="Times New Roman" w:eastAsia="Times New Roman" w:hAnsi="Times New Roman" w:cs="Times New Roman"/>
        <w:b w:val="0"/>
        <w:bCs w:val="0"/>
        <w:i w:val="0"/>
        <w:iCs w:val="0"/>
        <w:smallCaps w:val="0"/>
        <w:strike w:val="0"/>
        <w:color w:val="231F20"/>
        <w:spacing w:val="0"/>
        <w:w w:val="100"/>
        <w:position w:val="0"/>
        <w:sz w:val="15"/>
        <w:szCs w:val="15"/>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65" w15:restartNumberingAfterBreak="0">
    <w:nsid w:val="7C5351CA"/>
    <w:multiLevelType w:val="multilevel"/>
    <w:tmpl w:val="EFEA949C"/>
    <w:lvl w:ilvl="0">
      <w:start w:val="1"/>
      <w:numFmt w:val="upperLetter"/>
      <w:lvlText w:val="%1."/>
      <w:lvlJc w:val="left"/>
      <w:rPr>
        <w:rFonts w:ascii="Times New Roman" w:eastAsia="Times New Roman" w:hAnsi="Times New Roman" w:cs="Times New Roman"/>
        <w:b w:val="0"/>
        <w:bCs w:val="0"/>
        <w:i w:val="0"/>
        <w:iCs w:val="0"/>
        <w:smallCaps w:val="0"/>
        <w:strike w:val="0"/>
        <w:color w:val="231F20"/>
        <w:spacing w:val="0"/>
        <w:w w:val="100"/>
        <w:position w:val="0"/>
        <w:sz w:val="16"/>
        <w:szCs w:val="16"/>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66" w15:restartNumberingAfterBreak="0">
    <w:nsid w:val="7E667209"/>
    <w:multiLevelType w:val="multilevel"/>
    <w:tmpl w:val="2D9870BE"/>
    <w:lvl w:ilvl="0">
      <w:start w:val="1"/>
      <w:numFmt w:val="decimal"/>
      <w:lvlText w:val="%1"/>
      <w:lvlJc w:val="left"/>
      <w:rPr>
        <w:rFonts w:ascii="Times New Roman" w:eastAsia="Times New Roman" w:hAnsi="Times New Roman" w:cs="Times New Roman"/>
        <w:b w:val="0"/>
        <w:bCs w:val="0"/>
        <w:i w:val="0"/>
        <w:iCs w:val="0"/>
        <w:smallCaps w:val="0"/>
        <w:strike w:val="0"/>
        <w:color w:val="231F20"/>
        <w:spacing w:val="0"/>
        <w:w w:val="100"/>
        <w:position w:val="0"/>
        <w:sz w:val="8"/>
        <w:szCs w:val="8"/>
        <w:u w:val="none"/>
        <w:shd w:val="clear" w:color="auto" w:fill="auto"/>
        <w:vertAlign w:val="superscrip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67" w15:restartNumberingAfterBreak="0">
    <w:nsid w:val="7F2B6BA5"/>
    <w:multiLevelType w:val="multilevel"/>
    <w:tmpl w:val="E03E4FFE"/>
    <w:lvl w:ilvl="0">
      <w:start w:val="1"/>
      <w:numFmt w:val="decimal"/>
      <w:lvlText w:val="%1"/>
      <w:lvlJc w:val="left"/>
      <w:rPr>
        <w:rFonts w:ascii="Times New Roman" w:eastAsia="Times New Roman" w:hAnsi="Times New Roman" w:cs="Times New Roman"/>
        <w:b w:val="0"/>
        <w:bCs w:val="0"/>
        <w:i w:val="0"/>
        <w:iCs w:val="0"/>
        <w:smallCaps w:val="0"/>
        <w:strike w:val="0"/>
        <w:color w:val="231F20"/>
        <w:spacing w:val="0"/>
        <w:w w:val="100"/>
        <w:position w:val="0"/>
        <w:sz w:val="15"/>
        <w:szCs w:val="15"/>
        <w:u w:val="none"/>
        <w:shd w:val="clear" w:color="auto" w:fill="auto"/>
        <w:vertAlign w:val="superscrip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68" w15:restartNumberingAfterBreak="0">
    <w:nsid w:val="7FF81ABC"/>
    <w:multiLevelType w:val="multilevel"/>
    <w:tmpl w:val="A302EC86"/>
    <w:lvl w:ilvl="0">
      <w:start w:val="1"/>
      <w:numFmt w:val="bullet"/>
      <w:lvlText w:val="•"/>
      <w:lvlJc w:val="left"/>
      <w:rPr>
        <w:rFonts w:ascii="Garamond" w:eastAsia="Garamond" w:hAnsi="Garamond" w:cs="Garamond"/>
        <w:b w:val="0"/>
        <w:bCs w:val="0"/>
        <w:i w:val="0"/>
        <w:iCs w:val="0"/>
        <w:smallCaps w:val="0"/>
        <w:strike w:val="0"/>
        <w:color w:val="231F20"/>
        <w:spacing w:val="0"/>
        <w:w w:val="100"/>
        <w:position w:val="0"/>
        <w:sz w:val="19"/>
        <w:szCs w:val="19"/>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num w:numId="1" w16cid:durableId="1465930848">
    <w:abstractNumId w:val="95"/>
  </w:num>
  <w:num w:numId="2" w16cid:durableId="1835878548">
    <w:abstractNumId w:val="156"/>
  </w:num>
  <w:num w:numId="3" w16cid:durableId="2121563228">
    <w:abstractNumId w:val="100"/>
  </w:num>
  <w:num w:numId="4" w16cid:durableId="1682732054">
    <w:abstractNumId w:val="31"/>
  </w:num>
  <w:num w:numId="5" w16cid:durableId="30619338">
    <w:abstractNumId w:val="163"/>
  </w:num>
  <w:num w:numId="6" w16cid:durableId="2040355869">
    <w:abstractNumId w:val="20"/>
  </w:num>
  <w:num w:numId="7" w16cid:durableId="150878561">
    <w:abstractNumId w:val="141"/>
  </w:num>
  <w:num w:numId="8" w16cid:durableId="2118207404">
    <w:abstractNumId w:val="148"/>
  </w:num>
  <w:num w:numId="9" w16cid:durableId="947002278">
    <w:abstractNumId w:val="134"/>
  </w:num>
  <w:num w:numId="10" w16cid:durableId="1454667316">
    <w:abstractNumId w:val="105"/>
  </w:num>
  <w:num w:numId="11" w16cid:durableId="1028145369">
    <w:abstractNumId w:val="67"/>
  </w:num>
  <w:num w:numId="12" w16cid:durableId="952059233">
    <w:abstractNumId w:val="106"/>
  </w:num>
  <w:num w:numId="13" w16cid:durableId="761802028">
    <w:abstractNumId w:val="124"/>
  </w:num>
  <w:num w:numId="14" w16cid:durableId="390153906">
    <w:abstractNumId w:val="24"/>
  </w:num>
  <w:num w:numId="15" w16cid:durableId="419789195">
    <w:abstractNumId w:val="34"/>
  </w:num>
  <w:num w:numId="16" w16cid:durableId="1995524730">
    <w:abstractNumId w:val="46"/>
  </w:num>
  <w:num w:numId="17" w16cid:durableId="815609861">
    <w:abstractNumId w:val="0"/>
  </w:num>
  <w:num w:numId="18" w16cid:durableId="855847583">
    <w:abstractNumId w:val="92"/>
  </w:num>
  <w:num w:numId="19" w16cid:durableId="1054963208">
    <w:abstractNumId w:val="80"/>
  </w:num>
  <w:num w:numId="20" w16cid:durableId="1204251259">
    <w:abstractNumId w:val="1"/>
  </w:num>
  <w:num w:numId="21" w16cid:durableId="1064331335">
    <w:abstractNumId w:val="61"/>
  </w:num>
  <w:num w:numId="22" w16cid:durableId="61488619">
    <w:abstractNumId w:val="65"/>
  </w:num>
  <w:num w:numId="23" w16cid:durableId="2119060427">
    <w:abstractNumId w:val="159"/>
  </w:num>
  <w:num w:numId="24" w16cid:durableId="800726256">
    <w:abstractNumId w:val="49"/>
  </w:num>
  <w:num w:numId="25" w16cid:durableId="1536697173">
    <w:abstractNumId w:val="144"/>
  </w:num>
  <w:num w:numId="26" w16cid:durableId="655303951">
    <w:abstractNumId w:val="89"/>
  </w:num>
  <w:num w:numId="27" w16cid:durableId="1044791084">
    <w:abstractNumId w:val="9"/>
  </w:num>
  <w:num w:numId="28" w16cid:durableId="362177227">
    <w:abstractNumId w:val="33"/>
  </w:num>
  <w:num w:numId="29" w16cid:durableId="1766342501">
    <w:abstractNumId w:val="137"/>
  </w:num>
  <w:num w:numId="30" w16cid:durableId="1652054455">
    <w:abstractNumId w:val="27"/>
  </w:num>
  <w:num w:numId="31" w16cid:durableId="827747659">
    <w:abstractNumId w:val="2"/>
  </w:num>
  <w:num w:numId="32" w16cid:durableId="1055856078">
    <w:abstractNumId w:val="94"/>
  </w:num>
  <w:num w:numId="33" w16cid:durableId="800927017">
    <w:abstractNumId w:val="38"/>
  </w:num>
  <w:num w:numId="34" w16cid:durableId="1898735747">
    <w:abstractNumId w:val="12"/>
  </w:num>
  <w:num w:numId="35" w16cid:durableId="1753359156">
    <w:abstractNumId w:val="151"/>
  </w:num>
  <w:num w:numId="36" w16cid:durableId="738018">
    <w:abstractNumId w:val="139"/>
  </w:num>
  <w:num w:numId="37" w16cid:durableId="1282804296">
    <w:abstractNumId w:val="101"/>
  </w:num>
  <w:num w:numId="38" w16cid:durableId="946698625">
    <w:abstractNumId w:val="96"/>
  </w:num>
  <w:num w:numId="39" w16cid:durableId="1161652036">
    <w:abstractNumId w:val="152"/>
  </w:num>
  <w:num w:numId="40" w16cid:durableId="86849086">
    <w:abstractNumId w:val="48"/>
  </w:num>
  <w:num w:numId="41" w16cid:durableId="1533028592">
    <w:abstractNumId w:val="57"/>
  </w:num>
  <w:num w:numId="42" w16cid:durableId="2107649576">
    <w:abstractNumId w:val="168"/>
  </w:num>
  <w:num w:numId="43" w16cid:durableId="2115980637">
    <w:abstractNumId w:val="15"/>
  </w:num>
  <w:num w:numId="44" w16cid:durableId="1666393065">
    <w:abstractNumId w:val="74"/>
  </w:num>
  <w:num w:numId="45" w16cid:durableId="311327405">
    <w:abstractNumId w:val="115"/>
  </w:num>
  <w:num w:numId="46" w16cid:durableId="338697250">
    <w:abstractNumId w:val="158"/>
  </w:num>
  <w:num w:numId="47" w16cid:durableId="1245917879">
    <w:abstractNumId w:val="40"/>
  </w:num>
  <w:num w:numId="48" w16cid:durableId="1869444971">
    <w:abstractNumId w:val="23"/>
  </w:num>
  <w:num w:numId="49" w16cid:durableId="743448988">
    <w:abstractNumId w:val="121"/>
  </w:num>
  <w:num w:numId="50" w16cid:durableId="619845231">
    <w:abstractNumId w:val="160"/>
  </w:num>
  <w:num w:numId="51" w16cid:durableId="1381054407">
    <w:abstractNumId w:val="51"/>
  </w:num>
  <w:num w:numId="52" w16cid:durableId="113864240">
    <w:abstractNumId w:val="78"/>
  </w:num>
  <w:num w:numId="53" w16cid:durableId="1550219030">
    <w:abstractNumId w:val="87"/>
  </w:num>
  <w:num w:numId="54" w16cid:durableId="1570262165">
    <w:abstractNumId w:val="44"/>
  </w:num>
  <w:num w:numId="55" w16cid:durableId="1460143852">
    <w:abstractNumId w:val="11"/>
  </w:num>
  <w:num w:numId="56" w16cid:durableId="1935936843">
    <w:abstractNumId w:val="32"/>
  </w:num>
  <w:num w:numId="57" w16cid:durableId="243490775">
    <w:abstractNumId w:val="103"/>
  </w:num>
  <w:num w:numId="58" w16cid:durableId="1297176452">
    <w:abstractNumId w:val="66"/>
  </w:num>
  <w:num w:numId="59" w16cid:durableId="953638670">
    <w:abstractNumId w:val="26"/>
  </w:num>
  <w:num w:numId="60" w16cid:durableId="436944837">
    <w:abstractNumId w:val="147"/>
  </w:num>
  <w:num w:numId="61" w16cid:durableId="1467970555">
    <w:abstractNumId w:val="162"/>
  </w:num>
  <w:num w:numId="62" w16cid:durableId="932472083">
    <w:abstractNumId w:val="93"/>
  </w:num>
  <w:num w:numId="63" w16cid:durableId="986401604">
    <w:abstractNumId w:val="99"/>
  </w:num>
  <w:num w:numId="64" w16cid:durableId="35473652">
    <w:abstractNumId w:val="7"/>
  </w:num>
  <w:num w:numId="65" w16cid:durableId="538662824">
    <w:abstractNumId w:val="157"/>
  </w:num>
  <w:num w:numId="66" w16cid:durableId="1876262610">
    <w:abstractNumId w:val="3"/>
  </w:num>
  <w:num w:numId="67" w16cid:durableId="394360433">
    <w:abstractNumId w:val="142"/>
  </w:num>
  <w:num w:numId="68" w16cid:durableId="1406954269">
    <w:abstractNumId w:val="129"/>
  </w:num>
  <w:num w:numId="69" w16cid:durableId="393235655">
    <w:abstractNumId w:val="71"/>
  </w:num>
  <w:num w:numId="70" w16cid:durableId="2130663177">
    <w:abstractNumId w:val="70"/>
  </w:num>
  <w:num w:numId="71" w16cid:durableId="1695881826">
    <w:abstractNumId w:val="68"/>
  </w:num>
  <w:num w:numId="72" w16cid:durableId="205265068">
    <w:abstractNumId w:val="58"/>
  </w:num>
  <w:num w:numId="73" w16cid:durableId="1492795773">
    <w:abstractNumId w:val="36"/>
  </w:num>
  <w:num w:numId="74" w16cid:durableId="1853493426">
    <w:abstractNumId w:val="77"/>
  </w:num>
  <w:num w:numId="75" w16cid:durableId="1904219532">
    <w:abstractNumId w:val="119"/>
  </w:num>
  <w:num w:numId="76" w16cid:durableId="1217425439">
    <w:abstractNumId w:val="90"/>
  </w:num>
  <w:num w:numId="77" w16cid:durableId="1434397082">
    <w:abstractNumId w:val="132"/>
  </w:num>
  <w:num w:numId="78" w16cid:durableId="939528699">
    <w:abstractNumId w:val="4"/>
  </w:num>
  <w:num w:numId="79" w16cid:durableId="1786384492">
    <w:abstractNumId w:val="16"/>
  </w:num>
  <w:num w:numId="80" w16cid:durableId="1914854322">
    <w:abstractNumId w:val="55"/>
  </w:num>
  <w:num w:numId="81" w16cid:durableId="585309618">
    <w:abstractNumId w:val="81"/>
  </w:num>
  <w:num w:numId="82" w16cid:durableId="1849562278">
    <w:abstractNumId w:val="98"/>
  </w:num>
  <w:num w:numId="83" w16cid:durableId="2015452010">
    <w:abstractNumId w:val="104"/>
  </w:num>
  <w:num w:numId="84" w16cid:durableId="674042319">
    <w:abstractNumId w:val="52"/>
  </w:num>
  <w:num w:numId="85" w16cid:durableId="723066206">
    <w:abstractNumId w:val="88"/>
  </w:num>
  <w:num w:numId="86" w16cid:durableId="201946194">
    <w:abstractNumId w:val="138"/>
  </w:num>
  <w:num w:numId="87" w16cid:durableId="1516530823">
    <w:abstractNumId w:val="154"/>
  </w:num>
  <w:num w:numId="88" w16cid:durableId="1048215267">
    <w:abstractNumId w:val="56"/>
  </w:num>
  <w:num w:numId="89" w16cid:durableId="1450509979">
    <w:abstractNumId w:val="72"/>
  </w:num>
  <w:num w:numId="90" w16cid:durableId="1681395070">
    <w:abstractNumId w:val="120"/>
  </w:num>
  <w:num w:numId="91" w16cid:durableId="1280452429">
    <w:abstractNumId w:val="13"/>
  </w:num>
  <w:num w:numId="92" w16cid:durableId="1019235532">
    <w:abstractNumId w:val="136"/>
  </w:num>
  <w:num w:numId="93" w16cid:durableId="1906645584">
    <w:abstractNumId w:val="19"/>
  </w:num>
  <w:num w:numId="94" w16cid:durableId="1464152184">
    <w:abstractNumId w:val="127"/>
  </w:num>
  <w:num w:numId="95" w16cid:durableId="419110282">
    <w:abstractNumId w:val="53"/>
  </w:num>
  <w:num w:numId="96" w16cid:durableId="417675029">
    <w:abstractNumId w:val="25"/>
  </w:num>
  <w:num w:numId="97" w16cid:durableId="1905093572">
    <w:abstractNumId w:val="30"/>
  </w:num>
  <w:num w:numId="98" w16cid:durableId="1780487608">
    <w:abstractNumId w:val="109"/>
  </w:num>
  <w:num w:numId="99" w16cid:durableId="357632563">
    <w:abstractNumId w:val="125"/>
  </w:num>
  <w:num w:numId="100" w16cid:durableId="1029641838">
    <w:abstractNumId w:val="83"/>
  </w:num>
  <w:num w:numId="101" w16cid:durableId="397169509">
    <w:abstractNumId w:val="18"/>
  </w:num>
  <w:num w:numId="102" w16cid:durableId="644042276">
    <w:abstractNumId w:val="110"/>
  </w:num>
  <w:num w:numId="103" w16cid:durableId="1673793969">
    <w:abstractNumId w:val="28"/>
  </w:num>
  <w:num w:numId="104" w16cid:durableId="817065260">
    <w:abstractNumId w:val="167"/>
  </w:num>
  <w:num w:numId="105" w16cid:durableId="1978415587">
    <w:abstractNumId w:val="37"/>
  </w:num>
  <w:num w:numId="106" w16cid:durableId="1829591492">
    <w:abstractNumId w:val="135"/>
  </w:num>
  <w:num w:numId="107" w16cid:durableId="276329096">
    <w:abstractNumId w:val="131"/>
  </w:num>
  <w:num w:numId="108" w16cid:durableId="117451728">
    <w:abstractNumId w:val="161"/>
  </w:num>
  <w:num w:numId="109" w16cid:durableId="134839075">
    <w:abstractNumId w:val="54"/>
  </w:num>
  <w:num w:numId="110" w16cid:durableId="1006635832">
    <w:abstractNumId w:val="41"/>
  </w:num>
  <w:num w:numId="111" w16cid:durableId="1763455654">
    <w:abstractNumId w:val="45"/>
  </w:num>
  <w:num w:numId="112" w16cid:durableId="1559513939">
    <w:abstractNumId w:val="145"/>
  </w:num>
  <w:num w:numId="113" w16cid:durableId="781536722">
    <w:abstractNumId w:val="29"/>
  </w:num>
  <w:num w:numId="114" w16cid:durableId="1169715393">
    <w:abstractNumId w:val="102"/>
  </w:num>
  <w:num w:numId="115" w16cid:durableId="313722807">
    <w:abstractNumId w:val="75"/>
  </w:num>
  <w:num w:numId="116" w16cid:durableId="1199004780">
    <w:abstractNumId w:val="113"/>
  </w:num>
  <w:num w:numId="117" w16cid:durableId="882671107">
    <w:abstractNumId w:val="117"/>
  </w:num>
  <w:num w:numId="118" w16cid:durableId="1516766270">
    <w:abstractNumId w:val="166"/>
  </w:num>
  <w:num w:numId="119" w16cid:durableId="1311860845">
    <w:abstractNumId w:val="128"/>
  </w:num>
  <w:num w:numId="120" w16cid:durableId="5719775">
    <w:abstractNumId w:val="153"/>
  </w:num>
  <w:num w:numId="121" w16cid:durableId="1025056349">
    <w:abstractNumId w:val="14"/>
  </w:num>
  <w:num w:numId="122" w16cid:durableId="1888176217">
    <w:abstractNumId w:val="21"/>
  </w:num>
  <w:num w:numId="123" w16cid:durableId="131944992">
    <w:abstractNumId w:val="126"/>
  </w:num>
  <w:num w:numId="124" w16cid:durableId="1054624587">
    <w:abstractNumId w:val="149"/>
  </w:num>
  <w:num w:numId="125" w16cid:durableId="1377898266">
    <w:abstractNumId w:val="5"/>
  </w:num>
  <w:num w:numId="126" w16cid:durableId="1746878540">
    <w:abstractNumId w:val="35"/>
  </w:num>
  <w:num w:numId="127" w16cid:durableId="1116555890">
    <w:abstractNumId w:val="130"/>
  </w:num>
  <w:num w:numId="128" w16cid:durableId="934288327">
    <w:abstractNumId w:val="111"/>
  </w:num>
  <w:num w:numId="129" w16cid:durableId="1812403379">
    <w:abstractNumId w:val="150"/>
  </w:num>
  <w:num w:numId="130" w16cid:durableId="650671470">
    <w:abstractNumId w:val="112"/>
  </w:num>
  <w:num w:numId="131" w16cid:durableId="713503182">
    <w:abstractNumId w:val="79"/>
  </w:num>
  <w:num w:numId="132" w16cid:durableId="2009163308">
    <w:abstractNumId w:val="59"/>
  </w:num>
  <w:num w:numId="133" w16cid:durableId="1242175431">
    <w:abstractNumId w:val="42"/>
  </w:num>
  <w:num w:numId="134" w16cid:durableId="1975477237">
    <w:abstractNumId w:val="22"/>
  </w:num>
  <w:num w:numId="135" w16cid:durableId="1731924173">
    <w:abstractNumId w:val="155"/>
  </w:num>
  <w:num w:numId="136" w16cid:durableId="1237351530">
    <w:abstractNumId w:val="39"/>
  </w:num>
  <w:num w:numId="137" w16cid:durableId="207189410">
    <w:abstractNumId w:val="108"/>
  </w:num>
  <w:num w:numId="138" w16cid:durableId="969940818">
    <w:abstractNumId w:val="76"/>
  </w:num>
  <w:num w:numId="139" w16cid:durableId="383874789">
    <w:abstractNumId w:val="63"/>
  </w:num>
  <w:num w:numId="140" w16cid:durableId="1629240953">
    <w:abstractNumId w:val="107"/>
  </w:num>
  <w:num w:numId="141" w16cid:durableId="2110849601">
    <w:abstractNumId w:val="64"/>
  </w:num>
  <w:num w:numId="142" w16cid:durableId="778449337">
    <w:abstractNumId w:val="43"/>
  </w:num>
  <w:num w:numId="143" w16cid:durableId="372538156">
    <w:abstractNumId w:val="82"/>
  </w:num>
  <w:num w:numId="144" w16cid:durableId="57095107">
    <w:abstractNumId w:val="62"/>
  </w:num>
  <w:num w:numId="145" w16cid:durableId="2062050882">
    <w:abstractNumId w:val="97"/>
  </w:num>
  <w:num w:numId="146" w16cid:durableId="1054626225">
    <w:abstractNumId w:val="123"/>
  </w:num>
  <w:num w:numId="147" w16cid:durableId="1807121542">
    <w:abstractNumId w:val="84"/>
  </w:num>
  <w:num w:numId="148" w16cid:durableId="1989941315">
    <w:abstractNumId w:val="91"/>
  </w:num>
  <w:num w:numId="149" w16cid:durableId="472867410">
    <w:abstractNumId w:val="118"/>
  </w:num>
  <w:num w:numId="150" w16cid:durableId="1702054598">
    <w:abstractNumId w:val="73"/>
  </w:num>
  <w:num w:numId="151" w16cid:durableId="703093498">
    <w:abstractNumId w:val="85"/>
  </w:num>
  <w:num w:numId="152" w16cid:durableId="1908103398">
    <w:abstractNumId w:val="114"/>
  </w:num>
  <w:num w:numId="153" w16cid:durableId="1231498215">
    <w:abstractNumId w:val="143"/>
  </w:num>
  <w:num w:numId="154" w16cid:durableId="828911810">
    <w:abstractNumId w:val="6"/>
  </w:num>
  <w:num w:numId="155" w16cid:durableId="1425178041">
    <w:abstractNumId w:val="8"/>
  </w:num>
  <w:num w:numId="156" w16cid:durableId="1816141318">
    <w:abstractNumId w:val="116"/>
  </w:num>
  <w:num w:numId="157" w16cid:durableId="1294093169">
    <w:abstractNumId w:val="146"/>
  </w:num>
  <w:num w:numId="158" w16cid:durableId="1095394081">
    <w:abstractNumId w:val="69"/>
  </w:num>
  <w:num w:numId="159" w16cid:durableId="414785498">
    <w:abstractNumId w:val="86"/>
  </w:num>
  <w:num w:numId="160" w16cid:durableId="1092049777">
    <w:abstractNumId w:val="122"/>
  </w:num>
  <w:num w:numId="161" w16cid:durableId="1274706663">
    <w:abstractNumId w:val="165"/>
  </w:num>
  <w:num w:numId="162" w16cid:durableId="1360934926">
    <w:abstractNumId w:val="10"/>
  </w:num>
  <w:num w:numId="163" w16cid:durableId="483741387">
    <w:abstractNumId w:val="140"/>
  </w:num>
  <w:num w:numId="164" w16cid:durableId="85152164">
    <w:abstractNumId w:val="60"/>
  </w:num>
  <w:num w:numId="165" w16cid:durableId="1081684534">
    <w:abstractNumId w:val="164"/>
  </w:num>
  <w:num w:numId="166" w16cid:durableId="263154808">
    <w:abstractNumId w:val="47"/>
  </w:num>
  <w:num w:numId="167" w16cid:durableId="1624506957">
    <w:abstractNumId w:val="50"/>
  </w:num>
  <w:num w:numId="168" w16cid:durableId="799346886">
    <w:abstractNumId w:val="133"/>
  </w:num>
  <w:num w:numId="169" w16cid:durableId="1527711554">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24992"/>
    <w:rsid w:val="000368F3"/>
    <w:rsid w:val="00064DBD"/>
    <w:rsid w:val="0009479D"/>
    <w:rsid w:val="000A1A83"/>
    <w:rsid w:val="000A5BA0"/>
    <w:rsid w:val="000C63F0"/>
    <w:rsid w:val="000E5ED2"/>
    <w:rsid w:val="000E6BA9"/>
    <w:rsid w:val="000F6E97"/>
    <w:rsid w:val="00103613"/>
    <w:rsid w:val="00114F77"/>
    <w:rsid w:val="00121C8E"/>
    <w:rsid w:val="0015614A"/>
    <w:rsid w:val="001675DC"/>
    <w:rsid w:val="0017409B"/>
    <w:rsid w:val="001748DE"/>
    <w:rsid w:val="00193D3A"/>
    <w:rsid w:val="001B5D24"/>
    <w:rsid w:val="001C4C31"/>
    <w:rsid w:val="001D0DD3"/>
    <w:rsid w:val="001D2C2D"/>
    <w:rsid w:val="001E236D"/>
    <w:rsid w:val="001E5F46"/>
    <w:rsid w:val="00202C71"/>
    <w:rsid w:val="00206EDF"/>
    <w:rsid w:val="002135A6"/>
    <w:rsid w:val="00217D3A"/>
    <w:rsid w:val="00246E58"/>
    <w:rsid w:val="00260E16"/>
    <w:rsid w:val="00272696"/>
    <w:rsid w:val="0028080C"/>
    <w:rsid w:val="00281F68"/>
    <w:rsid w:val="0029265E"/>
    <w:rsid w:val="002B4F0F"/>
    <w:rsid w:val="002D310A"/>
    <w:rsid w:val="002E387C"/>
    <w:rsid w:val="002E4B37"/>
    <w:rsid w:val="002F3833"/>
    <w:rsid w:val="002F5E85"/>
    <w:rsid w:val="002F73DC"/>
    <w:rsid w:val="00300822"/>
    <w:rsid w:val="0031212D"/>
    <w:rsid w:val="00335CDD"/>
    <w:rsid w:val="00340EBD"/>
    <w:rsid w:val="00343AEE"/>
    <w:rsid w:val="00365C43"/>
    <w:rsid w:val="0037359D"/>
    <w:rsid w:val="003758DF"/>
    <w:rsid w:val="00380626"/>
    <w:rsid w:val="0039157C"/>
    <w:rsid w:val="003A0EB4"/>
    <w:rsid w:val="003B3A97"/>
    <w:rsid w:val="003B6C72"/>
    <w:rsid w:val="003C337A"/>
    <w:rsid w:val="003C3BB3"/>
    <w:rsid w:val="003D1BE1"/>
    <w:rsid w:val="003E6985"/>
    <w:rsid w:val="004028CD"/>
    <w:rsid w:val="0040633A"/>
    <w:rsid w:val="004309B5"/>
    <w:rsid w:val="00433F12"/>
    <w:rsid w:val="00450C0B"/>
    <w:rsid w:val="00463181"/>
    <w:rsid w:val="0047630A"/>
    <w:rsid w:val="00491DD8"/>
    <w:rsid w:val="004A1B72"/>
    <w:rsid w:val="004C02CA"/>
    <w:rsid w:val="00504992"/>
    <w:rsid w:val="00515348"/>
    <w:rsid w:val="005437C0"/>
    <w:rsid w:val="005760A6"/>
    <w:rsid w:val="00576181"/>
    <w:rsid w:val="00591636"/>
    <w:rsid w:val="0059368A"/>
    <w:rsid w:val="005C102B"/>
    <w:rsid w:val="005D61C6"/>
    <w:rsid w:val="005F42F7"/>
    <w:rsid w:val="006116A3"/>
    <w:rsid w:val="0062422E"/>
    <w:rsid w:val="00624259"/>
    <w:rsid w:val="006260D5"/>
    <w:rsid w:val="00654067"/>
    <w:rsid w:val="00672790"/>
    <w:rsid w:val="00692C85"/>
    <w:rsid w:val="006A213D"/>
    <w:rsid w:val="006A3243"/>
    <w:rsid w:val="006A6932"/>
    <w:rsid w:val="006C1B31"/>
    <w:rsid w:val="006F5044"/>
    <w:rsid w:val="007000FF"/>
    <w:rsid w:val="007029D8"/>
    <w:rsid w:val="00734CB3"/>
    <w:rsid w:val="00736230"/>
    <w:rsid w:val="0073773F"/>
    <w:rsid w:val="00753513"/>
    <w:rsid w:val="00761366"/>
    <w:rsid w:val="007614C2"/>
    <w:rsid w:val="007740A9"/>
    <w:rsid w:val="0079549F"/>
    <w:rsid w:val="007A58A5"/>
    <w:rsid w:val="007B2F2E"/>
    <w:rsid w:val="007B4487"/>
    <w:rsid w:val="007D0360"/>
    <w:rsid w:val="007F3474"/>
    <w:rsid w:val="008065A3"/>
    <w:rsid w:val="00813048"/>
    <w:rsid w:val="00835523"/>
    <w:rsid w:val="008369A1"/>
    <w:rsid w:val="008414BA"/>
    <w:rsid w:val="00853B1C"/>
    <w:rsid w:val="008567E4"/>
    <w:rsid w:val="00886F54"/>
    <w:rsid w:val="008A59BA"/>
    <w:rsid w:val="008A5B5F"/>
    <w:rsid w:val="008B0EA3"/>
    <w:rsid w:val="008D2C4E"/>
    <w:rsid w:val="008E314D"/>
    <w:rsid w:val="008F28B3"/>
    <w:rsid w:val="008F29F6"/>
    <w:rsid w:val="008F6E20"/>
    <w:rsid w:val="00902907"/>
    <w:rsid w:val="00915AAD"/>
    <w:rsid w:val="009173E1"/>
    <w:rsid w:val="00921FA2"/>
    <w:rsid w:val="00922A8D"/>
    <w:rsid w:val="00924992"/>
    <w:rsid w:val="00966368"/>
    <w:rsid w:val="009718FF"/>
    <w:rsid w:val="00977B86"/>
    <w:rsid w:val="0098084A"/>
    <w:rsid w:val="00985E54"/>
    <w:rsid w:val="0099074F"/>
    <w:rsid w:val="00990882"/>
    <w:rsid w:val="009A787A"/>
    <w:rsid w:val="009C0FFA"/>
    <w:rsid w:val="009C195D"/>
    <w:rsid w:val="009D7726"/>
    <w:rsid w:val="009D7D19"/>
    <w:rsid w:val="009F28B8"/>
    <w:rsid w:val="00A125A9"/>
    <w:rsid w:val="00A2201D"/>
    <w:rsid w:val="00A22BC5"/>
    <w:rsid w:val="00A338DF"/>
    <w:rsid w:val="00A41582"/>
    <w:rsid w:val="00A45EB5"/>
    <w:rsid w:val="00A4627D"/>
    <w:rsid w:val="00A47AC0"/>
    <w:rsid w:val="00A7044D"/>
    <w:rsid w:val="00A760C4"/>
    <w:rsid w:val="00A76C8B"/>
    <w:rsid w:val="00A827EA"/>
    <w:rsid w:val="00A83DBF"/>
    <w:rsid w:val="00A87C28"/>
    <w:rsid w:val="00A92083"/>
    <w:rsid w:val="00AC1CAA"/>
    <w:rsid w:val="00AD165C"/>
    <w:rsid w:val="00AE16AC"/>
    <w:rsid w:val="00AF2E27"/>
    <w:rsid w:val="00B121EA"/>
    <w:rsid w:val="00B13A9C"/>
    <w:rsid w:val="00B171BB"/>
    <w:rsid w:val="00B205C6"/>
    <w:rsid w:val="00B44A38"/>
    <w:rsid w:val="00B53462"/>
    <w:rsid w:val="00B53EF0"/>
    <w:rsid w:val="00B6451F"/>
    <w:rsid w:val="00B75A1C"/>
    <w:rsid w:val="00BB20F5"/>
    <w:rsid w:val="00BB28C2"/>
    <w:rsid w:val="00BD386A"/>
    <w:rsid w:val="00BE2921"/>
    <w:rsid w:val="00BF42DE"/>
    <w:rsid w:val="00BF7A21"/>
    <w:rsid w:val="00C11C72"/>
    <w:rsid w:val="00C26201"/>
    <w:rsid w:val="00C27CED"/>
    <w:rsid w:val="00C30780"/>
    <w:rsid w:val="00C31EB8"/>
    <w:rsid w:val="00C32EC6"/>
    <w:rsid w:val="00C339A5"/>
    <w:rsid w:val="00C34865"/>
    <w:rsid w:val="00C54533"/>
    <w:rsid w:val="00C64A1E"/>
    <w:rsid w:val="00C8199A"/>
    <w:rsid w:val="00C94873"/>
    <w:rsid w:val="00CB5C86"/>
    <w:rsid w:val="00CC56BC"/>
    <w:rsid w:val="00D01017"/>
    <w:rsid w:val="00D11DC5"/>
    <w:rsid w:val="00D12D6A"/>
    <w:rsid w:val="00D54B3C"/>
    <w:rsid w:val="00D55DC2"/>
    <w:rsid w:val="00D63C30"/>
    <w:rsid w:val="00D86CC8"/>
    <w:rsid w:val="00D97E29"/>
    <w:rsid w:val="00DA3EE8"/>
    <w:rsid w:val="00DB146E"/>
    <w:rsid w:val="00DB6E36"/>
    <w:rsid w:val="00DB6EA5"/>
    <w:rsid w:val="00DC6C25"/>
    <w:rsid w:val="00DD7FBE"/>
    <w:rsid w:val="00E33D99"/>
    <w:rsid w:val="00E707E3"/>
    <w:rsid w:val="00E7097A"/>
    <w:rsid w:val="00EA6EAA"/>
    <w:rsid w:val="00EC05AC"/>
    <w:rsid w:val="00EE1B42"/>
    <w:rsid w:val="00EF0D99"/>
    <w:rsid w:val="00EF1945"/>
    <w:rsid w:val="00EF431F"/>
    <w:rsid w:val="00EF6298"/>
    <w:rsid w:val="00F050F2"/>
    <w:rsid w:val="00F124BC"/>
    <w:rsid w:val="00F2221D"/>
    <w:rsid w:val="00F351BA"/>
    <w:rsid w:val="00F35284"/>
    <w:rsid w:val="00F71A62"/>
    <w:rsid w:val="00F82959"/>
    <w:rsid w:val="00F95C48"/>
    <w:rsid w:val="00FB0C69"/>
    <w:rsid w:val="00FC3DD4"/>
    <w:rsid w:val="00FC5546"/>
    <w:rsid w:val="00FF4535"/>
  </w:rsids>
  <m:mathPr>
    <m:mathFont m:val="Cambria Math"/>
    <m:brkBin m:val="before"/>
    <m:brkBinSub m:val="--"/>
    <m:smallFrac m:val="0"/>
    <m:dispDef/>
    <m:lMargin m:val="0"/>
    <m:rMargin m:val="0"/>
    <m:defJc m:val="centerGroup"/>
    <m:wrapIndent m:val="1440"/>
    <m:intLim m:val="subSup"/>
    <m:naryLim m:val="undOvr"/>
  </m:mathPr>
  <w:themeFontLang w:val="ro-R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13A011"/>
  <w15:chartTrackingRefBased/>
  <w15:docId w15:val="{1B3887D6-0789-4355-AF5D-A90D2F270F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ro-RO"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2499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92499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924992"/>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92499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2499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2499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2499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2499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2499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2499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92499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924992"/>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2499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2499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2499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2499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2499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24992"/>
    <w:rPr>
      <w:rFonts w:eastAsiaTheme="majorEastAsia" w:cstheme="majorBidi"/>
      <w:color w:val="272727" w:themeColor="text1" w:themeTint="D8"/>
    </w:rPr>
  </w:style>
  <w:style w:type="paragraph" w:styleId="Title">
    <w:name w:val="Title"/>
    <w:basedOn w:val="Normal"/>
    <w:next w:val="Normal"/>
    <w:link w:val="TitleChar"/>
    <w:uiPriority w:val="10"/>
    <w:qFormat/>
    <w:rsid w:val="0092499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2499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2499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2499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24992"/>
    <w:pPr>
      <w:spacing w:before="160"/>
      <w:jc w:val="center"/>
    </w:pPr>
    <w:rPr>
      <w:i/>
      <w:iCs/>
      <w:color w:val="404040" w:themeColor="text1" w:themeTint="BF"/>
    </w:rPr>
  </w:style>
  <w:style w:type="character" w:customStyle="1" w:styleId="QuoteChar">
    <w:name w:val="Quote Char"/>
    <w:basedOn w:val="DefaultParagraphFont"/>
    <w:link w:val="Quote"/>
    <w:uiPriority w:val="29"/>
    <w:rsid w:val="00924992"/>
    <w:rPr>
      <w:i/>
      <w:iCs/>
      <w:color w:val="404040" w:themeColor="text1" w:themeTint="BF"/>
    </w:rPr>
  </w:style>
  <w:style w:type="paragraph" w:styleId="ListParagraph">
    <w:name w:val="List Paragraph"/>
    <w:basedOn w:val="Normal"/>
    <w:uiPriority w:val="34"/>
    <w:qFormat/>
    <w:rsid w:val="00924992"/>
    <w:pPr>
      <w:ind w:left="720"/>
      <w:contextualSpacing/>
    </w:pPr>
  </w:style>
  <w:style w:type="character" w:styleId="IntenseEmphasis">
    <w:name w:val="Intense Emphasis"/>
    <w:basedOn w:val="DefaultParagraphFont"/>
    <w:uiPriority w:val="21"/>
    <w:qFormat/>
    <w:rsid w:val="00924992"/>
    <w:rPr>
      <w:i/>
      <w:iCs/>
      <w:color w:val="2F5496" w:themeColor="accent1" w:themeShade="BF"/>
    </w:rPr>
  </w:style>
  <w:style w:type="paragraph" w:styleId="IntenseQuote">
    <w:name w:val="Intense Quote"/>
    <w:basedOn w:val="Normal"/>
    <w:next w:val="Normal"/>
    <w:link w:val="IntenseQuoteChar"/>
    <w:uiPriority w:val="30"/>
    <w:qFormat/>
    <w:rsid w:val="0092499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24992"/>
    <w:rPr>
      <w:i/>
      <w:iCs/>
      <w:color w:val="2F5496" w:themeColor="accent1" w:themeShade="BF"/>
    </w:rPr>
  </w:style>
  <w:style w:type="character" w:styleId="IntenseReference">
    <w:name w:val="Intense Reference"/>
    <w:basedOn w:val="DefaultParagraphFont"/>
    <w:uiPriority w:val="32"/>
    <w:qFormat/>
    <w:rsid w:val="00924992"/>
    <w:rPr>
      <w:b/>
      <w:bCs/>
      <w:smallCaps/>
      <w:color w:val="2F5496" w:themeColor="accent1" w:themeShade="BF"/>
      <w:spacing w:val="5"/>
    </w:rPr>
  </w:style>
  <w:style w:type="character" w:customStyle="1" w:styleId="Footnote">
    <w:name w:val="Footnote_"/>
    <w:basedOn w:val="DefaultParagraphFont"/>
    <w:link w:val="Footnote0"/>
    <w:rsid w:val="00924992"/>
    <w:rPr>
      <w:rFonts w:ascii="Times New Roman" w:eastAsia="Times New Roman" w:hAnsi="Times New Roman" w:cs="Times New Roman"/>
      <w:color w:val="231F20"/>
      <w:sz w:val="15"/>
      <w:szCs w:val="15"/>
    </w:rPr>
  </w:style>
  <w:style w:type="character" w:customStyle="1" w:styleId="Heading20">
    <w:name w:val="Heading #2_"/>
    <w:basedOn w:val="DefaultParagraphFont"/>
    <w:link w:val="Heading21"/>
    <w:rsid w:val="00924992"/>
    <w:rPr>
      <w:rFonts w:ascii="Arial" w:eastAsia="Arial" w:hAnsi="Arial" w:cs="Arial"/>
      <w:b/>
      <w:bCs/>
      <w:color w:val="231F20"/>
      <w:w w:val="70"/>
      <w:sz w:val="42"/>
      <w:szCs w:val="42"/>
    </w:rPr>
  </w:style>
  <w:style w:type="character" w:customStyle="1" w:styleId="BodyTextChar">
    <w:name w:val="Body Text Char"/>
    <w:basedOn w:val="DefaultParagraphFont"/>
    <w:link w:val="BodyText"/>
    <w:rsid w:val="00924992"/>
    <w:rPr>
      <w:rFonts w:ascii="Garamond" w:eastAsia="Garamond" w:hAnsi="Garamond" w:cs="Garamond"/>
      <w:color w:val="231F20"/>
      <w:sz w:val="19"/>
      <w:szCs w:val="19"/>
    </w:rPr>
  </w:style>
  <w:style w:type="character" w:customStyle="1" w:styleId="Headerorfooter2">
    <w:name w:val="Header or footer (2)_"/>
    <w:basedOn w:val="DefaultParagraphFont"/>
    <w:link w:val="Headerorfooter20"/>
    <w:rsid w:val="00924992"/>
    <w:rPr>
      <w:rFonts w:ascii="Times New Roman" w:eastAsia="Times New Roman" w:hAnsi="Times New Roman" w:cs="Times New Roman"/>
      <w:sz w:val="20"/>
      <w:szCs w:val="20"/>
    </w:rPr>
  </w:style>
  <w:style w:type="character" w:customStyle="1" w:styleId="Tableofcontents">
    <w:name w:val="Table of contents_"/>
    <w:basedOn w:val="DefaultParagraphFont"/>
    <w:link w:val="Tableofcontents0"/>
    <w:rsid w:val="00924992"/>
    <w:rPr>
      <w:rFonts w:ascii="Garamond" w:eastAsia="Garamond" w:hAnsi="Garamond" w:cs="Garamond"/>
      <w:color w:val="231F20"/>
      <w:sz w:val="19"/>
      <w:szCs w:val="19"/>
    </w:rPr>
  </w:style>
  <w:style w:type="character" w:customStyle="1" w:styleId="Bodytext2">
    <w:name w:val="Body text (2)_"/>
    <w:basedOn w:val="DefaultParagraphFont"/>
    <w:link w:val="Bodytext20"/>
    <w:rsid w:val="00924992"/>
    <w:rPr>
      <w:rFonts w:ascii="Times New Roman" w:eastAsia="Times New Roman" w:hAnsi="Times New Roman" w:cs="Times New Roman"/>
      <w:color w:val="231F20"/>
      <w:sz w:val="16"/>
      <w:szCs w:val="16"/>
    </w:rPr>
  </w:style>
  <w:style w:type="character" w:customStyle="1" w:styleId="Other">
    <w:name w:val="Other_"/>
    <w:basedOn w:val="DefaultParagraphFont"/>
    <w:link w:val="Other0"/>
    <w:rsid w:val="00924992"/>
    <w:rPr>
      <w:rFonts w:ascii="Garamond" w:eastAsia="Garamond" w:hAnsi="Garamond" w:cs="Garamond"/>
      <w:color w:val="231F20"/>
      <w:sz w:val="19"/>
      <w:szCs w:val="19"/>
    </w:rPr>
  </w:style>
  <w:style w:type="character" w:customStyle="1" w:styleId="Heading10">
    <w:name w:val="Heading #1_"/>
    <w:basedOn w:val="DefaultParagraphFont"/>
    <w:link w:val="Heading11"/>
    <w:rsid w:val="00924992"/>
    <w:rPr>
      <w:rFonts w:ascii="Arial" w:eastAsia="Arial" w:hAnsi="Arial" w:cs="Arial"/>
      <w:b/>
      <w:bCs/>
      <w:color w:val="231F20"/>
      <w:w w:val="70"/>
      <w:sz w:val="48"/>
      <w:szCs w:val="48"/>
    </w:rPr>
  </w:style>
  <w:style w:type="character" w:customStyle="1" w:styleId="Heading30">
    <w:name w:val="Heading #3_"/>
    <w:basedOn w:val="DefaultParagraphFont"/>
    <w:link w:val="Heading31"/>
    <w:rsid w:val="00924992"/>
    <w:rPr>
      <w:rFonts w:ascii="Arial" w:eastAsia="Arial" w:hAnsi="Arial" w:cs="Arial"/>
      <w:b/>
      <w:bCs/>
      <w:color w:val="231F20"/>
      <w:w w:val="70"/>
      <w:sz w:val="26"/>
      <w:szCs w:val="26"/>
    </w:rPr>
  </w:style>
  <w:style w:type="character" w:customStyle="1" w:styleId="Heading40">
    <w:name w:val="Heading #4_"/>
    <w:basedOn w:val="DefaultParagraphFont"/>
    <w:link w:val="Heading41"/>
    <w:rsid w:val="00924992"/>
    <w:rPr>
      <w:rFonts w:ascii="Arial" w:eastAsia="Arial" w:hAnsi="Arial" w:cs="Arial"/>
      <w:b/>
      <w:bCs/>
      <w:color w:val="EBEBEB"/>
      <w:w w:val="70"/>
    </w:rPr>
  </w:style>
  <w:style w:type="character" w:customStyle="1" w:styleId="Tablecaption">
    <w:name w:val="Table caption_"/>
    <w:basedOn w:val="DefaultParagraphFont"/>
    <w:link w:val="Tablecaption0"/>
    <w:rsid w:val="00924992"/>
    <w:rPr>
      <w:rFonts w:ascii="Times New Roman" w:eastAsia="Times New Roman" w:hAnsi="Times New Roman" w:cs="Times New Roman"/>
      <w:color w:val="231F20"/>
      <w:sz w:val="15"/>
      <w:szCs w:val="15"/>
    </w:rPr>
  </w:style>
  <w:style w:type="character" w:customStyle="1" w:styleId="Bodytext7">
    <w:name w:val="Body text (7)_"/>
    <w:basedOn w:val="DefaultParagraphFont"/>
    <w:link w:val="Bodytext70"/>
    <w:rsid w:val="00924992"/>
    <w:rPr>
      <w:rFonts w:ascii="Arial" w:eastAsia="Arial" w:hAnsi="Arial" w:cs="Arial"/>
      <w:b/>
      <w:bCs/>
      <w:color w:val="231F20"/>
      <w:w w:val="70"/>
      <w:sz w:val="32"/>
      <w:szCs w:val="32"/>
    </w:rPr>
  </w:style>
  <w:style w:type="character" w:customStyle="1" w:styleId="Bodytext6">
    <w:name w:val="Body text (6)_"/>
    <w:basedOn w:val="DefaultParagraphFont"/>
    <w:link w:val="Bodytext60"/>
    <w:rsid w:val="00924992"/>
    <w:rPr>
      <w:rFonts w:ascii="Times New Roman" w:eastAsia="Times New Roman" w:hAnsi="Times New Roman" w:cs="Times New Roman"/>
      <w:color w:val="231F20"/>
      <w:sz w:val="12"/>
      <w:szCs w:val="12"/>
    </w:rPr>
  </w:style>
  <w:style w:type="character" w:customStyle="1" w:styleId="Bodytext5">
    <w:name w:val="Body text (5)_"/>
    <w:basedOn w:val="DefaultParagraphFont"/>
    <w:link w:val="Bodytext50"/>
    <w:rsid w:val="00924992"/>
    <w:rPr>
      <w:rFonts w:ascii="Arial" w:eastAsia="Arial" w:hAnsi="Arial" w:cs="Arial"/>
      <w:color w:val="231F20"/>
      <w:sz w:val="12"/>
      <w:szCs w:val="12"/>
    </w:rPr>
  </w:style>
  <w:style w:type="character" w:customStyle="1" w:styleId="Bodytext8">
    <w:name w:val="Body text (8)_"/>
    <w:basedOn w:val="DefaultParagraphFont"/>
    <w:link w:val="Bodytext80"/>
    <w:rsid w:val="00924992"/>
    <w:rPr>
      <w:rFonts w:ascii="Arial" w:eastAsia="Arial" w:hAnsi="Arial" w:cs="Arial"/>
      <w:color w:val="231F20"/>
      <w:sz w:val="14"/>
      <w:szCs w:val="14"/>
    </w:rPr>
  </w:style>
  <w:style w:type="character" w:customStyle="1" w:styleId="Headerorfooter">
    <w:name w:val="Header or footer_"/>
    <w:basedOn w:val="DefaultParagraphFont"/>
    <w:link w:val="Headerorfooter0"/>
    <w:rsid w:val="00924992"/>
    <w:rPr>
      <w:rFonts w:ascii="Arial" w:eastAsia="Arial" w:hAnsi="Arial" w:cs="Arial"/>
      <w:color w:val="231F20"/>
      <w:sz w:val="14"/>
      <w:szCs w:val="14"/>
    </w:rPr>
  </w:style>
  <w:style w:type="character" w:customStyle="1" w:styleId="Bodytext9">
    <w:name w:val="Body text (9)_"/>
    <w:basedOn w:val="DefaultParagraphFont"/>
    <w:link w:val="Bodytext90"/>
    <w:rsid w:val="00924992"/>
    <w:rPr>
      <w:rFonts w:ascii="Arial" w:eastAsia="Arial" w:hAnsi="Arial" w:cs="Arial"/>
      <w:color w:val="231F20"/>
      <w:sz w:val="10"/>
      <w:szCs w:val="10"/>
    </w:rPr>
  </w:style>
  <w:style w:type="character" w:customStyle="1" w:styleId="Bodytext10">
    <w:name w:val="Body text (10)_"/>
    <w:basedOn w:val="DefaultParagraphFont"/>
    <w:link w:val="Bodytext100"/>
    <w:rsid w:val="00924992"/>
    <w:rPr>
      <w:rFonts w:ascii="Times New Roman" w:eastAsia="Times New Roman" w:hAnsi="Times New Roman" w:cs="Times New Roman"/>
      <w:smallCaps/>
      <w:color w:val="231F20"/>
      <w:sz w:val="32"/>
      <w:szCs w:val="32"/>
    </w:rPr>
  </w:style>
  <w:style w:type="character" w:customStyle="1" w:styleId="Picturecaption">
    <w:name w:val="Picture caption_"/>
    <w:basedOn w:val="DefaultParagraphFont"/>
    <w:link w:val="Picturecaption0"/>
    <w:rsid w:val="00924992"/>
    <w:rPr>
      <w:rFonts w:ascii="Arial" w:eastAsia="Arial" w:hAnsi="Arial" w:cs="Arial"/>
      <w:b/>
      <w:bCs/>
      <w:color w:val="231F20"/>
      <w:w w:val="70"/>
      <w:sz w:val="26"/>
      <w:szCs w:val="26"/>
    </w:rPr>
  </w:style>
  <w:style w:type="paragraph" w:customStyle="1" w:styleId="Footnote0">
    <w:name w:val="Footnote"/>
    <w:basedOn w:val="Normal"/>
    <w:link w:val="Footnote"/>
    <w:rsid w:val="00924992"/>
    <w:pPr>
      <w:widowControl w:val="0"/>
      <w:spacing w:after="0" w:line="240" w:lineRule="auto"/>
    </w:pPr>
    <w:rPr>
      <w:rFonts w:ascii="Times New Roman" w:eastAsia="Times New Roman" w:hAnsi="Times New Roman" w:cs="Times New Roman"/>
      <w:color w:val="231F20"/>
      <w:sz w:val="15"/>
      <w:szCs w:val="15"/>
    </w:rPr>
  </w:style>
  <w:style w:type="paragraph" w:customStyle="1" w:styleId="Heading21">
    <w:name w:val="Heading #2"/>
    <w:basedOn w:val="Normal"/>
    <w:link w:val="Heading20"/>
    <w:rsid w:val="00924992"/>
    <w:pPr>
      <w:widowControl w:val="0"/>
      <w:spacing w:after="440" w:line="240" w:lineRule="auto"/>
      <w:jc w:val="center"/>
      <w:outlineLvl w:val="1"/>
    </w:pPr>
    <w:rPr>
      <w:rFonts w:ascii="Arial" w:eastAsia="Arial" w:hAnsi="Arial" w:cs="Arial"/>
      <w:b/>
      <w:bCs/>
      <w:color w:val="231F20"/>
      <w:w w:val="70"/>
      <w:sz w:val="42"/>
      <w:szCs w:val="42"/>
    </w:rPr>
  </w:style>
  <w:style w:type="paragraph" w:styleId="BodyText">
    <w:name w:val="Body Text"/>
    <w:basedOn w:val="Normal"/>
    <w:link w:val="BodyTextChar"/>
    <w:qFormat/>
    <w:rsid w:val="00924992"/>
    <w:pPr>
      <w:widowControl w:val="0"/>
      <w:spacing w:after="0" w:line="269" w:lineRule="auto"/>
      <w:ind w:firstLine="20"/>
    </w:pPr>
    <w:rPr>
      <w:rFonts w:ascii="Garamond" w:eastAsia="Garamond" w:hAnsi="Garamond" w:cs="Garamond"/>
      <w:color w:val="231F20"/>
      <w:sz w:val="19"/>
      <w:szCs w:val="19"/>
    </w:rPr>
  </w:style>
  <w:style w:type="character" w:customStyle="1" w:styleId="BodyTextChar1">
    <w:name w:val="Body Text Char1"/>
    <w:basedOn w:val="DefaultParagraphFont"/>
    <w:uiPriority w:val="99"/>
    <w:semiHidden/>
    <w:rsid w:val="00924992"/>
  </w:style>
  <w:style w:type="paragraph" w:customStyle="1" w:styleId="Headerorfooter20">
    <w:name w:val="Header or footer (2)"/>
    <w:basedOn w:val="Normal"/>
    <w:link w:val="Headerorfooter2"/>
    <w:rsid w:val="00924992"/>
    <w:pPr>
      <w:widowControl w:val="0"/>
      <w:spacing w:after="0" w:line="240" w:lineRule="auto"/>
    </w:pPr>
    <w:rPr>
      <w:rFonts w:ascii="Times New Roman" w:eastAsia="Times New Roman" w:hAnsi="Times New Roman" w:cs="Times New Roman"/>
      <w:sz w:val="20"/>
      <w:szCs w:val="20"/>
    </w:rPr>
  </w:style>
  <w:style w:type="paragraph" w:customStyle="1" w:styleId="Tableofcontents0">
    <w:name w:val="Table of contents"/>
    <w:basedOn w:val="Normal"/>
    <w:link w:val="Tableofcontents"/>
    <w:rsid w:val="00924992"/>
    <w:pPr>
      <w:widowControl w:val="0"/>
      <w:spacing w:after="0" w:line="240" w:lineRule="auto"/>
    </w:pPr>
    <w:rPr>
      <w:rFonts w:ascii="Garamond" w:eastAsia="Garamond" w:hAnsi="Garamond" w:cs="Garamond"/>
      <w:color w:val="231F20"/>
      <w:sz w:val="19"/>
      <w:szCs w:val="19"/>
    </w:rPr>
  </w:style>
  <w:style w:type="paragraph" w:customStyle="1" w:styleId="Bodytext20">
    <w:name w:val="Body text (2)"/>
    <w:basedOn w:val="Normal"/>
    <w:link w:val="Bodytext2"/>
    <w:rsid w:val="00924992"/>
    <w:pPr>
      <w:widowControl w:val="0"/>
      <w:spacing w:after="0" w:line="283" w:lineRule="auto"/>
    </w:pPr>
    <w:rPr>
      <w:rFonts w:ascii="Times New Roman" w:eastAsia="Times New Roman" w:hAnsi="Times New Roman" w:cs="Times New Roman"/>
      <w:color w:val="231F20"/>
      <w:sz w:val="16"/>
      <w:szCs w:val="16"/>
    </w:rPr>
  </w:style>
  <w:style w:type="paragraph" w:customStyle="1" w:styleId="Other0">
    <w:name w:val="Other"/>
    <w:basedOn w:val="Normal"/>
    <w:link w:val="Other"/>
    <w:rsid w:val="00924992"/>
    <w:pPr>
      <w:widowControl w:val="0"/>
      <w:spacing w:after="0" w:line="269" w:lineRule="auto"/>
      <w:ind w:firstLine="20"/>
    </w:pPr>
    <w:rPr>
      <w:rFonts w:ascii="Garamond" w:eastAsia="Garamond" w:hAnsi="Garamond" w:cs="Garamond"/>
      <w:color w:val="231F20"/>
      <w:sz w:val="19"/>
      <w:szCs w:val="19"/>
    </w:rPr>
  </w:style>
  <w:style w:type="paragraph" w:customStyle="1" w:styleId="Heading11">
    <w:name w:val="Heading #1"/>
    <w:basedOn w:val="Normal"/>
    <w:link w:val="Heading10"/>
    <w:rsid w:val="00924992"/>
    <w:pPr>
      <w:widowControl w:val="0"/>
      <w:spacing w:after="300" w:line="240" w:lineRule="auto"/>
      <w:jc w:val="center"/>
      <w:outlineLvl w:val="0"/>
    </w:pPr>
    <w:rPr>
      <w:rFonts w:ascii="Arial" w:eastAsia="Arial" w:hAnsi="Arial" w:cs="Arial"/>
      <w:b/>
      <w:bCs/>
      <w:color w:val="231F20"/>
      <w:w w:val="70"/>
      <w:sz w:val="48"/>
      <w:szCs w:val="48"/>
    </w:rPr>
  </w:style>
  <w:style w:type="paragraph" w:customStyle="1" w:styleId="Heading31">
    <w:name w:val="Heading #3"/>
    <w:basedOn w:val="Normal"/>
    <w:link w:val="Heading30"/>
    <w:rsid w:val="00924992"/>
    <w:pPr>
      <w:widowControl w:val="0"/>
      <w:spacing w:after="0" w:line="240" w:lineRule="auto"/>
      <w:outlineLvl w:val="2"/>
    </w:pPr>
    <w:rPr>
      <w:rFonts w:ascii="Arial" w:eastAsia="Arial" w:hAnsi="Arial" w:cs="Arial"/>
      <w:b/>
      <w:bCs/>
      <w:color w:val="231F20"/>
      <w:w w:val="70"/>
      <w:sz w:val="26"/>
      <w:szCs w:val="26"/>
    </w:rPr>
  </w:style>
  <w:style w:type="paragraph" w:customStyle="1" w:styleId="Heading41">
    <w:name w:val="Heading #4"/>
    <w:basedOn w:val="Normal"/>
    <w:link w:val="Heading40"/>
    <w:rsid w:val="00924992"/>
    <w:pPr>
      <w:widowControl w:val="0"/>
      <w:spacing w:after="0" w:line="240" w:lineRule="auto"/>
      <w:outlineLvl w:val="3"/>
    </w:pPr>
    <w:rPr>
      <w:rFonts w:ascii="Arial" w:eastAsia="Arial" w:hAnsi="Arial" w:cs="Arial"/>
      <w:b/>
      <w:bCs/>
      <w:color w:val="EBEBEB"/>
      <w:w w:val="70"/>
    </w:rPr>
  </w:style>
  <w:style w:type="paragraph" w:customStyle="1" w:styleId="Tablecaption0">
    <w:name w:val="Table caption"/>
    <w:basedOn w:val="Normal"/>
    <w:link w:val="Tablecaption"/>
    <w:rsid w:val="00924992"/>
    <w:pPr>
      <w:widowControl w:val="0"/>
      <w:spacing w:after="0" w:line="252" w:lineRule="auto"/>
      <w:ind w:left="160"/>
    </w:pPr>
    <w:rPr>
      <w:rFonts w:ascii="Times New Roman" w:eastAsia="Times New Roman" w:hAnsi="Times New Roman" w:cs="Times New Roman"/>
      <w:color w:val="231F20"/>
      <w:sz w:val="15"/>
      <w:szCs w:val="15"/>
    </w:rPr>
  </w:style>
  <w:style w:type="paragraph" w:customStyle="1" w:styleId="Bodytext70">
    <w:name w:val="Body text (7)"/>
    <w:basedOn w:val="Normal"/>
    <w:link w:val="Bodytext7"/>
    <w:rsid w:val="00924992"/>
    <w:pPr>
      <w:widowControl w:val="0"/>
      <w:spacing w:after="240" w:line="240" w:lineRule="auto"/>
    </w:pPr>
    <w:rPr>
      <w:rFonts w:ascii="Arial" w:eastAsia="Arial" w:hAnsi="Arial" w:cs="Arial"/>
      <w:b/>
      <w:bCs/>
      <w:color w:val="231F20"/>
      <w:w w:val="70"/>
      <w:sz w:val="32"/>
      <w:szCs w:val="32"/>
    </w:rPr>
  </w:style>
  <w:style w:type="paragraph" w:customStyle="1" w:styleId="Bodytext60">
    <w:name w:val="Body text (6)"/>
    <w:basedOn w:val="Normal"/>
    <w:link w:val="Bodytext6"/>
    <w:rsid w:val="00924992"/>
    <w:pPr>
      <w:widowControl w:val="0"/>
      <w:spacing w:after="0" w:line="240" w:lineRule="auto"/>
      <w:ind w:left="340" w:hanging="200"/>
    </w:pPr>
    <w:rPr>
      <w:rFonts w:ascii="Times New Roman" w:eastAsia="Times New Roman" w:hAnsi="Times New Roman" w:cs="Times New Roman"/>
      <w:color w:val="231F20"/>
      <w:sz w:val="12"/>
      <w:szCs w:val="12"/>
    </w:rPr>
  </w:style>
  <w:style w:type="paragraph" w:customStyle="1" w:styleId="Bodytext50">
    <w:name w:val="Body text (5)"/>
    <w:basedOn w:val="Normal"/>
    <w:link w:val="Bodytext5"/>
    <w:rsid w:val="00924992"/>
    <w:pPr>
      <w:widowControl w:val="0"/>
      <w:spacing w:after="0" w:line="240" w:lineRule="auto"/>
    </w:pPr>
    <w:rPr>
      <w:rFonts w:ascii="Arial" w:eastAsia="Arial" w:hAnsi="Arial" w:cs="Arial"/>
      <w:color w:val="231F20"/>
      <w:sz w:val="12"/>
      <w:szCs w:val="12"/>
    </w:rPr>
  </w:style>
  <w:style w:type="paragraph" w:customStyle="1" w:styleId="Bodytext80">
    <w:name w:val="Body text (8)"/>
    <w:basedOn w:val="Normal"/>
    <w:link w:val="Bodytext8"/>
    <w:rsid w:val="00924992"/>
    <w:pPr>
      <w:widowControl w:val="0"/>
      <w:spacing w:after="0" w:line="240" w:lineRule="auto"/>
    </w:pPr>
    <w:rPr>
      <w:rFonts w:ascii="Arial" w:eastAsia="Arial" w:hAnsi="Arial" w:cs="Arial"/>
      <w:color w:val="231F20"/>
      <w:sz w:val="14"/>
      <w:szCs w:val="14"/>
    </w:rPr>
  </w:style>
  <w:style w:type="paragraph" w:customStyle="1" w:styleId="Headerorfooter0">
    <w:name w:val="Header or footer"/>
    <w:basedOn w:val="Normal"/>
    <w:link w:val="Headerorfooter"/>
    <w:rsid w:val="00924992"/>
    <w:pPr>
      <w:widowControl w:val="0"/>
      <w:spacing w:after="0" w:line="240" w:lineRule="auto"/>
    </w:pPr>
    <w:rPr>
      <w:rFonts w:ascii="Arial" w:eastAsia="Arial" w:hAnsi="Arial" w:cs="Arial"/>
      <w:color w:val="231F20"/>
      <w:sz w:val="14"/>
      <w:szCs w:val="14"/>
    </w:rPr>
  </w:style>
  <w:style w:type="paragraph" w:customStyle="1" w:styleId="Bodytext90">
    <w:name w:val="Body text (9)"/>
    <w:basedOn w:val="Normal"/>
    <w:link w:val="Bodytext9"/>
    <w:rsid w:val="00924992"/>
    <w:pPr>
      <w:widowControl w:val="0"/>
      <w:spacing w:after="0" w:line="240" w:lineRule="auto"/>
    </w:pPr>
    <w:rPr>
      <w:rFonts w:ascii="Arial" w:eastAsia="Arial" w:hAnsi="Arial" w:cs="Arial"/>
      <w:color w:val="231F20"/>
      <w:sz w:val="10"/>
      <w:szCs w:val="10"/>
    </w:rPr>
  </w:style>
  <w:style w:type="paragraph" w:customStyle="1" w:styleId="Bodytext100">
    <w:name w:val="Body text (10)"/>
    <w:basedOn w:val="Normal"/>
    <w:link w:val="Bodytext10"/>
    <w:rsid w:val="00924992"/>
    <w:pPr>
      <w:widowControl w:val="0"/>
      <w:spacing w:after="240" w:line="240" w:lineRule="auto"/>
      <w:jc w:val="center"/>
    </w:pPr>
    <w:rPr>
      <w:rFonts w:ascii="Times New Roman" w:eastAsia="Times New Roman" w:hAnsi="Times New Roman" w:cs="Times New Roman"/>
      <w:smallCaps/>
      <w:color w:val="231F20"/>
      <w:sz w:val="32"/>
      <w:szCs w:val="32"/>
    </w:rPr>
  </w:style>
  <w:style w:type="paragraph" w:customStyle="1" w:styleId="Picturecaption0">
    <w:name w:val="Picture caption"/>
    <w:basedOn w:val="Normal"/>
    <w:link w:val="Picturecaption"/>
    <w:rsid w:val="00924992"/>
    <w:pPr>
      <w:widowControl w:val="0"/>
      <w:spacing w:after="0" w:line="214" w:lineRule="auto"/>
      <w:jc w:val="center"/>
    </w:pPr>
    <w:rPr>
      <w:rFonts w:ascii="Arial" w:eastAsia="Arial" w:hAnsi="Arial" w:cs="Arial"/>
      <w:b/>
      <w:bCs/>
      <w:color w:val="231F20"/>
      <w:w w:val="70"/>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17" Type="http://schemas.openxmlformats.org/officeDocument/2006/relationships/header" Target="header56.xml"/><Relationship Id="rId21" Type="http://schemas.openxmlformats.org/officeDocument/2006/relationships/header" Target="header8.xml"/><Relationship Id="rId324" Type="http://schemas.openxmlformats.org/officeDocument/2006/relationships/header" Target="header153.xml"/><Relationship Id="rId531" Type="http://schemas.openxmlformats.org/officeDocument/2006/relationships/footer" Target="footer227.xml"/><Relationship Id="rId170" Type="http://schemas.openxmlformats.org/officeDocument/2006/relationships/header" Target="header82.xml"/><Relationship Id="rId268" Type="http://schemas.openxmlformats.org/officeDocument/2006/relationships/header" Target="header129.xml"/><Relationship Id="rId475" Type="http://schemas.openxmlformats.org/officeDocument/2006/relationships/footer" Target="footer203.xml"/><Relationship Id="rId32" Type="http://schemas.openxmlformats.org/officeDocument/2006/relationships/header" Target="header14.xml"/><Relationship Id="rId128" Type="http://schemas.openxmlformats.org/officeDocument/2006/relationships/footer" Target="footer60.xml"/><Relationship Id="rId335" Type="http://schemas.openxmlformats.org/officeDocument/2006/relationships/footer" Target="footer157.xml"/><Relationship Id="rId542" Type="http://schemas.openxmlformats.org/officeDocument/2006/relationships/hyperlink" Target="http://www.aidsinfo.nih.gov" TargetMode="External"/><Relationship Id="rId181" Type="http://schemas.openxmlformats.org/officeDocument/2006/relationships/footer" Target="footer86.xml"/><Relationship Id="rId402" Type="http://schemas.openxmlformats.org/officeDocument/2006/relationships/header" Target="header189.xml"/><Relationship Id="rId279" Type="http://schemas.openxmlformats.org/officeDocument/2006/relationships/footer" Target="footer134.xml"/><Relationship Id="rId486" Type="http://schemas.openxmlformats.org/officeDocument/2006/relationships/footer" Target="footer208.xml"/><Relationship Id="rId43" Type="http://schemas.openxmlformats.org/officeDocument/2006/relationships/footer" Target="footer18.xml"/><Relationship Id="rId139" Type="http://schemas.openxmlformats.org/officeDocument/2006/relationships/footer" Target="footer65.xml"/><Relationship Id="rId346" Type="http://schemas.openxmlformats.org/officeDocument/2006/relationships/hyperlink" Target="http://www.romarklabs.com" TargetMode="External"/><Relationship Id="rId85" Type="http://schemas.openxmlformats.org/officeDocument/2006/relationships/header" Target="header40.xml"/><Relationship Id="rId150" Type="http://schemas.openxmlformats.org/officeDocument/2006/relationships/footer" Target="footer71.xml"/><Relationship Id="rId192" Type="http://schemas.openxmlformats.org/officeDocument/2006/relationships/header" Target="header93.xml"/><Relationship Id="rId206" Type="http://schemas.openxmlformats.org/officeDocument/2006/relationships/header" Target="header99.xml"/><Relationship Id="rId413" Type="http://schemas.openxmlformats.org/officeDocument/2006/relationships/hyperlink" Target="http://www.cdc.gov/ncidod/dbmd" TargetMode="External"/><Relationship Id="rId248" Type="http://schemas.openxmlformats.org/officeDocument/2006/relationships/header" Target="header120.xml"/><Relationship Id="rId455" Type="http://schemas.openxmlformats.org/officeDocument/2006/relationships/hyperlink" Target="http://www.who.int" TargetMode="External"/><Relationship Id="rId497" Type="http://schemas.openxmlformats.org/officeDocument/2006/relationships/footer" Target="footer213.xml"/><Relationship Id="rId12" Type="http://schemas.openxmlformats.org/officeDocument/2006/relationships/footer" Target="footer3.xml"/><Relationship Id="rId108" Type="http://schemas.openxmlformats.org/officeDocument/2006/relationships/footer" Target="footer50.xml"/><Relationship Id="rId315" Type="http://schemas.openxmlformats.org/officeDocument/2006/relationships/hyperlink" Target="http://www.aidsinfo.nih.gov" TargetMode="External"/><Relationship Id="rId357" Type="http://schemas.openxmlformats.org/officeDocument/2006/relationships/footer" Target="footer167.xml"/><Relationship Id="rId522" Type="http://schemas.openxmlformats.org/officeDocument/2006/relationships/hyperlink" Target="http://www.cdc.gov/ncidod/dvbid/misc/bzb.htm" TargetMode="External"/><Relationship Id="rId54" Type="http://schemas.openxmlformats.org/officeDocument/2006/relationships/footer" Target="footer24.xml"/><Relationship Id="rId96" Type="http://schemas.openxmlformats.org/officeDocument/2006/relationships/footer" Target="footer44.xml"/><Relationship Id="rId161" Type="http://schemas.openxmlformats.org/officeDocument/2006/relationships/footer" Target="footer76.xml"/><Relationship Id="rId217" Type="http://schemas.openxmlformats.org/officeDocument/2006/relationships/footer" Target="footer104.xml"/><Relationship Id="rId399" Type="http://schemas.openxmlformats.org/officeDocument/2006/relationships/footer" Target="footer186.xml"/><Relationship Id="rId259" Type="http://schemas.openxmlformats.org/officeDocument/2006/relationships/hyperlink" Target="http://pdrel.thomsonhc.com/pdrel/librarian/action/command.Command" TargetMode="External"/><Relationship Id="rId424" Type="http://schemas.openxmlformats.org/officeDocument/2006/relationships/hyperlink" Target="http://www.ashastd.org/nah" TargetMode="External"/><Relationship Id="rId466" Type="http://schemas.openxmlformats.org/officeDocument/2006/relationships/footer" Target="footer198.xml"/><Relationship Id="rId23" Type="http://schemas.openxmlformats.org/officeDocument/2006/relationships/header" Target="header9.xml"/><Relationship Id="rId119" Type="http://schemas.openxmlformats.org/officeDocument/2006/relationships/footer" Target="footer56.xml"/><Relationship Id="rId270" Type="http://schemas.openxmlformats.org/officeDocument/2006/relationships/footer" Target="footer129.xml"/><Relationship Id="rId326" Type="http://schemas.openxmlformats.org/officeDocument/2006/relationships/footer" Target="footer153.xml"/><Relationship Id="rId533" Type="http://schemas.openxmlformats.org/officeDocument/2006/relationships/header" Target="header229.xml"/><Relationship Id="rId65" Type="http://schemas.openxmlformats.org/officeDocument/2006/relationships/footer" Target="footer29.xml"/><Relationship Id="rId130" Type="http://schemas.openxmlformats.org/officeDocument/2006/relationships/header" Target="header62.xml"/><Relationship Id="rId368" Type="http://schemas.openxmlformats.org/officeDocument/2006/relationships/header" Target="header174.xml"/><Relationship Id="rId172" Type="http://schemas.openxmlformats.org/officeDocument/2006/relationships/footer" Target="footer82.xml"/><Relationship Id="rId228" Type="http://schemas.openxmlformats.org/officeDocument/2006/relationships/header" Target="header110.xml"/><Relationship Id="rId435" Type="http://schemas.openxmlformats.org/officeDocument/2006/relationships/hyperlink" Target="http://www.cdc.gov/travel" TargetMode="External"/><Relationship Id="rId477" Type="http://schemas.openxmlformats.org/officeDocument/2006/relationships/header" Target="header205.xml"/><Relationship Id="rId281" Type="http://schemas.openxmlformats.org/officeDocument/2006/relationships/header" Target="header136.xml"/><Relationship Id="rId337" Type="http://schemas.openxmlformats.org/officeDocument/2006/relationships/header" Target="header159.xml"/><Relationship Id="rId502" Type="http://schemas.openxmlformats.org/officeDocument/2006/relationships/footer" Target="footer215.xml"/><Relationship Id="rId34" Type="http://schemas.openxmlformats.org/officeDocument/2006/relationships/footer" Target="footer14.xml"/><Relationship Id="rId76" Type="http://schemas.openxmlformats.org/officeDocument/2006/relationships/footer" Target="footer35.xml"/><Relationship Id="rId141" Type="http://schemas.openxmlformats.org/officeDocument/2006/relationships/header" Target="header67.xml"/><Relationship Id="rId379" Type="http://schemas.openxmlformats.org/officeDocument/2006/relationships/header" Target="header177.xml"/><Relationship Id="rId544" Type="http://schemas.openxmlformats.org/officeDocument/2006/relationships/theme" Target="theme/theme1.xml"/><Relationship Id="rId7" Type="http://schemas.openxmlformats.org/officeDocument/2006/relationships/header" Target="header1.xml"/><Relationship Id="rId183" Type="http://schemas.openxmlformats.org/officeDocument/2006/relationships/header" Target="header88.xml"/><Relationship Id="rId239" Type="http://schemas.openxmlformats.org/officeDocument/2006/relationships/header" Target="header115.xml"/><Relationship Id="rId390" Type="http://schemas.openxmlformats.org/officeDocument/2006/relationships/header" Target="header183.xml"/><Relationship Id="rId404" Type="http://schemas.openxmlformats.org/officeDocument/2006/relationships/footer" Target="footer189.xml"/><Relationship Id="rId446" Type="http://schemas.openxmlformats.org/officeDocument/2006/relationships/hyperlink" Target="http://www.iom.edu" TargetMode="External"/><Relationship Id="rId250" Type="http://schemas.openxmlformats.org/officeDocument/2006/relationships/footer" Target="footer120.xml"/><Relationship Id="rId292" Type="http://schemas.openxmlformats.org/officeDocument/2006/relationships/footer" Target="footer140.xml"/><Relationship Id="rId306" Type="http://schemas.openxmlformats.org/officeDocument/2006/relationships/footer" Target="footer146.xml"/><Relationship Id="rId488" Type="http://schemas.openxmlformats.org/officeDocument/2006/relationships/header" Target="header210.xml"/><Relationship Id="rId45" Type="http://schemas.openxmlformats.org/officeDocument/2006/relationships/header" Target="header20.xml"/><Relationship Id="rId87" Type="http://schemas.openxmlformats.org/officeDocument/2006/relationships/header" Target="header41.xml"/><Relationship Id="rId110" Type="http://schemas.openxmlformats.org/officeDocument/2006/relationships/header" Target="header52.xml"/><Relationship Id="rId348" Type="http://schemas.openxmlformats.org/officeDocument/2006/relationships/header" Target="header164.xml"/><Relationship Id="rId513" Type="http://schemas.openxmlformats.org/officeDocument/2006/relationships/header" Target="header220.xml"/><Relationship Id="rId152" Type="http://schemas.openxmlformats.org/officeDocument/2006/relationships/footer" Target="footer72.xml"/><Relationship Id="rId194" Type="http://schemas.openxmlformats.org/officeDocument/2006/relationships/footer" Target="footer93.xml"/><Relationship Id="rId208" Type="http://schemas.openxmlformats.org/officeDocument/2006/relationships/footer" Target="footer99.xml"/><Relationship Id="rId415" Type="http://schemas.openxmlformats.org/officeDocument/2006/relationships/hyperlink" Target="http://www.cdc.gov/nchstp/tb/default.htm" TargetMode="External"/><Relationship Id="rId457" Type="http://schemas.openxmlformats.org/officeDocument/2006/relationships/header" Target="header197.xml"/><Relationship Id="rId261" Type="http://schemas.openxmlformats.org/officeDocument/2006/relationships/header" Target="header126.xml"/><Relationship Id="rId499" Type="http://schemas.openxmlformats.org/officeDocument/2006/relationships/header" Target="header214.xml"/><Relationship Id="rId14" Type="http://schemas.openxmlformats.org/officeDocument/2006/relationships/header" Target="header5.xml"/><Relationship Id="rId56" Type="http://schemas.openxmlformats.org/officeDocument/2006/relationships/footer" Target="footer25.xml"/><Relationship Id="rId317" Type="http://schemas.openxmlformats.org/officeDocument/2006/relationships/hyperlink" Target="http://www.aidsinfo.nih.gov/" TargetMode="External"/><Relationship Id="rId359" Type="http://schemas.openxmlformats.org/officeDocument/2006/relationships/header" Target="header169.xml"/><Relationship Id="rId524" Type="http://schemas.openxmlformats.org/officeDocument/2006/relationships/header" Target="header225.xml"/><Relationship Id="rId98" Type="http://schemas.openxmlformats.org/officeDocument/2006/relationships/header" Target="header46.xml"/><Relationship Id="rId121" Type="http://schemas.openxmlformats.org/officeDocument/2006/relationships/header" Target="header57.xml"/><Relationship Id="rId163" Type="http://schemas.openxmlformats.org/officeDocument/2006/relationships/header" Target="header78.xml"/><Relationship Id="rId219" Type="http://schemas.openxmlformats.org/officeDocument/2006/relationships/header" Target="header106.xml"/><Relationship Id="rId370" Type="http://schemas.openxmlformats.org/officeDocument/2006/relationships/footer" Target="footer174.xml"/><Relationship Id="rId426" Type="http://schemas.openxmlformats.org/officeDocument/2006/relationships/hyperlink" Target="http://www.cdc.gov/hiv/hivinfo/npin.htm" TargetMode="External"/><Relationship Id="rId230" Type="http://schemas.openxmlformats.org/officeDocument/2006/relationships/footer" Target="footer110.xml"/><Relationship Id="rId468" Type="http://schemas.openxmlformats.org/officeDocument/2006/relationships/header" Target="header200.xml"/><Relationship Id="rId25" Type="http://schemas.openxmlformats.org/officeDocument/2006/relationships/footer" Target="footer9.xml"/><Relationship Id="rId67" Type="http://schemas.openxmlformats.org/officeDocument/2006/relationships/header" Target="header31.xml"/><Relationship Id="rId272" Type="http://schemas.openxmlformats.org/officeDocument/2006/relationships/header" Target="header131.xml"/><Relationship Id="rId328" Type="http://schemas.openxmlformats.org/officeDocument/2006/relationships/hyperlink" Target="http://www.aidsinfo.nih.gov" TargetMode="External"/><Relationship Id="rId535" Type="http://schemas.openxmlformats.org/officeDocument/2006/relationships/footer" Target="footer229.xml"/><Relationship Id="rId132" Type="http://schemas.openxmlformats.org/officeDocument/2006/relationships/footer" Target="footer62.xml"/><Relationship Id="rId174" Type="http://schemas.openxmlformats.org/officeDocument/2006/relationships/footer" Target="footer83.xml"/><Relationship Id="rId381" Type="http://schemas.openxmlformats.org/officeDocument/2006/relationships/footer" Target="footer177.xml"/><Relationship Id="rId241" Type="http://schemas.openxmlformats.org/officeDocument/2006/relationships/footer" Target="footer115.xml"/><Relationship Id="rId437" Type="http://schemas.openxmlformats.org/officeDocument/2006/relationships/hyperlink" Target="http://www.fda.gov" TargetMode="External"/><Relationship Id="rId479" Type="http://schemas.openxmlformats.org/officeDocument/2006/relationships/footer" Target="footer205.xml"/><Relationship Id="rId36" Type="http://schemas.openxmlformats.org/officeDocument/2006/relationships/footer" Target="footer15.xml"/><Relationship Id="rId283" Type="http://schemas.openxmlformats.org/officeDocument/2006/relationships/footer" Target="footer136.xml"/><Relationship Id="rId339" Type="http://schemas.openxmlformats.org/officeDocument/2006/relationships/footer" Target="footer159.xml"/><Relationship Id="rId490" Type="http://schemas.openxmlformats.org/officeDocument/2006/relationships/footer" Target="footer210.xml"/><Relationship Id="rId504" Type="http://schemas.openxmlformats.org/officeDocument/2006/relationships/hyperlink" Target="http://www.cdc.gov/nip/" TargetMode="External"/><Relationship Id="rId78" Type="http://schemas.openxmlformats.org/officeDocument/2006/relationships/header" Target="header37.xml"/><Relationship Id="rId101" Type="http://schemas.openxmlformats.org/officeDocument/2006/relationships/header" Target="header48.xml"/><Relationship Id="rId143" Type="http://schemas.openxmlformats.org/officeDocument/2006/relationships/footer" Target="footer67.xml"/><Relationship Id="rId185" Type="http://schemas.openxmlformats.org/officeDocument/2006/relationships/footer" Target="footer88.xml"/><Relationship Id="rId350" Type="http://schemas.openxmlformats.org/officeDocument/2006/relationships/footer" Target="footer164.xml"/><Relationship Id="rId406" Type="http://schemas.openxmlformats.org/officeDocument/2006/relationships/header" Target="header191.xml"/><Relationship Id="rId9" Type="http://schemas.openxmlformats.org/officeDocument/2006/relationships/footer" Target="footer1.xml"/><Relationship Id="rId210" Type="http://schemas.openxmlformats.org/officeDocument/2006/relationships/header" Target="header101.xml"/><Relationship Id="rId392" Type="http://schemas.openxmlformats.org/officeDocument/2006/relationships/footer" Target="footer183.xml"/><Relationship Id="rId448" Type="http://schemas.openxmlformats.org/officeDocument/2006/relationships/hyperlink" Target="http://www.niaid.nih.gov" TargetMode="External"/><Relationship Id="rId252" Type="http://schemas.openxmlformats.org/officeDocument/2006/relationships/header" Target="header122.xml"/><Relationship Id="rId294" Type="http://schemas.openxmlformats.org/officeDocument/2006/relationships/header" Target="header142.xml"/><Relationship Id="rId308" Type="http://schemas.openxmlformats.org/officeDocument/2006/relationships/header" Target="header148.xml"/><Relationship Id="rId515" Type="http://schemas.openxmlformats.org/officeDocument/2006/relationships/footer" Target="footer220.xml"/><Relationship Id="rId47" Type="http://schemas.openxmlformats.org/officeDocument/2006/relationships/header" Target="header21.xml"/><Relationship Id="rId89" Type="http://schemas.openxmlformats.org/officeDocument/2006/relationships/footer" Target="footer41.xml"/><Relationship Id="rId112" Type="http://schemas.openxmlformats.org/officeDocument/2006/relationships/header" Target="header53.xml"/><Relationship Id="rId154" Type="http://schemas.openxmlformats.org/officeDocument/2006/relationships/header" Target="header74.xml"/><Relationship Id="rId361" Type="http://schemas.openxmlformats.org/officeDocument/2006/relationships/footer" Target="footer169.xml"/><Relationship Id="rId196" Type="http://schemas.openxmlformats.org/officeDocument/2006/relationships/header" Target="header95.xml"/><Relationship Id="rId417" Type="http://schemas.openxmlformats.org/officeDocument/2006/relationships/hyperlink" Target="http://www.cdc.gov/ncidod/dvrd/index.htm" TargetMode="External"/><Relationship Id="rId459" Type="http://schemas.openxmlformats.org/officeDocument/2006/relationships/footer" Target="footer197.xml"/><Relationship Id="rId16" Type="http://schemas.openxmlformats.org/officeDocument/2006/relationships/footer" Target="footer5.xml"/><Relationship Id="rId221" Type="http://schemas.openxmlformats.org/officeDocument/2006/relationships/footer" Target="footer106.xml"/><Relationship Id="rId263" Type="http://schemas.openxmlformats.org/officeDocument/2006/relationships/footer" Target="footer126.xml"/><Relationship Id="rId319" Type="http://schemas.openxmlformats.org/officeDocument/2006/relationships/header" Target="header152.xml"/><Relationship Id="rId470" Type="http://schemas.openxmlformats.org/officeDocument/2006/relationships/footer" Target="footer200.xml"/><Relationship Id="rId526" Type="http://schemas.openxmlformats.org/officeDocument/2006/relationships/footer" Target="footer225.xml"/><Relationship Id="rId58" Type="http://schemas.openxmlformats.org/officeDocument/2006/relationships/header" Target="header27.xml"/><Relationship Id="rId123" Type="http://schemas.openxmlformats.org/officeDocument/2006/relationships/footer" Target="footer57.xml"/><Relationship Id="rId330" Type="http://schemas.openxmlformats.org/officeDocument/2006/relationships/header" Target="header156.xml"/><Relationship Id="rId165" Type="http://schemas.openxmlformats.org/officeDocument/2006/relationships/footer" Target="footer78.xml"/><Relationship Id="rId372" Type="http://schemas.openxmlformats.org/officeDocument/2006/relationships/hyperlink" Target="http://www.hivatis.org" TargetMode="External"/><Relationship Id="rId428" Type="http://schemas.openxmlformats.org/officeDocument/2006/relationships/hyperlink" Target="http://www.cdc.gov/publications.htm%23pubs" TargetMode="External"/><Relationship Id="rId232" Type="http://schemas.openxmlformats.org/officeDocument/2006/relationships/header" Target="header112.xml"/><Relationship Id="rId274" Type="http://schemas.openxmlformats.org/officeDocument/2006/relationships/header" Target="header132.xml"/><Relationship Id="rId481" Type="http://schemas.openxmlformats.org/officeDocument/2006/relationships/header" Target="header207.xml"/><Relationship Id="rId27" Type="http://schemas.openxmlformats.org/officeDocument/2006/relationships/header" Target="header11.xml"/><Relationship Id="rId69" Type="http://schemas.openxmlformats.org/officeDocument/2006/relationships/footer" Target="footer31.xml"/><Relationship Id="rId134" Type="http://schemas.openxmlformats.org/officeDocument/2006/relationships/header" Target="header64.xml"/><Relationship Id="rId537" Type="http://schemas.openxmlformats.org/officeDocument/2006/relationships/header" Target="header231.xml"/><Relationship Id="rId80" Type="http://schemas.openxmlformats.org/officeDocument/2006/relationships/footer" Target="footer37.xml"/><Relationship Id="rId176" Type="http://schemas.openxmlformats.org/officeDocument/2006/relationships/header" Target="header85.xml"/><Relationship Id="rId341" Type="http://schemas.openxmlformats.org/officeDocument/2006/relationships/hyperlink" Target="http://www.medletter.com" TargetMode="External"/><Relationship Id="rId383" Type="http://schemas.openxmlformats.org/officeDocument/2006/relationships/header" Target="header179.xml"/><Relationship Id="rId439" Type="http://schemas.openxmlformats.org/officeDocument/2006/relationships/hyperlink" Target="http://www.fda.gov/cder" TargetMode="External"/><Relationship Id="rId201" Type="http://schemas.openxmlformats.org/officeDocument/2006/relationships/hyperlink" Target="http://www.bt.cdc.gov" TargetMode="External"/><Relationship Id="rId243" Type="http://schemas.openxmlformats.org/officeDocument/2006/relationships/header" Target="header117.xml"/><Relationship Id="rId285" Type="http://schemas.openxmlformats.org/officeDocument/2006/relationships/header" Target="header138.xml"/><Relationship Id="rId450" Type="http://schemas.openxmlformats.org/officeDocument/2006/relationships/hyperlink" Target="http://www.nlm.nih.gov" TargetMode="External"/><Relationship Id="rId506" Type="http://schemas.openxmlformats.org/officeDocument/2006/relationships/header" Target="header217.xml"/><Relationship Id="rId38" Type="http://schemas.openxmlformats.org/officeDocument/2006/relationships/header" Target="header17.xml"/><Relationship Id="rId103" Type="http://schemas.openxmlformats.org/officeDocument/2006/relationships/footer" Target="footer48.xml"/><Relationship Id="rId310" Type="http://schemas.openxmlformats.org/officeDocument/2006/relationships/footer" Target="footer148.xml"/><Relationship Id="rId492" Type="http://schemas.openxmlformats.org/officeDocument/2006/relationships/hyperlink" Target="http://www.vaers.org" TargetMode="External"/><Relationship Id="rId91" Type="http://schemas.openxmlformats.org/officeDocument/2006/relationships/header" Target="header43.xml"/><Relationship Id="rId145" Type="http://schemas.openxmlformats.org/officeDocument/2006/relationships/header" Target="header69.xml"/><Relationship Id="rId187" Type="http://schemas.openxmlformats.org/officeDocument/2006/relationships/header" Target="header90.xml"/><Relationship Id="rId352" Type="http://schemas.openxmlformats.org/officeDocument/2006/relationships/header" Target="header166.xml"/><Relationship Id="rId394" Type="http://schemas.openxmlformats.org/officeDocument/2006/relationships/header" Target="header185.xml"/><Relationship Id="rId408" Type="http://schemas.openxmlformats.org/officeDocument/2006/relationships/footer" Target="footer191.xml"/><Relationship Id="rId212" Type="http://schemas.openxmlformats.org/officeDocument/2006/relationships/footer" Target="footer101.xml"/><Relationship Id="rId254" Type="http://schemas.openxmlformats.org/officeDocument/2006/relationships/footer" Target="footer122.xml"/><Relationship Id="rId49" Type="http://schemas.openxmlformats.org/officeDocument/2006/relationships/footer" Target="footer21.xml"/><Relationship Id="rId114" Type="http://schemas.openxmlformats.org/officeDocument/2006/relationships/footer" Target="footer53.xml"/><Relationship Id="rId296" Type="http://schemas.openxmlformats.org/officeDocument/2006/relationships/footer" Target="footer142.xml"/><Relationship Id="rId461" Type="http://schemas.openxmlformats.org/officeDocument/2006/relationships/hyperlink" Target="http://www.cdc.gov/nip/vfc/" TargetMode="External"/><Relationship Id="rId517" Type="http://schemas.openxmlformats.org/officeDocument/2006/relationships/header" Target="header222.xml"/><Relationship Id="rId60" Type="http://schemas.openxmlformats.org/officeDocument/2006/relationships/footer" Target="footer27.xml"/><Relationship Id="rId156" Type="http://schemas.openxmlformats.org/officeDocument/2006/relationships/footer" Target="footer74.xml"/><Relationship Id="rId198" Type="http://schemas.openxmlformats.org/officeDocument/2006/relationships/footer" Target="footer95.xml"/><Relationship Id="rId321" Type="http://schemas.openxmlformats.org/officeDocument/2006/relationships/footer" Target="footer152.xml"/><Relationship Id="rId363" Type="http://schemas.openxmlformats.org/officeDocument/2006/relationships/header" Target="header171.xml"/><Relationship Id="rId419" Type="http://schemas.openxmlformats.org/officeDocument/2006/relationships/header" Target="header193.xml"/><Relationship Id="rId223" Type="http://schemas.openxmlformats.org/officeDocument/2006/relationships/header" Target="header108.xml"/><Relationship Id="rId430" Type="http://schemas.openxmlformats.org/officeDocument/2006/relationships/hyperlink" Target="http://www.cdc.gov/ncidod/dvbid/index.htm" TargetMode="External"/><Relationship Id="rId18" Type="http://schemas.openxmlformats.org/officeDocument/2006/relationships/header" Target="header7.xml"/><Relationship Id="rId265" Type="http://schemas.openxmlformats.org/officeDocument/2006/relationships/header" Target="header128.xml"/><Relationship Id="rId472" Type="http://schemas.openxmlformats.org/officeDocument/2006/relationships/header" Target="header202.xml"/><Relationship Id="rId528" Type="http://schemas.openxmlformats.org/officeDocument/2006/relationships/header" Target="header226.xml"/><Relationship Id="rId125" Type="http://schemas.openxmlformats.org/officeDocument/2006/relationships/header" Target="header59.xml"/><Relationship Id="rId167" Type="http://schemas.openxmlformats.org/officeDocument/2006/relationships/header" Target="header80.xml"/><Relationship Id="rId332" Type="http://schemas.openxmlformats.org/officeDocument/2006/relationships/footer" Target="footer156.xml"/><Relationship Id="rId374" Type="http://schemas.openxmlformats.org/officeDocument/2006/relationships/header" Target="header176.xml"/><Relationship Id="rId71" Type="http://schemas.openxmlformats.org/officeDocument/2006/relationships/header" Target="header33.xml"/><Relationship Id="rId234" Type="http://schemas.openxmlformats.org/officeDocument/2006/relationships/hyperlink" Target="http://www.cdc.gov/drugresistance/healthcare/" TargetMode="External"/><Relationship Id="rId2" Type="http://schemas.openxmlformats.org/officeDocument/2006/relationships/styles" Target="styles.xml"/><Relationship Id="rId29" Type="http://schemas.openxmlformats.org/officeDocument/2006/relationships/footer" Target="footer11.xml"/><Relationship Id="rId276" Type="http://schemas.openxmlformats.org/officeDocument/2006/relationships/footer" Target="footer132.xml"/><Relationship Id="rId441" Type="http://schemas.openxmlformats.org/officeDocument/2006/relationships/hyperlink" Target="http://www.fda.gov/medwatch" TargetMode="External"/><Relationship Id="rId483" Type="http://schemas.openxmlformats.org/officeDocument/2006/relationships/footer" Target="footer207.xml"/><Relationship Id="rId539" Type="http://schemas.openxmlformats.org/officeDocument/2006/relationships/footer" Target="footer231.xml"/><Relationship Id="rId40" Type="http://schemas.openxmlformats.org/officeDocument/2006/relationships/footer" Target="footer17.xml"/><Relationship Id="rId136" Type="http://schemas.openxmlformats.org/officeDocument/2006/relationships/footer" Target="footer64.xml"/><Relationship Id="rId178" Type="http://schemas.openxmlformats.org/officeDocument/2006/relationships/footer" Target="footer85.xml"/><Relationship Id="rId301" Type="http://schemas.openxmlformats.org/officeDocument/2006/relationships/footer" Target="footer144.xml"/><Relationship Id="rId343" Type="http://schemas.openxmlformats.org/officeDocument/2006/relationships/header" Target="header162.xml"/><Relationship Id="rId82" Type="http://schemas.openxmlformats.org/officeDocument/2006/relationships/header" Target="header39.xml"/><Relationship Id="rId203" Type="http://schemas.openxmlformats.org/officeDocument/2006/relationships/header" Target="header98.xml"/><Relationship Id="rId385" Type="http://schemas.openxmlformats.org/officeDocument/2006/relationships/header" Target="header180.xml"/><Relationship Id="rId245" Type="http://schemas.openxmlformats.org/officeDocument/2006/relationships/footer" Target="footer117.xml"/><Relationship Id="rId287" Type="http://schemas.openxmlformats.org/officeDocument/2006/relationships/footer" Target="footer138.xml"/><Relationship Id="rId410" Type="http://schemas.openxmlformats.org/officeDocument/2006/relationships/hyperlink" Target="http://www.aap.org" TargetMode="External"/><Relationship Id="rId452" Type="http://schemas.openxmlformats.org/officeDocument/2006/relationships/hyperlink" Target="http://www.pedhivaids.org" TargetMode="External"/><Relationship Id="rId494" Type="http://schemas.openxmlformats.org/officeDocument/2006/relationships/header" Target="header212.xml"/><Relationship Id="rId508" Type="http://schemas.openxmlformats.org/officeDocument/2006/relationships/footer" Target="footer217.xml"/><Relationship Id="rId105" Type="http://schemas.openxmlformats.org/officeDocument/2006/relationships/footer" Target="footer49.xml"/><Relationship Id="rId147" Type="http://schemas.openxmlformats.org/officeDocument/2006/relationships/header" Target="header70.xml"/><Relationship Id="rId312" Type="http://schemas.openxmlformats.org/officeDocument/2006/relationships/header" Target="header150.xml"/><Relationship Id="rId354" Type="http://schemas.openxmlformats.org/officeDocument/2006/relationships/footer" Target="footer166.xml"/><Relationship Id="rId51" Type="http://schemas.openxmlformats.org/officeDocument/2006/relationships/header" Target="header23.xml"/><Relationship Id="rId93" Type="http://schemas.openxmlformats.org/officeDocument/2006/relationships/hyperlink" Target="http://www.cdc.gov/std" TargetMode="External"/><Relationship Id="rId189" Type="http://schemas.openxmlformats.org/officeDocument/2006/relationships/footer" Target="footer90.xml"/><Relationship Id="rId396" Type="http://schemas.openxmlformats.org/officeDocument/2006/relationships/footer" Target="footer185.xml"/><Relationship Id="rId214" Type="http://schemas.openxmlformats.org/officeDocument/2006/relationships/header" Target="header103.xml"/><Relationship Id="rId256" Type="http://schemas.openxmlformats.org/officeDocument/2006/relationships/header" Target="header124.xml"/><Relationship Id="rId298" Type="http://schemas.openxmlformats.org/officeDocument/2006/relationships/header" Target="header143.xml"/><Relationship Id="rId421" Type="http://schemas.openxmlformats.org/officeDocument/2006/relationships/footer" Target="footer193.xml"/><Relationship Id="rId463" Type="http://schemas.openxmlformats.org/officeDocument/2006/relationships/hyperlink" Target="http://www.cdc.gov/nip/recs/adult-schedule.htm" TargetMode="External"/><Relationship Id="rId519" Type="http://schemas.openxmlformats.org/officeDocument/2006/relationships/footer" Target="footer222.xml"/><Relationship Id="rId116" Type="http://schemas.openxmlformats.org/officeDocument/2006/relationships/header" Target="header55.xml"/><Relationship Id="rId158" Type="http://schemas.openxmlformats.org/officeDocument/2006/relationships/footer" Target="footer75.xml"/><Relationship Id="rId323" Type="http://schemas.openxmlformats.org/officeDocument/2006/relationships/hyperlink" Target="http://pdrel.thomsonhc.com/pdrel/librarian/action/command.Command" TargetMode="External"/><Relationship Id="rId530" Type="http://schemas.openxmlformats.org/officeDocument/2006/relationships/footer" Target="footer226.xml"/><Relationship Id="rId20" Type="http://schemas.openxmlformats.org/officeDocument/2006/relationships/footer" Target="footer7.xml"/><Relationship Id="rId62" Type="http://schemas.openxmlformats.org/officeDocument/2006/relationships/footer" Target="footer28.xml"/><Relationship Id="rId365" Type="http://schemas.openxmlformats.org/officeDocument/2006/relationships/footer" Target="footer171.xml"/><Relationship Id="rId225" Type="http://schemas.openxmlformats.org/officeDocument/2006/relationships/footer" Target="footer108.xml"/><Relationship Id="rId267" Type="http://schemas.openxmlformats.org/officeDocument/2006/relationships/footer" Target="footer128.xml"/><Relationship Id="rId432" Type="http://schemas.openxmlformats.org/officeDocument/2006/relationships/header" Target="header195.xml"/><Relationship Id="rId474" Type="http://schemas.openxmlformats.org/officeDocument/2006/relationships/footer" Target="footer202.xml"/><Relationship Id="rId127" Type="http://schemas.openxmlformats.org/officeDocument/2006/relationships/footer" Target="footer59.xml"/><Relationship Id="rId31" Type="http://schemas.openxmlformats.org/officeDocument/2006/relationships/header" Target="header13.xml"/><Relationship Id="rId73" Type="http://schemas.openxmlformats.org/officeDocument/2006/relationships/header" Target="header34.xml"/><Relationship Id="rId169" Type="http://schemas.openxmlformats.org/officeDocument/2006/relationships/header" Target="header81.xml"/><Relationship Id="rId334" Type="http://schemas.openxmlformats.org/officeDocument/2006/relationships/header" Target="header158.xml"/><Relationship Id="rId376" Type="http://schemas.openxmlformats.org/officeDocument/2006/relationships/footer" Target="footer176.xml"/><Relationship Id="rId541" Type="http://schemas.openxmlformats.org/officeDocument/2006/relationships/hyperlink" Target="http://www.vaers.org" TargetMode="External"/><Relationship Id="rId4" Type="http://schemas.openxmlformats.org/officeDocument/2006/relationships/webSettings" Target="webSettings.xml"/><Relationship Id="rId180" Type="http://schemas.openxmlformats.org/officeDocument/2006/relationships/header" Target="header87.xml"/><Relationship Id="rId236" Type="http://schemas.openxmlformats.org/officeDocument/2006/relationships/header" Target="header114.xml"/><Relationship Id="rId278" Type="http://schemas.openxmlformats.org/officeDocument/2006/relationships/header" Target="header134.xml"/><Relationship Id="rId401" Type="http://schemas.openxmlformats.org/officeDocument/2006/relationships/header" Target="header188.xml"/><Relationship Id="rId443" Type="http://schemas.openxmlformats.org/officeDocument/2006/relationships/hyperlink" Target="http://www.fda.gov/cber/vaers/vaers.htm" TargetMode="External"/><Relationship Id="rId303" Type="http://schemas.openxmlformats.org/officeDocument/2006/relationships/header" Target="header145.xml"/><Relationship Id="rId485" Type="http://schemas.openxmlformats.org/officeDocument/2006/relationships/header" Target="header209.xml"/><Relationship Id="rId42" Type="http://schemas.openxmlformats.org/officeDocument/2006/relationships/header" Target="header19.xml"/><Relationship Id="rId84" Type="http://schemas.openxmlformats.org/officeDocument/2006/relationships/footer" Target="footer39.xml"/><Relationship Id="rId138" Type="http://schemas.openxmlformats.org/officeDocument/2006/relationships/header" Target="header66.xml"/><Relationship Id="rId345" Type="http://schemas.openxmlformats.org/officeDocument/2006/relationships/footer" Target="footer162.xml"/><Relationship Id="rId387" Type="http://schemas.openxmlformats.org/officeDocument/2006/relationships/footer" Target="footer180.xml"/><Relationship Id="rId510" Type="http://schemas.openxmlformats.org/officeDocument/2006/relationships/header" Target="header219.xml"/><Relationship Id="rId191" Type="http://schemas.openxmlformats.org/officeDocument/2006/relationships/header" Target="header92.xml"/><Relationship Id="rId205" Type="http://schemas.openxmlformats.org/officeDocument/2006/relationships/footer" Target="footer98.xml"/><Relationship Id="rId247" Type="http://schemas.openxmlformats.org/officeDocument/2006/relationships/header" Target="header119.xml"/><Relationship Id="rId412" Type="http://schemas.openxmlformats.org/officeDocument/2006/relationships/hyperlink" Target="http://www.cdc.gov" TargetMode="External"/><Relationship Id="rId107" Type="http://schemas.openxmlformats.org/officeDocument/2006/relationships/header" Target="header51.xml"/><Relationship Id="rId289" Type="http://schemas.openxmlformats.org/officeDocument/2006/relationships/header" Target="header139.xml"/><Relationship Id="rId454" Type="http://schemas.openxmlformats.org/officeDocument/2006/relationships/hyperlink" Target="http://www.pids.org" TargetMode="External"/><Relationship Id="rId496" Type="http://schemas.openxmlformats.org/officeDocument/2006/relationships/footer" Target="footer212.xml"/><Relationship Id="rId11" Type="http://schemas.openxmlformats.org/officeDocument/2006/relationships/header" Target="header3.xml"/><Relationship Id="rId53" Type="http://schemas.openxmlformats.org/officeDocument/2006/relationships/footer" Target="footer23.xml"/><Relationship Id="rId149" Type="http://schemas.openxmlformats.org/officeDocument/2006/relationships/footer" Target="footer70.xml"/><Relationship Id="rId314" Type="http://schemas.openxmlformats.org/officeDocument/2006/relationships/footer" Target="footer150.xml"/><Relationship Id="rId356" Type="http://schemas.openxmlformats.org/officeDocument/2006/relationships/header" Target="header168.xml"/><Relationship Id="rId398" Type="http://schemas.openxmlformats.org/officeDocument/2006/relationships/header" Target="header187.xml"/><Relationship Id="rId521" Type="http://schemas.openxmlformats.org/officeDocument/2006/relationships/hyperlink" Target="http://www.cdc.gov/epo/dphsi/annsum/" TargetMode="External"/><Relationship Id="rId95" Type="http://schemas.openxmlformats.org/officeDocument/2006/relationships/header" Target="header45.xml"/><Relationship Id="rId160" Type="http://schemas.openxmlformats.org/officeDocument/2006/relationships/header" Target="header77.xml"/><Relationship Id="rId216" Type="http://schemas.openxmlformats.org/officeDocument/2006/relationships/footer" Target="footer103.xml"/><Relationship Id="rId423" Type="http://schemas.openxmlformats.org/officeDocument/2006/relationships/hyperlink" Target="http://www.cdc.gov/ncidod/srp/drugservice/index.htmwww.cdc.gov/ncidod" TargetMode="External"/><Relationship Id="rId258" Type="http://schemas.openxmlformats.org/officeDocument/2006/relationships/footer" Target="footer124.xml"/><Relationship Id="rId465" Type="http://schemas.openxmlformats.org/officeDocument/2006/relationships/header" Target="header199.xml"/><Relationship Id="rId22" Type="http://schemas.openxmlformats.org/officeDocument/2006/relationships/footer" Target="footer8.xml"/><Relationship Id="rId64" Type="http://schemas.openxmlformats.org/officeDocument/2006/relationships/header" Target="header30.xml"/><Relationship Id="rId118" Type="http://schemas.openxmlformats.org/officeDocument/2006/relationships/footer" Target="footer55.xml"/><Relationship Id="rId325" Type="http://schemas.openxmlformats.org/officeDocument/2006/relationships/header" Target="header154.xml"/><Relationship Id="rId367" Type="http://schemas.openxmlformats.org/officeDocument/2006/relationships/header" Target="header173.xml"/><Relationship Id="rId532" Type="http://schemas.openxmlformats.org/officeDocument/2006/relationships/header" Target="header228.xml"/><Relationship Id="rId171" Type="http://schemas.openxmlformats.org/officeDocument/2006/relationships/footer" Target="footer81.xml"/><Relationship Id="rId227" Type="http://schemas.openxmlformats.org/officeDocument/2006/relationships/footer" Target="footer109.xml"/><Relationship Id="rId269" Type="http://schemas.openxmlformats.org/officeDocument/2006/relationships/header" Target="header130.xml"/><Relationship Id="rId434" Type="http://schemas.openxmlformats.org/officeDocument/2006/relationships/footer" Target="footer195.xml"/><Relationship Id="rId476" Type="http://schemas.openxmlformats.org/officeDocument/2006/relationships/header" Target="header204.xml"/><Relationship Id="rId33" Type="http://schemas.openxmlformats.org/officeDocument/2006/relationships/footer" Target="footer13.xml"/><Relationship Id="rId129" Type="http://schemas.openxmlformats.org/officeDocument/2006/relationships/header" Target="header61.xml"/><Relationship Id="rId280" Type="http://schemas.openxmlformats.org/officeDocument/2006/relationships/header" Target="header135.xml"/><Relationship Id="rId336" Type="http://schemas.openxmlformats.org/officeDocument/2006/relationships/footer" Target="footer158.xml"/><Relationship Id="rId501" Type="http://schemas.openxmlformats.org/officeDocument/2006/relationships/footer" Target="footer214.xml"/><Relationship Id="rId543" Type="http://schemas.openxmlformats.org/officeDocument/2006/relationships/fontTable" Target="fontTable.xml"/><Relationship Id="rId75" Type="http://schemas.openxmlformats.org/officeDocument/2006/relationships/footer" Target="footer34.xml"/><Relationship Id="rId140" Type="http://schemas.openxmlformats.org/officeDocument/2006/relationships/footer" Target="footer66.xml"/><Relationship Id="rId182" Type="http://schemas.openxmlformats.org/officeDocument/2006/relationships/footer" Target="footer87.xml"/><Relationship Id="rId378" Type="http://schemas.openxmlformats.org/officeDocument/2006/relationships/hyperlink" Target="http://www.fda.gov/medwatch" TargetMode="External"/><Relationship Id="rId403" Type="http://schemas.openxmlformats.org/officeDocument/2006/relationships/footer" Target="footer188.xml"/><Relationship Id="rId6" Type="http://schemas.openxmlformats.org/officeDocument/2006/relationships/endnotes" Target="endnotes.xml"/><Relationship Id="rId238" Type="http://schemas.openxmlformats.org/officeDocument/2006/relationships/footer" Target="footer114.xml"/><Relationship Id="rId445" Type="http://schemas.openxmlformats.org/officeDocument/2006/relationships/hyperlink" Target="http://www.idsociety.org" TargetMode="External"/><Relationship Id="rId487" Type="http://schemas.openxmlformats.org/officeDocument/2006/relationships/footer" Target="footer209.xml"/><Relationship Id="rId291" Type="http://schemas.openxmlformats.org/officeDocument/2006/relationships/footer" Target="footer139.xml"/><Relationship Id="rId305" Type="http://schemas.openxmlformats.org/officeDocument/2006/relationships/footer" Target="footer145.xml"/><Relationship Id="rId347" Type="http://schemas.openxmlformats.org/officeDocument/2006/relationships/header" Target="header163.xml"/><Relationship Id="rId512" Type="http://schemas.openxmlformats.org/officeDocument/2006/relationships/footer" Target="footer219.xml"/><Relationship Id="rId44" Type="http://schemas.openxmlformats.org/officeDocument/2006/relationships/footer" Target="footer19.xml"/><Relationship Id="rId86" Type="http://schemas.openxmlformats.org/officeDocument/2006/relationships/footer" Target="footer40.xml"/><Relationship Id="rId151" Type="http://schemas.openxmlformats.org/officeDocument/2006/relationships/header" Target="header72.xml"/><Relationship Id="rId389" Type="http://schemas.openxmlformats.org/officeDocument/2006/relationships/header" Target="header182.xml"/><Relationship Id="rId193" Type="http://schemas.openxmlformats.org/officeDocument/2006/relationships/footer" Target="footer92.xml"/><Relationship Id="rId207" Type="http://schemas.openxmlformats.org/officeDocument/2006/relationships/header" Target="header100.xml"/><Relationship Id="rId249" Type="http://schemas.openxmlformats.org/officeDocument/2006/relationships/footer" Target="footer119.xml"/><Relationship Id="rId414" Type="http://schemas.openxmlformats.org/officeDocument/2006/relationships/hyperlink" Target="http://www.cdc.gov/ncidod/dpd/default.htm" TargetMode="External"/><Relationship Id="rId456" Type="http://schemas.openxmlformats.org/officeDocument/2006/relationships/header" Target="header196.xml"/><Relationship Id="rId498" Type="http://schemas.openxmlformats.org/officeDocument/2006/relationships/hyperlink" Target="http://www.immunize.org/laws/" TargetMode="External"/><Relationship Id="rId13" Type="http://schemas.openxmlformats.org/officeDocument/2006/relationships/header" Target="header4.xml"/><Relationship Id="rId109" Type="http://schemas.openxmlformats.org/officeDocument/2006/relationships/footer" Target="footer51.xml"/><Relationship Id="rId260" Type="http://schemas.openxmlformats.org/officeDocument/2006/relationships/header" Target="header125.xml"/><Relationship Id="rId316" Type="http://schemas.openxmlformats.org/officeDocument/2006/relationships/hyperlink" Target="http://pdrel.thomsonhc.com/pdrel/librarian/action/command.Command" TargetMode="External"/><Relationship Id="rId523" Type="http://schemas.openxmlformats.org/officeDocument/2006/relationships/header" Target="header224.xml"/><Relationship Id="rId55" Type="http://schemas.openxmlformats.org/officeDocument/2006/relationships/header" Target="header25.xml"/><Relationship Id="rId97" Type="http://schemas.openxmlformats.org/officeDocument/2006/relationships/footer" Target="footer45.xml"/><Relationship Id="rId120" Type="http://schemas.openxmlformats.org/officeDocument/2006/relationships/image" Target="media/image1.jpeg"/><Relationship Id="rId358" Type="http://schemas.openxmlformats.org/officeDocument/2006/relationships/footer" Target="footer168.xml"/><Relationship Id="rId162" Type="http://schemas.openxmlformats.org/officeDocument/2006/relationships/footer" Target="footer77.xml"/><Relationship Id="rId218" Type="http://schemas.openxmlformats.org/officeDocument/2006/relationships/header" Target="header105.xml"/><Relationship Id="rId425" Type="http://schemas.openxmlformats.org/officeDocument/2006/relationships/hyperlink" Target="http://www.cdc.gov/nip" TargetMode="External"/><Relationship Id="rId467" Type="http://schemas.openxmlformats.org/officeDocument/2006/relationships/footer" Target="footer199.xml"/><Relationship Id="rId271" Type="http://schemas.openxmlformats.org/officeDocument/2006/relationships/footer" Target="footer130.xml"/><Relationship Id="rId24" Type="http://schemas.openxmlformats.org/officeDocument/2006/relationships/header" Target="header10.xml"/><Relationship Id="rId66" Type="http://schemas.openxmlformats.org/officeDocument/2006/relationships/footer" Target="footer30.xml"/><Relationship Id="rId131" Type="http://schemas.openxmlformats.org/officeDocument/2006/relationships/footer" Target="footer61.xml"/><Relationship Id="rId327" Type="http://schemas.openxmlformats.org/officeDocument/2006/relationships/footer" Target="footer154.xml"/><Relationship Id="rId369" Type="http://schemas.openxmlformats.org/officeDocument/2006/relationships/footer" Target="footer173.xml"/><Relationship Id="rId534" Type="http://schemas.openxmlformats.org/officeDocument/2006/relationships/footer" Target="footer228.xml"/><Relationship Id="rId173" Type="http://schemas.openxmlformats.org/officeDocument/2006/relationships/header" Target="header83.xml"/><Relationship Id="rId229" Type="http://schemas.openxmlformats.org/officeDocument/2006/relationships/header" Target="header111.xml"/><Relationship Id="rId380" Type="http://schemas.openxmlformats.org/officeDocument/2006/relationships/header" Target="header178.xml"/><Relationship Id="rId436" Type="http://schemas.openxmlformats.org/officeDocument/2006/relationships/hyperlink" Target="http://www.cdc.gov/epo/mmwr/preview/" TargetMode="External"/><Relationship Id="rId240" Type="http://schemas.openxmlformats.org/officeDocument/2006/relationships/header" Target="header116.xml"/><Relationship Id="rId478" Type="http://schemas.openxmlformats.org/officeDocument/2006/relationships/footer" Target="footer204.xml"/><Relationship Id="rId35" Type="http://schemas.openxmlformats.org/officeDocument/2006/relationships/header" Target="header15.xml"/><Relationship Id="rId77" Type="http://schemas.openxmlformats.org/officeDocument/2006/relationships/header" Target="header36.xml"/><Relationship Id="rId100" Type="http://schemas.openxmlformats.org/officeDocument/2006/relationships/header" Target="header47.xml"/><Relationship Id="rId282" Type="http://schemas.openxmlformats.org/officeDocument/2006/relationships/footer" Target="footer135.xml"/><Relationship Id="rId338" Type="http://schemas.openxmlformats.org/officeDocument/2006/relationships/header" Target="header160.xml"/><Relationship Id="rId503" Type="http://schemas.openxmlformats.org/officeDocument/2006/relationships/hyperlink" Target="https://www2.cdc.gov/nchstp_od/PIWeb/niporderform.asp" TargetMode="External"/><Relationship Id="rId8" Type="http://schemas.openxmlformats.org/officeDocument/2006/relationships/header" Target="header2.xml"/><Relationship Id="rId142" Type="http://schemas.openxmlformats.org/officeDocument/2006/relationships/header" Target="header68.xml"/><Relationship Id="rId184" Type="http://schemas.openxmlformats.org/officeDocument/2006/relationships/header" Target="header89.xml"/><Relationship Id="rId391" Type="http://schemas.openxmlformats.org/officeDocument/2006/relationships/footer" Target="footer182.xml"/><Relationship Id="rId405" Type="http://schemas.openxmlformats.org/officeDocument/2006/relationships/header" Target="header190.xml"/><Relationship Id="rId447" Type="http://schemas.openxmlformats.org/officeDocument/2006/relationships/hyperlink" Target="http://www.nih.gov" TargetMode="External"/><Relationship Id="rId251" Type="http://schemas.openxmlformats.org/officeDocument/2006/relationships/header" Target="header121.xml"/><Relationship Id="rId489" Type="http://schemas.openxmlformats.org/officeDocument/2006/relationships/header" Target="header211.xml"/><Relationship Id="rId46" Type="http://schemas.openxmlformats.org/officeDocument/2006/relationships/footer" Target="footer20.xml"/><Relationship Id="rId293" Type="http://schemas.openxmlformats.org/officeDocument/2006/relationships/header" Target="header141.xml"/><Relationship Id="rId307" Type="http://schemas.openxmlformats.org/officeDocument/2006/relationships/header" Target="header147.xml"/><Relationship Id="rId349" Type="http://schemas.openxmlformats.org/officeDocument/2006/relationships/footer" Target="footer163.xml"/><Relationship Id="rId514" Type="http://schemas.openxmlformats.org/officeDocument/2006/relationships/header" Target="header221.xml"/><Relationship Id="rId88" Type="http://schemas.openxmlformats.org/officeDocument/2006/relationships/header" Target="header42.xml"/><Relationship Id="rId111" Type="http://schemas.openxmlformats.org/officeDocument/2006/relationships/footer" Target="footer52.xml"/><Relationship Id="rId153" Type="http://schemas.openxmlformats.org/officeDocument/2006/relationships/header" Target="header73.xml"/><Relationship Id="rId195" Type="http://schemas.openxmlformats.org/officeDocument/2006/relationships/header" Target="header94.xml"/><Relationship Id="rId209" Type="http://schemas.openxmlformats.org/officeDocument/2006/relationships/footer" Target="footer100.xml"/><Relationship Id="rId360" Type="http://schemas.openxmlformats.org/officeDocument/2006/relationships/header" Target="header170.xml"/><Relationship Id="rId416" Type="http://schemas.openxmlformats.org/officeDocument/2006/relationships/hyperlink" Target="http://www.cdc.gov/ncidod/diseases/hepatitis" TargetMode="External"/><Relationship Id="rId220" Type="http://schemas.openxmlformats.org/officeDocument/2006/relationships/footer" Target="footer105.xml"/><Relationship Id="rId458" Type="http://schemas.openxmlformats.org/officeDocument/2006/relationships/footer" Target="footer196.xml"/><Relationship Id="rId15" Type="http://schemas.openxmlformats.org/officeDocument/2006/relationships/footer" Target="footer4.xml"/><Relationship Id="rId57" Type="http://schemas.openxmlformats.org/officeDocument/2006/relationships/header" Target="header26.xml"/><Relationship Id="rId262" Type="http://schemas.openxmlformats.org/officeDocument/2006/relationships/footer" Target="footer125.xml"/><Relationship Id="rId318" Type="http://schemas.openxmlformats.org/officeDocument/2006/relationships/header" Target="header151.xml"/><Relationship Id="rId525" Type="http://schemas.openxmlformats.org/officeDocument/2006/relationships/footer" Target="footer224.xml"/><Relationship Id="rId99" Type="http://schemas.openxmlformats.org/officeDocument/2006/relationships/footer" Target="footer46.xml"/><Relationship Id="rId122" Type="http://schemas.openxmlformats.org/officeDocument/2006/relationships/header" Target="header58.xml"/><Relationship Id="rId164" Type="http://schemas.openxmlformats.org/officeDocument/2006/relationships/header" Target="header79.xml"/><Relationship Id="rId371" Type="http://schemas.openxmlformats.org/officeDocument/2006/relationships/hyperlink" Target="http://www.hivatis.org" TargetMode="External"/><Relationship Id="rId427" Type="http://schemas.openxmlformats.org/officeDocument/2006/relationships/hyperlink" Target="http://www.cdc.gov/od/nvpo/vacsafe.htm" TargetMode="External"/><Relationship Id="rId469" Type="http://schemas.openxmlformats.org/officeDocument/2006/relationships/header" Target="header201.xml"/><Relationship Id="rId26" Type="http://schemas.openxmlformats.org/officeDocument/2006/relationships/footer" Target="footer10.xml"/><Relationship Id="rId231" Type="http://schemas.openxmlformats.org/officeDocument/2006/relationships/footer" Target="footer111.xml"/><Relationship Id="rId273" Type="http://schemas.openxmlformats.org/officeDocument/2006/relationships/footer" Target="footer131.xml"/><Relationship Id="rId329" Type="http://schemas.openxmlformats.org/officeDocument/2006/relationships/header" Target="header155.xml"/><Relationship Id="rId480" Type="http://schemas.openxmlformats.org/officeDocument/2006/relationships/header" Target="header206.xml"/><Relationship Id="rId536" Type="http://schemas.openxmlformats.org/officeDocument/2006/relationships/header" Target="header230.xml"/><Relationship Id="rId68" Type="http://schemas.openxmlformats.org/officeDocument/2006/relationships/header" Target="header32.xml"/><Relationship Id="rId133" Type="http://schemas.openxmlformats.org/officeDocument/2006/relationships/header" Target="header63.xml"/><Relationship Id="rId175" Type="http://schemas.openxmlformats.org/officeDocument/2006/relationships/header" Target="header84.xml"/><Relationship Id="rId340" Type="http://schemas.openxmlformats.org/officeDocument/2006/relationships/footer" Target="footer160.xml"/><Relationship Id="rId200" Type="http://schemas.openxmlformats.org/officeDocument/2006/relationships/footer" Target="footer96.xml"/><Relationship Id="rId382" Type="http://schemas.openxmlformats.org/officeDocument/2006/relationships/footer" Target="footer178.xml"/><Relationship Id="rId438" Type="http://schemas.openxmlformats.org/officeDocument/2006/relationships/hyperlink" Target="http://www.fda.gov/cber" TargetMode="External"/><Relationship Id="rId242" Type="http://schemas.openxmlformats.org/officeDocument/2006/relationships/footer" Target="footer116.xml"/><Relationship Id="rId284" Type="http://schemas.openxmlformats.org/officeDocument/2006/relationships/header" Target="header137.xml"/><Relationship Id="rId491" Type="http://schemas.openxmlformats.org/officeDocument/2006/relationships/footer" Target="footer211.xml"/><Relationship Id="rId505" Type="http://schemas.openxmlformats.org/officeDocument/2006/relationships/header" Target="header216.xml"/><Relationship Id="rId37" Type="http://schemas.openxmlformats.org/officeDocument/2006/relationships/header" Target="header16.xml"/><Relationship Id="rId79" Type="http://schemas.openxmlformats.org/officeDocument/2006/relationships/footer" Target="footer36.xml"/><Relationship Id="rId102" Type="http://schemas.openxmlformats.org/officeDocument/2006/relationships/footer" Target="footer47.xml"/><Relationship Id="rId144" Type="http://schemas.openxmlformats.org/officeDocument/2006/relationships/footer" Target="footer68.xml"/><Relationship Id="rId90" Type="http://schemas.openxmlformats.org/officeDocument/2006/relationships/footer" Target="footer42.xml"/><Relationship Id="rId186" Type="http://schemas.openxmlformats.org/officeDocument/2006/relationships/footer" Target="footer89.xml"/><Relationship Id="rId351" Type="http://schemas.openxmlformats.org/officeDocument/2006/relationships/header" Target="header165.xml"/><Relationship Id="rId393" Type="http://schemas.openxmlformats.org/officeDocument/2006/relationships/header" Target="header184.xml"/><Relationship Id="rId407" Type="http://schemas.openxmlformats.org/officeDocument/2006/relationships/footer" Target="footer190.xml"/><Relationship Id="rId449" Type="http://schemas.openxmlformats.org/officeDocument/2006/relationships/hyperlink" Target="http://www.peds.uab.edu/casg" TargetMode="External"/><Relationship Id="rId211" Type="http://schemas.openxmlformats.org/officeDocument/2006/relationships/header" Target="header102.xml"/><Relationship Id="rId253" Type="http://schemas.openxmlformats.org/officeDocument/2006/relationships/footer" Target="footer121.xml"/><Relationship Id="rId295" Type="http://schemas.openxmlformats.org/officeDocument/2006/relationships/footer" Target="footer141.xml"/><Relationship Id="rId309" Type="http://schemas.openxmlformats.org/officeDocument/2006/relationships/footer" Target="footer147.xml"/><Relationship Id="rId460" Type="http://schemas.openxmlformats.org/officeDocument/2006/relationships/hyperlink" Target="http://www.aap.org" TargetMode="External"/><Relationship Id="rId516" Type="http://schemas.openxmlformats.org/officeDocument/2006/relationships/footer" Target="footer221.xml"/><Relationship Id="rId48" Type="http://schemas.openxmlformats.org/officeDocument/2006/relationships/header" Target="header22.xml"/><Relationship Id="rId113" Type="http://schemas.openxmlformats.org/officeDocument/2006/relationships/header" Target="header54.xml"/><Relationship Id="rId320" Type="http://schemas.openxmlformats.org/officeDocument/2006/relationships/footer" Target="footer151.xml"/><Relationship Id="rId155" Type="http://schemas.openxmlformats.org/officeDocument/2006/relationships/footer" Target="footer73.xml"/><Relationship Id="rId197" Type="http://schemas.openxmlformats.org/officeDocument/2006/relationships/footer" Target="footer94.xml"/><Relationship Id="rId362" Type="http://schemas.openxmlformats.org/officeDocument/2006/relationships/footer" Target="footer170.xml"/><Relationship Id="rId418" Type="http://schemas.openxmlformats.org/officeDocument/2006/relationships/header" Target="header192.xml"/><Relationship Id="rId222" Type="http://schemas.openxmlformats.org/officeDocument/2006/relationships/header" Target="header107.xml"/><Relationship Id="rId264" Type="http://schemas.openxmlformats.org/officeDocument/2006/relationships/header" Target="header127.xml"/><Relationship Id="rId471" Type="http://schemas.openxmlformats.org/officeDocument/2006/relationships/footer" Target="footer201.xml"/><Relationship Id="rId17" Type="http://schemas.openxmlformats.org/officeDocument/2006/relationships/header" Target="header6.xml"/><Relationship Id="rId59" Type="http://schemas.openxmlformats.org/officeDocument/2006/relationships/footer" Target="footer26.xml"/><Relationship Id="rId124" Type="http://schemas.openxmlformats.org/officeDocument/2006/relationships/footer" Target="footer58.xml"/><Relationship Id="rId527" Type="http://schemas.openxmlformats.org/officeDocument/2006/relationships/hyperlink" Target="http://www.cdc.gov/nsad/docs/d000701-d000800/" TargetMode="External"/><Relationship Id="rId70" Type="http://schemas.openxmlformats.org/officeDocument/2006/relationships/footer" Target="footer32.xml"/><Relationship Id="rId166" Type="http://schemas.openxmlformats.org/officeDocument/2006/relationships/footer" Target="footer79.xml"/><Relationship Id="rId331" Type="http://schemas.openxmlformats.org/officeDocument/2006/relationships/footer" Target="footer155.xml"/><Relationship Id="rId373" Type="http://schemas.openxmlformats.org/officeDocument/2006/relationships/header" Target="header175.xml"/><Relationship Id="rId429" Type="http://schemas.openxmlformats.org/officeDocument/2006/relationships/hyperlink" Target="http://www.cdc.gov/publications.htm%23soft" TargetMode="External"/><Relationship Id="rId1" Type="http://schemas.openxmlformats.org/officeDocument/2006/relationships/numbering" Target="numbering.xml"/><Relationship Id="rId233" Type="http://schemas.openxmlformats.org/officeDocument/2006/relationships/footer" Target="footer112.xml"/><Relationship Id="rId440" Type="http://schemas.openxmlformats.org/officeDocument/2006/relationships/hyperlink" Target="http://www.fda.gov/oashi/aids/hiv.html" TargetMode="External"/><Relationship Id="rId28" Type="http://schemas.openxmlformats.org/officeDocument/2006/relationships/header" Target="header12.xml"/><Relationship Id="rId275" Type="http://schemas.openxmlformats.org/officeDocument/2006/relationships/header" Target="header133.xml"/><Relationship Id="rId300" Type="http://schemas.openxmlformats.org/officeDocument/2006/relationships/footer" Target="footer143.xml"/><Relationship Id="rId482" Type="http://schemas.openxmlformats.org/officeDocument/2006/relationships/footer" Target="footer206.xml"/><Relationship Id="rId538" Type="http://schemas.openxmlformats.org/officeDocument/2006/relationships/footer" Target="footer230.xml"/><Relationship Id="rId81" Type="http://schemas.openxmlformats.org/officeDocument/2006/relationships/header" Target="header38.xml"/><Relationship Id="rId135" Type="http://schemas.openxmlformats.org/officeDocument/2006/relationships/footer" Target="footer63.xml"/><Relationship Id="rId177" Type="http://schemas.openxmlformats.org/officeDocument/2006/relationships/footer" Target="footer84.xml"/><Relationship Id="rId342" Type="http://schemas.openxmlformats.org/officeDocument/2006/relationships/header" Target="header161.xml"/><Relationship Id="rId384" Type="http://schemas.openxmlformats.org/officeDocument/2006/relationships/footer" Target="footer179.xml"/><Relationship Id="rId202" Type="http://schemas.openxmlformats.org/officeDocument/2006/relationships/header" Target="header97.xml"/><Relationship Id="rId244" Type="http://schemas.openxmlformats.org/officeDocument/2006/relationships/header" Target="header118.xml"/><Relationship Id="rId39" Type="http://schemas.openxmlformats.org/officeDocument/2006/relationships/footer" Target="footer16.xml"/><Relationship Id="rId286" Type="http://schemas.openxmlformats.org/officeDocument/2006/relationships/footer" Target="footer137.xml"/><Relationship Id="rId451" Type="http://schemas.openxmlformats.org/officeDocument/2006/relationships/hyperlink" Target="http://www.immunizationinfo.org" TargetMode="External"/><Relationship Id="rId493" Type="http://schemas.openxmlformats.org/officeDocument/2006/relationships/hyperlink" Target="http://www.hrsa.gov/osp/vicp" TargetMode="External"/><Relationship Id="rId507" Type="http://schemas.openxmlformats.org/officeDocument/2006/relationships/footer" Target="footer216.xml"/><Relationship Id="rId50" Type="http://schemas.openxmlformats.org/officeDocument/2006/relationships/footer" Target="footer22.xml"/><Relationship Id="rId104" Type="http://schemas.openxmlformats.org/officeDocument/2006/relationships/header" Target="header49.xml"/><Relationship Id="rId146" Type="http://schemas.openxmlformats.org/officeDocument/2006/relationships/footer" Target="footer69.xml"/><Relationship Id="rId188" Type="http://schemas.openxmlformats.org/officeDocument/2006/relationships/header" Target="header91.xml"/><Relationship Id="rId311" Type="http://schemas.openxmlformats.org/officeDocument/2006/relationships/header" Target="header149.xml"/><Relationship Id="rId353" Type="http://schemas.openxmlformats.org/officeDocument/2006/relationships/footer" Target="footer165.xml"/><Relationship Id="rId395" Type="http://schemas.openxmlformats.org/officeDocument/2006/relationships/footer" Target="footer184.xml"/><Relationship Id="rId409" Type="http://schemas.openxmlformats.org/officeDocument/2006/relationships/hyperlink" Target="http://www.aidsinfo.nih.gov" TargetMode="External"/><Relationship Id="rId92" Type="http://schemas.openxmlformats.org/officeDocument/2006/relationships/footer" Target="footer43.xml"/><Relationship Id="rId213" Type="http://schemas.openxmlformats.org/officeDocument/2006/relationships/footer" Target="footer102.xml"/><Relationship Id="rId420" Type="http://schemas.openxmlformats.org/officeDocument/2006/relationships/footer" Target="footer192.xml"/><Relationship Id="rId255" Type="http://schemas.openxmlformats.org/officeDocument/2006/relationships/header" Target="header123.xml"/><Relationship Id="rId297" Type="http://schemas.openxmlformats.org/officeDocument/2006/relationships/hyperlink" Target="http://pdrel.thomsonhc.com/pdrel/librarian/action/command.Command" TargetMode="External"/><Relationship Id="rId462" Type="http://schemas.openxmlformats.org/officeDocument/2006/relationships/hyperlink" Target="http://www.cdc.gov/nip/ed/" TargetMode="External"/><Relationship Id="rId518" Type="http://schemas.openxmlformats.org/officeDocument/2006/relationships/header" Target="header223.xml"/><Relationship Id="rId115" Type="http://schemas.openxmlformats.org/officeDocument/2006/relationships/footer" Target="footer54.xml"/><Relationship Id="rId157" Type="http://schemas.openxmlformats.org/officeDocument/2006/relationships/header" Target="header75.xml"/><Relationship Id="rId322" Type="http://schemas.openxmlformats.org/officeDocument/2006/relationships/hyperlink" Target="http://www.aidsinfo.nih.gov" TargetMode="External"/><Relationship Id="rId364" Type="http://schemas.openxmlformats.org/officeDocument/2006/relationships/header" Target="header172.xml"/><Relationship Id="rId61" Type="http://schemas.openxmlformats.org/officeDocument/2006/relationships/header" Target="header28.xml"/><Relationship Id="rId199" Type="http://schemas.openxmlformats.org/officeDocument/2006/relationships/header" Target="header96.xml"/><Relationship Id="rId19" Type="http://schemas.openxmlformats.org/officeDocument/2006/relationships/footer" Target="footer6.xml"/><Relationship Id="rId224" Type="http://schemas.openxmlformats.org/officeDocument/2006/relationships/footer" Target="footer107.xml"/><Relationship Id="rId266" Type="http://schemas.openxmlformats.org/officeDocument/2006/relationships/footer" Target="footer127.xml"/><Relationship Id="rId431" Type="http://schemas.openxmlformats.org/officeDocument/2006/relationships/header" Target="header194.xml"/><Relationship Id="rId473" Type="http://schemas.openxmlformats.org/officeDocument/2006/relationships/header" Target="header203.xml"/><Relationship Id="rId529" Type="http://schemas.openxmlformats.org/officeDocument/2006/relationships/header" Target="header227.xml"/><Relationship Id="rId30" Type="http://schemas.openxmlformats.org/officeDocument/2006/relationships/footer" Target="footer12.xml"/><Relationship Id="rId126" Type="http://schemas.openxmlformats.org/officeDocument/2006/relationships/header" Target="header60.xml"/><Relationship Id="rId168" Type="http://schemas.openxmlformats.org/officeDocument/2006/relationships/footer" Target="footer80.xml"/><Relationship Id="rId333" Type="http://schemas.openxmlformats.org/officeDocument/2006/relationships/header" Target="header157.xml"/><Relationship Id="rId540" Type="http://schemas.openxmlformats.org/officeDocument/2006/relationships/hyperlink" Target="http://www.cdc.gov/nip" TargetMode="External"/><Relationship Id="rId72" Type="http://schemas.openxmlformats.org/officeDocument/2006/relationships/footer" Target="footer33.xml"/><Relationship Id="rId375" Type="http://schemas.openxmlformats.org/officeDocument/2006/relationships/footer" Target="footer175.xml"/><Relationship Id="rId3" Type="http://schemas.openxmlformats.org/officeDocument/2006/relationships/settings" Target="settings.xml"/><Relationship Id="rId235" Type="http://schemas.openxmlformats.org/officeDocument/2006/relationships/header" Target="header113.xml"/><Relationship Id="rId277" Type="http://schemas.openxmlformats.org/officeDocument/2006/relationships/footer" Target="footer133.xml"/><Relationship Id="rId400" Type="http://schemas.openxmlformats.org/officeDocument/2006/relationships/footer" Target="footer187.xml"/><Relationship Id="rId442" Type="http://schemas.openxmlformats.org/officeDocument/2006/relationships/hyperlink" Target="http://www.fda.gov/fdac/reprints/vaccine.html" TargetMode="External"/><Relationship Id="rId484" Type="http://schemas.openxmlformats.org/officeDocument/2006/relationships/header" Target="header208.xml"/><Relationship Id="rId137" Type="http://schemas.openxmlformats.org/officeDocument/2006/relationships/header" Target="header65.xml"/><Relationship Id="rId302" Type="http://schemas.openxmlformats.org/officeDocument/2006/relationships/hyperlink" Target="http://pdrel.thomsonhc.com/pdrel/librarian/action/command.Command" TargetMode="External"/><Relationship Id="rId344" Type="http://schemas.openxmlformats.org/officeDocument/2006/relationships/footer" Target="footer161.xml"/><Relationship Id="rId41" Type="http://schemas.openxmlformats.org/officeDocument/2006/relationships/header" Target="header18.xml"/><Relationship Id="rId83" Type="http://schemas.openxmlformats.org/officeDocument/2006/relationships/footer" Target="footer38.xml"/><Relationship Id="rId179" Type="http://schemas.openxmlformats.org/officeDocument/2006/relationships/header" Target="header86.xml"/><Relationship Id="rId386" Type="http://schemas.openxmlformats.org/officeDocument/2006/relationships/header" Target="header181.xml"/><Relationship Id="rId190" Type="http://schemas.openxmlformats.org/officeDocument/2006/relationships/footer" Target="footer91.xml"/><Relationship Id="rId204" Type="http://schemas.openxmlformats.org/officeDocument/2006/relationships/footer" Target="footer97.xml"/><Relationship Id="rId246" Type="http://schemas.openxmlformats.org/officeDocument/2006/relationships/footer" Target="footer118.xml"/><Relationship Id="rId288" Type="http://schemas.openxmlformats.org/officeDocument/2006/relationships/hyperlink" Target="http://pdrel.thomsonhc.com/pdrel/librarian/action/command.Command" TargetMode="External"/><Relationship Id="rId411" Type="http://schemas.openxmlformats.org/officeDocument/2006/relationships/hyperlink" Target="http://www.cps.ca" TargetMode="External"/><Relationship Id="rId453" Type="http://schemas.openxmlformats.org/officeDocument/2006/relationships/hyperlink" Target="http://www.cdc.gov/od/nvpo" TargetMode="External"/><Relationship Id="rId509" Type="http://schemas.openxmlformats.org/officeDocument/2006/relationships/header" Target="header218.xml"/><Relationship Id="rId106" Type="http://schemas.openxmlformats.org/officeDocument/2006/relationships/header" Target="header50.xml"/><Relationship Id="rId313" Type="http://schemas.openxmlformats.org/officeDocument/2006/relationships/footer" Target="footer149.xml"/><Relationship Id="rId495" Type="http://schemas.openxmlformats.org/officeDocument/2006/relationships/header" Target="header213.xml"/><Relationship Id="rId10" Type="http://schemas.openxmlformats.org/officeDocument/2006/relationships/footer" Target="footer2.xml"/><Relationship Id="rId52" Type="http://schemas.openxmlformats.org/officeDocument/2006/relationships/header" Target="header24.xml"/><Relationship Id="rId94" Type="http://schemas.openxmlformats.org/officeDocument/2006/relationships/header" Target="header44.xml"/><Relationship Id="rId148" Type="http://schemas.openxmlformats.org/officeDocument/2006/relationships/header" Target="header71.xml"/><Relationship Id="rId355" Type="http://schemas.openxmlformats.org/officeDocument/2006/relationships/header" Target="header167.xml"/><Relationship Id="rId397" Type="http://schemas.openxmlformats.org/officeDocument/2006/relationships/header" Target="header186.xml"/><Relationship Id="rId520" Type="http://schemas.openxmlformats.org/officeDocument/2006/relationships/footer" Target="footer223.xml"/><Relationship Id="rId215" Type="http://schemas.openxmlformats.org/officeDocument/2006/relationships/header" Target="header104.xml"/><Relationship Id="rId257" Type="http://schemas.openxmlformats.org/officeDocument/2006/relationships/footer" Target="footer123.xml"/><Relationship Id="rId422" Type="http://schemas.openxmlformats.org/officeDocument/2006/relationships/hyperlink" Target="http://www.cdc.gov/ncidod/srp/drugservice/index.htm" TargetMode="External"/><Relationship Id="rId464" Type="http://schemas.openxmlformats.org/officeDocument/2006/relationships/header" Target="header198.xml"/><Relationship Id="rId299" Type="http://schemas.openxmlformats.org/officeDocument/2006/relationships/header" Target="header144.xml"/><Relationship Id="rId63" Type="http://schemas.openxmlformats.org/officeDocument/2006/relationships/header" Target="header29.xml"/><Relationship Id="rId159" Type="http://schemas.openxmlformats.org/officeDocument/2006/relationships/header" Target="header76.xml"/><Relationship Id="rId366" Type="http://schemas.openxmlformats.org/officeDocument/2006/relationships/footer" Target="footer172.xml"/><Relationship Id="rId226" Type="http://schemas.openxmlformats.org/officeDocument/2006/relationships/header" Target="header109.xml"/><Relationship Id="rId433" Type="http://schemas.openxmlformats.org/officeDocument/2006/relationships/footer" Target="footer194.xml"/><Relationship Id="rId74" Type="http://schemas.openxmlformats.org/officeDocument/2006/relationships/header" Target="header35.xml"/><Relationship Id="rId377" Type="http://schemas.openxmlformats.org/officeDocument/2006/relationships/hyperlink" Target="http://www.fda.gov/cber/vaers/report.htm" TargetMode="External"/><Relationship Id="rId500" Type="http://schemas.openxmlformats.org/officeDocument/2006/relationships/header" Target="header215.xml"/><Relationship Id="rId5" Type="http://schemas.openxmlformats.org/officeDocument/2006/relationships/footnotes" Target="footnotes.xml"/><Relationship Id="rId237" Type="http://schemas.openxmlformats.org/officeDocument/2006/relationships/footer" Target="footer113.xml"/><Relationship Id="rId444" Type="http://schemas.openxmlformats.org/officeDocument/2006/relationships/hyperlink" Target="http://www.immunize.org" TargetMode="External"/><Relationship Id="rId290" Type="http://schemas.openxmlformats.org/officeDocument/2006/relationships/header" Target="header140.xml"/><Relationship Id="rId304" Type="http://schemas.openxmlformats.org/officeDocument/2006/relationships/header" Target="header146.xml"/><Relationship Id="rId388" Type="http://schemas.openxmlformats.org/officeDocument/2006/relationships/footer" Target="footer181.xml"/><Relationship Id="rId511" Type="http://schemas.openxmlformats.org/officeDocument/2006/relationships/footer" Target="footer218.xml"/></Relationships>
</file>

<file path=word/_rels/footnotes.xml.rels><?xml version="1.0" encoding="UTF-8" standalone="yes"?>
<Relationships xmlns="http://schemas.openxmlformats.org/package/2006/relationships"><Relationship Id="rId3" Type="http://schemas.openxmlformats.org/officeDocument/2006/relationships/hyperlink" Target="http://www.aidsinfo.nih.gov/" TargetMode="External"/><Relationship Id="rId7" Type="http://schemas.openxmlformats.org/officeDocument/2006/relationships/hyperlink" Target="http://www.foodsafety.gov/" TargetMode="External"/><Relationship Id="rId2" Type="http://schemas.openxmlformats.org/officeDocument/2006/relationships/hyperlink" Target="http://pdrel.thomsonhc.com/pdrel/librarian/action/command.Command" TargetMode="External"/><Relationship Id="rId1" Type="http://schemas.openxmlformats.org/officeDocument/2006/relationships/hyperlink" Target="http://www.cdc.gov/mmwr/preview/mmwrhtml/rr5108a1.htm" TargetMode="External"/><Relationship Id="rId6" Type="http://schemas.openxmlformats.org/officeDocument/2006/relationships/hyperlink" Target="http://www.usda.gov/" TargetMode="External"/><Relationship Id="rId5" Type="http://schemas.openxmlformats.org/officeDocument/2006/relationships/hyperlink" Target="http://www.nal.usda.gov/foodborne/" TargetMode="External"/><Relationship Id="rId4" Type="http://schemas.openxmlformats.org/officeDocument/2006/relationships/hyperlink" Target="http://www.cdc.gov/foodsafety/"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101194</Words>
  <Characters>557584</Characters>
  <Application>Microsoft Office Word</Application>
  <DocSecurity>0</DocSecurity>
  <Lines>9956</Lines>
  <Paragraphs>3229</Paragraphs>
  <ScaleCrop>false</ScaleCrop>
  <Company/>
  <LinksUpToDate>false</LinksUpToDate>
  <CharactersWithSpaces>655549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Nicu Tata</dc:creator>
  <cp:keywords/>
  <dc:description/>
  <cp:lastModifiedBy>Nicu Tata</cp:lastModifiedBy>
  <cp:revision>1</cp:revision>
  <dcterms:created xsi:type="dcterms:W3CDTF">2026-05-03T19:08:00Z</dcterms:created>
  <dcterms:modified xsi:type="dcterms:W3CDTF">2026-05-03T19:09:00Z</dcterms:modified>
</cp:coreProperties>
</file>